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0" w:line="360" w:lineRule="auto"/>
        <w:rPr>
          <w:rFonts w:ascii="宋体" w:hAnsi="宋体"/>
          <w:b/>
          <w:color w:val="auto"/>
          <w:sz w:val="52"/>
          <w:szCs w:val="52"/>
          <w:highlight w:val="none"/>
        </w:rPr>
      </w:pPr>
      <w:r>
        <w:rPr>
          <w:rFonts w:ascii="宋体" w:hAnsi="宋体"/>
          <w:b/>
          <w:color w:val="auto"/>
          <w:sz w:val="52"/>
          <w:szCs w:val="52"/>
          <w:highlight w:val="none"/>
        </w:rPr>
      </w:r>
      <w:r/>
    </w:p>
    <w:p>
      <w:pPr>
        <w:pStyle w:val="854"/>
        <w:numPr>
          <w:ilvl w:val="0"/>
          <w:numId w:val="0"/>
        </w:numPr>
        <w:rPr>
          <w:rFonts w:ascii="宋体" w:hAnsi="宋体"/>
          <w:b/>
          <w:color w:val="auto"/>
          <w:sz w:val="52"/>
          <w:szCs w:val="52"/>
          <w:highlight w:val="none"/>
        </w:rPr>
      </w:pPr>
      <w:r>
        <w:rPr>
          <w:rFonts w:ascii="宋体" w:hAnsi="宋体"/>
          <w:b/>
          <w:color w:val="auto"/>
          <w:sz w:val="52"/>
          <w:szCs w:val="52"/>
          <w:highlight w:val="none"/>
        </w:rPr>
      </w:r>
      <w:r/>
    </w:p>
    <w:p>
      <w:pPr>
        <w:pStyle w:val="854"/>
        <w:numPr>
          <w:ilvl w:val="0"/>
          <w:numId w:val="0"/>
        </w:numPr>
        <w:rPr>
          <w:rFonts w:ascii="宋体" w:hAnsi="宋体"/>
          <w:b/>
          <w:color w:val="auto"/>
          <w:sz w:val="52"/>
          <w:szCs w:val="52"/>
          <w:highlight w:val="none"/>
        </w:rPr>
      </w:pPr>
      <w:r>
        <w:rPr>
          <w:rFonts w:ascii="宋体" w:hAnsi="宋体"/>
          <w:b/>
          <w:color w:val="auto"/>
          <w:sz w:val="52"/>
          <w:szCs w:val="52"/>
          <w:highlight w:val="none"/>
        </w:rPr>
      </w:r>
      <w:r/>
    </w:p>
    <w:p>
      <w:pPr>
        <w:jc w:val="center"/>
        <w:spacing w:after="0"/>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无锡市政府采购项目</w:t>
      </w:r>
      <w:r/>
    </w:p>
    <w:p>
      <w:pPr>
        <w:jc w:val="center"/>
        <w:spacing w:after="0"/>
        <w:rPr>
          <w:rFonts w:ascii="宋体" w:hAnsi="宋体"/>
          <w:b/>
          <w:color w:val="auto"/>
          <w:sz w:val="52"/>
          <w:szCs w:val="52"/>
          <w:highlight w:val="none"/>
        </w:rPr>
      </w:pPr>
      <w:r>
        <w:rPr>
          <w:rFonts w:ascii="宋体" w:hAnsi="宋体"/>
          <w:b/>
          <w:color w:val="auto"/>
          <w:sz w:val="52"/>
          <w:szCs w:val="52"/>
          <w:highlight w:val="none"/>
        </w:rPr>
      </w:r>
      <w:r/>
    </w:p>
    <w:p>
      <w:pPr>
        <w:jc w:val="center"/>
        <w:spacing w:after="0"/>
        <w:rPr>
          <w:rFonts w:ascii="宋体" w:hAnsi="宋体"/>
          <w:b/>
          <w:color w:val="auto"/>
          <w:sz w:val="56"/>
          <w:szCs w:val="56"/>
          <w:highlight w:val="none"/>
        </w:rPr>
      </w:pPr>
      <w:r>
        <w:rPr>
          <w:rFonts w:hint="eastAsia" w:ascii="宋体" w:hAnsi="宋体"/>
          <w:b/>
          <w:color w:val="auto"/>
          <w:sz w:val="56"/>
          <w:szCs w:val="56"/>
          <w:highlight w:val="none"/>
        </w:rPr>
        <w:t xml:space="preserve">公开招标文件</w:t>
      </w:r>
      <w:r/>
    </w:p>
    <w:p>
      <w:pPr>
        <w:jc w:val="center"/>
        <w:spacing w:after="0"/>
        <w:tabs>
          <w:tab w:val="left" w:pos="9921" w:leader="none"/>
        </w:tabs>
        <w:rPr>
          <w:rFonts w:ascii="宋体" w:hAnsi="宋体"/>
          <w:bCs/>
          <w:color w:val="auto"/>
          <w:sz w:val="30"/>
          <w:highlight w:val="none"/>
        </w:rPr>
      </w:pPr>
      <w:r>
        <w:rPr>
          <w:rFonts w:ascii="宋体" w:hAnsi="宋体"/>
          <w:bCs/>
          <w:color w:val="auto"/>
          <w:sz w:val="30"/>
          <w:highlight w:val="none"/>
        </w:rPr>
      </w:r>
      <w:r/>
    </w:p>
    <w:p>
      <w:pPr>
        <w:pStyle w:val="1017"/>
        <w:keepNext w:val="0"/>
        <w:spacing w:after="0"/>
        <w:rPr>
          <w:rFonts w:ascii="宋体" w:hAnsi="宋体" w:eastAsia="宋体"/>
          <w:color w:val="auto"/>
          <w:highlight w:val="none"/>
        </w:rPr>
      </w:pPr>
      <w:r>
        <w:rPr>
          <w:rFonts w:ascii="宋体" w:hAnsi="宋体" w:eastAsia="宋体"/>
          <w:color w:val="auto"/>
          <w:highlight w:val="none"/>
        </w:rPr>
      </w:r>
      <w:r/>
    </w:p>
    <w:p>
      <w:pPr>
        <w:spacing w:after="0"/>
        <w:rPr>
          <w:color w:val="auto"/>
          <w:highlight w:val="none"/>
        </w:rPr>
      </w:pPr>
      <w:r>
        <w:rPr>
          <w:color w:val="auto"/>
          <w:highlight w:val="none"/>
        </w:rPr>
      </w:r>
      <w:r/>
    </w:p>
    <w:p>
      <w:pPr>
        <w:spacing w:before="721" w:after="721" w:line="360" w:lineRule="auto"/>
        <w:rPr>
          <w:rFonts w:hint="eastAsia" w:ascii="宋体" w:hAnsi="宋体" w:eastAsia="宋体"/>
          <w:bCs/>
          <w:color w:val="auto"/>
          <w:sz w:val="30"/>
          <w:szCs w:val="30"/>
          <w:highlight w:val="none"/>
          <w:lang w:eastAsia="zh-CN"/>
        </w:rPr>
      </w:pPr>
      <w:r>
        <w:rPr>
          <w:rFonts w:hint="eastAsia" w:ascii="宋体" w:hAnsi="宋体"/>
          <w:bCs/>
          <w:color w:val="auto"/>
          <w:sz w:val="30"/>
          <w:szCs w:val="30"/>
          <w:highlight w:val="none"/>
        </w:rPr>
        <w:t xml:space="preserve">采购项目编号：</w:t>
      </w:r>
      <w:r>
        <w:rPr>
          <w:rFonts w:hint="eastAsia" w:ascii="宋体" w:hAnsi="宋体"/>
          <w:bCs/>
          <w:color w:val="auto"/>
          <w:sz w:val="30"/>
          <w:szCs w:val="30"/>
          <w:highlight w:val="none"/>
          <w:lang w:eastAsia="zh-CN"/>
        </w:rPr>
        <w:t xml:space="preserve">JSZC-320200-RHZH-G2026-0048</w:t>
      </w:r>
      <w:r/>
    </w:p>
    <w:p>
      <w:pPr>
        <w:spacing w:before="721" w:after="721" w:line="360" w:lineRule="auto"/>
        <w:rPr>
          <w:rFonts w:hint="eastAsia" w:ascii="宋体" w:hAnsi="宋体" w:eastAsia="宋体"/>
          <w:bCs/>
          <w:color w:val="auto"/>
          <w:sz w:val="30"/>
          <w:szCs w:val="30"/>
          <w:highlight w:val="none"/>
          <w:lang w:eastAsia="zh-CN"/>
        </w:rPr>
      </w:pPr>
      <w:r>
        <w:rPr>
          <w:rFonts w:hint="eastAsia" w:ascii="宋体" w:hAnsi="宋体"/>
          <w:bCs/>
          <w:color w:val="auto"/>
          <w:sz w:val="30"/>
          <w:szCs w:val="30"/>
          <w:highlight w:val="none"/>
        </w:rPr>
        <w:t xml:space="preserve">采购项目名称：</w:t>
      </w:r>
      <w:r>
        <w:rPr>
          <w:rFonts w:hint="eastAsia" w:ascii="宋体" w:hAnsi="宋体"/>
          <w:bCs/>
          <w:color w:val="auto"/>
          <w:sz w:val="30"/>
          <w:szCs w:val="30"/>
          <w:highlight w:val="none"/>
          <w:lang w:eastAsia="zh-CN"/>
        </w:rPr>
        <w:t xml:space="preserve">无锡市水利工程管理中心江尖水利枢纽液压系统维修改造项目</w:t>
      </w:r>
      <w:r/>
    </w:p>
    <w:p>
      <w:pPr>
        <w:spacing w:before="721" w:after="721" w:line="360" w:lineRule="auto"/>
        <w:rPr>
          <w:rFonts w:ascii="宋体" w:hAnsi="宋体"/>
          <w:bCs/>
          <w:color w:val="auto"/>
          <w:sz w:val="30"/>
          <w:szCs w:val="30"/>
          <w:highlight w:val="none"/>
        </w:rPr>
      </w:pPr>
      <w:r>
        <w:rPr>
          <w:rFonts w:hint="eastAsia" w:ascii="宋体" w:hAnsi="宋体"/>
          <w:bCs/>
          <w:color w:val="auto"/>
          <w:sz w:val="30"/>
          <w:szCs w:val="30"/>
          <w:highlight w:val="none"/>
        </w:rPr>
        <w:t xml:space="preserve">采   购   人：无锡市水利工程管理中心</w:t>
      </w:r>
      <w:r/>
    </w:p>
    <w:p>
      <w:pPr>
        <w:spacing w:before="721" w:after="721" w:line="360" w:lineRule="auto"/>
        <w:rPr>
          <w:rFonts w:ascii="宋体" w:hAnsi="宋体"/>
          <w:bCs/>
          <w:color w:val="auto"/>
          <w:sz w:val="30"/>
          <w:szCs w:val="30"/>
          <w:highlight w:val="none"/>
        </w:rPr>
      </w:pPr>
      <w:r>
        <w:rPr>
          <w:rFonts w:hint="eastAsia" w:ascii="宋体" w:hAnsi="宋体"/>
          <w:bCs/>
          <w:color w:val="auto"/>
          <w:sz w:val="30"/>
          <w:szCs w:val="30"/>
          <w:highlight w:val="none"/>
        </w:rPr>
        <w:t xml:space="preserve">采购代理机构：江苏仁合中惠工程咨询有限公司</w:t>
      </w:r>
      <w:r/>
    </w:p>
    <w:p>
      <w:pPr>
        <w:jc w:val="center"/>
        <w:spacing w:before="721" w:after="721" w:line="360" w:lineRule="auto"/>
        <w:rPr>
          <w:rFonts w:ascii="宋体" w:hAnsi="宋体"/>
          <w:bCs/>
          <w:color w:val="auto"/>
          <w:sz w:val="44"/>
          <w:highlight w:val="none"/>
        </w:rPr>
      </w:pPr>
      <w:r>
        <w:rPr>
          <w:rFonts w:hint="eastAsia" w:ascii="宋体" w:hAnsi="宋体"/>
          <w:bCs/>
          <w:color w:val="auto"/>
          <w:sz w:val="32"/>
          <w:szCs w:val="32"/>
          <w:highlight w:val="none"/>
        </w:rPr>
        <w:t xml:space="preserve">二〇二六年</w:t>
      </w:r>
      <w:r>
        <w:rPr>
          <w:rFonts w:hint="eastAsia" w:ascii="宋体" w:hAnsi="宋体"/>
          <w:bCs/>
          <w:color w:val="auto"/>
          <w:sz w:val="32"/>
          <w:szCs w:val="32"/>
          <w:highlight w:val="none"/>
          <w:lang w:val="en-US" w:eastAsia="zh-CN"/>
        </w:rPr>
        <w:t xml:space="preserve">十</w:t>
      </w:r>
      <w:r>
        <w:rPr>
          <w:rFonts w:hint="eastAsia" w:ascii="宋体" w:hAnsi="宋体"/>
          <w:bCs/>
          <w:color w:val="auto"/>
          <w:sz w:val="32"/>
          <w:szCs w:val="32"/>
          <w:highlight w:val="none"/>
        </w:rPr>
        <w:t xml:space="preserve">月</w:t>
      </w:r>
      <w:r/>
    </w:p>
    <w:p>
      <w:pPr>
        <w:spacing w:after="0"/>
        <w:rPr>
          <w:rFonts w:ascii="宋体" w:hAnsi="宋体"/>
          <w:bCs/>
          <w:color w:val="auto"/>
          <w:sz w:val="30"/>
          <w:highlight w:val="none"/>
        </w:rPr>
      </w:pPr>
      <w:r>
        <w:rPr>
          <w:rFonts w:ascii="宋体" w:hAnsi="宋体"/>
          <w:bCs/>
          <w:color w:val="auto"/>
          <w:sz w:val="30"/>
          <w:highlight w:val="none"/>
        </w:rPr>
      </w:r>
      <w:r/>
    </w:p>
    <w:p>
      <w:pPr>
        <w:pStyle w:val="843"/>
        <w:rPr>
          <w:color w:val="auto"/>
          <w:highlight w:val="none"/>
        </w:rPr>
      </w:pPr>
      <w:r>
        <w:rPr>
          <w:color w:val="auto"/>
          <w:highlight w:val="none"/>
        </w:rPr>
      </w:r>
      <w:r/>
    </w:p>
    <w:p>
      <w:pPr>
        <w:jc w:val="center"/>
        <w:spacing w:after="0"/>
        <w:rPr>
          <w:rStyle w:val="1080"/>
          <w:rFonts w:eastAsia="黑体"/>
          <w:bCs/>
          <w:color w:val="auto"/>
          <w:sz w:val="48"/>
          <w:highlight w:val="none"/>
        </w:rPr>
      </w:pPr>
      <w:r>
        <w:rPr>
          <w:rStyle w:val="1080"/>
          <w:rFonts w:hint="eastAsia" w:eastAsia="黑体"/>
          <w:bCs/>
          <w:color w:val="auto"/>
          <w:sz w:val="48"/>
          <w:highlight w:val="none"/>
        </w:rPr>
        <w:t xml:space="preserve">目     录</w:t>
      </w:r>
      <w:r/>
    </w:p>
    <w:p>
      <w:pPr>
        <w:jc w:val="center"/>
        <w:spacing w:after="0"/>
        <w:rPr>
          <w:rFonts w:ascii="宋体" w:hAnsi="宋体"/>
          <w:bCs/>
          <w:color w:val="auto"/>
          <w:sz w:val="30"/>
          <w:highlight w:val="none"/>
        </w:rPr>
      </w:pPr>
      <w:r>
        <w:rPr>
          <w:rFonts w:ascii="宋体" w:hAnsi="宋体"/>
          <w:bCs/>
          <w:color w:val="auto"/>
          <w:sz w:val="30"/>
          <w:highlight w:val="none"/>
        </w:rPr>
      </w:r>
      <w:r/>
    </w:p>
    <w:p>
      <w:pPr>
        <w:pStyle w:val="1034"/>
        <w:spacing w:after="0"/>
        <w:rPr>
          <w:color w:val="auto"/>
          <w:highlight w:val="none"/>
        </w:rPr>
      </w:pPr>
      <w:r>
        <w:rPr>
          <w:color w:val="auto"/>
          <w:highlight w:val="none"/>
        </w:rPr>
      </w:r>
      <w:r/>
    </w:p>
    <w:p>
      <w:pPr>
        <w:ind w:firstLine="540"/>
        <w:spacing w:after="0" w:line="720" w:lineRule="auto"/>
        <w:rPr>
          <w:rFonts w:ascii="宋体" w:hAnsi="宋体"/>
          <w:bCs/>
          <w:color w:val="auto"/>
          <w:sz w:val="36"/>
          <w:szCs w:val="36"/>
          <w:highlight w:val="none"/>
        </w:rPr>
      </w:pPr>
      <w:r>
        <w:rPr>
          <w:rFonts w:hint="eastAsia" w:ascii="宋体" w:hAnsi="宋体"/>
          <w:bCs/>
          <w:color w:val="auto"/>
          <w:sz w:val="36"/>
          <w:szCs w:val="36"/>
          <w:highlight w:val="none"/>
        </w:rPr>
        <w:t xml:space="preserve">一、投标邀请</w:t>
      </w:r>
      <w:r/>
    </w:p>
    <w:p>
      <w:pPr>
        <w:ind w:firstLine="540"/>
        <w:spacing w:after="0" w:line="720" w:lineRule="auto"/>
        <w:rPr>
          <w:rFonts w:ascii="宋体" w:hAnsi="宋体"/>
          <w:bCs/>
          <w:color w:val="auto"/>
          <w:sz w:val="36"/>
          <w:szCs w:val="36"/>
          <w:highlight w:val="none"/>
        </w:rPr>
      </w:pPr>
      <w:r>
        <w:rPr>
          <w:rFonts w:hint="eastAsia" w:ascii="宋体" w:hAnsi="宋体"/>
          <w:bCs/>
          <w:color w:val="auto"/>
          <w:sz w:val="36"/>
          <w:szCs w:val="36"/>
          <w:highlight w:val="none"/>
        </w:rPr>
        <w:t xml:space="preserve">二、投标供应商须知 </w:t>
      </w:r>
      <w:r/>
    </w:p>
    <w:p>
      <w:pPr>
        <w:ind w:firstLine="540"/>
        <w:spacing w:after="0" w:line="720" w:lineRule="auto"/>
        <w:rPr>
          <w:rFonts w:ascii="宋体" w:hAnsi="宋体"/>
          <w:bCs/>
          <w:color w:val="auto"/>
          <w:sz w:val="36"/>
          <w:szCs w:val="36"/>
          <w:highlight w:val="none"/>
        </w:rPr>
      </w:pPr>
      <w:r>
        <w:rPr>
          <w:rFonts w:hint="eastAsia" w:ascii="宋体" w:hAnsi="宋体"/>
          <w:bCs/>
          <w:color w:val="auto"/>
          <w:sz w:val="36"/>
          <w:szCs w:val="36"/>
          <w:highlight w:val="none"/>
        </w:rPr>
        <w:t xml:space="preserve">三、采购需求</w:t>
      </w:r>
      <w:r/>
    </w:p>
    <w:p>
      <w:pPr>
        <w:ind w:firstLine="540"/>
        <w:spacing w:after="0" w:line="720" w:lineRule="auto"/>
        <w:rPr>
          <w:rFonts w:ascii="宋体" w:hAnsi="宋体"/>
          <w:bCs/>
          <w:color w:val="auto"/>
          <w:sz w:val="36"/>
          <w:szCs w:val="36"/>
          <w:highlight w:val="none"/>
        </w:rPr>
      </w:pPr>
      <w:r>
        <w:rPr>
          <w:rFonts w:hint="eastAsia" w:ascii="宋体" w:hAnsi="宋体"/>
          <w:bCs/>
          <w:color w:val="auto"/>
          <w:sz w:val="36"/>
          <w:szCs w:val="36"/>
          <w:highlight w:val="none"/>
        </w:rPr>
        <w:t xml:space="preserve">四、合同书（格式文本）</w:t>
      </w:r>
      <w:r/>
    </w:p>
    <w:p>
      <w:pPr>
        <w:ind w:firstLine="540"/>
        <w:spacing w:after="0" w:line="720" w:lineRule="auto"/>
        <w:rPr>
          <w:rFonts w:ascii="宋体" w:hAnsi="宋体"/>
          <w:bCs/>
          <w:color w:val="auto"/>
          <w:sz w:val="36"/>
          <w:szCs w:val="36"/>
          <w:highlight w:val="none"/>
        </w:rPr>
      </w:pPr>
      <w:r>
        <w:rPr>
          <w:rFonts w:hint="eastAsia" w:ascii="宋体" w:hAnsi="宋体"/>
          <w:bCs/>
          <w:color w:val="auto"/>
          <w:sz w:val="36"/>
          <w:szCs w:val="36"/>
          <w:highlight w:val="none"/>
        </w:rPr>
        <w:t xml:space="preserve">五、附件（投标文件格式）</w:t>
      </w:r>
      <w:r/>
    </w:p>
    <w:p>
      <w:pPr>
        <w:ind w:firstLine="450"/>
        <w:spacing w:after="0" w:line="720" w:lineRule="auto"/>
        <w:rPr>
          <w:rFonts w:ascii="宋体" w:hAnsi="宋体"/>
          <w:bCs/>
          <w:color w:val="auto"/>
          <w:sz w:val="30"/>
          <w:szCs w:val="30"/>
          <w:highlight w:val="none"/>
        </w:rPr>
      </w:pPr>
      <w:r>
        <w:rPr>
          <w:rFonts w:ascii="宋体" w:hAnsi="宋体"/>
          <w:bCs/>
          <w:color w:val="auto"/>
          <w:sz w:val="30"/>
          <w:szCs w:val="30"/>
          <w:highlight w:val="none"/>
        </w:rPr>
      </w:r>
      <w:r/>
    </w:p>
    <w:p>
      <w:pPr>
        <w:pStyle w:val="843"/>
        <w:rPr>
          <w:rFonts w:ascii="宋体" w:hAnsi="宋体"/>
          <w:bCs/>
          <w:color w:val="auto"/>
          <w:sz w:val="30"/>
          <w:szCs w:val="30"/>
          <w:highlight w:val="none"/>
        </w:rPr>
      </w:pPr>
      <w:r>
        <w:rPr>
          <w:rFonts w:ascii="宋体" w:hAnsi="宋体"/>
          <w:bCs/>
          <w:color w:val="auto"/>
          <w:sz w:val="30"/>
          <w:szCs w:val="30"/>
          <w:highlight w:val="none"/>
        </w:rPr>
      </w:r>
      <w:r/>
    </w:p>
    <w:p>
      <w:pPr>
        <w:pStyle w:val="854"/>
        <w:numPr>
          <w:ilvl w:val="0"/>
          <w:numId w:val="0"/>
        </w:numPr>
        <w:rPr>
          <w:rFonts w:ascii="宋体" w:hAnsi="宋体"/>
          <w:bCs/>
          <w:color w:val="auto"/>
          <w:sz w:val="30"/>
          <w:szCs w:val="30"/>
          <w:highlight w:val="none"/>
        </w:rPr>
      </w:pPr>
      <w:r>
        <w:rPr>
          <w:rFonts w:ascii="宋体" w:hAnsi="宋体"/>
          <w:bCs/>
          <w:color w:val="auto"/>
          <w:sz w:val="30"/>
          <w:szCs w:val="30"/>
          <w:highlight w:val="none"/>
        </w:rPr>
      </w:r>
      <w:r/>
    </w:p>
    <w:p>
      <w:pPr>
        <w:pStyle w:val="854"/>
        <w:numPr>
          <w:ilvl w:val="0"/>
          <w:numId w:val="0"/>
        </w:numPr>
        <w:rPr>
          <w:rFonts w:ascii="宋体" w:hAnsi="宋体"/>
          <w:bCs/>
          <w:color w:val="auto"/>
          <w:sz w:val="30"/>
          <w:szCs w:val="30"/>
          <w:highlight w:val="none"/>
        </w:rPr>
      </w:pPr>
      <w:r>
        <w:rPr>
          <w:rFonts w:ascii="宋体" w:hAnsi="宋体"/>
          <w:bCs/>
          <w:color w:val="auto"/>
          <w:sz w:val="30"/>
          <w:szCs w:val="30"/>
          <w:highlight w:val="none"/>
        </w:rPr>
      </w:r>
      <w:r/>
    </w:p>
    <w:p>
      <w:pPr>
        <w:pStyle w:val="854"/>
        <w:numPr>
          <w:ilvl w:val="0"/>
          <w:numId w:val="0"/>
        </w:numPr>
        <w:rPr>
          <w:rFonts w:ascii="宋体" w:hAnsi="宋体"/>
          <w:bCs/>
          <w:color w:val="auto"/>
          <w:sz w:val="30"/>
          <w:szCs w:val="30"/>
          <w:highlight w:val="none"/>
        </w:rPr>
      </w:pPr>
      <w:r>
        <w:rPr>
          <w:rFonts w:ascii="宋体" w:hAnsi="宋体"/>
          <w:bCs/>
          <w:color w:val="auto"/>
          <w:sz w:val="30"/>
          <w:szCs w:val="30"/>
          <w:highlight w:val="none"/>
        </w:rPr>
      </w:r>
      <w:r/>
    </w:p>
    <w:p>
      <w:pPr>
        <w:ind w:firstLine="450"/>
        <w:spacing w:after="0"/>
        <w:rPr>
          <w:rFonts w:ascii="宋体" w:hAnsi="宋体"/>
          <w:bCs/>
          <w:color w:val="auto"/>
          <w:sz w:val="30"/>
          <w:szCs w:val="30"/>
          <w:highlight w:val="none"/>
        </w:rPr>
      </w:pPr>
      <w:r>
        <w:rPr>
          <w:rFonts w:ascii="宋体" w:hAnsi="宋体"/>
          <w:bCs/>
          <w:color w:val="auto"/>
          <w:sz w:val="30"/>
          <w:szCs w:val="30"/>
          <w:highlight w:val="none"/>
        </w:rPr>
      </w:r>
      <w:r/>
    </w:p>
    <w:p>
      <w:pPr>
        <w:ind w:firstLine="450"/>
        <w:spacing w:after="0" w:line="720" w:lineRule="auto"/>
        <w:rPr>
          <w:rFonts w:ascii="宋体" w:hAnsi="宋体"/>
          <w:bCs/>
          <w:color w:val="auto"/>
          <w:sz w:val="30"/>
          <w:szCs w:val="30"/>
          <w:highlight w:val="none"/>
        </w:rPr>
      </w:pPr>
      <w:r>
        <w:rPr>
          <w:rFonts w:ascii="宋体" w:hAnsi="宋体"/>
          <w:bCs/>
          <w:color w:val="auto"/>
          <w:sz w:val="30"/>
          <w:szCs w:val="30"/>
          <w:highlight w:val="none"/>
        </w:rPr>
      </w:r>
      <w:r/>
    </w:p>
    <w:p>
      <w:pPr>
        <w:jc w:val="center"/>
        <w:spacing w:after="0" w:line="360" w:lineRule="auto"/>
        <w:widowControl w:val="off"/>
        <w:rPr>
          <w:rFonts w:ascii="黑体" w:eastAsia="黑体"/>
          <w:b/>
          <w:color w:val="auto"/>
          <w:sz w:val="28"/>
          <w:szCs w:val="28"/>
          <w:highlight w:val="none"/>
        </w:rPr>
      </w:pPr>
      <w:r>
        <w:rPr>
          <w:rFonts w:hint="eastAsia" w:ascii="黑体" w:eastAsia="黑体"/>
          <w:b/>
          <w:color w:val="auto"/>
          <w:sz w:val="28"/>
          <w:szCs w:val="28"/>
          <w:highlight w:val="none"/>
        </w:rPr>
        <w:t xml:space="preserve">一、投标邀请</w:t>
      </w:r>
      <w:r/>
    </w:p>
    <w:p>
      <w:pPr>
        <w:pStyle w:val="1037"/>
        <w:ind w:firstLine="480"/>
        <w:spacing w:after="0" w:line="360" w:lineRule="auto"/>
        <w:rPr>
          <w:rFonts w:ascii="宋体" w:hAnsi="宋体"/>
          <w:b w:val="0"/>
          <w:bCs/>
          <w:color w:val="auto"/>
          <w:sz w:val="24"/>
          <w:szCs w:val="24"/>
          <w:highlight w:val="none"/>
        </w:rPr>
      </w:pPr>
      <w:r>
        <w:rPr>
          <w:rFonts w:hint="eastAsia" w:ascii="宋体" w:hAnsi="宋体"/>
          <w:b w:val="0"/>
          <w:bCs/>
          <w:color w:val="auto"/>
          <w:sz w:val="24"/>
          <w:szCs w:val="24"/>
          <w:highlight w:val="none"/>
        </w:rPr>
        <w:t xml:space="preserve">江苏仁合中惠工程咨询有限公司受无锡市水利工程管理中心委托，就其</w:t>
      </w:r>
      <w:r>
        <w:rPr>
          <w:rFonts w:hint="eastAsia" w:ascii="宋体" w:hAnsi="宋体"/>
          <w:b w:val="0"/>
          <w:bCs/>
          <w:color w:val="auto"/>
          <w:sz w:val="24"/>
          <w:szCs w:val="24"/>
          <w:highlight w:val="none"/>
          <w:lang w:eastAsia="zh-CN"/>
        </w:rPr>
        <w:t xml:space="preserve">无锡市水利工程管理中心江尖水利枢纽液压系统维修改造项目</w:t>
      </w:r>
      <w:r>
        <w:rPr>
          <w:rFonts w:hint="eastAsia" w:ascii="宋体" w:hAnsi="宋体"/>
          <w:b w:val="0"/>
          <w:bCs/>
          <w:color w:val="auto"/>
          <w:sz w:val="24"/>
          <w:szCs w:val="24"/>
          <w:highlight w:val="none"/>
        </w:rPr>
        <w:t xml:space="preserve">进行公开招标，欢迎符合相关条件的供应商参加投标并提请注意下列相关事项：</w:t>
      </w:r>
      <w:r/>
    </w:p>
    <w:tbl>
      <w:tblPr>
        <w:tblStyle w:val="838"/>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9391"/>
      </w:tblGrid>
      <w:tr>
        <w:trPr>
          <w:jc w:val="center"/>
          <w:trHeight w:val="70"/>
        </w:trPr>
        <w:tc>
          <w:tcPr>
            <w:tcW w:w="584" w:type="dxa"/>
            <w:textDirection w:val="lrTb"/>
            <w:noWrap w:val="false"/>
          </w:tcPr>
          <w:p>
            <w:pPr>
              <w:jc w:val="center"/>
              <w:spacing w:after="0"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9391" w:type="dxa"/>
            <w:textDirection w:val="lrTb"/>
            <w:noWrap w:val="false"/>
          </w:tcPr>
          <w:p>
            <w:pPr>
              <w:jc w:val="center"/>
              <w:spacing w:after="0"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内    容</w:t>
            </w:r>
            <w:r/>
          </w:p>
        </w:tc>
      </w:tr>
      <w:tr>
        <w:trPr>
          <w:jc w:val="center"/>
          <w:trHeight w:val="1524"/>
        </w:trPr>
        <w:tc>
          <w:tcPr>
            <w:tcW w:w="584" w:type="dxa"/>
            <w:vAlign w:val="center"/>
            <w:textDirection w:val="lrTb"/>
            <w:noWrap w:val="false"/>
          </w:tcPr>
          <w:p>
            <w:pPr>
              <w:jc w:val="center"/>
              <w:spacing w:after="0"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391" w:type="dxa"/>
            <w:textDirection w:val="lrTb"/>
            <w:noWrap w:val="false"/>
          </w:tcPr>
          <w:p>
            <w:pPr>
              <w:spacing w:after="0"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采购项目名称：</w:t>
            </w:r>
            <w:r>
              <w:rPr>
                <w:rFonts w:hint="eastAsia" w:ascii="宋体" w:hAnsi="宋体"/>
                <w:bCs/>
                <w:color w:val="auto"/>
                <w:sz w:val="24"/>
                <w:szCs w:val="24"/>
                <w:highlight w:val="none"/>
                <w:lang w:eastAsia="zh-CN"/>
              </w:rPr>
              <w:t xml:space="preserve">无锡市水利工程管理中心江尖水利枢纽液压系统维修改造项目</w:t>
            </w:r>
            <w:r/>
          </w:p>
          <w:p>
            <w:pPr>
              <w:spacing w:after="0"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采购编号：</w:t>
            </w:r>
            <w:r>
              <w:rPr>
                <w:rFonts w:hint="eastAsia" w:ascii="宋体" w:hAnsi="宋体"/>
                <w:bCs/>
                <w:color w:val="auto"/>
                <w:sz w:val="24"/>
                <w:szCs w:val="24"/>
                <w:highlight w:val="none"/>
                <w:lang w:eastAsia="zh-CN"/>
              </w:rPr>
              <w:t xml:space="preserve">JSZC-320200-RHZH-G2026-0048</w:t>
            </w:r>
            <w:r/>
          </w:p>
          <w:p>
            <w:pPr>
              <w:spacing w:after="0" w:line="360" w:lineRule="auto"/>
              <w:rPr>
                <w:rFonts w:ascii="宋体" w:hAnsi="宋体"/>
                <w:color w:val="auto"/>
                <w:sz w:val="24"/>
                <w:szCs w:val="24"/>
                <w:highlight w:val="none"/>
              </w:rPr>
            </w:pPr>
            <w:r>
              <w:rPr>
                <w:rFonts w:hint="eastAsia" w:ascii="宋体" w:hAnsi="宋体"/>
                <w:bCs/>
                <w:color w:val="auto"/>
                <w:sz w:val="24"/>
                <w:szCs w:val="24"/>
                <w:highlight w:val="none"/>
              </w:rPr>
              <w:t xml:space="preserve">采购方式：公开招标（暗标）</w:t>
            </w:r>
            <w:r/>
          </w:p>
        </w:tc>
      </w:tr>
      <w:tr>
        <w:trPr>
          <w:jc w:val="center"/>
          <w:trHeight w:val="70"/>
        </w:trPr>
        <w:tc>
          <w:tcPr>
            <w:tcW w:w="584" w:type="dxa"/>
            <w:vAlign w:val="center"/>
            <w:textDirection w:val="lrTb"/>
            <w:noWrap w:val="false"/>
          </w:tcPr>
          <w:p>
            <w:pPr>
              <w:jc w:val="center"/>
              <w:spacing w:after="0"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W w:w="9391" w:type="dxa"/>
            <w:textDirection w:val="lrTb"/>
            <w:noWrap w:val="false"/>
          </w:tcPr>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采购人：无锡市水利工程管理中心</w:t>
            </w:r>
            <w:r/>
          </w:p>
          <w:p>
            <w:pPr>
              <w:spacing w:after="0"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采购人地址：</w:t>
            </w:r>
            <w:r>
              <w:rPr>
                <w:rFonts w:hint="eastAsia" w:ascii="宋体" w:hAnsi="宋体"/>
                <w:bCs/>
                <w:color w:val="auto"/>
                <w:sz w:val="24"/>
                <w:szCs w:val="24"/>
                <w:highlight w:val="none"/>
                <w:lang w:eastAsia="zh-CN"/>
              </w:rPr>
              <w:t xml:space="preserve">无锡市建筑西路599-2（第六层）</w:t>
            </w:r>
            <w:r/>
          </w:p>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采购代理机构：江苏仁合中惠工程咨询有限公司</w:t>
            </w:r>
            <w:r/>
          </w:p>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采购机构地址：</w:t>
            </w:r>
            <w:r>
              <w:rPr>
                <w:rFonts w:hint="eastAsia" w:ascii="宋体" w:hAnsi="宋体"/>
                <w:bCs/>
                <w:color w:val="auto"/>
                <w:sz w:val="24"/>
                <w:szCs w:val="24"/>
                <w:highlight w:val="none"/>
                <w:lang w:val="zh-CN"/>
              </w:rPr>
              <w:t xml:space="preserve">无锡市滨湖区蓝庭公寓1号楼2402室</w:t>
            </w:r>
            <w:r/>
          </w:p>
        </w:tc>
      </w:tr>
      <w:tr>
        <w:trPr>
          <w:jc w:val="center"/>
          <w:trHeight w:val="408"/>
        </w:trPr>
        <w:tc>
          <w:tcPr>
            <w:tcW w:w="584" w:type="dxa"/>
            <w:vAlign w:val="center"/>
            <w:textDirection w:val="lrTb"/>
            <w:noWrap w:val="false"/>
          </w:tcPr>
          <w:p>
            <w:pPr>
              <w:jc w:val="center"/>
              <w:spacing w:after="0"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391"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采购项目概况：</w:t>
            </w:r>
            <w:r/>
          </w:p>
          <w:p>
            <w:pPr>
              <w:ind w:firstLine="480"/>
              <w:spacing w:line="560" w:lineRule="exact"/>
              <w:rPr>
                <w:rFonts w:ascii="宋体" w:hAnsi="宋体"/>
                <w:bCs/>
                <w:color w:val="auto"/>
                <w:sz w:val="24"/>
                <w:szCs w:val="24"/>
                <w:highlight w:val="none"/>
              </w:rPr>
            </w:pPr>
            <w:r>
              <w:rPr>
                <w:rFonts w:hint="eastAsia" w:ascii="宋体" w:hAnsi="宋体" w:cs="Times New Roman"/>
                <w:bCs/>
                <w:color w:val="auto"/>
                <w:sz w:val="24"/>
                <w:szCs w:val="24"/>
                <w:highlight w:val="none"/>
              </w:rPr>
              <w:t xml:space="preserve">1.</w:t>
            </w:r>
            <w:r>
              <w:rPr>
                <w:rFonts w:hint="eastAsia" w:ascii="宋体" w:hAnsi="宋体"/>
                <w:bCs/>
                <w:color w:val="auto"/>
                <w:sz w:val="24"/>
                <w:szCs w:val="24"/>
                <w:highlight w:val="none"/>
              </w:rPr>
              <w:t xml:space="preserve">江尖水利枢纽是无锡市城市防洪运东大包围骨干</w:t>
            </w:r>
            <w:r>
              <w:rPr>
                <w:rFonts w:hint="eastAsia" w:ascii="宋体" w:hAnsi="宋体"/>
                <w:bCs/>
                <w:color w:val="auto"/>
                <w:sz w:val="24"/>
                <w:szCs w:val="24"/>
                <w:highlight w:val="none"/>
                <w:lang w:val="en-US" w:eastAsia="zh-CN"/>
              </w:rPr>
              <w:t xml:space="preserve">项目</w:t>
            </w:r>
            <w:r>
              <w:rPr>
                <w:rFonts w:hint="eastAsia" w:ascii="宋体" w:hAnsi="宋体"/>
                <w:bCs/>
                <w:color w:val="auto"/>
                <w:sz w:val="24"/>
                <w:szCs w:val="24"/>
                <w:highlight w:val="none"/>
              </w:rPr>
              <w:t xml:space="preserve">之一，该</w:t>
            </w:r>
            <w:r>
              <w:rPr>
                <w:rFonts w:hint="eastAsia" w:ascii="宋体" w:hAnsi="宋体"/>
                <w:bCs/>
                <w:color w:val="auto"/>
                <w:sz w:val="24"/>
                <w:szCs w:val="24"/>
                <w:highlight w:val="none"/>
                <w:lang w:val="en-US" w:eastAsia="zh-CN"/>
              </w:rPr>
              <w:t xml:space="preserve">项目</w:t>
            </w:r>
            <w:r>
              <w:rPr>
                <w:rFonts w:hint="eastAsia" w:ascii="宋体" w:hAnsi="宋体"/>
                <w:bCs/>
                <w:color w:val="auto"/>
                <w:sz w:val="24"/>
                <w:szCs w:val="24"/>
                <w:highlight w:val="none"/>
              </w:rPr>
              <w:t xml:space="preserve">具有防洪、排涝、调水改善城市水环境、兼顾通航（节制闸西侧2孔有通航功能）等综合功能。枢纽位于无锡市中心城区，坐落在江尖大桥与黄埠墩之</w:t>
            </w:r>
            <w:r>
              <w:rPr>
                <w:rFonts w:hint="eastAsia" w:ascii="宋体" w:hAnsi="宋体"/>
                <w:bCs/>
                <w:color w:val="auto"/>
                <w:sz w:val="24"/>
                <w:szCs w:val="24"/>
                <w:highlight w:val="none"/>
              </w:rPr>
              <w:t xml:space="preserve">间的古运河上（距江尖大桥西约365m），由1座总净宽75m的节制闸和1座60m3/s的排涝泵站以及副厂房、安装间、管理区、跨河人行桥等附属设施组成。闸站并列一字排开布置，左岸（西侧）布置3孔节制闸，单孔净宽25m，采用三角支臂平面卧倒门配QRWY-2×1250/2×200kN-8.3m液压启闭机操作；右岸（东侧）布置3台20m3/s的竖井式贯流泵机组，总装机容量2400kW，出口侧设置工作闸门、事故闸门各1道，每道6孔钢闸门（1台水泵机组对应2孔闸门），配QPKY-200kN-3.5m倒挂式液压启闭机操作。</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经过20多年的运行，江尖水利枢纽的设备逐渐老化，主要集中在液压启闭设备方面，其相关部件老化现象越发明显，各种故障频发。对枢纽的安全、可靠运行造成不利影响，日常运行维护工作量及难度日益增大。</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为消除设备安全隐患，提升枢纽机电设备运行稳定性，需对液压启闭及配套控制系统实施维修改造，本次维修改造主要内容如下：</w:t>
            </w:r>
            <w:r/>
          </w:p>
          <w:p>
            <w:pPr>
              <w:ind w:firstLine="480"/>
              <w:spacing w:after="0" w:line="360" w:lineRule="auto"/>
              <w:widowControl w:val="off"/>
              <w:rPr>
                <w:rFonts w:ascii="宋体" w:hAnsi="宋体"/>
                <w:color w:val="auto"/>
                <w:sz w:val="24"/>
                <w:szCs w:val="24"/>
                <w:highlight w:val="none"/>
              </w:rPr>
            </w:pPr>
            <w:r>
              <w:rPr>
                <w:rFonts w:hint="eastAsia" w:ascii="宋体" w:hAnsi="宋体"/>
                <w:bCs/>
                <w:color w:val="auto"/>
                <w:sz w:val="24"/>
                <w:szCs w:val="24"/>
                <w:highlight w:val="none"/>
              </w:rPr>
              <w:t xml:space="preserve">①改进并更换节制闸6只油缸（活塞杆为陶瓷杆）、3套控制阀台；更换液压站主要部件（3套油泵、全部阀组及密封件）并整体出新，更换所有液压油及附件。②返厂维修泵站12只油缸（活塞杆更换为陶瓷杆，油缸维修）；维修液压站（更换全部阀组及密封件）并整体出新，更换所有液压油及附件。③更换节制闸、泵站启闭机的PLC控制柜2套；维修出新动力柜2套。④新增液压启闭机在线监测装置及上位机。⑤完善视频监控。⑥节制闸廊道增设1套通风设施等。</w:t>
            </w:r>
            <w:r/>
          </w:p>
          <w:p>
            <w:pPr>
              <w:pStyle w:val="1037"/>
              <w:numPr>
                <w:ilvl w:val="0"/>
                <w:numId w:val="11"/>
              </w:numPr>
              <w:ind w:firstLine="480"/>
              <w:spacing w:after="0" w:line="360" w:lineRule="auto"/>
              <w:rPr>
                <w:rFonts w:ascii="宋体" w:hAnsi="宋体"/>
                <w:b w:val="0"/>
                <w:color w:val="auto"/>
                <w:sz w:val="24"/>
                <w:szCs w:val="24"/>
                <w:highlight w:val="none"/>
              </w:rPr>
            </w:pPr>
            <w:r>
              <w:rPr>
                <w:rFonts w:hint="eastAsia" w:ascii="宋体" w:hAnsi="宋体"/>
                <w:b w:val="0"/>
                <w:color w:val="auto"/>
                <w:sz w:val="24"/>
                <w:szCs w:val="24"/>
                <w:highlight w:val="none"/>
                <w:lang w:val="en-US" w:eastAsia="zh-CN"/>
              </w:rPr>
              <w:t xml:space="preserve">招标</w:t>
            </w:r>
            <w:r>
              <w:rPr>
                <w:rFonts w:hint="eastAsia" w:ascii="宋体" w:hAnsi="宋体"/>
                <w:b w:val="0"/>
                <w:color w:val="auto"/>
                <w:sz w:val="24"/>
                <w:szCs w:val="24"/>
                <w:highlight w:val="none"/>
              </w:rPr>
              <w:t xml:space="preserve">内容：</w:t>
            </w:r>
            <w:r>
              <w:rPr>
                <w:rFonts w:hint="eastAsia" w:ascii="宋体" w:hAnsi="宋体"/>
                <w:b w:val="0"/>
                <w:color w:val="auto"/>
                <w:sz w:val="24"/>
                <w:szCs w:val="24"/>
                <w:highlight w:val="none"/>
                <w:lang w:val="en-US" w:eastAsia="zh-CN"/>
              </w:rPr>
              <w:t xml:space="preserve">招标</w:t>
            </w:r>
            <w:r>
              <w:rPr>
                <w:rFonts w:hint="eastAsia" w:ascii="宋体" w:hAnsi="宋体"/>
                <w:b w:val="0"/>
                <w:color w:val="auto"/>
                <w:sz w:val="24"/>
                <w:szCs w:val="24"/>
                <w:highlight w:val="none"/>
              </w:rPr>
              <w:t xml:space="preserve">清单范围内的</w:t>
            </w:r>
            <w:r>
              <w:rPr>
                <w:rFonts w:hint="eastAsia" w:ascii="宋体" w:hAnsi="宋体"/>
                <w:b w:val="0"/>
                <w:color w:val="auto"/>
                <w:sz w:val="24"/>
                <w:szCs w:val="24"/>
                <w:highlight w:val="none"/>
                <w:lang w:eastAsia="zh-CN"/>
              </w:rPr>
              <w:t xml:space="preserve">无锡市水利工程管理中心江尖水利枢纽液压系统维修改造项目</w:t>
            </w:r>
            <w:r>
              <w:rPr>
                <w:rFonts w:hint="eastAsia" w:ascii="宋体" w:hAnsi="宋体"/>
                <w:b w:val="0"/>
                <w:color w:val="auto"/>
                <w:sz w:val="24"/>
                <w:szCs w:val="24"/>
                <w:highlight w:val="none"/>
              </w:rPr>
              <w:t xml:space="preserve">。具体内容详见</w:t>
            </w:r>
            <w:r>
              <w:rPr>
                <w:rFonts w:hint="eastAsia" w:ascii="宋体" w:hAnsi="宋体"/>
                <w:b w:val="0"/>
                <w:color w:val="auto"/>
                <w:sz w:val="24"/>
                <w:szCs w:val="24"/>
                <w:highlight w:val="none"/>
                <w:lang w:val="en-US" w:eastAsia="zh-CN"/>
              </w:rPr>
              <w:t xml:space="preserve">招标</w:t>
            </w:r>
            <w:r>
              <w:rPr>
                <w:rFonts w:hint="eastAsia" w:ascii="宋体" w:hAnsi="宋体"/>
                <w:b w:val="0"/>
                <w:color w:val="auto"/>
                <w:sz w:val="24"/>
                <w:szCs w:val="24"/>
                <w:highlight w:val="none"/>
              </w:rPr>
              <w:t xml:space="preserve">清单。</w:t>
            </w:r>
            <w:r/>
          </w:p>
          <w:p>
            <w:pPr>
              <w:pStyle w:val="1037"/>
              <w:ind w:firstLine="480"/>
              <w:spacing w:after="0" w:line="360" w:lineRule="auto"/>
              <w:rPr>
                <w:rFonts w:ascii="宋体" w:hAnsi="宋体"/>
                <w:b w:val="0"/>
                <w:color w:val="auto"/>
                <w:sz w:val="24"/>
                <w:szCs w:val="24"/>
                <w:highlight w:val="none"/>
              </w:rPr>
            </w:pPr>
            <w:r>
              <w:rPr>
                <w:rFonts w:hint="eastAsia" w:ascii="宋体" w:hAnsi="宋体"/>
                <w:b w:val="0"/>
                <w:color w:val="auto"/>
                <w:sz w:val="24"/>
                <w:szCs w:val="24"/>
                <w:highlight w:val="none"/>
              </w:rPr>
              <w:t xml:space="preserve">3.</w:t>
            </w:r>
            <w:r>
              <w:rPr>
                <w:rFonts w:hint="eastAsia" w:ascii="宋体" w:hAnsi="宋体"/>
                <w:b w:val="0"/>
                <w:color w:val="auto"/>
                <w:sz w:val="24"/>
                <w:szCs w:val="24"/>
                <w:highlight w:val="none"/>
                <w:lang w:val="en-US" w:eastAsia="zh-CN"/>
              </w:rPr>
              <w:t xml:space="preserve">服务期</w:t>
            </w:r>
            <w:r>
              <w:rPr>
                <w:rFonts w:hint="eastAsia" w:ascii="宋体" w:hAnsi="宋体"/>
                <w:b w:val="0"/>
                <w:color w:val="auto"/>
                <w:sz w:val="24"/>
                <w:szCs w:val="24"/>
                <w:highlight w:val="none"/>
              </w:rPr>
              <w:t xml:space="preserve">：合同签订后接到采购人开工通知之日起210日历天；误期违约金：中标价的万分之五/天，误期违约金的上限：签约合同价的5%。</w:t>
            </w:r>
            <w:r/>
          </w:p>
          <w:p>
            <w:pPr>
              <w:pStyle w:val="1037"/>
              <w:ind w:firstLine="480"/>
              <w:spacing w:after="0" w:line="360" w:lineRule="auto"/>
              <w:rPr>
                <w:rFonts w:ascii="宋体" w:hAnsi="宋体"/>
                <w:b w:val="0"/>
                <w:color w:val="auto"/>
                <w:sz w:val="24"/>
                <w:szCs w:val="24"/>
                <w:highlight w:val="none"/>
              </w:rPr>
            </w:pPr>
            <w:r>
              <w:rPr>
                <w:rFonts w:hint="eastAsia" w:ascii="宋体" w:hAnsi="宋体"/>
                <w:b w:val="0"/>
                <w:color w:val="auto"/>
                <w:sz w:val="24"/>
                <w:szCs w:val="24"/>
                <w:highlight w:val="none"/>
              </w:rPr>
              <w:t xml:space="preserve">4.质量标准：一次性验收通过，100%合格；质量违约金：合同价的3%。</w:t>
            </w:r>
            <w:r/>
          </w:p>
          <w:p>
            <w:pPr>
              <w:pStyle w:val="1038"/>
              <w:ind w:firstLine="480"/>
              <w:rPr>
                <w:color w:val="auto"/>
                <w:highlight w:val="none"/>
              </w:rPr>
            </w:pPr>
            <w:r>
              <w:rPr>
                <w:rFonts w:hint="eastAsia" w:ascii="宋体" w:hAnsi="宋体"/>
                <w:color w:val="auto"/>
                <w:sz w:val="24"/>
                <w:szCs w:val="24"/>
                <w:highlight w:val="none"/>
              </w:rPr>
              <w:t xml:space="preserve">5.基础质保期：一年，质保期自</w:t>
            </w:r>
            <w:r>
              <w:rPr>
                <w:rFonts w:hint="eastAsia" w:ascii="宋体" w:hAnsi="宋体"/>
                <w:color w:val="auto"/>
                <w:sz w:val="24"/>
                <w:szCs w:val="24"/>
                <w:highlight w:val="none"/>
                <w:lang w:eastAsia="zh-CN"/>
              </w:rPr>
              <w:t xml:space="preserve">合同内容</w:t>
            </w:r>
            <w:r>
              <w:rPr>
                <w:rFonts w:hint="eastAsia" w:ascii="宋体" w:hAnsi="宋体"/>
                <w:color w:val="auto"/>
                <w:sz w:val="24"/>
                <w:szCs w:val="24"/>
                <w:highlight w:val="none"/>
              </w:rPr>
              <w:t xml:space="preserve">验收合格之日起算。</w:t>
            </w:r>
            <w:r/>
          </w:p>
          <w:p>
            <w:pPr>
              <w:pStyle w:val="1037"/>
              <w:ind w:firstLine="480"/>
              <w:spacing w:after="0" w:line="360" w:lineRule="auto"/>
              <w:rPr>
                <w:rFonts w:ascii="宋体" w:hAnsi="宋体"/>
                <w:b w:val="0"/>
                <w:color w:val="auto"/>
                <w:sz w:val="24"/>
                <w:szCs w:val="24"/>
                <w:highlight w:val="none"/>
              </w:rPr>
            </w:pPr>
            <w:r>
              <w:rPr>
                <w:rFonts w:hint="eastAsia" w:ascii="宋体" w:hAnsi="宋体"/>
                <w:b w:val="0"/>
                <w:color w:val="auto"/>
                <w:sz w:val="24"/>
                <w:szCs w:val="24"/>
                <w:highlight w:val="none"/>
              </w:rPr>
              <w:t xml:space="preserve">6.采购预算（同最高限价）：674.1192万元，超过最高限价的投标文件按无效文件处理。</w:t>
            </w:r>
            <w:r/>
          </w:p>
          <w:p>
            <w:pPr>
              <w:pStyle w:val="1037"/>
              <w:ind w:firstLine="480"/>
              <w:spacing w:after="0" w:line="360" w:lineRule="auto"/>
              <w:rPr>
                <w:rFonts w:ascii="宋体" w:hAnsi="宋体"/>
                <w:b w:val="0"/>
                <w:color w:val="auto"/>
                <w:sz w:val="24"/>
                <w:szCs w:val="24"/>
                <w:highlight w:val="none"/>
              </w:rPr>
            </w:pPr>
            <w:r>
              <w:rPr>
                <w:rFonts w:hint="eastAsia" w:ascii="宋体" w:hAnsi="宋体"/>
                <w:b w:val="0"/>
                <w:color w:val="auto"/>
                <w:sz w:val="24"/>
                <w:szCs w:val="24"/>
                <w:highlight w:val="none"/>
              </w:rPr>
              <w:t xml:space="preserve">7.根据《中小企业划型标准规定》工信部联企业〔2011〕300号，本项目所属行业为其他未列明行业。</w:t>
            </w:r>
            <w:r/>
          </w:p>
          <w:p>
            <w:pPr>
              <w:pStyle w:val="1037"/>
              <w:ind w:firstLine="480"/>
              <w:spacing w:after="0" w:line="360" w:lineRule="auto"/>
              <w:rPr>
                <w:rFonts w:ascii="宋体" w:hAnsi="宋体"/>
                <w:b w:val="0"/>
                <w:color w:val="auto"/>
                <w:sz w:val="24"/>
                <w:szCs w:val="24"/>
                <w:highlight w:val="none"/>
              </w:rPr>
            </w:pPr>
            <w:r>
              <w:rPr>
                <w:rFonts w:hint="eastAsia" w:ascii="宋体" w:hAnsi="宋体"/>
                <w:b w:val="0"/>
                <w:color w:val="auto"/>
                <w:sz w:val="24"/>
                <w:szCs w:val="24"/>
                <w:highlight w:val="none"/>
              </w:rPr>
              <w:t xml:space="preserve">8.本项目是否专门面向中小企业：否。</w:t>
            </w:r>
            <w:r/>
          </w:p>
        </w:tc>
      </w:tr>
      <w:tr>
        <w:trPr>
          <w:jc w:val="center"/>
          <w:trHeight w:val="729"/>
        </w:trPr>
        <w:tc>
          <w:tcPr>
            <w:tcW w:w="584" w:type="dxa"/>
            <w:vAlign w:val="center"/>
            <w:textDirection w:val="lrTb"/>
            <w:noWrap w:val="false"/>
          </w:tcPr>
          <w:p>
            <w:pPr>
              <w:jc w:val="center"/>
              <w:spacing w:after="0"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391" w:type="dxa"/>
            <w:textDirection w:val="lrTb"/>
            <w:noWrap w:val="false"/>
          </w:tcPr>
          <w:p>
            <w:pPr>
              <w:ind w:firstLine="480"/>
              <w:spacing w:after="0" w:line="360" w:lineRule="auto"/>
              <w:widowControl w:val="off"/>
              <w:rPr>
                <w:rFonts w:ascii="宋体" w:hAnsi="宋体"/>
                <w:bCs/>
                <w:color w:val="auto"/>
                <w:sz w:val="24"/>
                <w:szCs w:val="24"/>
                <w:highlight w:val="none"/>
              </w:rPr>
            </w:pPr>
            <w:r/>
            <w:bookmarkStart w:id="0" w:name="_Hlk67242628"/>
            <w:r>
              <w:rPr>
                <w:rFonts w:hint="eastAsia" w:ascii="宋体" w:hAnsi="宋体"/>
                <w:bCs/>
                <w:color w:val="auto"/>
                <w:sz w:val="24"/>
                <w:szCs w:val="24"/>
                <w:highlight w:val="none"/>
              </w:rPr>
              <w:t xml:space="preserve">1.投标供应商参加本次政府采购活动除应当符合《中华人民共和国政府采购法》第二十二条的规定外，还必须具备以下条件：</w:t>
            </w:r>
            <w:r/>
          </w:p>
          <w:p>
            <w:pPr>
              <w:ind w:firstLine="48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（1）关于资格的声明函（格式见附件）；</w:t>
            </w:r>
            <w:r/>
          </w:p>
          <w:p>
            <w:pPr>
              <w:ind w:firstLine="480"/>
              <w:spacing w:after="0" w:line="360" w:lineRule="auto"/>
              <w:widowControl w:val="off"/>
              <w:rPr>
                <w:rFonts w:ascii="宋体" w:hAnsi="宋体"/>
                <w:color w:val="auto"/>
                <w:sz w:val="24"/>
                <w:highlight w:val="none"/>
              </w:rPr>
            </w:pPr>
            <w:r>
              <w:rPr>
                <w:rFonts w:hint="eastAsia" w:ascii="宋体" w:hAnsi="宋体"/>
                <w:bCs/>
                <w:color w:val="auto"/>
                <w:sz w:val="24"/>
                <w:szCs w:val="24"/>
                <w:highlight w:val="none"/>
              </w:rPr>
              <w:t xml:space="preserve">（2）供应商具有独立承担民事责任能力的投标供应商营业执照或相关部门的登记证明文件扫描件</w:t>
            </w:r>
            <w:r>
              <w:rPr>
                <w:rFonts w:hint="eastAsia" w:ascii="宋体" w:hAnsi="宋体"/>
                <w:b/>
                <w:color w:val="auto"/>
                <w:sz w:val="24"/>
                <w:szCs w:val="24"/>
                <w:highlight w:val="none"/>
              </w:rPr>
              <w:t xml:space="preserve">（投标供应商如是允许以分支机构身份参加投标的，提供投标供应商分支机构的营业执照扫描件）；</w:t>
            </w:r>
            <w:r/>
          </w:p>
          <w:p>
            <w:pPr>
              <w:ind w:firstLine="480"/>
              <w:spacing w:after="0" w:line="360" w:lineRule="auto"/>
              <w:widowControl w:val="off"/>
              <w:tabs>
                <w:tab w:val="left" w:pos="426" w:leader="none"/>
                <w:tab w:val="left" w:pos="945" w:leader="none"/>
                <w:tab w:val="left" w:pos="1365" w:leader="none"/>
              </w:tabs>
              <w:rPr>
                <w:rFonts w:ascii="宋体" w:hAnsi="宋体"/>
                <w:color w:val="auto"/>
                <w:sz w:val="24"/>
                <w:highlight w:val="none"/>
              </w:rPr>
            </w:pPr>
            <w:r>
              <w:rPr>
                <w:rFonts w:hint="eastAsia" w:ascii="宋体" w:hAnsi="宋体"/>
                <w:color w:val="auto"/>
                <w:sz w:val="24"/>
                <w:highlight w:val="none"/>
              </w:rPr>
              <w:t xml:space="preserve">（3）投标</w:t>
            </w:r>
            <w:r>
              <w:rPr>
                <w:rFonts w:hint="eastAsia" w:ascii="宋体" w:hAnsi="宋体"/>
                <w:bCs/>
                <w:color w:val="auto"/>
                <w:sz w:val="24"/>
                <w:szCs w:val="24"/>
                <w:highlight w:val="none"/>
              </w:rPr>
              <w:t xml:space="preserve">供应商须具备水利水电工程施工总承包二级及以上资质</w:t>
            </w:r>
            <w:r>
              <w:rPr>
                <w:rFonts w:hint="eastAsia" w:ascii="宋体" w:hAnsi="宋体"/>
                <w:bCs/>
                <w:color w:val="auto"/>
                <w:sz w:val="24"/>
                <w:szCs w:val="24"/>
                <w:highlight w:val="none"/>
                <w:lang w:val="en-US" w:eastAsia="zh-CN"/>
              </w:rPr>
              <w:t xml:space="preserve">或</w:t>
            </w:r>
            <w:r>
              <w:rPr>
                <w:rFonts w:hint="eastAsia" w:ascii="宋体" w:hAnsi="宋体"/>
                <w:bCs/>
                <w:color w:val="auto"/>
                <w:sz w:val="24"/>
                <w:szCs w:val="24"/>
                <w:highlight w:val="none"/>
              </w:rPr>
              <w:t xml:space="preserve">水工金属结构制作与安装工程专业承包二级及以上资质（提供有效期内的证书复印件或扫描件加盖供应商公章上传至电子投标文件中）；</w:t>
            </w:r>
            <w:r/>
          </w:p>
          <w:p>
            <w:pPr>
              <w:ind w:firstLine="480"/>
              <w:spacing w:after="0" w:line="360" w:lineRule="auto"/>
              <w:widowControl w:val="off"/>
              <w:tabs>
                <w:tab w:val="left" w:pos="426" w:leader="none"/>
                <w:tab w:val="left" w:pos="945" w:leader="none"/>
                <w:tab w:val="left" w:pos="1365" w:leader="none"/>
              </w:tabs>
              <w:rPr>
                <w:rFonts w:ascii="宋体" w:hAnsi="宋体"/>
                <w:color w:val="auto"/>
                <w:sz w:val="24"/>
                <w:highlight w:val="none"/>
              </w:rPr>
            </w:pPr>
            <w:r>
              <w:rPr>
                <w:rFonts w:hint="eastAsia" w:ascii="宋体" w:hAnsi="宋体"/>
                <w:color w:val="auto"/>
                <w:sz w:val="24"/>
                <w:highlight w:val="none"/>
              </w:rPr>
              <w:t xml:space="preserve">（4）投标供应商须具备有效期内的安全生产许可证</w:t>
            </w:r>
            <w:r>
              <w:rPr>
                <w:rFonts w:hint="eastAsia" w:ascii="宋体" w:hAnsi="宋体"/>
                <w:bCs/>
                <w:color w:val="auto"/>
                <w:sz w:val="24"/>
                <w:szCs w:val="24"/>
                <w:highlight w:val="none"/>
              </w:rPr>
              <w:t xml:space="preserve">（提供有效期内的证书复印件或扫描件加盖供应商公章上传至电子投标文件）</w:t>
            </w:r>
            <w:r>
              <w:rPr>
                <w:rFonts w:hint="eastAsia" w:ascii="宋体" w:hAnsi="宋体"/>
                <w:color w:val="auto"/>
                <w:sz w:val="24"/>
                <w:highlight w:val="none"/>
              </w:rPr>
              <w:t xml:space="preserve">；</w:t>
            </w:r>
            <w:r/>
          </w:p>
          <w:p>
            <w:pPr>
              <w:ind w:firstLine="48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（5）专职安全员应具有与其水利行业施工资质相应的行业主管部门颁发的安全生产考核合格证（提供有效期内的证书复印件或扫描件加盖供应商公章上传至电子投标文件）；</w:t>
            </w:r>
            <w:r/>
          </w:p>
          <w:p>
            <w:pPr>
              <w:ind w:firstLine="48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w:t>
            </w: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w:t>
            </w:r>
            <w:r>
              <w:rPr>
                <w:rFonts w:hint="eastAsia" w:ascii="宋体" w:hAnsi="宋体"/>
                <w:bCs/>
                <w:color w:val="auto"/>
                <w:sz w:val="24"/>
                <w:szCs w:val="24"/>
                <w:highlight w:val="none"/>
              </w:rPr>
              <w:t xml:space="preserve">供应商如是</w:t>
            </w:r>
            <w:r>
              <w:rPr>
                <w:rFonts w:hint="eastAsia" w:ascii="宋体" w:hAnsi="宋体"/>
                <w:color w:val="auto"/>
                <w:sz w:val="24"/>
                <w:szCs w:val="24"/>
                <w:highlight w:val="none"/>
              </w:rPr>
              <w:t xml:space="preserve">允许以分支机构身份参加投标的，请自行将“法定代表人”更改为“负责人”，分支机构投标时涉及采购文件“法定代表人”要求的部分，其具体要求视同本条规定）</w:t>
            </w:r>
            <w:r>
              <w:rPr>
                <w:rFonts w:hint="eastAsia" w:ascii="宋体" w:hAnsi="宋体"/>
                <w:color w:val="auto"/>
                <w:sz w:val="24"/>
                <w:highlight w:val="none"/>
              </w:rPr>
              <w:t xml:space="preserve">；</w:t>
            </w:r>
            <w:r/>
          </w:p>
          <w:p>
            <w:pPr>
              <w:ind w:firstLine="480"/>
              <w:spacing w:after="0" w:line="360" w:lineRule="auto"/>
              <w:widowControl w:val="off"/>
              <w:tabs>
                <w:tab w:val="left" w:pos="426" w:leader="none"/>
                <w:tab w:val="left" w:pos="945" w:leader="none"/>
                <w:tab w:val="left" w:pos="1365" w:leader="none"/>
              </w:tabs>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w:t>
            </w:r>
            <w:r>
              <w:rPr>
                <w:rFonts w:hint="eastAsia" w:ascii="宋体" w:hAnsi="宋体"/>
                <w:bCs/>
                <w:color w:val="auto"/>
                <w:sz w:val="24"/>
                <w:szCs w:val="24"/>
                <w:highlight w:val="none"/>
              </w:rPr>
              <w:t xml:space="preserve">投标供应商法定代表人身份证及投标供应商法定代表人授权代表身份证（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p>
          <w:p>
            <w:pPr>
              <w:numPr>
                <w:ilvl w:val="1"/>
                <w:numId w:val="0"/>
              </w:numPr>
              <w:ind w:firstLine="480"/>
              <w:spacing w:after="0" w:line="360" w:lineRule="auto"/>
              <w:widowControl w:val="off"/>
              <w:tabs>
                <w:tab w:val="left" w:pos="945" w:leader="none"/>
                <w:tab w:val="left" w:pos="1276"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被</w:t>
            </w:r>
            <w:r>
              <w:rPr>
                <w:rFonts w:hint="eastAsia" w:ascii="宋体" w:hAnsi="宋体"/>
                <w:bCs/>
                <w:color w:val="auto"/>
                <w:sz w:val="24"/>
                <w:highlight w:val="none"/>
                <w:lang w:val="zh-CN"/>
              </w:rPr>
              <w:t xml:space="preserve">授权委托人</w:t>
            </w:r>
            <w:r>
              <w:rPr>
                <w:rFonts w:hint="eastAsia" w:ascii="宋体" w:hAnsi="宋体"/>
                <w:bCs/>
                <w:color w:val="auto"/>
                <w:sz w:val="24"/>
                <w:highlight w:val="none"/>
                <w:lang w:eastAsia="zh-CN"/>
              </w:rPr>
              <w:t xml:space="preserve">、</w:t>
            </w:r>
            <w:r>
              <w:rPr>
                <w:rFonts w:hint="eastAsia" w:ascii="宋体" w:hAnsi="宋体"/>
                <w:color w:val="auto"/>
                <w:sz w:val="24"/>
                <w:highlight w:val="none"/>
              </w:rPr>
              <w:t xml:space="preserve">专职安全员</w:t>
            </w:r>
            <w:r>
              <w:rPr>
                <w:rFonts w:hint="eastAsia" w:ascii="宋体" w:hAnsi="宋体"/>
                <w:bCs/>
                <w:color w:val="auto"/>
                <w:sz w:val="24"/>
                <w:highlight w:val="none"/>
                <w:lang w:val="zh-CN"/>
              </w:rPr>
              <w:t xml:space="preserve">应具备与本企业签订的劳动合同和由社保机构出具的近</w:t>
            </w:r>
            <w:r>
              <w:rPr>
                <w:rFonts w:hint="eastAsia" w:ascii="宋体" w:hAnsi="宋体"/>
                <w:bCs/>
                <w:color w:val="auto"/>
                <w:sz w:val="24"/>
                <w:highlight w:val="none"/>
              </w:rPr>
              <w:t xml:space="preserve">三个月内任意一个月</w:t>
            </w:r>
            <w:r>
              <w:rPr>
                <w:rFonts w:hint="eastAsia" w:ascii="宋体" w:hAnsi="宋体"/>
                <w:bCs/>
                <w:color w:val="auto"/>
                <w:sz w:val="24"/>
                <w:highlight w:val="none"/>
                <w:lang w:val="zh-CN"/>
              </w:rPr>
              <w:t xml:space="preserve">（不含投标当月）的社保缴费证明</w:t>
            </w:r>
            <w:r>
              <w:rPr>
                <w:rFonts w:hint="eastAsia" w:ascii="宋体" w:hAnsi="宋体"/>
                <w:b/>
                <w:color w:val="auto"/>
                <w:sz w:val="24"/>
                <w:highlight w:val="none"/>
                <w:lang w:val="zh-CN"/>
              </w:rPr>
              <w:t xml:space="preserve">（提供</w:t>
            </w:r>
            <w:r>
              <w:rPr>
                <w:rFonts w:hint="eastAsia" w:ascii="宋体" w:hAnsi="宋体"/>
                <w:b/>
                <w:color w:val="auto"/>
                <w:sz w:val="24"/>
                <w:highlight w:val="none"/>
              </w:rPr>
              <w:t xml:space="preserve">劳动合同和人员社保复印件或者</w:t>
            </w:r>
            <w:r>
              <w:rPr>
                <w:rFonts w:hint="eastAsia" w:ascii="宋体" w:hAnsi="宋体"/>
                <w:b/>
                <w:color w:val="auto"/>
                <w:sz w:val="24"/>
                <w:highlight w:val="none"/>
                <w:lang w:val="zh-CN"/>
              </w:rPr>
              <w:t xml:space="preserve">扫描件加盖供应商公章上传至</w:t>
            </w:r>
            <w:r>
              <w:rPr>
                <w:rFonts w:hint="eastAsia" w:ascii="宋体" w:hAnsi="宋体"/>
                <w:b/>
                <w:color w:val="auto"/>
                <w:sz w:val="24"/>
                <w:highlight w:val="none"/>
              </w:rPr>
              <w:t xml:space="preserve">电子</w:t>
            </w:r>
            <w:r>
              <w:rPr>
                <w:rFonts w:hint="eastAsia" w:ascii="宋体" w:hAnsi="宋体"/>
                <w:b/>
                <w:color w:val="auto"/>
                <w:sz w:val="24"/>
                <w:highlight w:val="none"/>
                <w:lang w:val="zh-CN"/>
              </w:rPr>
              <w:t xml:space="preserve">投标文件）</w:t>
            </w:r>
            <w:r>
              <w:rPr>
                <w:rFonts w:hint="eastAsia" w:ascii="宋体" w:hAnsi="宋体"/>
                <w:bCs/>
                <w:color w:val="auto"/>
                <w:sz w:val="24"/>
                <w:highlight w:val="none"/>
                <w:lang w:val="zh-CN"/>
              </w:rPr>
              <w:t xml:space="preserve">；</w:t>
            </w:r>
            <w:r/>
          </w:p>
          <w:p>
            <w:pPr>
              <w:numPr>
                <w:ilvl w:val="1"/>
                <w:numId w:val="0"/>
              </w:numPr>
              <w:ind w:firstLine="480"/>
              <w:spacing w:after="0" w:line="360" w:lineRule="auto"/>
              <w:widowControl w:val="off"/>
              <w:tabs>
                <w:tab w:val="left" w:pos="945" w:leader="none"/>
                <w:tab w:val="left" w:pos="1276" w:leader="none"/>
              </w:tabs>
              <w:rPr>
                <w:rFonts w:ascii="宋体" w:hAnsi="宋体"/>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0"/>
              </w:numPr>
              <w:ind w:firstLine="480"/>
              <w:spacing w:after="0" w:line="360" w:lineRule="auto"/>
              <w:widowControl w:val="off"/>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）投标</w:t>
            </w:r>
            <w:r>
              <w:rPr>
                <w:rFonts w:hint="eastAsia" w:ascii="宋体" w:hAnsi="宋体"/>
                <w:b w:val="0"/>
                <w:bCs/>
                <w:color w:val="auto"/>
                <w:sz w:val="24"/>
                <w:szCs w:val="24"/>
                <w:highlight w:val="none"/>
              </w:rPr>
              <w:t xml:space="preserve">供应商</w:t>
            </w:r>
            <w:r>
              <w:rPr>
                <w:rFonts w:hint="eastAsia" w:ascii="宋体" w:hAnsi="宋体"/>
                <w:b w:val="0"/>
                <w:bCs/>
                <w:color w:val="auto"/>
                <w:sz w:val="24"/>
                <w:highlight w:val="none"/>
                <w:lang w:val="zh-CN"/>
              </w:rPr>
              <w:t xml:space="preserve">近</w:t>
            </w:r>
            <w:r>
              <w:rPr>
                <w:rFonts w:hint="eastAsia" w:ascii="宋体" w:hAnsi="宋体"/>
                <w:b w:val="0"/>
                <w:bCs/>
                <w:color w:val="auto"/>
                <w:sz w:val="24"/>
                <w:highlight w:val="none"/>
              </w:rPr>
              <w:t xml:space="preserve">三个月</w:t>
            </w:r>
            <w:r>
              <w:rPr>
                <w:rFonts w:hint="eastAsia" w:ascii="宋体" w:hAnsi="宋体"/>
                <w:b w:val="0"/>
                <w:bCs/>
                <w:color w:val="auto"/>
                <w:sz w:val="24"/>
                <w:highlight w:val="none"/>
                <w:lang w:val="zh-CN"/>
              </w:rPr>
              <w:t xml:space="preserve">内任意</w:t>
            </w:r>
            <w:r>
              <w:rPr>
                <w:rFonts w:hint="eastAsia" w:ascii="宋体" w:hAnsi="宋体"/>
                <w:bCs/>
                <w:color w:val="auto"/>
                <w:sz w:val="24"/>
                <w:highlight w:val="none"/>
                <w:lang w:val="zh-CN"/>
              </w:rPr>
              <w:t xml:space="preserve">一个月</w:t>
            </w:r>
            <w:r>
              <w:rPr>
                <w:rFonts w:hint="eastAsia" w:ascii="宋体" w:hAnsi="宋体"/>
                <w:bCs/>
                <w:color w:val="auto"/>
                <w:sz w:val="24"/>
                <w:szCs w:val="24"/>
                <w:highlight w:val="none"/>
              </w:rPr>
              <w:t xml:space="preserve">（不含投标当月）的财务状况报告（资产负债表和利润表）或由会计师事务所出具的2024年度或2025年度的审计报告和所附已审财务报告（新成立企业只需提供从成立之年份起经审计的财务报告）；</w:t>
            </w:r>
            <w:r/>
          </w:p>
          <w:p>
            <w:pPr>
              <w:numPr>
                <w:ilvl w:val="1"/>
                <w:numId w:val="0"/>
              </w:numPr>
              <w:ind w:firstLine="480"/>
              <w:spacing w:after="0" w:line="360" w:lineRule="auto"/>
              <w:widowControl w:val="off"/>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）投标供应商近三个月内任意一个月（不含投标当月）的依法缴纳税收的相关材料（提供相关主管部门证明或银行代扣证明）；</w:t>
            </w:r>
            <w:r/>
          </w:p>
          <w:p>
            <w:pPr>
              <w:numPr>
                <w:ilvl w:val="1"/>
                <w:numId w:val="0"/>
              </w:numPr>
              <w:ind w:firstLine="480"/>
              <w:spacing w:after="0" w:line="360" w:lineRule="auto"/>
              <w:widowControl w:val="off"/>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）投标供应商近三个月内任意一个月（不含投标当月）的依法缴纳社会保障资金的相关材料（提供相关主管部门证明或银行代扣证明）；</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）承诺书（</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2.落实政府采购政策需满足的资格要求：无。</w:t>
            </w:r>
            <w:r/>
          </w:p>
          <w:p>
            <w:pPr>
              <w:numPr>
                <w:ilvl w:val="1"/>
                <w:numId w:val="0"/>
              </w:numPr>
              <w:spacing w:after="0" w:line="360" w:lineRule="auto"/>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3.本项目的特定资格要求：</w:t>
            </w:r>
            <w:bookmarkEnd w:id="0"/>
            <w:r/>
            <w:r/>
          </w:p>
          <w:p>
            <w:pPr>
              <w:numPr>
                <w:ilvl w:val="1"/>
                <w:numId w:val="0"/>
              </w:numPr>
              <w:spacing w:after="0" w:line="360" w:lineRule="auto"/>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（1）未被“信用中国”网站（www.creditchina.gov.cn）、中国政府采购网（www.ccgp.gov.cn）列入失信被执行人、重大税收违法失信主体、政府采购严重违法失信行为记录名单；</w:t>
            </w:r>
            <w:r/>
          </w:p>
          <w:p>
            <w:pPr>
              <w:pStyle w:val="1092"/>
              <w:ind w:firstLine="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（2）本次采购不接受联合体投标。</w:t>
            </w:r>
            <w:r/>
          </w:p>
          <w:p>
            <w:pPr>
              <w:pStyle w:val="1129"/>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注：1</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1129"/>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2.采购人有权对以上资格条件进行核查，如供应商有弄虚作假行为或不具备以上条件的将取消其投标资格。</w:t>
            </w:r>
            <w:r/>
          </w:p>
          <w:p>
            <w:pPr>
              <w:pStyle w:val="1129"/>
              <w:spacing w:after="0" w:line="360" w:lineRule="auto"/>
              <w:widowControl w:val="off"/>
              <w:rPr>
                <w:rFonts w:ascii="宋体" w:hAnsi="宋体"/>
                <w:bCs/>
                <w:color w:val="auto"/>
                <w:sz w:val="24"/>
                <w:szCs w:val="24"/>
                <w:highlight w:val="none"/>
              </w:rPr>
            </w:pPr>
            <w:r>
              <w:rPr>
                <w:rFonts w:hint="eastAsia" w:ascii="宋体" w:hAnsi="宋体"/>
                <w:bCs/>
                <w:color w:val="auto"/>
                <w:sz w:val="24"/>
                <w:szCs w:val="28"/>
                <w:highlight w:val="none"/>
              </w:rPr>
              <w:t xml:space="preserve">3.请各投标单位按照上述要求提前做好投标准备，未按上述要求而影响投标的，责任由投标单位自行承</w:t>
            </w:r>
            <w:r>
              <w:rPr>
                <w:rFonts w:hint="eastAsia"/>
                <w:bCs/>
                <w:color w:val="auto"/>
                <w:sz w:val="24"/>
                <w:szCs w:val="28"/>
                <w:highlight w:val="none"/>
              </w:rPr>
              <w:t xml:space="preserve">担。</w:t>
            </w:r>
            <w:r/>
          </w:p>
        </w:tc>
      </w:tr>
      <w:tr>
        <w:trPr>
          <w:jc w:val="center"/>
          <w:trHeight w:val="729"/>
        </w:trPr>
        <w:tc>
          <w:tcPr>
            <w:tcW w:w="584" w:type="dxa"/>
            <w:vAlign w:val="center"/>
            <w:textDirection w:val="lrTb"/>
            <w:noWrap w:val="false"/>
          </w:tcPr>
          <w:p>
            <w:pPr>
              <w:jc w:val="center"/>
              <w:spacing w:after="0"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391" w:type="dxa"/>
            <w:textDirection w:val="lrTb"/>
            <w:noWrap w:val="false"/>
          </w:tcPr>
          <w:p>
            <w:pPr>
              <w:spacing w:after="0"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招标文件获取信息：</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（1）招标文件获取时间：自本公告发布之日起五个工作日内。五个工作日后仍可下载招标文件，但不作为供应商权益受到损害的证明材料和依据。</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（2）获取招标文件地点：“江苏省政府采购（苏采云）平台”（</w:t>
            </w:r>
            <w:r>
              <w:rPr>
                <w:rFonts w:hint="eastAsia" w:ascii="宋体" w:hAnsi="宋体"/>
                <w:color w:val="auto"/>
                <w:sz w:val="24"/>
                <w:szCs w:val="24"/>
                <w:highlight w:val="none"/>
                <w:lang w:eastAsia="zh-CN"/>
              </w:rPr>
              <w:t xml:space="preserve">https://jszfcg.jsczt.cn/jszc/login</w:t>
            </w:r>
            <w:r>
              <w:rPr>
                <w:rFonts w:hint="eastAsia" w:ascii="宋体" w:hAnsi="宋体"/>
                <w:color w:val="auto"/>
                <w:sz w:val="24"/>
                <w:szCs w:val="24"/>
                <w:highlight w:val="none"/>
              </w:rPr>
              <w:t xml:space="preserve">）</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3）获取招标文件的方式：本请有投标意向的供应商在采购文件有效获取期内及时至“江苏省政府采购（苏采云）平台”获取。在采购文件有效获取期限内，从“江苏省政府采购（苏采云）平台”获取的采购文件，视为依法获取的采购文件。</w:t>
            </w:r>
            <w:r/>
          </w:p>
          <w:p>
            <w:pPr>
              <w:pStyle w:val="1034"/>
              <w:spacing w:after="0" w:line="360" w:lineRule="auto"/>
              <w:rPr>
                <w:color w:val="auto"/>
                <w:sz w:val="24"/>
                <w:szCs w:val="24"/>
                <w:highlight w:val="none"/>
              </w:rPr>
            </w:pPr>
            <w:r>
              <w:rPr>
                <w:rFonts w:hint="eastAsia" w:ascii="宋体" w:hAnsi="宋体" w:eastAsia="宋体"/>
                <w:color w:val="auto"/>
                <w:sz w:val="24"/>
                <w:szCs w:val="24"/>
                <w:highlight w:val="none"/>
              </w:rPr>
              <w:t xml:space="preserve">按采购文件要求提交全部资料并对采购文件各项内容做出实质性响应，否则其投标文件无效。供应商应承担其编制投标文件以及递交投标文件所涉及的一切费用。无论投标结果如何，采购人对上述费用不负任何责任。</w:t>
            </w:r>
            <w:r/>
          </w:p>
        </w:tc>
      </w:tr>
      <w:tr>
        <w:trPr>
          <w:jc w:val="center"/>
          <w:trHeight w:val="70"/>
        </w:trPr>
        <w:tc>
          <w:tcPr>
            <w:tcW w:w="584" w:type="dxa"/>
            <w:vAlign w:val="center"/>
            <w:textDirection w:val="lrTb"/>
            <w:noWrap w:val="false"/>
          </w:tcPr>
          <w:p>
            <w:pPr>
              <w:jc w:val="center"/>
              <w:spacing w:after="0"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391"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供应商要求澄清招标文件的截止时间：2026年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rPr>
              <w:t xml:space="preserve"> 日10:00时，以书面形式和</w:t>
            </w:r>
            <w:bookmarkStart w:id="1" w:name="_Hlk169676457"/>
            <w:r>
              <w:rPr>
                <w:rFonts w:hint="eastAsia" w:ascii="宋体" w:hAnsi="宋体"/>
                <w:color w:val="auto"/>
                <w:sz w:val="24"/>
                <w:szCs w:val="24"/>
                <w:highlight w:val="none"/>
              </w:rPr>
              <w:t xml:space="preserve">电子邮件形式</w:t>
            </w:r>
            <w:bookmarkEnd w:id="1"/>
            <w:r>
              <w:rPr>
                <w:rFonts w:hint="eastAsia" w:ascii="宋体" w:hAnsi="宋体"/>
                <w:color w:val="auto"/>
                <w:sz w:val="24"/>
                <w:szCs w:val="24"/>
                <w:highlight w:val="none"/>
              </w:rPr>
              <w:t xml:space="preserve">发送给采购代理机构。</w:t>
            </w:r>
            <w:r/>
          </w:p>
          <w:p>
            <w:pPr>
              <w:ind w:left="-59"/>
              <w:spacing w:after="0" w:line="360" w:lineRule="auto"/>
              <w:rPr>
                <w:rFonts w:ascii="宋体" w:hAnsi="宋体"/>
                <w:bCs/>
                <w:color w:val="auto"/>
                <w:sz w:val="24"/>
                <w:szCs w:val="24"/>
                <w:highlight w:val="none"/>
              </w:rPr>
            </w:pPr>
            <w:r>
              <w:rPr>
                <w:rFonts w:hint="eastAsia" w:ascii="宋体" w:hAnsi="宋体"/>
                <w:color w:val="auto"/>
                <w:sz w:val="24"/>
                <w:szCs w:val="24"/>
                <w:highlight w:val="none"/>
              </w:rPr>
              <w:t xml:space="preserve">采购人对招标文件澄清、修改的时间：提交投标文件截止时间前15天，以发布更正公告为准。</w:t>
            </w:r>
            <w:r/>
          </w:p>
        </w:tc>
      </w:tr>
      <w:tr>
        <w:trPr>
          <w:jc w:val="center"/>
          <w:trHeight w:val="70"/>
        </w:trPr>
        <w:tc>
          <w:tcPr>
            <w:tcW w:w="584" w:type="dxa"/>
            <w:vAlign w:val="center"/>
            <w:textDirection w:val="lrTb"/>
            <w:noWrap w:val="false"/>
          </w:tcPr>
          <w:p>
            <w:pPr>
              <w:jc w:val="center"/>
              <w:spacing w:after="0"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9391" w:type="dxa"/>
            <w:textDirection w:val="lrTb"/>
            <w:noWrap w:val="false"/>
          </w:tcPr>
          <w:p>
            <w:pPr>
              <w:spacing w:after="0"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本项目无需缴纳投标保证金。</w:t>
            </w:r>
            <w:r/>
          </w:p>
        </w:tc>
      </w:tr>
      <w:tr>
        <w:trPr>
          <w:jc w:val="center"/>
          <w:trHeight w:val="447"/>
        </w:trPr>
        <w:tc>
          <w:tcPr>
            <w:tcW w:w="584" w:type="dxa"/>
            <w:vAlign w:val="center"/>
            <w:textDirection w:val="lrTb"/>
            <w:noWrap w:val="false"/>
          </w:tcPr>
          <w:p>
            <w:pPr>
              <w:jc w:val="center"/>
              <w:spacing w:after="0"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8</w:t>
            </w:r>
            <w:r/>
          </w:p>
        </w:tc>
        <w:tc>
          <w:tcPr>
            <w:tcW w:w="9391" w:type="dxa"/>
            <w:textDirection w:val="lrTb"/>
            <w:noWrap w:val="false"/>
          </w:tcPr>
          <w:p>
            <w:pPr>
              <w:spacing w:after="0" w:line="360" w:lineRule="auto"/>
              <w:rPr>
                <w:rFonts w:ascii="宋体" w:hAnsi="宋体"/>
                <w:bCs/>
                <w:color w:val="auto"/>
                <w:sz w:val="24"/>
                <w:szCs w:val="24"/>
                <w:highlight w:val="none"/>
              </w:rPr>
            </w:pPr>
            <w:r>
              <w:rPr>
                <w:rFonts w:hint="eastAsia" w:ascii="宋体" w:hAnsi="宋体"/>
                <w:color w:val="auto"/>
                <w:sz w:val="24"/>
                <w:szCs w:val="24"/>
                <w:highlight w:val="none"/>
              </w:rPr>
              <w:t xml:space="preserve">投标有效期：投标截止之日起90天</w:t>
            </w:r>
            <w:r/>
          </w:p>
        </w:tc>
      </w:tr>
      <w:tr>
        <w:trPr>
          <w:jc w:val="center"/>
          <w:trHeight w:val="679"/>
        </w:trPr>
        <w:tc>
          <w:tcPr>
            <w:tcW w:w="584" w:type="dxa"/>
            <w:vAlign w:val="center"/>
            <w:textDirection w:val="lrTb"/>
            <w:noWrap w:val="false"/>
          </w:tcPr>
          <w:p>
            <w:pPr>
              <w:jc w:val="center"/>
              <w:spacing w:after="0"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9</w:t>
            </w:r>
            <w:r/>
          </w:p>
        </w:tc>
        <w:tc>
          <w:tcPr>
            <w:tcW w:w="9391" w:type="dxa"/>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1.网上投标截止时间：2026年</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月 </w:t>
            </w:r>
            <w:r>
              <w:rPr>
                <w:rFonts w:hint="eastAsia" w:ascii="宋体" w:hAnsi="宋体"/>
                <w:color w:val="auto"/>
                <w:sz w:val="24"/>
                <w:szCs w:val="24"/>
                <w:highlight w:val="none"/>
                <w:lang w:val="en-US" w:eastAsia="zh-CN"/>
              </w:rPr>
              <w:t xml:space="preserve">02</w:t>
            </w:r>
            <w:r>
              <w:rPr>
                <w:rFonts w:hint="eastAsia" w:ascii="宋体" w:hAnsi="宋体"/>
                <w:color w:val="auto"/>
                <w:sz w:val="24"/>
                <w:szCs w:val="24"/>
                <w:highlight w:val="none"/>
              </w:rPr>
              <w:t xml:space="preserve"> 日09:30，投标截止时间后的投标文件恕不接受。</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2.投标文件提交方式和地点：投标供应商通过江苏省政府采购（苏采云）平台提交数据电文形式的投标文件。</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3.投标文件网上开启时间：2026年</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月 </w:t>
            </w:r>
            <w:r>
              <w:rPr>
                <w:rFonts w:hint="eastAsia" w:ascii="宋体" w:hAnsi="宋体"/>
                <w:color w:val="auto"/>
                <w:sz w:val="24"/>
                <w:szCs w:val="24"/>
                <w:highlight w:val="none"/>
                <w:lang w:val="en-US" w:eastAsia="zh-CN"/>
              </w:rPr>
              <w:t xml:space="preserve">02</w:t>
            </w:r>
            <w:r>
              <w:rPr>
                <w:rFonts w:hint="eastAsia" w:ascii="宋体" w:hAnsi="宋体"/>
                <w:color w:val="auto"/>
                <w:sz w:val="24"/>
                <w:szCs w:val="24"/>
                <w:highlight w:val="none"/>
              </w:rPr>
              <w:t xml:space="preserve"> 日09:30，网上解密时限：开启解密后30分钟内。</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4.投标文件的开启方式和地点：投标供应商通过江苏省政府采购（苏采云）平台进入“开标大厅”开启（解密）投标文件。</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特别提醒：</w:t>
            </w:r>
            <w:r/>
          </w:p>
          <w:p>
            <w:pPr>
              <w:spacing w:after="0" w:line="360" w:lineRule="auto"/>
              <w:tabs>
                <w:tab w:val="left" w:pos="0" w:leader="none"/>
              </w:tabs>
              <w:rPr>
                <w:rFonts w:ascii="宋体" w:hAnsi="宋体"/>
                <w:color w:val="auto"/>
                <w:sz w:val="24"/>
                <w:szCs w:val="24"/>
                <w:highlight w:val="none"/>
              </w:rPr>
            </w:pPr>
            <w:r>
              <w:rPr>
                <w:rFonts w:hint="eastAsia" w:ascii="宋体" w:hAnsi="宋体"/>
                <w:color w:val="auto"/>
                <w:sz w:val="24"/>
                <w:szCs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具体操作流程详见《“苏采云”系统供应商操作手册》。</w:t>
            </w:r>
            <w:r/>
          </w:p>
        </w:tc>
      </w:tr>
      <w:tr>
        <w:trPr>
          <w:jc w:val="center"/>
          <w:trHeight w:val="413"/>
        </w:trPr>
        <w:tc>
          <w:tcPr>
            <w:tcW w:w="584" w:type="dxa"/>
            <w:vAlign w:val="center"/>
            <w:textDirection w:val="lrTb"/>
            <w:noWrap w:val="false"/>
          </w:tcPr>
          <w:p>
            <w:pPr>
              <w:ind w:firstLine="120"/>
              <w:spacing w:after="0" w:line="46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10</w:t>
            </w:r>
            <w:r/>
          </w:p>
        </w:tc>
        <w:tc>
          <w:tcPr>
            <w:tcW w:w="9391" w:type="dxa"/>
            <w:vAlign w:val="center"/>
            <w:textDirection w:val="lrTb"/>
            <w:noWrap w:val="false"/>
          </w:tcPr>
          <w:p>
            <w:pPr>
              <w:pStyle w:val="1071"/>
              <w:spacing w:before="0" w:beforeAutospacing="0" w:after="0" w:afterAutospacing="0" w:line="360" w:lineRule="auto"/>
              <w:rPr>
                <w:color w:val="auto"/>
                <w:highlight w:val="none"/>
              </w:rPr>
            </w:pPr>
            <w:r>
              <w:rPr>
                <w:rFonts w:hint="eastAsia"/>
                <w:color w:val="auto"/>
                <w:highlight w:val="none"/>
              </w:rPr>
              <w:t xml:space="preserve">评审时间：2026年</w:t>
            </w:r>
            <w:r>
              <w:rPr>
                <w:rFonts w:hint="eastAsia"/>
                <w:color w:val="auto"/>
                <w:highlight w:val="none"/>
                <w:lang w:val="en-US" w:eastAsia="zh-CN"/>
              </w:rPr>
              <w:t xml:space="preserve">11</w:t>
            </w:r>
            <w:r>
              <w:rPr>
                <w:rFonts w:hint="eastAsia"/>
                <w:color w:val="auto"/>
                <w:highlight w:val="none"/>
              </w:rPr>
              <w:t xml:space="preserve">月 </w:t>
            </w:r>
            <w:r>
              <w:rPr>
                <w:rFonts w:hint="eastAsia"/>
                <w:color w:val="auto"/>
                <w:highlight w:val="none"/>
                <w:lang w:val="en-US" w:eastAsia="zh-CN"/>
              </w:rPr>
              <w:t xml:space="preserve">02</w:t>
            </w:r>
            <w:r>
              <w:rPr>
                <w:rFonts w:hint="eastAsia"/>
                <w:color w:val="auto"/>
                <w:highlight w:val="none"/>
              </w:rPr>
              <w:t xml:space="preserve"> 日开标结束后</w:t>
            </w:r>
            <w:r/>
          </w:p>
          <w:p>
            <w:pPr>
              <w:pStyle w:val="1071"/>
              <w:spacing w:before="0" w:beforeAutospacing="0" w:after="0" w:afterAutospacing="0" w:line="360" w:lineRule="auto"/>
              <w:rPr>
                <w:color w:val="auto"/>
                <w:highlight w:val="none"/>
              </w:rPr>
            </w:pPr>
            <w:r>
              <w:rPr>
                <w:rFonts w:hint="eastAsia"/>
                <w:color w:val="auto"/>
                <w:highlight w:val="none"/>
              </w:rPr>
              <w:t xml:space="preserve">评标地点：无锡市滨湖区蓝庭公寓1号楼2402室</w:t>
            </w:r>
            <w:r/>
          </w:p>
        </w:tc>
      </w:tr>
      <w:tr>
        <w:trPr>
          <w:jc w:val="center"/>
          <w:trHeight w:val="693"/>
        </w:trPr>
        <w:tc>
          <w:tcPr>
            <w:tcW w:w="584" w:type="dxa"/>
            <w:vAlign w:val="center"/>
            <w:textDirection w:val="lrTb"/>
            <w:noWrap w:val="false"/>
          </w:tcPr>
          <w:p>
            <w:pPr>
              <w:jc w:val="center"/>
              <w:spacing w:after="0"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11</w:t>
            </w:r>
            <w:r/>
          </w:p>
        </w:tc>
        <w:tc>
          <w:tcPr>
            <w:tcW w:w="9391" w:type="dxa"/>
            <w:textDirection w:val="lrTb"/>
            <w:noWrap w:val="false"/>
          </w:tcPr>
          <w:p>
            <w:pPr>
              <w:pStyle w:val="1071"/>
              <w:spacing w:before="0" w:beforeAutospacing="0" w:after="0" w:afterAutospacing="0" w:line="360" w:lineRule="auto"/>
              <w:rPr>
                <w:color w:val="auto"/>
                <w:highlight w:val="none"/>
              </w:rPr>
            </w:pPr>
            <w:r>
              <w:rPr>
                <w:rFonts w:hint="eastAsia"/>
                <w:color w:val="auto"/>
                <w:highlight w:val="none"/>
              </w:rPr>
              <w:t xml:space="preserve">确定中标单位时间：评审结束后</w:t>
            </w:r>
            <w:r/>
          </w:p>
          <w:p>
            <w:pPr>
              <w:pStyle w:val="1071"/>
              <w:spacing w:before="0" w:beforeAutospacing="0" w:after="0" w:afterAutospacing="0" w:line="360" w:lineRule="auto"/>
              <w:tabs>
                <w:tab w:val="left" w:pos="360" w:leader="none"/>
                <w:tab w:val="left" w:pos="426" w:leader="none"/>
              </w:tabs>
              <w:rPr>
                <w:color w:val="auto"/>
                <w:highlight w:val="none"/>
              </w:rPr>
            </w:pPr>
            <w:r>
              <w:rPr>
                <w:rFonts w:hint="eastAsia"/>
                <w:color w:val="auto"/>
                <w:highlight w:val="none"/>
              </w:rPr>
              <w:t xml:space="preserve">确定中标单位地点：无锡市滨湖区蓝庭公寓1号楼2402室</w:t>
            </w:r>
            <w:r/>
          </w:p>
        </w:tc>
      </w:tr>
      <w:tr>
        <w:trPr>
          <w:jc w:val="center"/>
          <w:trHeight w:val="635"/>
        </w:trPr>
        <w:tc>
          <w:tcPr>
            <w:tcW w:w="584" w:type="dxa"/>
            <w:vAlign w:val="center"/>
            <w:textDirection w:val="lrTb"/>
            <w:noWrap w:val="false"/>
          </w:tcPr>
          <w:p>
            <w:pPr>
              <w:jc w:val="center"/>
              <w:spacing w:after="0" w:line="300" w:lineRule="exact"/>
              <w:rPr>
                <w:rFonts w:ascii="宋体" w:hAnsi="宋体"/>
                <w:bCs/>
                <w:color w:val="auto"/>
                <w:sz w:val="24"/>
                <w:szCs w:val="24"/>
                <w:highlight w:val="none"/>
              </w:rPr>
            </w:pPr>
            <w:r>
              <w:rPr>
                <w:rFonts w:hint="eastAsia" w:ascii="宋体" w:hAnsi="宋体"/>
                <w:bCs/>
                <w:color w:val="auto"/>
                <w:sz w:val="24"/>
                <w:szCs w:val="24"/>
                <w:highlight w:val="none"/>
              </w:rPr>
              <w:t xml:space="preserve">12</w:t>
            </w:r>
            <w:r/>
          </w:p>
        </w:tc>
        <w:tc>
          <w:tcPr>
            <w:tcW w:w="9391" w:type="dxa"/>
            <w:vAlign w:val="center"/>
            <w:textDirection w:val="lrTb"/>
            <w:noWrap w:val="false"/>
          </w:tcPr>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本次采购采用江苏省政府采购（苏采云）平台进行招标投标活动，招标、投标、评标和中标结果发布全程电子化。</w:t>
            </w:r>
            <w:r/>
          </w:p>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本项目为线上不见面采购，投标供应商无需到开标现场及递交纸质文件。中标供应商在收到中标通知书后与采购人签订合同前，必须提供与系统中电子投标文件一致的纸质投标文件正本一份，副本二份。</w:t>
            </w:r>
            <w:r/>
          </w:p>
        </w:tc>
      </w:tr>
      <w:tr>
        <w:trPr>
          <w:jc w:val="center"/>
          <w:trHeight w:val="633"/>
        </w:trPr>
        <w:tc>
          <w:tcPr>
            <w:tcW w:w="584" w:type="dxa"/>
            <w:vAlign w:val="center"/>
            <w:textDirection w:val="lrTb"/>
            <w:noWrap w:val="false"/>
          </w:tcPr>
          <w:p>
            <w:pPr>
              <w:jc w:val="center"/>
              <w:spacing w:after="0" w:line="380" w:lineRule="exact"/>
              <w:rPr>
                <w:rFonts w:ascii="宋体" w:hAnsi="宋体"/>
                <w:bCs/>
                <w:color w:val="auto"/>
                <w:sz w:val="24"/>
                <w:szCs w:val="24"/>
                <w:highlight w:val="none"/>
              </w:rPr>
            </w:pPr>
            <w:r>
              <w:rPr>
                <w:rFonts w:hint="eastAsia" w:ascii="宋体" w:hAnsi="宋体"/>
                <w:bCs/>
                <w:color w:val="auto"/>
                <w:sz w:val="24"/>
                <w:szCs w:val="24"/>
                <w:highlight w:val="none"/>
              </w:rPr>
              <w:t xml:space="preserve">13</w:t>
            </w:r>
            <w:r/>
          </w:p>
        </w:tc>
        <w:tc>
          <w:tcPr>
            <w:tcW w:w="9391" w:type="dxa"/>
            <w:vAlign w:val="center"/>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采购单位名称：无锡市水利工程管理中心</w:t>
            </w:r>
            <w:r/>
          </w:p>
          <w:p>
            <w:pPr>
              <w:spacing w:after="0"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联系地址：</w:t>
            </w:r>
            <w:r>
              <w:rPr>
                <w:rFonts w:hint="eastAsia" w:ascii="宋体" w:hAnsi="宋体"/>
                <w:color w:val="auto"/>
                <w:sz w:val="24"/>
                <w:szCs w:val="24"/>
                <w:highlight w:val="none"/>
                <w:lang w:eastAsia="zh-CN"/>
              </w:rPr>
              <w:t xml:space="preserve">无锡市建筑西路599-2（第六层）</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采购单位联系人：周令杰</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联系电话：0510-80109316 </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代理机构名称：江苏仁合中惠工程咨询有限公司</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联系人：缑慧芳</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联系电话：18015352446</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联系地址：无锡市滨湖区蓝庭公寓1号楼2402室</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邮政编码：214000</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电子邮件地址：644820794@qq.com</w:t>
            </w:r>
            <w:r/>
          </w:p>
        </w:tc>
      </w:tr>
      <w:tr>
        <w:trPr>
          <w:jc w:val="center"/>
          <w:trHeight w:val="633"/>
        </w:trPr>
        <w:tc>
          <w:tcPr>
            <w:tcW w:w="584" w:type="dxa"/>
            <w:vAlign w:val="center"/>
            <w:textDirection w:val="lrTb"/>
            <w:noWrap w:val="false"/>
          </w:tcPr>
          <w:p>
            <w:pPr>
              <w:jc w:val="center"/>
              <w:spacing w:after="0" w:line="380" w:lineRule="exact"/>
              <w:rPr>
                <w:rFonts w:ascii="宋体" w:hAnsi="宋体" w:eastAsia="等线"/>
                <w:bCs/>
                <w:color w:val="auto"/>
                <w:sz w:val="24"/>
                <w:szCs w:val="24"/>
                <w:highlight w:val="none"/>
              </w:rPr>
            </w:pPr>
            <w:r>
              <w:rPr>
                <w:rFonts w:hint="eastAsia" w:ascii="宋体" w:hAnsi="宋体" w:eastAsia="等线"/>
                <w:bCs/>
                <w:color w:val="auto"/>
                <w:sz w:val="24"/>
                <w:szCs w:val="24"/>
                <w:highlight w:val="none"/>
              </w:rPr>
              <w:t xml:space="preserve">14</w:t>
            </w:r>
            <w:r/>
          </w:p>
        </w:tc>
        <w:tc>
          <w:tcPr>
            <w:tcW w:w="9391" w:type="dxa"/>
            <w:vAlign w:val="center"/>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spacing w:after="0"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（4）潜在供应商访问“苏采云”系统的网络地址和方法：“苏采云”系统的网址：</w:t>
            </w:r>
            <w:r>
              <w:rPr>
                <w:rFonts w:hint="eastAsia" w:ascii="宋体" w:hAnsi="宋体"/>
                <w:color w:val="auto"/>
                <w:sz w:val="24"/>
                <w:szCs w:val="24"/>
                <w:highlight w:val="none"/>
                <w:lang w:eastAsia="zh-CN"/>
              </w:rPr>
              <w:t xml:space="preserve">https://jszfcg.jsczt.cn/jszc/login</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（6）招标代理机构（采购代理机构）将数据电文形式的采购文件加载至“苏采云”系统，供潜在供应商下载或者查阅。</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（7）苏采云系统使用谷歌浏览器参与不见面开标。</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2.如供应商未按上述要求操作，由此所产生的损失及风险供应商自行承担。</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3.有关本次招标的事项若存在变动或修改，敬请及时关注江苏政府采购网发布的信息更正公告。如潜在投标供应商未按上述要求操作，由此所产生的损失及风险由潜在投标供应商自行承担。</w:t>
            </w:r>
            <w:r/>
          </w:p>
        </w:tc>
      </w:tr>
      <w:tr>
        <w:trPr>
          <w:jc w:val="center"/>
          <w:trHeight w:val="633"/>
        </w:trPr>
        <w:tc>
          <w:tcPr>
            <w:tcW w:w="584" w:type="dxa"/>
            <w:vAlign w:val="center"/>
            <w:textDirection w:val="lrTb"/>
            <w:noWrap w:val="false"/>
          </w:tcPr>
          <w:p>
            <w:pPr>
              <w:jc w:val="center"/>
              <w:spacing w:after="0" w:line="380" w:lineRule="exact"/>
              <w:rPr>
                <w:rFonts w:ascii="宋体" w:hAnsi="宋体" w:eastAsia="等线"/>
                <w:bCs/>
                <w:color w:val="auto"/>
                <w:sz w:val="24"/>
                <w:szCs w:val="24"/>
                <w:highlight w:val="none"/>
              </w:rPr>
            </w:pPr>
            <w:r>
              <w:rPr>
                <w:rFonts w:hint="eastAsia" w:ascii="宋体" w:hAnsi="宋体" w:eastAsia="等线"/>
                <w:bCs/>
                <w:color w:val="auto"/>
                <w:sz w:val="24"/>
                <w:szCs w:val="24"/>
                <w:highlight w:val="none"/>
              </w:rPr>
              <w:t xml:space="preserve">15</w:t>
            </w:r>
            <w:r/>
          </w:p>
        </w:tc>
        <w:tc>
          <w:tcPr>
            <w:tcW w:w="9391" w:type="dxa"/>
            <w:vAlign w:val="center"/>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投标文件制作要求：</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1.本项目采用全流程不见面开标形式进行采购。供应商无需委派授权代表到场，无需递交纸质投标文件。</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2.中标供应商在收到中标通知书后与采购人签订合同前，必须提供与系统中电子投标文件一致的纸质投标文件一式三份。</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3.供应商请仔细阅读供应商注册流程和公开招标文件中关于电子开评标等相关事项，如有问题可发送邮件或移动电话咨询。</w:t>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4.本项目采用“苏采云”系统进行采购活动，采购文件发布、报价、评审和中标结果发布全程电子化。</w:t>
            </w:r>
            <w:r/>
          </w:p>
        </w:tc>
      </w:tr>
      <w:tr>
        <w:trPr>
          <w:jc w:val="center"/>
          <w:trHeight w:val="633"/>
        </w:trPr>
        <w:tc>
          <w:tcPr>
            <w:tcW w:w="584" w:type="dxa"/>
            <w:vAlign w:val="center"/>
            <w:textDirection w:val="lrTb"/>
            <w:noWrap w:val="false"/>
          </w:tcPr>
          <w:p>
            <w:pPr>
              <w:jc w:val="center"/>
              <w:spacing w:after="0" w:line="380" w:lineRule="exact"/>
              <w:rPr>
                <w:rFonts w:ascii="宋体" w:hAnsi="宋体" w:eastAsia="等线"/>
                <w:bCs/>
                <w:color w:val="auto"/>
                <w:sz w:val="24"/>
                <w:szCs w:val="24"/>
                <w:highlight w:val="none"/>
              </w:rPr>
            </w:pPr>
            <w:r>
              <w:rPr>
                <w:rFonts w:hint="eastAsia" w:ascii="宋体" w:hAnsi="宋体" w:eastAsia="等线"/>
                <w:bCs/>
                <w:color w:val="auto"/>
                <w:sz w:val="24"/>
                <w:szCs w:val="24"/>
                <w:highlight w:val="none"/>
              </w:rPr>
              <w:t xml:space="preserve">16</w:t>
            </w:r>
            <w:r/>
          </w:p>
        </w:tc>
        <w:tc>
          <w:tcPr>
            <w:tcW w:w="9391" w:type="dxa"/>
            <w:vAlign w:val="center"/>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评标委员会组成：评标委员会成员人数为5人（含）以上单数，由采购人依法组建。</w:t>
            </w:r>
            <w:r/>
          </w:p>
        </w:tc>
      </w:tr>
      <w:tr>
        <w:trPr>
          <w:jc w:val="center"/>
          <w:trHeight w:val="633"/>
        </w:trPr>
        <w:tc>
          <w:tcPr>
            <w:tcW w:w="584" w:type="dxa"/>
            <w:vAlign w:val="center"/>
            <w:textDirection w:val="lrTb"/>
            <w:noWrap w:val="false"/>
          </w:tcPr>
          <w:p>
            <w:pPr>
              <w:jc w:val="center"/>
              <w:spacing w:after="0" w:line="380" w:lineRule="exact"/>
              <w:rPr>
                <w:rFonts w:ascii="宋体" w:hAnsi="宋体" w:eastAsia="等线"/>
                <w:bCs/>
                <w:color w:val="auto"/>
                <w:sz w:val="24"/>
                <w:szCs w:val="24"/>
                <w:highlight w:val="none"/>
              </w:rPr>
            </w:pPr>
            <w:r>
              <w:rPr>
                <w:rFonts w:hint="eastAsia" w:ascii="宋体" w:hAnsi="宋体" w:eastAsia="等线"/>
                <w:bCs/>
                <w:color w:val="auto"/>
                <w:sz w:val="24"/>
                <w:szCs w:val="24"/>
                <w:highlight w:val="none"/>
              </w:rPr>
              <w:t xml:space="preserve">17</w:t>
            </w:r>
            <w:r/>
          </w:p>
        </w:tc>
        <w:tc>
          <w:tcPr>
            <w:tcW w:w="9391" w:type="dxa"/>
            <w:vAlign w:val="center"/>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中标候选供应商的确定原则及标准：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633"/>
        </w:trPr>
        <w:tc>
          <w:tcPr>
            <w:tcW w:w="584" w:type="dxa"/>
            <w:vAlign w:val="center"/>
            <w:textDirection w:val="lrTb"/>
            <w:noWrap w:val="false"/>
          </w:tcPr>
          <w:p>
            <w:pPr>
              <w:jc w:val="center"/>
              <w:spacing w:after="0" w:line="380" w:lineRule="exact"/>
              <w:rPr>
                <w:rFonts w:ascii="宋体" w:hAnsi="宋体" w:eastAsia="等线"/>
                <w:bCs/>
                <w:color w:val="auto"/>
                <w:sz w:val="24"/>
                <w:szCs w:val="24"/>
                <w:highlight w:val="none"/>
              </w:rPr>
            </w:pPr>
            <w:r>
              <w:rPr>
                <w:rFonts w:hint="eastAsia" w:ascii="宋体" w:hAnsi="宋体" w:eastAsia="等线"/>
                <w:bCs/>
                <w:color w:val="auto"/>
                <w:sz w:val="24"/>
                <w:szCs w:val="24"/>
                <w:highlight w:val="none"/>
              </w:rPr>
              <w:t xml:space="preserve">18</w:t>
            </w:r>
            <w:r/>
          </w:p>
        </w:tc>
        <w:tc>
          <w:tcPr>
            <w:tcW w:w="9391" w:type="dxa"/>
            <w:vAlign w:val="center"/>
            <w:textDirection w:val="lrTb"/>
            <w:noWrap w:val="false"/>
          </w:tcPr>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本项目监督管理部门：无锡市财政局。</w:t>
            </w:r>
            <w:r/>
          </w:p>
        </w:tc>
      </w:tr>
      <w:tr>
        <w:trPr>
          <w:jc w:val="center"/>
          <w:trHeight w:val="633"/>
        </w:trPr>
        <w:tc>
          <w:tcPr>
            <w:tcW w:w="584" w:type="dxa"/>
            <w:vAlign w:val="center"/>
            <w:textDirection w:val="lrTb"/>
            <w:noWrap w:val="false"/>
          </w:tcPr>
          <w:p>
            <w:pPr>
              <w:jc w:val="center"/>
              <w:spacing w:after="0" w:line="380" w:lineRule="exact"/>
              <w:rPr>
                <w:rFonts w:ascii="宋体" w:hAnsi="宋体" w:eastAsia="等线"/>
                <w:bCs/>
                <w:color w:val="auto"/>
                <w:sz w:val="24"/>
                <w:szCs w:val="24"/>
                <w:highlight w:val="none"/>
              </w:rPr>
            </w:pPr>
            <w:r>
              <w:rPr>
                <w:rFonts w:hint="eastAsia" w:ascii="宋体" w:hAnsi="宋体" w:eastAsia="等线"/>
                <w:bCs/>
                <w:color w:val="auto"/>
                <w:sz w:val="24"/>
                <w:szCs w:val="24"/>
                <w:highlight w:val="none"/>
              </w:rPr>
              <w:t xml:space="preserve">19</w:t>
            </w:r>
            <w:r/>
          </w:p>
        </w:tc>
        <w:tc>
          <w:tcPr>
            <w:tcW w:w="9391" w:type="dxa"/>
            <w:vAlign w:val="center"/>
            <w:textDirection w:val="lrTb"/>
            <w:noWrap w:val="false"/>
          </w:tcPr>
          <w:p>
            <w:pPr>
              <w:spacing w:after="0" w:line="360" w:lineRule="auto"/>
              <w:rPr>
                <w:rFonts w:ascii="宋体" w:hAnsi="宋体" w:cs="Times New Roman"/>
                <w:color w:val="auto"/>
                <w:sz w:val="24"/>
                <w:szCs w:val="24"/>
                <w:highlight w:val="none"/>
                <w:lang w:val="zh-CN"/>
              </w:rPr>
            </w:pPr>
            <w:r>
              <w:rPr>
                <w:rFonts w:hint="eastAsia" w:ascii="宋体" w:hAnsi="宋体" w:cs="Times New Roman"/>
                <w:color w:val="auto"/>
                <w:sz w:val="24"/>
                <w:szCs w:val="24"/>
                <w:highlight w:val="none"/>
                <w:lang w:val="zh-CN"/>
              </w:rPr>
              <w:t xml:space="preserve">根据采购项目特点或政策需要补充的其他新增内容：</w:t>
            </w:r>
            <w:r/>
          </w:p>
          <w:p>
            <w:pPr>
              <w:spacing w:after="0" w:line="360" w:lineRule="auto"/>
              <w:rPr>
                <w:rFonts w:ascii="宋体" w:hAnsi="宋体" w:cs="Times New Roman"/>
                <w:color w:val="auto"/>
                <w:sz w:val="24"/>
                <w:szCs w:val="24"/>
                <w:highlight w:val="none"/>
                <w:lang w:val="zh-CN"/>
              </w:rPr>
            </w:pPr>
            <w:r>
              <w:rPr>
                <w:rFonts w:hint="eastAsia"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zh-CN"/>
              </w:rPr>
              <w:t xml:space="preserve">除招标文件中有特殊要求外：投标文件中所使用的计量单位，应采用中华人民共和国法定计量单位及通用图形符号；投标语言：中文（有关产品型号、专用名词等可除外）；投标币种：人民币。</w:t>
            </w:r>
            <w:r/>
          </w:p>
          <w:p>
            <w:pPr>
              <w:spacing w:after="0" w:line="360" w:lineRule="auto"/>
              <w:rPr>
                <w:rFonts w:ascii="宋体" w:hAnsi="宋体"/>
                <w:color w:val="auto"/>
                <w:sz w:val="24"/>
                <w:szCs w:val="24"/>
                <w:highlight w:val="none"/>
              </w:rPr>
            </w:pPr>
            <w:r>
              <w:rPr>
                <w:rFonts w:hint="eastAsia" w:ascii="宋体" w:hAnsi="宋体" w:cs="Times New Roman"/>
                <w:color w:val="auto"/>
                <w:sz w:val="24"/>
                <w:szCs w:val="24"/>
                <w:highlight w:val="none"/>
              </w:rPr>
              <w:t xml:space="preserve">2.</w:t>
            </w:r>
            <w:r>
              <w:rPr>
                <w:rFonts w:hint="eastAsia" w:ascii="宋体" w:hAnsi="宋体" w:cs="Times New Roman"/>
                <w:color w:val="auto"/>
                <w:sz w:val="24"/>
                <w:szCs w:val="24"/>
                <w:highlight w:val="none"/>
                <w:lang w:val="zh-CN"/>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tc>
      </w:tr>
    </w:tbl>
    <w:p>
      <w:pPr>
        <w:jc w:val="center"/>
        <w:pageBreakBefore/>
        <w:spacing w:after="0" w:line="360" w:lineRule="auto"/>
        <w:rPr>
          <w:rFonts w:ascii="宋体" w:hAnsi="宋体"/>
          <w:bCs/>
          <w:color w:val="auto"/>
          <w:sz w:val="28"/>
          <w:szCs w:val="28"/>
          <w:highlight w:val="none"/>
        </w:rPr>
      </w:pPr>
      <w:r>
        <w:rPr>
          <w:rFonts w:hint="eastAsia" w:ascii="宋体" w:hAnsi="宋体"/>
          <w:b/>
          <w:color w:val="auto"/>
          <w:sz w:val="44"/>
          <w:szCs w:val="44"/>
          <w:highlight w:val="none"/>
        </w:rPr>
        <w:t xml:space="preserve">二、投标供应商须知</w:t>
      </w:r>
      <w:r/>
    </w:p>
    <w:p>
      <w:pPr>
        <w:ind w:firstLine="420"/>
        <w:spacing w:after="0" w:line="360" w:lineRule="auto"/>
        <w:tabs>
          <w:tab w:val="left" w:pos="73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（一）遵循原则：</w:t>
      </w:r>
      <w:r/>
    </w:p>
    <w:p>
      <w:pPr>
        <w:ind w:firstLine="523"/>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20"/>
        <w:spacing w:after="0" w:line="360" w:lineRule="auto"/>
        <w:tabs>
          <w:tab w:val="left" w:pos="73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（二）招标文件：</w:t>
      </w:r>
      <w:r/>
    </w:p>
    <w:p>
      <w:pPr>
        <w:ind w:firstLine="60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1.招标文件包括文件目录所列全部内容，投标供应商应仔细阅读，并在投标文件中充分响应招标文件的所有要求（包含招标图纸及图纸说明相关要求）。</w:t>
      </w:r>
      <w:r/>
    </w:p>
    <w:p>
      <w:pPr>
        <w:ind w:firstLine="60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2.投标供应商登录江苏省政府采购（苏采云）平台 （</w:t>
      </w:r>
      <w:r>
        <w:rPr>
          <w:rFonts w:hint="eastAsia" w:ascii="宋体" w:hAnsi="宋体"/>
          <w:bCs/>
          <w:color w:val="auto"/>
          <w:sz w:val="24"/>
          <w:szCs w:val="24"/>
          <w:highlight w:val="none"/>
          <w:lang w:eastAsia="zh-CN"/>
        </w:rPr>
        <w:t xml:space="preserve">https://jszfcg.jsczt.cn/jszc/login</w:t>
      </w:r>
      <w:r>
        <w:rPr>
          <w:rFonts w:hint="eastAsia" w:ascii="宋体" w:hAnsi="宋体"/>
          <w:bCs/>
          <w:color w:val="auto"/>
          <w:sz w:val="24"/>
          <w:szCs w:val="24"/>
          <w:highlight w:val="none"/>
        </w:rPr>
        <w:t xml:space="preserve">）在线申请获取招标文件及有关资料，供应商应按招标文件要求提交全部资料并对招标文件各项内容做出实质性响应，否则投标无效。</w:t>
      </w:r>
      <w:r/>
    </w:p>
    <w:p>
      <w:pPr>
        <w:ind w:firstLine="60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3.供应商一旦参加本项目投标，即表明承诺接受了本招标文件中所有条件和规定。</w:t>
      </w:r>
      <w:r/>
    </w:p>
    <w:p>
      <w:pPr>
        <w:ind w:firstLine="60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4.本次招标及由此产生的合同受中华人民共和国有关的法律法规制约和保护。</w:t>
      </w:r>
      <w:r/>
    </w:p>
    <w:p>
      <w:pPr>
        <w:ind w:firstLine="60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5.招标文件仅作为本次采购投标使用。</w:t>
      </w:r>
      <w:r/>
    </w:p>
    <w:p>
      <w:pPr>
        <w:ind w:left="-2" w:firstLine="420"/>
        <w:spacing w:after="0" w:line="360" w:lineRule="auto"/>
        <w:tabs>
          <w:tab w:val="left" w:pos="63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（三）招标文件的解释：</w:t>
      </w:r>
      <w:r/>
    </w:p>
    <w:p>
      <w:pPr>
        <w:numPr>
          <w:ilvl w:val="2"/>
          <w:numId w:val="0"/>
        </w:numPr>
        <w:ind w:firstLine="628"/>
        <w:spacing w:after="0"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1.投标供应商如有需要对招标文件要求澄清的问题，并按“投标邀请”规定的时间将书面形式和电子邮件形式送至江苏仁合中惠工程咨询有限公司，联系方式详见投标邀请第13项。</w:t>
      </w:r>
      <w:r/>
    </w:p>
    <w:p>
      <w:pPr>
        <w:numPr>
          <w:ilvl w:val="2"/>
          <w:numId w:val="0"/>
        </w:numPr>
        <w:ind w:firstLine="628"/>
        <w:spacing w:after="0"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2.采购人、江苏仁合中惠工程咨询有限公司将按“投标邀请”规定的时间对供应商针对招标文件书面提出的要求澄清的问题进行书面答疑。</w:t>
      </w:r>
      <w:r/>
    </w:p>
    <w:p>
      <w:pPr>
        <w:numPr>
          <w:ilvl w:val="2"/>
          <w:numId w:val="0"/>
        </w:numPr>
        <w:ind w:firstLine="628"/>
        <w:spacing w:after="0"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3.本文件的最终解释权归采购人。</w:t>
      </w:r>
      <w:r/>
    </w:p>
    <w:p>
      <w:pPr>
        <w:ind w:left="-2" w:firstLine="42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（四）招标文件的补充或修正： </w:t>
      </w:r>
      <w:r/>
    </w:p>
    <w:p>
      <w:pPr>
        <w:ind w:firstLine="480"/>
        <w:spacing w:after="0" w:line="360" w:lineRule="auto"/>
        <w:tabs>
          <w:tab w:val="left" w:pos="525" w:leader="none"/>
          <w:tab w:val="left" w:pos="945" w:leader="none"/>
        </w:tabs>
        <w:rPr>
          <w:rStyle w:val="1082"/>
          <w:rFonts w:cs="Times New Roman"/>
          <w:color w:val="auto"/>
          <w:highlight w:val="none"/>
        </w:rPr>
      </w:pPr>
      <w:r>
        <w:rPr>
          <w:rStyle w:val="1082"/>
          <w:rFonts w:hint="eastAsia" w:cs="Times New Roman"/>
          <w:color w:val="auto"/>
          <w:highlight w:val="none"/>
        </w:rPr>
        <w:t xml:space="preserve">1.采购人或者采购代理机构可以对已发出的招标文件进行必要的澄清或者修改，但不得改变采购标的和资格条件。澄清或者修改应当在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江苏政府采购网、无锡政府采购网</w:t>
      </w:r>
      <w:r>
        <w:rPr>
          <w:rStyle w:val="1082"/>
          <w:rFonts w:hint="eastAsia" w:cs="Times New Roman"/>
          <w:color w:val="auto"/>
          <w:highlight w:val="none"/>
        </w:rPr>
        <w:t xml:space="preserve">上发布澄清公告。澄清或者修改的内容为招标文件的组成部分。</w:t>
      </w:r>
      <w:r/>
    </w:p>
    <w:p>
      <w:pPr>
        <w:ind w:firstLine="480"/>
        <w:spacing w:after="0" w:line="360" w:lineRule="auto"/>
        <w:tabs>
          <w:tab w:val="left" w:pos="525" w:leader="none"/>
          <w:tab w:val="left" w:pos="945" w:leader="none"/>
        </w:tabs>
        <w:rPr>
          <w:rStyle w:val="1082"/>
          <w:rFonts w:cs="Times New Roman"/>
          <w:color w:val="auto"/>
          <w:highlight w:val="none"/>
        </w:rPr>
      </w:pPr>
      <w:r>
        <w:rPr>
          <w:rStyle w:val="1082"/>
          <w:rFonts w:hint="eastAsia" w:cs="Times New Roman"/>
          <w:color w:val="auto"/>
          <w:highlight w:val="none"/>
        </w:rPr>
        <w:t xml:space="preserve">2.澄清或者修改的内容可能影响投标文件编制的，采购人或者采购代理机构应当在投标截止时间至少15日前在</w:t>
      </w:r>
      <w:r>
        <w:rPr>
          <w:rFonts w:hint="eastAsia" w:ascii="宋体" w:hAnsi="宋体"/>
          <w:color w:val="auto"/>
          <w:sz w:val="24"/>
          <w:highlight w:val="none"/>
        </w:rPr>
        <w:t xml:space="preserve">江苏政府采购网、无锡政府采购网</w:t>
      </w:r>
      <w:r>
        <w:rPr>
          <w:rStyle w:val="1082"/>
          <w:rFonts w:hint="eastAsia" w:cs="Times New Roman"/>
          <w:color w:val="auto"/>
          <w:highlight w:val="none"/>
        </w:rPr>
        <w:t xml:space="preserve">上发布澄清或修改内容；不足15日的，采购人或者采购代理机构应当顺延提交投标文件的截止时间。</w:t>
      </w:r>
      <w:r/>
    </w:p>
    <w:p>
      <w:pPr>
        <w:ind w:firstLine="480"/>
        <w:spacing w:after="0" w:line="360" w:lineRule="auto"/>
        <w:tabs>
          <w:tab w:val="left" w:pos="525" w:leader="none"/>
          <w:tab w:val="left" w:pos="945" w:leader="none"/>
        </w:tabs>
        <w:rPr>
          <w:rStyle w:val="1082"/>
          <w:rFonts w:cs="Times New Roman"/>
          <w:color w:val="auto"/>
          <w:highlight w:val="none"/>
        </w:rPr>
      </w:pPr>
      <w:r>
        <w:rPr>
          <w:rStyle w:val="1082"/>
          <w:rFonts w:hint="eastAsia" w:cs="Times New Roman"/>
          <w:color w:val="auto"/>
          <w:highlight w:val="none"/>
        </w:rPr>
        <w:t xml:space="preserve">3.供应商应于投标截止之日前</w:t>
      </w:r>
      <w:r>
        <w:rPr>
          <w:rStyle w:val="1082"/>
          <w:rFonts w:hint="eastAsia" w:cs="Times New Roman"/>
          <w:bCs/>
          <w:color w:val="auto"/>
          <w:highlight w:val="none"/>
        </w:rPr>
        <w:t xml:space="preserve">以书面回函江苏仁合中惠工程咨询有限公司，确认已收到修改文件或延期开标通知，</w:t>
      </w:r>
      <w:r>
        <w:rPr>
          <w:rStyle w:val="1082"/>
          <w:rFonts w:hint="eastAsia" w:cs="Times New Roman"/>
          <w:color w:val="auto"/>
          <w:highlight w:val="none"/>
        </w:rPr>
        <w:t xml:space="preserve">逾期不回视同收到此公告。因供应商未及时全面地关注更正公告导致其提交的响应材料不符合采购人要求，而造成的损失及风险（包括但不限于未中标）由供应商自行承担。</w:t>
      </w:r>
      <w:r/>
    </w:p>
    <w:p>
      <w:pPr>
        <w:ind w:firstLine="42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（五） 投标文件的组成：</w:t>
      </w:r>
      <w:r/>
    </w:p>
    <w:p>
      <w:pPr>
        <w:ind w:firstLine="482"/>
        <w:spacing w:after="0" w:line="360" w:lineRule="auto"/>
        <w:tabs>
          <w:tab w:val="left" w:pos="0" w:leader="none"/>
          <w:tab w:val="left" w:pos="315" w:leader="none"/>
          <w:tab w:val="left" w:pos="945" w:leader="none"/>
          <w:tab w:val="left" w:pos="1155" w:leader="none"/>
        </w:tabs>
        <w:rPr>
          <w:rStyle w:val="1082"/>
          <w:b/>
          <w:color w:val="auto"/>
          <w:highlight w:val="none"/>
        </w:rPr>
      </w:pPr>
      <w:r/>
      <w:bookmarkStart w:id="2" w:name="_Hlk62654261"/>
      <w:r>
        <w:rPr>
          <w:rStyle w:val="1082"/>
          <w:rFonts w:hint="eastAsia"/>
          <w:b/>
          <w:color w:val="auto"/>
          <w:highlight w:val="none"/>
        </w:rPr>
        <w:t xml:space="preserve">投标文件包括：明标、暗标。明标部分为证明文件部分、投标函部分、报价部分，暗标为技术文件部分。（相应内容上传至投标客户端）</w:t>
      </w:r>
      <w:r/>
    </w:p>
    <w:p>
      <w:pPr>
        <w:ind w:left="630"/>
        <w:spacing w:after="0" w:line="360" w:lineRule="auto"/>
        <w:tabs>
          <w:tab w:val="left" w:pos="0" w:leader="none"/>
          <w:tab w:val="left" w:pos="315" w:leader="none"/>
          <w:tab w:val="left" w:pos="945" w:leader="none"/>
          <w:tab w:val="left" w:pos="1155" w:leader="none"/>
        </w:tabs>
        <w:rPr>
          <w:rStyle w:val="1082"/>
          <w:b/>
          <w:color w:val="auto"/>
          <w:highlight w:val="none"/>
        </w:rPr>
      </w:pPr>
      <w:r>
        <w:rPr>
          <w:rStyle w:val="1082"/>
          <w:rFonts w:hint="eastAsia"/>
          <w:b/>
          <w:color w:val="auto"/>
          <w:highlight w:val="none"/>
        </w:rPr>
        <w:t xml:space="preserve">明标部分：</w:t>
      </w:r>
      <w:r/>
    </w:p>
    <w:p>
      <w:pPr>
        <w:ind w:left="630"/>
        <w:spacing w:after="0" w:line="360" w:lineRule="auto"/>
        <w:tabs>
          <w:tab w:val="left" w:pos="0" w:leader="none"/>
          <w:tab w:val="left" w:pos="315" w:leader="none"/>
          <w:tab w:val="left" w:pos="945" w:leader="none"/>
          <w:tab w:val="left" w:pos="1155" w:leader="none"/>
        </w:tabs>
        <w:rPr>
          <w:rFonts w:ascii="宋体" w:hAnsi="宋体"/>
          <w:b/>
          <w:color w:val="auto"/>
          <w:sz w:val="24"/>
          <w:szCs w:val="24"/>
          <w:highlight w:val="none"/>
        </w:rPr>
      </w:pPr>
      <w:r>
        <w:rPr>
          <w:rStyle w:val="1082"/>
          <w:b/>
          <w:color w:val="auto"/>
          <w:highlight w:val="none"/>
        </w:rPr>
        <w:t xml:space="preserve">1</w:t>
      </w:r>
      <w:r>
        <w:rPr>
          <w:rStyle w:val="1082"/>
          <w:rFonts w:hint="eastAsia"/>
          <w:b/>
          <w:color w:val="auto"/>
          <w:highlight w:val="none"/>
        </w:rPr>
        <w:t xml:space="preserve">.</w:t>
      </w:r>
      <w:r>
        <w:rPr>
          <w:rFonts w:hint="eastAsia" w:ascii="宋体" w:hAnsi="宋体"/>
          <w:b/>
          <w:color w:val="auto"/>
          <w:sz w:val="24"/>
          <w:szCs w:val="24"/>
          <w:highlight w:val="none"/>
        </w:rPr>
        <w:t xml:space="preserve">证明文件部分：</w:t>
      </w:r>
      <w:r/>
    </w:p>
    <w:p>
      <w:pPr>
        <w:ind w:left="1" w:firstLine="523"/>
        <w:spacing w:after="0" w:line="360" w:lineRule="auto"/>
        <w:tabs>
          <w:tab w:val="left" w:pos="525" w:leader="none"/>
          <w:tab w:val="left" w:pos="945" w:leader="none"/>
        </w:tabs>
        <w:rPr>
          <w:rFonts w:ascii="宋体" w:hAnsi="宋体"/>
          <w:bCs/>
          <w:color w:val="auto"/>
          <w:sz w:val="24"/>
          <w:szCs w:val="24"/>
          <w:highlight w:val="none"/>
        </w:rPr>
        <w:outlineLvl w:val="2"/>
      </w:pPr>
      <w:r>
        <w:rPr>
          <w:rFonts w:hint="eastAsia" w:ascii="宋体" w:hAnsi="宋体"/>
          <w:bCs/>
          <w:color w:val="auto"/>
          <w:sz w:val="24"/>
          <w:szCs w:val="24"/>
          <w:highlight w:val="none"/>
        </w:rPr>
        <w:t xml:space="preserve">第一部分：资格、资信证明文件（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ind w:firstLine="48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（1）关于资格的声明函（格式见附件）；</w:t>
      </w:r>
      <w:r/>
    </w:p>
    <w:p>
      <w:pPr>
        <w:ind w:firstLine="480"/>
        <w:spacing w:after="0" w:line="360" w:lineRule="auto"/>
        <w:widowControl w:val="off"/>
        <w:rPr>
          <w:rFonts w:ascii="宋体" w:hAnsi="宋体"/>
          <w:color w:val="auto"/>
          <w:sz w:val="24"/>
          <w:highlight w:val="none"/>
        </w:rPr>
      </w:pPr>
      <w:r>
        <w:rPr>
          <w:rFonts w:hint="eastAsia" w:ascii="宋体" w:hAnsi="宋体"/>
          <w:bCs/>
          <w:color w:val="auto"/>
          <w:sz w:val="24"/>
          <w:szCs w:val="24"/>
          <w:highlight w:val="none"/>
        </w:rPr>
        <w:t xml:space="preserve">（2）供应商具有独立承担民事责任能力的投标供应商营业执照或相关部门的登记证明文件扫描件</w:t>
      </w:r>
      <w:r>
        <w:rPr>
          <w:rFonts w:hint="eastAsia" w:ascii="宋体" w:hAnsi="宋体"/>
          <w:b/>
          <w:color w:val="auto"/>
          <w:sz w:val="24"/>
          <w:szCs w:val="24"/>
          <w:highlight w:val="none"/>
        </w:rPr>
        <w:t xml:space="preserve">（投标供应商如是允许以分支机构身份参加投标的，提供投标供应商分支机构的营业执照扫描件）；</w:t>
      </w:r>
      <w:r/>
    </w:p>
    <w:p>
      <w:pPr>
        <w:ind w:firstLine="480"/>
        <w:spacing w:after="0" w:line="360" w:lineRule="auto"/>
        <w:widowControl w:val="off"/>
        <w:tabs>
          <w:tab w:val="left" w:pos="426" w:leader="none"/>
          <w:tab w:val="left" w:pos="945" w:leader="none"/>
          <w:tab w:val="left" w:pos="1365" w:leader="none"/>
        </w:tabs>
        <w:rPr>
          <w:rFonts w:ascii="宋体" w:hAnsi="宋体"/>
          <w:color w:val="auto"/>
          <w:sz w:val="24"/>
          <w:highlight w:val="none"/>
        </w:rPr>
      </w:pPr>
      <w:r>
        <w:rPr>
          <w:rFonts w:hint="eastAsia" w:ascii="宋体" w:hAnsi="宋体"/>
          <w:color w:val="auto"/>
          <w:sz w:val="24"/>
          <w:highlight w:val="none"/>
        </w:rPr>
        <w:t xml:space="preserve">（3）投标</w:t>
      </w:r>
      <w:r>
        <w:rPr>
          <w:rFonts w:hint="eastAsia" w:ascii="宋体" w:hAnsi="宋体"/>
          <w:bCs/>
          <w:color w:val="auto"/>
          <w:sz w:val="24"/>
          <w:szCs w:val="24"/>
          <w:highlight w:val="none"/>
        </w:rPr>
        <w:t xml:space="preserve">供应商须具备水利水电工程施工总承包二级及以上资质或水工金属结构制作与安装工程专业承包二级及以上资质（提供有效期内的证书扫描件加盖公章上传至投标文件）；</w:t>
      </w:r>
      <w:r/>
    </w:p>
    <w:p>
      <w:pPr>
        <w:ind w:firstLine="480"/>
        <w:spacing w:after="0" w:line="360" w:lineRule="auto"/>
        <w:widowControl w:val="off"/>
        <w:tabs>
          <w:tab w:val="left" w:pos="426" w:leader="none"/>
          <w:tab w:val="left" w:pos="945" w:leader="none"/>
          <w:tab w:val="left" w:pos="1365" w:leader="none"/>
        </w:tabs>
        <w:rPr>
          <w:rFonts w:ascii="宋体" w:hAnsi="宋体"/>
          <w:color w:val="auto"/>
          <w:sz w:val="24"/>
          <w:highlight w:val="none"/>
        </w:rPr>
      </w:pPr>
      <w:r>
        <w:rPr>
          <w:rFonts w:hint="eastAsia" w:ascii="宋体" w:hAnsi="宋体"/>
          <w:color w:val="auto"/>
          <w:sz w:val="24"/>
          <w:highlight w:val="none"/>
        </w:rPr>
        <w:t xml:space="preserve">（4）投标供应商须具备有效期内的安全生产许可证</w:t>
      </w:r>
      <w:r>
        <w:rPr>
          <w:rFonts w:hint="eastAsia" w:ascii="宋体" w:hAnsi="宋体"/>
          <w:bCs/>
          <w:color w:val="auto"/>
          <w:sz w:val="24"/>
          <w:szCs w:val="24"/>
          <w:highlight w:val="none"/>
        </w:rPr>
        <w:t xml:space="preserve">（提供有效期内的证书扫描件加盖公章上传至投标文件）</w:t>
      </w:r>
      <w:r>
        <w:rPr>
          <w:rFonts w:hint="eastAsia" w:ascii="宋体" w:hAnsi="宋体"/>
          <w:color w:val="auto"/>
          <w:sz w:val="24"/>
          <w:highlight w:val="none"/>
        </w:rPr>
        <w:t xml:space="preserve">；</w:t>
      </w:r>
      <w:r/>
    </w:p>
    <w:p>
      <w:pPr>
        <w:ind w:firstLine="48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（5）专职安全员应具有与其水利行业施工资质相应的行业主管部门颁发的安全生产考核合格证（提供有效期内的证书扫描件加盖公章上传至投标文件）；</w:t>
      </w:r>
      <w:r/>
    </w:p>
    <w:p>
      <w:pPr>
        <w:ind w:firstLine="48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w:t>
      </w: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w:t>
      </w:r>
      <w:r>
        <w:rPr>
          <w:rFonts w:hint="eastAsia" w:ascii="宋体" w:hAnsi="宋体"/>
          <w:bCs/>
          <w:color w:val="auto"/>
          <w:sz w:val="24"/>
          <w:szCs w:val="24"/>
          <w:highlight w:val="none"/>
        </w:rPr>
        <w:t xml:space="preserve">供应商如是</w:t>
      </w:r>
      <w:r>
        <w:rPr>
          <w:rFonts w:hint="eastAsia" w:ascii="宋体" w:hAnsi="宋体"/>
          <w:color w:val="auto"/>
          <w:sz w:val="24"/>
          <w:szCs w:val="24"/>
          <w:highlight w:val="none"/>
        </w:rPr>
        <w:t xml:space="preserve">允许以分支机构身份参加投标的，请自行将“法定代表人”更改为“负责人”，分支机构投标时涉及采购文件“法定代表人”要求的部分，其具体要求视同本条规定）</w:t>
      </w:r>
      <w:r>
        <w:rPr>
          <w:rFonts w:hint="eastAsia" w:ascii="宋体" w:hAnsi="宋体"/>
          <w:color w:val="auto"/>
          <w:sz w:val="24"/>
          <w:highlight w:val="none"/>
        </w:rPr>
        <w:t xml:space="preserve">；</w:t>
      </w:r>
      <w:r/>
    </w:p>
    <w:p>
      <w:pPr>
        <w:ind w:firstLine="480"/>
        <w:spacing w:after="0" w:line="360" w:lineRule="auto"/>
        <w:widowControl w:val="off"/>
        <w:tabs>
          <w:tab w:val="left" w:pos="426" w:leader="none"/>
          <w:tab w:val="left" w:pos="945" w:leader="none"/>
          <w:tab w:val="left" w:pos="1365" w:leader="none"/>
        </w:tabs>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w:t>
      </w:r>
      <w:r>
        <w:rPr>
          <w:rFonts w:hint="eastAsia" w:ascii="宋体" w:hAnsi="宋体"/>
          <w:bCs/>
          <w:color w:val="auto"/>
          <w:sz w:val="24"/>
          <w:szCs w:val="24"/>
          <w:highlight w:val="none"/>
        </w:rPr>
        <w:t xml:space="preserve">投标供应商法定代表人身份证及投标供应商法定代表人授权代表身份证（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p>
    <w:p>
      <w:pPr>
        <w:numPr>
          <w:ilvl w:val="1"/>
          <w:numId w:val="0"/>
        </w:numPr>
        <w:ind w:firstLine="480"/>
        <w:spacing w:after="0" w:line="360" w:lineRule="auto"/>
        <w:widowControl w:val="off"/>
        <w:tabs>
          <w:tab w:val="left" w:pos="945" w:leader="none"/>
          <w:tab w:val="left" w:pos="1276"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被</w:t>
      </w:r>
      <w:r>
        <w:rPr>
          <w:rFonts w:hint="eastAsia" w:ascii="宋体" w:hAnsi="宋体"/>
          <w:bCs/>
          <w:color w:val="auto"/>
          <w:sz w:val="24"/>
          <w:highlight w:val="none"/>
          <w:lang w:val="zh-CN"/>
        </w:rPr>
        <w:t xml:space="preserve">授权委托人、</w:t>
      </w:r>
      <w:r>
        <w:rPr>
          <w:rFonts w:hint="eastAsia" w:ascii="宋体" w:hAnsi="宋体"/>
          <w:color w:val="auto"/>
          <w:sz w:val="24"/>
          <w:highlight w:val="none"/>
        </w:rPr>
        <w:t xml:space="preserve">专职安全员</w:t>
      </w:r>
      <w:r>
        <w:rPr>
          <w:rFonts w:hint="eastAsia" w:ascii="宋体" w:hAnsi="宋体"/>
          <w:bCs/>
          <w:color w:val="auto"/>
          <w:sz w:val="24"/>
          <w:highlight w:val="none"/>
          <w:lang w:val="zh-CN"/>
        </w:rPr>
        <w:t xml:space="preserve">应具备与本企业签订的劳动合同和由社保机构出具的近</w:t>
      </w:r>
      <w:r>
        <w:rPr>
          <w:rFonts w:hint="eastAsia" w:ascii="宋体" w:hAnsi="宋体"/>
          <w:bCs/>
          <w:color w:val="auto"/>
          <w:sz w:val="24"/>
          <w:highlight w:val="none"/>
        </w:rPr>
        <w:t xml:space="preserve">三个月内任意一个月</w:t>
      </w:r>
      <w:r>
        <w:rPr>
          <w:rFonts w:hint="eastAsia" w:ascii="宋体" w:hAnsi="宋体"/>
          <w:bCs/>
          <w:color w:val="auto"/>
          <w:sz w:val="24"/>
          <w:highlight w:val="none"/>
          <w:lang w:val="zh-CN"/>
        </w:rPr>
        <w:t xml:space="preserve">（不含投标当月）的社保缴费证明</w:t>
      </w:r>
      <w:r>
        <w:rPr>
          <w:rFonts w:hint="eastAsia" w:ascii="宋体" w:hAnsi="宋体"/>
          <w:b/>
          <w:color w:val="auto"/>
          <w:sz w:val="24"/>
          <w:highlight w:val="none"/>
          <w:lang w:val="zh-CN"/>
        </w:rPr>
        <w:t xml:space="preserve">（提供</w:t>
      </w:r>
      <w:r>
        <w:rPr>
          <w:rFonts w:hint="eastAsia" w:ascii="宋体" w:hAnsi="宋体"/>
          <w:b/>
          <w:color w:val="auto"/>
          <w:sz w:val="24"/>
          <w:highlight w:val="none"/>
        </w:rPr>
        <w:t xml:space="preserve">劳动合同和人员社保</w:t>
      </w:r>
      <w:r>
        <w:rPr>
          <w:rFonts w:hint="eastAsia" w:ascii="宋体" w:hAnsi="宋体"/>
          <w:b/>
          <w:color w:val="auto"/>
          <w:sz w:val="24"/>
          <w:highlight w:val="none"/>
          <w:lang w:val="zh-CN"/>
        </w:rPr>
        <w:t xml:space="preserve">扫描件加盖公章上传至投标文件）；</w:t>
      </w:r>
      <w:r/>
    </w:p>
    <w:p>
      <w:pPr>
        <w:numPr>
          <w:ilvl w:val="1"/>
          <w:numId w:val="0"/>
        </w:numPr>
        <w:ind w:firstLine="480"/>
        <w:spacing w:after="0" w:line="360" w:lineRule="auto"/>
        <w:widowControl w:val="off"/>
        <w:tabs>
          <w:tab w:val="left" w:pos="945" w:leader="none"/>
          <w:tab w:val="left" w:pos="1276" w:leader="none"/>
        </w:tabs>
        <w:rPr>
          <w:rFonts w:ascii="宋体" w:hAnsi="宋体"/>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0"/>
        </w:numPr>
        <w:ind w:firstLine="480"/>
        <w:spacing w:after="0" w:line="360" w:lineRule="auto"/>
        <w:widowControl w:val="off"/>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）投标</w:t>
      </w:r>
      <w:r>
        <w:rPr>
          <w:rFonts w:hint="eastAsia" w:ascii="宋体" w:hAnsi="宋体"/>
          <w:b w:val="0"/>
          <w:bCs/>
          <w:color w:val="auto"/>
          <w:sz w:val="24"/>
          <w:szCs w:val="24"/>
          <w:highlight w:val="none"/>
        </w:rPr>
        <w:t xml:space="preserve">供应商</w:t>
      </w:r>
      <w:r>
        <w:rPr>
          <w:rFonts w:hint="eastAsia" w:ascii="宋体" w:hAnsi="宋体"/>
          <w:b w:val="0"/>
          <w:bCs/>
          <w:color w:val="auto"/>
          <w:sz w:val="24"/>
          <w:highlight w:val="none"/>
          <w:lang w:val="zh-CN"/>
        </w:rPr>
        <w:t xml:space="preserve">近</w:t>
      </w:r>
      <w:r>
        <w:rPr>
          <w:rFonts w:hint="eastAsia" w:ascii="宋体" w:hAnsi="宋体"/>
          <w:b w:val="0"/>
          <w:bCs/>
          <w:color w:val="auto"/>
          <w:sz w:val="24"/>
          <w:highlight w:val="none"/>
        </w:rPr>
        <w:t xml:space="preserve">三个月内任意一个月</w:t>
      </w:r>
      <w:r>
        <w:rPr>
          <w:rFonts w:hint="eastAsia" w:ascii="宋体" w:hAnsi="宋体"/>
          <w:b w:val="0"/>
          <w:bCs/>
          <w:color w:val="auto"/>
          <w:sz w:val="24"/>
          <w:szCs w:val="24"/>
          <w:highlight w:val="none"/>
        </w:rPr>
        <w:t xml:space="preserve">（不含投标当月）的</w:t>
      </w:r>
      <w:r>
        <w:rPr>
          <w:rFonts w:hint="eastAsia" w:ascii="宋体" w:hAnsi="宋体"/>
          <w:bCs/>
          <w:color w:val="auto"/>
          <w:sz w:val="24"/>
          <w:szCs w:val="24"/>
          <w:highlight w:val="none"/>
        </w:rPr>
        <w:t xml:space="preserve">财务状况报告（资产负债表和利润表）或由会计师事务所出具的2024年度或2025年度的审计报告和所附已审财务报告（新成立企业只需提供从成立之年份起经审计的财务报告）；</w:t>
      </w:r>
      <w:r/>
    </w:p>
    <w:p>
      <w:pPr>
        <w:numPr>
          <w:ilvl w:val="1"/>
          <w:numId w:val="0"/>
        </w:numPr>
        <w:ind w:firstLine="480"/>
        <w:spacing w:after="0" w:line="360" w:lineRule="auto"/>
        <w:widowControl w:val="off"/>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）投标供应商近三个月内任意一个月（不含投标当月）的依法缴纳税收的相关材料（提供相关主管部门证明或银行代扣证明）；</w:t>
      </w:r>
      <w:r/>
    </w:p>
    <w:p>
      <w:pPr>
        <w:numPr>
          <w:ilvl w:val="1"/>
          <w:numId w:val="0"/>
        </w:numPr>
        <w:ind w:firstLine="480"/>
        <w:spacing w:after="0" w:line="360" w:lineRule="auto"/>
        <w:widowControl w:val="off"/>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）投标供应商近三个月内任意一个月（不含投标当月）的依法缴纳社会保障资金的相关材料（提供相关主管部门证明或银行代扣证明）；</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）承诺书（</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after="0" w:line="360" w:lineRule="auto"/>
        <w:tabs>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72"/>
        <w:spacing w:after="0" w:line="360" w:lineRule="auto"/>
        <w:rPr>
          <w:rFonts w:ascii="宋体" w:hAnsi="宋体"/>
          <w:b/>
          <w:color w:val="auto"/>
          <w:sz w:val="24"/>
          <w:szCs w:val="24"/>
          <w:highlight w:val="none"/>
        </w:rPr>
      </w:pPr>
      <w:r>
        <w:rPr>
          <w:rFonts w:hint="eastAsia" w:ascii="宋体" w:hAnsi="宋体"/>
          <w:b/>
          <w:bCs/>
          <w:color w:val="auto"/>
          <w:sz w:val="24"/>
          <w:szCs w:val="24"/>
          <w:highlight w:val="none"/>
        </w:rPr>
        <w:t xml:space="preserve">上述资格、资信证明文件投标供应商必须按要求全部提供，如果相关资料正在年检（或换证），则必须提供法定年检（或换证）单位出具的有效证明文件扫描件并加盖电子公章，否则投标文件无效。如上述资格、资信证明文件遇有国家相关政策规定可不具备的，必须提供相关政策规定或相关单位出具的有效证明扫描件并加盖电子公章。投标供应商法定代表人或法定代表人授权代表为外籍、港、澳、台地区人士的，其身份证明须提供有效的护照或港澳同胞来往内地通行证、台湾同胞来往大陆通行证，或其他可在中国大陆有效居留的资</w:t>
      </w:r>
      <w:r>
        <w:rPr>
          <w:rFonts w:hint="eastAsia" w:ascii="宋体" w:hAnsi="宋体"/>
          <w:b/>
          <w:color w:val="auto"/>
          <w:sz w:val="24"/>
          <w:szCs w:val="24"/>
          <w:highlight w:val="none"/>
        </w:rPr>
        <w:t xml:space="preserve">信证明文件的完整与否，将直接影响其投标文件的审核结果。</w:t>
      </w:r>
      <w:r/>
    </w:p>
    <w:p>
      <w:pPr>
        <w:ind w:firstLine="424"/>
        <w:spacing w:after="0" w:line="360" w:lineRule="auto"/>
        <w:tabs>
          <w:tab w:val="left" w:pos="0" w:leader="none"/>
        </w:tabs>
        <w:rPr>
          <w:rFonts w:ascii="宋体" w:hAnsi="宋体"/>
          <w:color w:val="auto"/>
          <w:sz w:val="24"/>
          <w:szCs w:val="21"/>
          <w:highlight w:val="none"/>
        </w:rPr>
      </w:pPr>
      <w:r>
        <w:rPr>
          <w:rFonts w:hint="eastAsia" w:ascii="宋体" w:hAnsi="宋体"/>
          <w:color w:val="auto"/>
          <w:sz w:val="24"/>
          <w:szCs w:val="21"/>
          <w:highlight w:val="none"/>
        </w:rPr>
        <w:t xml:space="preserve">第二部分：补充证明文件：</w:t>
      </w:r>
      <w:r/>
    </w:p>
    <w:p>
      <w:pPr>
        <w:pStyle w:val="860"/>
        <w:ind w:firstLine="480"/>
        <w:spacing w:beforeAutospacing="0" w:afterAutospacing="0" w:line="360" w:lineRule="auto"/>
        <w:rPr>
          <w:color w:val="auto"/>
          <w:highlight w:val="none"/>
        </w:rPr>
      </w:pPr>
      <w:r>
        <w:rPr>
          <w:rFonts w:hint="eastAsia" w:ascii="宋体" w:hAnsi="宋体" w:cs="宋体"/>
          <w:color w:val="auto"/>
          <w:szCs w:val="24"/>
          <w:highlight w:val="none"/>
        </w:rPr>
        <w:t xml:space="preserve">（1）供应商简介和经营情况说明</w:t>
      </w:r>
      <w:r>
        <w:rPr>
          <w:rFonts w:hint="eastAsia" w:ascii="宋体" w:hAnsi="宋体" w:cs="宋体"/>
          <w:b/>
          <w:bCs/>
          <w:color w:val="auto"/>
          <w:szCs w:val="24"/>
          <w:highlight w:val="none"/>
        </w:rPr>
        <w:t xml:space="preserve">（格式见附件）</w:t>
      </w:r>
      <w:r>
        <w:rPr>
          <w:rFonts w:hint="eastAsia" w:ascii="宋体" w:hAnsi="宋体" w:cs="宋体"/>
          <w:color w:val="auto"/>
          <w:szCs w:val="24"/>
          <w:highlight w:val="none"/>
        </w:rPr>
        <w:t xml:space="preserve">；</w:t>
      </w:r>
      <w:r/>
    </w:p>
    <w:p>
      <w:pPr>
        <w:pStyle w:val="860"/>
        <w:ind w:firstLine="480"/>
        <w:spacing w:beforeAutospacing="0" w:afterAutospacing="0" w:line="360" w:lineRule="auto"/>
        <w:rPr>
          <w:rFonts w:ascii="宋体" w:hAnsi="宋体" w:cs="宋体"/>
          <w:color w:val="auto"/>
          <w:szCs w:val="24"/>
          <w:highlight w:val="none"/>
        </w:rPr>
      </w:pPr>
      <w:r>
        <w:rPr>
          <w:rFonts w:hint="eastAsia" w:ascii="宋体" w:hAnsi="宋体" w:cs="宋体"/>
          <w:color w:val="auto"/>
          <w:szCs w:val="24"/>
          <w:highlight w:val="none"/>
        </w:rPr>
        <w:t xml:space="preserve">（2）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pStyle w:val="860"/>
        <w:ind w:firstLine="480"/>
        <w:spacing w:beforeAutospacing="0" w:afterAutospacing="0" w:line="360" w:lineRule="auto"/>
        <w:rPr>
          <w:color w:val="auto"/>
          <w:highlight w:val="none"/>
        </w:rPr>
      </w:pPr>
      <w:r>
        <w:rPr>
          <w:rFonts w:hint="eastAsia" w:ascii="宋体" w:hAnsi="宋体" w:cs="宋体"/>
          <w:color w:val="auto"/>
          <w:szCs w:val="24"/>
          <w:highlight w:val="none"/>
        </w:rPr>
        <w:t xml:space="preserve">（3）供应商认为有必要提供的其他证明材料</w:t>
      </w:r>
      <w:r>
        <w:rPr>
          <w:rFonts w:hint="eastAsia" w:ascii="宋体" w:hAnsi="宋体" w:cs="宋体"/>
          <w:b/>
          <w:bCs/>
          <w:color w:val="auto"/>
          <w:szCs w:val="24"/>
          <w:highlight w:val="none"/>
        </w:rPr>
        <w:t xml:space="preserve">（参照评分标准要求）</w:t>
      </w:r>
      <w:r>
        <w:rPr>
          <w:rFonts w:hint="eastAsia" w:ascii="宋体" w:hAnsi="宋体" w:cs="宋体"/>
          <w:color w:val="auto"/>
          <w:szCs w:val="24"/>
          <w:highlight w:val="none"/>
        </w:rPr>
        <w:t xml:space="preserve">。</w:t>
      </w:r>
      <w:r/>
    </w:p>
    <w:p>
      <w:pPr>
        <w:pStyle w:val="860"/>
        <w:ind w:firstLine="480"/>
        <w:spacing w:beforeAutospacing="0" w:afterAutospacing="0" w:line="360" w:lineRule="auto"/>
        <w:rPr>
          <w:rFonts w:ascii="宋体" w:hAnsi="宋体" w:cs="宋体"/>
          <w:color w:val="auto"/>
          <w:szCs w:val="24"/>
          <w:highlight w:val="none"/>
        </w:rPr>
      </w:pPr>
      <w:r>
        <w:rPr>
          <w:rFonts w:hint="eastAsia" w:ascii="宋体" w:hAnsi="宋体" w:cs="宋体"/>
          <w:color w:val="auto"/>
          <w:szCs w:val="24"/>
          <w:highlight w:val="none"/>
        </w:rPr>
        <w:t xml:space="preserve">（4）</w:t>
      </w:r>
      <w:r>
        <w:rPr>
          <w:rFonts w:hint="eastAsia" w:ascii="宋体" w:hAnsi="宋体" w:cs="宋体"/>
          <w:color w:val="auto"/>
          <w:szCs w:val="21"/>
          <w:highlight w:val="none"/>
        </w:rPr>
        <w:t xml:space="preserve">关于符合本国产品标准的声明函；</w:t>
      </w:r>
      <w:r/>
    </w:p>
    <w:p>
      <w:pPr>
        <w:pStyle w:val="860"/>
        <w:ind w:firstLine="480"/>
        <w:spacing w:beforeAutospacing="0" w:afterAutospacing="0" w:line="360" w:lineRule="auto"/>
        <w:rPr>
          <w:color w:val="auto"/>
          <w:highlight w:val="none"/>
        </w:rPr>
      </w:pPr>
      <w:r>
        <w:rPr>
          <w:rFonts w:hint="eastAsia" w:ascii="宋体" w:hAnsi="宋体" w:cs="宋体"/>
          <w:color w:val="auto"/>
          <w:szCs w:val="24"/>
          <w:highlight w:val="none"/>
        </w:rPr>
        <w:t xml:space="preserve">（5）实施项目管理机构配备情况：</w:t>
      </w:r>
      <w:r/>
    </w:p>
    <w:p>
      <w:pPr>
        <w:pStyle w:val="860"/>
        <w:ind w:firstLine="720"/>
        <w:spacing w:beforeAutospacing="0" w:afterAutospacing="0" w:line="360" w:lineRule="auto"/>
        <w:rPr>
          <w:color w:val="auto"/>
          <w:highlight w:val="none"/>
        </w:rPr>
      </w:pPr>
      <w:r>
        <w:rPr>
          <w:rFonts w:hint="eastAsia" w:ascii="宋体" w:hAnsi="宋体" w:cs="宋体"/>
          <w:color w:val="auto"/>
          <w:szCs w:val="24"/>
          <w:highlight w:val="none"/>
        </w:rPr>
        <w:t xml:space="preserve">1） 项目管理机构配备情况表</w:t>
      </w:r>
      <w:r>
        <w:rPr>
          <w:rFonts w:hint="eastAsia" w:ascii="宋体" w:hAnsi="宋体" w:cs="宋体"/>
          <w:b/>
          <w:bCs/>
          <w:color w:val="auto"/>
          <w:szCs w:val="24"/>
          <w:highlight w:val="none"/>
        </w:rPr>
        <w:t xml:space="preserve">（格式见附件）</w:t>
      </w:r>
      <w:r/>
    </w:p>
    <w:p>
      <w:pPr>
        <w:pStyle w:val="860"/>
        <w:ind w:firstLine="720"/>
        <w:spacing w:beforeAutospacing="0" w:afterAutospacing="0" w:line="360" w:lineRule="auto"/>
        <w:rPr>
          <w:color w:val="auto"/>
          <w:highlight w:val="none"/>
        </w:rPr>
      </w:pPr>
      <w:r>
        <w:rPr>
          <w:rFonts w:hint="eastAsia" w:ascii="宋体" w:hAnsi="宋体" w:cs="宋体"/>
          <w:color w:val="auto"/>
          <w:szCs w:val="24"/>
          <w:highlight w:val="none"/>
        </w:rPr>
        <w:t xml:space="preserve">2） 项目经理简历表</w:t>
      </w:r>
      <w:r>
        <w:rPr>
          <w:rFonts w:hint="eastAsia" w:ascii="宋体" w:hAnsi="宋体" w:cs="宋体"/>
          <w:b/>
          <w:bCs/>
          <w:color w:val="auto"/>
          <w:szCs w:val="24"/>
          <w:highlight w:val="none"/>
        </w:rPr>
        <w:t xml:space="preserve">（格式见附件）</w:t>
      </w:r>
      <w:r/>
    </w:p>
    <w:p>
      <w:pPr>
        <w:pStyle w:val="860"/>
        <w:ind w:firstLine="720"/>
        <w:spacing w:beforeAutospacing="0" w:afterAutospacing="0" w:line="360" w:lineRule="auto"/>
        <w:rPr>
          <w:color w:val="auto"/>
          <w:highlight w:val="none"/>
        </w:rPr>
      </w:pPr>
      <w:r>
        <w:rPr>
          <w:rFonts w:hint="eastAsia" w:ascii="宋体" w:hAnsi="宋体" w:cs="宋体"/>
          <w:color w:val="auto"/>
          <w:szCs w:val="24"/>
          <w:highlight w:val="none"/>
        </w:rPr>
        <w:t xml:space="preserve">3） 项目技术负责人简历表</w:t>
      </w:r>
      <w:r>
        <w:rPr>
          <w:rFonts w:hint="eastAsia" w:ascii="宋体" w:hAnsi="宋体" w:cs="宋体"/>
          <w:b/>
          <w:bCs/>
          <w:color w:val="auto"/>
          <w:szCs w:val="24"/>
          <w:highlight w:val="none"/>
        </w:rPr>
        <w:t xml:space="preserve">（格式见附件）</w:t>
      </w:r>
      <w:r/>
    </w:p>
    <w:p>
      <w:pPr>
        <w:pStyle w:val="860"/>
        <w:ind w:firstLine="720"/>
        <w:spacing w:beforeAutospacing="0" w:afterAutospacing="0" w:line="360" w:lineRule="auto"/>
        <w:rPr>
          <w:rFonts w:ascii="宋体" w:hAnsi="宋体" w:cs="宋体"/>
          <w:b/>
          <w:bCs/>
          <w:color w:val="auto"/>
          <w:szCs w:val="24"/>
          <w:highlight w:val="none"/>
        </w:rPr>
      </w:pPr>
      <w:r>
        <w:rPr>
          <w:rFonts w:hint="eastAsia" w:ascii="宋体" w:hAnsi="宋体" w:cs="宋体"/>
          <w:color w:val="auto"/>
          <w:szCs w:val="24"/>
          <w:highlight w:val="none"/>
        </w:rPr>
        <w:t xml:space="preserve">4） 项目管理机构配备情况辅助说明资料</w:t>
      </w:r>
      <w:r>
        <w:rPr>
          <w:rFonts w:hint="eastAsia" w:ascii="宋体" w:hAnsi="宋体" w:cs="宋体"/>
          <w:b/>
          <w:bCs/>
          <w:color w:val="auto"/>
          <w:szCs w:val="24"/>
          <w:highlight w:val="none"/>
        </w:rPr>
        <w:t xml:space="preserve">（格式见附件）</w:t>
      </w:r>
      <w:r/>
    </w:p>
    <w:p>
      <w:pPr>
        <w:pStyle w:val="860"/>
        <w:ind w:firstLine="480"/>
        <w:spacing w:beforeAutospacing="0" w:afterAutospacing="0" w:line="360" w:lineRule="auto"/>
        <w:rPr>
          <w:rFonts w:ascii="宋体" w:hAnsi="宋体" w:cs="宋体"/>
          <w:color w:val="auto"/>
          <w:szCs w:val="24"/>
          <w:highlight w:val="none"/>
        </w:rPr>
      </w:pPr>
      <w:r>
        <w:rPr>
          <w:rFonts w:hint="eastAsia" w:ascii="宋体" w:hAnsi="宋体" w:cs="宋体"/>
          <w:color w:val="auto"/>
          <w:szCs w:val="24"/>
          <w:highlight w:val="none"/>
        </w:rPr>
        <w:t xml:space="preserve">（6）投标偏离表（格式见附件）。</w:t>
      </w:r>
      <w:r/>
    </w:p>
    <w:p>
      <w:pPr>
        <w:ind w:left="480"/>
        <w:spacing w:after="0" w:line="360" w:lineRule="auto"/>
        <w:rPr>
          <w:rFonts w:ascii="宋体" w:hAnsi="宋体"/>
          <w:b/>
          <w:color w:val="auto"/>
          <w:sz w:val="24"/>
          <w:highlight w:val="none"/>
        </w:rPr>
      </w:pPr>
      <w:r>
        <w:rPr>
          <w:rFonts w:hint="eastAsia" w:ascii="宋体" w:hAnsi="宋体"/>
          <w:b/>
          <w:color w:val="auto"/>
          <w:sz w:val="24"/>
          <w:highlight w:val="none"/>
        </w:rPr>
        <w:t xml:space="preserve">2.投标函部分（格式见附件）：</w:t>
      </w:r>
      <w:r/>
    </w:p>
    <w:p>
      <w:pPr>
        <w:ind w:firstLine="480"/>
        <w:spacing w:after="0" w:line="360" w:lineRule="auto"/>
        <w:rPr>
          <w:rFonts w:ascii="宋体" w:hAnsi="宋体"/>
          <w:color w:val="auto"/>
          <w:sz w:val="24"/>
          <w:szCs w:val="21"/>
          <w:highlight w:val="none"/>
        </w:rPr>
      </w:pPr>
      <w:r>
        <w:rPr>
          <w:rFonts w:hint="eastAsia" w:ascii="宋体" w:hAnsi="宋体"/>
          <w:color w:val="auto"/>
          <w:sz w:val="24"/>
          <w:szCs w:val="21"/>
          <w:highlight w:val="none"/>
        </w:rPr>
        <w:t xml:space="preserve">（1）投标函（格式见附件）</w:t>
      </w:r>
      <w:r/>
    </w:p>
    <w:p>
      <w:pPr>
        <w:ind w:firstLine="480"/>
        <w:spacing w:after="0" w:line="360" w:lineRule="auto"/>
        <w:rPr>
          <w:rFonts w:ascii="宋体" w:hAnsi="宋体"/>
          <w:color w:val="auto"/>
          <w:sz w:val="24"/>
          <w:szCs w:val="21"/>
          <w:highlight w:val="none"/>
        </w:rPr>
      </w:pPr>
      <w:r>
        <w:rPr>
          <w:rFonts w:hint="eastAsia" w:ascii="宋体" w:hAnsi="宋体"/>
          <w:color w:val="auto"/>
          <w:sz w:val="24"/>
          <w:szCs w:val="21"/>
          <w:highlight w:val="none"/>
        </w:rPr>
        <w:t xml:space="preserve">（2）开标一览表（格式见附件）</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根据财政部《关于推动解决政府采购异常低价问题的通知》（财库〔2026〕2号）中相关内容：</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（1）评审过程中出现下列情形之一的，评审委员会应当启动异常低价投标（响应）审查程序：</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①投标（响应）报价低于全部通过符合性审查供应商投标（响应）报价平均值50%的，即投标（响应）报价〈全部通过符合性审查供应商投标（响应）报价平均值×50%；</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②投标（响应）报价低于通过符合性审查的次低报价供应商投标（响应）报价50%的，即投标（响应）报价〈通过符合性审查的次低报价供应商投标（响应）报价×50%；</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③投标（响应）报价低于采购项目最高限价45%的，即投标（响应）报价〈采购项目最高限价×45%；</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④评审委员会基于专业判断，认为供应商报价过低，有可能影响产品质量或者不能诚信履约的其他情形。</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after="0" w:line="360" w:lineRule="auto"/>
        <w:widowControl w:val="off"/>
        <w:rPr>
          <w:rFonts w:ascii="宋体" w:hAnsi="宋体"/>
          <w:b/>
          <w:color w:val="auto"/>
          <w:sz w:val="24"/>
          <w:highlight w:val="none"/>
        </w:rPr>
      </w:pPr>
      <w:r>
        <w:rPr>
          <w:rFonts w:hint="eastAsia" w:ascii="宋体" w:hAnsi="宋体"/>
          <w:b/>
          <w:color w:val="auto"/>
          <w:sz w:val="24"/>
          <w:highlight w:val="none"/>
        </w:rPr>
        <w:t xml:space="preserve">3.报价部分</w:t>
      </w:r>
      <w:r/>
    </w:p>
    <w:p>
      <w:pPr>
        <w:ind w:firstLine="482"/>
        <w:spacing w:after="0" w:line="360" w:lineRule="auto"/>
        <w:widowControl w:val="off"/>
        <w:rPr>
          <w:rFonts w:ascii="宋体" w:hAnsi="宋体"/>
          <w:b/>
          <w:color w:val="auto"/>
          <w:sz w:val="24"/>
          <w:highlight w:val="none"/>
        </w:rPr>
      </w:pPr>
      <w:r>
        <w:rPr>
          <w:rFonts w:hint="eastAsia" w:ascii="宋体" w:hAnsi="宋体"/>
          <w:b/>
          <w:color w:val="auto"/>
          <w:sz w:val="24"/>
          <w:highlight w:val="none"/>
        </w:rPr>
        <w:t xml:space="preserve">4.</w:t>
      </w:r>
      <w:r>
        <w:rPr>
          <w:rFonts w:hint="eastAsia" w:ascii="宋体" w:hAnsi="宋体"/>
          <w:b/>
          <w:bCs/>
          <w:color w:val="auto"/>
          <w:sz w:val="24"/>
          <w:highlight w:val="none"/>
        </w:rPr>
        <w:t xml:space="preserve">技术文件部分</w:t>
      </w:r>
      <w:bookmarkEnd w:id="2"/>
      <w:r>
        <w:rPr>
          <w:rFonts w:hint="eastAsia" w:ascii="宋体" w:hAnsi="宋体"/>
          <w:b/>
          <w:color w:val="auto"/>
          <w:sz w:val="24"/>
          <w:highlight w:val="none"/>
        </w:rPr>
        <w:t xml:space="preserve">（暗标，内容参照评标办法）</w:t>
      </w:r>
      <w:r/>
    </w:p>
    <w:p>
      <w:pPr>
        <w:ind w:firstLine="482"/>
        <w:spacing w:after="0" w:line="360" w:lineRule="auto"/>
        <w:widowControl w:val="off"/>
        <w:rPr>
          <w:rFonts w:ascii="宋体" w:hAnsi="宋体"/>
          <w:b/>
          <w:color w:val="auto"/>
          <w:sz w:val="24"/>
          <w:szCs w:val="21"/>
          <w:highlight w:val="none"/>
          <w:u w:val="single"/>
        </w:rPr>
      </w:pPr>
      <w:r>
        <w:rPr>
          <w:rFonts w:hint="eastAsia" w:ascii="宋体" w:hAnsi="宋体"/>
          <w:b/>
          <w:color w:val="auto"/>
          <w:sz w:val="24"/>
          <w:szCs w:val="21"/>
          <w:highlight w:val="none"/>
          <w:u w:val="single"/>
        </w:rPr>
        <w:t xml:space="preserve">特别注意：本项目采用暗标形式。投标供应商须参照评标办法的相关要求对商务部分和技术文件部分分别进行制作。其中技术文件部分属于暗标，投标供应商在制作技术文件部分相关内容时不得有体现投标供应商身份的内容，否则投标无效。</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排版要求：A4版面，黑色、四号宋体字，如有必要，可配以图片、表格辅助说明（图片内字体不作要求，表格中字体为宋体，字号不作限制），暗标文件中均不得体现投标供应商身份。除页码（页码居中，格式为阿拉伯数字小五号，页码应当连续，不得有空白页）外不得设置其他页眉页脚。</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不得有体现投标供应商身份的内容是指：</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①技术部分不得出现能够体现投标供应商身份、名称的相关描述、材料、文件等内容；</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②技术部分不得更改，不得在其中涂改、标注或做任何可以辨认投标供应商及所属人员身份的名称、印章、商标等标记；</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③技术部分应当版面整洁、字迹清楚、不许批注或进行水印等特殊设置，不得采用任何不符合常规、有别于其他投标供应商的特殊做法。文本部分不得出现底纹、阴影等标记；</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④不得有其他体现投标供应商身份的内容。</w:t>
      </w:r>
      <w:r/>
    </w:p>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（六）投标报价说明：</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color w:val="auto"/>
          <w:sz w:val="24"/>
          <w:szCs w:val="21"/>
          <w:highlight w:val="none"/>
        </w:rPr>
        <w:t xml:space="preserve">1.投标报价应包括人员工资、</w:t>
      </w:r>
      <w:r>
        <w:rPr>
          <w:rFonts w:hint="eastAsia" w:ascii="宋体" w:hAnsi="宋体"/>
          <w:color w:val="auto"/>
          <w:sz w:val="24"/>
          <w:szCs w:val="21"/>
          <w:highlight w:val="none"/>
          <w:lang w:val="zh-CN"/>
        </w:rPr>
        <w:t xml:space="preserve">差旅食宿费、文印费、资料搜集、综合整理、文本编制、图件编制、资料费、</w:t>
      </w:r>
      <w:r>
        <w:rPr>
          <w:rFonts w:hint="eastAsia" w:ascii="宋体" w:hAnsi="宋体"/>
          <w:color w:val="auto"/>
          <w:sz w:val="24"/>
          <w:szCs w:val="21"/>
          <w:highlight w:val="none"/>
        </w:rPr>
        <w:t xml:space="preserve">保险、利润、税金等服务期内满足采购人要求的全部费用。投标供应</w:t>
      </w:r>
      <w:r>
        <w:rPr>
          <w:rFonts w:hint="eastAsia" w:ascii="宋体" w:hAnsi="宋体"/>
          <w:bCs/>
          <w:color w:val="auto"/>
          <w:sz w:val="24"/>
          <w:szCs w:val="24"/>
          <w:highlight w:val="none"/>
        </w:rPr>
        <w:t xml:space="preserve">商应充分考虑服务期内所有可能影响到报价的因素（包括最低工资标准和社保基数的政策性调整），一旦投标结束最终中标，不予调整。</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经评标委员会认定投标供应商的投标报价明显低于其他通过符合性审查投标供应商的报价，有可能影响产品质量或者不能诚信履约的，投标供应商必须在60分钟内提供说明或相关证明材料以证明其报价合理性。投标供应商不能证明其报价合理性的，评标委员会应当将其作为无效投标处理。</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5.投标供应商应结合本企业的技术水平，管理水平和拟定的方案自主报价。</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（七）投标文件的要求：</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1.所有文件、往来函件均应使用简体中文（规格、型号辅助符号除外）。</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3.投标供应商报价一律以人民币为报价结算货币，结算单位为“元”。</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4.投标文件格式部分，应由投标供应商按给定格式提供，不得更改。</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5.投标文件不应有涂改、增删和潦草之处，如有必须修改时，修改处必须有法人、法定代表人或法定代表人授权代表的签章。</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6.投标费用自理。</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7.投标供应商应由其法定代表人或法定代表人授权代表在规定的网上投标时间内，凭CA数字证书登录江苏省政府采购（苏采云）平台获取招标文件，在投标客户端制作投标文件（电子数据），并在投标截止时间之前上传投标文件。</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8.投标供应商应对CA数字证书妥善保管，如被他人盗用投标，后果自负。</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9.投标供应商按招标文件规定的网上解密时间进行解密，如未按时解密后果自负。</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10.投标供应商应当对招标文件提出的要求和条件作出实质性响应，并在电子投标系统逐条应答。</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11.投标供应商应对要求提供的资格证明文件（如资质证书、资格证书）、技术资料（如白皮书、彩页、手册、检测报告等）扫描上传至投标系统。</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12.投标供应商进行网上投标请参照《政府采购项目电子交易管理操作指南－供应商》。</w:t>
      </w:r>
      <w:r/>
    </w:p>
    <w:p>
      <w:pPr>
        <w:ind w:firstLine="482"/>
        <w:spacing w:after="0" w:line="360" w:lineRule="auto"/>
        <w:rPr>
          <w:rFonts w:ascii="宋体" w:hAnsi="宋体"/>
          <w:b/>
          <w:color w:val="auto"/>
          <w:sz w:val="24"/>
          <w:highlight w:val="none"/>
        </w:rPr>
      </w:pPr>
      <w:r>
        <w:rPr>
          <w:rFonts w:hint="eastAsia" w:ascii="宋体" w:hAnsi="宋体"/>
          <w:b/>
          <w:color w:val="auto"/>
          <w:sz w:val="24"/>
          <w:highlight w:val="none"/>
        </w:rPr>
        <w:t xml:space="preserve">（八）无效投标文件的确认：</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投标供应商有下列情况之一者，其投标文件无效：</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1.电子投标文件未按规定期限投标的，纸质投标文件（如要求）未按规定的期限、地点送达的；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2.电子投标文件未按招标文件要求签章的；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3.投标供应商的被授权代表无法定代表人授权委托书的；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4.不具备采购文件中规定的资格要求及未按采购文件规定的要求提供资格、资信证明文件的；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5.投标文件未按采购文件规定的格式、内容和要求填写、制作的；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6.投标文件书写潦草、字迹模糊不清、无法辨认的；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7.投标文件中有采购文件未允许提供的选择性内容的；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8.未按采购文件要求解密电子投标文件的；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9.提供虚假材料的（包括工商营业执照、财务报表、资格、资信证明文件等）；</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10.投标文件未按要求制作、递交的；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11.投标文件未加盖投标供应商公章及法定代表人或授权代表签字和盖章的；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12.投标供应商未遵循公平竞争的原则，恶意串通，妨碍其他供应商的竞争行为，损害采购人或者其他供应商的合法权益；</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13.不同投标供应商的投标文件的装订形式、纸张情况、目录序号、排版格式、文字风格等存在明显的相似性或一致性，特征显示由同一单位或者同一个人编制的；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14.不同投标供应商委托同一单位或者个人办理投标事宜；</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15.不同投标供应商的投标文件载明的项目管理成员或者联系人员为同一人；</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16.不同投标供应商投标文件内容存在非正常一致、项目组成员出现同一人、投标文件中错误（或异常）一致或雷同、电子文档信息一致或雷同的；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17.不同投标供应商报价细目呈明显规律性变化，或恶意串通其他投标供应商，故意哄抬价格或压价的；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18.不同投标供应商投标文件相互混装的；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19.不同投标供应商投标文件中的项目相关人员出现同一人的；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20.不同投标供应商聘请同一人为其投标提供技术或经济咨询服务的；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21.不同投标供应商的单位负责人为同一人或者存在直接控股、管理关系的；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22.投标文件中同一方案有选择性报价且未声明以哪一个为准的；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23.投标文件被本项目评委确认为无效投标文件的；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24.未通过初步资格性审查、投标文件资格性检查、投标文件符合性检查的；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25.未按要求提供技术文件的；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26.投标报价超过采购文件中规定的最高限价或者采购预算或者单项最高限价的；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27.投标供应商的投标报价畸高或畸低，投标总报价与各分项报价不能相互对应，在询标时没有合理的解释或者不能提供计算依据和报价依据的；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28.投标报价明显低于其他通过符合性审查供应商的报价，且供应商不能证明其报价合理性，不能在合理的时间内提供书面说明及提交相关证明材料，有可能影响产品及服务质量或者不能诚信履约的；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29.不同供应商的委托代理人、项目经理以及其他相关人员有在同一个单位缴纳社会保险的；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30.同一投标文件中单位名称落款与公章不是同一单位的；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31.投标文件内容不全或不符合法律法规和招标文件中规定的其他实质性要求的；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32.不同投标供应商的投标文件由同一台电脑编制或者同一把数字证书加密锁加密或者同一台附属设备打印的；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33.各投标供应商的投标文件上传使用的 MAC 地址和 IP 地址一致的，不同投标文件留有相同标记标识、存在两处以上一致性错误或雷同等情况，视为投标供应商相互围标、串标，其投标无效；</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34.列入失信被执行人、重大税收违法案件当事人名单、政府采购严重违法失信行为记录名单及其他不符合《中华人民共和国政府采购法》第二十二条规定条件的；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35.投标文件内容不全或不符合招标文件中规定的其他实质性要求的；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
          <w:color w:val="auto"/>
          <w:sz w:val="24"/>
          <w:highlight w:val="none"/>
        </w:rPr>
      </w:pPr>
      <w:r>
        <w:rPr>
          <w:rFonts w:hint="eastAsia" w:ascii="宋体" w:hAnsi="宋体"/>
          <w:b/>
          <w:color w:val="auto"/>
          <w:sz w:val="24"/>
          <w:highlight w:val="none"/>
        </w:rPr>
        <w:t xml:space="preserve">36.电子投标文件中技术文件暗标部分有体现投标供应商身份的内容；</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
          <w:color w:val="auto"/>
          <w:sz w:val="24"/>
          <w:highlight w:val="none"/>
        </w:rPr>
        <w:t xml:space="preserve">37.评标委员会认为投标供应商的报价为异常低价，启动异常低价投标（响应）审查后，投标（响应）供应商在评标现场合理的时间（60分钟）内，不提供书面说明、证明材料，或者提供的书面说明、证明材料不能证明其报价合理性的；</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38.投标供应商未响应采购人提供的采购清单；</w:t>
      </w:r>
      <w:r/>
    </w:p>
    <w:p>
      <w:pPr>
        <w:ind w:firstLine="480"/>
        <w:spacing w:after="0"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39.法律法规和招标文件规定的其他无效情形。</w:t>
      </w:r>
      <w:r/>
    </w:p>
    <w:p>
      <w:pPr>
        <w:ind w:firstLine="480"/>
        <w:spacing w:after="0" w:line="360" w:lineRule="auto"/>
        <w:tabs>
          <w:tab w:val="left" w:pos="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（九）开标、评标：</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1.所有投标单位在招标文件规定的时间内解密各自投标文件。</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2.解密时，供应商须自行准备设备（包括但不限于笔记本电脑、</w:t>
      </w:r>
      <w:r>
        <w:rPr>
          <w:rStyle w:val="1206"/>
          <w:rFonts w:hint="eastAsia" w:ascii="宋体" w:hAnsi="宋体"/>
          <w:color w:val="auto"/>
          <w:sz w:val="24"/>
          <w:highlight w:val="none"/>
        </w:rPr>
        <w:t xml:space="preserve">CA锁、</w:t>
      </w:r>
      <w:r>
        <w:rPr>
          <w:rFonts w:hint="eastAsia" w:ascii="宋体" w:hAnsi="宋体"/>
          <w:color w:val="auto"/>
          <w:sz w:val="24"/>
          <w:highlight w:val="none"/>
        </w:rPr>
        <w:t xml:space="preserve">无线网络）登录“江苏省政府采购（苏采云）平台”，按招标文件规定时间解密后，在评审过程中保持在线，等待评标委员会的询问，并等待评审结果，中途不得离开。如未按要求应答，由此所产生的损失及风险由供应商自行承担。</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3.投标供应商如果对开标过程和开标记录有疑义，应当根据《操作手册》规定提出，如“苏采云”系统中《开标记录表》宣布后5分钟内未提出的，视同认可开标结果。</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4.投标截止时间后参加投标的供应商或解密投标文件的供应商不足三家的，不开标；开标后，所有投标供应商可在线上开标大厅中看到所有投标供应商的投标报价。</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5.投标文件的审查</w:t>
      </w:r>
      <w:r/>
    </w:p>
    <w:p>
      <w:pPr>
        <w:pStyle w:val="1208"/>
        <w:ind w:firstLine="482"/>
        <w:spacing w:after="0"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（1）投标文件报价出现前后不一致的，按照下列规定修正：</w:t>
      </w:r>
      <w:r/>
    </w:p>
    <w:p>
      <w:pPr>
        <w:pStyle w:val="1208"/>
        <w:ind w:firstLine="482"/>
        <w:spacing w:after="0"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①投标文件中开标一览表（报价表）内容与投标文件中相应内容不一致的，以开标一览表（报价表）为准；</w:t>
      </w:r>
      <w:r/>
    </w:p>
    <w:p>
      <w:pPr>
        <w:pStyle w:val="1208"/>
        <w:ind w:firstLine="482"/>
        <w:spacing w:after="0"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②大写金额和小写金额不一致的，以大写金额为准；</w:t>
      </w:r>
      <w:r/>
    </w:p>
    <w:p>
      <w:pPr>
        <w:pStyle w:val="1208"/>
        <w:ind w:firstLine="482"/>
        <w:spacing w:after="0"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③单价金额小数点或者百分比有明显错位的，以开标一览表的总价为准，并修改单价；</w:t>
      </w:r>
      <w:r/>
    </w:p>
    <w:p>
      <w:pPr>
        <w:pStyle w:val="1208"/>
        <w:ind w:firstLine="482"/>
        <w:spacing w:after="0"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④总价金额与按单价汇总金额不一致的，以单价金额计算结果为准。</w:t>
      </w:r>
      <w:r/>
    </w:p>
    <w:p>
      <w:pPr>
        <w:pStyle w:val="1208"/>
        <w:ind w:firstLine="482"/>
        <w:spacing w:after="0"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⑤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r/>
    </w:p>
    <w:p>
      <w:pPr>
        <w:pStyle w:val="1208"/>
        <w:ind w:firstLine="482"/>
        <w:spacing w:after="0"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（2）电子投标文件与纸质投标文件（如有）不符的，以电子投标文件为准。</w:t>
      </w:r>
      <w:r/>
    </w:p>
    <w:p>
      <w:pPr>
        <w:pStyle w:val="1208"/>
        <w:ind w:firstLine="480"/>
        <w:spacing w:after="0"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（3）投标供应商未参加开标的，视同认可开标结果。</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6.评标程序</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评标工作由江苏仁合中惠工程咨询有限公司负责组织，具体评标事务由依法组建的评标委员会负责。</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（1）投标文件初审。初审分为资格性检查和符合性检查。</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A．资格性检查。采购人依据法律法规和招标文件的规定，对投标文件中的资格证明、投标（报价）承诺函等进行审查；通过“信用中国”网站（www.creditchina.gov.cn）、中国政府采购网（www.ccgp.gov.cn）、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C.未通过资格审查或符合性审查的投标供应商，将在“苏采云”系统中告知未通过资格审查或符合性审查的原因，评标结束后，将不再告知未通过资格审查和符合性审查的原因。</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D.在详细评标之前，评委会将首先审查每份投标文件是否实质性响应了招标文件的要求。实质性响应的投标应该是与招标文件要求的全部条款、条件和规格相符，没有重大偏离或保留的投标。</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E.如果投标文件实质上没有响应招标文件的要求，评委会将予以拒绝，其投标文件无效，投标供应商不得通过修改或撤销不符合要求的偏离或保留而使其投标成为实质性响应的投标。</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（2）澄清有关问题。对投标文件中含义不明确、同类问题表述不一致或者有明显文字和计算错误的</w:t>
      </w:r>
      <w:r>
        <w:rPr>
          <w:rFonts w:hint="eastAsia" w:ascii="宋体" w:hAnsi="宋体"/>
          <w:color w:val="auto"/>
          <w:sz w:val="24"/>
          <w:highlight w:val="none"/>
        </w:rPr>
        <w:t xml:space="preserve">内容，评标委员会有权要求投标供应商作出必要的澄清、说明或者补正。投标供应商的澄清、说明或者补正不得超出投标文件的范围或者改变投标文件的实质性内容。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委会澄清、说明和补正要求的投标供应商如未按规定及时作出澄清、说明和补正，其风险由投标供应商自行承担。</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7.评标方法</w:t>
      </w:r>
      <w:r/>
    </w:p>
    <w:p>
      <w:pPr>
        <w:ind w:firstLine="480"/>
        <w:spacing w:after="0" w:line="360" w:lineRule="auto"/>
        <w:tabs>
          <w:tab w:val="left" w:pos="525" w:leader="none"/>
          <w:tab w:val="left" w:pos="1050" w:leader="none"/>
        </w:tabs>
        <w:rPr>
          <w:color w:val="auto"/>
          <w:sz w:val="24"/>
          <w:highlight w:val="none"/>
        </w:rPr>
      </w:pPr>
      <w:r>
        <w:rPr>
          <w:rFonts w:hint="eastAsia" w:ascii="宋体" w:hAnsi="宋体"/>
          <w:color w:val="auto"/>
          <w:sz w:val="24"/>
          <w:highlight w:val="none"/>
        </w:rPr>
        <w:t xml:space="preserve">投标供应商通过初审的，方可进入比较与评价程序。</w:t>
      </w:r>
      <w:r/>
    </w:p>
    <w:p>
      <w:pPr>
        <w:ind w:firstLine="523"/>
        <w:spacing w:after="0" w:line="360" w:lineRule="auto"/>
        <w:rPr>
          <w:color w:val="auto"/>
          <w:sz w:val="24"/>
          <w:highlight w:val="none"/>
        </w:rPr>
      </w:pPr>
      <w:r>
        <w:rPr>
          <w:rFonts w:hint="eastAsia" w:ascii="宋体" w:hAnsi="宋体"/>
          <w:color w:val="auto"/>
          <w:sz w:val="24"/>
          <w:highlight w:val="none"/>
        </w:rPr>
        <w:t xml:space="preserve">比较与评价采用综合评分法（计分均保留2位小数）。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ascii="宋体" w:hAnsi="宋体"/>
          <w:bCs/>
          <w:color w:val="auto"/>
          <w:sz w:val="24"/>
          <w:szCs w:val="20"/>
          <w:highlight w:val="none"/>
        </w:rPr>
        <w:t xml:space="preserve">按</w:t>
      </w:r>
      <w:r>
        <w:rPr>
          <w:rFonts w:hint="eastAsia" w:ascii="宋体" w:hAnsi="宋体"/>
          <w:bCs/>
          <w:color w:val="auto"/>
          <w:sz w:val="24"/>
          <w:szCs w:val="20"/>
          <w:highlight w:val="none"/>
        </w:rPr>
        <w:t xml:space="preserve">技术标</w:t>
      </w:r>
      <w:r>
        <w:rPr>
          <w:rFonts w:ascii="宋体" w:hAnsi="宋体"/>
          <w:bCs/>
          <w:color w:val="auto"/>
          <w:sz w:val="24"/>
          <w:szCs w:val="20"/>
          <w:highlight w:val="none"/>
        </w:rPr>
        <w:t xml:space="preserve">指标优劣顺序排列</w:t>
      </w:r>
      <w:r>
        <w:rPr>
          <w:rFonts w:hint="eastAsia" w:ascii="宋体" w:hAnsi="宋体"/>
          <w:bCs/>
          <w:color w:val="auto"/>
          <w:sz w:val="24"/>
          <w:szCs w:val="20"/>
          <w:highlight w:val="none"/>
        </w:rPr>
        <w:t xml:space="preserve">。</w:t>
      </w:r>
      <w:r>
        <w:rPr>
          <w:rFonts w:hint="eastAsia" w:ascii="宋体" w:hAnsi="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after="0" w:line="360" w:lineRule="auto"/>
        <w:rPr>
          <w:rFonts w:ascii="宋体"/>
          <w:b/>
          <w:bCs/>
          <w:color w:val="auto"/>
          <w:sz w:val="24"/>
          <w:highlight w:val="none"/>
        </w:rPr>
      </w:pPr>
      <w:r>
        <w:rPr>
          <w:rFonts w:hint="eastAsia" w:ascii="宋体" w:hAnsi="宋体"/>
          <w:color w:val="auto"/>
          <w:sz w:val="24"/>
          <w:highlight w:val="none"/>
        </w:rPr>
        <w:t xml:space="preserve">8.评分标准</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（一）评分项目及总分（总分100分）</w:t>
      </w:r>
      <w:r/>
    </w:p>
    <w:p>
      <w:pPr>
        <w:ind w:firstLine="482"/>
        <w:spacing w:after="0" w:line="360" w:lineRule="auto"/>
        <w:rPr>
          <w:rFonts w:ascii="宋体" w:hAnsi="宋体"/>
          <w:b/>
          <w:color w:val="auto"/>
          <w:sz w:val="24"/>
          <w:highlight w:val="none"/>
        </w:rPr>
      </w:pPr>
      <w:r>
        <w:rPr>
          <w:rFonts w:hint="eastAsia" w:ascii="宋体" w:hAnsi="宋体"/>
          <w:b/>
          <w:color w:val="auto"/>
          <w:sz w:val="24"/>
          <w:highlight w:val="none"/>
        </w:rPr>
        <w:t xml:space="preserve">（1）报价                                   20分</w:t>
      </w:r>
      <w:r/>
    </w:p>
    <w:p>
      <w:pPr>
        <w:ind w:firstLine="482"/>
        <w:spacing w:after="0" w:line="360" w:lineRule="auto"/>
        <w:rPr>
          <w:rFonts w:ascii="宋体" w:hAnsi="宋体"/>
          <w:b/>
          <w:color w:val="auto"/>
          <w:sz w:val="24"/>
          <w:highlight w:val="none"/>
        </w:rPr>
      </w:pPr>
      <w:r>
        <w:rPr>
          <w:rFonts w:hint="eastAsia" w:ascii="宋体" w:hAnsi="宋体"/>
          <w:b/>
          <w:bCs/>
          <w:color w:val="auto"/>
          <w:sz w:val="24"/>
          <w:highlight w:val="none"/>
        </w:rPr>
        <w:t xml:space="preserve">（2）</w:t>
      </w:r>
      <w:r>
        <w:rPr>
          <w:rFonts w:hint="eastAsia" w:ascii="宋体" w:hAnsi="宋体"/>
          <w:b/>
          <w:color w:val="auto"/>
          <w:sz w:val="24"/>
          <w:highlight w:val="none"/>
        </w:rPr>
        <w:t xml:space="preserve">投标供应商评价                         20分</w:t>
      </w:r>
      <w:r/>
    </w:p>
    <w:p>
      <w:pPr>
        <w:ind w:firstLine="482"/>
        <w:spacing w:after="0" w:line="360" w:lineRule="auto"/>
        <w:rPr>
          <w:rFonts w:ascii="宋体" w:hAnsi="宋体"/>
          <w:b/>
          <w:color w:val="auto"/>
          <w:sz w:val="24"/>
          <w:highlight w:val="none"/>
        </w:rPr>
      </w:pPr>
      <w:r>
        <w:rPr>
          <w:rFonts w:hint="eastAsia" w:ascii="宋体" w:hAnsi="宋体"/>
          <w:b/>
          <w:color w:val="auto"/>
          <w:sz w:val="24"/>
          <w:highlight w:val="none"/>
        </w:rPr>
        <w:t xml:space="preserve">（3）技术文件                               60分</w:t>
      </w:r>
      <w:r/>
    </w:p>
    <w:p>
      <w:pPr>
        <w:ind w:firstLine="482"/>
        <w:spacing w:after="0" w:line="470" w:lineRule="exact"/>
        <w:rPr>
          <w:rFonts w:hAnsi="宋体"/>
          <w:b/>
          <w:bCs/>
          <w:color w:val="auto"/>
          <w:sz w:val="24"/>
          <w:szCs w:val="24"/>
          <w:highlight w:val="none"/>
        </w:rPr>
      </w:pPr>
      <w:r>
        <w:rPr>
          <w:rFonts w:hint="eastAsia" w:hAnsi="宋体"/>
          <w:b/>
          <w:bCs/>
          <w:color w:val="auto"/>
          <w:sz w:val="24"/>
          <w:szCs w:val="24"/>
          <w:highlight w:val="none"/>
        </w:rPr>
        <w:t xml:space="preserve">（二）各项目评分标准</w:t>
      </w:r>
      <w:r/>
    </w:p>
    <w:p>
      <w:pPr>
        <w:ind w:firstLine="482"/>
        <w:spacing w:after="0"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1.报价（20分）</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投标报价得分=（评标基准价/投标报价）×价格权重（结果保留两位小数）</w:t>
      </w:r>
      <w:r/>
    </w:p>
    <w:p>
      <w:pPr>
        <w:ind w:firstLine="482"/>
        <w:spacing w:after="0" w:line="360" w:lineRule="auto"/>
        <w:rPr>
          <w:rFonts w:ascii="宋体" w:hAnsi="宋体"/>
          <w:b/>
          <w:bCs/>
          <w:color w:val="auto"/>
          <w:sz w:val="24"/>
          <w:highlight w:val="none"/>
        </w:rPr>
      </w:pPr>
      <w:r>
        <w:rPr>
          <w:rFonts w:hint="eastAsia" w:ascii="宋体" w:hAnsi="宋体"/>
          <w:b/>
          <w:bCs/>
          <w:color w:val="auto"/>
          <w:sz w:val="24"/>
          <w:highlight w:val="none"/>
        </w:rPr>
        <w:t xml:space="preserve">采购项目需要落实的政府采购政策及注意事项如下：</w:t>
      </w:r>
      <w:r/>
    </w:p>
    <w:p>
      <w:pPr>
        <w:ind w:firstLine="600"/>
        <w:spacing w:after="0" w:line="360" w:lineRule="auto"/>
        <w:rPr>
          <w:rFonts w:ascii="宋体" w:hAnsi="宋体"/>
          <w:color w:val="auto"/>
          <w:sz w:val="24"/>
          <w:highlight w:val="none"/>
        </w:rPr>
      </w:pPr>
      <w:r>
        <w:rPr>
          <w:rFonts w:hint="eastAsia" w:ascii="宋体" w:hAnsi="宋体"/>
          <w:color w:val="auto"/>
          <w:sz w:val="24"/>
          <w:highlight w:val="none"/>
        </w:rPr>
        <w:t xml:space="preserve">①对小型和微型企业产品、残疾人福利性单位产品、监狱和戒毒企业产品的价格给予10%的扣除，用扣除后的价格计算评标基准价和投标报价。</w:t>
      </w:r>
      <w:r/>
    </w:p>
    <w:p>
      <w:pPr>
        <w:ind w:firstLine="600"/>
        <w:spacing w:after="0" w:line="360" w:lineRule="auto"/>
        <w:rPr>
          <w:rFonts w:ascii="宋体" w:hAnsi="宋体"/>
          <w:color w:val="auto"/>
          <w:sz w:val="24"/>
          <w:highlight w:val="none"/>
        </w:rPr>
      </w:pPr>
      <w:r>
        <w:rPr>
          <w:rFonts w:hint="eastAsia" w:ascii="宋体" w:hAnsi="宋体"/>
          <w:color w:val="auto"/>
          <w:sz w:val="24"/>
          <w:highlight w:val="none"/>
        </w:rPr>
        <w:t xml:space="preserve">②参加投标（报价）的中小企业，应当按照《政府采购促进中小企业发展管理办法》（财库〔2020〕46号）的规定提供《中小企业声明函》（格式见附件）（中小企业划型标准详见《关于印发中小企业划型标准规定的通知》工信部联企业〔2011〕300号）。</w:t>
      </w:r>
      <w:r/>
    </w:p>
    <w:p>
      <w:pPr>
        <w:ind w:firstLine="600"/>
        <w:spacing w:after="0" w:line="360" w:lineRule="auto"/>
        <w:rPr>
          <w:rFonts w:ascii="宋体" w:hAnsi="宋体"/>
          <w:color w:val="auto"/>
          <w:sz w:val="24"/>
          <w:highlight w:val="none"/>
        </w:rPr>
      </w:pPr>
      <w:r>
        <w:rPr>
          <w:rFonts w:hint="eastAsia" w:ascii="宋体" w:hAnsi="宋体"/>
          <w:color w:val="auto"/>
          <w:sz w:val="24"/>
          <w:highlight w:val="none"/>
        </w:rPr>
        <w:t xml:space="preserve">③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r/>
    </w:p>
    <w:p>
      <w:pPr>
        <w:ind w:firstLine="600"/>
        <w:spacing w:after="0" w:line="360" w:lineRule="auto"/>
        <w:rPr>
          <w:rFonts w:ascii="宋体" w:hAnsi="宋体"/>
          <w:color w:val="auto"/>
          <w:sz w:val="24"/>
          <w:highlight w:val="none"/>
        </w:rPr>
      </w:pPr>
      <w:r>
        <w:rPr>
          <w:rFonts w:hint="eastAsia" w:ascii="宋体" w:hAnsi="宋体"/>
          <w:color w:val="auto"/>
          <w:sz w:val="24"/>
          <w:highlight w:val="none"/>
        </w:rPr>
        <w:t xml:space="preserve">④参加投标（报价）的监狱和戒毒企业应当按照《财政部司法部关于政府采购支持监狱企业发展有关问题的通知》（财库〔2014〕68号）的规定，提供由省级以上监狱管理局、戒毒管理局（含新疆生产建设兵团）出具的属于监狱企业的证明文件。</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⑤如未按前述要求填写和提供有效证明或相关内容表述不清的，不得享受价格扣除。</w:t>
      </w:r>
      <w:r>
        <w:rPr>
          <w:rFonts w:hint="eastAsia" w:ascii="宋体" w:hAnsi="宋体"/>
          <w:b/>
          <w:bCs/>
          <w:color w:val="auto"/>
          <w:sz w:val="24"/>
          <w:highlight w:val="none"/>
        </w:rPr>
        <w:t xml:space="preserve">同一供应商，上述价格扣除优惠不得重复享受。</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⑥对本国产品的支持政策：根据《国务院办公厅关于在政府采购中实施本国产品标准及相关政策的通知》（国办发〔2025〕34号）要求，本项目对采购本国产品给予政策支持。关于本国产品标准和本国产品标准的适用范围详见《国务院办公厅关于在政府采购中实施本国产品标准及相关政策的通知》（国办发〔2025〕34号）。</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注意事项：</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spacing w:after="0" w:line="360" w:lineRule="auto"/>
        <w:rPr>
          <w:rFonts w:ascii="宋体" w:hAnsi="宋体"/>
          <w:b/>
          <w:bCs/>
          <w:color w:val="auto"/>
          <w:sz w:val="24"/>
          <w:highlight w:val="none"/>
          <w:u w:val="single"/>
        </w:rPr>
      </w:pPr>
      <w:r>
        <w:rPr>
          <w:rFonts w:hint="eastAsia" w:ascii="宋体" w:hAnsi="宋体"/>
          <w:b/>
          <w:bCs/>
          <w:color w:val="auto"/>
          <w:sz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highlight w:val="none"/>
          <w:u w:val="single"/>
        </w:rPr>
        <w:t xml:space="preserve">对于仅有本国产品参与竞争的政府采购项目或采购包，本国产品不享受价格扣除评审优惠。</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1）提供本国产品进行投标（报价）的供应商需在其</w:t>
      </w:r>
      <w:r>
        <w:rPr>
          <w:rFonts w:hint="eastAsia" w:ascii="宋体" w:hAnsi="宋体"/>
          <w:color w:val="auto"/>
          <w:sz w:val="24"/>
          <w:highlight w:val="none"/>
        </w:rPr>
        <w:t xml:space="preserve">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2）当采购项目或者采购包中含有多种产品，除按上述要求提供《关于符合本国产品标准的声明函》外，供应商还应在《分项报价表》中进行承诺（格式见附件），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即，当小微型企业价格扣除政策和本国产品价格扣除政策同时享受时，按以下计算方式进行计算：</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供应商参与评审的报价=供应商投标总报价×[1-（小微型企业价格扣除+本国产品价格扣除）]</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例如，供应商总报价1000000元，经认定可以享受小微型企业价格扣除政策以及本国产品价格扣除政策的，则该供应商参与评审的报价为：</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1000000×[1-（10%+20%）]=700000元</w:t>
      </w:r>
      <w:r/>
    </w:p>
    <w:p>
      <w:pPr>
        <w:spacing w:after="0" w:line="360" w:lineRule="auto"/>
        <w:tabs>
          <w:tab w:val="left" w:pos="945" w:leader="none"/>
        </w:tabs>
        <w:rPr>
          <w:rFonts w:ascii="宋体" w:hAnsi="宋体"/>
          <w:b/>
          <w:bCs/>
          <w:color w:val="auto"/>
          <w:sz w:val="24"/>
          <w:highlight w:val="none"/>
        </w:rPr>
      </w:pPr>
      <w:r>
        <w:rPr>
          <w:rFonts w:hint="eastAsia" w:ascii="宋体" w:hAnsi="宋体"/>
          <w:b/>
          <w:bCs/>
          <w:color w:val="auto"/>
          <w:sz w:val="24"/>
          <w:highlight w:val="none"/>
        </w:rPr>
        <w:t xml:space="preserve">2.投标供应商评价（20分）</w:t>
      </w:r>
      <w:r/>
    </w:p>
    <w:p>
      <w:pPr>
        <w:spacing w:after="0" w:line="360" w:lineRule="auto"/>
        <w:tabs>
          <w:tab w:val="left" w:pos="945" w:leader="none"/>
        </w:tabs>
        <w:rPr>
          <w:rFonts w:ascii="宋体" w:hAnsi="宋体"/>
          <w:b/>
          <w:bCs/>
          <w:color w:val="auto"/>
          <w:sz w:val="24"/>
          <w:highlight w:val="none"/>
        </w:rPr>
      </w:pPr>
      <w:r>
        <w:rPr>
          <w:rFonts w:hint="eastAsia" w:ascii="宋体" w:hAnsi="宋体"/>
          <w:b/>
          <w:color w:val="auto"/>
          <w:sz w:val="24"/>
          <w:highlight w:val="none"/>
        </w:rPr>
        <w:t xml:space="preserve">（1）业绩</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分）</w:t>
      </w:r>
      <w:r/>
    </w:p>
    <w:p>
      <w:pPr>
        <w:ind w:firstLine="482"/>
        <w:spacing w:after="0" w:line="360" w:lineRule="auto"/>
        <w:tabs>
          <w:tab w:val="left" w:pos="945" w:leader="none"/>
        </w:tabs>
        <w:rPr>
          <w:rFonts w:hint="eastAsia" w:ascii="宋体" w:hAnsi="宋体"/>
          <w:b/>
          <w:bCs/>
          <w:color w:val="auto"/>
          <w:sz w:val="24"/>
          <w:highlight w:val="none"/>
        </w:rPr>
      </w:pPr>
      <w:r>
        <w:rPr>
          <w:rFonts w:hint="eastAsia" w:ascii="宋体" w:hAnsi="宋体"/>
          <w:b/>
          <w:bCs/>
          <w:color w:val="auto"/>
          <w:sz w:val="24"/>
          <w:highlight w:val="none"/>
        </w:rPr>
        <w:t xml:space="preserve">供应商自2021年9月1日以来承接过与本项目节制闸启闭机安装基本类似业绩的，有1个得2分，本项最高得6分。</w:t>
      </w:r>
      <w:r/>
    </w:p>
    <w:p>
      <w:pPr>
        <w:ind w:firstLine="482"/>
        <w:spacing w:after="0" w:line="360" w:lineRule="auto"/>
        <w:tabs>
          <w:tab w:val="left" w:pos="945" w:leader="none"/>
        </w:tabs>
        <w:rPr>
          <w:rFonts w:hint="eastAsia" w:ascii="宋体" w:hAnsi="宋体"/>
          <w:b/>
          <w:bCs/>
          <w:color w:val="000000" w:themeColor="text1"/>
          <w:sz w:val="24"/>
          <w:highlight w:val="none"/>
        </w:rPr>
      </w:pPr>
      <w:r>
        <w:rPr>
          <w:rFonts w:hint="eastAsia" w:ascii="宋体" w:hAnsi="宋体"/>
          <w:b/>
          <w:bCs/>
          <w:color w:val="auto"/>
          <w:sz w:val="24"/>
          <w:highlight w:val="none"/>
        </w:rPr>
        <w:t xml:space="preserve">（业绩</w:t>
      </w:r>
      <w:r>
        <w:rPr>
          <w:rFonts w:hint="eastAsia" w:ascii="宋体" w:hAnsi="宋体"/>
          <w:b/>
          <w:bCs/>
          <w:color w:val="000000" w:themeColor="text1"/>
          <w:sz w:val="24"/>
          <w:highlight w:val="none"/>
        </w:rPr>
        <w:t xml:space="preserve">证明材料须提供：合同协议书、合同完（交）工验收资料或发包人验收等证明材料原件扫描件上传至电子投标文件，时间以合同完（交）工验收或发包人验收</w:t>
      </w:r>
      <w:r>
        <w:rPr>
          <w:rFonts w:hint="eastAsia" w:ascii="宋体" w:hAnsi="宋体"/>
          <w:b/>
          <w:bCs/>
          <w:color w:val="000000" w:themeColor="text1"/>
          <w:sz w:val="24"/>
          <w:highlight w:val="none"/>
          <w:lang w:val="en-US" w:eastAsia="zh-CN"/>
        </w:rPr>
        <w:t xml:space="preserve">时间</w:t>
      </w:r>
      <w:r>
        <w:rPr>
          <w:rFonts w:hint="eastAsia" w:ascii="宋体" w:hAnsi="宋体"/>
          <w:b/>
          <w:bCs/>
          <w:color w:val="000000" w:themeColor="text1"/>
          <w:sz w:val="24"/>
          <w:highlight w:val="none"/>
        </w:rPr>
        <w:t xml:space="preserve">为准）</w:t>
      </w:r>
      <w:r>
        <w:rPr>
          <w:color w:val="000000" w:themeColor="text1"/>
        </w:rPr>
      </w:r>
      <w:r/>
    </w:p>
    <w:p>
      <w:pPr>
        <w:spacing w:after="0" w:line="360" w:lineRule="auto"/>
        <w:tabs>
          <w:tab w:val="left" w:pos="945" w:leader="none"/>
        </w:tabs>
        <w:rPr>
          <w:rFonts w:ascii="宋体" w:hAnsi="宋体"/>
          <w:b/>
          <w:bCs/>
          <w:color w:val="000000" w:themeColor="text1"/>
          <w:sz w:val="24"/>
          <w:highlight w:val="none"/>
        </w:rPr>
      </w:pPr>
      <w:r>
        <w:rPr>
          <w:rFonts w:hint="eastAsia" w:ascii="宋体" w:hAnsi="宋体"/>
          <w:b/>
          <w:bCs/>
          <w:color w:val="000000" w:themeColor="text1"/>
          <w:sz w:val="24"/>
          <w:highlight w:val="none"/>
        </w:rPr>
        <w:t xml:space="preserve">（2）</w:t>
      </w:r>
      <w:r>
        <w:rPr>
          <w:rFonts w:hint="eastAsia" w:ascii="宋体" w:hAnsi="宋体"/>
          <w:b/>
          <w:bCs/>
          <w:color w:val="000000" w:themeColor="text1"/>
          <w:sz w:val="24"/>
          <w:highlight w:val="none"/>
          <w:lang w:val="en-US" w:eastAsia="zh-CN"/>
        </w:rPr>
        <w:t xml:space="preserve">人员配置（10分）</w:t>
      </w:r>
      <w:r>
        <w:rPr>
          <w:color w:val="000000" w:themeColor="text1"/>
        </w:rPr>
      </w:r>
      <w:r/>
    </w:p>
    <w:p>
      <w:pPr>
        <w:ind w:firstLine="482"/>
        <w:spacing w:after="0" w:line="360" w:lineRule="auto"/>
        <w:rPr>
          <w:rFonts w:hint="default" w:ascii="宋体" w:hAnsi="宋体" w:eastAsia="宋体"/>
          <w:bCs/>
          <w:color w:val="000000" w:themeColor="text1"/>
          <w:sz w:val="24"/>
          <w:highlight w:val="none"/>
        </w:rPr>
      </w:pPr>
      <w:r>
        <w:rPr>
          <w:rFonts w:hint="default" w:ascii="Calibri" w:hAnsi="Calibri" w:cs="Calibri"/>
          <w:bCs/>
          <w:color w:val="000000" w:themeColor="text1"/>
          <w:sz w:val="24"/>
          <w:highlight w:val="none"/>
        </w:rPr>
        <w:t xml:space="preserve">①</w:t>
      </w:r>
      <w:r>
        <w:rPr>
          <w:rFonts w:hint="eastAsia" w:ascii="宋体" w:hAnsi="宋体"/>
          <w:bCs/>
          <w:color w:val="000000" w:themeColor="text1"/>
          <w:sz w:val="24"/>
          <w:highlight w:val="none"/>
        </w:rPr>
        <w:t xml:space="preserve">项目经理具备水利水电专业注册建造师</w:t>
      </w:r>
      <w:r>
        <w:rPr>
          <w:rFonts w:hint="eastAsia" w:ascii="宋体" w:hAnsi="宋体"/>
          <w:bCs/>
          <w:color w:val="000000" w:themeColor="text1"/>
          <w:sz w:val="24"/>
          <w:highlight w:val="none"/>
          <w:lang w:val="en-US" w:eastAsia="zh-CN"/>
        </w:rPr>
        <w:t xml:space="preserve">一</w:t>
      </w:r>
      <w:r>
        <w:rPr>
          <w:rFonts w:hint="eastAsia" w:ascii="宋体" w:hAnsi="宋体"/>
          <w:bCs/>
          <w:color w:val="000000" w:themeColor="text1"/>
          <w:sz w:val="24"/>
          <w:highlight w:val="none"/>
        </w:rPr>
        <w:t xml:space="preserve">级资格的</w:t>
      </w:r>
      <w:r>
        <w:rPr>
          <w:rFonts w:hint="eastAsia" w:ascii="宋体" w:hAnsi="宋体"/>
          <w:bCs/>
          <w:color w:val="000000" w:themeColor="text1"/>
          <w:sz w:val="24"/>
          <w:highlight w:val="none"/>
          <w:lang w:eastAsia="zh-CN"/>
        </w:rPr>
        <w:t xml:space="preserve">，</w:t>
      </w:r>
      <w:r>
        <w:rPr>
          <w:rFonts w:hint="eastAsia" w:ascii="宋体" w:hAnsi="宋体"/>
          <w:bCs/>
          <w:color w:val="000000" w:themeColor="text1"/>
          <w:sz w:val="24"/>
          <w:highlight w:val="none"/>
          <w:lang w:val="en-US" w:eastAsia="zh-CN"/>
        </w:rPr>
        <w:t xml:space="preserve">得1分；具备水利类高级职称证书的得1分，本项最高得2分。</w:t>
      </w:r>
      <w:r>
        <w:rPr>
          <w:rFonts w:hint="eastAsia" w:ascii="宋体" w:hAnsi="宋体"/>
          <w:b/>
          <w:color w:val="000000" w:themeColor="text1"/>
          <w:sz w:val="24"/>
          <w:highlight w:val="none"/>
        </w:rPr>
        <w:t xml:space="preserve">（提供有效证书复印件或扫描件并加盖供应商公章上传至电子投标文件中，不提供不得分）</w:t>
      </w:r>
      <w:r>
        <w:rPr>
          <w:color w:val="000000" w:themeColor="text1"/>
        </w:rPr>
      </w:r>
      <w:r/>
    </w:p>
    <w:p>
      <w:pPr>
        <w:ind w:firstLine="482"/>
        <w:spacing w:after="0" w:line="360" w:lineRule="auto"/>
        <w:rPr>
          <w:rFonts w:ascii="宋体" w:hAnsi="宋体"/>
          <w:b/>
          <w:color w:val="000000" w:themeColor="text1"/>
          <w:sz w:val="24"/>
          <w:highlight w:val="none"/>
        </w:rPr>
      </w:pPr>
      <w:r>
        <w:rPr>
          <w:rFonts w:hint="default" w:ascii="Calibri" w:hAnsi="Calibri" w:cs="Calibri"/>
          <w:bCs/>
          <w:color w:val="000000" w:themeColor="text1"/>
          <w:sz w:val="24"/>
          <w:highlight w:val="none"/>
        </w:rPr>
        <w:t xml:space="preserve">②</w:t>
      </w:r>
      <w:r>
        <w:rPr>
          <w:rFonts w:hint="eastAsia" w:ascii="宋体" w:hAnsi="宋体"/>
          <w:bCs/>
          <w:color w:val="000000" w:themeColor="text1"/>
          <w:sz w:val="24"/>
          <w:highlight w:val="none"/>
        </w:rPr>
        <w:t xml:space="preserve">技术负责人具备水利类工程师职称证书的得</w:t>
      </w:r>
      <w:r>
        <w:rPr>
          <w:rFonts w:hint="eastAsia" w:ascii="宋体" w:hAnsi="宋体"/>
          <w:bCs/>
          <w:color w:val="000000" w:themeColor="text1"/>
          <w:sz w:val="24"/>
          <w:highlight w:val="none"/>
          <w:lang w:val="en-US" w:eastAsia="zh-CN"/>
        </w:rPr>
        <w:t xml:space="preserve">0.5</w:t>
      </w:r>
      <w:r>
        <w:rPr>
          <w:rFonts w:hint="eastAsia" w:ascii="宋体" w:hAnsi="宋体"/>
          <w:bCs/>
          <w:color w:val="000000" w:themeColor="text1"/>
          <w:sz w:val="24"/>
          <w:highlight w:val="none"/>
        </w:rPr>
        <w:t xml:space="preserve">分；具备水利类高级职称证书的得</w:t>
      </w:r>
      <w:r>
        <w:rPr>
          <w:rFonts w:hint="eastAsia" w:ascii="宋体" w:hAnsi="宋体"/>
          <w:bCs/>
          <w:color w:val="000000" w:themeColor="text1"/>
          <w:sz w:val="24"/>
          <w:highlight w:val="none"/>
          <w:lang w:val="en-US" w:eastAsia="zh-CN"/>
        </w:rPr>
        <w:t xml:space="preserve">1</w:t>
      </w:r>
      <w:r>
        <w:rPr>
          <w:rFonts w:hint="eastAsia" w:ascii="宋体" w:hAnsi="宋体"/>
          <w:bCs/>
          <w:color w:val="000000" w:themeColor="text1"/>
          <w:sz w:val="24"/>
          <w:highlight w:val="none"/>
        </w:rPr>
        <w:t xml:space="preserve">分；本项最高得</w:t>
      </w:r>
      <w:r>
        <w:rPr>
          <w:rFonts w:hint="eastAsia" w:ascii="宋体" w:hAnsi="宋体"/>
          <w:bCs/>
          <w:color w:val="000000" w:themeColor="text1"/>
          <w:sz w:val="24"/>
          <w:highlight w:val="none"/>
          <w:lang w:val="en-US" w:eastAsia="zh-CN"/>
        </w:rPr>
        <w:t xml:space="preserve">1</w:t>
      </w:r>
      <w:r>
        <w:rPr>
          <w:rFonts w:hint="eastAsia" w:ascii="宋体" w:hAnsi="宋体"/>
          <w:bCs/>
          <w:color w:val="000000" w:themeColor="text1"/>
          <w:sz w:val="24"/>
          <w:highlight w:val="none"/>
        </w:rPr>
        <w:t xml:space="preserve">分。</w:t>
      </w:r>
      <w:r>
        <w:rPr>
          <w:rFonts w:hint="eastAsia" w:ascii="宋体" w:hAnsi="宋体"/>
          <w:b/>
          <w:color w:val="000000" w:themeColor="text1"/>
          <w:sz w:val="24"/>
          <w:highlight w:val="none"/>
        </w:rPr>
        <w:t xml:space="preserve">（提供有效证书复印件或扫描件并加盖供应商公章上传至电子投标文件中，不提供不得分）</w:t>
      </w:r>
      <w:r>
        <w:rPr>
          <w:color w:val="000000" w:themeColor="text1"/>
        </w:rPr>
      </w:r>
      <w:r/>
    </w:p>
    <w:p>
      <w:pPr>
        <w:ind w:firstLine="480"/>
        <w:spacing w:after="0" w:line="360" w:lineRule="auto"/>
        <w:tabs>
          <w:tab w:val="left" w:pos="945" w:leader="none"/>
        </w:tabs>
        <w:rPr>
          <w:rFonts w:hint="eastAsia" w:ascii="宋体" w:hAnsi="宋体"/>
          <w:b/>
          <w:bCs/>
          <w:color w:val="000000" w:themeColor="text1"/>
          <w:sz w:val="24"/>
          <w:highlight w:val="none"/>
        </w:rPr>
      </w:pPr>
      <w:r>
        <w:rPr>
          <w:rFonts w:hint="default" w:ascii="Calibri" w:hAnsi="Calibri" w:cs="Calibri"/>
          <w:bCs/>
          <w:color w:val="000000" w:themeColor="text1"/>
          <w:sz w:val="24"/>
          <w:highlight w:val="none"/>
        </w:rPr>
        <w:t xml:space="preserve">③项目经理或者技术负责人，自2021年9月1日以来</w:t>
      </w:r>
      <w:r>
        <w:rPr>
          <w:rFonts w:hint="eastAsia" w:cs="Calibri"/>
          <w:bCs/>
          <w:color w:val="000000" w:themeColor="text1"/>
          <w:sz w:val="24"/>
          <w:highlight w:val="none"/>
          <w:lang w:val="en-US" w:eastAsia="zh-CN"/>
        </w:rPr>
        <w:t xml:space="preserve">具有与本项目节制闸启闭机安装基本类似的工作经历</w:t>
      </w:r>
      <w:r>
        <w:rPr>
          <w:rFonts w:hint="default" w:ascii="Calibri" w:hAnsi="Calibri" w:cs="Calibri"/>
          <w:bCs/>
          <w:color w:val="000000" w:themeColor="text1"/>
          <w:sz w:val="24"/>
          <w:highlight w:val="none"/>
        </w:rPr>
        <w:t xml:space="preserve">，有一个得</w:t>
      </w:r>
      <w:r>
        <w:rPr>
          <w:rFonts w:hint="eastAsia" w:cs="Calibri"/>
          <w:bCs/>
          <w:color w:val="000000" w:themeColor="text1"/>
          <w:sz w:val="24"/>
          <w:highlight w:val="none"/>
          <w:lang w:val="en-US" w:eastAsia="zh-CN"/>
        </w:rPr>
        <w:t xml:space="preserve">1</w:t>
      </w:r>
      <w:r>
        <w:rPr>
          <w:rFonts w:hint="default" w:ascii="Calibri" w:hAnsi="Calibri" w:cs="Calibri"/>
          <w:bCs/>
          <w:color w:val="000000" w:themeColor="text1"/>
          <w:sz w:val="24"/>
          <w:highlight w:val="none"/>
        </w:rPr>
        <w:t xml:space="preserve">分</w:t>
      </w:r>
      <w:r>
        <w:rPr>
          <w:rFonts w:hint="eastAsia" w:cs="Calibri"/>
          <w:bCs/>
          <w:color w:val="000000" w:themeColor="text1"/>
          <w:sz w:val="24"/>
          <w:highlight w:val="none"/>
          <w:lang w:eastAsia="zh-CN"/>
        </w:rPr>
        <w:t xml:space="preserve">；</w:t>
      </w:r>
      <w:r>
        <w:rPr>
          <w:rFonts w:hint="default" w:ascii="Calibri" w:hAnsi="Calibri" w:cs="Calibri"/>
          <w:bCs/>
          <w:color w:val="000000" w:themeColor="text1"/>
          <w:sz w:val="24"/>
          <w:highlight w:val="none"/>
        </w:rPr>
        <w:t xml:space="preserve">自2021年9月1日以来</w:t>
      </w:r>
      <w:r>
        <w:rPr>
          <w:rFonts w:hint="eastAsia" w:cs="Calibri"/>
          <w:bCs/>
          <w:color w:val="000000" w:themeColor="text1"/>
          <w:sz w:val="24"/>
          <w:highlight w:val="none"/>
          <w:lang w:val="en-US" w:eastAsia="zh-CN"/>
        </w:rPr>
        <w:t xml:space="preserve">具有陶瓷活塞杆启闭机安装类似的工作经历，有一个</w:t>
      </w:r>
      <w:r>
        <w:rPr>
          <w:rFonts w:hint="default" w:ascii="Calibri" w:hAnsi="Calibri" w:cs="Calibri"/>
          <w:bCs/>
          <w:color w:val="000000" w:themeColor="text1"/>
          <w:sz w:val="24"/>
          <w:highlight w:val="none"/>
        </w:rPr>
        <w:t xml:space="preserve">得2分。</w:t>
      </w:r>
      <w:r>
        <w:rPr>
          <w:rFonts w:hint="eastAsia" w:cs="Calibri"/>
          <w:bCs/>
          <w:color w:val="000000" w:themeColor="text1"/>
          <w:sz w:val="24"/>
          <w:highlight w:val="none"/>
          <w:lang w:val="en-US" w:eastAsia="zh-CN"/>
        </w:rPr>
        <w:t xml:space="preserve">本项最高得3分。</w:t>
      </w:r>
      <w:r>
        <w:rPr>
          <w:rFonts w:hint="eastAsia" w:ascii="宋体" w:hAnsi="宋体"/>
          <w:b/>
          <w:bCs/>
          <w:color w:val="000000" w:themeColor="text1"/>
          <w:sz w:val="24"/>
          <w:highlight w:val="none"/>
        </w:rPr>
        <w:t xml:space="preserve">（须提供：合同协议书、合同完（交）工验收资料或发包人验收等证明材料原件扫描件上传至电子投标文件，时间以合同完（交）工验收或发包人验收</w:t>
      </w:r>
      <w:r>
        <w:rPr>
          <w:rFonts w:hint="eastAsia" w:ascii="宋体" w:hAnsi="宋体"/>
          <w:b/>
          <w:bCs/>
          <w:color w:val="000000" w:themeColor="text1"/>
          <w:sz w:val="24"/>
          <w:highlight w:val="none"/>
          <w:lang w:val="en-US" w:eastAsia="zh-CN"/>
        </w:rPr>
        <w:t xml:space="preserve">时间</w:t>
      </w:r>
      <w:r>
        <w:rPr>
          <w:rFonts w:hint="eastAsia" w:ascii="宋体" w:hAnsi="宋体"/>
          <w:b/>
          <w:bCs/>
          <w:color w:val="000000" w:themeColor="text1"/>
          <w:sz w:val="24"/>
          <w:highlight w:val="none"/>
        </w:rPr>
        <w:t xml:space="preserve">为准</w:t>
      </w:r>
      <w:r>
        <w:rPr>
          <w:rFonts w:hint="eastAsia" w:ascii="宋体" w:hAnsi="宋体"/>
          <w:b/>
          <w:bCs/>
          <w:color w:val="000000" w:themeColor="text1"/>
          <w:sz w:val="24"/>
          <w:highlight w:val="none"/>
          <w:lang w:val="en-US" w:eastAsia="zh-CN"/>
        </w:rPr>
        <w:t xml:space="preserve">，提供材料所示项目名称、各相关单位信息和项目经理或技术负责人信息等需前后一致，能证明为同一项目，且时间顺序符合实际。如人员信息前后不一致，则须提供相关人员变更证明资料。对于项目经理类似工作经历，如果证明材料中未能反映该项目经理员姓名、任职情况的，应附有项目委托人出具相应证明，否则不予认可。</w:t>
      </w:r>
      <w:r>
        <w:rPr>
          <w:rFonts w:hint="eastAsia" w:ascii="宋体" w:hAnsi="宋体"/>
          <w:b/>
          <w:bCs/>
          <w:color w:val="000000" w:themeColor="text1"/>
          <w:sz w:val="24"/>
          <w:highlight w:val="none"/>
        </w:rPr>
        <w:t xml:space="preserve">）</w:t>
      </w:r>
      <w:r>
        <w:rPr>
          <w:color w:val="000000" w:themeColor="text1"/>
        </w:rPr>
      </w:r>
      <w:r/>
    </w:p>
    <w:p>
      <w:pPr>
        <w:ind w:firstLine="482"/>
        <w:spacing w:after="0" w:line="360" w:lineRule="auto"/>
        <w:rPr>
          <w:rFonts w:ascii="宋体" w:hAnsi="宋体"/>
          <w:b/>
          <w:bCs/>
          <w:color w:val="000000" w:themeColor="text1"/>
          <w:sz w:val="24"/>
          <w:szCs w:val="24"/>
          <w:highlight w:val="none"/>
        </w:rPr>
      </w:pPr>
      <w:r>
        <w:rPr>
          <w:rFonts w:hint="eastAsia" w:ascii="宋体" w:hAnsi="宋体" w:eastAsia="宋体" w:cs="宋体"/>
          <w:bCs/>
          <w:color w:val="000000" w:themeColor="text1"/>
          <w:sz w:val="24"/>
          <w:highlight w:val="none"/>
        </w:rPr>
        <w:t xml:space="preserve">④</w:t>
      </w:r>
      <w:r>
        <w:rPr>
          <w:rFonts w:hint="eastAsia" w:ascii="宋体" w:hAnsi="宋体"/>
          <w:bCs/>
          <w:color w:val="000000" w:themeColor="text1"/>
          <w:sz w:val="24"/>
          <w:highlight w:val="none"/>
        </w:rPr>
        <w:t xml:space="preserve">项目组成员中（项目经理和技术负责人除外）：具备水利类工程师职称证书的</w:t>
      </w:r>
      <w:r>
        <w:rPr>
          <w:rFonts w:hint="eastAsia" w:ascii="宋体" w:hAnsi="宋体"/>
          <w:bCs/>
          <w:color w:val="000000" w:themeColor="text1"/>
          <w:sz w:val="24"/>
          <w:highlight w:val="none"/>
        </w:rPr>
        <w:t xml:space="preserve">有1人得</w:t>
      </w:r>
      <w:r>
        <w:rPr>
          <w:rFonts w:hint="eastAsia" w:ascii="宋体" w:hAnsi="宋体"/>
          <w:bCs/>
          <w:color w:val="000000" w:themeColor="text1"/>
          <w:sz w:val="24"/>
          <w:highlight w:val="none"/>
          <w:lang w:val="en-US" w:eastAsia="zh-CN"/>
        </w:rPr>
        <w:t xml:space="preserve">0.5</w:t>
      </w:r>
      <w:r>
        <w:rPr>
          <w:rFonts w:hint="eastAsia" w:ascii="宋体" w:hAnsi="宋体"/>
          <w:bCs/>
          <w:color w:val="000000" w:themeColor="text1"/>
          <w:sz w:val="24"/>
          <w:highlight w:val="none"/>
        </w:rPr>
        <w:t xml:space="preserve">分</w:t>
      </w:r>
      <w:r>
        <w:rPr>
          <w:rFonts w:hint="eastAsia" w:ascii="宋体" w:hAnsi="宋体"/>
          <w:bCs/>
          <w:color w:val="000000" w:themeColor="text1"/>
          <w:sz w:val="24"/>
          <w:highlight w:val="none"/>
        </w:rPr>
        <w:t xml:space="preserve">，具备水利类高级职称证书的</w:t>
      </w:r>
      <w:r>
        <w:rPr>
          <w:rFonts w:hint="eastAsia" w:ascii="宋体" w:hAnsi="宋体"/>
          <w:bCs/>
          <w:color w:val="000000" w:themeColor="text1"/>
          <w:sz w:val="24"/>
          <w:highlight w:val="none"/>
        </w:rPr>
        <w:t xml:space="preserve">有</w:t>
      </w:r>
      <w:r>
        <w:rPr>
          <w:rFonts w:hint="eastAsia" w:ascii="宋体" w:hAnsi="宋体"/>
          <w:bCs/>
          <w:color w:val="000000" w:themeColor="text1"/>
          <w:sz w:val="24"/>
          <w:highlight w:val="none"/>
        </w:rPr>
        <w:t xml:space="preserve">1人得</w:t>
      </w:r>
      <w:r>
        <w:rPr>
          <w:rFonts w:hint="eastAsia" w:ascii="宋体" w:hAnsi="宋体"/>
          <w:bCs/>
          <w:color w:val="000000" w:themeColor="text1"/>
          <w:sz w:val="24"/>
          <w:highlight w:val="none"/>
          <w:lang w:val="en-US" w:eastAsia="zh-CN"/>
        </w:rPr>
        <w:t xml:space="preserve">1</w:t>
      </w:r>
      <w:r>
        <w:rPr>
          <w:rFonts w:hint="eastAsia" w:ascii="宋体" w:hAnsi="宋体"/>
          <w:bCs/>
          <w:color w:val="000000" w:themeColor="text1"/>
          <w:sz w:val="24"/>
          <w:highlight w:val="none"/>
        </w:rPr>
        <w:t xml:space="preserve">分</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rPr>
        <w:t xml:space="preserve">本项最高得</w:t>
      </w:r>
      <w:r>
        <w:rPr>
          <w:rFonts w:hint="eastAsia" w:ascii="宋体" w:hAnsi="宋体"/>
          <w:bCs/>
          <w:color w:val="000000" w:themeColor="text1"/>
          <w:sz w:val="24"/>
          <w:highlight w:val="none"/>
          <w:lang w:val="en-US" w:eastAsia="zh-CN"/>
        </w:rPr>
        <w:t xml:space="preserve">4</w:t>
      </w:r>
      <w:r>
        <w:rPr>
          <w:rFonts w:hint="eastAsia" w:ascii="宋体" w:hAnsi="宋体"/>
          <w:bCs/>
          <w:color w:val="000000" w:themeColor="text1"/>
          <w:sz w:val="24"/>
          <w:highlight w:val="none"/>
        </w:rPr>
        <w:t xml:space="preserve">分</w:t>
      </w:r>
      <w:r>
        <w:rPr>
          <w:rFonts w:hint="eastAsia" w:ascii="宋体" w:hAnsi="宋体"/>
          <w:bCs/>
          <w:color w:val="000000" w:themeColor="text1"/>
          <w:sz w:val="24"/>
          <w:highlight w:val="none"/>
        </w:rPr>
        <w:t xml:space="preserve">。</w:t>
      </w:r>
      <w:r>
        <w:rPr>
          <w:rFonts w:hint="eastAsia" w:ascii="宋体" w:hAnsi="宋体"/>
          <w:b/>
          <w:color w:val="000000" w:themeColor="text1"/>
          <w:sz w:val="24"/>
          <w:highlight w:val="none"/>
        </w:rPr>
        <w:t xml:space="preserve">（提供有效证书复印件或扫描件并加盖供应商公章上传至电子投标文件中，不提供不得分）</w:t>
      </w:r>
      <w:r>
        <w:rPr>
          <w:color w:val="000000" w:themeColor="text1"/>
        </w:rPr>
      </w:r>
      <w:r/>
    </w:p>
    <w:p>
      <w:pPr>
        <w:ind w:firstLine="482"/>
        <w:spacing w:after="0" w:line="360" w:lineRule="auto"/>
        <w:rPr>
          <w:rFonts w:ascii="宋体" w:hAnsi="宋体"/>
          <w:b/>
          <w:color w:val="000000" w:themeColor="text1"/>
          <w:sz w:val="24"/>
          <w:highlight w:val="none"/>
        </w:rPr>
      </w:pPr>
      <w:r>
        <w:rPr>
          <w:rFonts w:hint="eastAsia" w:ascii="宋体" w:hAnsi="宋体"/>
          <w:b/>
          <w:color w:val="000000" w:themeColor="text1"/>
          <w:sz w:val="24"/>
          <w:highlight w:val="none"/>
        </w:rPr>
        <w:t xml:space="preserve">注：以上人员均应具备由社保机构出具的近三个月</w:t>
      </w:r>
      <w:r>
        <w:rPr>
          <w:rFonts w:hint="eastAsia" w:ascii="宋体" w:hAnsi="宋体"/>
          <w:b/>
          <w:color w:val="000000" w:themeColor="text1"/>
          <w:sz w:val="24"/>
          <w:highlight w:val="none"/>
          <w:lang w:val="en-US" w:eastAsia="zh-CN"/>
        </w:rPr>
        <w:t xml:space="preserve">内任意一个月</w:t>
      </w:r>
      <w:r>
        <w:rPr>
          <w:rFonts w:hint="eastAsia" w:ascii="宋体" w:hAnsi="宋体"/>
          <w:b/>
          <w:color w:val="000000" w:themeColor="text1"/>
          <w:sz w:val="24"/>
          <w:highlight w:val="none"/>
        </w:rPr>
        <w:t xml:space="preserve">（不含投标当月）的社保缴费证明（投标供应商提供劳动合同原件扫描件、相关证书原件扫描件和社保缴费证明原件扫描件或网上查询带有二维码的扫描件上传至电子投标文件）。</w:t>
      </w:r>
      <w:r>
        <w:rPr>
          <w:color w:val="000000" w:themeColor="text1"/>
        </w:rPr>
      </w:r>
      <w:r/>
    </w:p>
    <w:p>
      <w:pPr>
        <w:spacing w:after="0" w:line="360" w:lineRule="auto"/>
        <w:tabs>
          <w:tab w:val="left" w:pos="945" w:leader="none"/>
        </w:tabs>
        <w:rPr>
          <w:rFonts w:ascii="宋体" w:hAnsi="宋体"/>
          <w:b/>
          <w:bCs/>
          <w:color w:val="000000" w:themeColor="text1"/>
          <w:sz w:val="24"/>
          <w:highlight w:val="none"/>
        </w:rPr>
      </w:pPr>
      <w:r>
        <w:rPr>
          <w:rFonts w:hint="eastAsia" w:ascii="宋体" w:hAnsi="宋体"/>
          <w:b/>
          <w:bCs/>
          <w:color w:val="000000" w:themeColor="text1"/>
          <w:sz w:val="24"/>
          <w:highlight w:val="none"/>
        </w:rPr>
        <w:t xml:space="preserve">（3）</w:t>
      </w:r>
      <w:r>
        <w:rPr>
          <w:rFonts w:hint="eastAsia" w:ascii="宋体" w:hAnsi="宋体"/>
          <w:b/>
          <w:bCs/>
          <w:color w:val="000000" w:themeColor="text1"/>
          <w:sz w:val="24"/>
          <w:highlight w:val="none"/>
        </w:rPr>
        <w:t xml:space="preserve">质保承诺（</w:t>
      </w:r>
      <w:r>
        <w:rPr>
          <w:rFonts w:hint="eastAsia" w:ascii="宋体" w:hAnsi="宋体"/>
          <w:b/>
          <w:bCs/>
          <w:color w:val="000000" w:themeColor="text1"/>
          <w:sz w:val="24"/>
          <w:highlight w:val="none"/>
          <w:lang w:val="en-US" w:eastAsia="zh-CN"/>
        </w:rPr>
        <w:t xml:space="preserve">4</w:t>
      </w:r>
      <w:r>
        <w:rPr>
          <w:rFonts w:hint="eastAsia" w:ascii="宋体" w:hAnsi="宋体"/>
          <w:b/>
          <w:bCs/>
          <w:color w:val="000000" w:themeColor="text1"/>
          <w:sz w:val="24"/>
          <w:highlight w:val="none"/>
        </w:rPr>
        <w:t xml:space="preserve">分）</w:t>
      </w:r>
      <w:bookmarkStart w:id="231" w:name="_GoBack"/>
      <w:r>
        <w:rPr>
          <w:color w:val="000000" w:themeColor="text1"/>
        </w:rPr>
      </w:r>
      <w:bookmarkEnd w:id="231"/>
      <w:r>
        <w:rPr>
          <w:color w:val="000000" w:themeColor="text1"/>
        </w:rPr>
      </w:r>
      <w:r/>
    </w:p>
    <w:p>
      <w:pPr>
        <w:ind w:firstLine="482"/>
        <w:spacing w:after="0" w:line="360" w:lineRule="auto"/>
        <w:tabs>
          <w:tab w:val="left" w:pos="945" w:leader="none"/>
        </w:tabs>
        <w:rPr>
          <w:rFonts w:ascii="宋体" w:hAnsi="宋体"/>
          <w:b/>
          <w:bCs/>
          <w:color w:val="000000" w:themeColor="text1"/>
          <w:sz w:val="24"/>
          <w:highlight w:val="none"/>
        </w:rPr>
      </w:pPr>
      <w:r>
        <w:rPr>
          <w:rFonts w:hint="eastAsia" w:ascii="宋体" w:hAnsi="宋体"/>
          <w:b/>
          <w:bCs/>
          <w:color w:val="000000" w:themeColor="text1"/>
          <w:sz w:val="24"/>
          <w:highlight w:val="none"/>
        </w:rPr>
        <w:t xml:space="preserve">基础质保期1年，不得分（质保期自</w:t>
      </w:r>
      <w:r>
        <w:rPr>
          <w:rFonts w:hint="eastAsia" w:ascii="宋体" w:hAnsi="宋体"/>
          <w:b/>
          <w:bCs/>
          <w:color w:val="000000" w:themeColor="text1"/>
          <w:sz w:val="24"/>
          <w:highlight w:val="none"/>
          <w:lang w:eastAsia="zh-CN"/>
        </w:rPr>
        <w:t xml:space="preserve">合同内容</w:t>
      </w:r>
      <w:r>
        <w:rPr>
          <w:rFonts w:hint="eastAsia" w:ascii="宋体" w:hAnsi="宋体"/>
          <w:b/>
          <w:bCs/>
          <w:color w:val="000000" w:themeColor="text1"/>
          <w:sz w:val="24"/>
          <w:highlight w:val="none"/>
        </w:rPr>
        <w:t xml:space="preserve">验收合格之日起算）。额外承诺的保修期：第一年得1分，</w:t>
      </w:r>
      <w:r>
        <w:rPr>
          <w:rFonts w:hint="eastAsia" w:ascii="宋体" w:hAnsi="宋体"/>
          <w:b/>
          <w:bCs/>
          <w:color w:val="000000" w:themeColor="text1"/>
          <w:sz w:val="24"/>
          <w:highlight w:val="none"/>
        </w:rPr>
        <w:t xml:space="preserve">第二年得</w:t>
      </w:r>
      <w:r>
        <w:rPr>
          <w:rFonts w:hint="eastAsia" w:ascii="宋体" w:hAnsi="宋体"/>
          <w:b/>
          <w:bCs/>
          <w:color w:val="000000" w:themeColor="text1"/>
          <w:sz w:val="24"/>
          <w:highlight w:val="none"/>
          <w:lang w:val="en-US" w:eastAsia="zh-CN"/>
        </w:rPr>
        <w:t xml:space="preserve">2</w:t>
      </w:r>
      <w:r>
        <w:rPr>
          <w:rFonts w:hint="eastAsia" w:ascii="宋体" w:hAnsi="宋体"/>
          <w:b/>
          <w:bCs/>
          <w:color w:val="000000" w:themeColor="text1"/>
          <w:sz w:val="24"/>
          <w:highlight w:val="none"/>
        </w:rPr>
        <w:t xml:space="preserve">分，第三年得</w:t>
      </w:r>
      <w:r>
        <w:rPr>
          <w:rFonts w:hint="eastAsia" w:ascii="宋体" w:hAnsi="宋体"/>
          <w:b/>
          <w:bCs/>
          <w:color w:val="000000" w:themeColor="text1"/>
          <w:sz w:val="24"/>
          <w:highlight w:val="none"/>
          <w:lang w:val="en-US" w:eastAsia="zh-CN"/>
        </w:rPr>
        <w:t xml:space="preserve">3</w:t>
      </w:r>
      <w:r>
        <w:rPr>
          <w:rFonts w:hint="eastAsia" w:ascii="宋体" w:hAnsi="宋体"/>
          <w:b/>
          <w:bCs/>
          <w:color w:val="000000" w:themeColor="text1"/>
          <w:sz w:val="24"/>
          <w:highlight w:val="none"/>
        </w:rPr>
        <w:t xml:space="preserve">分，第四年得</w:t>
      </w:r>
      <w:r>
        <w:rPr>
          <w:rFonts w:hint="eastAsia" w:ascii="宋体" w:hAnsi="宋体"/>
          <w:b/>
          <w:bCs/>
          <w:color w:val="000000" w:themeColor="text1"/>
          <w:sz w:val="24"/>
          <w:highlight w:val="none"/>
          <w:lang w:val="en-US" w:eastAsia="zh-CN"/>
        </w:rPr>
        <w:t xml:space="preserve">4</w:t>
      </w:r>
      <w:r>
        <w:rPr>
          <w:rFonts w:hint="eastAsia" w:ascii="宋体" w:hAnsi="宋体"/>
          <w:b/>
          <w:bCs/>
          <w:color w:val="000000" w:themeColor="text1"/>
          <w:sz w:val="24"/>
          <w:highlight w:val="none"/>
        </w:rPr>
        <w:t xml:space="preserve">分，本项最高得</w:t>
      </w:r>
      <w:r>
        <w:rPr>
          <w:rFonts w:hint="eastAsia" w:ascii="宋体" w:hAnsi="宋体"/>
          <w:b/>
          <w:bCs/>
          <w:color w:val="000000" w:themeColor="text1"/>
          <w:sz w:val="24"/>
          <w:highlight w:val="none"/>
          <w:lang w:val="en-US" w:eastAsia="zh-CN"/>
        </w:rPr>
        <w:t xml:space="preserve">4</w:t>
      </w:r>
      <w:r>
        <w:rPr>
          <w:rFonts w:hint="eastAsia" w:ascii="宋体" w:hAnsi="宋体"/>
          <w:b/>
          <w:bCs/>
          <w:color w:val="000000" w:themeColor="text1"/>
          <w:sz w:val="24"/>
          <w:highlight w:val="none"/>
        </w:rPr>
        <w:t xml:space="preserve">分。</w:t>
      </w:r>
      <w:r>
        <w:rPr>
          <w:rFonts w:hint="eastAsia" w:ascii="宋体" w:hAnsi="宋体"/>
          <w:b/>
          <w:bCs/>
          <w:color w:val="000000" w:themeColor="text1"/>
          <w:sz w:val="24"/>
          <w:highlight w:val="none"/>
        </w:rPr>
        <w:t xml:space="preserve">（投标供应商提供承诺书，格式见附件）</w:t>
      </w:r>
      <w:r>
        <w:rPr>
          <w:color w:val="000000" w:themeColor="text1"/>
        </w:rPr>
      </w:r>
      <w:r/>
    </w:p>
    <w:p>
      <w:pPr>
        <w:spacing w:after="0" w:line="360" w:lineRule="auto"/>
        <w:rPr>
          <w:rFonts w:ascii="宋体" w:hAnsi="宋体"/>
          <w:b/>
          <w:bCs/>
          <w:color w:val="000000" w:themeColor="text1"/>
          <w:sz w:val="24"/>
          <w:highlight w:val="none"/>
        </w:rPr>
      </w:pPr>
      <w:r>
        <w:rPr>
          <w:rFonts w:hint="eastAsia" w:ascii="宋体" w:hAnsi="宋体"/>
          <w:b/>
          <w:bCs/>
          <w:color w:val="000000" w:themeColor="text1"/>
          <w:sz w:val="24"/>
          <w:highlight w:val="none"/>
        </w:rPr>
        <w:t xml:space="preserve">3.技术文件（60分）（暗标）</w:t>
      </w:r>
      <w:r>
        <w:rPr>
          <w:color w:val="000000" w:themeColor="text1"/>
        </w:rPr>
      </w:r>
      <w:r/>
    </w:p>
    <w:p>
      <w:pPr>
        <w:ind w:firstLine="482"/>
        <w:spacing w:after="0" w:line="360" w:lineRule="auto"/>
        <w:rPr>
          <w:rFonts w:ascii="宋体" w:hAnsi="宋体"/>
          <w:b/>
          <w:bCs/>
          <w:color w:val="000000" w:themeColor="text1"/>
          <w:sz w:val="24"/>
          <w:highlight w:val="none"/>
        </w:rPr>
      </w:pPr>
      <w:r>
        <w:rPr>
          <w:rFonts w:hint="eastAsia" w:ascii="宋体" w:hAnsi="宋体"/>
          <w:b/>
          <w:bCs/>
          <w:color w:val="000000" w:themeColor="text1"/>
          <w:sz w:val="24"/>
          <w:highlight w:val="none"/>
        </w:rPr>
        <w:t xml:space="preserve">1、总体概述（6分）：①施工组织总体设想（结合现场运行情况及场地限制，提出合理设想）；②施工部署及施工段划分；③总体安排及方案针对性（结合工期安排、设备制作周期、环境因素等情况，合理部署安排）</w:t>
      </w:r>
      <w:r>
        <w:rPr>
          <w:color w:val="000000" w:themeColor="text1"/>
        </w:rPr>
      </w:r>
      <w:r/>
    </w:p>
    <w:p>
      <w:pPr>
        <w:ind w:firstLine="482"/>
        <w:spacing w:after="0"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每有一项内容全面、描述详细、切实可行有效、可行性强的，得2分；</w:t>
      </w:r>
      <w:r>
        <w:rPr>
          <w:color w:val="000000" w:themeColor="text1"/>
        </w:rPr>
      </w:r>
      <w:r/>
    </w:p>
    <w:p>
      <w:pPr>
        <w:ind w:firstLine="482"/>
        <w:spacing w:after="0"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每有一项内容</w:t>
      </w:r>
      <w:r>
        <w:rPr>
          <w:rFonts w:hint="eastAsia" w:ascii="宋体" w:hAnsi="宋体"/>
          <w:color w:val="000000" w:themeColor="text1"/>
          <w:sz w:val="24"/>
          <w:szCs w:val="24"/>
          <w:highlight w:val="none"/>
        </w:rPr>
        <w:t xml:space="preserve">较详细完整，针对性较强，思路较合理的，</w:t>
      </w:r>
      <w:r>
        <w:rPr>
          <w:rFonts w:hint="eastAsia" w:ascii="宋体" w:hAnsi="宋体"/>
          <w:color w:val="000000" w:themeColor="text1"/>
          <w:sz w:val="24"/>
          <w:highlight w:val="none"/>
        </w:rPr>
        <w:t xml:space="preserve">得1分</w:t>
      </w:r>
      <w:r>
        <w:rPr>
          <w:rFonts w:hint="eastAsia" w:ascii="宋体" w:hAnsi="宋体"/>
          <w:color w:val="000000" w:themeColor="text1"/>
          <w:sz w:val="24"/>
          <w:szCs w:val="24"/>
          <w:highlight w:val="none"/>
        </w:rPr>
        <w:t xml:space="preserve">；</w:t>
      </w:r>
      <w:r>
        <w:rPr>
          <w:color w:val="000000" w:themeColor="text1"/>
        </w:rPr>
      </w:r>
      <w:r/>
    </w:p>
    <w:p>
      <w:pPr>
        <w:ind w:firstLine="482"/>
        <w:spacing w:after="0"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每有一项内容基本满足要求存在瑕疵的，得0.5分；</w:t>
      </w:r>
      <w:r>
        <w:rPr>
          <w:color w:val="000000" w:themeColor="text1"/>
        </w:rPr>
      </w:r>
      <w:r/>
    </w:p>
    <w:p>
      <w:pPr>
        <w:ind w:firstLine="482"/>
        <w:spacing w:after="0" w:line="360" w:lineRule="auto"/>
        <w:rPr>
          <w:rFonts w:ascii="宋体" w:hAnsi="宋体"/>
          <w:color w:val="auto"/>
          <w:sz w:val="24"/>
          <w:highlight w:val="none"/>
        </w:rPr>
      </w:pPr>
      <w:r>
        <w:rPr>
          <w:rFonts w:hint="eastAsia" w:ascii="宋体" w:hAnsi="宋体"/>
          <w:color w:val="000000" w:themeColor="text1"/>
          <w:sz w:val="24"/>
          <w:highlight w:val="none"/>
        </w:rPr>
        <w:t xml:space="preserve">本项最高得6分，未进行阐述或不满足采购需求的，该项不得</w:t>
      </w:r>
      <w:r>
        <w:rPr>
          <w:rFonts w:hint="eastAsia" w:ascii="宋体" w:hAnsi="宋体"/>
          <w:color w:val="auto"/>
          <w:sz w:val="24"/>
          <w:highlight w:val="none"/>
        </w:rPr>
        <w:t xml:space="preserve">分。</w:t>
      </w:r>
      <w:r/>
    </w:p>
    <w:p>
      <w:pPr>
        <w:ind w:firstLine="482"/>
        <w:spacing w:after="0" w:line="360" w:lineRule="auto"/>
        <w:rPr>
          <w:rFonts w:ascii="宋体" w:hAnsi="宋体"/>
          <w:b/>
          <w:bCs/>
          <w:color w:val="auto"/>
          <w:sz w:val="24"/>
          <w:highlight w:val="none"/>
        </w:rPr>
      </w:pPr>
      <w:r>
        <w:rPr>
          <w:rFonts w:hint="eastAsia" w:ascii="宋体" w:hAnsi="宋体"/>
          <w:b/>
          <w:bCs/>
          <w:color w:val="auto"/>
          <w:sz w:val="24"/>
          <w:highlight w:val="none"/>
        </w:rPr>
        <w:t xml:space="preserve">2、施工总平面布置及临时设施（4分）：①施工总平面布置；②临时设施（包括：现场告知牌、警示警告牌等）</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每有一项内容全面、描述详细、切实可行有效、可行性强的，得2分；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w:t>
      </w:r>
      <w:r>
        <w:rPr>
          <w:rFonts w:hint="eastAsia" w:ascii="宋体" w:hAnsi="宋体"/>
          <w:color w:val="auto"/>
          <w:sz w:val="24"/>
          <w:szCs w:val="24"/>
          <w:highlight w:val="none"/>
        </w:rPr>
        <w:t xml:space="preserve">较详细完整，针对性较强，思路较合理的，</w:t>
      </w:r>
      <w:r>
        <w:rPr>
          <w:rFonts w:hint="eastAsia" w:ascii="宋体" w:hAnsi="宋体"/>
          <w:color w:val="auto"/>
          <w:sz w:val="24"/>
          <w:highlight w:val="none"/>
        </w:rPr>
        <w:t xml:space="preserve">得1分；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每有一项内容基本满足要求存在瑕疵的,得0.5分；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本项最高得4分，未进行阐述或不满足采购需求的，该项不得分。</w:t>
      </w:r>
      <w:r/>
    </w:p>
    <w:p>
      <w:pPr>
        <w:ind w:firstLine="482"/>
        <w:spacing w:after="0" w:line="360" w:lineRule="auto"/>
        <w:rPr>
          <w:rFonts w:ascii="宋体" w:hAnsi="宋体"/>
          <w:b/>
          <w:bCs/>
          <w:color w:val="auto"/>
          <w:sz w:val="24"/>
          <w:highlight w:val="none"/>
        </w:rPr>
      </w:pPr>
      <w:r>
        <w:rPr>
          <w:rFonts w:hint="eastAsia" w:ascii="宋体" w:hAnsi="宋体"/>
          <w:b/>
          <w:bCs/>
          <w:color w:val="auto"/>
          <w:sz w:val="24"/>
          <w:highlight w:val="none"/>
        </w:rPr>
        <w:t xml:space="preserve">3、总体方案（12分）：①</w:t>
      </w:r>
      <w:r>
        <w:rPr>
          <w:rFonts w:hint="eastAsia" w:ascii="宋体" w:hAnsi="宋体"/>
          <w:b/>
          <w:bCs/>
          <w:color w:val="auto"/>
          <w:sz w:val="24"/>
          <w:highlight w:val="none"/>
          <w:lang w:val="en-US" w:eastAsia="zh-CN"/>
        </w:rPr>
        <w:t xml:space="preserve">项目</w:t>
      </w:r>
      <w:r>
        <w:rPr>
          <w:rFonts w:hint="eastAsia" w:ascii="宋体" w:hAnsi="宋体"/>
          <w:b/>
          <w:bCs/>
          <w:color w:val="auto"/>
          <w:sz w:val="24"/>
          <w:highlight w:val="none"/>
        </w:rPr>
        <w:t xml:space="preserve">施工方案（包括：节制闸及泵站的施工先后顺序安排、江尖现场维护管控方案、闸门固定方案等）；②项目实施的重点、难点和解决方案（拆除吊装）；③具体施工工序；④新老设备衔接方案（拆旧顺序安排、利旧和更新的设备需要现场复测，根据现场场地限制提供合理方案；新制油管弯管接头与既有管线的衔接、安装方式）</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每有一项内容全面、描述详细、切实可行有效、可行性强的，得3分；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w:t>
      </w:r>
      <w:r>
        <w:rPr>
          <w:rFonts w:hint="eastAsia" w:ascii="宋体" w:hAnsi="宋体"/>
          <w:color w:val="auto"/>
          <w:sz w:val="24"/>
          <w:szCs w:val="24"/>
          <w:highlight w:val="none"/>
        </w:rPr>
        <w:t xml:space="preserve">较详细完整，针对性较强，思路较合理的，</w:t>
      </w:r>
      <w:r>
        <w:rPr>
          <w:rFonts w:hint="eastAsia" w:ascii="宋体" w:hAnsi="宋体"/>
          <w:color w:val="auto"/>
          <w:sz w:val="24"/>
          <w:highlight w:val="none"/>
        </w:rPr>
        <w:t xml:space="preserve">得2分；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每有一项内容基本满足要求存在瑕疵的，得1分；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本项最高得12分，每有一项内容未进行阐述或不满足采购需求的，该项不得分。</w:t>
      </w:r>
      <w:r/>
    </w:p>
    <w:p>
      <w:pPr>
        <w:ind w:firstLine="482"/>
        <w:spacing w:after="0" w:line="360" w:lineRule="auto"/>
        <w:rPr>
          <w:rFonts w:ascii="宋体" w:hAnsi="宋体"/>
          <w:b/>
          <w:bCs/>
          <w:color w:val="auto"/>
          <w:sz w:val="24"/>
          <w:highlight w:val="none"/>
        </w:rPr>
      </w:pPr>
      <w:r>
        <w:rPr>
          <w:rFonts w:hint="eastAsia" w:ascii="宋体" w:hAnsi="宋体"/>
          <w:b/>
          <w:bCs/>
          <w:color w:val="auto"/>
          <w:sz w:val="24"/>
          <w:highlight w:val="none"/>
        </w:rPr>
        <w:t xml:space="preserve">4、启闭设备质量保证措施（12分）：包括①启闭设备采购、二次深化设计、制造与维修；②供应计划；③设备质量保证措施</w:t>
      </w:r>
      <w:r>
        <w:rPr>
          <w:rFonts w:hint="eastAsia" w:ascii="宋体" w:hAnsi="宋体"/>
          <w:b/>
          <w:bCs/>
          <w:color w:val="auto"/>
          <w:sz w:val="24"/>
          <w:highlight w:val="none"/>
          <w:lang w:val="en-US" w:eastAsia="zh-CN"/>
        </w:rPr>
        <w:t xml:space="preserve">及主要配件质量控制（需提供液压设备主要配件表，格式详见附件）</w:t>
      </w:r>
      <w:r>
        <w:rPr>
          <w:rFonts w:hint="eastAsia" w:ascii="宋体" w:hAnsi="宋体"/>
          <w:b/>
          <w:bCs/>
          <w:color w:val="auto"/>
          <w:sz w:val="24"/>
          <w:highlight w:val="none"/>
        </w:rPr>
        <w:t xml:space="preserve">；④陶瓷杆制作关键节点的质量控制保证措施（刻度、烧制工艺、研磨等）</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每有一项内容全面、描述详细、切实可行有效、可行性强的，得3分；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w:t>
      </w:r>
      <w:r>
        <w:rPr>
          <w:rFonts w:hint="eastAsia" w:ascii="宋体" w:hAnsi="宋体"/>
          <w:color w:val="auto"/>
          <w:sz w:val="24"/>
          <w:szCs w:val="24"/>
          <w:highlight w:val="none"/>
        </w:rPr>
        <w:t xml:space="preserve">较详细完整，针对性较强，思路较合理的，</w:t>
      </w:r>
      <w:r>
        <w:rPr>
          <w:rFonts w:hint="eastAsia" w:ascii="宋体" w:hAnsi="宋体"/>
          <w:color w:val="auto"/>
          <w:sz w:val="24"/>
          <w:highlight w:val="none"/>
        </w:rPr>
        <w:t xml:space="preserve">得2分；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每有一项内容基本满足要求存在瑕疵的，得1分；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本项最高得12分，每有一项内容未进行阐述或不满足采购需求的，该项不得分。                                                </w:t>
      </w:r>
      <w:r/>
    </w:p>
    <w:p>
      <w:pPr>
        <w:ind w:firstLine="482"/>
        <w:spacing w:after="0" w:line="360" w:lineRule="auto"/>
        <w:rPr>
          <w:rFonts w:ascii="宋体" w:hAnsi="宋体"/>
          <w:color w:val="auto"/>
          <w:sz w:val="24"/>
          <w:highlight w:val="none"/>
        </w:rPr>
      </w:pPr>
      <w:r>
        <w:rPr>
          <w:rFonts w:hint="eastAsia" w:ascii="宋体" w:hAnsi="宋体"/>
          <w:b/>
          <w:bCs/>
          <w:color w:val="auto"/>
          <w:sz w:val="24"/>
          <w:highlight w:val="none"/>
        </w:rPr>
        <w:t xml:space="preserve">5、</w:t>
      </w:r>
      <w:r>
        <w:rPr>
          <w:rFonts w:hint="eastAsia" w:ascii="宋体" w:hAnsi="宋体"/>
          <w:b/>
          <w:bCs/>
          <w:color w:val="auto"/>
          <w:sz w:val="24"/>
          <w:szCs w:val="24"/>
          <w:highlight w:val="none"/>
        </w:rPr>
        <w:t xml:space="preserve">进度计划与工期保障</w:t>
      </w:r>
      <w:r>
        <w:rPr>
          <w:rFonts w:hint="eastAsia" w:ascii="宋体" w:hAnsi="宋体"/>
          <w:b/>
          <w:bCs/>
          <w:color w:val="auto"/>
          <w:sz w:val="24"/>
          <w:highlight w:val="none"/>
        </w:rPr>
        <w:t xml:space="preserve">（8分）</w:t>
      </w:r>
      <w:r>
        <w:rPr>
          <w:rFonts w:hint="eastAsia" w:ascii="宋体" w:hAnsi="宋体"/>
          <w:b/>
          <w:bCs/>
          <w:color w:val="auto"/>
          <w:sz w:val="24"/>
          <w:szCs w:val="24"/>
          <w:highlight w:val="none"/>
        </w:rPr>
        <w:t xml:space="preserve">：①</w:t>
      </w:r>
      <w:r>
        <w:rPr>
          <w:rFonts w:hint="eastAsia" w:asciiTheme="minorEastAsia" w:hAnsiTheme="minorEastAsia" w:eastAsiaTheme="minorEastAsia" w:cstheme="minorEastAsia"/>
          <w:b/>
          <w:bCs/>
          <w:color w:val="auto"/>
          <w:sz w:val="24"/>
          <w:szCs w:val="24"/>
          <w:highlight w:val="none"/>
        </w:rPr>
        <w:t xml:space="preserve">施工进度计划</w:t>
      </w:r>
      <w:r>
        <w:rPr>
          <w:rFonts w:hint="eastAsia" w:asciiTheme="minorEastAsia" w:hAnsiTheme="minorEastAsia" w:cstheme="minorEastAsia"/>
          <w:b/>
          <w:bCs/>
          <w:color w:val="auto"/>
          <w:sz w:val="24"/>
          <w:szCs w:val="24"/>
          <w:highlight w:val="none"/>
        </w:rPr>
        <w:t xml:space="preserve">；②</w:t>
      </w:r>
      <w:r>
        <w:rPr>
          <w:rFonts w:hint="eastAsia" w:ascii="宋体" w:hAnsi="宋体"/>
          <w:b/>
          <w:bCs/>
          <w:color w:val="auto"/>
          <w:sz w:val="24"/>
          <w:highlight w:val="none"/>
        </w:rPr>
        <w:t xml:space="preserve">关键路径；③逻辑关系；④措施保证计划</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每有一项内容全面、描述详细、切实可行有效、可行性强的，得2分；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w:t>
      </w:r>
      <w:r>
        <w:rPr>
          <w:rFonts w:hint="eastAsia" w:ascii="宋体" w:hAnsi="宋体"/>
          <w:color w:val="auto"/>
          <w:sz w:val="24"/>
          <w:szCs w:val="24"/>
          <w:highlight w:val="none"/>
        </w:rPr>
        <w:t xml:space="preserve">较详细完整，针对性较强，思路较合理的，</w:t>
      </w:r>
      <w:r>
        <w:rPr>
          <w:rFonts w:hint="eastAsia" w:ascii="宋体" w:hAnsi="宋体"/>
          <w:color w:val="auto"/>
          <w:sz w:val="24"/>
          <w:highlight w:val="none"/>
        </w:rPr>
        <w:t xml:space="preserve">得1分；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每有一项内容基本满足要求存在瑕疵的，得0.5分；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本项最高得8分，未进行阐述或不满足采购需求的，该项不得分。</w:t>
      </w:r>
      <w:r/>
    </w:p>
    <w:p>
      <w:pPr>
        <w:ind w:firstLine="482"/>
        <w:spacing w:after="0" w:line="360" w:lineRule="auto"/>
        <w:rPr>
          <w:rFonts w:ascii="宋体" w:hAnsi="宋体"/>
          <w:b/>
          <w:bCs/>
          <w:color w:val="auto"/>
          <w:sz w:val="24"/>
          <w:highlight w:val="none"/>
        </w:rPr>
      </w:pPr>
      <w:r>
        <w:rPr>
          <w:rFonts w:hint="eastAsia" w:ascii="宋体" w:hAnsi="宋体"/>
          <w:b/>
          <w:bCs/>
          <w:color w:val="auto"/>
          <w:sz w:val="24"/>
          <w:highlight w:val="none"/>
        </w:rPr>
        <w:t xml:space="preserve">6、施工质量和各阶段质量保证措施及成品保护措施（10分）：①质量保证体系；②材料采购的质量保证措施；③施工过程控制及检验（包含新、老油管的现场连接质量控制措施）；④分项措施的针对性；⑤成品保护措施</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每有一项内容全面、描述详细、切实可行有效、可行性强的，得2分；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w:t>
      </w:r>
      <w:r>
        <w:rPr>
          <w:rFonts w:hint="eastAsia" w:ascii="宋体" w:hAnsi="宋体"/>
          <w:color w:val="auto"/>
          <w:sz w:val="24"/>
          <w:szCs w:val="24"/>
          <w:highlight w:val="none"/>
        </w:rPr>
        <w:t xml:space="preserve">较详细完整，针对性较强，思路较合理的，</w:t>
      </w:r>
      <w:r>
        <w:rPr>
          <w:rFonts w:hint="eastAsia" w:ascii="宋体" w:hAnsi="宋体"/>
          <w:color w:val="auto"/>
          <w:sz w:val="24"/>
          <w:highlight w:val="none"/>
        </w:rPr>
        <w:t xml:space="preserve">得1分；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每有一项内容基本满足要求存在瑕疵的，得0.5分；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本项最高得10分，未进行阐述或不满足采购需求的，该项不得分。</w:t>
      </w:r>
      <w:r/>
    </w:p>
    <w:p>
      <w:pPr>
        <w:ind w:firstLine="482"/>
        <w:spacing w:after="0" w:line="360" w:lineRule="auto"/>
        <w:rPr>
          <w:rFonts w:ascii="宋体" w:hAnsi="宋体"/>
          <w:b/>
          <w:bCs/>
          <w:color w:val="auto"/>
          <w:sz w:val="24"/>
          <w:highlight w:val="none"/>
        </w:rPr>
      </w:pPr>
      <w:r>
        <w:rPr>
          <w:rFonts w:hint="eastAsia" w:ascii="宋体" w:hAnsi="宋体"/>
          <w:b/>
          <w:bCs/>
          <w:color w:val="auto"/>
          <w:sz w:val="24"/>
          <w:highlight w:val="none"/>
        </w:rPr>
        <w:t xml:space="preserve">7、施工安全及文明施工保证措施（6分）：①</w:t>
      </w:r>
      <w:r>
        <w:rPr>
          <w:rFonts w:hint="eastAsia" w:ascii="宋体" w:hAnsi="宋体"/>
          <w:b/>
          <w:bCs/>
          <w:color w:val="auto"/>
          <w:szCs w:val="21"/>
          <w:highlight w:val="none"/>
        </w:rPr>
        <w:t xml:space="preserve">安全文明施工方案；②施工现场扬尘污染防治措施；③降噪措施及环境保护措施</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每有一项内容全面、描述详细、切实可行有效、可行性强的，得2分；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w:t>
      </w:r>
      <w:r>
        <w:rPr>
          <w:rFonts w:hint="eastAsia" w:ascii="宋体" w:hAnsi="宋体"/>
          <w:color w:val="auto"/>
          <w:sz w:val="24"/>
          <w:szCs w:val="24"/>
          <w:highlight w:val="none"/>
        </w:rPr>
        <w:t xml:space="preserve">较详细完整，针对性较强，思路较合理的，</w:t>
      </w:r>
      <w:r>
        <w:rPr>
          <w:rFonts w:hint="eastAsia" w:ascii="宋体" w:hAnsi="宋体"/>
          <w:color w:val="auto"/>
          <w:sz w:val="24"/>
          <w:highlight w:val="none"/>
        </w:rPr>
        <w:t xml:space="preserve">得1分；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每有一项内容基本满足要求存在瑕疵的得0.5分；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本项最高得6分，未进行阐述或不满足采购需求的，该项不得分。</w:t>
      </w:r>
      <w:r/>
    </w:p>
    <w:p>
      <w:pPr>
        <w:ind w:firstLine="482"/>
        <w:spacing w:after="0"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、档案资料管理（2分）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内容全面、描述详细、切实可行有效、可行性强的,得2分；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内容</w:t>
      </w:r>
      <w:r>
        <w:rPr>
          <w:rFonts w:hint="eastAsia" w:ascii="宋体" w:hAnsi="宋体"/>
          <w:color w:val="auto"/>
          <w:sz w:val="24"/>
          <w:szCs w:val="24"/>
          <w:highlight w:val="none"/>
        </w:rPr>
        <w:t xml:space="preserve">较详细完整，针对性较强，思路较合理的，</w:t>
      </w:r>
      <w:r>
        <w:rPr>
          <w:rFonts w:hint="eastAsia" w:ascii="宋体" w:hAnsi="宋体"/>
          <w:color w:val="auto"/>
          <w:sz w:val="24"/>
          <w:highlight w:val="none"/>
        </w:rPr>
        <w:t xml:space="preserve">得1分；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每有一项内容基本满足要求存在瑕疵的得0.5分；</w:t>
      </w:r>
      <w:r/>
    </w:p>
    <w:p>
      <w:pPr>
        <w:ind w:firstLine="482"/>
        <w:spacing w:after="0" w:line="360" w:lineRule="auto"/>
        <w:rPr>
          <w:rFonts w:ascii="宋体" w:hAnsi="宋体"/>
          <w:color w:val="auto"/>
          <w:sz w:val="24"/>
          <w:highlight w:val="none"/>
        </w:rPr>
      </w:pPr>
      <w:r>
        <w:rPr>
          <w:rFonts w:hint="eastAsia" w:ascii="宋体" w:hAnsi="宋体"/>
          <w:color w:val="auto"/>
          <w:sz w:val="24"/>
          <w:highlight w:val="none"/>
        </w:rPr>
        <w:t xml:space="preserve">本项最高得2分，未进行阐述或不满足采购需求的，该项不得分。</w:t>
      </w:r>
      <w:r/>
    </w:p>
    <w:p>
      <w:pPr>
        <w:ind w:firstLine="482"/>
        <w:spacing w:after="0" w:line="360" w:lineRule="auto"/>
        <w:rPr>
          <w:rFonts w:ascii="宋体" w:hAnsi="宋体"/>
          <w:color w:val="auto"/>
          <w:sz w:val="24"/>
          <w:highlight w:val="none"/>
        </w:rPr>
      </w:pPr>
      <w:r>
        <w:rPr>
          <w:rFonts w:hint="eastAsia" w:ascii="宋体" w:hAnsi="宋体"/>
          <w:b/>
          <w:bCs/>
          <w:color w:val="auto"/>
          <w:sz w:val="24"/>
          <w:highlight w:val="none"/>
        </w:rPr>
        <w:t xml:space="preserve">评委为5人以上的单数（含5人）时，计算分项得分时取平均值为投标供应商的得分，各分项得分合计即为投标供应商的总得分。投标文件无相应评分内容时，该项目为零分。投标供应商如对采购文件提出的合理要求不作出相应承诺或对招标单位提出不合理要求的不予得标。每项评分的具体内容和方法由评委集体讨论，评委独立评分。所有评委打分的平均值为各投标供应商最终得分。最终得分最高者将为推荐中标候选人。评分办法及评分细则的解释权属于采购人。未列入本评分细则的其他条件不作为评分内容。</w:t>
      </w:r>
      <w:r/>
    </w:p>
    <w:p>
      <w:pPr>
        <w:spacing w:after="0"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szCs w:val="24"/>
          <w:highlight w:val="none"/>
        </w:rPr>
        <w:t xml:space="preserve">（十）</w:t>
      </w:r>
      <w:r>
        <w:rPr>
          <w:rFonts w:hint="eastAsia" w:ascii="宋体" w:hAnsi="宋体"/>
          <w:bCs/>
          <w:color w:val="auto"/>
          <w:sz w:val="24"/>
          <w:highlight w:val="none"/>
        </w:rPr>
        <w:t xml:space="preserve">确定中标供应商：</w:t>
      </w:r>
      <w:r/>
    </w:p>
    <w:p>
      <w:pPr>
        <w:ind w:left="142" w:firstLine="408"/>
        <w:spacing w:after="0" w:line="360" w:lineRule="auto"/>
        <w:tabs>
          <w:tab w:val="left" w:pos="426"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color w:val="auto"/>
          <w:sz w:val="24"/>
          <w:szCs w:val="24"/>
          <w:highlight w:val="none"/>
        </w:rPr>
        <w:t xml:space="preserve">评标委员会根据招标文件规定的评审方法进行评审，采购代理机构自评审结束之日起2个工作日内将评审报告送交采购人。采购人自收到评审报告之日起5个工作日内在评审报告推荐的中标或者成交候选人中按顺序确定中标供应商。江苏仁合中惠工程咨询有限公司自中标供应商确定之日起2个工作日内，在江苏政府采购网、无锡政府采购网上发布中标结果公告，同时向中标供应商发出中标通知书。江苏仁合中惠工程咨询有限公司和评标委员会对未成交原因不作解释</w:t>
      </w:r>
      <w:r>
        <w:rPr>
          <w:rFonts w:hint="eastAsia" w:ascii="宋体" w:hAnsi="宋体"/>
          <w:color w:val="auto"/>
          <w:sz w:val="24"/>
          <w:szCs w:val="24"/>
          <w:highlight w:val="none"/>
        </w:rPr>
        <w:t xml:space="preserve">。如有质疑，应在法定质疑期限内，即成交公告期限届满之日起7个工作日内，以书面形式送达采购人。采购人将在收到符合要求的书面质疑后七个工作日内，对质疑内容作出答复。供应商在法定质疑期限外送达的质疑函或法定质疑期限内送达的质疑函不符合上述要求的均为无效质疑，采购人对无效质疑不予受理。供应商在法定质疑期内一次性提出针对同一采购程序环节的质疑。如质疑查无实据或供应商捏造事实，提供虚假材料进行恶意举报，不配合或采用不正当手段干扰政府采购质疑的，将记入供应商在江苏省和无锡市的政府采购“供应商诚信记录”，并按相关规定处理。</w:t>
      </w:r>
      <w:r/>
    </w:p>
    <w:p>
      <w:pPr>
        <w:ind w:left="142" w:firstLine="408"/>
        <w:spacing w:after="0" w:line="360" w:lineRule="auto"/>
        <w:tabs>
          <w:tab w:val="left" w:pos="426"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2.提出质疑的供应商（以下简称</w:t>
      </w:r>
      <w:r>
        <w:rPr>
          <w:rFonts w:hint="eastAsia" w:ascii="宋体" w:hAnsi="宋体"/>
          <w:color w:val="auto"/>
          <w:sz w:val="24"/>
          <w:szCs w:val="24"/>
          <w:highlight w:val="none"/>
        </w:rPr>
        <w:t xml:space="preserve">质疑供应商）应当是参与所质疑项目采购活动的供应商。潜在供应商已依法获取其可质疑的招标文件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p>
    <w:p>
      <w:pPr>
        <w:ind w:left="552"/>
        <w:spacing w:after="0" w:line="360" w:lineRule="auto"/>
        <w:rPr>
          <w:rFonts w:ascii="宋体" w:hAnsi="宋体"/>
          <w:color w:val="auto"/>
          <w:sz w:val="24"/>
          <w:szCs w:val="24"/>
          <w:highlight w:val="none"/>
        </w:rPr>
        <w:outlineLvl w:val="0"/>
      </w:pPr>
      <w:r>
        <w:rPr>
          <w:rFonts w:ascii="宋体" w:hAnsi="宋体"/>
          <w:color w:val="auto"/>
          <w:sz w:val="24"/>
          <w:szCs w:val="24"/>
          <w:highlight w:val="none"/>
        </w:rPr>
        <w:t xml:space="preserve">3</w:t>
      </w:r>
      <w:r>
        <w:rPr>
          <w:rFonts w:hint="eastAsia" w:ascii="宋体" w:hAnsi="宋体"/>
          <w:color w:val="auto"/>
          <w:sz w:val="24"/>
          <w:szCs w:val="24"/>
          <w:highlight w:val="none"/>
        </w:rPr>
        <w:t xml:space="preserve">.投标、开标及定标的整个过程均由政府采购监管部门监督。</w:t>
      </w:r>
      <w:r/>
    </w:p>
    <w:p>
      <w:pPr>
        <w:ind w:left="142" w:firstLine="408"/>
        <w:spacing w:after="0" w:line="360" w:lineRule="auto"/>
        <w:tabs>
          <w:tab w:val="left" w:pos="426" w:leader="none"/>
        </w:tabs>
        <w:rPr>
          <w:rFonts w:ascii="宋体" w:hAnsi="宋体"/>
          <w:color w:val="auto"/>
          <w:sz w:val="24"/>
          <w:szCs w:val="24"/>
          <w:highlight w:val="none"/>
        </w:rPr>
        <w:outlineLvl w:val="0"/>
      </w:pPr>
      <w:r>
        <w:rPr>
          <w:rFonts w:hint="eastAsia" w:ascii="宋体" w:hAnsi="宋体"/>
          <w:color w:val="auto"/>
          <w:sz w:val="24"/>
          <w:szCs w:val="24"/>
          <w:highlight w:val="none"/>
        </w:rPr>
        <w:t xml:space="preserve">4.在发布中标公告的同时，江苏仁合中惠工程咨询有限公司将向中标供应商发出中标通知书。</w:t>
      </w:r>
      <w:r/>
    </w:p>
    <w:p>
      <w:pPr>
        <w:ind w:left="-2" w:firstLine="420"/>
        <w:spacing w:after="0" w:line="360" w:lineRule="auto"/>
        <w:rPr>
          <w:rFonts w:ascii="宋体" w:hAnsi="宋体"/>
          <w:bCs/>
          <w:color w:val="auto"/>
          <w:sz w:val="24"/>
          <w:highlight w:val="none"/>
        </w:rPr>
        <w:outlineLvl w:val="0"/>
      </w:pPr>
      <w:r>
        <w:rPr>
          <w:rFonts w:hint="eastAsia" w:ascii="宋体" w:hAnsi="宋体"/>
          <w:bCs/>
          <w:color w:val="auto"/>
          <w:sz w:val="24"/>
          <w:highlight w:val="none"/>
        </w:rPr>
        <w:t xml:space="preserve">（十一）废标的确认：</w:t>
      </w:r>
      <w:r/>
    </w:p>
    <w:p>
      <w:pPr>
        <w:ind w:firstLine="360"/>
        <w:spacing w:after="0" w:line="360" w:lineRule="auto"/>
        <w:rPr>
          <w:rFonts w:ascii="宋体" w:hAnsi="宋体"/>
          <w:bCs/>
          <w:color w:val="auto"/>
          <w:sz w:val="24"/>
          <w:highlight w:val="none"/>
        </w:rPr>
      </w:pPr>
      <w:r>
        <w:rPr>
          <w:rFonts w:hint="eastAsia" w:ascii="宋体" w:hAnsi="宋体"/>
          <w:bCs/>
          <w:color w:val="auto"/>
          <w:sz w:val="24"/>
          <w:highlight w:val="none"/>
        </w:rPr>
        <w:t xml:space="preserve">在招标采购中，出现下列情况之一的，应予废标：</w:t>
      </w:r>
      <w:r/>
    </w:p>
    <w:p>
      <w:pPr>
        <w:ind w:firstLine="360"/>
        <w:spacing w:after="0" w:line="360" w:lineRule="auto"/>
        <w:rPr>
          <w:rFonts w:ascii="宋体" w:hAnsi="宋体"/>
          <w:bCs/>
          <w:color w:val="auto"/>
          <w:sz w:val="24"/>
          <w:highlight w:val="none"/>
        </w:rPr>
      </w:pPr>
      <w:r>
        <w:rPr>
          <w:rFonts w:hint="eastAsia" w:ascii="宋体" w:hAnsi="宋体"/>
          <w:bCs/>
          <w:color w:val="auto"/>
          <w:sz w:val="24"/>
          <w:highlight w:val="none"/>
        </w:rPr>
        <w:t xml:space="preserve">  1.符合要求的供应商或者对招标文件作出实质性响应的供应商不足3家的；</w:t>
      </w:r>
      <w:r/>
    </w:p>
    <w:p>
      <w:pPr>
        <w:ind w:firstLine="360"/>
        <w:spacing w:after="0" w:line="360" w:lineRule="auto"/>
        <w:rPr>
          <w:rFonts w:ascii="宋体" w:hAnsi="宋体"/>
          <w:bCs/>
          <w:color w:val="auto"/>
          <w:sz w:val="24"/>
          <w:highlight w:val="none"/>
        </w:rPr>
      </w:pPr>
      <w:r>
        <w:rPr>
          <w:rFonts w:hint="eastAsia" w:ascii="宋体" w:hAnsi="宋体"/>
          <w:bCs/>
          <w:color w:val="auto"/>
          <w:sz w:val="24"/>
          <w:highlight w:val="none"/>
        </w:rPr>
        <w:t xml:space="preserve">  2.出现影响采购公正的违法、违规行为；</w:t>
      </w:r>
      <w:r/>
    </w:p>
    <w:p>
      <w:pPr>
        <w:ind w:firstLine="360"/>
        <w:spacing w:after="0" w:line="360" w:lineRule="auto"/>
        <w:rPr>
          <w:rFonts w:ascii="宋体" w:hAnsi="宋体"/>
          <w:bCs/>
          <w:color w:val="auto"/>
          <w:sz w:val="24"/>
          <w:highlight w:val="none"/>
        </w:rPr>
      </w:pPr>
      <w:r>
        <w:rPr>
          <w:rFonts w:hint="eastAsia" w:ascii="宋体" w:hAnsi="宋体"/>
          <w:bCs/>
          <w:color w:val="auto"/>
          <w:sz w:val="24"/>
          <w:highlight w:val="none"/>
        </w:rPr>
        <w:t xml:space="preserve">  3.投标供应商的报价均超过采购预算，采购人不能支付的；</w:t>
      </w:r>
      <w:r/>
    </w:p>
    <w:p>
      <w:pPr>
        <w:ind w:firstLine="360"/>
        <w:spacing w:after="0" w:line="360" w:lineRule="auto"/>
        <w:rPr>
          <w:rFonts w:ascii="宋体" w:hAnsi="宋体"/>
          <w:color w:val="auto"/>
          <w:sz w:val="24"/>
          <w:szCs w:val="24"/>
          <w:highlight w:val="none"/>
        </w:rPr>
      </w:pPr>
      <w:r>
        <w:rPr>
          <w:rFonts w:hint="eastAsia" w:ascii="宋体" w:hAnsi="宋体"/>
          <w:bCs/>
          <w:color w:val="auto"/>
          <w:sz w:val="24"/>
          <w:highlight w:val="none"/>
        </w:rPr>
        <w:t xml:space="preserve">  4.因重大变故，采购任务取消。</w:t>
      </w:r>
      <w:r>
        <w:rPr>
          <w:rFonts w:ascii="宋体" w:hAnsi="宋体"/>
          <w:color w:val="auto"/>
          <w:sz w:val="24"/>
          <w:szCs w:val="24"/>
          <w:highlight w:val="none"/>
        </w:rPr>
        <w:t xml:space="preserve"> </w:t>
      </w:r>
      <w:r/>
    </w:p>
    <w:p>
      <w:pPr>
        <w:ind w:firstLine="352"/>
        <w:spacing w:after="0" w:line="360" w:lineRule="auto"/>
        <w:rPr>
          <w:rFonts w:ascii="宋体" w:hAnsi="宋体"/>
          <w:bCs/>
          <w:color w:val="auto"/>
          <w:sz w:val="24"/>
          <w:highlight w:val="none"/>
        </w:rPr>
      </w:pPr>
      <w:r>
        <w:rPr>
          <w:rFonts w:hint="eastAsia" w:ascii="宋体" w:hAnsi="宋体"/>
          <w:bCs/>
          <w:color w:val="auto"/>
          <w:sz w:val="24"/>
          <w:highlight w:val="none"/>
        </w:rPr>
        <w:t xml:space="preserve">（十二）中标无效的确认：</w:t>
      </w:r>
      <w:r/>
    </w:p>
    <w:p>
      <w:pPr>
        <w:ind w:left="629"/>
        <w:spacing w:after="0" w:line="360" w:lineRule="auto"/>
        <w:rPr>
          <w:rFonts w:ascii="宋体" w:hAnsi="宋体"/>
          <w:bCs/>
          <w:color w:val="auto"/>
          <w:sz w:val="24"/>
          <w:highlight w:val="none"/>
        </w:rPr>
      </w:pPr>
      <w:r>
        <w:rPr>
          <w:rFonts w:hint="eastAsia" w:ascii="宋体" w:hAnsi="宋体"/>
          <w:bCs/>
          <w:color w:val="auto"/>
          <w:sz w:val="24"/>
          <w:highlight w:val="none"/>
        </w:rPr>
        <w:t xml:space="preserve">（1）提供虚假材料谋取中标，中标后满足不了采购需求的；</w:t>
      </w:r>
      <w:r/>
    </w:p>
    <w:p>
      <w:pPr>
        <w:ind w:left="629"/>
        <w:spacing w:after="0" w:line="360" w:lineRule="auto"/>
        <w:rPr>
          <w:rFonts w:ascii="宋体" w:hAnsi="宋体"/>
          <w:bCs/>
          <w:color w:val="auto"/>
          <w:sz w:val="24"/>
          <w:highlight w:val="none"/>
        </w:rPr>
      </w:pPr>
      <w:r>
        <w:rPr>
          <w:rFonts w:hint="eastAsia" w:ascii="宋体" w:hAnsi="宋体"/>
          <w:bCs/>
          <w:color w:val="auto"/>
          <w:sz w:val="24"/>
          <w:highlight w:val="none"/>
        </w:rPr>
        <w:t xml:space="preserve">（2）采取不正当手段诋毁、排挤其他投标供应商的；</w:t>
      </w:r>
      <w:r/>
    </w:p>
    <w:p>
      <w:pPr>
        <w:ind w:left="629"/>
        <w:spacing w:after="0" w:line="360" w:lineRule="auto"/>
        <w:rPr>
          <w:rFonts w:ascii="宋体" w:hAnsi="宋体"/>
          <w:bCs/>
          <w:color w:val="auto"/>
          <w:sz w:val="24"/>
          <w:highlight w:val="none"/>
        </w:rPr>
      </w:pPr>
      <w:r>
        <w:rPr>
          <w:rFonts w:hint="eastAsia" w:ascii="宋体" w:hAnsi="宋体"/>
          <w:bCs/>
          <w:color w:val="auto"/>
          <w:sz w:val="24"/>
          <w:highlight w:val="none"/>
        </w:rPr>
        <w:t xml:space="preserve">（3）与招标采购单位、其他投标供应商恶意串通的；</w:t>
      </w:r>
      <w:r/>
    </w:p>
    <w:p>
      <w:pPr>
        <w:ind w:left="629"/>
        <w:spacing w:after="0"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（4）向采购人行贿或者提供其他不正当利益的；</w:t>
      </w:r>
      <w:r/>
    </w:p>
    <w:p>
      <w:pPr>
        <w:ind w:left="629"/>
        <w:spacing w:after="0"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（5）在招标过程中与采购人进行协商谈判、不按照招标文件和中标投标供应商的投标文件订立合同，或者与采购人另行订立背离合同实质性内容的协议的；</w:t>
      </w:r>
      <w:r/>
    </w:p>
    <w:p>
      <w:pPr>
        <w:ind w:left="420" w:firstLine="240"/>
        <w:spacing w:after="0"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（6）拒绝有关部门监督检查或者提供虚假情况的。</w:t>
      </w:r>
      <w:r/>
    </w:p>
    <w:p>
      <w:pPr>
        <w:spacing w:after="0" w:line="360" w:lineRule="auto"/>
        <w:rPr>
          <w:rFonts w:ascii="宋体" w:hAnsi="宋体"/>
          <w:bCs/>
          <w:color w:val="auto"/>
          <w:sz w:val="24"/>
          <w:highlight w:val="none"/>
        </w:rPr>
      </w:pPr>
      <w:r>
        <w:rPr>
          <w:rFonts w:hint="eastAsia" w:ascii="宋体" w:hAnsi="宋体"/>
          <w:bCs/>
          <w:color w:val="auto"/>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after="0" w:line="360" w:lineRule="auto"/>
        <w:rPr>
          <w:rFonts w:ascii="宋体" w:hAnsi="宋体"/>
          <w:bCs/>
          <w:color w:val="auto"/>
          <w:sz w:val="24"/>
          <w:highlight w:val="none"/>
        </w:rPr>
        <w:outlineLvl w:val="0"/>
      </w:pPr>
      <w:r>
        <w:rPr>
          <w:rFonts w:hint="eastAsia" w:ascii="宋体" w:hAnsi="宋体"/>
          <w:bCs/>
          <w:color w:val="auto"/>
          <w:sz w:val="24"/>
          <w:highlight w:val="none"/>
        </w:rPr>
        <w:t xml:space="preserve">（十三）签订</w:t>
      </w:r>
      <w:r>
        <w:rPr>
          <w:rFonts w:hint="eastAsia" w:ascii="宋体" w:hAnsi="宋体"/>
          <w:b/>
          <w:color w:val="auto"/>
          <w:sz w:val="24"/>
          <w:highlight w:val="none"/>
        </w:rPr>
        <w:t xml:space="preserve">、</w:t>
      </w:r>
      <w:r>
        <w:rPr>
          <w:rFonts w:hint="eastAsia" w:ascii="宋体" w:hAnsi="宋体"/>
          <w:bCs/>
          <w:color w:val="auto"/>
          <w:sz w:val="24"/>
          <w:highlight w:val="none"/>
        </w:rPr>
        <w:t xml:space="preserve">履行合同：</w:t>
      </w:r>
      <w:r/>
    </w:p>
    <w:p>
      <w:pPr>
        <w:ind w:left="180"/>
        <w:spacing w:after="0" w:line="360" w:lineRule="auto"/>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     1.</w:t>
      </w:r>
      <w:r>
        <w:rPr>
          <w:rFonts w:ascii="宋体" w:hAnsi="宋体"/>
          <w:bCs/>
          <w:color w:val="auto"/>
          <w:sz w:val="24"/>
          <w:highlight w:val="none"/>
        </w:rPr>
        <w:t xml:space="preserve">采购人应当自成交通知书发出之日起</w:t>
      </w:r>
      <w:r>
        <w:rPr>
          <w:rFonts w:hint="eastAsia" w:ascii="宋体" w:hAnsi="宋体"/>
          <w:bCs/>
          <w:color w:val="auto"/>
          <w:sz w:val="24"/>
          <w:highlight w:val="none"/>
        </w:rPr>
        <w:t xml:space="preserve">三十</w:t>
      </w:r>
      <w:r>
        <w:rPr>
          <w:rFonts w:ascii="宋体" w:hAnsi="宋体"/>
          <w:bCs/>
          <w:color w:val="auto"/>
          <w:sz w:val="24"/>
          <w:highlight w:val="none"/>
        </w:rPr>
        <w:t xml:space="preserve">日内，按照招标文件和中标</w:t>
      </w:r>
      <w:r>
        <w:rPr>
          <w:rFonts w:hint="eastAsia" w:ascii="宋体" w:hAnsi="宋体"/>
          <w:bCs/>
          <w:color w:val="auto"/>
          <w:sz w:val="24"/>
          <w:highlight w:val="none"/>
        </w:rPr>
        <w:t xml:space="preserve">投标供应商</w:t>
      </w:r>
      <w:r>
        <w:rPr>
          <w:rFonts w:ascii="宋体" w:hAnsi="宋体"/>
          <w:bCs/>
          <w:color w:val="auto"/>
          <w:sz w:val="24"/>
          <w:highlight w:val="none"/>
        </w:rPr>
        <w:t xml:space="preserve">投标文件的约定，与中标</w:t>
      </w:r>
      <w:r>
        <w:rPr>
          <w:rFonts w:hint="eastAsia" w:ascii="宋体" w:hAnsi="宋体"/>
          <w:bCs/>
          <w:color w:val="auto"/>
          <w:sz w:val="24"/>
          <w:highlight w:val="none"/>
        </w:rPr>
        <w:t xml:space="preserve">投标供应商</w:t>
      </w:r>
      <w:r>
        <w:rPr>
          <w:rFonts w:ascii="宋体" w:hAnsi="宋体"/>
          <w:bCs/>
          <w:color w:val="auto"/>
          <w:sz w:val="24"/>
          <w:highlight w:val="none"/>
        </w:rPr>
        <w:t xml:space="preserve">签订书面合同。所签订的合同不得对招标文件和中标</w:t>
      </w:r>
      <w:r>
        <w:rPr>
          <w:rFonts w:hint="eastAsia" w:ascii="宋体" w:hAnsi="宋体"/>
          <w:bCs/>
          <w:color w:val="auto"/>
          <w:sz w:val="24"/>
          <w:highlight w:val="none"/>
        </w:rPr>
        <w:t xml:space="preserve">投标供应商</w:t>
      </w:r>
      <w:r>
        <w:rPr>
          <w:rFonts w:ascii="宋体" w:hAnsi="宋体"/>
          <w:bCs/>
          <w:color w:val="auto"/>
          <w:sz w:val="24"/>
          <w:highlight w:val="none"/>
        </w:rPr>
        <w:t xml:space="preserve">投标文件作实质性修改。</w:t>
      </w:r>
      <w:r>
        <w:rPr>
          <w:rFonts w:hint="eastAsia" w:ascii="宋体" w:hAnsi="宋体"/>
          <w:bCs/>
          <w:color w:val="auto"/>
          <w:sz w:val="24"/>
          <w:highlight w:val="none"/>
        </w:rPr>
        <w:t xml:space="preserve">采购人</w:t>
      </w:r>
      <w:r>
        <w:rPr>
          <w:rFonts w:ascii="宋体" w:hAnsi="宋体"/>
          <w:bCs/>
          <w:color w:val="auto"/>
          <w:sz w:val="24"/>
          <w:highlight w:val="none"/>
        </w:rPr>
        <w:t xml:space="preserve">不得向中标</w:t>
      </w:r>
      <w:r>
        <w:rPr>
          <w:rFonts w:hint="eastAsia" w:ascii="宋体" w:hAnsi="宋体"/>
          <w:bCs/>
          <w:color w:val="auto"/>
          <w:sz w:val="24"/>
          <w:highlight w:val="none"/>
        </w:rPr>
        <w:t xml:space="preserve">投标供应商</w:t>
      </w:r>
      <w:r>
        <w:rPr>
          <w:rFonts w:ascii="宋体" w:hAnsi="宋体"/>
          <w:bCs/>
          <w:color w:val="auto"/>
          <w:sz w:val="24"/>
          <w:highlight w:val="none"/>
        </w:rPr>
        <w:t xml:space="preserve">提出任何不合理的要求，作为签订合同的条件，不得与中标</w:t>
      </w:r>
      <w:r>
        <w:rPr>
          <w:rFonts w:hint="eastAsia" w:ascii="宋体" w:hAnsi="宋体"/>
          <w:bCs/>
          <w:color w:val="auto"/>
          <w:sz w:val="24"/>
          <w:highlight w:val="none"/>
        </w:rPr>
        <w:t xml:space="preserve">投标供应商</w:t>
      </w:r>
      <w:r>
        <w:rPr>
          <w:rFonts w:ascii="宋体" w:hAnsi="宋体"/>
          <w:bCs/>
          <w:color w:val="auto"/>
          <w:sz w:val="24"/>
          <w:highlight w:val="none"/>
        </w:rPr>
        <w:t xml:space="preserve">私下订立背离合同实质性内容的协议。</w:t>
      </w:r>
      <w:r>
        <w:rPr>
          <w:rFonts w:hint="eastAsia" w:ascii="宋体" w:hAnsi="宋体"/>
          <w:bCs/>
          <w:color w:val="auto"/>
          <w:sz w:val="24"/>
          <w:highlight w:val="none"/>
        </w:rPr>
        <w:t xml:space="preserve">合同经江苏仁合中惠工程咨询有限公司见证后生效。</w:t>
      </w:r>
      <w:r/>
    </w:p>
    <w:p>
      <w:pPr>
        <w:ind w:firstLine="120"/>
        <w:spacing w:after="0" w:line="360" w:lineRule="auto"/>
        <w:tabs>
          <w:tab w:val="left" w:pos="1050" w:leader="none"/>
        </w:tabs>
        <w:rPr>
          <w:rFonts w:ascii="宋体" w:hAnsi="宋体"/>
          <w:bCs/>
          <w:color w:val="auto"/>
          <w:sz w:val="24"/>
          <w:highlight w:val="none"/>
        </w:rPr>
      </w:pPr>
      <w:r>
        <w:rPr>
          <w:rFonts w:hint="eastAsia" w:ascii="宋体" w:hAnsi="宋体"/>
          <w:bCs/>
          <w:color w:val="auto"/>
          <w:sz w:val="24"/>
          <w:highlight w:val="none"/>
        </w:rPr>
        <w:t xml:space="preserve">     2.中标方非因不可抗力未履行招、投标文件和合同规定的义务，一经查实，将根据具体情况提请政府采购监督管理部门作出相应处理。</w:t>
      </w:r>
      <w:r/>
    </w:p>
    <w:p>
      <w:pPr>
        <w:ind w:left="-2" w:firstLine="420"/>
        <w:spacing w:after="0" w:line="360" w:lineRule="auto"/>
        <w:rPr>
          <w:rFonts w:ascii="宋体" w:hAnsi="宋体"/>
          <w:bCs/>
          <w:color w:val="auto"/>
          <w:sz w:val="24"/>
          <w:highlight w:val="none"/>
        </w:rPr>
        <w:outlineLvl w:val="0"/>
      </w:pPr>
      <w:r>
        <w:rPr>
          <w:rFonts w:hint="eastAsia" w:ascii="宋体" w:hAnsi="宋体"/>
          <w:bCs/>
          <w:color w:val="auto"/>
          <w:sz w:val="24"/>
          <w:highlight w:val="none"/>
        </w:rPr>
        <w:t xml:space="preserve">（十四）政府采购信用担保</w:t>
      </w:r>
      <w:r/>
    </w:p>
    <w:p>
      <w:pPr>
        <w:ind w:firstLine="360"/>
        <w:spacing w:after="0" w:line="440" w:lineRule="exact"/>
        <w:tabs>
          <w:tab w:val="left" w:pos="1050" w:leader="none"/>
        </w:tabs>
        <w:rPr>
          <w:rFonts w:ascii="宋体" w:hAnsi="宋体"/>
          <w:bCs/>
          <w:color w:val="auto"/>
          <w:sz w:val="24"/>
          <w:highlight w:val="none"/>
        </w:rPr>
      </w:pPr>
      <w:r>
        <w:rPr>
          <w:rFonts w:hint="eastAsia" w:ascii="宋体" w:hAnsi="宋体"/>
          <w:bCs/>
          <w:color w:val="auto"/>
          <w:sz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360"/>
        <w:spacing w:after="0" w:line="440" w:lineRule="exact"/>
        <w:tabs>
          <w:tab w:val="left" w:pos="1050" w:leader="none"/>
        </w:tabs>
        <w:rPr>
          <w:rFonts w:ascii="宋体" w:hAnsi="宋体"/>
          <w:bCs/>
          <w:color w:val="auto"/>
          <w:sz w:val="24"/>
          <w:highlight w:val="none"/>
        </w:rPr>
      </w:pPr>
      <w:r>
        <w:rPr>
          <w:rFonts w:hint="eastAsia" w:ascii="宋体" w:hAnsi="宋体"/>
          <w:bCs/>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1。</w:t>
      </w:r>
      <w:r/>
    </w:p>
    <w:p>
      <w:pPr>
        <w:ind w:firstLine="360"/>
        <w:spacing w:after="0" w:line="440" w:lineRule="exact"/>
        <w:tabs>
          <w:tab w:val="left" w:pos="1050" w:leader="none"/>
        </w:tabs>
        <w:rPr>
          <w:rFonts w:ascii="宋体" w:hAnsi="宋体"/>
          <w:bCs/>
          <w:color w:val="auto"/>
          <w:sz w:val="24"/>
          <w:highlight w:val="none"/>
        </w:rPr>
      </w:pPr>
      <w:r>
        <w:rPr>
          <w:rFonts w:hint="eastAsia" w:ascii="宋体" w:hAnsi="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360"/>
        <w:spacing w:after="0" w:line="440" w:lineRule="exact"/>
        <w:tabs>
          <w:tab w:val="left" w:pos="1050" w:leader="none"/>
        </w:tabs>
        <w:rPr>
          <w:rFonts w:ascii="宋体" w:hAnsi="宋体"/>
          <w:bCs/>
          <w:color w:val="auto"/>
          <w:sz w:val="24"/>
          <w:highlight w:val="none"/>
        </w:rPr>
      </w:pPr>
      <w:r>
        <w:rPr>
          <w:rFonts w:hint="eastAsia" w:ascii="宋体" w:hAnsi="宋体"/>
          <w:bCs/>
          <w:color w:val="auto"/>
          <w:sz w:val="24"/>
          <w:highlight w:val="none"/>
        </w:rPr>
        <w:t xml:space="preserve">（十五）政府采购合同融资</w:t>
      </w:r>
      <w:r/>
    </w:p>
    <w:p>
      <w:pPr>
        <w:ind w:firstLine="480"/>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【根据我市《关于开展政府采购合同融资工作的通知》（锡财购〔2020〕17号）】合同融资，是指参与政府采购的供应商，凭借中标、成交通知书或政府采购合同向金融机</w:t>
      </w:r>
      <w:r>
        <w:rPr>
          <w:rFonts w:hint="eastAsia" w:ascii="宋体" w:hAnsi="宋体"/>
          <w:bCs/>
          <w:color w:val="auto"/>
          <w:sz w:val="24"/>
          <w:szCs w:val="24"/>
          <w:highlight w:val="none"/>
        </w:rPr>
        <w:t xml:space="preserve">构申请融资，金融机构以供应商信用审查和政府采购信誉为基础，按便捷贷款程序和优惠利率，为其发放无财产抵押贷款的一种融资模式。供应商与金融机构按照“银企自愿，风险共担”的原则开展融资活动，有融资需求的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p>
    <w:p>
      <w:pPr>
        <w:ind w:firstLine="480"/>
        <w:spacing w:after="0" w:line="360" w:lineRule="auto"/>
        <w:rPr>
          <w:rFonts w:ascii="宋体" w:hAnsi="宋体"/>
          <w:bCs/>
          <w:color w:val="auto"/>
          <w:sz w:val="24"/>
          <w:szCs w:val="24"/>
          <w:highlight w:val="none"/>
        </w:rPr>
        <w:outlineLvl w:val="0"/>
      </w:pPr>
      <w:r>
        <w:rPr>
          <w:rFonts w:hint="eastAsia" w:ascii="宋体" w:hAnsi="宋体"/>
          <w:bCs/>
          <w:color w:val="auto"/>
          <w:sz w:val="24"/>
          <w:szCs w:val="24"/>
          <w:highlight w:val="none"/>
        </w:rPr>
        <w:t xml:space="preserve">中标供应商可根据自身情况，自行决定是否选择采用合同融资形式，在无锡政府采购网——政采贷专栏提供的银行名录内自主选择合作银行。</w:t>
      </w:r>
      <w:r/>
    </w:p>
    <w:p>
      <w:pPr>
        <w:ind w:left="-2" w:firstLine="420"/>
        <w:spacing w:after="0" w:line="360" w:lineRule="auto"/>
        <w:rPr>
          <w:rFonts w:ascii="宋体" w:hAnsi="宋体"/>
          <w:bCs/>
          <w:color w:val="auto"/>
          <w:sz w:val="24"/>
          <w:highlight w:val="none"/>
        </w:rPr>
        <w:outlineLvl w:val="0"/>
      </w:pPr>
      <w:r>
        <w:rPr>
          <w:rFonts w:hint="eastAsia" w:ascii="宋体" w:hAnsi="宋体"/>
          <w:bCs/>
          <w:color w:val="auto"/>
          <w:sz w:val="24"/>
          <w:highlight w:val="none"/>
        </w:rPr>
        <w:t xml:space="preserve">（十六）代理服务费：</w:t>
      </w:r>
      <w:r/>
    </w:p>
    <w:p>
      <w:pPr>
        <w:ind w:firstLine="480"/>
        <w:spacing w:after="0" w:line="440" w:lineRule="exact"/>
        <w:rPr>
          <w:rFonts w:ascii="宋体" w:hAnsi="宋体"/>
          <w:bCs/>
          <w:color w:val="auto"/>
          <w:sz w:val="24"/>
          <w:highlight w:val="none"/>
        </w:rPr>
      </w:pPr>
      <w:r>
        <w:rPr>
          <w:rFonts w:hint="eastAsia" w:ascii="宋体" w:hAnsi="宋体"/>
          <w:bCs/>
          <w:color w:val="auto"/>
          <w:sz w:val="24"/>
          <w:highlight w:val="none"/>
        </w:rPr>
        <w:t xml:space="preserve">本项目采购代理服务费由采购人支付。</w:t>
      </w:r>
      <w:r/>
    </w:p>
    <w:p>
      <w:pPr>
        <w:ind w:firstLine="480"/>
        <w:spacing w:after="0" w:line="440" w:lineRule="exact"/>
        <w:rPr>
          <w:rFonts w:ascii="宋体" w:hAnsi="宋体"/>
          <w:bCs/>
          <w:color w:val="auto"/>
          <w:sz w:val="24"/>
          <w:highlight w:val="none"/>
        </w:rPr>
      </w:pPr>
      <w:r>
        <w:rPr>
          <w:rFonts w:hint="eastAsia" w:ascii="宋体" w:hAnsi="宋体"/>
          <w:bCs/>
          <w:color w:val="auto"/>
          <w:sz w:val="24"/>
          <w:highlight w:val="none"/>
        </w:rPr>
        <w:t xml:space="preserve">1、参考国家计委计价格〔2002〕1980号《招标代理服务收费管理暂行办法》所规定的收费标准的7折计取，招标代理服务费的收费按差额定率累进法。</w:t>
      </w:r>
      <w:r/>
    </w:p>
    <w:p>
      <w:pPr>
        <w:ind w:firstLine="480"/>
        <w:spacing w:after="0" w:line="440" w:lineRule="exact"/>
        <w:rPr>
          <w:rFonts w:ascii="宋体" w:hAnsi="宋体"/>
          <w:color w:val="auto"/>
          <w:sz w:val="24"/>
          <w:highlight w:val="none"/>
        </w:rPr>
      </w:pPr>
      <w:r>
        <w:rPr>
          <w:rFonts w:hint="eastAsia" w:ascii="宋体" w:hAnsi="宋体"/>
          <w:color w:val="auto"/>
          <w:sz w:val="24"/>
          <w:highlight w:val="none"/>
        </w:rPr>
        <w:t xml:space="preserve">2、标底编制服务费按苏价服[2004]483号－造价咨询服务收费标准的7折计取，造价咨询服务费的收费按差额定率累进法。</w:t>
      </w:r>
      <w:r/>
    </w:p>
    <w:p>
      <w:pPr>
        <w:ind w:firstLine="480"/>
        <w:spacing w:after="0" w:line="440" w:lineRule="exact"/>
        <w:rPr>
          <w:rFonts w:ascii="宋体" w:hAnsi="宋体"/>
          <w:color w:val="auto"/>
          <w:sz w:val="24"/>
          <w:highlight w:val="none"/>
        </w:rPr>
      </w:pPr>
      <w:r>
        <w:rPr>
          <w:rFonts w:hint="eastAsia" w:ascii="宋体" w:hAnsi="宋体"/>
          <w:color w:val="auto"/>
          <w:sz w:val="24"/>
          <w:highlight w:val="none"/>
        </w:rPr>
        <w:t xml:space="preserve">（十七）其他：</w:t>
      </w:r>
      <w:r/>
    </w:p>
    <w:p>
      <w:pPr>
        <w:ind w:firstLine="480"/>
        <w:spacing w:after="0" w:line="360" w:lineRule="auto"/>
        <w:rPr>
          <w:rFonts w:ascii="宋体" w:hAnsi="宋体"/>
          <w:bCs/>
          <w:color w:val="auto"/>
          <w:sz w:val="24"/>
          <w:highlight w:val="none"/>
        </w:rPr>
      </w:pPr>
      <w:r>
        <w:rPr>
          <w:rFonts w:hint="eastAsia" w:ascii="宋体" w:hAnsi="宋体"/>
          <w:bCs/>
          <w:color w:val="auto"/>
          <w:sz w:val="24"/>
          <w:highlight w:val="none"/>
        </w:rPr>
        <w:t xml:space="preserve">招标文件的条款必须认真审阅，供应商应自行检查招标文件页数是否齐全。若有遗漏、重复或不清楚，需立刻通知采购人予以更正；凡属对条款的误解所造成的投标价格失误，由供应商负责。</w:t>
      </w:r>
      <w:r/>
    </w:p>
    <w:p>
      <w:pPr>
        <w:pageBreakBefore/>
        <w:spacing w:after="0" w:line="360" w:lineRule="auto"/>
        <w:rPr>
          <w:rFonts w:ascii="宋体" w:hAnsi="宋体"/>
          <w:color w:val="auto"/>
          <w:sz w:val="24"/>
          <w:szCs w:val="24"/>
          <w:highlight w:val="none"/>
        </w:rPr>
      </w:pPr>
      <w:r>
        <w:rPr>
          <w:rFonts w:ascii="宋体" w:hAnsi="宋体"/>
          <w:color w:val="auto"/>
          <w:sz w:val="24"/>
          <w:szCs w:val="24"/>
          <w:highlight w:val="none"/>
        </w:rPr>
        <w:t xml:space="preserve">附件</w:t>
      </w:r>
      <w:r>
        <w:rPr>
          <w:rFonts w:hint="eastAsia" w:ascii="宋体" w:hAnsi="宋体"/>
          <w:color w:val="auto"/>
          <w:sz w:val="24"/>
          <w:szCs w:val="24"/>
          <w:highlight w:val="none"/>
        </w:rPr>
        <w:t xml:space="preserve">1.               </w:t>
      </w:r>
      <w:r>
        <w:rPr>
          <w:rFonts w:ascii="宋体" w:hAnsi="宋体"/>
          <w:color w:val="auto"/>
          <w:sz w:val="24"/>
          <w:szCs w:val="24"/>
          <w:highlight w:val="none"/>
        </w:rPr>
        <w:t xml:space="preserve">      </w:t>
      </w:r>
      <w:r/>
    </w:p>
    <w:p>
      <w:pPr>
        <w:jc w:val="cente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政府采购投标担保函 （项目用）</w:t>
      </w:r>
      <w:r/>
    </w:p>
    <w:p>
      <w:pPr>
        <w:spacing w:after="0" w:line="360" w:lineRule="auto"/>
        <w:tabs>
          <w:tab w:val="left" w:pos="360" w:leader="none"/>
          <w:tab w:val="left" w:pos="960" w:leader="none"/>
        </w:tabs>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（采购人）：</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ascii="宋体" w:hAnsi="宋体"/>
          <w:color w:val="auto"/>
          <w:sz w:val="24"/>
          <w:szCs w:val="24"/>
          <w:highlight w:val="none"/>
        </w:rPr>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鉴于你方与</w:t>
      </w:r>
      <w:r>
        <w:rPr>
          <w:rFonts w:hint="eastAsia" w:ascii="宋体" w:hAnsi="宋体"/>
          <w:color w:val="auto"/>
          <w:sz w:val="24"/>
          <w:szCs w:val="24"/>
          <w:highlight w:val="none"/>
          <w:u w:val="single"/>
        </w:rPr>
        <w:t xml:space="preserve">                    （以下简称供应商）</w:t>
      </w:r>
      <w:r>
        <w:rPr>
          <w:rFonts w:hint="eastAsia" w:ascii="宋体" w:hAnsi="宋体"/>
          <w:color w:val="auto"/>
          <w:sz w:val="24"/>
          <w:szCs w:val="24"/>
          <w:highlight w:val="none"/>
        </w:rPr>
        <w:t xml:space="preserve">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日签订编号为   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政府采购合同》（以下简称主合同），且依据该合同的约定，供应商应在</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日前向你方交纳履约保证金，且可以履约担保函的形式交纳履约保证金。应供应商的申请，我方以保证的方式向你方提供如下履约保证金担保：</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一、保证责任的情形及保证金额</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（一）在供应商出现下列情形之一时，我方承担保证责任：</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1.将中标项目转让给他人，或者在投标文件中未说明，且未经采购招标机构同意，将中标项目分包给他人的；</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　　2.主合同约定的应当缴纳履约保证金的情形： </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（1）未按主合同约定的质量、数量和期限供应货物/提供服务/完成工程的；</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(2)                                                           </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（二）我方的保证范围是主合同约定的合同价款总额的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%数额为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），币种为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。（即主合同履约保证金金额）</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二、保证的方式及保证期间</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我方保证的方式为：连带责任保证。</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我方保证的期间为：自本合同生效之日起至供应商按照主合同约定的供货/完工期限届满后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日内。</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如果供应商未按主合同约定向贵方供应货物/提供服务/完成工程的，由我方在保证金额内向你方支付上述款项。</w:t>
      </w:r>
      <w:r/>
    </w:p>
    <w:p>
      <w:pPr>
        <w:ind w:firstLine="360"/>
        <w:spacing w:after="0" w:line="360" w:lineRule="auto"/>
        <w:widowControl w:val="off"/>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三、承担保证责任的程序</w:t>
      </w:r>
      <w:r/>
    </w:p>
    <w:p>
      <w:pPr>
        <w:ind w:firstLine="360"/>
        <w:spacing w:after="0" w:line="360" w:lineRule="auto"/>
        <w:widowControl w:val="off"/>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spacing w:after="0" w:line="360" w:lineRule="auto"/>
        <w:widowControl w:val="off"/>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如果你方与供应商因货物质量问题产生争议，你方还需同时提供</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部门出具的质量检测报告，或经诉讼（仲裁）程序裁决后的裁决书、调解书，本保证人即按照检测结果或裁决书、调解书决定是否承担保证责任。</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2. 我方收到你方的书面索赔通知及相应证明材料，在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工作日内进行核定后按照本保函的承诺承担保证责任。</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四、保证责任的终止</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2.我方按照本保函向你方履行了保证责任后，自我方向你方支付款项（支付款项从我方账户划出）之日起，保证责任即终止。</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3.按照法律法规的规定或出现应终止我方保证责任的其他情形的，我方在本保函项下的保证责任亦终止。</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五、免责条款</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1.因你方违反主合同约定致使供应商不能履行义务的，我方不承担保证责任。</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2.依照法律法规的规定或你方与供应商的另行约定，全部或者部分免除供应商应缴纳的保证金义务的，我方亦免除相应的保证责任。</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3.因不可抗力造成供应商不能履行供货义务的，我方不承担保证责任。</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六、争议的解决</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因本保函发生的纠纷，由你我双方协商解决，协商不成的，通过诉讼程序解决，诉讼管辖地法院为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法院。</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七、保函的生效</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本保函自我方加盖公章之日起生效。</w:t>
      </w:r>
      <w:r/>
    </w:p>
    <w:p>
      <w:pPr>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                                 </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保证人：（公章）</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                   </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 年     月      日</w:t>
      </w:r>
      <w:r/>
    </w:p>
    <w:p>
      <w:pPr>
        <w:ind w:firstLine="360"/>
        <w:spacing w:after="0" w:line="440" w:lineRule="exact"/>
        <w:tabs>
          <w:tab w:val="left" w:pos="360" w:leader="none"/>
          <w:tab w:val="left" w:pos="960" w:leader="none"/>
        </w:tabs>
        <w:rPr>
          <w:rFonts w:ascii="宋体" w:hAnsi="宋体"/>
          <w:color w:val="auto"/>
          <w:sz w:val="24"/>
          <w:szCs w:val="24"/>
          <w:highlight w:val="none"/>
        </w:rPr>
      </w:pPr>
      <w:r>
        <w:rPr>
          <w:rFonts w:ascii="宋体" w:hAnsi="宋体"/>
          <w:color w:val="auto"/>
          <w:sz w:val="24"/>
          <w:szCs w:val="24"/>
          <w:highlight w:val="none"/>
        </w:rPr>
      </w:r>
      <w:r/>
    </w:p>
    <w:p>
      <w:pPr>
        <w:ind w:firstLine="360"/>
        <w:spacing w:after="0" w:line="440" w:lineRule="exact"/>
        <w:tabs>
          <w:tab w:val="left" w:pos="360" w:leader="none"/>
          <w:tab w:val="left" w:pos="960" w:leader="none"/>
        </w:tabs>
        <w:rPr>
          <w:rFonts w:ascii="宋体" w:hAnsi="宋体"/>
          <w:color w:val="auto"/>
          <w:sz w:val="24"/>
          <w:szCs w:val="24"/>
          <w:highlight w:val="none"/>
        </w:rPr>
      </w:pPr>
      <w:r>
        <w:rPr>
          <w:rFonts w:ascii="宋体" w:hAnsi="宋体"/>
          <w:color w:val="auto"/>
          <w:sz w:val="24"/>
          <w:szCs w:val="24"/>
          <w:highlight w:val="none"/>
        </w:rPr>
      </w:r>
      <w:r/>
    </w:p>
    <w:p>
      <w:pPr>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附件2.               无锡市政府采购合同融资政策告知函</w:t>
      </w:r>
      <w:r/>
    </w:p>
    <w:p>
      <w:pPr>
        <w:ind w:left="156"/>
        <w:spacing w:after="0" w:line="300" w:lineRule="auto"/>
        <w:rPr>
          <w:rFonts w:ascii="宋体" w:hAnsi="宋体"/>
          <w:color w:val="auto"/>
          <w:sz w:val="28"/>
          <w:highlight w:val="none"/>
        </w:rPr>
      </w:pPr>
      <w:r>
        <w:rPr>
          <w:rFonts w:ascii="宋体" w:hAnsi="宋体"/>
          <w:color w:val="auto"/>
          <w:sz w:val="28"/>
          <w:highlight w:val="none"/>
        </w:rPr>
      </w:r>
      <w:r/>
    </w:p>
    <w:p>
      <w:pPr>
        <w:ind w:firstLine="48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各供应商：</w:t>
      </w:r>
      <w:r/>
    </w:p>
    <w:p>
      <w:pPr>
        <w:ind w:firstLine="48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欢迎贵公司参与无锡市政府采购活动！</w:t>
      </w:r>
      <w:r/>
    </w:p>
    <w:p>
      <w:pPr>
        <w:ind w:firstLine="48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按照双方自愿的原则提供便捷、优惠的贷款服务。</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hint="eastAsia" w:ascii="宋体" w:hAnsi="宋体"/>
          <w:color w:val="auto"/>
          <w:sz w:val="24"/>
          <w:szCs w:val="24"/>
          <w:highlight w:val="none"/>
        </w:rPr>
        <w:t xml:space="preserve">贷款渠道和提供贷款的金融机构，可在无锡政府采购网无锡市政府采购交易管理一体化系统查询联系。</w:t>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ascii="宋体" w:hAnsi="宋体"/>
          <w:color w:val="auto"/>
          <w:sz w:val="24"/>
          <w:szCs w:val="24"/>
          <w:highlight w:val="none"/>
        </w:rPr>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ascii="宋体" w:hAnsi="宋体"/>
          <w:color w:val="auto"/>
          <w:sz w:val="24"/>
          <w:szCs w:val="24"/>
          <w:highlight w:val="none"/>
        </w:rPr>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ascii="宋体" w:hAnsi="宋体"/>
          <w:color w:val="auto"/>
          <w:sz w:val="24"/>
          <w:szCs w:val="24"/>
          <w:highlight w:val="none"/>
        </w:rPr>
      </w:r>
      <w:r/>
    </w:p>
    <w:p>
      <w:pPr>
        <w:ind w:firstLine="360"/>
        <w:spacing w:after="0" w:line="360" w:lineRule="auto"/>
        <w:tabs>
          <w:tab w:val="left" w:pos="360" w:leader="none"/>
          <w:tab w:val="left" w:pos="960" w:leader="none"/>
        </w:tabs>
        <w:rPr>
          <w:rFonts w:ascii="宋体" w:hAnsi="宋体"/>
          <w:color w:val="auto"/>
          <w:sz w:val="24"/>
          <w:szCs w:val="24"/>
          <w:highlight w:val="none"/>
        </w:rPr>
      </w:pPr>
      <w:r>
        <w:rPr>
          <w:rFonts w:ascii="宋体" w:hAnsi="宋体"/>
          <w:color w:val="auto"/>
          <w:sz w:val="24"/>
          <w:szCs w:val="24"/>
          <w:highlight w:val="none"/>
        </w:rPr>
      </w:r>
      <w:r/>
    </w:p>
    <w:p>
      <w:pPr>
        <w:pStyle w:val="1092"/>
        <w:rPr>
          <w:rFonts w:ascii="宋体" w:hAnsi="宋体" w:cs="宋体"/>
          <w:color w:val="auto"/>
          <w:sz w:val="24"/>
          <w:szCs w:val="24"/>
          <w:highlight w:val="none"/>
        </w:rPr>
      </w:pPr>
      <w:r>
        <w:rPr>
          <w:rFonts w:ascii="宋体" w:hAnsi="宋体" w:cs="宋体"/>
          <w:color w:val="auto"/>
          <w:sz w:val="24"/>
          <w:szCs w:val="24"/>
          <w:highlight w:val="none"/>
        </w:rPr>
      </w:r>
      <w:r/>
    </w:p>
    <w:p>
      <w:pPr>
        <w:pStyle w:val="1092"/>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pStyle w:val="1092"/>
        <w:ind w:firstLine="0"/>
        <w:rPr>
          <w:rFonts w:ascii="宋体" w:hAnsi="宋体" w:cs="宋体"/>
          <w:color w:val="auto"/>
          <w:sz w:val="24"/>
          <w:szCs w:val="24"/>
          <w:highlight w:val="none"/>
        </w:rPr>
      </w:pPr>
      <w:r>
        <w:rPr>
          <w:rFonts w:ascii="宋体" w:hAnsi="宋体" w:cs="宋体"/>
          <w:color w:val="auto"/>
          <w:sz w:val="24"/>
          <w:szCs w:val="24"/>
          <w:highlight w:val="none"/>
        </w:rPr>
      </w:r>
      <w:r/>
    </w:p>
    <w:p>
      <w:pPr>
        <w:jc w:val="center"/>
        <w:spacing w:after="0" w:line="360" w:lineRule="auto"/>
        <w:tabs>
          <w:tab w:val="left" w:pos="360" w:leader="none"/>
          <w:tab w:val="left" w:pos="960" w:leader="none"/>
        </w:tabs>
        <w:rPr>
          <w:rFonts w:ascii="宋体" w:hAnsi="宋体"/>
          <w:b/>
          <w:bCs/>
          <w:color w:val="auto"/>
          <w:sz w:val="44"/>
          <w:szCs w:val="44"/>
          <w:highlight w:val="none"/>
        </w:rPr>
      </w:pPr>
      <w:r>
        <w:rPr>
          <w:rFonts w:ascii="宋体" w:hAnsi="宋体"/>
          <w:b/>
          <w:bCs/>
          <w:color w:val="auto"/>
          <w:sz w:val="44"/>
          <w:szCs w:val="44"/>
          <w:highlight w:val="none"/>
        </w:rPr>
      </w:r>
      <w:r/>
    </w:p>
    <w:p>
      <w:pPr>
        <w:jc w:val="center"/>
        <w:spacing w:after="0" w:line="360" w:lineRule="auto"/>
        <w:tabs>
          <w:tab w:val="left" w:pos="360" w:leader="none"/>
          <w:tab w:val="left" w:pos="960" w:leader="none"/>
        </w:tabs>
        <w:rPr>
          <w:rFonts w:ascii="宋体" w:hAnsi="宋体"/>
          <w:b/>
          <w:bCs/>
          <w:color w:val="auto"/>
          <w:sz w:val="44"/>
          <w:szCs w:val="44"/>
          <w:highlight w:val="none"/>
        </w:rPr>
      </w:pPr>
      <w:r>
        <w:rPr>
          <w:rFonts w:hint="eastAsia" w:ascii="宋体" w:hAnsi="宋体"/>
          <w:b/>
          <w:color w:val="auto"/>
          <w:sz w:val="44"/>
          <w:szCs w:val="44"/>
          <w:highlight w:val="none"/>
        </w:rPr>
        <w:t xml:space="preserve">三、采购需求</w:t>
      </w:r>
      <w:r/>
    </w:p>
    <w:p>
      <w:pPr>
        <w:pStyle w:val="1014"/>
        <w:jc w:val="left"/>
        <w:keepNext w:val="0"/>
        <w:spacing w:after="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投标供应商所投内容必须满足以下要求，不得有负偏离。</w:t>
      </w:r>
      <w:r/>
    </w:p>
    <w:p>
      <w:pPr>
        <w:pStyle w:val="1014"/>
        <w:jc w:val="left"/>
        <w:keepNext w:val="0"/>
        <w:spacing w:after="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一、项目概况</w:t>
      </w:r>
      <w:r/>
    </w:p>
    <w:p>
      <w:pPr>
        <w:pStyle w:val="1063"/>
        <w:ind w:left="0" w:right="163" w:firstLine="480"/>
        <w:spacing w:after="0"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1.项目名称：</w:t>
      </w:r>
      <w:r>
        <w:rPr>
          <w:rFonts w:hint="eastAsia" w:ascii="宋体" w:hAnsi="宋体"/>
          <w:color w:val="auto"/>
          <w:sz w:val="24"/>
          <w:szCs w:val="24"/>
          <w:highlight w:val="none"/>
          <w:lang w:eastAsia="zh-CN"/>
        </w:rPr>
        <w:t xml:space="preserve">无锡市水利工程管理中心江尖水利枢纽液压系统维修改造项目</w:t>
      </w:r>
      <w:r/>
    </w:p>
    <w:p>
      <w:pPr>
        <w:pStyle w:val="1063"/>
        <w:ind w:left="0" w:right="163" w:firstLine="480"/>
        <w:spacing w:after="0" w:line="360" w:lineRule="auto"/>
        <w:widowControl w:val="off"/>
        <w:rPr>
          <w:rFonts w:ascii="宋体" w:hAnsi="宋体"/>
          <w:b/>
          <w:bCs/>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服务期</w:t>
      </w:r>
      <w:r>
        <w:rPr>
          <w:rFonts w:hint="eastAsia" w:ascii="宋体" w:hAnsi="宋体"/>
          <w:color w:val="auto"/>
          <w:sz w:val="24"/>
          <w:szCs w:val="24"/>
          <w:highlight w:val="none"/>
        </w:rPr>
        <w:t xml:space="preserve">：合同签订后接到采购人开工通知之日起210日历天；误期违约金：中标价的万分之五/天，误期违约金的上限：签约合同价的5%。</w:t>
      </w:r>
      <w:r/>
    </w:p>
    <w:p>
      <w:pPr>
        <w:pStyle w:val="1037"/>
        <w:ind w:firstLine="480"/>
        <w:spacing w:after="0" w:line="360" w:lineRule="auto"/>
        <w:rPr>
          <w:rFonts w:ascii="宋体" w:hAnsi="宋体"/>
          <w:b w:val="0"/>
          <w:color w:val="auto"/>
          <w:sz w:val="24"/>
          <w:szCs w:val="24"/>
          <w:highlight w:val="none"/>
        </w:rPr>
      </w:pPr>
      <w:r>
        <w:rPr>
          <w:rFonts w:hint="eastAsia" w:ascii="宋体" w:hAnsi="宋体"/>
          <w:b w:val="0"/>
          <w:color w:val="auto"/>
          <w:sz w:val="24"/>
          <w:szCs w:val="24"/>
          <w:highlight w:val="none"/>
        </w:rPr>
        <w:t xml:space="preserve">3.质量标准：一次性验收通过，100%合格；质量违约金：合同价的3%。</w:t>
      </w:r>
      <w:r/>
    </w:p>
    <w:p>
      <w:pPr>
        <w:pStyle w:val="1038"/>
        <w:ind w:firstLine="480"/>
        <w:rPr>
          <w:color w:val="auto"/>
          <w:highlight w:val="none"/>
        </w:rPr>
      </w:pPr>
      <w:r>
        <w:rPr>
          <w:rFonts w:hint="eastAsia" w:ascii="宋体" w:hAnsi="宋体"/>
          <w:color w:val="auto"/>
          <w:sz w:val="24"/>
          <w:szCs w:val="24"/>
          <w:highlight w:val="none"/>
        </w:rPr>
        <w:t xml:space="preserve">4.基础质保期：一年，质保期自</w:t>
      </w:r>
      <w:r>
        <w:rPr>
          <w:rFonts w:hint="eastAsia" w:ascii="宋体" w:hAnsi="宋体"/>
          <w:color w:val="auto"/>
          <w:sz w:val="24"/>
          <w:szCs w:val="24"/>
          <w:highlight w:val="none"/>
          <w:lang w:eastAsia="zh-CN"/>
        </w:rPr>
        <w:t xml:space="preserve">合同内容</w:t>
      </w:r>
      <w:r>
        <w:rPr>
          <w:rFonts w:hint="eastAsia" w:ascii="宋体" w:hAnsi="宋体"/>
          <w:color w:val="auto"/>
          <w:sz w:val="24"/>
          <w:szCs w:val="24"/>
          <w:highlight w:val="none"/>
        </w:rPr>
        <w:t xml:space="preserve">验收合格之日起算。</w:t>
      </w:r>
      <w:r/>
    </w:p>
    <w:p>
      <w:pPr>
        <w:pStyle w:val="1037"/>
        <w:ind w:firstLine="480"/>
        <w:spacing w:after="0" w:line="360" w:lineRule="auto"/>
        <w:rPr>
          <w:rFonts w:ascii="宋体" w:hAnsi="宋体"/>
          <w:b w:val="0"/>
          <w:color w:val="auto"/>
          <w:sz w:val="24"/>
          <w:szCs w:val="24"/>
          <w:highlight w:val="none"/>
        </w:rPr>
      </w:pPr>
      <w:r>
        <w:rPr>
          <w:rFonts w:hint="eastAsia" w:ascii="宋体" w:hAnsi="宋体"/>
          <w:b w:val="0"/>
          <w:color w:val="auto"/>
          <w:sz w:val="24"/>
          <w:szCs w:val="24"/>
          <w:highlight w:val="none"/>
        </w:rPr>
        <w:t xml:space="preserve">5.采购预算（同最高限价）：674.1192万元，超过最高限价的投标文件按无效文件处理。</w:t>
      </w:r>
      <w:r/>
    </w:p>
    <w:p>
      <w:pPr>
        <w:pStyle w:val="1037"/>
        <w:ind w:firstLine="480"/>
        <w:spacing w:after="0" w:line="360" w:lineRule="auto"/>
        <w:rPr>
          <w:rFonts w:ascii="宋体" w:hAnsi="宋体"/>
          <w:b w:val="0"/>
          <w:color w:val="auto"/>
          <w:sz w:val="24"/>
          <w:szCs w:val="24"/>
          <w:highlight w:val="none"/>
        </w:rPr>
      </w:pPr>
      <w:r>
        <w:rPr>
          <w:rFonts w:hint="eastAsia" w:ascii="宋体" w:hAnsi="宋体"/>
          <w:b w:val="0"/>
          <w:color w:val="auto"/>
          <w:sz w:val="24"/>
          <w:szCs w:val="24"/>
          <w:highlight w:val="none"/>
        </w:rPr>
        <w:t xml:space="preserve">6.根据《中小企业划型标准规定》工信部联企业〔2011〕300号，本项目所属行业为其他未列明行业。</w:t>
      </w:r>
      <w:r/>
    </w:p>
    <w:p>
      <w:pPr>
        <w:pStyle w:val="1037"/>
        <w:ind w:firstLine="480"/>
        <w:spacing w:after="0" w:line="360" w:lineRule="auto"/>
        <w:rPr>
          <w:color w:val="auto"/>
          <w:highlight w:val="none"/>
        </w:rPr>
      </w:pPr>
      <w:r>
        <w:rPr>
          <w:rFonts w:hint="eastAsia" w:ascii="宋体" w:hAnsi="宋体"/>
          <w:b w:val="0"/>
          <w:color w:val="auto"/>
          <w:sz w:val="24"/>
          <w:szCs w:val="24"/>
          <w:highlight w:val="none"/>
        </w:rPr>
        <w:t xml:space="preserve">7.踏勘现场：投标供应商自行踏勘</w:t>
      </w:r>
      <w:r>
        <w:rPr>
          <w:rFonts w:hint="eastAsia" w:ascii="宋体" w:hAnsi="宋体"/>
          <w:b w:val="0"/>
          <w:color w:val="auto"/>
          <w:sz w:val="24"/>
          <w:szCs w:val="24"/>
          <w:highlight w:val="none"/>
          <w:lang w:eastAsia="zh-CN"/>
        </w:rPr>
        <w:t xml:space="preserve">，</w:t>
      </w:r>
      <w:r>
        <w:rPr>
          <w:rFonts w:hint="eastAsia" w:ascii="宋体" w:hAnsi="宋体"/>
          <w:b w:val="0"/>
          <w:color w:val="auto"/>
          <w:sz w:val="24"/>
          <w:szCs w:val="24"/>
          <w:highlight w:val="none"/>
          <w:lang w:val="en-US" w:eastAsia="zh-CN"/>
        </w:rPr>
        <w:t xml:space="preserve">联系人：缑工</w:t>
      </w:r>
      <w:r>
        <w:rPr>
          <w:rFonts w:hint="eastAsia" w:ascii="宋体" w:hAnsi="宋体"/>
          <w:b w:val="0"/>
          <w:color w:val="auto"/>
          <w:sz w:val="24"/>
          <w:szCs w:val="24"/>
          <w:highlight w:val="none"/>
          <w:lang w:eastAsia="zh-CN"/>
        </w:rPr>
        <w:t xml:space="preserve">18015352446</w:t>
      </w:r>
      <w:r>
        <w:rPr>
          <w:rFonts w:hint="eastAsia" w:ascii="宋体" w:hAnsi="宋体"/>
          <w:b w:val="0"/>
          <w:color w:val="auto"/>
          <w:sz w:val="24"/>
          <w:szCs w:val="24"/>
          <w:highlight w:val="none"/>
        </w:rPr>
        <w:t xml:space="preserve">。</w:t>
      </w:r>
      <w:r/>
    </w:p>
    <w:p>
      <w:pPr>
        <w:pStyle w:val="1014"/>
        <w:jc w:val="left"/>
        <w:keepNext w:val="0"/>
        <w:spacing w:after="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w:t>
      </w:r>
      <w:r>
        <w:rPr>
          <w:rFonts w:hint="eastAsia" w:ascii="宋体" w:hAnsi="宋体" w:eastAsia="宋体"/>
          <w:color w:val="auto"/>
          <w:sz w:val="24"/>
          <w:szCs w:val="24"/>
          <w:highlight w:val="none"/>
          <w:lang w:val="en-US" w:eastAsia="zh-CN"/>
        </w:rPr>
        <w:t xml:space="preserve">项目</w:t>
      </w:r>
      <w:r>
        <w:rPr>
          <w:rFonts w:hint="eastAsia" w:ascii="宋体" w:hAnsi="宋体" w:eastAsia="宋体"/>
          <w:color w:val="auto"/>
          <w:sz w:val="24"/>
          <w:szCs w:val="24"/>
          <w:highlight w:val="none"/>
        </w:rPr>
        <w:t xml:space="preserve">概况</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江尖水利枢纽是无锡市城市防洪运东大包围骨干</w:t>
      </w:r>
      <w:r>
        <w:rPr>
          <w:rFonts w:hint="eastAsia" w:ascii="宋体" w:hAnsi="宋体"/>
          <w:bCs/>
          <w:color w:val="auto"/>
          <w:sz w:val="24"/>
          <w:szCs w:val="24"/>
          <w:highlight w:val="none"/>
          <w:lang w:val="en-US" w:eastAsia="zh-CN"/>
        </w:rPr>
        <w:t xml:space="preserve">项目</w:t>
      </w:r>
      <w:r>
        <w:rPr>
          <w:rFonts w:hint="eastAsia" w:ascii="宋体" w:hAnsi="宋体"/>
          <w:bCs/>
          <w:color w:val="auto"/>
          <w:sz w:val="24"/>
          <w:szCs w:val="24"/>
          <w:highlight w:val="none"/>
        </w:rPr>
        <w:t xml:space="preserve">之一，该</w:t>
      </w:r>
      <w:r>
        <w:rPr>
          <w:rFonts w:hint="eastAsia" w:ascii="宋体" w:hAnsi="宋体"/>
          <w:bCs/>
          <w:color w:val="auto"/>
          <w:sz w:val="24"/>
          <w:szCs w:val="24"/>
          <w:highlight w:val="none"/>
          <w:lang w:val="en-US" w:eastAsia="zh-CN"/>
        </w:rPr>
        <w:t xml:space="preserve">项目</w:t>
      </w:r>
      <w:r>
        <w:rPr>
          <w:rFonts w:hint="eastAsia" w:ascii="宋体" w:hAnsi="宋体"/>
          <w:bCs/>
          <w:color w:val="auto"/>
          <w:sz w:val="24"/>
          <w:szCs w:val="24"/>
          <w:highlight w:val="none"/>
        </w:rPr>
        <w:t xml:space="preserve">具有防洪、排涝、调水改善城市水环境、兼顾通航（节制闸西侧2孔有通航功能）等综合功能。枢纽位于无锡市中心城区，坐落在江尖大桥与黄埠墩之</w:t>
      </w:r>
      <w:r>
        <w:rPr>
          <w:rFonts w:hint="eastAsia" w:ascii="宋体" w:hAnsi="宋体"/>
          <w:bCs/>
          <w:color w:val="auto"/>
          <w:sz w:val="24"/>
          <w:szCs w:val="24"/>
          <w:highlight w:val="none"/>
        </w:rPr>
        <w:t xml:space="preserve">间的古运河上（距江尖大桥西约365m），由1座总净宽75m的节制闸和1座60m3/s的排涝泵站以及副厂房、安装间、管理区、跨河人行桥等附属设施组成。闸站并列一字排开布置，左岸（西侧）布置3孔节制闸，单孔净宽25m，采用三角支臂平面卧倒门配QRWY-2×1250/2×200kN-8.3m液压启闭机操作；右岸（东侧）布置3台20m3/s的竖井式贯流泵机组，总装机容量2400kW，出口侧设置工作闸门、事故闸门各1道，每道6孔钢闸门（1台水泵机组对应2孔闸门），配QPKY-200kN-3.5m倒挂式液压启闭机操作。</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经过20多年的运行，江尖水利枢纽的设备逐渐老化，主要集中在液压启闭设备方面，其相关部件老化现象越发明显，各种故障频发。对枢纽的安全、可靠运行造成不利影响，日常运行维护工作量及难度日益增大。</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为消除设备安全隐患，提升枢纽机电设备运行稳定性，需对液压启闭及配套控制系统实施维修改造，本次维修改造主要内容如下：</w:t>
      </w:r>
      <w:r/>
    </w:p>
    <w:p>
      <w:pPr>
        <w:ind w:firstLine="480"/>
        <w:spacing w:after="0" w:line="360" w:lineRule="auto"/>
        <w:widowControl w:val="off"/>
        <w:rPr>
          <w:rFonts w:ascii="宋体" w:hAnsi="宋体"/>
          <w:color w:val="auto"/>
          <w:sz w:val="24"/>
          <w:szCs w:val="24"/>
          <w:highlight w:val="none"/>
        </w:rPr>
      </w:pPr>
      <w:r>
        <w:rPr>
          <w:rFonts w:hint="eastAsia" w:ascii="宋体" w:hAnsi="宋体"/>
          <w:bCs/>
          <w:color w:val="auto"/>
          <w:sz w:val="24"/>
          <w:szCs w:val="24"/>
          <w:highlight w:val="none"/>
        </w:rPr>
        <w:t xml:space="preserve">①改进并更换节制闸6只油缸（活塞杆为陶瓷杆）、3套控制阀台；更换液压站主要部件（3套油泵、全部阀组及密封件）并整体出新，更换所有液压油及附件。②返厂维修泵站12只油缸（活塞杆更换为陶瓷杆，油缸维修）；维修液压站（更换全部阀组及密封件）并整体出新，更换所有液压油及附件。③更换节制闸、泵站启闭机的PLC控制柜2套；维修出新动力柜2套。④新增液压启闭机在线监测装置及上位机。⑤完善视频监控。⑥节制闸廊道增设1套通风设施等。</w:t>
      </w:r>
      <w:r/>
    </w:p>
    <w:p>
      <w:pPr>
        <w:pStyle w:val="1037"/>
        <w:ind w:firstLine="480"/>
        <w:spacing w:after="0" w:line="360" w:lineRule="auto"/>
        <w:widowControl w:val="off"/>
        <w:rPr>
          <w:rFonts w:ascii="宋体" w:hAnsi="宋体"/>
          <w:b w:val="0"/>
          <w:color w:val="auto"/>
          <w:sz w:val="24"/>
          <w:szCs w:val="24"/>
          <w:highlight w:val="none"/>
        </w:rPr>
      </w:pPr>
      <w:r>
        <w:rPr>
          <w:rFonts w:hint="eastAsia" w:ascii="宋体" w:hAnsi="宋体"/>
          <w:color w:val="auto"/>
          <w:sz w:val="24"/>
          <w:szCs w:val="24"/>
          <w:highlight w:val="none"/>
        </w:rPr>
        <w:t xml:space="preserve">三、主要施工内容：</w:t>
      </w:r>
      <w:r>
        <w:rPr>
          <w:rFonts w:hint="eastAsia" w:ascii="宋体" w:hAnsi="宋体"/>
          <w:b w:val="0"/>
          <w:color w:val="auto"/>
          <w:sz w:val="24"/>
          <w:szCs w:val="24"/>
          <w:highlight w:val="none"/>
          <w:lang w:val="en-US" w:eastAsia="zh-CN"/>
        </w:rPr>
        <w:t xml:space="preserve">招标</w:t>
      </w:r>
      <w:r>
        <w:rPr>
          <w:rFonts w:hint="eastAsia" w:ascii="宋体" w:hAnsi="宋体"/>
          <w:b w:val="0"/>
          <w:color w:val="auto"/>
          <w:sz w:val="24"/>
          <w:szCs w:val="24"/>
          <w:highlight w:val="none"/>
        </w:rPr>
        <w:t xml:space="preserve">清单范围内的</w:t>
      </w:r>
      <w:r>
        <w:rPr>
          <w:rFonts w:hint="eastAsia" w:ascii="宋体" w:hAnsi="宋体"/>
          <w:b w:val="0"/>
          <w:color w:val="auto"/>
          <w:sz w:val="24"/>
          <w:szCs w:val="24"/>
          <w:highlight w:val="none"/>
          <w:lang w:eastAsia="zh-CN"/>
        </w:rPr>
        <w:t xml:space="preserve">无锡市水利工程管理中心江尖水利枢纽液压系统维修改造项目</w:t>
      </w:r>
      <w:r>
        <w:rPr>
          <w:rFonts w:hint="eastAsia" w:ascii="宋体" w:hAnsi="宋体"/>
          <w:b w:val="0"/>
          <w:color w:val="auto"/>
          <w:sz w:val="24"/>
          <w:szCs w:val="24"/>
          <w:highlight w:val="none"/>
        </w:rPr>
        <w:t xml:space="preserve">。具体内容详见</w:t>
      </w:r>
      <w:r>
        <w:rPr>
          <w:rFonts w:hint="eastAsia" w:ascii="宋体" w:hAnsi="宋体"/>
          <w:b w:val="0"/>
          <w:color w:val="auto"/>
          <w:sz w:val="24"/>
          <w:szCs w:val="24"/>
          <w:highlight w:val="none"/>
          <w:lang w:val="en-US" w:eastAsia="zh-CN"/>
        </w:rPr>
        <w:t xml:space="preserve">招标</w:t>
      </w:r>
      <w:r>
        <w:rPr>
          <w:rFonts w:hint="eastAsia" w:ascii="宋体" w:hAnsi="宋体"/>
          <w:b w:val="0"/>
          <w:color w:val="auto"/>
          <w:sz w:val="24"/>
          <w:szCs w:val="24"/>
          <w:highlight w:val="none"/>
        </w:rPr>
        <w:t xml:space="preserve">清单。</w:t>
      </w:r>
      <w:r/>
    </w:p>
    <w:p>
      <w:pPr>
        <w:pStyle w:val="1063"/>
        <w:ind w:left="0" w:right="163" w:firstLine="48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付款方式：合同签订及设计联络会完成后，采购人向中标人支付合同金额的30%预付款；节制闸油缸通过出厂验收支付至合同金额的40%；该项目初验合格后支付至合同金额的65%；决算审计后，终验合格，甲方支付至决算价的100%。</w:t>
      </w:r>
      <w:r/>
    </w:p>
    <w:p>
      <w:pPr>
        <w:pStyle w:val="1063"/>
        <w:ind w:left="0" w:right="163" w:firstLine="48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合同形式：固定单价合同。</w:t>
      </w:r>
      <w:r/>
    </w:p>
    <w:p>
      <w:pPr>
        <w:pStyle w:val="1014"/>
        <w:jc w:val="left"/>
        <w:keepNext w:val="0"/>
        <w:spacing w:after="0" w:line="360" w:lineRule="auto"/>
        <w:widowControl w:val="off"/>
        <w:rPr>
          <w:rFonts w:hint="eastAsia" w:ascii="宋体" w:hAnsi="宋体" w:eastAsia="宋体" w:cs="宋体"/>
          <w:color w:val="auto"/>
          <w:sz w:val="24"/>
          <w:szCs w:val="24"/>
          <w:highlight w:val="none"/>
        </w:rPr>
      </w:pPr>
      <w:r/>
      <w:bookmarkStart w:id="3" w:name="_Toc4955"/>
      <w:r/>
      <w:bookmarkStart w:id="4" w:name="_Toc5852"/>
      <w:r/>
      <w:bookmarkStart w:id="5" w:name="_Toc13556"/>
      <w:r/>
      <w:bookmarkStart w:id="6" w:name="_Toc8557"/>
      <w:r/>
      <w:bookmarkStart w:id="7" w:name="_Toc17359"/>
      <w:r/>
      <w:bookmarkStart w:id="8" w:name="_Toc7448"/>
      <w:r/>
      <w:bookmarkStart w:id="9" w:name="_Toc305402573"/>
      <w:r>
        <w:rPr>
          <w:rFonts w:hint="eastAsia" w:ascii="宋体" w:hAnsi="宋体" w:eastAsia="宋体" w:cs="宋体"/>
          <w:color w:val="auto"/>
          <w:sz w:val="24"/>
          <w:szCs w:val="24"/>
          <w:highlight w:val="none"/>
        </w:rPr>
        <w:t xml:space="preserve">五、供货范围</w:t>
      </w:r>
      <w:bookmarkEnd w:id="3"/>
      <w:r/>
      <w:bookmarkEnd w:id="4"/>
      <w:r/>
      <w:bookmarkEnd w:id="5"/>
      <w:r/>
      <w:bookmarkEnd w:id="6"/>
      <w:r/>
      <w:bookmarkEnd w:id="7"/>
      <w:r/>
      <w:bookmarkEnd w:id="8"/>
      <w:r>
        <w:rPr>
          <w:rFonts w:hint="eastAsia" w:ascii="宋体" w:hAnsi="宋体" w:eastAsia="宋体" w:cs="宋体"/>
          <w:color w:val="auto"/>
          <w:sz w:val="24"/>
          <w:szCs w:val="24"/>
          <w:highlight w:val="none"/>
        </w:rPr>
        <w:t xml:space="preserve">（以下“液压设备制造商”简称“制造商”）</w:t>
      </w:r>
      <w:r/>
    </w:p>
    <w:p>
      <w:pPr>
        <w:pStyle w:val="1063"/>
        <w:ind w:left="0" w:right="163"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清单范围内的所有施工项均由供应商完成。</w:t>
      </w:r>
      <w:r/>
    </w:p>
    <w:p>
      <w:pPr>
        <w:pStyle w:val="1063"/>
        <w:ind w:left="0" w:right="163" w:firstLine="48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包括技术资料（产品图纸、说明书等）、全部材料、工艺图、现场旧设备安装及外尺寸复测、旧设备内尺寸场内场外拆解复测、临时工程（标识标牌）、制造、组装、元器件采购、利旧设备维修、检测检验、试验、关键节点（油缸、活塞杆及比例阀）的数据提供、防腐、润滑油、液压油、专用工具、备品备件、出厂验收、保险、包装、运输、现场卸货、节制闸廊道内全部液压管夹及支架更换、节制闸廊道内液压管路（硬管）全部直角转弯接头改造更换、油箱及管路等液压系统的清洗和液压油的注入、现场安装、调试、技术指导、协调运管单位、新老设备割接等全部设备及服务</w:t>
      </w:r>
      <w:r>
        <w:rPr>
          <w:rFonts w:hint="eastAsia" w:ascii="宋体" w:hAnsi="宋体" w:eastAsia="宋体" w:cs="宋体"/>
          <w:b/>
          <w:bCs/>
          <w:color w:val="auto"/>
          <w:sz w:val="24"/>
          <w:szCs w:val="24"/>
          <w:highlight w:val="none"/>
        </w:rPr>
        <w:t xml:space="preserve">。</w:t>
      </w:r>
      <w:r/>
    </w:p>
    <w:p>
      <w:pPr>
        <w:pStyle w:val="1063"/>
        <w:ind w:left="0" w:right="163" w:firstLine="48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节制闸廊道内液压管路更换的管夹约720套、支架约144套，支架为304不锈钢材质；节制闸廊道内油管（硬管）原直接转弯结构全部改造更换，新制弯管约112件，新弯管应保证转弯半径≥3倍管径，弯管均为304不锈钢材质。液压管路更换改造的管夹、支架及弯头数量应由现场实测确定。</w:t>
      </w:r>
      <w:r/>
    </w:p>
    <w:p>
      <w:pPr>
        <w:pStyle w:val="1063"/>
        <w:ind w:left="0" w:right="163" w:firstLine="480"/>
        <w:spacing w:after="0"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u w:val="single"/>
        </w:rPr>
        <w:t xml:space="preserve">液压启闭设备制造商须为具有独立法人资格的生产制造商，具有水利部产品质量监督总站核发的中型及以上液压启闭机设计能力认可（备案）证书，相关证书原件扫描件加盖公章上传至投标文件。★</w:t>
      </w:r>
      <w:r/>
    </w:p>
    <w:p>
      <w:pPr>
        <w:pStyle w:val="1063"/>
        <w:ind w:left="0" w:right="163" w:firstLine="480"/>
        <w:spacing w:after="0"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3、液压启闭设备应采购专业制造商的产品，满足“三、采购需求”第七节。</w:t>
      </w:r>
      <w:r/>
    </w:p>
    <w:p>
      <w:pPr>
        <w:pStyle w:val="1014"/>
        <w:jc w:val="left"/>
        <w:keepNext w:val="0"/>
        <w:spacing w:after="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六、现场施工</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6.1.施工条件</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施工场地位于江尖水利枢纽管理区，枢纽对外交通较便利，直接连通西内环快速路，可快速抵达无锡市区及周边区域。大型设备可直接利用汽车运输至管理区。</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水源：施工期间生产用水直接在河道取用或利用自来水，生活用水在临近街区取用。</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电源：施工用电可从附近变压器接入。</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6.2.施工导流、截流</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本</w:t>
      </w:r>
      <w:r>
        <w:rPr>
          <w:rFonts w:hint="eastAsia" w:ascii="宋体" w:hAnsi="宋体"/>
          <w:bCs/>
          <w:color w:val="auto"/>
          <w:sz w:val="24"/>
          <w:szCs w:val="24"/>
          <w:highlight w:val="none"/>
          <w:lang w:val="en-US" w:eastAsia="zh-CN"/>
        </w:rPr>
        <w:t xml:space="preserve">项目</w:t>
      </w:r>
      <w:r>
        <w:rPr>
          <w:rFonts w:hint="eastAsia" w:ascii="宋体" w:hAnsi="宋体"/>
          <w:bCs/>
          <w:color w:val="auto"/>
          <w:sz w:val="24"/>
          <w:szCs w:val="24"/>
          <w:highlight w:val="none"/>
        </w:rPr>
        <w:t xml:space="preserve">拟在非汛期施工，施工期利用节制闸工作闸门关闭挡水，雨天需要排水时采用江尖泵站或周边泵站抽排导流。</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液压系统（液压站、阀台）、控制柜、动力柜等设备均位于水上，不涉及导截流。</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6.3.总体施工工序安排</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本</w:t>
      </w:r>
      <w:r>
        <w:rPr>
          <w:rFonts w:hint="eastAsia" w:ascii="宋体" w:hAnsi="宋体"/>
          <w:bCs/>
          <w:color w:val="auto"/>
          <w:sz w:val="24"/>
          <w:szCs w:val="24"/>
          <w:highlight w:val="none"/>
          <w:lang w:val="en-US" w:eastAsia="zh-CN"/>
        </w:rPr>
        <w:t xml:space="preserve">项目</w:t>
      </w:r>
      <w:r>
        <w:rPr>
          <w:rFonts w:hint="eastAsia" w:ascii="宋体" w:hAnsi="宋体"/>
          <w:bCs/>
          <w:color w:val="auto"/>
          <w:sz w:val="24"/>
          <w:szCs w:val="24"/>
          <w:highlight w:val="none"/>
        </w:rPr>
        <w:t xml:space="preserve">拟在非汛期施工，节制闸、泵站的液压设备维修分 2 批先后实施。节制闸设备先期更换，后实施泵站部分。</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节制闸、泵站的液压设备维修分 2 批先后实施。</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节制闸施工利用其工作闸门截流；泵站施工分 2 批次，先施工 6 孔工作闸门油缸，此时工作闸门吊起并临时锁定在全开位，事故闸门全关挡水；后施工 6 孔事故闸门油缸，此时事故闸门吊起并临时锁定在全开位，工作闸门全关挡水。</w:t>
      </w:r>
      <w:r/>
    </w:p>
    <w:p>
      <w:pPr>
        <w:ind w:firstLine="480"/>
        <w:spacing w:after="0" w:line="360" w:lineRule="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主要施工内容和顺序为：</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节制闸：</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预制临时拉杆——液压系统排油，松脱管线——节制闸油缸保护罩逐孔拆除（浮吊作业）——节制闸油缸逐孔拆除，临时拉杆就位——油缸、主要元器件返厂拆解测绘——新制油缸、主要元器件订货生产——液压设备厂内测试验收——油缸返场安装、恢复安装保护罩（浮吊作业）——液压系统安装及现场改造——现地控制设备安装及现场改造——现场调试——验收</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泵站：</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6孔工作闸门逐孔全开临时锁定——排油、松脱管线——拆卸油缸——油缸、主要元器件返厂拆卸、测绘并维修油缸——新制活塞杆、主要元器件订货生产——厂内测试验收——油缸返场安装——现场调试无误</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完成后，施工事故闸门启闭机，与工作闸门启闭机类同。</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工作门、事故门 12 根油缸全部实施完毕后，现场改造液压站及现地控制设备。</w:t>
      </w:r>
      <w:r/>
    </w:p>
    <w:p>
      <w:pPr>
        <w:ind w:firstLine="482"/>
        <w:rPr>
          <w:rFonts w:ascii="宋体" w:hAnsi="宋体"/>
          <w:b/>
          <w:bCs/>
          <w:color w:val="auto"/>
          <w:sz w:val="24"/>
          <w:szCs w:val="24"/>
          <w:highlight w:val="none"/>
        </w:rPr>
      </w:pPr>
      <w:r>
        <w:rPr>
          <w:rFonts w:hint="eastAsia" w:ascii="宋体" w:hAnsi="宋体"/>
          <w:b/>
          <w:bCs/>
          <w:color w:val="auto"/>
          <w:sz w:val="24"/>
          <w:szCs w:val="24"/>
          <w:highlight w:val="none"/>
        </w:rPr>
        <w:t xml:space="preserve">6.4.节制闸油缸拆装，涉及浮吊作业，施工单位应编制专项施工方案报监理人审查，通过专项论证评审会后方可实施，确保施工安全。</w:t>
      </w:r>
      <w:r/>
    </w:p>
    <w:p>
      <w:pPr>
        <w:ind w:firstLine="482"/>
        <w:rPr>
          <w:rFonts w:ascii="宋体" w:hAnsi="宋体"/>
          <w:b/>
          <w:bCs/>
          <w:color w:val="auto"/>
          <w:sz w:val="24"/>
          <w:szCs w:val="24"/>
          <w:highlight w:val="none"/>
        </w:rPr>
      </w:pPr>
      <w:r>
        <w:rPr>
          <w:rFonts w:hint="eastAsia" w:ascii="宋体" w:hAnsi="宋体"/>
          <w:b/>
          <w:bCs/>
          <w:color w:val="auto"/>
          <w:sz w:val="24"/>
          <w:szCs w:val="24"/>
          <w:highlight w:val="none"/>
        </w:rPr>
        <w:t xml:space="preserve">未尽事宜严格按照《水电水利工程施工安全防护设计技术规范》执行。</w:t>
      </w:r>
      <w:r/>
    </w:p>
    <w:p>
      <w:pPr>
        <w:ind w:firstLine="482"/>
        <w:rPr>
          <w:rFonts w:ascii="宋体" w:hAnsi="宋体"/>
          <w:b/>
          <w:bCs/>
          <w:color w:val="auto"/>
          <w:sz w:val="24"/>
          <w:szCs w:val="24"/>
          <w:highlight w:val="none"/>
        </w:rPr>
      </w:pPr>
      <w:r>
        <w:rPr>
          <w:rFonts w:hint="eastAsia" w:ascii="宋体" w:hAnsi="宋体"/>
          <w:b/>
          <w:bCs/>
          <w:color w:val="auto"/>
          <w:sz w:val="24"/>
          <w:szCs w:val="24"/>
          <w:highlight w:val="none"/>
        </w:rPr>
        <w:t xml:space="preserve">6.5.供应商应结合施工工艺及施工内容，依据《水利水电工程危险源辨识与风险评价导则》（SL/T 843-2025）、《水利水电工程生产安全重大事故隐患判定导则》（SL/T 842-2025）开展危险源辨识与风险评价工作，落实风险管控措施，确保施工安全。</w:t>
      </w:r>
      <w:r/>
    </w:p>
    <w:p>
      <w:pPr>
        <w:spacing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七、液压启闭设备技术细则</w:t>
      </w:r>
      <w:r/>
    </w:p>
    <w:p>
      <w:pPr>
        <w:pStyle w:val="1222"/>
        <w:numPr>
          <w:ilvl w:val="2"/>
          <w:numId w:val="0"/>
        </w:numPr>
        <w:spacing w:line="360" w:lineRule="auto"/>
        <w:rPr>
          <w:b/>
          <w:bCs w:val="0"/>
          <w:color w:val="auto"/>
          <w:highlight w:val="none"/>
        </w:rPr>
      </w:pPr>
      <w:r>
        <w:rPr>
          <w:rFonts w:hint="eastAsia"/>
          <w:b/>
          <w:bCs w:val="0"/>
          <w:color w:val="auto"/>
          <w:highlight w:val="none"/>
        </w:rPr>
        <w:t xml:space="preserve">1.1 液压启闭机设备</w:t>
      </w:r>
      <w:r/>
    </w:p>
    <w:p>
      <w:pPr>
        <w:pStyle w:val="1223"/>
        <w:numPr>
          <w:ilvl w:val="6"/>
          <w:numId w:val="0"/>
        </w:numPr>
        <w:keepNext w:val="0"/>
        <w:spacing w:line="360" w:lineRule="auto"/>
        <w:widowControl w:val="off"/>
        <w:rPr>
          <w:color w:val="auto"/>
          <w:highlight w:val="none"/>
        </w:rPr>
      </w:pPr>
      <w:r>
        <w:rPr>
          <w:rFonts w:hint="eastAsia"/>
          <w:color w:val="auto"/>
          <w:highlight w:val="none"/>
        </w:rPr>
        <w:t xml:space="preserve">表1.1-1液压启闭机设备项目表 </w:t>
      </w:r>
      <w:r/>
    </w:p>
    <w:tbl>
      <w:tblPr>
        <w:tblStyle w:val="838"/>
        <w:tblW w:w="49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700"/>
        <w:gridCol w:w="4333"/>
        <w:gridCol w:w="767"/>
        <w:gridCol w:w="1894"/>
      </w:tblGrid>
      <w:tr>
        <w:trPr>
          <w:jc w:val="center"/>
          <w:trHeight w:val="618"/>
        </w:trPr>
        <w:tc>
          <w:tcPr>
            <w:tcW w:w="423" w:type="pct"/>
            <w:vAlign w:val="center"/>
            <w:textDirection w:val="lrTb"/>
            <w:noWrap/>
          </w:tcPr>
          <w:p>
            <w:pPr>
              <w:pStyle w:val="1224"/>
              <w:widowControl w:val="off"/>
              <w:rPr>
                <w:b/>
                <w:bCs/>
                <w:color w:val="auto"/>
                <w:highlight w:val="none"/>
              </w:rPr>
            </w:pPr>
            <w:r>
              <w:rPr>
                <w:b/>
                <w:bCs/>
                <w:color w:val="auto"/>
                <w:highlight w:val="none"/>
              </w:rPr>
              <w:t xml:space="preserve">序号</w:t>
            </w:r>
            <w:r/>
          </w:p>
        </w:tc>
        <w:tc>
          <w:tcPr>
            <w:tcW w:w="895" w:type="pct"/>
            <w:vAlign w:val="center"/>
            <w:textDirection w:val="lrTb"/>
            <w:noWrap/>
          </w:tcPr>
          <w:p>
            <w:pPr>
              <w:pStyle w:val="1224"/>
              <w:widowControl w:val="off"/>
              <w:rPr>
                <w:b/>
                <w:bCs/>
                <w:color w:val="auto"/>
                <w:highlight w:val="none"/>
              </w:rPr>
            </w:pPr>
            <w:r>
              <w:rPr>
                <w:b/>
                <w:bCs/>
                <w:color w:val="auto"/>
                <w:highlight w:val="none"/>
              </w:rPr>
              <w:t xml:space="preserve">名称</w:t>
            </w:r>
            <w:r/>
          </w:p>
        </w:tc>
        <w:tc>
          <w:tcPr>
            <w:tcW w:w="2281" w:type="pct"/>
            <w:vAlign w:val="center"/>
            <w:textDirection w:val="lrTb"/>
            <w:noWrap/>
          </w:tcPr>
          <w:p>
            <w:pPr>
              <w:pStyle w:val="1224"/>
              <w:widowControl w:val="off"/>
              <w:rPr>
                <w:b/>
                <w:bCs/>
                <w:color w:val="auto"/>
                <w:highlight w:val="none"/>
              </w:rPr>
            </w:pPr>
            <w:r>
              <w:rPr>
                <w:rFonts w:hint="eastAsia"/>
                <w:b/>
                <w:bCs/>
                <w:color w:val="auto"/>
                <w:highlight w:val="none"/>
              </w:rPr>
              <w:t xml:space="preserve">型式、规格</w:t>
            </w:r>
            <w:r/>
          </w:p>
        </w:tc>
        <w:tc>
          <w:tcPr>
            <w:tcW w:w="404" w:type="pct"/>
            <w:vAlign w:val="center"/>
            <w:textDirection w:val="lrTb"/>
            <w:noWrap/>
          </w:tcPr>
          <w:p>
            <w:pPr>
              <w:pStyle w:val="1224"/>
              <w:widowControl w:val="off"/>
              <w:rPr>
                <w:b/>
                <w:bCs/>
                <w:color w:val="auto"/>
                <w:highlight w:val="none"/>
              </w:rPr>
            </w:pPr>
            <w:r>
              <w:rPr>
                <w:rFonts w:hint="eastAsia"/>
                <w:b/>
                <w:bCs/>
                <w:color w:val="auto"/>
                <w:highlight w:val="none"/>
              </w:rPr>
              <w:t xml:space="preserve">数量</w:t>
            </w:r>
            <w:r/>
          </w:p>
        </w:tc>
        <w:tc>
          <w:tcPr>
            <w:tcW w:w="994" w:type="pct"/>
            <w:vAlign w:val="center"/>
            <w:textDirection w:val="lrTb"/>
            <w:noWrap/>
          </w:tcPr>
          <w:p>
            <w:pPr>
              <w:pStyle w:val="1224"/>
              <w:widowControl w:val="off"/>
              <w:rPr>
                <w:b/>
                <w:bCs/>
                <w:color w:val="auto"/>
                <w:highlight w:val="none"/>
              </w:rPr>
            </w:pPr>
            <w:r>
              <w:rPr>
                <w:rFonts w:hint="eastAsia"/>
                <w:b/>
                <w:bCs/>
                <w:color w:val="auto"/>
                <w:highlight w:val="none"/>
              </w:rPr>
              <w:t xml:space="preserve">备注</w:t>
            </w:r>
            <w:r/>
          </w:p>
        </w:tc>
      </w:tr>
      <w:tr>
        <w:trPr>
          <w:jc w:val="center"/>
          <w:trHeight w:val="275"/>
        </w:trPr>
        <w:tc>
          <w:tcPr>
            <w:gridSpan w:val="5"/>
            <w:shd w:val="clear" w:color="auto" w:fill="auto"/>
            <w:tcW w:w="5000" w:type="pct"/>
            <w:vAlign w:val="center"/>
            <w:textDirection w:val="lrTb"/>
            <w:noWrap/>
          </w:tcPr>
          <w:p>
            <w:pPr>
              <w:pStyle w:val="1224"/>
              <w:widowControl w:val="off"/>
              <w:rPr>
                <w:color w:val="auto"/>
                <w:highlight w:val="none"/>
              </w:rPr>
            </w:pPr>
            <w:r>
              <w:rPr>
                <w:rFonts w:hint="eastAsia"/>
                <w:b/>
                <w:bCs/>
                <w:color w:val="auto"/>
                <w:highlight w:val="none"/>
              </w:rPr>
              <w:t xml:space="preserve">一、 节制闸液压设备</w:t>
            </w:r>
            <w:r/>
          </w:p>
        </w:tc>
      </w:tr>
      <w:tr>
        <w:trPr>
          <w:jc w:val="center"/>
          <w:trHeight w:val="737"/>
        </w:trPr>
        <w:tc>
          <w:tcPr>
            <w:shd w:val="clear" w:color="auto" w:fill="auto"/>
            <w:tcW w:w="423" w:type="pct"/>
            <w:vAlign w:val="center"/>
            <w:textDirection w:val="lrTb"/>
            <w:noWrap/>
          </w:tcPr>
          <w:p>
            <w:pPr>
              <w:pStyle w:val="1224"/>
              <w:widowControl w:val="off"/>
              <w:rPr>
                <w:color w:val="auto"/>
                <w:highlight w:val="none"/>
              </w:rPr>
            </w:pPr>
            <w:r>
              <w:rPr>
                <w:rFonts w:hint="eastAsia"/>
                <w:color w:val="auto"/>
                <w:highlight w:val="none"/>
              </w:rPr>
              <w:t xml:space="preserve">1</w:t>
            </w:r>
            <w:r/>
          </w:p>
        </w:tc>
        <w:tc>
          <w:tcPr>
            <w:shd w:val="clear" w:color="auto" w:fill="auto"/>
            <w:tcW w:w="895" w:type="pct"/>
            <w:vAlign w:val="center"/>
            <w:textDirection w:val="lrTb"/>
            <w:noWrap/>
          </w:tcPr>
          <w:p>
            <w:pPr>
              <w:pStyle w:val="1224"/>
              <w:jc w:val="left"/>
              <w:widowControl w:val="off"/>
              <w:rPr>
                <w:color w:val="auto"/>
                <w:highlight w:val="none"/>
              </w:rPr>
            </w:pPr>
            <w:r>
              <w:rPr>
                <w:rFonts w:hint="eastAsia"/>
                <w:color w:val="auto"/>
                <w:highlight w:val="none"/>
              </w:rPr>
              <w:t xml:space="preserve">新制临时拉杆</w:t>
            </w:r>
            <w:r/>
          </w:p>
        </w:tc>
        <w:tc>
          <w:tcPr>
            <w:shd w:val="clear" w:color="auto" w:fill="auto"/>
            <w:tcW w:w="2281" w:type="pct"/>
            <w:vAlign w:val="center"/>
            <w:textDirection w:val="lrTb"/>
            <w:noWrap/>
          </w:tcPr>
          <w:p>
            <w:pPr>
              <w:pStyle w:val="1224"/>
              <w:jc w:val="left"/>
              <w:widowControl w:val="off"/>
              <w:rPr>
                <w:color w:val="auto"/>
                <w:highlight w:val="none"/>
              </w:rPr>
            </w:pPr>
            <w:r>
              <w:rPr>
                <w:rFonts w:hint="eastAsia"/>
                <w:color w:val="auto"/>
                <w:highlight w:val="none"/>
              </w:rPr>
              <w:t xml:space="preserve">主材Q355B无缝钢管、优质中碳钢钢锻件，安装长度约6m（带花兰螺栓调节功能），额定拉力1250kN</w:t>
            </w:r>
            <w:r/>
          </w:p>
        </w:tc>
        <w:tc>
          <w:tcPr>
            <w:shd w:val="clear" w:color="auto" w:fill="auto"/>
            <w:tcW w:w="404" w:type="pct"/>
            <w:vAlign w:val="center"/>
            <w:textDirection w:val="lrTb"/>
            <w:noWrap/>
          </w:tcPr>
          <w:p>
            <w:pPr>
              <w:pStyle w:val="1224"/>
              <w:widowControl w:val="off"/>
              <w:rPr>
                <w:color w:val="auto"/>
                <w:highlight w:val="none"/>
              </w:rPr>
            </w:pPr>
            <w:r>
              <w:rPr>
                <w:rFonts w:hint="eastAsia"/>
                <w:color w:val="auto"/>
                <w:highlight w:val="none"/>
              </w:rPr>
              <w:t xml:space="preserve">6套</w:t>
            </w:r>
            <w:r/>
          </w:p>
        </w:tc>
        <w:tc>
          <w:tcPr>
            <w:shd w:val="clear" w:color="auto" w:fill="auto"/>
            <w:tcW w:w="994" w:type="pct"/>
            <w:vAlign w:val="center"/>
            <w:textDirection w:val="lrTb"/>
            <w:noWrap/>
          </w:tcPr>
          <w:p>
            <w:pPr>
              <w:pStyle w:val="1224"/>
              <w:jc w:val="left"/>
              <w:widowControl w:val="off"/>
              <w:rPr>
                <w:color w:val="auto"/>
                <w:highlight w:val="none"/>
              </w:rPr>
            </w:pPr>
            <w:r>
              <w:rPr>
                <w:rFonts w:hint="eastAsia"/>
                <w:color w:val="auto"/>
                <w:highlight w:val="none"/>
              </w:rPr>
              <w:t xml:space="preserve">含销轴、吊头、尾支铰等</w:t>
            </w:r>
            <w:r/>
          </w:p>
        </w:tc>
      </w:tr>
      <w:tr>
        <w:trPr>
          <w:jc w:val="center"/>
          <w:trHeight w:val="1304"/>
        </w:trPr>
        <w:tc>
          <w:tcPr>
            <w:shd w:val="clear" w:color="auto" w:fill="auto"/>
            <w:tcW w:w="423" w:type="pct"/>
            <w:vAlign w:val="center"/>
            <w:textDirection w:val="lrTb"/>
            <w:noWrap/>
          </w:tcPr>
          <w:p>
            <w:pPr>
              <w:pStyle w:val="1224"/>
              <w:widowControl w:val="off"/>
              <w:rPr>
                <w:color w:val="auto"/>
                <w:highlight w:val="none"/>
              </w:rPr>
            </w:pPr>
            <w:r>
              <w:rPr>
                <w:rFonts w:hint="eastAsia"/>
                <w:color w:val="auto"/>
                <w:highlight w:val="none"/>
              </w:rPr>
              <w:t xml:space="preserve">2</w:t>
            </w:r>
            <w:r/>
          </w:p>
        </w:tc>
        <w:tc>
          <w:tcPr>
            <w:shd w:val="clear" w:color="auto" w:fill="auto"/>
            <w:tcW w:w="895" w:type="pct"/>
            <w:vAlign w:val="center"/>
            <w:textDirection w:val="lrTb"/>
            <w:noWrap/>
          </w:tcPr>
          <w:p>
            <w:pPr>
              <w:pStyle w:val="1224"/>
              <w:jc w:val="left"/>
              <w:widowControl w:val="off"/>
              <w:rPr>
                <w:color w:val="auto"/>
                <w:highlight w:val="none"/>
              </w:rPr>
            </w:pPr>
            <w:r>
              <w:rPr>
                <w:rFonts w:hint="eastAsia"/>
                <w:color w:val="auto"/>
                <w:highlight w:val="none"/>
              </w:rPr>
              <w:t xml:space="preserve">新制液压油缸</w:t>
            </w:r>
            <w:r/>
          </w:p>
        </w:tc>
        <w:tc>
          <w:tcPr>
            <w:shd w:val="clear" w:color="auto" w:fill="auto"/>
            <w:tcW w:w="2281" w:type="pct"/>
            <w:vAlign w:val="center"/>
            <w:textDirection w:val="lrTb"/>
            <w:noWrap/>
          </w:tcPr>
          <w:p>
            <w:pPr>
              <w:pStyle w:val="1224"/>
              <w:jc w:val="left"/>
              <w:widowControl w:val="off"/>
              <w:rPr>
                <w:color w:val="auto"/>
                <w:highlight w:val="none"/>
              </w:rPr>
            </w:pPr>
            <w:r>
              <w:rPr>
                <w:rFonts w:hint="eastAsia"/>
                <w:color w:val="auto"/>
                <w:highlight w:val="none"/>
              </w:rPr>
              <w:t xml:space="preserve">2×1250kN（拉）</w:t>
            </w:r>
            <w:r>
              <w:rPr>
                <w:color w:val="auto"/>
                <w:highlight w:val="none"/>
              </w:rPr>
              <w:t xml:space="preserve">/2</w:t>
            </w:r>
            <w:r>
              <w:rPr>
                <w:rFonts w:hint="eastAsia"/>
                <w:color w:val="auto"/>
                <w:highlight w:val="none"/>
              </w:rPr>
              <w:t xml:space="preserve">×200kN（推）-8.3m双作用卧式液压启闭机，工作行程7.92m，最大行程8.3m，活塞杆直径220mm，油缸内径400mm，活塞杆采用带刻度陶瓷杆（自带CIMS传感器）</w:t>
            </w:r>
            <w:r/>
          </w:p>
        </w:tc>
        <w:tc>
          <w:tcPr>
            <w:shd w:val="clear" w:color="auto" w:fill="auto"/>
            <w:tcW w:w="404" w:type="pct"/>
            <w:vAlign w:val="center"/>
            <w:textDirection w:val="lrTb"/>
            <w:noWrap/>
          </w:tcPr>
          <w:p>
            <w:pPr>
              <w:pStyle w:val="1224"/>
              <w:widowControl w:val="off"/>
              <w:rPr>
                <w:color w:val="auto"/>
                <w:highlight w:val="none"/>
              </w:rPr>
            </w:pPr>
            <w:r>
              <w:rPr>
                <w:rFonts w:hint="eastAsia"/>
                <w:color w:val="auto"/>
                <w:highlight w:val="none"/>
              </w:rPr>
              <w:t xml:space="preserve">3套</w:t>
            </w:r>
            <w:r/>
          </w:p>
        </w:tc>
        <w:tc>
          <w:tcPr>
            <w:shd w:val="clear" w:color="auto" w:fill="auto"/>
            <w:tcW w:w="994" w:type="pct"/>
            <w:vAlign w:val="center"/>
            <w:textDirection w:val="lrTb"/>
            <w:noWrap/>
          </w:tcPr>
          <w:p>
            <w:pPr>
              <w:pStyle w:val="1224"/>
              <w:jc w:val="left"/>
              <w:widowControl w:val="off"/>
              <w:rPr>
                <w:color w:val="auto"/>
                <w:highlight w:val="none"/>
              </w:rPr>
            </w:pPr>
            <w:r>
              <w:rPr>
                <w:rFonts w:hint="eastAsia"/>
                <w:color w:val="auto"/>
                <w:highlight w:val="none"/>
              </w:rPr>
              <w:t xml:space="preserve">含连接油缸的高压软管；原支铰利旧出新</w:t>
            </w:r>
            <w:r/>
          </w:p>
        </w:tc>
      </w:tr>
      <w:tr>
        <w:trPr>
          <w:jc w:val="center"/>
          <w:trHeight w:val="454"/>
        </w:trPr>
        <w:tc>
          <w:tcPr>
            <w:shd w:val="clear" w:color="auto" w:fill="auto"/>
            <w:tcW w:w="423" w:type="pct"/>
            <w:vAlign w:val="center"/>
            <w:vMerge w:val="restart"/>
            <w:textDirection w:val="lrTb"/>
            <w:noWrap/>
          </w:tcPr>
          <w:p>
            <w:pPr>
              <w:pStyle w:val="1224"/>
              <w:widowControl w:val="off"/>
              <w:rPr>
                <w:color w:val="auto"/>
                <w:highlight w:val="none"/>
              </w:rPr>
            </w:pPr>
            <w:r/>
            <w:bookmarkStart w:id="10" w:name="_Hlk239432147"/>
            <w:r>
              <w:rPr>
                <w:rFonts w:hint="eastAsia"/>
                <w:color w:val="auto"/>
                <w:highlight w:val="none"/>
              </w:rPr>
              <w:t xml:space="preserve">3</w:t>
            </w:r>
            <w:r/>
          </w:p>
        </w:tc>
        <w:tc>
          <w:tcPr>
            <w:shd w:val="clear" w:color="auto" w:fill="auto"/>
            <w:tcW w:w="895" w:type="pct"/>
            <w:vAlign w:val="center"/>
            <w:vMerge w:val="restart"/>
            <w:textDirection w:val="lrTb"/>
            <w:noWrap/>
          </w:tcPr>
          <w:p>
            <w:pPr>
              <w:pStyle w:val="1224"/>
              <w:jc w:val="left"/>
              <w:widowControl w:val="off"/>
              <w:rPr>
                <w:color w:val="auto"/>
                <w:highlight w:val="none"/>
              </w:rPr>
            </w:pPr>
            <w:r>
              <w:rPr>
                <w:rFonts w:hint="eastAsia"/>
                <w:color w:val="auto"/>
                <w:highlight w:val="none"/>
              </w:rPr>
              <w:t xml:space="preserve">外置行程传感器</w:t>
            </w:r>
            <w:r/>
          </w:p>
        </w:tc>
        <w:tc>
          <w:tcPr>
            <w:shd w:val="clear" w:color="auto" w:fill="auto"/>
            <w:tcW w:w="2281" w:type="pct"/>
            <w:vAlign w:val="center"/>
            <w:textDirection w:val="lrTb"/>
            <w:noWrap/>
          </w:tcPr>
          <w:p>
            <w:pPr>
              <w:pStyle w:val="1224"/>
              <w:jc w:val="left"/>
              <w:widowControl w:val="off"/>
              <w:rPr>
                <w:color w:val="auto"/>
                <w:highlight w:val="none"/>
              </w:rPr>
            </w:pPr>
            <w:r>
              <w:rPr>
                <w:rFonts w:hint="eastAsia"/>
                <w:color w:val="auto"/>
                <w:highlight w:val="none"/>
              </w:rPr>
              <w:t xml:space="preserve">原6套</w:t>
            </w:r>
            <w:bookmarkStart w:id="11" w:name="OLE_LINK6"/>
            <w:r/>
            <w:bookmarkStart w:id="12" w:name="OLE_LINK5"/>
            <w:r>
              <w:rPr>
                <w:rFonts w:hint="eastAsia"/>
                <w:color w:val="auto"/>
                <w:highlight w:val="none"/>
              </w:rPr>
              <w:t xml:space="preserve">静磁栅</w:t>
            </w:r>
            <w:bookmarkEnd w:id="11"/>
            <w:r/>
            <w:bookmarkEnd w:id="12"/>
            <w:r>
              <w:rPr>
                <w:rFonts w:hint="eastAsia"/>
                <w:color w:val="auto"/>
                <w:highlight w:val="none"/>
              </w:rPr>
              <w:t xml:space="preserve">传感器利旧（拆卸返厂检测出新后重新安装，作为新设备的备份传感器）</w:t>
            </w:r>
            <w:r/>
          </w:p>
        </w:tc>
        <w:tc>
          <w:tcPr>
            <w:shd w:val="clear" w:color="auto" w:fill="auto"/>
            <w:tcW w:w="404" w:type="pct"/>
            <w:vAlign w:val="center"/>
            <w:textDirection w:val="lrTb"/>
            <w:noWrap/>
          </w:tcPr>
          <w:p>
            <w:pPr>
              <w:pStyle w:val="1224"/>
              <w:widowControl w:val="off"/>
              <w:rPr>
                <w:color w:val="auto"/>
                <w:highlight w:val="none"/>
              </w:rPr>
            </w:pPr>
            <w:r>
              <w:rPr>
                <w:rFonts w:hint="eastAsia"/>
                <w:color w:val="auto"/>
                <w:highlight w:val="none"/>
              </w:rPr>
              <w:t xml:space="preserve">6套</w:t>
            </w:r>
            <w:r/>
          </w:p>
        </w:tc>
        <w:tc>
          <w:tcPr>
            <w:shd w:val="clear" w:color="auto" w:fill="auto"/>
            <w:tcW w:w="994" w:type="pct"/>
            <w:vAlign w:val="center"/>
            <w:textDirection w:val="lrTb"/>
            <w:noWrap/>
          </w:tcPr>
          <w:p>
            <w:pPr>
              <w:pStyle w:val="1224"/>
              <w:jc w:val="left"/>
              <w:widowControl w:val="off"/>
              <w:rPr>
                <w:color w:val="auto"/>
                <w:highlight w:val="none"/>
              </w:rPr>
            </w:pPr>
            <w:r>
              <w:rPr>
                <w:color w:val="auto"/>
                <w:highlight w:val="none"/>
              </w:rPr>
            </w:r>
            <w:r/>
          </w:p>
        </w:tc>
      </w:tr>
      <w:tr>
        <w:trPr>
          <w:jc w:val="center"/>
          <w:trHeight w:val="454"/>
        </w:trPr>
        <w:tc>
          <w:tcPr>
            <w:shd w:val="clear" w:color="auto" w:fill="auto"/>
            <w:tcW w:w="423" w:type="pct"/>
            <w:vAlign w:val="center"/>
            <w:vMerge w:val="continue"/>
            <w:textDirection w:val="lrTb"/>
            <w:noWrap/>
          </w:tcPr>
          <w:p>
            <w:pPr>
              <w:pStyle w:val="1224"/>
              <w:widowControl w:val="off"/>
              <w:rPr>
                <w:color w:val="auto"/>
                <w:highlight w:val="none"/>
              </w:rPr>
            </w:pPr>
            <w:r>
              <w:rPr>
                <w:color w:val="auto"/>
                <w:highlight w:val="none"/>
              </w:rPr>
            </w:r>
            <w:r/>
          </w:p>
        </w:tc>
        <w:tc>
          <w:tcPr>
            <w:shd w:val="clear" w:color="auto" w:fill="auto"/>
            <w:tcW w:w="895" w:type="pct"/>
            <w:vAlign w:val="center"/>
            <w:vMerge w:val="continue"/>
            <w:textDirection w:val="lrTb"/>
            <w:noWrap/>
          </w:tcPr>
          <w:p>
            <w:pPr>
              <w:pStyle w:val="1224"/>
              <w:jc w:val="left"/>
              <w:widowControl w:val="off"/>
              <w:rPr>
                <w:color w:val="auto"/>
                <w:highlight w:val="none"/>
              </w:rPr>
            </w:pPr>
            <w:r>
              <w:rPr>
                <w:color w:val="auto"/>
                <w:highlight w:val="none"/>
              </w:rPr>
            </w:r>
            <w:r/>
          </w:p>
        </w:tc>
        <w:tc>
          <w:tcPr>
            <w:shd w:val="clear" w:color="auto" w:fill="auto"/>
            <w:tcW w:w="2281" w:type="pct"/>
            <w:vAlign w:val="center"/>
            <w:textDirection w:val="lrTb"/>
            <w:noWrap/>
          </w:tcPr>
          <w:p>
            <w:pPr>
              <w:pStyle w:val="1224"/>
              <w:jc w:val="left"/>
              <w:widowControl w:val="off"/>
              <w:rPr>
                <w:color w:val="auto"/>
                <w:highlight w:val="none"/>
              </w:rPr>
            </w:pPr>
            <w:r>
              <w:rPr>
                <w:rFonts w:hint="eastAsia"/>
                <w:color w:val="auto"/>
                <w:highlight w:val="none"/>
              </w:rPr>
              <w:t xml:space="preserve">新增1套静磁栅传感器</w:t>
            </w:r>
            <w:r/>
          </w:p>
        </w:tc>
        <w:tc>
          <w:tcPr>
            <w:shd w:val="clear" w:color="auto" w:fill="auto"/>
            <w:tcW w:w="404" w:type="pct"/>
            <w:vAlign w:val="center"/>
            <w:textDirection w:val="lrTb"/>
            <w:noWrap/>
          </w:tcPr>
          <w:p>
            <w:pPr>
              <w:pStyle w:val="1224"/>
              <w:widowControl w:val="off"/>
              <w:rPr>
                <w:color w:val="auto"/>
                <w:highlight w:val="none"/>
              </w:rPr>
            </w:pPr>
            <w:r>
              <w:rPr>
                <w:rFonts w:hint="eastAsia"/>
                <w:color w:val="auto"/>
                <w:highlight w:val="none"/>
              </w:rPr>
              <w:t xml:space="preserve">1套</w:t>
            </w:r>
            <w:r/>
          </w:p>
        </w:tc>
        <w:tc>
          <w:tcPr>
            <w:shd w:val="clear" w:color="auto" w:fill="auto"/>
            <w:tcW w:w="994" w:type="pct"/>
            <w:vAlign w:val="center"/>
            <w:textDirection w:val="lrTb"/>
            <w:noWrap/>
          </w:tcPr>
          <w:p>
            <w:pPr>
              <w:pStyle w:val="1224"/>
              <w:jc w:val="left"/>
              <w:widowControl w:val="off"/>
              <w:rPr>
                <w:color w:val="auto"/>
                <w:highlight w:val="none"/>
              </w:rPr>
            </w:pPr>
            <w:r>
              <w:rPr>
                <w:rFonts w:hint="eastAsia"/>
                <w:color w:val="auto"/>
                <w:highlight w:val="none"/>
              </w:rPr>
              <w:t xml:space="preserve">作为备件</w:t>
            </w:r>
            <w:bookmarkEnd w:id="10"/>
            <w:r/>
            <w:r/>
          </w:p>
        </w:tc>
      </w:tr>
      <w:tr>
        <w:trPr>
          <w:jc w:val="center"/>
          <w:trHeight w:val="737"/>
        </w:trPr>
        <w:tc>
          <w:tcPr>
            <w:shd w:val="clear" w:color="auto" w:fill="auto"/>
            <w:tcW w:w="423" w:type="pct"/>
            <w:vAlign w:val="center"/>
            <w:textDirection w:val="lrTb"/>
            <w:noWrap/>
          </w:tcPr>
          <w:p>
            <w:pPr>
              <w:pStyle w:val="1224"/>
              <w:widowControl w:val="off"/>
              <w:rPr>
                <w:color w:val="auto"/>
                <w:highlight w:val="none"/>
              </w:rPr>
            </w:pPr>
            <w:r>
              <w:rPr>
                <w:rFonts w:hint="eastAsia"/>
                <w:color w:val="auto"/>
                <w:highlight w:val="none"/>
              </w:rPr>
              <w:t xml:space="preserve">4</w:t>
            </w:r>
            <w:r/>
          </w:p>
        </w:tc>
        <w:tc>
          <w:tcPr>
            <w:shd w:val="clear" w:color="auto" w:fill="auto"/>
            <w:tcW w:w="895" w:type="pct"/>
            <w:vAlign w:val="center"/>
            <w:textDirection w:val="lrTb"/>
            <w:noWrap/>
          </w:tcPr>
          <w:p>
            <w:pPr>
              <w:pStyle w:val="1224"/>
              <w:jc w:val="left"/>
              <w:widowControl w:val="off"/>
              <w:rPr>
                <w:color w:val="auto"/>
                <w:highlight w:val="none"/>
              </w:rPr>
            </w:pPr>
            <w:r>
              <w:rPr>
                <w:rFonts w:hint="eastAsia"/>
                <w:color w:val="auto"/>
                <w:highlight w:val="none"/>
              </w:rPr>
              <w:t xml:space="preserve">新制控制阀台</w:t>
            </w:r>
            <w:r/>
          </w:p>
        </w:tc>
        <w:tc>
          <w:tcPr>
            <w:shd w:val="clear" w:color="auto" w:fill="auto"/>
            <w:tcW w:w="2281" w:type="pct"/>
            <w:vAlign w:val="center"/>
            <w:textDirection w:val="lrTb"/>
            <w:noWrap/>
          </w:tcPr>
          <w:p>
            <w:pPr>
              <w:pStyle w:val="1224"/>
              <w:jc w:val="left"/>
              <w:widowControl w:val="off"/>
              <w:rPr>
                <w:color w:val="auto"/>
                <w:highlight w:val="none"/>
              </w:rPr>
            </w:pPr>
            <w:r>
              <w:rPr>
                <w:rFonts w:hint="eastAsia"/>
                <w:color w:val="auto"/>
                <w:highlight w:val="none"/>
              </w:rPr>
              <w:t xml:space="preserve">方向控制阀组作为独立阀台，每套均配置左右双比例调速阀；所有阀块全部镀镍。含节制闸廊道内油管（硬管）新制弯头，保证新管路接头转弯半径≥</w:t>
            </w:r>
            <w:r>
              <w:rPr>
                <w:color w:val="auto"/>
                <w:highlight w:val="none"/>
              </w:rPr>
              <w:t xml:space="preserve">3</w:t>
            </w:r>
            <w:r>
              <w:rPr>
                <w:rFonts w:hint="eastAsia"/>
                <w:color w:val="auto"/>
                <w:highlight w:val="none"/>
              </w:rPr>
              <w:t xml:space="preserve">倍管径（约</w:t>
            </w:r>
            <w:r>
              <w:rPr>
                <w:color w:val="auto"/>
                <w:highlight w:val="none"/>
              </w:rPr>
              <w:t xml:space="preserve">112</w:t>
            </w:r>
            <w:r>
              <w:rPr>
                <w:rFonts w:hint="eastAsia"/>
                <w:color w:val="auto"/>
                <w:highlight w:val="none"/>
              </w:rPr>
              <w:t xml:space="preserve">件），均为304不锈钢材质。</w:t>
            </w:r>
            <w:r/>
          </w:p>
        </w:tc>
        <w:tc>
          <w:tcPr>
            <w:shd w:val="clear" w:color="auto" w:fill="auto"/>
            <w:tcW w:w="404" w:type="pct"/>
            <w:vAlign w:val="center"/>
            <w:textDirection w:val="lrTb"/>
            <w:noWrap/>
          </w:tcPr>
          <w:p>
            <w:pPr>
              <w:pStyle w:val="1224"/>
              <w:widowControl w:val="off"/>
              <w:rPr>
                <w:color w:val="auto"/>
                <w:highlight w:val="none"/>
              </w:rPr>
            </w:pPr>
            <w:r>
              <w:rPr>
                <w:rFonts w:hint="eastAsia"/>
                <w:color w:val="auto"/>
                <w:highlight w:val="none"/>
              </w:rPr>
              <w:t xml:space="preserve">3套</w:t>
            </w:r>
            <w:r/>
          </w:p>
        </w:tc>
        <w:tc>
          <w:tcPr>
            <w:shd w:val="clear" w:color="auto" w:fill="auto"/>
            <w:tcW w:w="994" w:type="pct"/>
            <w:vAlign w:val="center"/>
            <w:textDirection w:val="lrTb"/>
            <w:noWrap/>
          </w:tcPr>
          <w:p>
            <w:pPr>
              <w:pStyle w:val="1224"/>
              <w:jc w:val="left"/>
              <w:widowControl w:val="off"/>
              <w:rPr>
                <w:color w:val="auto"/>
                <w:highlight w:val="none"/>
              </w:rPr>
            </w:pPr>
            <w:r>
              <w:rPr>
                <w:rFonts w:hint="eastAsia"/>
                <w:color w:val="auto"/>
                <w:highlight w:val="none"/>
              </w:rPr>
              <w:t xml:space="preserve">原位安装</w:t>
            </w:r>
            <w:r/>
          </w:p>
        </w:tc>
      </w:tr>
      <w:tr>
        <w:trPr>
          <w:jc w:val="center"/>
          <w:trHeight w:val="454"/>
        </w:trPr>
        <w:tc>
          <w:tcPr>
            <w:shd w:val="clear" w:color="auto" w:fill="auto"/>
            <w:tcW w:w="423" w:type="pct"/>
            <w:vAlign w:val="center"/>
            <w:textDirection w:val="lrTb"/>
            <w:noWrap/>
          </w:tcPr>
          <w:p>
            <w:pPr>
              <w:pStyle w:val="1224"/>
              <w:widowControl w:val="off"/>
              <w:rPr>
                <w:color w:val="auto"/>
                <w:highlight w:val="none"/>
              </w:rPr>
            </w:pPr>
            <w:r>
              <w:rPr>
                <w:rFonts w:hint="eastAsia"/>
                <w:color w:val="auto"/>
                <w:highlight w:val="none"/>
              </w:rPr>
              <w:t xml:space="preserve">5</w:t>
            </w:r>
            <w:r/>
          </w:p>
        </w:tc>
        <w:tc>
          <w:tcPr>
            <w:shd w:val="clear" w:color="auto" w:fill="auto"/>
            <w:tcW w:w="895" w:type="pct"/>
            <w:vAlign w:val="center"/>
            <w:textDirection w:val="lrTb"/>
            <w:noWrap/>
          </w:tcPr>
          <w:p>
            <w:pPr>
              <w:pStyle w:val="1224"/>
              <w:jc w:val="left"/>
              <w:widowControl w:val="off"/>
              <w:rPr>
                <w:color w:val="auto"/>
                <w:highlight w:val="none"/>
              </w:rPr>
            </w:pPr>
            <w:r>
              <w:rPr>
                <w:rFonts w:hint="eastAsia"/>
                <w:color w:val="auto"/>
                <w:highlight w:val="none"/>
              </w:rPr>
              <w:t xml:space="preserve">小平车</w:t>
            </w:r>
            <w:r/>
          </w:p>
        </w:tc>
        <w:tc>
          <w:tcPr>
            <w:shd w:val="clear" w:color="auto" w:fill="auto"/>
            <w:tcW w:w="2281" w:type="pct"/>
            <w:vAlign w:val="center"/>
            <w:textDirection w:val="lrTb"/>
            <w:noWrap/>
          </w:tcPr>
          <w:p>
            <w:pPr>
              <w:pStyle w:val="1224"/>
              <w:jc w:val="left"/>
              <w:widowControl w:val="off"/>
              <w:rPr>
                <w:color w:val="auto"/>
                <w:highlight w:val="none"/>
              </w:rPr>
            </w:pPr>
            <w:r>
              <w:rPr>
                <w:rFonts w:hint="eastAsia"/>
                <w:color w:val="auto"/>
                <w:highlight w:val="none"/>
              </w:rPr>
              <w:t xml:space="preserve">用于现场转运阀台</w:t>
            </w:r>
            <w:r/>
          </w:p>
        </w:tc>
        <w:tc>
          <w:tcPr>
            <w:shd w:val="clear" w:color="auto" w:fill="auto"/>
            <w:tcW w:w="404" w:type="pct"/>
            <w:vAlign w:val="center"/>
            <w:textDirection w:val="lrTb"/>
            <w:noWrap/>
          </w:tcPr>
          <w:p>
            <w:pPr>
              <w:pStyle w:val="1224"/>
              <w:widowControl w:val="off"/>
              <w:rPr>
                <w:color w:val="auto"/>
                <w:highlight w:val="none"/>
              </w:rPr>
            </w:pPr>
            <w:r>
              <w:rPr>
                <w:rFonts w:hint="eastAsia"/>
                <w:color w:val="auto"/>
                <w:highlight w:val="none"/>
              </w:rPr>
              <w:t xml:space="preserve">1台</w:t>
            </w:r>
            <w:r/>
          </w:p>
        </w:tc>
        <w:tc>
          <w:tcPr>
            <w:shd w:val="clear" w:color="auto" w:fill="auto"/>
            <w:tcW w:w="994" w:type="pct"/>
            <w:vAlign w:val="center"/>
            <w:textDirection w:val="lrTb"/>
            <w:noWrap/>
          </w:tcPr>
          <w:p>
            <w:pPr>
              <w:pStyle w:val="1224"/>
              <w:jc w:val="left"/>
              <w:widowControl w:val="off"/>
              <w:rPr>
                <w:color w:val="auto"/>
                <w:highlight w:val="none"/>
              </w:rPr>
            </w:pPr>
            <w:r>
              <w:rPr>
                <w:color w:val="auto"/>
                <w:highlight w:val="none"/>
              </w:rPr>
            </w:r>
            <w:r/>
          </w:p>
        </w:tc>
      </w:tr>
      <w:tr>
        <w:trPr>
          <w:jc w:val="center"/>
          <w:trHeight w:val="1020"/>
        </w:trPr>
        <w:tc>
          <w:tcPr>
            <w:shd w:val="clear" w:color="auto" w:fill="auto"/>
            <w:tcW w:w="423" w:type="pct"/>
            <w:vAlign w:val="center"/>
            <w:textDirection w:val="lrTb"/>
            <w:noWrap/>
          </w:tcPr>
          <w:p>
            <w:pPr>
              <w:pStyle w:val="1224"/>
              <w:widowControl w:val="off"/>
              <w:rPr>
                <w:color w:val="auto"/>
                <w:highlight w:val="none"/>
              </w:rPr>
            </w:pPr>
            <w:r>
              <w:rPr>
                <w:rFonts w:hint="eastAsia"/>
                <w:color w:val="auto"/>
                <w:highlight w:val="none"/>
              </w:rPr>
              <w:t xml:space="preserve">6</w:t>
            </w:r>
            <w:r/>
          </w:p>
        </w:tc>
        <w:tc>
          <w:tcPr>
            <w:shd w:val="clear" w:color="auto" w:fill="auto"/>
            <w:tcW w:w="895" w:type="pct"/>
            <w:vAlign w:val="center"/>
            <w:textDirection w:val="lrTb"/>
            <w:noWrap/>
          </w:tcPr>
          <w:p>
            <w:pPr>
              <w:pStyle w:val="1224"/>
              <w:jc w:val="left"/>
              <w:widowControl w:val="off"/>
              <w:rPr>
                <w:color w:val="auto"/>
                <w:highlight w:val="none"/>
              </w:rPr>
            </w:pPr>
            <w:r>
              <w:rPr>
                <w:rFonts w:hint="eastAsia"/>
                <w:color w:val="auto"/>
                <w:highlight w:val="none"/>
              </w:rPr>
              <w:t xml:space="preserve">大修更换液压站</w:t>
            </w:r>
            <w:r/>
          </w:p>
        </w:tc>
        <w:tc>
          <w:tcPr>
            <w:shd w:val="clear" w:color="auto" w:fill="auto"/>
            <w:tcW w:w="2281" w:type="pct"/>
            <w:vAlign w:val="center"/>
            <w:textDirection w:val="lrTb"/>
            <w:noWrap/>
          </w:tcPr>
          <w:p>
            <w:pPr>
              <w:pStyle w:val="1224"/>
              <w:jc w:val="left"/>
              <w:widowControl w:val="off"/>
              <w:rPr>
                <w:color w:val="auto"/>
                <w:highlight w:val="none"/>
              </w:rPr>
            </w:pPr>
            <w:r>
              <w:rPr>
                <w:rFonts w:hint="eastAsia"/>
                <w:color w:val="auto"/>
                <w:highlight w:val="none"/>
              </w:rPr>
              <w:t xml:space="preserve">液压油箱利旧（清洗出新），更换所有阀组、密封件、仪表、滤清器及3套油泵电机组及所有附件。含廊道内全部液压管路的管夹（约720套）和支架（约144套）。</w:t>
            </w:r>
            <w:r/>
          </w:p>
        </w:tc>
        <w:tc>
          <w:tcPr>
            <w:shd w:val="clear" w:color="auto" w:fill="auto"/>
            <w:tcW w:w="404" w:type="pct"/>
            <w:vAlign w:val="center"/>
            <w:textDirection w:val="lrTb"/>
            <w:noWrap/>
          </w:tcPr>
          <w:p>
            <w:pPr>
              <w:pStyle w:val="1224"/>
              <w:widowControl w:val="off"/>
              <w:rPr>
                <w:color w:val="auto"/>
                <w:highlight w:val="none"/>
              </w:rPr>
            </w:pPr>
            <w:r>
              <w:rPr>
                <w:rFonts w:hint="eastAsia"/>
                <w:color w:val="auto"/>
                <w:highlight w:val="none"/>
              </w:rPr>
              <w:t xml:space="preserve">1项</w:t>
            </w:r>
            <w:r/>
          </w:p>
        </w:tc>
        <w:tc>
          <w:tcPr>
            <w:shd w:val="clear" w:color="auto" w:fill="auto"/>
            <w:tcW w:w="994" w:type="pct"/>
            <w:vAlign w:val="center"/>
            <w:textDirection w:val="lrTb"/>
            <w:noWrap/>
          </w:tcPr>
          <w:p>
            <w:pPr>
              <w:pStyle w:val="1224"/>
              <w:jc w:val="left"/>
              <w:widowControl w:val="off"/>
              <w:rPr>
                <w:color w:val="auto"/>
                <w:highlight w:val="none"/>
              </w:rPr>
            </w:pPr>
            <w:r>
              <w:rPr>
                <w:rFonts w:hint="eastAsia"/>
                <w:color w:val="auto"/>
                <w:highlight w:val="none"/>
              </w:rPr>
              <w:t xml:space="preserve">3套启闭机共用1套液压站；管路支架为304不锈钢</w:t>
            </w:r>
            <w:r/>
          </w:p>
        </w:tc>
      </w:tr>
      <w:tr>
        <w:trPr>
          <w:jc w:val="center"/>
          <w:trHeight w:val="737"/>
        </w:trPr>
        <w:tc>
          <w:tcPr>
            <w:shd w:val="clear" w:color="auto" w:fill="auto"/>
            <w:tcW w:w="423" w:type="pct"/>
            <w:vAlign w:val="center"/>
            <w:textDirection w:val="lrTb"/>
            <w:noWrap/>
          </w:tcPr>
          <w:p>
            <w:pPr>
              <w:pStyle w:val="1224"/>
              <w:widowControl w:val="off"/>
              <w:rPr>
                <w:color w:val="auto"/>
                <w:highlight w:val="none"/>
              </w:rPr>
            </w:pPr>
            <w:r>
              <w:rPr>
                <w:rFonts w:hint="eastAsia"/>
                <w:color w:val="auto"/>
                <w:highlight w:val="none"/>
              </w:rPr>
              <w:t xml:space="preserve">7</w:t>
            </w:r>
            <w:r/>
          </w:p>
        </w:tc>
        <w:tc>
          <w:tcPr>
            <w:shd w:val="clear" w:color="auto" w:fill="auto"/>
            <w:tcW w:w="895" w:type="pct"/>
            <w:vAlign w:val="center"/>
            <w:textDirection w:val="lrTb"/>
            <w:noWrap/>
          </w:tcPr>
          <w:p>
            <w:pPr>
              <w:pStyle w:val="1224"/>
              <w:jc w:val="left"/>
              <w:widowControl w:val="off"/>
              <w:rPr>
                <w:color w:val="auto"/>
                <w:highlight w:val="none"/>
              </w:rPr>
            </w:pPr>
            <w:r>
              <w:rPr>
                <w:rFonts w:hint="eastAsia"/>
                <w:color w:val="auto"/>
                <w:highlight w:val="none"/>
              </w:rPr>
              <w:t xml:space="preserve">新制</w:t>
            </w:r>
            <w:bookmarkStart w:id="13" w:name="OLE_LINK11"/>
            <w:r>
              <w:rPr>
                <w:rFonts w:hint="eastAsia"/>
                <w:color w:val="auto"/>
                <w:highlight w:val="none"/>
              </w:rPr>
              <w:t xml:space="preserve">PLC控制柜</w:t>
            </w:r>
            <w:bookmarkEnd w:id="13"/>
            <w:r/>
            <w:r/>
          </w:p>
        </w:tc>
        <w:tc>
          <w:tcPr>
            <w:shd w:val="clear" w:color="auto" w:fill="auto"/>
            <w:tcW w:w="2281" w:type="pct"/>
            <w:vAlign w:val="center"/>
            <w:textDirection w:val="lrTb"/>
            <w:noWrap/>
          </w:tcPr>
          <w:p>
            <w:pPr>
              <w:pStyle w:val="1224"/>
              <w:jc w:val="left"/>
              <w:widowControl w:val="off"/>
              <w:rPr>
                <w:color w:val="auto"/>
                <w:highlight w:val="none"/>
              </w:rPr>
            </w:pPr>
            <w:r>
              <w:rPr>
                <w:rFonts w:hint="eastAsia"/>
                <w:color w:val="auto"/>
                <w:highlight w:val="none"/>
              </w:rPr>
              <w:t xml:space="preserve">全新成套PLC控制柜</w:t>
            </w:r>
            <w:r/>
          </w:p>
        </w:tc>
        <w:tc>
          <w:tcPr>
            <w:shd w:val="clear" w:color="auto" w:fill="auto"/>
            <w:tcW w:w="404" w:type="pct"/>
            <w:vAlign w:val="center"/>
            <w:textDirection w:val="lrTb"/>
            <w:noWrap/>
          </w:tcPr>
          <w:p>
            <w:pPr>
              <w:pStyle w:val="1224"/>
              <w:widowControl w:val="off"/>
              <w:rPr>
                <w:color w:val="auto"/>
                <w:highlight w:val="none"/>
              </w:rPr>
            </w:pPr>
            <w:r>
              <w:rPr>
                <w:rFonts w:hint="eastAsia"/>
                <w:color w:val="auto"/>
                <w:highlight w:val="none"/>
              </w:rPr>
              <w:t xml:space="preserve">1套</w:t>
            </w:r>
            <w:r/>
          </w:p>
        </w:tc>
        <w:tc>
          <w:tcPr>
            <w:shd w:val="clear" w:color="auto" w:fill="auto"/>
            <w:tcW w:w="994" w:type="pct"/>
            <w:vAlign w:val="center"/>
            <w:textDirection w:val="lrTb"/>
            <w:noWrap/>
          </w:tcPr>
          <w:p>
            <w:pPr>
              <w:pStyle w:val="1224"/>
              <w:jc w:val="left"/>
              <w:widowControl w:val="off"/>
              <w:rPr>
                <w:color w:val="auto"/>
                <w:highlight w:val="none"/>
              </w:rPr>
            </w:pPr>
            <w:r>
              <w:rPr>
                <w:rFonts w:hint="eastAsia"/>
                <w:color w:val="auto"/>
                <w:highlight w:val="none"/>
              </w:rPr>
              <w:t xml:space="preserve">3套启闭机共用1套PLC控制柜</w:t>
            </w:r>
            <w:r/>
          </w:p>
        </w:tc>
      </w:tr>
      <w:tr>
        <w:trPr>
          <w:jc w:val="center"/>
          <w:trHeight w:val="737"/>
        </w:trPr>
        <w:tc>
          <w:tcPr>
            <w:shd w:val="clear" w:color="auto" w:fill="auto"/>
            <w:tcW w:w="423" w:type="pct"/>
            <w:vAlign w:val="center"/>
            <w:textDirection w:val="lrTb"/>
            <w:noWrap w:val="false"/>
          </w:tcPr>
          <w:p>
            <w:pPr>
              <w:pStyle w:val="1224"/>
              <w:widowControl w:val="off"/>
              <w:rPr>
                <w:color w:val="auto"/>
                <w:highlight w:val="none"/>
              </w:rPr>
            </w:pPr>
            <w:r>
              <w:rPr>
                <w:rFonts w:hint="eastAsia"/>
                <w:color w:val="auto"/>
                <w:highlight w:val="none"/>
              </w:rPr>
              <w:t xml:space="preserve">8</w:t>
            </w:r>
            <w:r/>
          </w:p>
        </w:tc>
        <w:tc>
          <w:tcPr>
            <w:shd w:val="clear" w:color="auto" w:fill="auto"/>
            <w:tcW w:w="895" w:type="pct"/>
            <w:vAlign w:val="center"/>
            <w:textDirection w:val="lrTb"/>
            <w:noWrap w:val="false"/>
          </w:tcPr>
          <w:p>
            <w:pPr>
              <w:pStyle w:val="1224"/>
              <w:jc w:val="left"/>
              <w:widowControl w:val="off"/>
              <w:rPr>
                <w:color w:val="auto"/>
                <w:highlight w:val="none"/>
              </w:rPr>
            </w:pPr>
            <w:r>
              <w:rPr>
                <w:rFonts w:hint="eastAsia"/>
                <w:color w:val="auto"/>
                <w:highlight w:val="none"/>
              </w:rPr>
              <w:t xml:space="preserve">改造</w:t>
            </w:r>
            <w:bookmarkStart w:id="14" w:name="OLE_LINK12"/>
            <w:r>
              <w:rPr>
                <w:rFonts w:hint="eastAsia"/>
                <w:color w:val="auto"/>
                <w:highlight w:val="none"/>
              </w:rPr>
              <w:t xml:space="preserve">动力柜 </w:t>
            </w:r>
            <w:bookmarkEnd w:id="14"/>
            <w:r/>
            <w:r/>
          </w:p>
        </w:tc>
        <w:tc>
          <w:tcPr>
            <w:shd w:val="clear" w:color="auto" w:fill="auto"/>
            <w:tcW w:w="2281" w:type="pct"/>
            <w:vAlign w:val="center"/>
            <w:textDirection w:val="lrTb"/>
            <w:noWrap w:val="false"/>
          </w:tcPr>
          <w:p>
            <w:pPr>
              <w:pStyle w:val="1224"/>
              <w:jc w:val="left"/>
              <w:widowControl w:val="off"/>
              <w:rPr>
                <w:color w:val="auto"/>
                <w:highlight w:val="none"/>
              </w:rPr>
            </w:pPr>
            <w:r>
              <w:rPr>
                <w:rFonts w:hint="eastAsia"/>
                <w:color w:val="auto"/>
                <w:highlight w:val="none"/>
              </w:rPr>
              <w:t xml:space="preserve">更换损坏零部件，根据新控制柜、新控制阀台整理接线等，柜体整体出新。</w:t>
            </w:r>
            <w:r/>
          </w:p>
        </w:tc>
        <w:tc>
          <w:tcPr>
            <w:shd w:val="clear" w:color="auto" w:fill="auto"/>
            <w:tcW w:w="404" w:type="pct"/>
            <w:vAlign w:val="center"/>
            <w:textDirection w:val="lrTb"/>
            <w:noWrap w:val="false"/>
          </w:tcPr>
          <w:p>
            <w:pPr>
              <w:pStyle w:val="1224"/>
              <w:widowControl w:val="off"/>
              <w:rPr>
                <w:color w:val="auto"/>
                <w:highlight w:val="none"/>
              </w:rPr>
            </w:pPr>
            <w:r>
              <w:rPr>
                <w:rFonts w:hint="eastAsia"/>
                <w:color w:val="auto"/>
                <w:highlight w:val="none"/>
              </w:rPr>
              <w:t xml:space="preserve">1套</w:t>
            </w:r>
            <w:r/>
          </w:p>
        </w:tc>
        <w:tc>
          <w:tcPr>
            <w:shd w:val="clear" w:color="auto" w:fill="auto"/>
            <w:tcW w:w="994" w:type="pct"/>
            <w:vAlign w:val="center"/>
            <w:textDirection w:val="lrTb"/>
            <w:noWrap w:val="false"/>
          </w:tcPr>
          <w:p>
            <w:pPr>
              <w:pStyle w:val="1224"/>
              <w:jc w:val="left"/>
              <w:widowControl w:val="off"/>
              <w:rPr>
                <w:color w:val="auto"/>
                <w:highlight w:val="none"/>
              </w:rPr>
            </w:pPr>
            <w:r>
              <w:rPr>
                <w:rFonts w:hint="eastAsia"/>
                <w:color w:val="auto"/>
                <w:highlight w:val="none"/>
              </w:rPr>
              <w:t xml:space="preserve">3套启闭机共用1套动力柜</w:t>
            </w:r>
            <w:r/>
          </w:p>
        </w:tc>
      </w:tr>
      <w:tr>
        <w:trPr>
          <w:jc w:val="center"/>
          <w:trHeight w:val="454"/>
        </w:trPr>
        <w:tc>
          <w:tcPr>
            <w:gridSpan w:val="5"/>
            <w:shd w:val="clear" w:color="auto" w:fill="auto"/>
            <w:tcW w:w="5000" w:type="pct"/>
            <w:vAlign w:val="center"/>
            <w:textDirection w:val="lrTb"/>
            <w:noWrap w:val="false"/>
          </w:tcPr>
          <w:p>
            <w:pPr>
              <w:pStyle w:val="1224"/>
              <w:widowControl w:val="off"/>
              <w:rPr>
                <w:color w:val="auto"/>
                <w:highlight w:val="none"/>
              </w:rPr>
            </w:pPr>
            <w:r>
              <w:rPr>
                <w:rFonts w:hint="eastAsia"/>
                <w:b/>
                <w:bCs/>
                <w:color w:val="auto"/>
                <w:highlight w:val="none"/>
              </w:rPr>
              <w:t xml:space="preserve">二、 泵站液压设备</w:t>
            </w:r>
            <w:r/>
          </w:p>
        </w:tc>
      </w:tr>
      <w:tr>
        <w:trPr>
          <w:jc w:val="center"/>
          <w:trHeight w:val="1304"/>
        </w:trPr>
        <w:tc>
          <w:tcPr>
            <w:shd w:val="clear" w:color="auto" w:fill="auto"/>
            <w:tcW w:w="423" w:type="pct"/>
            <w:vAlign w:val="center"/>
            <w:textDirection w:val="lrTb"/>
            <w:noWrap w:val="false"/>
          </w:tcPr>
          <w:p>
            <w:pPr>
              <w:pStyle w:val="1224"/>
              <w:widowControl w:val="off"/>
              <w:rPr>
                <w:color w:val="auto"/>
                <w:highlight w:val="none"/>
              </w:rPr>
            </w:pPr>
            <w:r>
              <w:rPr>
                <w:rFonts w:hint="eastAsia"/>
                <w:color w:val="auto"/>
                <w:highlight w:val="none"/>
              </w:rPr>
              <w:t xml:space="preserve">1</w:t>
            </w:r>
            <w:r/>
          </w:p>
        </w:tc>
        <w:tc>
          <w:tcPr>
            <w:shd w:val="clear" w:color="auto" w:fill="auto"/>
            <w:tcW w:w="895" w:type="pct"/>
            <w:vAlign w:val="center"/>
            <w:textDirection w:val="lrTb"/>
            <w:noWrap w:val="false"/>
          </w:tcPr>
          <w:p>
            <w:pPr>
              <w:pStyle w:val="1224"/>
              <w:jc w:val="left"/>
              <w:widowControl w:val="off"/>
              <w:rPr>
                <w:color w:val="auto"/>
                <w:highlight w:val="none"/>
              </w:rPr>
            </w:pPr>
            <w:r>
              <w:rPr>
                <w:rFonts w:hint="eastAsia"/>
                <w:color w:val="auto"/>
                <w:highlight w:val="none"/>
              </w:rPr>
              <w:t xml:space="preserve">工作门、事故闸门油缸返厂维修</w:t>
            </w:r>
            <w:r/>
          </w:p>
        </w:tc>
        <w:tc>
          <w:tcPr>
            <w:shd w:val="clear" w:color="auto" w:fill="auto"/>
            <w:tcW w:w="2281" w:type="pct"/>
            <w:vAlign w:val="center"/>
            <w:textDirection w:val="lrTb"/>
            <w:noWrap w:val="false"/>
          </w:tcPr>
          <w:p>
            <w:pPr>
              <w:pStyle w:val="1224"/>
              <w:jc w:val="left"/>
              <w:widowControl w:val="off"/>
              <w:rPr>
                <w:color w:val="auto"/>
                <w:highlight w:val="none"/>
              </w:rPr>
            </w:pPr>
            <w:r>
              <w:rPr>
                <w:rFonts w:hint="eastAsia"/>
                <w:color w:val="auto"/>
                <w:highlight w:val="none"/>
              </w:rPr>
              <w:t xml:space="preserve">QPKY-D-200kN-3.5m倒挂式快速液压启闭机，油缸利旧（清洗后重新适配加工、防腐出新），活塞杆更换为镀陶瓷活塞杆（不带刻度），更换所有密封件及紧固件，更换所有高压软管</w:t>
            </w:r>
            <w:r/>
          </w:p>
        </w:tc>
        <w:tc>
          <w:tcPr>
            <w:shd w:val="clear" w:color="auto" w:fill="auto"/>
            <w:tcW w:w="404" w:type="pct"/>
            <w:vAlign w:val="center"/>
            <w:textDirection w:val="lrTb"/>
            <w:noWrap w:val="false"/>
          </w:tcPr>
          <w:p>
            <w:pPr>
              <w:pStyle w:val="1224"/>
              <w:widowControl w:val="off"/>
              <w:rPr>
                <w:color w:val="auto"/>
                <w:highlight w:val="none"/>
              </w:rPr>
            </w:pPr>
            <w:r>
              <w:rPr>
                <w:rFonts w:hint="eastAsia"/>
                <w:color w:val="auto"/>
                <w:highlight w:val="none"/>
              </w:rPr>
              <w:t xml:space="preserve">12套</w:t>
            </w:r>
            <w:r/>
          </w:p>
        </w:tc>
        <w:tc>
          <w:tcPr>
            <w:shd w:val="clear" w:color="auto" w:fill="auto"/>
            <w:tcW w:w="994" w:type="pct"/>
            <w:vAlign w:val="center"/>
            <w:textDirection w:val="lrTb"/>
            <w:noWrap w:val="false"/>
          </w:tcPr>
          <w:p>
            <w:pPr>
              <w:pStyle w:val="1224"/>
              <w:jc w:val="left"/>
              <w:widowControl w:val="off"/>
              <w:rPr>
                <w:color w:val="auto"/>
                <w:highlight w:val="none"/>
              </w:rPr>
            </w:pPr>
            <w:r>
              <w:rPr>
                <w:rFonts w:hint="eastAsia"/>
                <w:color w:val="auto"/>
                <w:highlight w:val="none"/>
              </w:rPr>
              <w:t xml:space="preserve">原12套机架钢梁拆卸后返厂出新，12套吊座新制</w:t>
            </w:r>
            <w:r/>
          </w:p>
        </w:tc>
      </w:tr>
      <w:tr>
        <w:trPr>
          <w:jc w:val="center"/>
          <w:trHeight w:val="761"/>
        </w:trPr>
        <w:tc>
          <w:tcPr>
            <w:shd w:val="clear" w:color="auto" w:fill="auto"/>
            <w:tcW w:w="423" w:type="pct"/>
            <w:vAlign w:val="center"/>
            <w:vMerge w:val="restart"/>
            <w:textDirection w:val="lrTb"/>
            <w:noWrap w:val="false"/>
          </w:tcPr>
          <w:p>
            <w:pPr>
              <w:pStyle w:val="1224"/>
              <w:widowControl w:val="off"/>
              <w:rPr>
                <w:color w:val="auto"/>
                <w:highlight w:val="none"/>
              </w:rPr>
            </w:pPr>
            <w:r>
              <w:rPr>
                <w:rFonts w:hint="eastAsia"/>
                <w:color w:val="auto"/>
                <w:highlight w:val="none"/>
              </w:rPr>
              <w:t xml:space="preserve">2</w:t>
            </w:r>
            <w:r/>
          </w:p>
        </w:tc>
        <w:tc>
          <w:tcPr>
            <w:shd w:val="clear" w:color="auto" w:fill="auto"/>
            <w:tcW w:w="895" w:type="pct"/>
            <w:vAlign w:val="center"/>
            <w:vMerge w:val="restart"/>
            <w:textDirection w:val="lrTb"/>
            <w:noWrap w:val="false"/>
          </w:tcPr>
          <w:p>
            <w:pPr>
              <w:pStyle w:val="1224"/>
              <w:jc w:val="left"/>
              <w:widowControl w:val="off"/>
              <w:rPr>
                <w:color w:val="auto"/>
                <w:highlight w:val="none"/>
              </w:rPr>
            </w:pPr>
            <w:r>
              <w:rPr>
                <w:rFonts w:hint="eastAsia"/>
                <w:color w:val="auto"/>
                <w:highlight w:val="none"/>
              </w:rPr>
              <w:t xml:space="preserve">行程传感器</w:t>
            </w:r>
            <w:r/>
          </w:p>
        </w:tc>
        <w:tc>
          <w:tcPr>
            <w:shd w:val="clear" w:color="auto" w:fill="auto"/>
            <w:tcW w:w="2281" w:type="pct"/>
            <w:vAlign w:val="center"/>
            <w:textDirection w:val="lrTb"/>
            <w:noWrap w:val="false"/>
          </w:tcPr>
          <w:p>
            <w:pPr>
              <w:pStyle w:val="1224"/>
              <w:jc w:val="left"/>
              <w:widowControl w:val="off"/>
              <w:rPr>
                <w:color w:val="auto"/>
                <w:highlight w:val="none"/>
              </w:rPr>
            </w:pPr>
            <w:r>
              <w:rPr>
                <w:rFonts w:hint="eastAsia"/>
                <w:color w:val="auto"/>
                <w:highlight w:val="none"/>
              </w:rPr>
              <w:t xml:space="preserve">原12套静外置钢丝绳传感器利旧（拆卸返厂检测出新后重新安装）</w:t>
            </w:r>
            <w:r/>
          </w:p>
        </w:tc>
        <w:tc>
          <w:tcPr>
            <w:shd w:val="clear" w:color="auto" w:fill="auto"/>
            <w:tcW w:w="404" w:type="pct"/>
            <w:vAlign w:val="center"/>
            <w:textDirection w:val="lrTb"/>
            <w:noWrap w:val="false"/>
          </w:tcPr>
          <w:p>
            <w:pPr>
              <w:pStyle w:val="1224"/>
              <w:widowControl w:val="off"/>
              <w:rPr>
                <w:color w:val="auto"/>
                <w:highlight w:val="none"/>
              </w:rPr>
            </w:pPr>
            <w:r>
              <w:rPr>
                <w:rFonts w:hint="eastAsia"/>
                <w:color w:val="auto"/>
                <w:highlight w:val="none"/>
              </w:rPr>
              <w:t xml:space="preserve">12套</w:t>
            </w:r>
            <w:r/>
          </w:p>
        </w:tc>
        <w:tc>
          <w:tcPr>
            <w:shd w:val="clear" w:color="auto" w:fill="auto"/>
            <w:tcW w:w="994" w:type="pct"/>
            <w:vAlign w:val="center"/>
            <w:textDirection w:val="lrTb"/>
            <w:noWrap w:val="false"/>
          </w:tcPr>
          <w:p>
            <w:pPr>
              <w:pStyle w:val="1224"/>
              <w:jc w:val="left"/>
              <w:widowControl w:val="off"/>
              <w:rPr>
                <w:color w:val="auto"/>
                <w:highlight w:val="none"/>
              </w:rPr>
            </w:pPr>
            <w:r>
              <w:rPr>
                <w:color w:val="auto"/>
                <w:highlight w:val="none"/>
              </w:rPr>
            </w:r>
            <w:r/>
          </w:p>
        </w:tc>
      </w:tr>
      <w:tr>
        <w:trPr>
          <w:jc w:val="center"/>
          <w:trHeight w:val="559"/>
        </w:trPr>
        <w:tc>
          <w:tcPr>
            <w:shd w:val="clear" w:color="auto" w:fill="auto"/>
            <w:tcW w:w="423" w:type="pct"/>
            <w:vAlign w:val="center"/>
            <w:vMerge w:val="continue"/>
            <w:textDirection w:val="lrTb"/>
            <w:noWrap w:val="false"/>
          </w:tcPr>
          <w:p>
            <w:pPr>
              <w:pStyle w:val="1224"/>
              <w:widowControl w:val="off"/>
              <w:rPr>
                <w:color w:val="auto"/>
                <w:highlight w:val="none"/>
              </w:rPr>
            </w:pPr>
            <w:r>
              <w:rPr>
                <w:color w:val="auto"/>
                <w:highlight w:val="none"/>
              </w:rPr>
            </w:r>
            <w:r/>
          </w:p>
        </w:tc>
        <w:tc>
          <w:tcPr>
            <w:shd w:val="clear" w:color="auto" w:fill="auto"/>
            <w:tcW w:w="895" w:type="pct"/>
            <w:vAlign w:val="center"/>
            <w:vMerge w:val="continue"/>
            <w:textDirection w:val="lrTb"/>
            <w:noWrap w:val="false"/>
          </w:tcPr>
          <w:p>
            <w:pPr>
              <w:pStyle w:val="1224"/>
              <w:jc w:val="left"/>
              <w:widowControl w:val="off"/>
              <w:rPr>
                <w:color w:val="auto"/>
                <w:highlight w:val="none"/>
              </w:rPr>
            </w:pPr>
            <w:r>
              <w:rPr>
                <w:color w:val="auto"/>
                <w:highlight w:val="none"/>
              </w:rPr>
            </w:r>
            <w:r/>
          </w:p>
        </w:tc>
        <w:tc>
          <w:tcPr>
            <w:shd w:val="clear" w:color="auto" w:fill="auto"/>
            <w:tcW w:w="2281" w:type="pct"/>
            <w:vAlign w:val="center"/>
            <w:textDirection w:val="lrTb"/>
            <w:noWrap w:val="false"/>
          </w:tcPr>
          <w:p>
            <w:pPr>
              <w:pStyle w:val="1224"/>
              <w:jc w:val="left"/>
              <w:widowControl w:val="off"/>
              <w:rPr>
                <w:color w:val="auto"/>
                <w:highlight w:val="none"/>
              </w:rPr>
            </w:pPr>
            <w:r>
              <w:rPr>
                <w:rFonts w:hint="eastAsia"/>
                <w:color w:val="auto"/>
                <w:highlight w:val="none"/>
              </w:rPr>
              <w:t xml:space="preserve">新增2套</w:t>
            </w:r>
            <w:bookmarkStart w:id="15" w:name="OLE_LINK9"/>
            <w:r/>
            <w:bookmarkStart w:id="16" w:name="OLE_LINK10"/>
            <w:r>
              <w:rPr>
                <w:rFonts w:hint="eastAsia"/>
                <w:color w:val="auto"/>
                <w:highlight w:val="none"/>
              </w:rPr>
              <w:t xml:space="preserve">外置钢丝绳传</w:t>
            </w:r>
            <w:bookmarkEnd w:id="15"/>
            <w:r/>
            <w:bookmarkEnd w:id="16"/>
            <w:r>
              <w:rPr>
                <w:rFonts w:hint="eastAsia"/>
                <w:color w:val="auto"/>
                <w:highlight w:val="none"/>
              </w:rPr>
              <w:t xml:space="preserve">感器</w:t>
            </w:r>
            <w:r/>
          </w:p>
        </w:tc>
        <w:tc>
          <w:tcPr>
            <w:shd w:val="clear" w:color="auto" w:fill="auto"/>
            <w:tcW w:w="404" w:type="pct"/>
            <w:vAlign w:val="center"/>
            <w:textDirection w:val="lrTb"/>
            <w:noWrap w:val="false"/>
          </w:tcPr>
          <w:p>
            <w:pPr>
              <w:pStyle w:val="1224"/>
              <w:widowControl w:val="off"/>
              <w:rPr>
                <w:color w:val="auto"/>
                <w:highlight w:val="none"/>
              </w:rPr>
            </w:pPr>
            <w:r>
              <w:rPr>
                <w:rFonts w:hint="eastAsia"/>
                <w:color w:val="auto"/>
                <w:highlight w:val="none"/>
              </w:rPr>
              <w:t xml:space="preserve">2套</w:t>
            </w:r>
            <w:r/>
          </w:p>
        </w:tc>
        <w:tc>
          <w:tcPr>
            <w:shd w:val="clear" w:color="auto" w:fill="auto"/>
            <w:tcW w:w="994" w:type="pct"/>
            <w:vAlign w:val="center"/>
            <w:textDirection w:val="lrTb"/>
            <w:noWrap w:val="false"/>
          </w:tcPr>
          <w:p>
            <w:pPr>
              <w:pStyle w:val="1224"/>
              <w:jc w:val="left"/>
              <w:widowControl w:val="off"/>
              <w:rPr>
                <w:color w:val="auto"/>
                <w:highlight w:val="none"/>
              </w:rPr>
            </w:pPr>
            <w:r>
              <w:rPr>
                <w:rFonts w:hint="eastAsia"/>
                <w:color w:val="auto"/>
                <w:highlight w:val="none"/>
              </w:rPr>
              <w:t xml:space="preserve">作为备件</w:t>
            </w:r>
            <w:r/>
          </w:p>
        </w:tc>
      </w:tr>
      <w:tr>
        <w:trPr>
          <w:jc w:val="center"/>
          <w:trHeight w:val="235"/>
        </w:trPr>
        <w:tc>
          <w:tcPr>
            <w:shd w:val="clear" w:color="auto" w:fill="auto"/>
            <w:tcW w:w="423" w:type="pct"/>
            <w:vAlign w:val="center"/>
            <w:textDirection w:val="lrTb"/>
            <w:noWrap w:val="false"/>
          </w:tcPr>
          <w:p>
            <w:pPr>
              <w:pStyle w:val="1224"/>
              <w:widowControl w:val="off"/>
              <w:rPr>
                <w:color w:val="auto"/>
                <w:highlight w:val="none"/>
              </w:rPr>
            </w:pPr>
            <w:r>
              <w:rPr>
                <w:rFonts w:hint="eastAsia"/>
                <w:color w:val="auto"/>
                <w:highlight w:val="none"/>
              </w:rPr>
              <w:t xml:space="preserve">3</w:t>
            </w:r>
            <w:r/>
          </w:p>
        </w:tc>
        <w:tc>
          <w:tcPr>
            <w:shd w:val="clear" w:color="auto" w:fill="auto"/>
            <w:tcW w:w="895" w:type="pct"/>
            <w:vAlign w:val="center"/>
            <w:textDirection w:val="lrTb"/>
            <w:noWrap w:val="false"/>
          </w:tcPr>
          <w:p>
            <w:pPr>
              <w:pStyle w:val="1224"/>
              <w:jc w:val="left"/>
              <w:widowControl w:val="off"/>
              <w:rPr>
                <w:color w:val="auto"/>
                <w:highlight w:val="none"/>
              </w:rPr>
            </w:pPr>
            <w:r>
              <w:rPr>
                <w:rFonts w:hint="eastAsia"/>
                <w:color w:val="auto"/>
                <w:highlight w:val="none"/>
              </w:rPr>
              <w:t xml:space="preserve">维修出新液压站</w:t>
            </w:r>
            <w:r/>
          </w:p>
        </w:tc>
        <w:tc>
          <w:tcPr>
            <w:shd w:val="clear" w:color="auto" w:fill="auto"/>
            <w:tcW w:w="2281" w:type="pct"/>
            <w:vAlign w:val="center"/>
            <w:textDirection w:val="lrTb"/>
            <w:noWrap w:val="false"/>
          </w:tcPr>
          <w:p>
            <w:pPr>
              <w:pStyle w:val="1224"/>
              <w:jc w:val="left"/>
              <w:widowControl w:val="off"/>
              <w:rPr>
                <w:color w:val="auto"/>
                <w:highlight w:val="none"/>
              </w:rPr>
            </w:pPr>
            <w:r>
              <w:rPr>
                <w:rFonts w:hint="eastAsia"/>
                <w:color w:val="auto"/>
                <w:highlight w:val="none"/>
              </w:rPr>
              <w:t xml:space="preserve">液压油箱清洗出新（包含补油箱）；维护出新2套油泵电机组；更换所有阀组、密封件、仪表、滤清器等所有附件</w:t>
            </w:r>
            <w:r/>
          </w:p>
        </w:tc>
        <w:tc>
          <w:tcPr>
            <w:shd w:val="clear" w:color="auto" w:fill="auto"/>
            <w:tcW w:w="404" w:type="pct"/>
            <w:vAlign w:val="center"/>
            <w:textDirection w:val="lrTb"/>
            <w:noWrap w:val="false"/>
          </w:tcPr>
          <w:p>
            <w:pPr>
              <w:pStyle w:val="1224"/>
              <w:widowControl w:val="off"/>
              <w:rPr>
                <w:color w:val="auto"/>
                <w:highlight w:val="none"/>
              </w:rPr>
            </w:pPr>
            <w:r>
              <w:rPr>
                <w:rFonts w:hint="eastAsia"/>
                <w:color w:val="auto"/>
                <w:highlight w:val="none"/>
              </w:rPr>
              <w:t xml:space="preserve">1项</w:t>
            </w:r>
            <w:r/>
          </w:p>
        </w:tc>
        <w:tc>
          <w:tcPr>
            <w:shd w:val="clear" w:color="auto" w:fill="auto"/>
            <w:tcW w:w="994" w:type="pct"/>
            <w:vAlign w:val="center"/>
            <w:textDirection w:val="lrTb"/>
            <w:noWrap w:val="false"/>
          </w:tcPr>
          <w:p>
            <w:pPr>
              <w:pStyle w:val="1224"/>
              <w:jc w:val="left"/>
              <w:widowControl w:val="off"/>
              <w:rPr>
                <w:color w:val="auto"/>
                <w:highlight w:val="none"/>
              </w:rPr>
            </w:pPr>
            <w:r>
              <w:rPr>
                <w:rFonts w:hint="eastAsia"/>
                <w:color w:val="auto"/>
                <w:highlight w:val="none"/>
              </w:rPr>
              <w:t xml:space="preserve">12套启闭机共用1套液压站</w:t>
            </w:r>
            <w:r/>
          </w:p>
        </w:tc>
      </w:tr>
      <w:tr>
        <w:trPr>
          <w:jc w:val="center"/>
          <w:trHeight w:val="640"/>
        </w:trPr>
        <w:tc>
          <w:tcPr>
            <w:shd w:val="clear" w:color="auto" w:fill="auto"/>
            <w:tcW w:w="423" w:type="pct"/>
            <w:vAlign w:val="center"/>
            <w:textDirection w:val="lrTb"/>
            <w:noWrap w:val="false"/>
          </w:tcPr>
          <w:p>
            <w:pPr>
              <w:pStyle w:val="1224"/>
              <w:widowControl w:val="off"/>
              <w:rPr>
                <w:color w:val="auto"/>
                <w:highlight w:val="none"/>
              </w:rPr>
            </w:pPr>
            <w:r>
              <w:rPr>
                <w:rFonts w:hint="eastAsia"/>
                <w:color w:val="auto"/>
                <w:highlight w:val="none"/>
              </w:rPr>
              <w:t xml:space="preserve">4</w:t>
            </w:r>
            <w:r/>
          </w:p>
        </w:tc>
        <w:tc>
          <w:tcPr>
            <w:shd w:val="clear" w:color="auto" w:fill="auto"/>
            <w:tcW w:w="895" w:type="pct"/>
            <w:vAlign w:val="center"/>
            <w:textDirection w:val="lrTb"/>
            <w:noWrap w:val="false"/>
          </w:tcPr>
          <w:p>
            <w:pPr>
              <w:pStyle w:val="1224"/>
              <w:jc w:val="left"/>
              <w:widowControl w:val="off"/>
              <w:rPr>
                <w:color w:val="auto"/>
                <w:highlight w:val="none"/>
              </w:rPr>
            </w:pPr>
            <w:r>
              <w:rPr>
                <w:rFonts w:hint="eastAsia"/>
                <w:color w:val="auto"/>
                <w:highlight w:val="none"/>
              </w:rPr>
              <w:t xml:space="preserve">新制</w:t>
            </w:r>
            <w:bookmarkStart w:id="17" w:name="OLE_LINK15"/>
            <w:r>
              <w:rPr>
                <w:rFonts w:hint="eastAsia"/>
                <w:color w:val="auto"/>
                <w:highlight w:val="none"/>
              </w:rPr>
              <w:t xml:space="preserve">PLC控制柜</w:t>
            </w:r>
            <w:bookmarkEnd w:id="17"/>
            <w:r/>
            <w:r/>
          </w:p>
        </w:tc>
        <w:tc>
          <w:tcPr>
            <w:shd w:val="clear" w:color="auto" w:fill="auto"/>
            <w:tcW w:w="2281" w:type="pct"/>
            <w:vAlign w:val="center"/>
            <w:textDirection w:val="lrTb"/>
            <w:noWrap w:val="false"/>
          </w:tcPr>
          <w:p>
            <w:pPr>
              <w:pStyle w:val="1224"/>
              <w:jc w:val="left"/>
              <w:widowControl w:val="off"/>
              <w:rPr>
                <w:color w:val="auto"/>
                <w:highlight w:val="none"/>
              </w:rPr>
            </w:pPr>
            <w:r>
              <w:rPr>
                <w:rFonts w:hint="eastAsia"/>
                <w:color w:val="auto"/>
                <w:highlight w:val="none"/>
              </w:rPr>
              <w:t xml:space="preserve">全新成套PLC控制柜</w:t>
            </w:r>
            <w:r/>
          </w:p>
        </w:tc>
        <w:tc>
          <w:tcPr>
            <w:shd w:val="clear" w:color="auto" w:fill="auto"/>
            <w:tcW w:w="404" w:type="pct"/>
            <w:vAlign w:val="center"/>
            <w:textDirection w:val="lrTb"/>
            <w:noWrap w:val="false"/>
          </w:tcPr>
          <w:p>
            <w:pPr>
              <w:pStyle w:val="1224"/>
              <w:widowControl w:val="off"/>
              <w:rPr>
                <w:color w:val="auto"/>
                <w:highlight w:val="none"/>
              </w:rPr>
            </w:pPr>
            <w:r>
              <w:rPr>
                <w:rFonts w:hint="eastAsia"/>
                <w:color w:val="auto"/>
                <w:highlight w:val="none"/>
              </w:rPr>
              <w:t xml:space="preserve">1套</w:t>
            </w:r>
            <w:r/>
          </w:p>
        </w:tc>
        <w:tc>
          <w:tcPr>
            <w:shd w:val="clear" w:color="auto" w:fill="auto"/>
            <w:tcW w:w="994" w:type="pct"/>
            <w:vAlign w:val="center"/>
            <w:textDirection w:val="lrTb"/>
            <w:noWrap w:val="false"/>
          </w:tcPr>
          <w:p>
            <w:pPr>
              <w:pStyle w:val="1224"/>
              <w:jc w:val="left"/>
              <w:widowControl w:val="off"/>
              <w:rPr>
                <w:color w:val="auto"/>
                <w:highlight w:val="none"/>
              </w:rPr>
            </w:pPr>
            <w:r>
              <w:rPr>
                <w:rFonts w:hint="eastAsia"/>
                <w:color w:val="auto"/>
                <w:highlight w:val="none"/>
              </w:rPr>
              <w:t xml:space="preserve">12套启闭机共用1套PLC控制柜</w:t>
            </w:r>
            <w:r/>
          </w:p>
        </w:tc>
      </w:tr>
      <w:tr>
        <w:trPr>
          <w:jc w:val="center"/>
          <w:trHeight w:val="640"/>
        </w:trPr>
        <w:tc>
          <w:tcPr>
            <w:shd w:val="clear" w:color="auto" w:fill="auto"/>
            <w:tcW w:w="423" w:type="pct"/>
            <w:vAlign w:val="center"/>
            <w:textDirection w:val="lrTb"/>
            <w:noWrap w:val="false"/>
          </w:tcPr>
          <w:p>
            <w:pPr>
              <w:pStyle w:val="1224"/>
              <w:widowControl w:val="off"/>
              <w:rPr>
                <w:color w:val="auto"/>
                <w:highlight w:val="none"/>
              </w:rPr>
            </w:pPr>
            <w:r>
              <w:rPr>
                <w:rFonts w:hint="eastAsia"/>
                <w:color w:val="auto"/>
                <w:highlight w:val="none"/>
              </w:rPr>
              <w:t xml:space="preserve">5</w:t>
            </w:r>
            <w:r/>
          </w:p>
        </w:tc>
        <w:tc>
          <w:tcPr>
            <w:shd w:val="clear" w:color="auto" w:fill="auto"/>
            <w:tcW w:w="895" w:type="pct"/>
            <w:vAlign w:val="center"/>
            <w:textDirection w:val="lrTb"/>
            <w:noWrap w:val="false"/>
          </w:tcPr>
          <w:p>
            <w:pPr>
              <w:pStyle w:val="1224"/>
              <w:jc w:val="left"/>
              <w:widowControl w:val="off"/>
              <w:rPr>
                <w:color w:val="auto"/>
                <w:highlight w:val="none"/>
              </w:rPr>
            </w:pPr>
            <w:r>
              <w:rPr>
                <w:rFonts w:hint="eastAsia"/>
                <w:color w:val="auto"/>
                <w:highlight w:val="none"/>
              </w:rPr>
              <w:t xml:space="preserve">改造动力柜 </w:t>
            </w:r>
            <w:r/>
          </w:p>
        </w:tc>
        <w:tc>
          <w:tcPr>
            <w:shd w:val="clear" w:color="auto" w:fill="auto"/>
            <w:tcW w:w="2281" w:type="pct"/>
            <w:vAlign w:val="center"/>
            <w:textDirection w:val="lrTb"/>
            <w:noWrap w:val="false"/>
          </w:tcPr>
          <w:p>
            <w:pPr>
              <w:pStyle w:val="1224"/>
              <w:jc w:val="left"/>
              <w:widowControl w:val="off"/>
              <w:rPr>
                <w:color w:val="auto"/>
                <w:highlight w:val="none"/>
              </w:rPr>
            </w:pPr>
            <w:r>
              <w:rPr>
                <w:rFonts w:hint="eastAsia"/>
                <w:color w:val="auto"/>
                <w:highlight w:val="none"/>
              </w:rPr>
              <w:t xml:space="preserve">更换损坏零部件，根据新控制柜、新控制阀台整理接线等，柜体整体出新。</w:t>
            </w:r>
            <w:r/>
          </w:p>
        </w:tc>
        <w:tc>
          <w:tcPr>
            <w:shd w:val="clear" w:color="auto" w:fill="auto"/>
            <w:tcW w:w="404" w:type="pct"/>
            <w:vAlign w:val="center"/>
            <w:textDirection w:val="lrTb"/>
            <w:noWrap w:val="false"/>
          </w:tcPr>
          <w:p>
            <w:pPr>
              <w:pStyle w:val="1224"/>
              <w:widowControl w:val="off"/>
              <w:rPr>
                <w:color w:val="auto"/>
                <w:highlight w:val="none"/>
              </w:rPr>
            </w:pPr>
            <w:r>
              <w:rPr>
                <w:rFonts w:hint="eastAsia"/>
                <w:color w:val="auto"/>
                <w:highlight w:val="none"/>
              </w:rPr>
              <w:t xml:space="preserve">1套</w:t>
            </w:r>
            <w:r/>
          </w:p>
        </w:tc>
        <w:tc>
          <w:tcPr>
            <w:shd w:val="clear" w:color="auto" w:fill="auto"/>
            <w:tcW w:w="994" w:type="pct"/>
            <w:vAlign w:val="center"/>
            <w:textDirection w:val="lrTb"/>
            <w:noWrap w:val="false"/>
          </w:tcPr>
          <w:p>
            <w:pPr>
              <w:pStyle w:val="1224"/>
              <w:jc w:val="left"/>
              <w:widowControl w:val="off"/>
              <w:rPr>
                <w:color w:val="auto"/>
                <w:highlight w:val="none"/>
              </w:rPr>
            </w:pPr>
            <w:r>
              <w:rPr>
                <w:rFonts w:hint="eastAsia"/>
                <w:color w:val="auto"/>
                <w:highlight w:val="none"/>
              </w:rPr>
              <w:t xml:space="preserve">12套启闭机共用1套动力柜</w:t>
            </w:r>
            <w:r/>
          </w:p>
        </w:tc>
      </w:tr>
      <w:tr>
        <w:trPr>
          <w:jc w:val="center"/>
          <w:trHeight w:val="90"/>
        </w:trPr>
        <w:tc>
          <w:tcPr>
            <w:gridSpan w:val="5"/>
            <w:shd w:val="clear" w:color="auto" w:fill="auto"/>
            <w:tcW w:w="5000" w:type="pct"/>
            <w:vAlign w:val="center"/>
            <w:textDirection w:val="lrTb"/>
            <w:noWrap w:val="false"/>
          </w:tcPr>
          <w:p>
            <w:pPr>
              <w:pStyle w:val="1224"/>
              <w:widowControl w:val="off"/>
              <w:rPr>
                <w:color w:val="auto"/>
                <w:highlight w:val="none"/>
              </w:rPr>
            </w:pPr>
            <w:r>
              <w:rPr>
                <w:rFonts w:hint="eastAsia"/>
                <w:b/>
                <w:bCs/>
                <w:color w:val="auto"/>
                <w:highlight w:val="none"/>
              </w:rPr>
              <w:t xml:space="preserve">三、节制闸、泵站液压油</w:t>
            </w:r>
            <w:r/>
          </w:p>
        </w:tc>
      </w:tr>
      <w:tr>
        <w:trPr>
          <w:jc w:val="center"/>
          <w:trHeight w:val="454"/>
        </w:trPr>
        <w:tc>
          <w:tcPr>
            <w:shd w:val="clear" w:color="auto" w:fill="auto"/>
            <w:tcW w:w="423" w:type="pct"/>
            <w:vAlign w:val="center"/>
            <w:textDirection w:val="lrTb"/>
            <w:noWrap w:val="false"/>
          </w:tcPr>
          <w:p>
            <w:pPr>
              <w:pStyle w:val="1224"/>
              <w:widowControl w:val="off"/>
              <w:rPr>
                <w:color w:val="auto"/>
                <w:highlight w:val="none"/>
              </w:rPr>
            </w:pPr>
            <w:r>
              <w:rPr>
                <w:rFonts w:hint="eastAsia"/>
                <w:color w:val="auto"/>
                <w:highlight w:val="none"/>
              </w:rPr>
              <w:t xml:space="preserve">1</w:t>
            </w:r>
            <w:r/>
          </w:p>
        </w:tc>
        <w:tc>
          <w:tcPr>
            <w:shd w:val="clear" w:color="auto" w:fill="auto"/>
            <w:tcW w:w="895" w:type="pct"/>
            <w:vAlign w:val="center"/>
            <w:textDirection w:val="lrTb"/>
            <w:noWrap w:val="false"/>
          </w:tcPr>
          <w:p>
            <w:pPr>
              <w:pStyle w:val="1224"/>
              <w:jc w:val="left"/>
              <w:widowControl w:val="off"/>
              <w:rPr>
                <w:color w:val="auto"/>
                <w:highlight w:val="none"/>
              </w:rPr>
            </w:pPr>
            <w:r>
              <w:rPr>
                <w:rFonts w:hint="eastAsia"/>
                <w:color w:val="auto"/>
                <w:highlight w:val="none"/>
              </w:rPr>
              <w:t xml:space="preserve">液压油</w:t>
            </w:r>
            <w:r/>
          </w:p>
        </w:tc>
        <w:tc>
          <w:tcPr>
            <w:shd w:val="clear" w:color="auto" w:fill="auto"/>
            <w:tcW w:w="2281" w:type="pct"/>
            <w:vAlign w:val="center"/>
            <w:textDirection w:val="lrTb"/>
            <w:noWrap w:val="false"/>
          </w:tcPr>
          <w:p>
            <w:pPr>
              <w:pStyle w:val="1224"/>
              <w:jc w:val="left"/>
              <w:widowControl w:val="off"/>
              <w:rPr>
                <w:color w:val="auto"/>
                <w:highlight w:val="none"/>
              </w:rPr>
            </w:pPr>
            <w:r>
              <w:rPr>
                <w:rFonts w:hint="eastAsia"/>
                <w:color w:val="auto"/>
                <w:highlight w:val="none"/>
              </w:rPr>
              <w:t xml:space="preserve">L-HM46抗磨液压油，200L/桶，约52桶</w:t>
            </w:r>
            <w:r/>
          </w:p>
        </w:tc>
        <w:tc>
          <w:tcPr>
            <w:shd w:val="clear" w:color="auto" w:fill="auto"/>
            <w:tcW w:w="404" w:type="pct"/>
            <w:vAlign w:val="center"/>
            <w:textDirection w:val="lrTb"/>
            <w:noWrap w:val="false"/>
          </w:tcPr>
          <w:p>
            <w:pPr>
              <w:pStyle w:val="1224"/>
              <w:widowControl w:val="off"/>
              <w:rPr>
                <w:color w:val="auto"/>
                <w:highlight w:val="none"/>
              </w:rPr>
            </w:pPr>
            <w:r>
              <w:rPr>
                <w:rFonts w:hint="eastAsia"/>
                <w:color w:val="auto"/>
                <w:highlight w:val="none"/>
              </w:rPr>
              <w:t xml:space="preserve">1项</w:t>
            </w:r>
            <w:r/>
          </w:p>
        </w:tc>
        <w:tc>
          <w:tcPr>
            <w:shd w:val="clear" w:color="auto" w:fill="auto"/>
            <w:tcW w:w="994" w:type="pct"/>
            <w:vAlign w:val="center"/>
            <w:textDirection w:val="lrTb"/>
            <w:noWrap w:val="false"/>
          </w:tcPr>
          <w:p>
            <w:pPr>
              <w:pStyle w:val="1224"/>
              <w:jc w:val="left"/>
              <w:widowControl w:val="off"/>
              <w:rPr>
                <w:color w:val="auto"/>
                <w:highlight w:val="none"/>
              </w:rPr>
            </w:pPr>
            <w:r>
              <w:rPr>
                <w:color w:val="auto"/>
                <w:highlight w:val="none"/>
              </w:rPr>
            </w:r>
            <w:r/>
          </w:p>
        </w:tc>
      </w:tr>
      <w:tr>
        <w:trPr>
          <w:jc w:val="center"/>
          <w:trHeight w:val="811"/>
        </w:trPr>
        <w:tc>
          <w:tcPr>
            <w:gridSpan w:val="5"/>
            <w:shd w:val="clear" w:color="auto" w:fill="auto"/>
            <w:tcW w:w="5000" w:type="pct"/>
            <w:vAlign w:val="center"/>
            <w:textDirection w:val="lrTb"/>
            <w:noWrap w:val="false"/>
          </w:tcPr>
          <w:p>
            <w:pPr>
              <w:pStyle w:val="1224"/>
              <w:widowControl w:val="off"/>
              <w:rPr>
                <w:color w:val="auto"/>
                <w:highlight w:val="none"/>
              </w:rPr>
            </w:pPr>
            <w:r/>
            <w:bookmarkStart w:id="18" w:name="OLE_LINK1"/>
            <w:r/>
            <w:bookmarkStart w:id="19" w:name="OLE_LINK2"/>
            <w:r>
              <w:rPr>
                <w:rFonts w:hint="eastAsia"/>
                <w:b/>
                <w:bCs/>
                <w:color w:val="auto"/>
                <w:highlight w:val="none"/>
              </w:rPr>
              <w:t xml:space="preserve">四、启闭机在线监测</w:t>
            </w:r>
            <w:bookmarkEnd w:id="18"/>
            <w:r/>
            <w:bookmarkEnd w:id="19"/>
            <w:r/>
            <w:r/>
          </w:p>
        </w:tc>
      </w:tr>
      <w:tr>
        <w:trPr>
          <w:jc w:val="center"/>
          <w:trHeight w:val="454"/>
        </w:trPr>
        <w:tc>
          <w:tcPr>
            <w:shd w:val="clear" w:color="auto" w:fill="auto"/>
            <w:tcW w:w="423" w:type="pct"/>
            <w:vAlign w:val="center"/>
            <w:textDirection w:val="lrTb"/>
            <w:noWrap w:val="false"/>
          </w:tcPr>
          <w:p>
            <w:pPr>
              <w:pStyle w:val="1224"/>
              <w:widowControl w:val="off"/>
              <w:rPr>
                <w:color w:val="auto"/>
                <w:highlight w:val="none"/>
              </w:rPr>
            </w:pPr>
            <w:r>
              <w:rPr>
                <w:rFonts w:hint="eastAsia"/>
                <w:color w:val="auto"/>
                <w:highlight w:val="none"/>
              </w:rPr>
              <w:t xml:space="preserve">1</w:t>
            </w:r>
            <w:r/>
          </w:p>
        </w:tc>
        <w:tc>
          <w:tcPr>
            <w:shd w:val="clear" w:color="auto" w:fill="auto"/>
            <w:tcW w:w="895" w:type="pct"/>
            <w:vAlign w:val="center"/>
            <w:textDirection w:val="lrTb"/>
            <w:noWrap w:val="false"/>
          </w:tcPr>
          <w:p>
            <w:pPr>
              <w:pStyle w:val="1224"/>
              <w:jc w:val="left"/>
              <w:widowControl w:val="off"/>
              <w:rPr>
                <w:color w:val="auto"/>
                <w:highlight w:val="none"/>
              </w:rPr>
            </w:pPr>
            <w:r>
              <w:rPr>
                <w:rFonts w:hint="eastAsia"/>
                <w:color w:val="auto"/>
                <w:highlight w:val="none"/>
              </w:rPr>
              <w:t xml:space="preserve">启闭机在线监测设备</w:t>
            </w:r>
            <w:r/>
          </w:p>
        </w:tc>
        <w:tc>
          <w:tcPr>
            <w:shd w:val="clear" w:color="auto" w:fill="auto"/>
            <w:tcW w:w="2281" w:type="pct"/>
            <w:vAlign w:val="center"/>
            <w:textDirection w:val="lrTb"/>
            <w:noWrap w:val="false"/>
          </w:tcPr>
          <w:p>
            <w:pPr>
              <w:pStyle w:val="1224"/>
              <w:jc w:val="left"/>
              <w:widowControl w:val="off"/>
              <w:rPr>
                <w:color w:val="auto"/>
                <w:highlight w:val="none"/>
              </w:rPr>
            </w:pPr>
            <w:r>
              <w:rPr>
                <w:rFonts w:hint="eastAsia"/>
                <w:color w:val="auto"/>
                <w:highlight w:val="none"/>
              </w:rPr>
              <w:t xml:space="preserve">在线监测设备（7个传感器+2个采集箱）</w:t>
            </w:r>
            <w:r/>
          </w:p>
        </w:tc>
        <w:tc>
          <w:tcPr>
            <w:shd w:val="clear" w:color="auto" w:fill="auto"/>
            <w:tcW w:w="404" w:type="pct"/>
            <w:vAlign w:val="center"/>
            <w:textDirection w:val="lrTb"/>
            <w:noWrap w:val="false"/>
          </w:tcPr>
          <w:p>
            <w:pPr>
              <w:pStyle w:val="1224"/>
              <w:widowControl w:val="off"/>
              <w:rPr>
                <w:color w:val="auto"/>
                <w:highlight w:val="none"/>
              </w:rPr>
            </w:pPr>
            <w:r>
              <w:rPr>
                <w:rFonts w:hint="eastAsia"/>
                <w:color w:val="auto"/>
                <w:highlight w:val="none"/>
              </w:rPr>
              <w:t xml:space="preserve">1项</w:t>
            </w:r>
            <w:r/>
          </w:p>
        </w:tc>
        <w:tc>
          <w:tcPr>
            <w:shd w:val="clear" w:color="auto" w:fill="auto"/>
            <w:tcW w:w="994" w:type="pct"/>
            <w:vAlign w:val="center"/>
            <w:textDirection w:val="lrTb"/>
            <w:noWrap w:val="false"/>
          </w:tcPr>
          <w:p>
            <w:pPr>
              <w:pStyle w:val="1224"/>
              <w:widowControl w:val="off"/>
              <w:rPr>
                <w:color w:val="auto"/>
                <w:highlight w:val="none"/>
              </w:rPr>
            </w:pPr>
            <w:r>
              <w:rPr>
                <w:color w:val="auto"/>
                <w:highlight w:val="none"/>
              </w:rPr>
            </w:r>
            <w:r/>
          </w:p>
        </w:tc>
      </w:tr>
      <w:tr>
        <w:trPr>
          <w:jc w:val="center"/>
          <w:trHeight w:val="710"/>
        </w:trPr>
        <w:tc>
          <w:tcPr>
            <w:shd w:val="clear" w:color="auto" w:fill="auto"/>
            <w:tcW w:w="423" w:type="pct"/>
            <w:vAlign w:val="center"/>
            <w:textDirection w:val="lrTb"/>
            <w:noWrap w:val="false"/>
          </w:tcPr>
          <w:p>
            <w:pPr>
              <w:pStyle w:val="1224"/>
              <w:widowControl w:val="off"/>
              <w:rPr>
                <w:color w:val="auto"/>
                <w:highlight w:val="none"/>
              </w:rPr>
            </w:pPr>
            <w:r>
              <w:rPr>
                <w:rFonts w:hint="eastAsia"/>
                <w:color w:val="auto"/>
                <w:highlight w:val="none"/>
              </w:rPr>
              <w:t xml:space="preserve">2</w:t>
            </w:r>
            <w:r/>
          </w:p>
        </w:tc>
        <w:tc>
          <w:tcPr>
            <w:shd w:val="clear" w:color="auto" w:fill="auto"/>
            <w:tcW w:w="895" w:type="pct"/>
            <w:vAlign w:val="center"/>
            <w:textDirection w:val="lrTb"/>
            <w:noWrap w:val="false"/>
          </w:tcPr>
          <w:p>
            <w:pPr>
              <w:pStyle w:val="1224"/>
              <w:jc w:val="left"/>
              <w:widowControl w:val="off"/>
              <w:rPr>
                <w:color w:val="auto"/>
                <w:highlight w:val="none"/>
              </w:rPr>
            </w:pPr>
            <w:r/>
            <w:bookmarkStart w:id="20" w:name="OLE_LINK8"/>
            <w:r/>
            <w:bookmarkStart w:id="21" w:name="OLE_LINK7"/>
            <w:r>
              <w:rPr>
                <w:rFonts w:hint="eastAsia"/>
                <w:color w:val="auto"/>
                <w:highlight w:val="none"/>
              </w:rPr>
              <w:t xml:space="preserve">启闭机在线监测专用软件</w:t>
            </w:r>
            <w:bookmarkEnd w:id="20"/>
            <w:r/>
            <w:bookmarkEnd w:id="21"/>
            <w:r/>
            <w:r/>
          </w:p>
        </w:tc>
        <w:tc>
          <w:tcPr>
            <w:shd w:val="clear" w:color="auto" w:fill="auto"/>
            <w:tcW w:w="2281" w:type="pct"/>
            <w:vAlign w:val="center"/>
            <w:textDirection w:val="lrTb"/>
            <w:noWrap w:val="false"/>
          </w:tcPr>
          <w:p>
            <w:pPr>
              <w:pStyle w:val="1224"/>
              <w:jc w:val="left"/>
              <w:widowControl w:val="off"/>
              <w:rPr>
                <w:color w:val="auto"/>
                <w:highlight w:val="none"/>
              </w:rPr>
            </w:pPr>
            <w:r>
              <w:rPr>
                <w:rFonts w:hint="eastAsia"/>
                <w:color w:val="auto"/>
                <w:highlight w:val="none"/>
              </w:rPr>
              <w:t xml:space="preserve">基于组态软件二次开发，可展示各监测项数据，并交联现有控制上位机中液压启闭机相关数据</w:t>
            </w:r>
            <w:r/>
          </w:p>
        </w:tc>
        <w:tc>
          <w:tcPr>
            <w:shd w:val="clear" w:color="auto" w:fill="auto"/>
            <w:tcW w:w="404" w:type="pct"/>
            <w:vAlign w:val="center"/>
            <w:textDirection w:val="lrTb"/>
            <w:noWrap w:val="false"/>
          </w:tcPr>
          <w:p>
            <w:pPr>
              <w:pStyle w:val="1224"/>
              <w:widowControl w:val="off"/>
              <w:rPr>
                <w:color w:val="auto"/>
                <w:highlight w:val="none"/>
              </w:rPr>
            </w:pPr>
            <w:r>
              <w:rPr>
                <w:rFonts w:hint="eastAsia"/>
                <w:color w:val="auto"/>
                <w:highlight w:val="none"/>
              </w:rPr>
              <w:t xml:space="preserve">1项</w:t>
            </w:r>
            <w:r/>
          </w:p>
        </w:tc>
        <w:tc>
          <w:tcPr>
            <w:shd w:val="clear" w:color="auto" w:fill="auto"/>
            <w:tcW w:w="994" w:type="pct"/>
            <w:vAlign w:val="center"/>
            <w:textDirection w:val="lrTb"/>
            <w:noWrap w:val="false"/>
          </w:tcPr>
          <w:p>
            <w:pPr>
              <w:pStyle w:val="1224"/>
              <w:widowControl w:val="off"/>
              <w:rPr>
                <w:color w:val="auto"/>
                <w:highlight w:val="none"/>
              </w:rPr>
            </w:pPr>
            <w:r>
              <w:rPr>
                <w:rFonts w:hint="eastAsia"/>
                <w:color w:val="auto"/>
                <w:highlight w:val="none"/>
              </w:rPr>
              <w:t xml:space="preserve">含启闭机监测上位机费用及与现有控制上位机衔接费用</w:t>
            </w:r>
            <w:r/>
          </w:p>
        </w:tc>
      </w:tr>
      <w:tr>
        <w:trPr>
          <w:jc w:val="center"/>
          <w:trHeight w:val="1020"/>
        </w:trPr>
        <w:tc>
          <w:tcPr>
            <w:shd w:val="clear" w:color="auto" w:fill="auto"/>
            <w:tcW w:w="423" w:type="pct"/>
            <w:vAlign w:val="center"/>
            <w:textDirection w:val="lrTb"/>
            <w:noWrap w:val="false"/>
          </w:tcPr>
          <w:p>
            <w:pPr>
              <w:pStyle w:val="1224"/>
              <w:widowControl w:val="off"/>
              <w:rPr>
                <w:color w:val="auto"/>
                <w:highlight w:val="none"/>
              </w:rPr>
            </w:pPr>
            <w:r>
              <w:rPr>
                <w:rFonts w:hint="eastAsia"/>
                <w:color w:val="auto"/>
                <w:highlight w:val="none"/>
              </w:rPr>
              <w:t xml:space="preserve">3</w:t>
            </w:r>
            <w:r/>
          </w:p>
        </w:tc>
        <w:tc>
          <w:tcPr>
            <w:shd w:val="clear" w:color="auto" w:fill="auto"/>
            <w:tcW w:w="895" w:type="pct"/>
            <w:vAlign w:val="center"/>
            <w:textDirection w:val="lrTb"/>
            <w:noWrap w:val="false"/>
          </w:tcPr>
          <w:p>
            <w:pPr>
              <w:pStyle w:val="1224"/>
              <w:jc w:val="left"/>
              <w:widowControl w:val="off"/>
              <w:rPr>
                <w:color w:val="auto"/>
                <w:highlight w:val="none"/>
              </w:rPr>
            </w:pPr>
            <w:r>
              <w:rPr>
                <w:rFonts w:hint="eastAsia"/>
                <w:color w:val="auto"/>
                <w:highlight w:val="none"/>
              </w:rPr>
              <w:t xml:space="preserve">启闭机在线监测专用上位机（硬件）</w:t>
            </w:r>
            <w:r/>
          </w:p>
        </w:tc>
        <w:tc>
          <w:tcPr>
            <w:shd w:val="clear" w:color="auto" w:fill="auto"/>
            <w:tcW w:w="2281" w:type="pct"/>
            <w:vAlign w:val="center"/>
            <w:textDirection w:val="lrTb"/>
            <w:noWrap w:val="false"/>
          </w:tcPr>
          <w:p>
            <w:pPr>
              <w:pStyle w:val="1224"/>
              <w:jc w:val="left"/>
              <w:widowControl w:val="off"/>
              <w:rPr>
                <w:color w:val="auto"/>
                <w:highlight w:val="none"/>
              </w:rPr>
            </w:pPr>
            <w:r>
              <w:rPr>
                <w:rFonts w:hint="eastAsia"/>
                <w:color w:val="auto"/>
                <w:highlight w:val="none"/>
              </w:rPr>
              <w:t xml:space="preserve">安装启闭机在线监测专用软件，集中展示液压系统相关实时监测数据，具体报警、历史数据查询相关功能</w:t>
            </w:r>
            <w:r/>
          </w:p>
        </w:tc>
        <w:tc>
          <w:tcPr>
            <w:shd w:val="clear" w:color="auto" w:fill="auto"/>
            <w:tcW w:w="404" w:type="pct"/>
            <w:vAlign w:val="center"/>
            <w:textDirection w:val="lrTb"/>
            <w:noWrap w:val="false"/>
          </w:tcPr>
          <w:p>
            <w:pPr>
              <w:pStyle w:val="1224"/>
              <w:widowControl w:val="off"/>
              <w:rPr>
                <w:color w:val="auto"/>
                <w:highlight w:val="none"/>
              </w:rPr>
            </w:pPr>
            <w:r>
              <w:rPr>
                <w:rFonts w:hint="eastAsia"/>
                <w:color w:val="auto"/>
                <w:highlight w:val="none"/>
              </w:rPr>
              <w:t xml:space="preserve">1项</w:t>
            </w:r>
            <w:r/>
          </w:p>
        </w:tc>
        <w:tc>
          <w:tcPr>
            <w:shd w:val="clear" w:color="auto" w:fill="auto"/>
            <w:tcW w:w="994" w:type="pct"/>
            <w:vAlign w:val="center"/>
            <w:textDirection w:val="lrTb"/>
            <w:noWrap w:val="false"/>
          </w:tcPr>
          <w:p>
            <w:pPr>
              <w:pStyle w:val="1224"/>
              <w:widowControl w:val="off"/>
              <w:rPr>
                <w:color w:val="auto"/>
                <w:highlight w:val="none"/>
              </w:rPr>
            </w:pPr>
            <w:r>
              <w:rPr>
                <w:rFonts w:hint="eastAsia"/>
                <w:color w:val="auto"/>
                <w:highlight w:val="none"/>
              </w:rPr>
              <w:t xml:space="preserve">该上位机专用于启闭机监测，启闭机控制上位机利旧；含2台上位机（硬件）、2台业务工作站</w:t>
            </w:r>
            <w:r/>
          </w:p>
        </w:tc>
      </w:tr>
      <w:tr>
        <w:trPr>
          <w:jc w:val="center"/>
          <w:trHeight w:val="1020"/>
        </w:trPr>
        <w:tc>
          <w:tcPr>
            <w:gridSpan w:val="5"/>
            <w:shd w:val="clear" w:color="auto" w:fill="auto"/>
            <w:tcW w:w="5000" w:type="pct"/>
            <w:vAlign w:val="center"/>
            <w:textDirection w:val="lrTb"/>
            <w:noWrap w:val="false"/>
          </w:tcPr>
          <w:p>
            <w:pPr>
              <w:pStyle w:val="1224"/>
              <w:jc w:val="both"/>
              <w:spacing w:after="0" w:line="400" w:lineRule="exact"/>
              <w:widowControl w:val="off"/>
              <w:rPr>
                <w:color w:val="auto"/>
                <w:highlight w:val="none"/>
              </w:rPr>
            </w:pPr>
            <w:r>
              <w:rPr>
                <w:rFonts w:hint="eastAsia"/>
                <w:color w:val="auto"/>
                <w:highlight w:val="none"/>
              </w:rPr>
              <w:t xml:space="preserve">备注：</w:t>
            </w:r>
            <w:r/>
          </w:p>
          <w:p>
            <w:pPr>
              <w:pStyle w:val="1224"/>
              <w:jc w:val="left"/>
              <w:spacing w:after="0" w:line="400" w:lineRule="exact"/>
              <w:widowControl w:val="off"/>
              <w:rPr>
                <w:b/>
                <w:color w:val="auto"/>
                <w:highlight w:val="none"/>
              </w:rPr>
            </w:pPr>
            <w:r>
              <w:rPr>
                <w:rFonts w:hint="eastAsia"/>
                <w:color w:val="auto"/>
                <w:highlight w:val="none"/>
              </w:rPr>
              <w:t xml:space="preserve">1、拆除换下的节制闸旧油缸，就近转运至采购人指定地点</w:t>
            </w:r>
            <w:bookmarkStart w:id="22" w:name="OLE_LINK53"/>
            <w:r/>
            <w:bookmarkStart w:id="23" w:name="OLE_LINK54"/>
            <w:r>
              <w:rPr>
                <w:rFonts w:hint="eastAsia"/>
                <w:color w:val="auto"/>
                <w:highlight w:val="none"/>
              </w:rPr>
              <w:t xml:space="preserve">（</w:t>
            </w:r>
            <w:r>
              <w:rPr>
                <w:rFonts w:hint="eastAsia"/>
                <w:color w:val="auto"/>
                <w:highlight w:val="none"/>
                <w:lang w:val="en-US" w:eastAsia="zh-CN"/>
              </w:rPr>
              <w:t xml:space="preserve">项目</w:t>
            </w:r>
            <w:r>
              <w:rPr>
                <w:rFonts w:hint="eastAsia"/>
                <w:color w:val="auto"/>
                <w:highlight w:val="none"/>
              </w:rPr>
              <w:t xml:space="preserve">所在地附近）</w:t>
            </w:r>
            <w:bookmarkEnd w:id="22"/>
            <w:r/>
            <w:bookmarkEnd w:id="23"/>
            <w:r>
              <w:rPr>
                <w:rFonts w:hint="eastAsia"/>
                <w:color w:val="auto"/>
                <w:highlight w:val="none"/>
              </w:rPr>
              <w:t xml:space="preserve">拆解复测后</w:t>
            </w:r>
            <w:bookmarkStart w:id="24" w:name="OLE_LINK51"/>
            <w:r/>
            <w:bookmarkStart w:id="25" w:name="OLE_LINK52"/>
            <w:r>
              <w:rPr>
                <w:rFonts w:hint="eastAsia"/>
                <w:color w:val="auto"/>
                <w:highlight w:val="none"/>
              </w:rPr>
              <w:t xml:space="preserve">报废并</w:t>
            </w:r>
            <w:bookmarkEnd w:id="24"/>
            <w:r/>
            <w:bookmarkEnd w:id="25"/>
            <w:r>
              <w:rPr>
                <w:rFonts w:hint="eastAsia"/>
                <w:color w:val="auto"/>
                <w:highlight w:val="none"/>
              </w:rPr>
              <w:t xml:space="preserve">存放；泵站油缸利旧返修处理，活塞杆更换，旧活塞杆运至采购人指定地点（</w:t>
            </w:r>
            <w:r>
              <w:rPr>
                <w:rFonts w:hint="eastAsia"/>
                <w:color w:val="auto"/>
                <w:highlight w:val="none"/>
                <w:lang w:val="en-US" w:eastAsia="zh-CN"/>
              </w:rPr>
              <w:t xml:space="preserve">项目</w:t>
            </w:r>
            <w:r>
              <w:rPr>
                <w:rFonts w:hint="eastAsia"/>
                <w:color w:val="auto"/>
                <w:highlight w:val="none"/>
              </w:rPr>
              <w:t xml:space="preserve">所在地附近）报废并存放；旧阀组等小型构件可临时存放在</w:t>
            </w:r>
            <w:r>
              <w:rPr>
                <w:rFonts w:hint="eastAsia"/>
                <w:color w:val="auto"/>
                <w:highlight w:val="none"/>
                <w:lang w:val="en-US" w:eastAsia="zh-CN"/>
              </w:rPr>
              <w:t xml:space="preserve">项目</w:t>
            </w:r>
            <w:r>
              <w:rPr>
                <w:rFonts w:hint="eastAsia"/>
                <w:color w:val="auto"/>
                <w:highlight w:val="none"/>
              </w:rPr>
              <w:t xml:space="preserve">现场，后期统一运至采购人指定地点（</w:t>
            </w:r>
            <w:r>
              <w:rPr>
                <w:rFonts w:hint="eastAsia"/>
                <w:color w:val="auto"/>
                <w:highlight w:val="none"/>
                <w:lang w:val="en-US" w:eastAsia="zh-CN"/>
              </w:rPr>
              <w:t xml:space="preserve">项目</w:t>
            </w:r>
            <w:r>
              <w:rPr>
                <w:rFonts w:hint="eastAsia"/>
                <w:color w:val="auto"/>
                <w:highlight w:val="none"/>
              </w:rPr>
              <w:t xml:space="preserve">所在地附近）报废并存放。</w:t>
            </w:r>
            <w:r>
              <w:rPr>
                <w:rFonts w:hint="eastAsia"/>
                <w:b/>
                <w:color w:val="auto"/>
                <w:highlight w:val="none"/>
              </w:rPr>
              <w:t xml:space="preserve">其中现场装车装卸由供应商承担，运输及厂内装卸由液压设备制造商承担。</w:t>
            </w:r>
            <w:r/>
          </w:p>
          <w:p>
            <w:pPr>
              <w:pStyle w:val="1224"/>
              <w:jc w:val="left"/>
              <w:spacing w:after="0" w:line="400" w:lineRule="exact"/>
              <w:widowControl w:val="off"/>
              <w:rPr>
                <w:color w:val="auto"/>
                <w:highlight w:val="none"/>
              </w:rPr>
            </w:pPr>
            <w:r>
              <w:rPr>
                <w:rFonts w:hint="eastAsia"/>
                <w:color w:val="auto"/>
                <w:highlight w:val="none"/>
              </w:rPr>
              <w:t xml:space="preserve">2、节制闸、泵站液压设备采取分批次生产制造模式，设备供应商须按批次逐一组织厂内出厂验收。</w:t>
            </w:r>
            <w:r/>
          </w:p>
          <w:p>
            <w:pPr>
              <w:pStyle w:val="1224"/>
              <w:jc w:val="left"/>
              <w:spacing w:after="0" w:line="400" w:lineRule="exact"/>
              <w:widowControl w:val="off"/>
              <w:rPr>
                <w:b/>
                <w:bCs/>
                <w:color w:val="auto"/>
                <w:highlight w:val="none"/>
              </w:rPr>
            </w:pPr>
            <w:r>
              <w:rPr>
                <w:rFonts w:hint="eastAsia"/>
                <w:b/>
                <w:bCs/>
                <w:color w:val="auto"/>
                <w:highlight w:val="none"/>
              </w:rPr>
              <w:t xml:space="preserve">3、本表仅体现主要设备</w:t>
            </w:r>
            <w:r>
              <w:rPr>
                <w:rFonts w:hint="eastAsia"/>
                <w:b/>
                <w:bCs/>
                <w:color w:val="auto"/>
                <w:highlight w:val="none"/>
                <w:lang w:val="en-US" w:eastAsia="zh-CN"/>
              </w:rPr>
              <w:t xml:space="preserve">清单</w:t>
            </w:r>
            <w:r>
              <w:rPr>
                <w:rFonts w:hint="eastAsia"/>
                <w:b/>
                <w:bCs/>
                <w:color w:val="auto"/>
                <w:highlight w:val="none"/>
              </w:rPr>
              <w:t xml:space="preserve">，具体以</w:t>
            </w:r>
            <w:r>
              <w:rPr>
                <w:rFonts w:hint="eastAsia"/>
                <w:b/>
                <w:bCs/>
                <w:color w:val="auto"/>
                <w:highlight w:val="none"/>
                <w:lang w:val="en-US" w:eastAsia="zh-CN"/>
              </w:rPr>
              <w:t xml:space="preserve">招标</w:t>
            </w:r>
            <w:r>
              <w:rPr>
                <w:rFonts w:hint="eastAsia"/>
                <w:b/>
                <w:bCs/>
                <w:color w:val="auto"/>
                <w:highlight w:val="none"/>
              </w:rPr>
              <w:t xml:space="preserve">清单为准。节制闸廊道内液压管路新制的管夹、支架及弯头数量应由现场实测确定。</w:t>
            </w:r>
            <w:r/>
          </w:p>
          <w:p>
            <w:pPr>
              <w:pStyle w:val="1224"/>
              <w:jc w:val="left"/>
              <w:spacing w:after="0" w:line="400" w:lineRule="exact"/>
              <w:widowControl w:val="off"/>
              <w:rPr>
                <w:b/>
                <w:bCs/>
                <w:color w:val="auto"/>
                <w:highlight w:val="none"/>
              </w:rPr>
            </w:pPr>
            <w:r>
              <w:rPr>
                <w:rFonts w:hint="eastAsia"/>
                <w:b/>
                <w:bCs/>
                <w:color w:val="auto"/>
                <w:highlight w:val="none"/>
              </w:rPr>
              <w:t xml:space="preserve">4、液压启闭设备要求，具体详见《江尖水利枢纽液压系统维修改造</w:t>
            </w:r>
            <w:r>
              <w:rPr>
                <w:rFonts w:hint="eastAsia"/>
                <w:b/>
                <w:bCs/>
                <w:color w:val="auto"/>
                <w:highlight w:val="none"/>
                <w:lang w:val="en-US" w:eastAsia="zh-CN"/>
              </w:rPr>
              <w:t xml:space="preserve">项目</w:t>
            </w:r>
            <w:r>
              <w:rPr>
                <w:rFonts w:hint="eastAsia"/>
                <w:b/>
                <w:bCs/>
                <w:color w:val="auto"/>
                <w:highlight w:val="none"/>
              </w:rPr>
              <w:t xml:space="preserve">液压设备招标采购技术细则》。</w:t>
            </w:r>
            <w:r/>
          </w:p>
          <w:p>
            <w:pPr>
              <w:pStyle w:val="1224"/>
              <w:jc w:val="left"/>
              <w:spacing w:after="0" w:line="400" w:lineRule="exact"/>
              <w:widowControl w:val="off"/>
              <w:rPr>
                <w:b/>
                <w:bCs/>
                <w:color w:val="auto"/>
                <w:highlight w:val="none"/>
              </w:rPr>
            </w:pPr>
            <w:r>
              <w:rPr>
                <w:rFonts w:hint="eastAsia"/>
                <w:b/>
                <w:bCs/>
                <w:color w:val="auto"/>
                <w:highlight w:val="none"/>
              </w:rPr>
              <w:t xml:space="preserve">5、其他施工安装项，应满足国家或水利水电行业相关标准。</w:t>
            </w:r>
            <w:r/>
          </w:p>
          <w:p>
            <w:pPr>
              <w:pStyle w:val="1224"/>
              <w:jc w:val="left"/>
              <w:spacing w:after="0" w:line="400" w:lineRule="exact"/>
              <w:widowControl w:val="off"/>
              <w:rPr>
                <w:b/>
                <w:bCs/>
                <w:color w:val="auto"/>
                <w:highlight w:val="none"/>
              </w:rPr>
            </w:pPr>
            <w:r>
              <w:rPr>
                <w:rFonts w:hint="eastAsia"/>
                <w:b/>
                <w:bCs/>
                <w:color w:val="auto"/>
                <w:highlight w:val="none"/>
                <w:u w:val="single"/>
              </w:rPr>
              <w:t xml:space="preserve">6、投标供应商向采购人提供液压启闭设备制造商的授权书，</w:t>
            </w:r>
            <w:r>
              <w:rPr>
                <w:b/>
                <w:bCs/>
                <w:color w:val="auto"/>
                <w:highlight w:val="none"/>
                <w:u w:val="single"/>
              </w:rPr>
              <w:t xml:space="preserve">液压启闭设备</w:t>
            </w:r>
            <w:r>
              <w:rPr>
                <w:rFonts w:hint="eastAsia"/>
                <w:b/>
                <w:bCs/>
                <w:color w:val="auto"/>
                <w:highlight w:val="none"/>
                <w:u w:val="single"/>
              </w:rPr>
              <w:t xml:space="preserve">制造商</w:t>
            </w:r>
            <w:r>
              <w:rPr>
                <w:b/>
                <w:bCs/>
                <w:color w:val="auto"/>
                <w:highlight w:val="none"/>
                <w:u w:val="single"/>
              </w:rPr>
              <w:t xml:space="preserve">须为具有独立法人资格的生产制造商，具有水利部产品质量监督总站核发的中型及以上液压启闭机设计能力认可（备案）证书</w:t>
            </w:r>
            <w:r>
              <w:rPr>
                <w:rFonts w:hint="eastAsia"/>
                <w:b/>
                <w:bCs/>
                <w:color w:val="auto"/>
                <w:highlight w:val="none"/>
                <w:u w:val="single"/>
              </w:rPr>
              <w:t xml:space="preserve">，授权书或授权委托书及相关证书原件扫描件加盖公章上传至投标文件。</w:t>
            </w:r>
            <w:r>
              <w:rPr>
                <w:rFonts w:hint="eastAsia" w:ascii="宋体" w:hAnsi="宋体"/>
                <w:bCs/>
                <w:color w:val="auto"/>
                <w:sz w:val="24"/>
                <w:szCs w:val="24"/>
                <w:highlight w:val="none"/>
                <w:u w:val="single"/>
              </w:rPr>
              <w:t xml:space="preserve">★</w:t>
            </w:r>
            <w:r/>
          </w:p>
        </w:tc>
      </w:tr>
    </w:tbl>
    <w:p>
      <w:pPr>
        <w:pStyle w:val="1222"/>
        <w:numPr>
          <w:ilvl w:val="2"/>
          <w:numId w:val="0"/>
        </w:numPr>
        <w:rPr>
          <w:rFonts w:ascii="宋体" w:hAnsi="宋体" w:cs="宋体"/>
          <w:b/>
          <w:bCs w:val="0"/>
          <w:color w:val="auto"/>
          <w:szCs w:val="24"/>
          <w:highlight w:val="none"/>
        </w:rPr>
      </w:pPr>
      <w:r>
        <w:rPr>
          <w:rFonts w:hint="eastAsia" w:ascii="宋体" w:hAnsi="宋体" w:cs="宋体"/>
          <w:b/>
          <w:bCs w:val="0"/>
          <w:color w:val="auto"/>
          <w:szCs w:val="24"/>
          <w:highlight w:val="none"/>
        </w:rPr>
        <w:t xml:space="preserve">1.1.2本项目还应提供以下临时设备及服务：</w:t>
      </w:r>
      <w:r/>
    </w:p>
    <w:p>
      <w:pPr>
        <w:pStyle w:val="1221"/>
        <w:numPr>
          <w:ilvl w:val="2"/>
          <w:numId w:val="12"/>
        </w:numPr>
        <w:widowControl w:val="off"/>
        <w:rPr>
          <w:rFonts w:ascii="宋体" w:hAnsi="宋体"/>
          <w:color w:val="auto"/>
          <w:szCs w:val="24"/>
          <w:highlight w:val="none"/>
        </w:rPr>
      </w:pPr>
      <w:r>
        <w:rPr>
          <w:rFonts w:hint="eastAsia" w:ascii="宋体" w:hAnsi="宋体"/>
          <w:color w:val="auto"/>
          <w:szCs w:val="24"/>
          <w:highlight w:val="none"/>
        </w:rPr>
        <w:t xml:space="preserve">现场设备拆解、场内场外设备测绘复测；</w:t>
      </w:r>
      <w:r/>
    </w:p>
    <w:p>
      <w:pPr>
        <w:pStyle w:val="1221"/>
        <w:numPr>
          <w:ilvl w:val="2"/>
          <w:numId w:val="12"/>
        </w:numPr>
        <w:widowControl w:val="off"/>
        <w:rPr>
          <w:rFonts w:ascii="宋体" w:hAnsi="宋体"/>
          <w:color w:val="auto"/>
          <w:szCs w:val="24"/>
          <w:highlight w:val="none"/>
        </w:rPr>
      </w:pPr>
      <w:r>
        <w:rPr>
          <w:rFonts w:hint="eastAsia" w:ascii="宋体" w:hAnsi="宋体"/>
          <w:color w:val="auto"/>
          <w:szCs w:val="24"/>
          <w:highlight w:val="none"/>
        </w:rPr>
        <w:t xml:space="preserve">现场安装调试指导服务，协助管养单位新老设备衔接；</w:t>
      </w:r>
      <w:r/>
    </w:p>
    <w:p>
      <w:pPr>
        <w:pStyle w:val="1221"/>
        <w:numPr>
          <w:ilvl w:val="2"/>
          <w:numId w:val="12"/>
        </w:numPr>
        <w:widowControl w:val="off"/>
        <w:rPr>
          <w:rFonts w:ascii="宋体" w:hAnsi="宋体"/>
          <w:color w:val="auto"/>
          <w:szCs w:val="24"/>
          <w:highlight w:val="none"/>
        </w:rPr>
      </w:pPr>
      <w:r>
        <w:rPr>
          <w:rFonts w:hint="eastAsia" w:ascii="宋体" w:hAnsi="宋体"/>
          <w:color w:val="auto"/>
          <w:szCs w:val="24"/>
          <w:highlight w:val="none"/>
        </w:rPr>
        <w:t xml:space="preserve">现场用于拆卸、临时起吊及转运的小型工装等；</w:t>
      </w:r>
      <w:r/>
    </w:p>
    <w:p>
      <w:pPr>
        <w:pStyle w:val="1221"/>
        <w:numPr>
          <w:ilvl w:val="2"/>
          <w:numId w:val="12"/>
        </w:numPr>
        <w:widowControl w:val="off"/>
        <w:rPr>
          <w:rFonts w:ascii="宋体" w:hAnsi="宋体"/>
          <w:color w:val="auto"/>
          <w:szCs w:val="24"/>
          <w:highlight w:val="none"/>
        </w:rPr>
      </w:pPr>
      <w:r>
        <w:rPr>
          <w:rFonts w:hint="eastAsia" w:ascii="宋体" w:hAnsi="宋体"/>
          <w:color w:val="auto"/>
          <w:szCs w:val="24"/>
          <w:highlight w:val="none"/>
        </w:rPr>
        <w:t xml:space="preserve">用于清洗油箱的循环设备以及用于调试的临时液压动力站；</w:t>
      </w:r>
      <w:r/>
    </w:p>
    <w:p>
      <w:pPr>
        <w:pStyle w:val="1221"/>
        <w:numPr>
          <w:ilvl w:val="2"/>
          <w:numId w:val="12"/>
        </w:numPr>
        <w:widowControl w:val="off"/>
        <w:rPr>
          <w:rFonts w:ascii="宋体" w:hAnsi="宋体"/>
          <w:color w:val="auto"/>
          <w:szCs w:val="24"/>
          <w:highlight w:val="none"/>
        </w:rPr>
      </w:pPr>
      <w:r>
        <w:rPr>
          <w:rFonts w:hint="eastAsia" w:ascii="宋体" w:hAnsi="宋体"/>
          <w:color w:val="auto"/>
          <w:szCs w:val="24"/>
          <w:highlight w:val="none"/>
        </w:rPr>
        <w:t xml:space="preserve">满足设备正常使用的场内场外技术服务。</w:t>
      </w:r>
      <w:r/>
    </w:p>
    <w:p>
      <w:pPr>
        <w:pStyle w:val="1222"/>
        <w:numPr>
          <w:ilvl w:val="2"/>
          <w:numId w:val="0"/>
        </w:numPr>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1.1.3本项目还应提供以下设备：备品备件及专用工具1项。</w:t>
      </w:r>
      <w:r/>
    </w:p>
    <w:p>
      <w:pPr>
        <w:pStyle w:val="1014"/>
        <w:jc w:val="left"/>
        <w:keepNext w:val="0"/>
        <w:spacing w:after="0" w:line="360" w:lineRule="auto"/>
        <w:widowControl w:val="off"/>
        <w:rPr>
          <w:rFonts w:ascii="宋体" w:hAnsi="宋体" w:eastAsia="宋体"/>
          <w:color w:val="auto"/>
          <w:sz w:val="24"/>
          <w:szCs w:val="24"/>
          <w:highlight w:val="none"/>
        </w:rPr>
      </w:pPr>
      <w:r/>
      <w:bookmarkStart w:id="26" w:name="_Toc21272"/>
      <w:r>
        <w:rPr>
          <w:rFonts w:hint="eastAsia" w:ascii="宋体" w:hAnsi="宋体" w:eastAsia="宋体"/>
          <w:color w:val="auto"/>
          <w:sz w:val="24"/>
          <w:szCs w:val="24"/>
          <w:highlight w:val="none"/>
        </w:rPr>
        <w:t xml:space="preserve">1.1.4启闭设备制造中间过程的检查与监督</w:t>
      </w:r>
      <w:r/>
    </w:p>
    <w:p>
      <w:pPr>
        <w:pStyle w:val="1014"/>
        <w:jc w:val="left"/>
        <w:keepNext w:val="0"/>
        <w:spacing w:after="0" w:line="360" w:lineRule="auto"/>
        <w:widowControl w:val="off"/>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（1）供应商应加强对启闭设备制造中间过程关键流程、关键节点的检查与监督。</w:t>
      </w:r>
      <w:r/>
    </w:p>
    <w:p>
      <w:pPr>
        <w:pStyle w:val="1014"/>
        <w:jc w:val="left"/>
        <w:keepNext w:val="0"/>
        <w:spacing w:after="0" w:line="360" w:lineRule="auto"/>
        <w:widowControl w:val="off"/>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（2）检查与监督主要包括（不限于）：</w:t>
      </w:r>
      <w:r/>
    </w:p>
    <w:p>
      <w:pPr>
        <w:pStyle w:val="1014"/>
        <w:jc w:val="left"/>
        <w:keepNext w:val="0"/>
        <w:spacing w:after="0" w:line="360" w:lineRule="auto"/>
        <w:widowControl w:val="off"/>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节制闸及泵站油缸的拆解、测绘；</w:t>
      </w:r>
      <w:r/>
    </w:p>
    <w:p>
      <w:pPr>
        <w:pStyle w:val="1014"/>
        <w:jc w:val="left"/>
        <w:keepNext w:val="0"/>
        <w:spacing w:after="0" w:line="360" w:lineRule="auto"/>
        <w:widowControl w:val="off"/>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油缸主要原材料、外购件进厂；</w:t>
      </w:r>
      <w:r/>
    </w:p>
    <w:p>
      <w:pPr>
        <w:pStyle w:val="1014"/>
        <w:jc w:val="left"/>
        <w:keepNext w:val="0"/>
        <w:spacing w:after="0" w:line="360" w:lineRule="auto"/>
        <w:widowControl w:val="off"/>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活塞杆制造及陶瓷层喷涂；</w:t>
      </w:r>
      <w:r/>
    </w:p>
    <w:p>
      <w:pPr>
        <w:pStyle w:val="1014"/>
        <w:jc w:val="left"/>
        <w:keepNext w:val="0"/>
        <w:spacing w:after="0" w:line="360" w:lineRule="auto"/>
        <w:widowControl w:val="off"/>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油缸大修、制造及总装；</w:t>
      </w:r>
      <w:r/>
    </w:p>
    <w:p>
      <w:pPr>
        <w:pStyle w:val="1014"/>
        <w:jc w:val="left"/>
        <w:keepNext w:val="0"/>
        <w:spacing w:after="0" w:line="360" w:lineRule="auto"/>
        <w:widowControl w:val="off"/>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主要外购液压元器件进厂；</w:t>
      </w:r>
      <w:r/>
    </w:p>
    <w:p>
      <w:pPr>
        <w:pStyle w:val="1014"/>
        <w:jc w:val="left"/>
        <w:keepNext w:val="0"/>
        <w:spacing w:after="0" w:line="360" w:lineRule="auto"/>
        <w:widowControl w:val="off"/>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液压阀台厂内总装及测试；</w:t>
      </w:r>
      <w:r/>
    </w:p>
    <w:p>
      <w:pPr>
        <w:pStyle w:val="1014"/>
        <w:jc w:val="left"/>
        <w:keepNext w:val="0"/>
        <w:spacing w:after="0" w:line="360" w:lineRule="auto"/>
        <w:widowControl w:val="off"/>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液压站总装及测试；</w:t>
      </w:r>
      <w:r/>
    </w:p>
    <w:p>
      <w:pPr>
        <w:pStyle w:val="1014"/>
        <w:jc w:val="left"/>
        <w:keepNext w:val="0"/>
        <w:spacing w:after="0" w:line="360" w:lineRule="auto"/>
        <w:widowControl w:val="off"/>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液压设备出厂验收前的整体试验及厂内自检；</w:t>
      </w:r>
      <w:r/>
    </w:p>
    <w:p>
      <w:pPr>
        <w:pStyle w:val="1014"/>
        <w:jc w:val="left"/>
        <w:keepNext w:val="0"/>
        <w:spacing w:after="0" w:line="360" w:lineRule="auto"/>
        <w:widowControl w:val="off"/>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油缸及液压系统现场联调前的试验及自检；</w:t>
      </w:r>
      <w:r/>
    </w:p>
    <w:p>
      <w:pPr>
        <w:pStyle w:val="1014"/>
        <w:jc w:val="left"/>
        <w:keepNext w:val="0"/>
        <w:spacing w:after="0" w:line="360" w:lineRule="auto"/>
        <w:widowControl w:val="off"/>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以及监理人认为的其他需要监督及检查的环节。</w:t>
      </w:r>
      <w:r/>
    </w:p>
    <w:p>
      <w:pPr>
        <w:pStyle w:val="1014"/>
        <w:jc w:val="left"/>
        <w:keepNext w:val="0"/>
        <w:spacing w:after="0" w:line="360" w:lineRule="auto"/>
        <w:widowControl w:val="off"/>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（3）供应商应在设计联络会后5个工作日内将施工制造安装计划（计划应明确启闭设备制安关键节点的具体时间、周期）报送提交监理人。</w:t>
      </w:r>
      <w:r/>
    </w:p>
    <w:p>
      <w:pPr>
        <w:pStyle w:val="1014"/>
        <w:jc w:val="left"/>
        <w:keepNext w:val="0"/>
        <w:spacing w:after="0" w:line="360" w:lineRule="auto"/>
        <w:widowControl w:val="off"/>
        <w:rPr>
          <w:rFonts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（4）供应商制造安装过程中，应在各关键节点前5个工作日及时通知监理人。</w:t>
      </w:r>
      <w:r/>
    </w:p>
    <w:p>
      <w:pPr>
        <w:pStyle w:val="1014"/>
        <w:jc w:val="left"/>
        <w:keepNext w:val="0"/>
        <w:spacing w:after="0"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 项目工作范围</w:t>
      </w:r>
      <w:bookmarkEnd w:id="26"/>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1.2.1 完成合同设备的工艺图设计、材料采购、生产制造加工、出厂前的整体组装及机电液联调、出厂验收、防腐、包装、装车、运输、开箱检查、交接验收，派遣技术人员到现场指导和监督设备安装和试验。施工过程中接受检查监督。</w:t>
      </w:r>
      <w:r/>
    </w:p>
    <w:p>
      <w:pPr>
        <w:pStyle w:val="1221"/>
        <w:numPr>
          <w:ilvl w:val="2"/>
          <w:numId w:val="13"/>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场内场外旧设备复测；</w:t>
      </w:r>
      <w:r/>
    </w:p>
    <w:p>
      <w:pPr>
        <w:pStyle w:val="1221"/>
        <w:numPr>
          <w:ilvl w:val="2"/>
          <w:numId w:val="13"/>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全套液压启闭机设备（含电气）、临时拉杆、启闭机在线监测的工艺图设计；</w:t>
      </w:r>
      <w:r/>
    </w:p>
    <w:p>
      <w:pPr>
        <w:pStyle w:val="1221"/>
        <w:numPr>
          <w:ilvl w:val="2"/>
          <w:numId w:val="13"/>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全套设备制造、厂内组装与调试；</w:t>
      </w:r>
      <w:r/>
    </w:p>
    <w:p>
      <w:pPr>
        <w:pStyle w:val="1221"/>
        <w:numPr>
          <w:ilvl w:val="2"/>
          <w:numId w:val="13"/>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阀块与油箱的现场适配组装；</w:t>
      </w:r>
      <w:r/>
    </w:p>
    <w:p>
      <w:pPr>
        <w:pStyle w:val="1221"/>
        <w:numPr>
          <w:ilvl w:val="2"/>
          <w:numId w:val="13"/>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随设备提供的备品备件及专用工具；</w:t>
      </w:r>
      <w:r/>
    </w:p>
    <w:p>
      <w:pPr>
        <w:pStyle w:val="1221"/>
        <w:numPr>
          <w:ilvl w:val="2"/>
          <w:numId w:val="13"/>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设备的防腐；</w:t>
      </w:r>
      <w:r/>
    </w:p>
    <w:p>
      <w:pPr>
        <w:pStyle w:val="1221"/>
        <w:numPr>
          <w:ilvl w:val="2"/>
          <w:numId w:val="13"/>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设备的指导安装；</w:t>
      </w:r>
      <w:r/>
    </w:p>
    <w:p>
      <w:pPr>
        <w:pStyle w:val="1221"/>
        <w:numPr>
          <w:ilvl w:val="2"/>
          <w:numId w:val="13"/>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投标供应商应提供满足合同文件全部要求的相互协调和完善的设计。如果合同文件中并未专门提到，但对于一个完整的和性能良好的控制系统又是必不可少的元件或装置，也应由投标供应商提供，其费用包括在设备合同总价中。</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1.2.2 按照合同文件的要求，完成与合同有关的设备设计联络；接受采购人代表参加工厂检验、监造、见证、目睹工厂检验和参加工厂验收；</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1.2.3 负责合同范围内设备制造的尺寸复测、材料采购、外购件配套、外协加工等；</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1.2.4 按合同规定提供合同范围内的竣工资料，加工制造工艺说明书，安装、使用、维护与试运行说明书等技术文件（含图纸、照片、电子资料等）；</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1.2.5 为采购人或采购人委派人员在执行合同工作中提供相关服务；</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1.2.6 完成与合同范围内液压启闭机与闸门的衔接工作及设备供应商的技术协调工作；</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1.2.7 指导联合调试、指导试运行、人员培训、维护及售后服务等工作。</w:t>
      </w:r>
      <w:r/>
    </w:p>
    <w:p>
      <w:pPr>
        <w:pStyle w:val="1014"/>
        <w:jc w:val="left"/>
        <w:keepNext w:val="0"/>
        <w:spacing w:after="0" w:line="360" w:lineRule="auto"/>
        <w:widowControl w:val="off"/>
        <w:rPr>
          <w:rFonts w:ascii="宋体" w:hAnsi="宋体" w:eastAsia="宋体"/>
          <w:color w:val="auto"/>
          <w:sz w:val="24"/>
          <w:szCs w:val="24"/>
          <w:highlight w:val="none"/>
        </w:rPr>
      </w:pPr>
      <w:r/>
      <w:bookmarkStart w:id="27" w:name="_Toc12455"/>
      <w:r/>
      <w:bookmarkStart w:id="28" w:name="_Toc9038"/>
      <w:r/>
      <w:bookmarkStart w:id="29" w:name="_Toc9716"/>
      <w:r/>
      <w:bookmarkStart w:id="30" w:name="_Toc16508"/>
      <w:r/>
      <w:bookmarkStart w:id="31" w:name="_Toc5397"/>
      <w:r/>
      <w:bookmarkStart w:id="32" w:name="_Toc17990"/>
      <w:r>
        <w:rPr>
          <w:rFonts w:hint="eastAsia" w:ascii="宋体" w:hAnsi="宋体" w:eastAsia="宋体"/>
          <w:color w:val="auto"/>
          <w:sz w:val="24"/>
          <w:szCs w:val="24"/>
          <w:highlight w:val="none"/>
        </w:rPr>
        <w:t xml:space="preserve">1.3 引用标准</w:t>
      </w:r>
      <w:bookmarkEnd w:id="9"/>
      <w:r/>
      <w:bookmarkEnd w:id="27"/>
      <w:r/>
      <w:bookmarkEnd w:id="28"/>
      <w:r/>
      <w:bookmarkEnd w:id="29"/>
      <w:r/>
      <w:bookmarkEnd w:id="30"/>
      <w:r/>
      <w:bookmarkEnd w:id="31"/>
      <w:r/>
      <w:bookmarkEnd w:id="32"/>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最新版 《水利工程建设标准强制性条文》 </w:t>
      </w:r>
      <w:r/>
    </w:p>
    <w:p>
      <w:pPr>
        <w:pStyle w:val="1221"/>
        <w:spacing w:after="0" w:line="360" w:lineRule="auto"/>
        <w:widowControl w:val="off"/>
        <w:rPr>
          <w:rFonts w:ascii="宋体" w:hAnsi="宋体"/>
          <w:color w:val="auto"/>
          <w:szCs w:val="24"/>
          <w:highlight w:val="none"/>
        </w:rPr>
      </w:pPr>
      <w:r/>
      <w:bookmarkStart w:id="33" w:name="OLE_LINK59"/>
      <w:r/>
      <w:bookmarkStart w:id="34" w:name="OLE_LINK60"/>
      <w:r>
        <w:rPr>
          <w:rFonts w:hint="eastAsia" w:ascii="宋体" w:hAnsi="宋体"/>
          <w:color w:val="auto"/>
          <w:szCs w:val="24"/>
          <w:highlight w:val="none"/>
        </w:rPr>
        <w:t xml:space="preserve">NB/T 10341.4  水电工程启闭机设计规范 第4部分：液压启闭机设计规范</w:t>
      </w:r>
      <w:bookmarkEnd w:id="33"/>
      <w:r/>
      <w:bookmarkEnd w:id="34"/>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SL 41  水利水电工程启闭机设计规范</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SL 74  水利水电工程钢闸门设计规范</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SL 36  水工金属结构焊接通用技术条件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SL 101 水工钢闸门和启闭机安全检测技术规程</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SL 105 水工金属结构防腐蚀规范</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T/CWEA 37 水工金属结构状态在线监测技术导则</w:t>
      </w:r>
      <w:r/>
    </w:p>
    <w:p>
      <w:pPr>
        <w:pStyle w:val="1221"/>
        <w:spacing w:after="0" w:line="360" w:lineRule="auto"/>
        <w:widowControl w:val="off"/>
        <w:rPr>
          <w:rFonts w:ascii="宋体" w:hAnsi="宋体"/>
          <w:color w:val="auto"/>
          <w:szCs w:val="24"/>
          <w:highlight w:val="none"/>
        </w:rPr>
      </w:pPr>
      <w:r/>
      <w:bookmarkStart w:id="35" w:name="OLE_LINK16"/>
      <w:r/>
      <w:bookmarkStart w:id="36" w:name="OLE_LINK64"/>
      <w:r>
        <w:rPr>
          <w:rFonts w:hint="eastAsia" w:ascii="宋体" w:hAnsi="宋体"/>
          <w:color w:val="auto"/>
          <w:szCs w:val="24"/>
          <w:highlight w:val="none"/>
        </w:rPr>
        <w:t xml:space="preserve">T/CWEC 6</w:t>
      </w:r>
      <w:bookmarkEnd w:id="35"/>
      <w:r>
        <w:rPr>
          <w:rFonts w:hint="eastAsia" w:ascii="宋体" w:hAnsi="宋体"/>
          <w:color w:val="auto"/>
          <w:szCs w:val="24"/>
          <w:highlight w:val="none"/>
        </w:rPr>
        <w:t xml:space="preserve">6</w:t>
      </w:r>
      <w:bookmarkEnd w:id="36"/>
      <w:r>
        <w:rPr>
          <w:rFonts w:hint="eastAsia" w:ascii="宋体" w:hAnsi="宋体"/>
          <w:color w:val="auto"/>
          <w:szCs w:val="24"/>
          <w:highlight w:val="none"/>
        </w:rPr>
        <w:t xml:space="preserve"> 水利水电工程闸门开度监测装置技术规范</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SL 381 水利水电工程启闭机制造、安装及验收规范</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SL 425 水利水电起重机械安全规程</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SL 576 水工金属结构铸锻件通用技术条件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SL 581水工金属结构T形接头角焊缝和组合焊缝超声检测方法和质量分级</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SL 582 水工金属结构制造安装质量检验通则</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SL 612 水利水电工程自动化设计规范</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SL 722 水工钢闸门和启闭机安全运行规程</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NB/T 35017陶瓷涂层活塞杆技术条件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NB/T 47013承压设备无损检测</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DL/T 5065 水力发电厂计算机监控系统设计规定</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6067 起重机械安全规程</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3811 起重机设计规范</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32217液压传动密封装置评定液压往复运动密封件性能的试验方法</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50231 机械设备安装工程施工及验收通用规范</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3766 液压传动系统及其元件的通用规则和安全要求</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7935 液压元件通用技术条件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14627液压式启闭机</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15622液压缸试验方法</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32217液压传动密封装置评定液压往复运动密封件性能的试验方法</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GB/Z 19848液压元件从制造到安装达到和控制清洁度的指南</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2346 流体传动系统及元件 公称压力系列       </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2347 液压泵及马达公称排量系列</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2348 液压气动系统及元件 缸内径及活塞杆外径</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2349 液压气动系统及元件 缸活塞行程系列</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2350 液压气动系统及元件 活塞杆螺纹型式和尺寸系列</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2877 液压二通盖板式插装阀 安装连接尺寸  </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2879 液压缸活塞和活塞杆动密封沟槽尺寸和公差   </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2880 液压缸活塞和活塞杆窄断面动密封沟槽尺寸系列和公差</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6577 液压缸活塞用带支承环密封沟槽型式、尺寸和公差</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6578 液压缸活塞杆用防尘圈沟槽型式、尺寸和公差   </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7934 液压二通盖板式插装阀 技术条件   </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7937 液压气动管接头及其相关件公称压力系列   </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14039 液压传动 油液固体颗粒污染等级代号    </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15622 液压缸试验方法</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1048 管道元件一PN（公称压力）的定义和选用</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10125 人造气氛腐蚀试验盐雾试验</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18719热喷涂 术语、分类</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699 优质碳素结构钢技术条件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700 碳素结构钢</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1591 低合金结构钢</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11352 一般工程用铸造碳钢件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3077 合金结构钢技术条件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SDZ 012 铸钢件通用技术条件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SDZ 016 锻件通用技术条件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Q/ZB 75 机械加工通用技术条件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Q/ZB 76 装配通用技术条件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985 气焊、手工电弧焊及气体保护焊焊缝坡口的基本形式与尺寸</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986 埋弧焊焊缝坡口的基本形式和尺寸</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324 焊缝符号表示法</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5117 碳钢焊条</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5118 低合金钢焊条</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12470 低合金钢埋弧焊剂</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5293 碳素钢埋弧用焊剂</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JB 3092 火焰切割质量技术要求</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10854 钢结构焊缝外形尺寸</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6417 金属熔化焊焊缝缺陷分类及说明</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3323 钢熔化焊对接接头射线照相和质量分级</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11345 钢焊缝手工超声波探伤方法和探伤结果分级</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1800 公差与配合</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1182 形状与位置公差</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1184 形状与位置公差 未注公差的规定</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1031 表面粗糙度参数及其数值</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1498 低压电器外壳防护等级</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8923 涂装前钢材表面锈蚀等级和除锈等级</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11379 金属覆盖层 工程用铬电镀层</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146.2 标准轨距铁路建筑限界</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JB/T 7938 液压泵站 油箱 公称容积系列</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JB/T 10205 液压缸 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JB/T 58207 液压系统总成出厂检验技术条件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JB 3818 液压机  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JB 3915 液压机  安全技术条件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JB/JQ 20302 中高压液压缸试验方法</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JB 4730 压力容器无损检测</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JB/ZQ 4000.6 铸钢件补焊通用技术条件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JB/ZQ 4396 管道沟槽及管子固定        </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JB/ZQ 4397 管子弯曲半径和弯管中直线段的最小长度    </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JGJ 82 钢结构高强度螺栓连接的设计、施工及验收规程</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JB/T 7757.2 机械密封用O型橡胶圈</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JB/T 2768 阀门零部件 高压管子、管件和阀门端部尺寸规范 台阶尺寸、距离、角度尺寸和半径</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998 低压电器基本试验方法</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3797 电气控制设备</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4205人机界面标志标识的基本和安全规则 操作规则</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4026 人机界面标志标识的基本和安全规则 设备端子和导体终端标识</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1498 电机、低压电器外壳防护等级</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720 电控设备的正常使用环境条件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11920 电站电气部分集中控制装置通用技术条件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4064 电器设备安全导则</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4028 外壳防护等级分类</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10217 电工控制设备造型设计导则</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50171 电气装置安装工程 盘、柜及二次回路接线施工及验收规范</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50256 电气装置安装工程 起重机电气装置施工及验收规范</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50255 电气装置安装工程 电力变流设备施工及验收规范</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50254 电气装置安装工程 低压电器施工及验收规范</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 50217 电力工程电缆设计规范</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11920电站电气部分集中控制设备及系统通用技术条件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7260不间断电源设备</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2900电工术语</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10217 电工控制设备造型设计导则     </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10233 低压成套开关设备和电控设备基本试验方法        </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GB/T 2887 计算机场地通用规范        </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以上规程规范均应采用最新版本（不限于以上规范），检修的验收对照国家标准和电厂有关规程、规定及生产制造商说明书进行，但不仅限于此，专项技术条件中与标准有冲突时以标准较高的为准。</w:t>
      </w:r>
      <w:r/>
    </w:p>
    <w:p>
      <w:pPr>
        <w:pStyle w:val="1014"/>
        <w:jc w:val="left"/>
        <w:keepNext w:val="0"/>
        <w:spacing w:after="0" w:line="360" w:lineRule="auto"/>
        <w:widowControl w:val="off"/>
        <w:rPr>
          <w:rFonts w:ascii="宋体" w:hAnsi="宋体" w:eastAsia="宋体"/>
          <w:color w:val="auto"/>
          <w:sz w:val="24"/>
          <w:szCs w:val="24"/>
          <w:highlight w:val="none"/>
        </w:rPr>
      </w:pPr>
      <w:r/>
      <w:bookmarkStart w:id="37" w:name="_Toc32548"/>
      <w:r/>
      <w:bookmarkStart w:id="38" w:name="_Toc10674"/>
      <w:r/>
      <w:bookmarkStart w:id="39" w:name="_Toc30266"/>
      <w:r/>
      <w:bookmarkStart w:id="40" w:name="_Toc14403"/>
      <w:r/>
      <w:bookmarkStart w:id="41" w:name="_Toc26787"/>
      <w:r/>
      <w:bookmarkStart w:id="42" w:name="_Toc6743"/>
      <w:r>
        <w:rPr>
          <w:rFonts w:hint="eastAsia" w:ascii="宋体" w:hAnsi="宋体" w:eastAsia="宋体"/>
          <w:color w:val="auto"/>
          <w:sz w:val="24"/>
          <w:szCs w:val="24"/>
          <w:highlight w:val="none"/>
        </w:rPr>
        <w:t xml:space="preserve">1.4 液压设备制造商责任范围</w:t>
      </w:r>
      <w:bookmarkEnd w:id="37"/>
      <w:r/>
      <w:bookmarkEnd w:id="38"/>
      <w:r/>
      <w:bookmarkEnd w:id="39"/>
      <w:r/>
      <w:bookmarkEnd w:id="40"/>
      <w:r/>
      <w:bookmarkEnd w:id="41"/>
      <w:r/>
      <w:bookmarkEnd w:id="42"/>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1.4.1 制造商应负责表1.1-1中所有的液压启闭机（临时拉杆、液压油缸、机架梁及吊座、液压泵站、液压系统（含阀台）、软管及接头、</w:t>
      </w:r>
      <w:r>
        <w:rPr>
          <w:rFonts w:hint="eastAsia" w:ascii="宋体" w:hAnsi="宋体"/>
          <w:color w:val="auto"/>
          <w:szCs w:val="24"/>
          <w:highlight w:val="none"/>
        </w:rPr>
        <w:t xml:space="preserve">节制闸廊道内全部液压管夹和支架制造、节制闸廊道内液压管路（硬管）全部的直角转弯接头制造、</w:t>
      </w:r>
      <w:r>
        <w:rPr>
          <w:rFonts w:hint="eastAsia" w:ascii="宋体" w:hAnsi="宋体" w:cs="宋体"/>
          <w:color w:val="auto"/>
          <w:szCs w:val="24"/>
          <w:highlight w:val="none"/>
        </w:rPr>
        <w:t xml:space="preserve">销轴、连接件、密封件、线缆、行程检测装置、行程开关、现地控制系统、在线监测系统、上位机及软件改造等）的工艺设计及图纸、制作、包装、运输，并提供现场指导安装、装配检查、指导试验和指导试运行（包括无水与有水联合调试）等技术服务及售后维护服务等。</w:t>
      </w:r>
      <w:r/>
    </w:p>
    <w:p>
      <w:pPr>
        <w:pStyle w:val="1222"/>
        <w:numPr>
          <w:ilvl w:val="2"/>
          <w:numId w:val="0"/>
        </w:numPr>
        <w:ind w:firstLine="482"/>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1.4.2 表 1.1-1 所列全部液压启闭设备相关项均由液压启闭设备制造商整体成套提供，不得肢解分包。</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1.4.3 合同签订后，由监理单位组织召开设计联络会。投标供应商应在设计联络会上提交设备制造工艺图、电气控制原理图等文件报送采购人。投标供应商须按照最终审查意见完成图纸修改，并将修改后的图纸报送监理及设计单位，待监理工程师审批同意后，方可备料、采购及制造。</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1.4.4 本合同的责任范围包括（但不限于这些），液压泵站及管路的工艺设计及液压缸、液压泵站的施工工艺设计（工艺流程图与工艺说明）；投标供应商应在监理下达开工令后14天内提交制造工艺，设备与构件运输、安装技术措施方案及进度安排等施工组织设计文件（包括图纸、说明等，但不限于这些），报监理工程师批准。提供这些设备及设施的技术性能、试验方法、验收规则和标志、包装与存放等有关文件。</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1.4.5 制造商在制造时所用的测量工具应具有国家计量单位发放的计量检验合格证书。</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1.4.6 设备的交货日期，投标供应商应根据监理工程师的指令进行安排。</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1.4.7 投标供应商应负责制造、防腐、包装、运输、指导安装和指导调试等。由于以上环节造成的需要更换或修补，所需的全部材料由制造商负责解决。材料的规格及技术性能应</w:t>
      </w:r>
      <w:r>
        <w:rPr>
          <w:rFonts w:hint="eastAsia" w:ascii="宋体" w:hAnsi="宋体" w:cs="宋体"/>
          <w:color w:val="auto"/>
          <w:szCs w:val="24"/>
          <w:highlight w:val="none"/>
          <w:lang w:eastAsia="zh-CN"/>
        </w:rPr>
        <w:t xml:space="preserve">等于</w:t>
      </w:r>
      <w:r>
        <w:rPr>
          <w:rFonts w:hint="eastAsia" w:ascii="宋体" w:hAnsi="宋体" w:cs="宋体"/>
          <w:color w:val="auto"/>
          <w:szCs w:val="24"/>
          <w:highlight w:val="none"/>
        </w:rPr>
        <w:t xml:space="preserve">原来设备的要求，其费用应由投标供应商自理。</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1.4.8启闭设备制造措施计划：投标供应商应在启闭设备制造前7天，提交一份启闭设备制造措施计划及开工报告，报送监理工程师审批，其内容至少应包括（开工报告的内容需符合监理工程师的要求及相关规定）：</w:t>
      </w:r>
      <w:r/>
    </w:p>
    <w:p>
      <w:pPr>
        <w:pStyle w:val="1221"/>
        <w:numPr>
          <w:ilvl w:val="2"/>
          <w:numId w:val="14"/>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启闭机制造详图；</w:t>
      </w:r>
      <w:r/>
    </w:p>
    <w:p>
      <w:pPr>
        <w:pStyle w:val="1221"/>
        <w:numPr>
          <w:ilvl w:val="2"/>
          <w:numId w:val="14"/>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启闭设备制造和装配场地的布置及说明；</w:t>
      </w:r>
      <w:r/>
    </w:p>
    <w:p>
      <w:pPr>
        <w:pStyle w:val="1221"/>
        <w:numPr>
          <w:ilvl w:val="2"/>
          <w:numId w:val="14"/>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启闭设备的制造工艺设计；</w:t>
      </w:r>
      <w:r/>
    </w:p>
    <w:p>
      <w:pPr>
        <w:pStyle w:val="1221"/>
        <w:numPr>
          <w:ilvl w:val="2"/>
          <w:numId w:val="14"/>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启闭设备制造的质量控制措施；</w:t>
      </w:r>
      <w:r/>
    </w:p>
    <w:p>
      <w:pPr>
        <w:pStyle w:val="1221"/>
        <w:numPr>
          <w:ilvl w:val="2"/>
          <w:numId w:val="14"/>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启闭设备制造进度计划；</w:t>
      </w:r>
      <w:r/>
    </w:p>
    <w:p>
      <w:pPr>
        <w:pStyle w:val="1221"/>
        <w:numPr>
          <w:ilvl w:val="2"/>
          <w:numId w:val="14"/>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质量与安全保证措施。</w:t>
      </w:r>
      <w:r/>
    </w:p>
    <w:p>
      <w:pPr>
        <w:pStyle w:val="1221"/>
        <w:numPr>
          <w:ilvl w:val="2"/>
          <w:numId w:val="14"/>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提供所有液压缸组拼过程及检测的现场影像资料。</w:t>
      </w:r>
      <w:r/>
    </w:p>
    <w:p>
      <w:pPr>
        <w:pStyle w:val="1221"/>
        <w:numPr>
          <w:ilvl w:val="2"/>
          <w:numId w:val="14"/>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液压启闭机出厂前各类试验及相关资料。</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1.4.9 投标供应商应在设计联络会后的10个工作日之内提交全套液压启闭设备联合（联门）试运行的方案和计划书，并报监理人审核。若现场水位条件不满足联合（联门）试运行条件， 投标供应商须先通过监理人组织的静态验收，待后续水位条件满足时再开展联合（联门）试运行。</w:t>
      </w:r>
      <w:r/>
    </w:p>
    <w:p>
      <w:pPr>
        <w:pStyle w:val="1014"/>
        <w:jc w:val="left"/>
        <w:keepNext w:val="0"/>
        <w:spacing w:after="0" w:line="360" w:lineRule="auto"/>
        <w:widowControl w:val="off"/>
        <w:rPr>
          <w:rFonts w:ascii="宋体" w:hAnsi="宋体" w:eastAsia="宋体"/>
          <w:color w:val="auto"/>
          <w:sz w:val="24"/>
          <w:szCs w:val="24"/>
          <w:highlight w:val="none"/>
        </w:rPr>
      </w:pPr>
      <w:r/>
      <w:bookmarkStart w:id="43" w:name="_Toc23728"/>
      <w:r/>
      <w:bookmarkStart w:id="44" w:name="_Toc24548"/>
      <w:r/>
      <w:bookmarkStart w:id="45" w:name="_Toc16055"/>
      <w:r/>
      <w:bookmarkStart w:id="46" w:name="_Toc14694"/>
      <w:r/>
      <w:bookmarkStart w:id="47" w:name="_Toc31853"/>
      <w:r/>
      <w:bookmarkStart w:id="48" w:name="_Toc20955"/>
      <w:r>
        <w:rPr>
          <w:rFonts w:hint="eastAsia" w:ascii="宋体" w:hAnsi="宋体" w:eastAsia="宋体"/>
          <w:color w:val="auto"/>
          <w:sz w:val="24"/>
          <w:szCs w:val="24"/>
          <w:highlight w:val="none"/>
        </w:rPr>
        <w:t xml:space="preserve">2 专用技术条款</w:t>
      </w:r>
      <w:bookmarkEnd w:id="43"/>
      <w:r/>
      <w:bookmarkEnd w:id="44"/>
      <w:r/>
      <w:bookmarkEnd w:id="45"/>
      <w:r/>
      <w:bookmarkEnd w:id="46"/>
      <w:r/>
      <w:bookmarkEnd w:id="47"/>
      <w:r/>
      <w:bookmarkEnd w:id="48"/>
      <w:r/>
      <w:r/>
    </w:p>
    <w:p>
      <w:pPr>
        <w:pStyle w:val="1014"/>
        <w:jc w:val="left"/>
        <w:keepNext w:val="0"/>
        <w:spacing w:after="0" w:line="360" w:lineRule="auto"/>
        <w:widowControl w:val="off"/>
        <w:rPr>
          <w:rFonts w:ascii="宋体" w:hAnsi="宋体" w:eastAsia="宋体"/>
          <w:color w:val="auto"/>
          <w:sz w:val="24"/>
          <w:szCs w:val="24"/>
          <w:highlight w:val="none"/>
        </w:rPr>
      </w:pPr>
      <w:r/>
      <w:bookmarkStart w:id="49" w:name="_Toc6672"/>
      <w:r/>
      <w:bookmarkStart w:id="50" w:name="_Toc28478"/>
      <w:r/>
      <w:bookmarkStart w:id="51" w:name="_Toc10135"/>
      <w:r/>
      <w:bookmarkStart w:id="52" w:name="_Toc31850"/>
      <w:r/>
      <w:bookmarkStart w:id="53" w:name="_Toc17953"/>
      <w:r/>
      <w:bookmarkStart w:id="54" w:name="_Toc17924"/>
      <w:r>
        <w:rPr>
          <w:rFonts w:hint="eastAsia" w:ascii="宋体" w:hAnsi="宋体" w:eastAsia="宋体"/>
          <w:color w:val="auto"/>
          <w:sz w:val="24"/>
          <w:szCs w:val="24"/>
          <w:highlight w:val="none"/>
        </w:rPr>
        <w:t xml:space="preserve">2.1 主要技术参数</w:t>
      </w:r>
      <w:bookmarkEnd w:id="49"/>
      <w:r/>
      <w:bookmarkEnd w:id="50"/>
      <w:r/>
      <w:bookmarkEnd w:id="51"/>
      <w:r/>
      <w:bookmarkEnd w:id="52"/>
      <w:r/>
      <w:bookmarkEnd w:id="53"/>
      <w:r/>
      <w:bookmarkEnd w:id="54"/>
      <w:r/>
      <w:r/>
    </w:p>
    <w:p>
      <w:pPr>
        <w:pStyle w:val="1222"/>
        <w:numPr>
          <w:ilvl w:val="2"/>
          <w:numId w:val="0"/>
        </w:numPr>
        <w:ind w:left="426"/>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2.1.1 节制闸临时拉杆</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拉杆数量：6套；</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拉杆型式：可调节拉杆，采用花兰螺杆（螺母）调节，长度调节范围±200mm（</w:t>
      </w:r>
      <w:bookmarkStart w:id="55" w:name="OLE_LINK20"/>
      <w:r/>
      <w:bookmarkStart w:id="56" w:name="OLE_LINK19"/>
      <w:r>
        <w:rPr>
          <w:rFonts w:hint="eastAsia" w:ascii="宋体" w:hAnsi="宋体"/>
          <w:color w:val="auto"/>
          <w:szCs w:val="24"/>
          <w:highlight w:val="none"/>
        </w:rPr>
        <w:t xml:space="preserve">安装长度约6m，现场复测确定</w:t>
      </w:r>
      <w:bookmarkEnd w:id="55"/>
      <w:r/>
      <w:bookmarkEnd w:id="56"/>
      <w:r>
        <w:rPr>
          <w:rFonts w:hint="eastAsia" w:ascii="宋体" w:hAnsi="宋体"/>
          <w:color w:val="auto"/>
          <w:szCs w:val="24"/>
          <w:highlight w:val="none"/>
        </w:rPr>
        <w:t xml:space="preserve">）；</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额定抗拉承载力：1250kN；</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主材：Q355B无缝钢管（直径约160mm）；</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配套连接件：含销轴、吊头、尾支铰等，均为优质中碳钢锻件；</w:t>
      </w:r>
      <w:r/>
    </w:p>
    <w:p>
      <w:pPr>
        <w:pStyle w:val="1222"/>
        <w:numPr>
          <w:ilvl w:val="2"/>
          <w:numId w:val="0"/>
        </w:numPr>
        <w:ind w:left="426"/>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2.1.2 节制闸液压启闭机★</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启闭机型式：中部铰轴支承双作用（带刻度陶瓷杆）</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液压启闭机数量：3套（6支油缸）</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拉力及持住力：2×1250 kN；</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推力：2×200 kN；</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活塞杆：φ220mm，</w:t>
      </w:r>
      <w:bookmarkStart w:id="57" w:name="OLE_LINK17"/>
      <w:r/>
      <w:bookmarkStart w:id="58" w:name="OLE_LINK18"/>
      <w:r>
        <w:rPr>
          <w:rFonts w:hint="eastAsia" w:ascii="宋体" w:hAnsi="宋体"/>
          <w:color w:val="auto"/>
          <w:szCs w:val="24"/>
          <w:highlight w:val="none"/>
        </w:rPr>
        <w:t xml:space="preserve">优质中碳钢锻件（不低于45#）并热处理；</w:t>
      </w:r>
      <w:bookmarkEnd w:id="57"/>
      <w:r/>
      <w:bookmarkEnd w:id="58"/>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油缸内径：400mm；</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工作行程：≈7.92m；</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最大行程：8.3m；</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启闭速度：≈1.0m/min；</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液压泵站数量：1套；</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单套液压泵站电动机功率：3×55kW；</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现地阀台：3套，方向控制阀组，每套均配置左右双比例调速阀。</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（备注：行程为暂定值，现场拆解复测后最终确定；速度为推荐值，最终由设计联络会确定）</w:t>
      </w:r>
      <w:r/>
    </w:p>
    <w:p>
      <w:pPr>
        <w:pStyle w:val="1222"/>
        <w:numPr>
          <w:ilvl w:val="2"/>
          <w:numId w:val="0"/>
        </w:numPr>
        <w:ind w:left="426"/>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2.1.3 泵站液压启闭机★</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启闭机型式：QPKY-D-200kN-3.5m倒挂式快速液压启闭机（陶瓷杆，不带刻度）</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液压启闭机数量：12套（12支油缸）</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启门拉力及持住力：200 kN；</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闭门力：自重闭门；</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活塞杆：φ100mm，优质中碳钢锻件（不低于45#）并热处理；</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工作行程：3.4m；</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最大行程：3.5m。</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启闭速度：≈4.0m/min；</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液压泵站数量：1套。</w:t>
      </w:r>
      <w:r/>
    </w:p>
    <w:p>
      <w:pPr>
        <w:pStyle w:val="1014"/>
        <w:jc w:val="left"/>
        <w:keepNext w:val="0"/>
        <w:spacing w:after="0" w:line="360" w:lineRule="auto"/>
        <w:widowControl w:val="off"/>
        <w:rPr>
          <w:rFonts w:ascii="宋体" w:hAnsi="宋体" w:eastAsia="宋体"/>
          <w:color w:val="auto"/>
          <w:sz w:val="24"/>
          <w:szCs w:val="24"/>
          <w:highlight w:val="none"/>
        </w:rPr>
      </w:pPr>
      <w:r/>
      <w:bookmarkStart w:id="59" w:name="_Toc2408"/>
      <w:r>
        <w:rPr>
          <w:rFonts w:hint="eastAsia" w:ascii="宋体" w:hAnsi="宋体" w:eastAsia="宋体"/>
          <w:color w:val="auto"/>
          <w:sz w:val="24"/>
          <w:szCs w:val="24"/>
          <w:highlight w:val="none"/>
        </w:rPr>
        <w:t xml:space="preserve">2.2 主要技术要求</w:t>
      </w:r>
      <w:bookmarkEnd w:id="59"/>
      <w:r/>
      <w:r/>
    </w:p>
    <w:p>
      <w:pPr>
        <w:pStyle w:val="1222"/>
        <w:numPr>
          <w:ilvl w:val="2"/>
          <w:numId w:val="0"/>
        </w:numPr>
        <w:ind w:left="426"/>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2.2.1 节制闸液压设备</w:t>
      </w:r>
      <w:r/>
    </w:p>
    <w:p>
      <w:pPr>
        <w:pStyle w:val="1225"/>
        <w:numPr>
          <w:ilvl w:val="3"/>
          <w:numId w:val="0"/>
        </w:numPr>
        <w:ind w:left="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2.2.1.1 </w:t>
      </w:r>
      <w:r>
        <w:rPr>
          <w:rFonts w:hint="eastAsia" w:ascii="宋体" w:hAnsi="宋体" w:cs="宋体"/>
          <w:color w:val="auto"/>
          <w:szCs w:val="24"/>
          <w:highlight w:val="none"/>
        </w:rPr>
        <w:t xml:space="preserve">临时拉杆</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临时拉杆一端与闸门吊耳销轴连接，另一端固定于油缸支铰座位置，通过花兰螺杆（螺母）调节实现精准拉紧与松紧度微调。拉杆安装长度约6m（现场复测确定），可调节长度范围为±200mm，额定抗拉承载力按1250kN设计。</w:t>
      </w:r>
      <w:r/>
    </w:p>
    <w:p>
      <w:pPr>
        <w:pStyle w:val="1225"/>
        <w:numPr>
          <w:ilvl w:val="3"/>
          <w:numId w:val="0"/>
        </w:numPr>
        <w:ind w:left="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2.2.1.2 </w:t>
      </w:r>
      <w:r>
        <w:rPr>
          <w:rFonts w:hint="eastAsia" w:ascii="宋体" w:hAnsi="宋体" w:cs="宋体"/>
          <w:color w:val="auto"/>
          <w:szCs w:val="24"/>
          <w:highlight w:val="none"/>
        </w:rPr>
        <w:t xml:space="preserve">油缸更换</w:t>
      </w:r>
      <w:r/>
    </w:p>
    <w:p>
      <w:pPr>
        <w:pStyle w:val="1221"/>
        <w:ind w:firstLine="480"/>
        <w:spacing w:after="0" w:line="360" w:lineRule="auto"/>
        <w:widowControl w:val="off"/>
        <w:rPr>
          <w:rFonts w:ascii="宋体" w:hAnsi="宋体"/>
          <w:b/>
          <w:color w:val="auto"/>
          <w:szCs w:val="24"/>
          <w:highlight w:val="none"/>
        </w:rPr>
      </w:pPr>
      <w:r>
        <w:rPr>
          <w:rFonts w:hint="eastAsia" w:ascii="宋体" w:hAnsi="宋体"/>
          <w:b/>
          <w:color w:val="auto"/>
          <w:szCs w:val="24"/>
          <w:highlight w:val="none"/>
        </w:rPr>
        <w:t xml:space="preserve">对全部6支原油缸现场安装尺寸及外尺寸复测，并每孔水闸抽取至少1支现场拆解复测内尺寸。</w:t>
      </w:r>
      <w:r>
        <w:rPr>
          <w:rFonts w:hint="eastAsia" w:ascii="宋体" w:hAnsi="宋体"/>
          <w:color w:val="auto"/>
          <w:szCs w:val="24"/>
          <w:highlight w:val="none"/>
        </w:rPr>
        <w:t xml:space="preserve">★</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新油缸全套设备包含活塞杆、缸体、整套密封组件、活塞、吊头、导向段、前后缸盖、有杆/无杆腔缸旁阀组及相应管路、轴承、连接件等核心零部件。每支油缸配3个专用轴承，其中吊头设1个关节轴承，中支铰处设2个轴套，轴承轴套均为铜基镶嵌自润滑材料。</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保留原有油缸支铰座结构，对利旧构件进行除锈、打磨、防腐翻新处理后继续利用。</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新活塞杆镀层采用带刻度镀陶瓷工艺，活塞杆配套集成CIMS传感器，原有6套静磁栅传感器拆除后返厂检测出新无误后重新安装，作为新制油缸备份行程检测装置。另新增1套</w:t>
      </w:r>
      <w:bookmarkStart w:id="60" w:name="OLE_LINK21"/>
      <w:r/>
      <w:bookmarkStart w:id="61" w:name="OLE_LINK22"/>
      <w:r>
        <w:rPr>
          <w:rFonts w:hint="eastAsia" w:ascii="宋体" w:hAnsi="宋体"/>
          <w:color w:val="auto"/>
          <w:szCs w:val="24"/>
          <w:highlight w:val="none"/>
        </w:rPr>
        <w:t xml:space="preserve">静磁栅传感器</w:t>
      </w:r>
      <w:bookmarkEnd w:id="60"/>
      <w:r/>
      <w:bookmarkEnd w:id="61"/>
      <w:r>
        <w:rPr>
          <w:rFonts w:hint="eastAsia" w:ascii="宋体" w:hAnsi="宋体"/>
          <w:color w:val="auto"/>
          <w:szCs w:val="24"/>
          <w:highlight w:val="none"/>
        </w:rPr>
        <w:t xml:space="preserve">作为备件。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静磁栅传感器自集成前、后极限位置接近开关，实现闸门启闭限位保护。</w:t>
      </w:r>
      <w:r/>
    </w:p>
    <w:p>
      <w:pPr>
        <w:pStyle w:val="1225"/>
        <w:numPr>
          <w:ilvl w:val="3"/>
          <w:numId w:val="0"/>
        </w:numPr>
        <w:ind w:left="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2.2.1.3 </w:t>
      </w:r>
      <w:r>
        <w:rPr>
          <w:rFonts w:hint="eastAsia" w:ascii="宋体" w:hAnsi="宋体" w:cs="宋体"/>
          <w:color w:val="auto"/>
          <w:szCs w:val="24"/>
          <w:highlight w:val="none"/>
        </w:rPr>
        <w:t xml:space="preserve">阀台更换</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原址原位更换全新阀台，采用左右双比例调速阀闭环同步模式。</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新制阀台所有阀块均采用镀镍防腐处理。</w:t>
      </w:r>
      <w:r/>
    </w:p>
    <w:p>
      <w:pPr>
        <w:pStyle w:val="1225"/>
        <w:numPr>
          <w:ilvl w:val="3"/>
          <w:numId w:val="0"/>
        </w:numPr>
        <w:ind w:left="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2.2.1.4 </w:t>
      </w:r>
      <w:r>
        <w:rPr>
          <w:rFonts w:hint="eastAsia" w:ascii="宋体" w:hAnsi="宋体" w:cs="宋体"/>
          <w:color w:val="auto"/>
          <w:szCs w:val="24"/>
          <w:highlight w:val="none"/>
        </w:rPr>
        <w:t xml:space="preserve">控制柜更换</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在原安装点位布设全新成套PLC柜体。新控制柜硬件参数、控制性能、IO点位配置等技术指标均不低于原有控制柜标准；柜体控制系统软硬件按需优化选型，控制逻辑、接口配置与本次改造后的液压阀台参数相适配，满足液压启闭系统就地控制、信号采集及联动启闭要求。施工完成后完成电缆接驳、接地布设、单体调试及整机联动试验，保障整套启闭设备运行稳定可靠。</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PLC</w:t>
      </w:r>
      <w:r>
        <w:rPr>
          <w:rFonts w:hint="eastAsia" w:ascii="宋体" w:hAnsi="宋体"/>
          <w:color w:val="auto"/>
          <w:szCs w:val="24"/>
          <w:highlight w:val="none"/>
          <w:lang w:eastAsia="zh-CN"/>
        </w:rPr>
        <w:t xml:space="preserve">：</w:t>
      </w:r>
      <w:r>
        <w:rPr>
          <w:rFonts w:hint="eastAsia" w:ascii="宋体" w:hAnsi="宋体"/>
          <w:color w:val="auto"/>
          <w:szCs w:val="24"/>
          <w:highlight w:val="none"/>
        </w:rPr>
        <w:t xml:space="preserve">供应商所投产品</w:t>
      </w:r>
      <w:r>
        <w:rPr>
          <w:rFonts w:hint="eastAsia" w:ascii="宋体" w:hAnsi="宋体"/>
          <w:color w:val="auto"/>
          <w:szCs w:val="24"/>
          <w:highlight w:val="none"/>
          <w:lang w:val="en-US" w:eastAsia="zh-CN"/>
        </w:rPr>
        <w:t xml:space="preserve">等于</w:t>
      </w:r>
      <w:r>
        <w:rPr>
          <w:rFonts w:hint="eastAsia" w:ascii="宋体" w:hAnsi="宋体"/>
          <w:color w:val="auto"/>
          <w:szCs w:val="24"/>
          <w:highlight w:val="none"/>
        </w:rPr>
        <w:t xml:space="preserve">或优于</w:t>
      </w:r>
      <w:r>
        <w:rPr>
          <w:rFonts w:hint="eastAsia" w:ascii="宋体" w:hAnsi="宋体"/>
          <w:color w:val="auto"/>
          <w:szCs w:val="24"/>
          <w:highlight w:val="none"/>
          <w:lang w:val="en-US" w:eastAsia="zh-CN"/>
        </w:rPr>
        <w:t xml:space="preserve">现有品牌，</w:t>
      </w:r>
      <w:r>
        <w:rPr>
          <w:rFonts w:hint="eastAsia" w:ascii="宋体" w:hAnsi="宋体"/>
          <w:color w:val="auto"/>
          <w:szCs w:val="24"/>
          <w:highlight w:val="none"/>
        </w:rPr>
        <w:t xml:space="preserve">基于以太网背板架构。以太网背板高速通讯，支持Modbus TCP协议；CPU运算速度快，存储容量大，满足闸门控制及同步运算要求；支持热插拔模块，维护方便；集成Web服务器，便于远程诊断。</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PLC控制柜配置15寸触摸屏，实时显示、设定修改被控参数、设备工作状态及运行数据。具备密码保护功能，可设定实时时钟，可显示故障及事件发生的实时时间。</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控制柜柜体高2260mm，深800mm，宽度根据柜内设备配置确定。柜体壳体由坚固的自支持钢板构成，柜前为单开门；前柜门装有密封件、铰链、手柄和安全锁；柜内照明由柜门开闭控制；顶部设置吊装耳环；柜体内外喷涂。防护等级IP54。屏内配一根接地铜排，截面不小于100mm²，供保护接地使用。柜内接线使用阻燃型绝缘材料的标准导线，所有接线须用防火槽管保护。PLC柜内含 CPU、电源模块、背板、DI模块、DO模块、AI模块、AO模块、通讯模块、8口工业交换机及15英寸触摸屏。</w:t>
      </w:r>
      <w:r/>
    </w:p>
    <w:p>
      <w:pPr>
        <w:pStyle w:val="1225"/>
        <w:numPr>
          <w:ilvl w:val="3"/>
          <w:numId w:val="0"/>
        </w:numPr>
        <w:ind w:left="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2.2.1.5 </w:t>
      </w:r>
      <w:r>
        <w:rPr>
          <w:rFonts w:hint="eastAsia" w:ascii="宋体" w:hAnsi="宋体" w:cs="宋体"/>
          <w:color w:val="auto"/>
          <w:szCs w:val="24"/>
          <w:highlight w:val="none"/>
        </w:rPr>
        <w:t xml:space="preserve">改造动力柜</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原有动力柜整修翻新处理，具体内容如下：</w:t>
      </w:r>
      <w:r/>
    </w:p>
    <w:p>
      <w:pPr>
        <w:pStyle w:val="1221"/>
        <w:numPr>
          <w:ilvl w:val="2"/>
          <w:numId w:val="15"/>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全面拆解巡检柜内元器件，剔除更换破损、老化失效配件；</w:t>
      </w:r>
      <w:r/>
    </w:p>
    <w:p>
      <w:pPr>
        <w:pStyle w:val="1221"/>
        <w:numPr>
          <w:ilvl w:val="2"/>
          <w:numId w:val="15"/>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检查软启动器外观有无烧蚀、变形或异常发热痕迹；清洁散热风扇及散热片上的积尘，确保通风良好；用万用表测量主回路晶闸管及旁路接触器触点的通断与阻值是否正常；检查控制端子接线是否松动或氧化，并对所有紧固件重新拧紧。通电测试前，核对参数设置是否与电机额定值匹配，空载试运行观察启停过程有无异响、电流波动或过温报警，必要时更新固件或更换老化元件。</w:t>
      </w:r>
      <w:r/>
    </w:p>
    <w:p>
      <w:pPr>
        <w:pStyle w:val="1221"/>
        <w:numPr>
          <w:ilvl w:val="2"/>
          <w:numId w:val="15"/>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结合本次液压泵站、阀组更新改造方案，优化柜内一次、二次回路布线，调整线缆规格、接线点位，完成新旧设备之间配电线路接驳，满足新液压设备配电及控制要求；</w:t>
      </w:r>
      <w:r/>
    </w:p>
    <w:p>
      <w:pPr>
        <w:pStyle w:val="1221"/>
        <w:numPr>
          <w:ilvl w:val="2"/>
          <w:numId w:val="15"/>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清理柜体内部积尘油污，修复柜体锈蚀、破损部位，柜体除锈刷漆整体防腐出新，完善柜内标识、接线标号。</w:t>
      </w:r>
      <w:r/>
    </w:p>
    <w:p>
      <w:pPr>
        <w:pStyle w:val="1221"/>
        <w:numPr>
          <w:ilvl w:val="2"/>
          <w:numId w:val="15"/>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改造完工后开展绝缘测试、送电试验与整机联动调试，确保动力柜配电安全、运行可靠。</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2.2.2 泵站液压设备</w:t>
      </w:r>
      <w:r/>
    </w:p>
    <w:p>
      <w:pPr>
        <w:pStyle w:val="1225"/>
        <w:numPr>
          <w:ilvl w:val="3"/>
          <w:numId w:val="0"/>
        </w:numPr>
        <w:ind w:left="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2.2.2.1 </w:t>
      </w:r>
      <w:r>
        <w:rPr>
          <w:rFonts w:hint="eastAsia" w:ascii="宋体" w:hAnsi="宋体" w:cs="宋体"/>
          <w:color w:val="auto"/>
          <w:szCs w:val="24"/>
          <w:highlight w:val="none"/>
        </w:rPr>
        <w:t xml:space="preserve">油缸返厂维修</w:t>
      </w:r>
      <w:r/>
    </w:p>
    <w:p>
      <w:pPr>
        <w:pStyle w:val="1221"/>
        <w:numPr>
          <w:ilvl w:val="2"/>
          <w:numId w:val="16"/>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对全部12支原油缸</w:t>
      </w:r>
      <w:bookmarkStart w:id="62" w:name="OLE_LINK23"/>
      <w:r/>
      <w:bookmarkStart w:id="63" w:name="OLE_LINK24"/>
      <w:r>
        <w:rPr>
          <w:rFonts w:hint="eastAsia" w:ascii="宋体" w:hAnsi="宋体"/>
          <w:color w:val="auto"/>
          <w:szCs w:val="24"/>
          <w:highlight w:val="none"/>
        </w:rPr>
        <w:t xml:space="preserve">、机架及吊座等现场安装尺寸及外尺寸复测</w:t>
      </w:r>
      <w:bookmarkEnd w:id="62"/>
      <w:r/>
      <w:bookmarkEnd w:id="63"/>
      <w:r>
        <w:rPr>
          <w:rFonts w:hint="eastAsia" w:ascii="宋体" w:hAnsi="宋体"/>
          <w:color w:val="auto"/>
          <w:szCs w:val="24"/>
          <w:highlight w:val="none"/>
        </w:rPr>
        <w:t xml:space="preserve">后返厂；</w:t>
      </w:r>
      <w:r/>
    </w:p>
    <w:p>
      <w:pPr>
        <w:pStyle w:val="1221"/>
        <w:numPr>
          <w:ilvl w:val="2"/>
          <w:numId w:val="16"/>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全部12支油缸厂内拆解并复测内尺寸，适配性加工后与新制活塞杆组装，油缸本体利旧（厂内清洗除污、除锈、打磨、防腐翻新处理后继续利用）；原油缸与闸门连接的法兰作为配模，加工新法兰；重新制作吊头吊座。</w:t>
      </w:r>
      <w:r/>
    </w:p>
    <w:p>
      <w:pPr>
        <w:pStyle w:val="1221"/>
        <w:numPr>
          <w:ilvl w:val="2"/>
          <w:numId w:val="16"/>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更换活塞杆，新活塞杆采用优质中碳钢锻件加工制造，活塞杆整体进行调质热处理工艺。新活塞杆镀层采用镀陶瓷工艺（不带刻度）。</w:t>
      </w:r>
      <w:r/>
    </w:p>
    <w:p>
      <w:pPr>
        <w:pStyle w:val="1221"/>
        <w:numPr>
          <w:ilvl w:val="2"/>
          <w:numId w:val="16"/>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全套更换油缸全部密封件、导向部件。</w:t>
      </w:r>
      <w:r/>
    </w:p>
    <w:p>
      <w:pPr>
        <w:pStyle w:val="1221"/>
        <w:numPr>
          <w:ilvl w:val="2"/>
          <w:numId w:val="16"/>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原有12套行程传感器返厂检测后利旧复装接线，另新制2套同类型的外置钢丝绳行程传感器作为备件。</w:t>
      </w:r>
      <w:r/>
    </w:p>
    <w:p>
      <w:pPr>
        <w:pStyle w:val="1221"/>
        <w:numPr>
          <w:ilvl w:val="2"/>
          <w:numId w:val="16"/>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同步更换与油缸连接的全部高压软管。</w:t>
      </w:r>
      <w:r/>
    </w:p>
    <w:p>
      <w:pPr>
        <w:pStyle w:val="1225"/>
        <w:numPr>
          <w:ilvl w:val="3"/>
          <w:numId w:val="0"/>
        </w:numPr>
        <w:ind w:left="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2.2.2.2 </w:t>
      </w:r>
      <w:r>
        <w:rPr>
          <w:rFonts w:hint="eastAsia" w:ascii="宋体" w:hAnsi="宋体" w:cs="宋体"/>
          <w:color w:val="auto"/>
          <w:szCs w:val="24"/>
          <w:highlight w:val="none"/>
        </w:rPr>
        <w:t xml:space="preserve">液压站维修出新</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泵站12孔启闭机共用1套液压站，本次改造保留原有液压油箱（含补油箱）、油泵电机组，对控制阀组、密封件、监测仪表、滤清器全部换新，改造内容详述如下：</w:t>
      </w:r>
      <w:r/>
    </w:p>
    <w:p>
      <w:pPr>
        <w:pStyle w:val="1221"/>
        <w:numPr>
          <w:ilvl w:val="2"/>
          <w:numId w:val="17"/>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液压油箱就地拆解清洗除污，结合新阀块安装尺寸，在油箱顶面新开安装孔位；箱内原有液压油统一过滤净化处理，补充加注L-HM46型抗磨液压油，油品指标满足系统运行要求。</w:t>
      </w:r>
      <w:r/>
    </w:p>
    <w:p>
      <w:pPr>
        <w:pStyle w:val="1221"/>
        <w:numPr>
          <w:ilvl w:val="2"/>
          <w:numId w:val="17"/>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原2套油泵电机组出新。</w:t>
      </w:r>
      <w:r/>
    </w:p>
    <w:p>
      <w:pPr>
        <w:pStyle w:val="1221"/>
        <w:numPr>
          <w:ilvl w:val="2"/>
          <w:numId w:val="17"/>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拆除原有各类阀件，依据液压系统控制逻辑重新优化阀块布置，整体更换全套阀组及其它附件。</w:t>
      </w:r>
      <w:r/>
    </w:p>
    <w:p>
      <w:pPr>
        <w:pStyle w:val="1225"/>
        <w:numPr>
          <w:ilvl w:val="3"/>
          <w:numId w:val="0"/>
        </w:numPr>
        <w:ind w:left="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2.2.2.3 </w:t>
      </w:r>
      <w:r>
        <w:rPr>
          <w:rFonts w:hint="eastAsia" w:ascii="宋体" w:hAnsi="宋体" w:cs="宋体"/>
          <w:color w:val="auto"/>
          <w:szCs w:val="24"/>
          <w:highlight w:val="none"/>
        </w:rPr>
        <w:t xml:space="preserve">更换控制柜</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泵站12套启闭机共用1套PLC控制柜，在原安装点位布设全新成套PLC柜体。新控制柜硬件参数、控制性能、IO点位配置等技术指标均不低于原有控制柜标准；柜体控制系统软硬件按需优化选型，控制逻辑、接口配置与本次改造后的液压阀台参数相适配，满足液压启闭系统就地控制、信号采集及联动启闭要求。施工完成后完成电缆接驳、接地布设、单体调试及整机联动试验，保障整套启闭设备运行稳定可靠。</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泵站PLC控制柜要求参考节制闸。</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2.2.2.4 </w:t>
      </w:r>
      <w:r>
        <w:rPr>
          <w:rFonts w:hint="eastAsia" w:ascii="宋体" w:hAnsi="宋体" w:cs="宋体"/>
          <w:color w:val="auto"/>
          <w:szCs w:val="24"/>
          <w:highlight w:val="none"/>
        </w:rPr>
        <w:t xml:space="preserve">改造动力柜</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泵站12孔启闭机共用1套动力柜，本次不更换柜体主体，对原有动力柜实施整修翻新处理，具体内容如下：</w:t>
      </w:r>
      <w:r/>
    </w:p>
    <w:p>
      <w:pPr>
        <w:pStyle w:val="1221"/>
        <w:numPr>
          <w:ilvl w:val="2"/>
          <w:numId w:val="18"/>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全面拆解巡检柜内元器件，剔除更换破损、老化失效配件；</w:t>
      </w:r>
      <w:r/>
    </w:p>
    <w:p>
      <w:pPr>
        <w:pStyle w:val="1221"/>
        <w:numPr>
          <w:ilvl w:val="2"/>
          <w:numId w:val="18"/>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检查软启动器外观有无烧蚀、变形或异常发热痕迹；清洁散热风扇及散热片上的积尘，确保通风良好；用万用表测量主回路晶闸管及旁路接触器触点的通断与阻值是否正常；检查控制端子接线是否松动或氧化，并对所有紧固件重新拧紧。通电测试前，核对参数设置是否与电机额定值匹配，空载试运行观察启停过程有无异响、电流波动或过温报警，必要时更新固件或更换老化元件。</w:t>
      </w:r>
      <w:r/>
    </w:p>
    <w:p>
      <w:pPr>
        <w:pStyle w:val="1221"/>
        <w:numPr>
          <w:ilvl w:val="2"/>
          <w:numId w:val="18"/>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结合本次液压泵站、阀组更新改造方案，优化柜内一次、二次回路布线，调整线缆规格、接线点位，完成新旧设备之间配电线路接驳，满足新液压设备配电及控制要求；</w:t>
      </w:r>
      <w:r/>
    </w:p>
    <w:p>
      <w:pPr>
        <w:pStyle w:val="1221"/>
        <w:numPr>
          <w:ilvl w:val="2"/>
          <w:numId w:val="18"/>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清理柜体内部积尘油污，修复柜体锈蚀、破损部位，柜体除锈刷漆整体防腐出新，完善柜内标识、接线标号。</w:t>
      </w:r>
      <w:r/>
    </w:p>
    <w:p>
      <w:pPr>
        <w:pStyle w:val="1221"/>
        <w:numPr>
          <w:ilvl w:val="2"/>
          <w:numId w:val="18"/>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改造完工后开展绝缘测试、送电试验与整机联动调试，确保动力柜配电安全、运行可靠。</w:t>
      </w:r>
      <w:r/>
    </w:p>
    <w:p>
      <w:pPr>
        <w:pStyle w:val="1222"/>
        <w:numPr>
          <w:ilvl w:val="2"/>
          <w:numId w:val="0"/>
        </w:numPr>
        <w:ind w:left="426"/>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2.2.3 液压启闭机在线监测系统</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液压启闭机在线监测及保障系统，用于液压启闭机在运行工况下泵组振动、启闭机油液品质、运行噪声等参数的在线监测。通过在线监测及保障系统的数据分析，能够提前发现影响设备安全运行的缺陷及故障隐患，并通过信息传输与发布，提供预测预警，当故障发生时准确定位故障源及提供故障解决方案，确保液压启闭机的运行安全。</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液压启闭机在线监测及保障系统应是一套独立的智能化监测平台，采用专用上位机搭载组态软件构建。系统一方面通过布置于液压启闭机关键部位的传感器，采集实时状态参数；同时，液压启闭机传统的实时工况监测数据（如：压力、行程位置等）通过两条独立通道分别上传：一路传输至</w:t>
      </w:r>
      <w:r>
        <w:rPr>
          <w:rFonts w:hint="eastAsia" w:ascii="宋体" w:hAnsi="宋体"/>
          <w:color w:val="auto"/>
          <w:szCs w:val="24"/>
          <w:highlight w:val="none"/>
          <w:lang w:val="en-US" w:eastAsia="zh-CN"/>
        </w:rPr>
        <w:t xml:space="preserve">项目</w:t>
      </w:r>
      <w:r>
        <w:rPr>
          <w:rFonts w:hint="eastAsia" w:ascii="宋体" w:hAnsi="宋体"/>
          <w:color w:val="auto"/>
          <w:szCs w:val="24"/>
          <w:highlight w:val="none"/>
        </w:rPr>
        <w:t xml:space="preserve">上位控制系统，用于满足常规的过程监控与控制需求；另一路传输至本监测系统，用于实现基于上述状态参量的深度分析与故障预警。两路并行传输互不干扰，既保证了基础控制的实时性与可靠性，又为智能运维提供了独立的数据支撑。</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2.2.3.1 </w:t>
      </w:r>
      <w:r>
        <w:rPr>
          <w:rFonts w:hint="eastAsia" w:ascii="宋体" w:hAnsi="宋体" w:cs="宋体"/>
          <w:color w:val="auto"/>
          <w:szCs w:val="24"/>
          <w:highlight w:val="none"/>
        </w:rPr>
        <w:t xml:space="preserve">在线监测主要内容★</w:t>
      </w:r>
      <w:r/>
    </w:p>
    <w:p>
      <w:pPr>
        <w:pStyle w:val="1221"/>
        <w:numPr>
          <w:ilvl w:val="2"/>
          <w:numId w:val="19"/>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液压泵组振动监测（节制闸）：对油泵电机组进行振动监测，并实时进行时域和频域分析，用于评估启闭过程中油泵电机组的安全性。</w:t>
      </w:r>
      <w:bookmarkStart w:id="64" w:name="_Hlk169184187"/>
      <w:r>
        <w:rPr>
          <w:rFonts w:hint="eastAsia" w:ascii="宋体" w:hAnsi="宋体"/>
          <w:color w:val="auto"/>
          <w:szCs w:val="24"/>
          <w:highlight w:val="none"/>
        </w:rPr>
        <w:t xml:space="preserve">节制闸液压动力站3套油泵电机组各配置1套三轴加速度传感器，泵站液压动力站不配置（但现场采集箱预留接口）。</w:t>
      </w:r>
      <w:bookmarkEnd w:id="64"/>
      <w:r/>
      <w:r/>
    </w:p>
    <w:p>
      <w:pPr>
        <w:pStyle w:val="1221"/>
        <w:numPr>
          <w:ilvl w:val="2"/>
          <w:numId w:val="19"/>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启闭机油液品质监测：对液压启闭机液压油污染度、水分、粘度、清洁度、乳化等进行监测，实时掌握液压启闭机油液品质，用于指导启闭机油液的过滤和更换。节制闸、泵站液压动力站各配置1套油液品质传感器。</w:t>
      </w:r>
      <w:r/>
    </w:p>
    <w:p>
      <w:pPr>
        <w:pStyle w:val="1221"/>
        <w:numPr>
          <w:ilvl w:val="2"/>
          <w:numId w:val="19"/>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对启闭机的运行噪声进行监测，并分析工作过程中启闭机的运行噪声是否满足安全运行要求和提前判断故障。液压动力站配置2套噪声监测传感器。</w:t>
      </w:r>
      <w:r/>
    </w:p>
    <w:p>
      <w:pPr>
        <w:pStyle w:val="1221"/>
        <w:numPr>
          <w:ilvl w:val="2"/>
          <w:numId w:val="19"/>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节制闸、泵站的液压动力站附近各设置1台现场数据采集箱，用于数据归集并上传至在线监测系统专用上位机。</w:t>
      </w:r>
      <w:r/>
    </w:p>
    <w:p>
      <w:pPr>
        <w:pStyle w:val="1221"/>
        <w:numPr>
          <w:ilvl w:val="2"/>
          <w:numId w:val="19"/>
        </w:numPr>
        <w:spacing w:after="0" w:line="360" w:lineRule="auto"/>
        <w:widowControl w:val="off"/>
        <w:rPr>
          <w:rFonts w:ascii="宋体" w:hAnsi="宋体"/>
          <w:b/>
          <w:color w:val="auto"/>
          <w:szCs w:val="24"/>
          <w:highlight w:val="none"/>
        </w:rPr>
      </w:pPr>
      <w:r>
        <w:rPr>
          <w:rFonts w:hint="eastAsia" w:ascii="宋体" w:hAnsi="宋体"/>
          <w:b/>
          <w:color w:val="auto"/>
          <w:szCs w:val="24"/>
          <w:highlight w:val="none"/>
        </w:rPr>
        <w:t xml:space="preserve">通过读取现地PLC参数的方式将数据集成到在线监测系统。读取参数包括：节制闸油缸有杆/无杆腔压力、泵站油缸有杆腔压力、节制闸及泵站液压站的系统压力、高压滤油器状态、滤清器状态、油液温度、运行电流等。</w:t>
      </w:r>
      <w:r/>
    </w:p>
    <w:p>
      <w:pPr>
        <w:pStyle w:val="1225"/>
        <w:numPr>
          <w:ilvl w:val="3"/>
          <w:numId w:val="0"/>
        </w:numPr>
        <w:ind w:left="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2.2.3.2 </w:t>
      </w:r>
      <w:r>
        <w:rPr>
          <w:rFonts w:hint="eastAsia" w:ascii="宋体" w:hAnsi="宋体" w:cs="宋体"/>
          <w:color w:val="auto"/>
          <w:szCs w:val="24"/>
          <w:highlight w:val="none"/>
        </w:rPr>
        <w:t xml:space="preserve">数据采集控制技术要求</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现场数据采集箱、启闭机现地PLC控制柜的监测物理量数据均通过交换机上传至既有上位机（交换机位于PLC柜内），既有上位机位于中控室。</w:t>
      </w:r>
      <w:r/>
    </w:p>
    <w:p>
      <w:pPr>
        <w:pStyle w:val="1221"/>
        <w:numPr>
          <w:ilvl w:val="2"/>
          <w:numId w:val="20"/>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振动、油液品质、噪音监测传感器应采用数字通讯，通讯协议应为Ethernet、CAN或MODBUS等公有协议，不得采用模拟量通讯或私有数字通讯协议；</w:t>
      </w:r>
      <w:r/>
    </w:p>
    <w:p>
      <w:pPr>
        <w:pStyle w:val="1221"/>
        <w:numPr>
          <w:ilvl w:val="2"/>
          <w:numId w:val="20"/>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现场采集箱下行接口为4~20mA、SSI、RS485可选；上传接口为RS485。</w:t>
      </w:r>
      <w:r/>
    </w:p>
    <w:p>
      <w:pPr>
        <w:pStyle w:val="1225"/>
        <w:numPr>
          <w:ilvl w:val="3"/>
          <w:numId w:val="0"/>
        </w:numPr>
        <w:ind w:left="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2.2.3.3 </w:t>
      </w:r>
      <w:r>
        <w:rPr>
          <w:rFonts w:hint="eastAsia" w:ascii="宋体" w:hAnsi="宋体" w:cs="宋体"/>
          <w:color w:val="auto"/>
          <w:szCs w:val="24"/>
          <w:highlight w:val="none"/>
        </w:rPr>
        <w:t xml:space="preserve">软件功能要求</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为满足数据存储、比对分析、显示、报警提示等功能，需对上位机软件系统进行升级改造。系统配置1套启闭机状态在线监测软件，软件应具备良好的系统开放性、扩展性、智能诊断与处理能力，主要功能要求如下：</w:t>
      </w:r>
      <w:r/>
    </w:p>
    <w:p>
      <w:pPr>
        <w:pStyle w:val="1221"/>
        <w:numPr>
          <w:ilvl w:val="2"/>
          <w:numId w:val="21"/>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基本信息查询功能</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展示启闭机所在位置的信息，启闭机的各项基本信息，包括型号、名称、编号等相关信息。</w:t>
      </w:r>
      <w:r/>
    </w:p>
    <w:p>
      <w:pPr>
        <w:pStyle w:val="1221"/>
        <w:numPr>
          <w:ilvl w:val="2"/>
          <w:numId w:val="21"/>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启闭机运行状态监测功能</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基于启闭机在线监测的实时数据，对启闭机运行状态进行监测。</w:t>
      </w:r>
      <w:r/>
    </w:p>
    <w:p>
      <w:pPr>
        <w:pStyle w:val="1221"/>
        <w:numPr>
          <w:ilvl w:val="2"/>
          <w:numId w:val="21"/>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监测数据查询展示模块</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启闭机的在线监测数据会以实时的方式进行数据展示，在需要对数据分析时，可进行当前状态值的查询和历史曲线的查询，并可进行多监测数据的横向对比以及历史数据的导出。</w:t>
      </w:r>
      <w:r/>
    </w:p>
    <w:p>
      <w:pPr>
        <w:pStyle w:val="1221"/>
        <w:numPr>
          <w:ilvl w:val="2"/>
          <w:numId w:val="21"/>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数据整合分析及报警功能</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系统应具备数据整合和数据分析的能力，能从液压启闭机现地PLC控制系统中读取液压系统压力、有杆/无杆腔压力（仅节制闸）、滤芯状态、油液温度、运行电流等参数；能从采集箱中获取油泵电机组振动、油液品质、噪音监测等参数；并提供各种专业的数据分析，当参数超过限值时发出报警，为决策层提供设备状况的决策参考，提高设备运行整体安全性、可靠性。</w:t>
      </w:r>
      <w:r/>
    </w:p>
    <w:p>
      <w:pPr>
        <w:pStyle w:val="1221"/>
        <w:numPr>
          <w:ilvl w:val="2"/>
          <w:numId w:val="21"/>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运行记录及报表功能</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系统自动对每次运行的监测数据和动作数据进行机器记录，记录其运行开始时间、运行结束动作、运行时长、运行动作、监测的各参数大小及趋势等，并将重要运行曲线和监测数据机器记录生成报表，方便后期查阅。</w:t>
      </w:r>
      <w:r/>
    </w:p>
    <w:p>
      <w:pPr>
        <w:pStyle w:val="1225"/>
        <w:numPr>
          <w:ilvl w:val="3"/>
          <w:numId w:val="0"/>
        </w:numPr>
        <w:ind w:left="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2.2.3.4 </w:t>
      </w:r>
      <w:r>
        <w:rPr>
          <w:rFonts w:hint="eastAsia" w:ascii="宋体" w:hAnsi="宋体" w:cs="宋体"/>
          <w:color w:val="auto"/>
          <w:szCs w:val="24"/>
          <w:highlight w:val="none"/>
        </w:rPr>
        <w:t xml:space="preserve">配套硬件</w:t>
      </w:r>
      <w:r/>
    </w:p>
    <w:p>
      <w:pPr>
        <w:pStyle w:val="1223"/>
        <w:numPr>
          <w:ilvl w:val="6"/>
          <w:numId w:val="0"/>
        </w:numPr>
        <w:rPr>
          <w:rFonts w:ascii="宋体" w:hAnsi="宋体" w:cs="宋体"/>
          <w:color w:val="auto"/>
          <w:szCs w:val="24"/>
          <w:highlight w:val="none"/>
        </w:rPr>
      </w:pPr>
      <w:r>
        <w:rPr>
          <w:rFonts w:hint="eastAsia" w:ascii="宋体" w:hAnsi="宋体" w:cs="宋体"/>
          <w:color w:val="auto"/>
          <w:szCs w:val="24"/>
          <w:highlight w:val="none"/>
        </w:rPr>
        <w:t xml:space="preserve">表2.2-1  配套硬件参数表</w:t>
      </w:r>
      <w:r/>
    </w:p>
    <w:tbl>
      <w:tblPr>
        <w:tblStyle w:val="838"/>
        <w:tblW w:w="466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2"/>
        <w:gridCol w:w="2136"/>
        <w:gridCol w:w="1136"/>
        <w:gridCol w:w="4921"/>
      </w:tblGrid>
      <w:tr>
        <w:trPr>
          <w:jc w:val="center"/>
          <w:trHeight w:val="522"/>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pStyle w:val="1224"/>
              <w:rPr>
                <w:rFonts w:ascii="宋体" w:hAnsi="宋体"/>
                <w:color w:val="auto"/>
                <w:sz w:val="24"/>
                <w:szCs w:val="24"/>
                <w:highlight w:val="none"/>
                <w:lang w:eastAsia="en-US"/>
              </w:rPr>
            </w:pPr>
            <w:r>
              <w:rPr>
                <w:rFonts w:hint="eastAsia" w:ascii="宋体" w:hAnsi="宋体"/>
                <w:color w:val="auto"/>
                <w:sz w:val="24"/>
                <w:szCs w:val="24"/>
                <w:highlight w:val="none"/>
                <w:lang w:eastAsia="en-US"/>
              </w:rPr>
              <w:t xml:space="preserve">序号</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lang w:eastAsia="en-US"/>
              </w:rPr>
              <w:t xml:space="preserve">项目</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pStyle w:val="1224"/>
              <w:rPr>
                <w:rFonts w:ascii="宋体" w:hAnsi="宋体"/>
                <w:color w:val="auto"/>
                <w:sz w:val="24"/>
                <w:szCs w:val="24"/>
                <w:highlight w:val="none"/>
                <w:lang w:eastAsia="en-US"/>
              </w:rPr>
            </w:pPr>
            <w:r>
              <w:rPr>
                <w:rFonts w:hint="eastAsia" w:ascii="宋体" w:hAnsi="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4811" w:type="dxa"/>
            <w:vAlign w:val="center"/>
            <w:textDirection w:val="lrTb"/>
            <w:noWrap w:val="false"/>
          </w:tcPr>
          <w:p>
            <w:pPr>
              <w:pStyle w:val="1224"/>
              <w:rPr>
                <w:rFonts w:ascii="宋体" w:hAnsi="宋体"/>
                <w:color w:val="auto"/>
                <w:sz w:val="24"/>
                <w:szCs w:val="24"/>
                <w:highlight w:val="none"/>
                <w:lang w:eastAsia="en-US"/>
              </w:rPr>
            </w:pPr>
            <w:r>
              <w:rPr>
                <w:rFonts w:hint="eastAsia" w:ascii="宋体" w:hAnsi="宋体"/>
                <w:color w:val="auto"/>
                <w:sz w:val="24"/>
                <w:szCs w:val="24"/>
                <w:highlight w:val="none"/>
                <w:lang w:eastAsia="en-US"/>
              </w:rPr>
              <w:t xml:space="preserve">传感器性能指标</w:t>
            </w:r>
            <w:r/>
          </w:p>
        </w:tc>
      </w:tr>
      <w:tr>
        <w:trPr>
          <w:jc w:val="center"/>
          <w:trHeight w:val="274"/>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rPr>
              <w:t xml:space="preserve">振动传感器</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rPr>
              <w:t xml:space="preserve">3套</w:t>
            </w:r>
            <w:r/>
          </w:p>
        </w:tc>
        <w:tc>
          <w:tcPr>
            <w:tcBorders>
              <w:top w:val="single" w:color="auto" w:sz="4" w:space="0"/>
              <w:left w:val="single" w:color="auto" w:sz="4" w:space="0"/>
              <w:bottom w:val="single" w:color="auto" w:sz="4" w:space="0"/>
              <w:right w:val="single" w:color="auto" w:sz="4" w:space="0"/>
            </w:tcBorders>
            <w:tcW w:w="4811"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rPr>
              <w:t xml:space="preserve">三轴加速度传感器：</w:t>
            </w:r>
            <w:r/>
          </w:p>
          <w:p>
            <w:pPr>
              <w:pStyle w:val="1224"/>
              <w:rPr>
                <w:rFonts w:ascii="宋体" w:hAnsi="宋体"/>
                <w:color w:val="auto"/>
                <w:sz w:val="24"/>
                <w:szCs w:val="24"/>
                <w:highlight w:val="none"/>
              </w:rPr>
            </w:pPr>
            <w:r>
              <w:rPr>
                <w:rFonts w:hint="eastAsia" w:ascii="宋体" w:hAnsi="宋体"/>
                <w:color w:val="auto"/>
                <w:sz w:val="24"/>
                <w:szCs w:val="24"/>
                <w:highlight w:val="none"/>
              </w:rPr>
              <w:t xml:space="preserve">1）类型：数字传感器</w:t>
            </w:r>
            <w:r/>
          </w:p>
          <w:p>
            <w:pPr>
              <w:pStyle w:val="1224"/>
              <w:rPr>
                <w:rFonts w:ascii="宋体" w:hAnsi="宋体"/>
                <w:color w:val="auto"/>
                <w:sz w:val="24"/>
                <w:szCs w:val="24"/>
                <w:highlight w:val="none"/>
              </w:rPr>
            </w:pPr>
            <w:r>
              <w:rPr>
                <w:rFonts w:hint="eastAsia" w:ascii="宋体" w:hAnsi="宋体"/>
                <w:color w:val="auto"/>
                <w:sz w:val="24"/>
                <w:szCs w:val="24"/>
                <w:highlight w:val="none"/>
              </w:rPr>
              <w:t xml:space="preserve">2）容量：不低于±10g</w:t>
            </w:r>
            <w:r/>
          </w:p>
          <w:p>
            <w:pPr>
              <w:pStyle w:val="1224"/>
              <w:rPr>
                <w:rFonts w:ascii="宋体" w:hAnsi="宋体"/>
                <w:color w:val="auto"/>
                <w:sz w:val="24"/>
                <w:szCs w:val="24"/>
                <w:highlight w:val="none"/>
              </w:rPr>
            </w:pPr>
            <w:r>
              <w:rPr>
                <w:rFonts w:hint="eastAsia" w:ascii="宋体" w:hAnsi="宋体"/>
                <w:color w:val="auto"/>
                <w:sz w:val="24"/>
                <w:szCs w:val="24"/>
                <w:highlight w:val="none"/>
              </w:rPr>
              <w:t xml:space="preserve">3）灵敏度：&lt;0.01g</w:t>
            </w:r>
            <w:r/>
          </w:p>
          <w:p>
            <w:pPr>
              <w:pStyle w:val="1224"/>
              <w:rPr>
                <w:rFonts w:ascii="宋体" w:hAnsi="宋体"/>
                <w:color w:val="auto"/>
                <w:sz w:val="24"/>
                <w:szCs w:val="24"/>
                <w:highlight w:val="none"/>
              </w:rPr>
            </w:pPr>
            <w:r>
              <w:rPr>
                <w:rFonts w:hint="eastAsia" w:ascii="宋体" w:hAnsi="宋体"/>
                <w:color w:val="auto"/>
                <w:sz w:val="24"/>
                <w:szCs w:val="24"/>
                <w:highlight w:val="none"/>
              </w:rPr>
              <w:t xml:space="preserve">4）防护等级：IP65</w:t>
            </w:r>
            <w:r/>
          </w:p>
        </w:tc>
      </w:tr>
      <w:tr>
        <w:trPr>
          <w:jc w:val="center"/>
          <w:trHeight w:val="699"/>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rPr>
              <w:t xml:space="preserve">油液品质传感器</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rPr>
              <w:t xml:space="preserve">2组</w:t>
            </w:r>
            <w:r/>
          </w:p>
        </w:tc>
        <w:tc>
          <w:tcPr>
            <w:tcBorders>
              <w:top w:val="single" w:color="auto" w:sz="4" w:space="0"/>
              <w:left w:val="single" w:color="auto" w:sz="4" w:space="0"/>
              <w:bottom w:val="single" w:color="auto" w:sz="4" w:space="0"/>
              <w:right w:val="single" w:color="auto" w:sz="4" w:space="0"/>
            </w:tcBorders>
            <w:tcW w:w="4811"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rPr>
              <w:t xml:space="preserve">油液污染度（固体颗粒度）监测，符合NAS1638以及水分、粘度、清洁度、乳化等监测，集成在液压动力站上。</w:t>
            </w:r>
            <w:r/>
          </w:p>
        </w:tc>
      </w:tr>
      <w:tr>
        <w:trPr>
          <w:jc w:val="center"/>
          <w:trHeight w:val="699"/>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rPr>
              <w:t xml:space="preserve">噪声传感器</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rPr>
              <w:t xml:space="preserve">2套</w:t>
            </w:r>
            <w:r/>
          </w:p>
        </w:tc>
        <w:tc>
          <w:tcPr>
            <w:tcBorders>
              <w:top w:val="single" w:color="auto" w:sz="4" w:space="0"/>
              <w:left w:val="single" w:color="auto" w:sz="4" w:space="0"/>
              <w:bottom w:val="single" w:color="auto" w:sz="4" w:space="0"/>
              <w:right w:val="single" w:color="auto" w:sz="4" w:space="0"/>
            </w:tcBorders>
            <w:tcW w:w="4811"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rPr>
              <w:t xml:space="preserve">噪音传感器：</w:t>
            </w:r>
            <w:r/>
          </w:p>
          <w:p>
            <w:pPr>
              <w:pStyle w:val="1224"/>
              <w:rPr>
                <w:rFonts w:ascii="宋体" w:hAnsi="宋体"/>
                <w:color w:val="auto"/>
                <w:sz w:val="24"/>
                <w:szCs w:val="24"/>
                <w:highlight w:val="none"/>
              </w:rPr>
            </w:pPr>
            <w:r>
              <w:rPr>
                <w:rFonts w:hint="eastAsia" w:ascii="宋体" w:hAnsi="宋体"/>
                <w:color w:val="auto"/>
                <w:sz w:val="24"/>
                <w:szCs w:val="24"/>
                <w:highlight w:val="none"/>
              </w:rPr>
              <w:t xml:space="preserve">1）类型：数字传感器</w:t>
            </w:r>
            <w:r/>
          </w:p>
          <w:p>
            <w:pPr>
              <w:pStyle w:val="1224"/>
              <w:rPr>
                <w:rFonts w:ascii="宋体" w:hAnsi="宋体"/>
                <w:color w:val="auto"/>
                <w:sz w:val="24"/>
                <w:szCs w:val="24"/>
                <w:highlight w:val="none"/>
              </w:rPr>
            </w:pPr>
            <w:r>
              <w:rPr>
                <w:rFonts w:hint="eastAsia" w:ascii="宋体" w:hAnsi="宋体"/>
                <w:color w:val="auto"/>
                <w:sz w:val="24"/>
                <w:szCs w:val="24"/>
                <w:highlight w:val="none"/>
              </w:rPr>
              <w:t xml:space="preserve">2）灵敏度：-26dBFS （94dB @1kHz）</w:t>
            </w:r>
            <w:r/>
          </w:p>
          <w:p>
            <w:pPr>
              <w:pStyle w:val="1224"/>
              <w:rPr>
                <w:rFonts w:ascii="宋体" w:hAnsi="宋体"/>
                <w:color w:val="auto"/>
                <w:sz w:val="24"/>
                <w:szCs w:val="24"/>
                <w:highlight w:val="none"/>
              </w:rPr>
            </w:pPr>
            <w:r>
              <w:rPr>
                <w:rFonts w:hint="eastAsia" w:ascii="宋体" w:hAnsi="宋体"/>
                <w:color w:val="auto"/>
                <w:sz w:val="24"/>
                <w:szCs w:val="24"/>
                <w:highlight w:val="none"/>
              </w:rPr>
              <w:t xml:space="preserve">3）方向：全向</w:t>
            </w:r>
            <w:r/>
          </w:p>
          <w:p>
            <w:pPr>
              <w:pStyle w:val="1224"/>
              <w:rPr>
                <w:rFonts w:ascii="宋体" w:hAnsi="宋体"/>
                <w:color w:val="auto"/>
                <w:sz w:val="24"/>
                <w:szCs w:val="24"/>
                <w:highlight w:val="none"/>
              </w:rPr>
            </w:pPr>
            <w:r>
              <w:rPr>
                <w:rFonts w:hint="eastAsia" w:ascii="宋体" w:hAnsi="宋体"/>
                <w:color w:val="auto"/>
                <w:sz w:val="24"/>
                <w:szCs w:val="24"/>
                <w:highlight w:val="none"/>
              </w:rPr>
              <w:t xml:space="preserve">4）防护等级：IP65</w:t>
            </w:r>
            <w:r/>
          </w:p>
        </w:tc>
      </w:tr>
      <w:tr>
        <w:trPr>
          <w:jc w:val="center"/>
          <w:trHeight w:val="699"/>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88"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rPr>
              <w:t xml:space="preserve">现场数据采集箱</w:t>
            </w:r>
            <w:r/>
          </w:p>
        </w:tc>
        <w:tc>
          <w:tcPr>
            <w:tcBorders>
              <w:top w:val="single" w:color="auto" w:sz="4" w:space="0"/>
              <w:left w:val="single" w:color="auto" w:sz="4" w:space="0"/>
              <w:bottom w:val="single" w:color="auto" w:sz="4" w:space="0"/>
              <w:right w:val="single" w:color="auto" w:sz="4" w:space="0"/>
            </w:tcBorders>
            <w:tcW w:w="1111"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rPr>
              <w:t xml:space="preserve">2套</w:t>
            </w:r>
            <w:r/>
          </w:p>
        </w:tc>
        <w:tc>
          <w:tcPr>
            <w:tcBorders>
              <w:top w:val="single" w:color="auto" w:sz="4" w:space="0"/>
              <w:left w:val="single" w:color="auto" w:sz="4" w:space="0"/>
              <w:bottom w:val="single" w:color="auto" w:sz="4" w:space="0"/>
              <w:right w:val="single" w:color="auto" w:sz="4" w:space="0"/>
            </w:tcBorders>
            <w:tcW w:w="4811" w:type="dxa"/>
            <w:vAlign w:val="center"/>
            <w:textDirection w:val="lrTb"/>
            <w:noWrap w:val="false"/>
          </w:tcPr>
          <w:p>
            <w:pPr>
              <w:pStyle w:val="1224"/>
              <w:rPr>
                <w:rFonts w:ascii="宋体" w:hAnsi="宋体"/>
                <w:color w:val="auto"/>
                <w:sz w:val="24"/>
                <w:szCs w:val="24"/>
                <w:highlight w:val="none"/>
              </w:rPr>
            </w:pPr>
            <w:r>
              <w:rPr>
                <w:rFonts w:hint="eastAsia" w:ascii="宋体" w:hAnsi="宋体"/>
                <w:color w:val="auto"/>
                <w:sz w:val="24"/>
                <w:szCs w:val="24"/>
                <w:highlight w:val="none"/>
              </w:rPr>
              <w:t xml:space="preserve">节制闸、泵站液压动力站处各设1套</w:t>
            </w:r>
            <w:r/>
          </w:p>
        </w:tc>
      </w:tr>
      <w:tr>
        <w:trPr>
          <w:jc w:val="center"/>
          <w:trHeight w:val="699"/>
        </w:trPr>
        <w:tc>
          <w:tcPr>
            <w:gridSpan w:val="4"/>
            <w:tcBorders>
              <w:top w:val="single" w:color="auto" w:sz="4" w:space="0"/>
              <w:left w:val="single" w:color="auto" w:sz="4" w:space="0"/>
              <w:bottom w:val="single" w:color="auto" w:sz="4" w:space="0"/>
              <w:right w:val="single" w:color="auto" w:sz="4" w:space="0"/>
            </w:tcBorders>
            <w:tcW w:w="8785" w:type="dxa"/>
            <w:vAlign w:val="center"/>
            <w:textDirection w:val="lrTb"/>
            <w:noWrap w:val="false"/>
          </w:tcPr>
          <w:p>
            <w:pPr>
              <w:pStyle w:val="1224"/>
              <w:jc w:val="both"/>
              <w:rPr>
                <w:rFonts w:ascii="宋体" w:hAnsi="宋体"/>
                <w:color w:val="auto"/>
                <w:sz w:val="24"/>
                <w:szCs w:val="24"/>
                <w:highlight w:val="none"/>
              </w:rPr>
            </w:pPr>
            <w:r>
              <w:rPr>
                <w:rFonts w:hint="eastAsia" w:ascii="宋体" w:hAnsi="宋体"/>
                <w:color w:val="auto"/>
                <w:sz w:val="24"/>
                <w:szCs w:val="24"/>
                <w:highlight w:val="none"/>
              </w:rPr>
              <w:t xml:space="preserve">备注：其他监测物理量均从启闭机现地PLC控制柜读取，不另设监测传感器，利用控制柜内交换机上传到上位机。</w:t>
            </w:r>
            <w:r/>
          </w:p>
        </w:tc>
      </w:tr>
    </w:tbl>
    <w:p>
      <w:pPr>
        <w:pStyle w:val="1225"/>
        <w:numPr>
          <w:ilvl w:val="3"/>
          <w:numId w:val="0"/>
        </w:numPr>
        <w:ind w:left="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2.2.3.5 </w:t>
      </w:r>
      <w:r>
        <w:rPr>
          <w:rFonts w:hint="eastAsia" w:ascii="宋体" w:hAnsi="宋体" w:cs="宋体"/>
          <w:color w:val="auto"/>
          <w:szCs w:val="24"/>
          <w:highlight w:val="none"/>
        </w:rPr>
        <w:t xml:space="preserve">上位机</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控制室新增2台启闭机在线监测专用上位机（硬件），安装启闭机在线监测专用软件，集中展示液压系统相关实时监测数据，具体报警、历史数据查询相关功能。另配2台业务工作站。</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上位机和业务工作站配置均不低于以下配置： i7-1195G7、8G内存+512G 、配双千兆网口+4~6个串口、支持 9-36V 宽压与无风扇密闭散热。</w:t>
      </w:r>
      <w:r/>
    </w:p>
    <w:p>
      <w:pPr>
        <w:pStyle w:val="1014"/>
        <w:jc w:val="left"/>
        <w:keepNext w:val="0"/>
        <w:spacing w:after="0" w:line="360" w:lineRule="auto"/>
        <w:widowControl w:val="off"/>
        <w:rPr>
          <w:rFonts w:ascii="宋体" w:hAnsi="宋体" w:eastAsia="宋体"/>
          <w:color w:val="auto"/>
          <w:sz w:val="24"/>
          <w:szCs w:val="24"/>
          <w:highlight w:val="none"/>
        </w:rPr>
      </w:pPr>
      <w:r/>
      <w:bookmarkStart w:id="65" w:name="_Toc20406"/>
      <w:r>
        <w:rPr>
          <w:rFonts w:hint="eastAsia" w:ascii="宋体" w:hAnsi="宋体" w:eastAsia="宋体"/>
          <w:color w:val="auto"/>
          <w:sz w:val="24"/>
          <w:szCs w:val="24"/>
          <w:highlight w:val="none"/>
        </w:rPr>
        <w:t xml:space="preserve">2.3 控制与操作要求</w:t>
      </w:r>
      <w:bookmarkEnd w:id="65"/>
      <w:r/>
      <w:r/>
    </w:p>
    <w:p>
      <w:pPr>
        <w:pStyle w:val="1222"/>
        <w:numPr>
          <w:ilvl w:val="2"/>
          <w:numId w:val="0"/>
        </w:numPr>
        <w:ind w:left="426"/>
        <w:spacing w:line="360" w:lineRule="auto"/>
        <w:rPr>
          <w:rFonts w:ascii="宋体" w:hAnsi="宋体" w:cs="宋体"/>
          <w:b/>
          <w:bCs w:val="0"/>
          <w:color w:val="auto"/>
          <w:szCs w:val="24"/>
          <w:highlight w:val="none"/>
        </w:rPr>
      </w:pPr>
      <w:r>
        <w:rPr>
          <w:rFonts w:hint="eastAsia" w:ascii="宋体" w:hAnsi="宋体" w:cs="宋体"/>
          <w:b/>
          <w:bCs w:val="0"/>
          <w:color w:val="auto"/>
          <w:szCs w:val="24"/>
          <w:highlight w:val="none"/>
        </w:rPr>
        <w:t xml:space="preserve">2.3.1 节制闸液压启闭机控制与操作</w:t>
      </w:r>
      <w:r/>
    </w:p>
    <w:p>
      <w:pPr>
        <w:pStyle w:val="1225"/>
        <w:numPr>
          <w:ilvl w:val="3"/>
          <w:numId w:val="0"/>
        </w:numPr>
        <w:ind w:firstLine="420"/>
        <w:spacing w:line="360" w:lineRule="auto"/>
        <w:rPr>
          <w:rFonts w:ascii="宋体" w:hAnsi="宋体" w:cs="宋体"/>
          <w:color w:val="auto"/>
          <w:sz w:val="21"/>
          <w:szCs w:val="21"/>
          <w:highlight w:val="none"/>
        </w:rPr>
      </w:pPr>
      <w:r>
        <w:rPr>
          <w:rFonts w:hint="eastAsia" w:ascii="宋体" w:hAnsi="宋体" w:cs="宋体"/>
          <w:bCs/>
          <w:color w:val="auto"/>
          <w:sz w:val="21"/>
          <w:szCs w:val="21"/>
          <w:highlight w:val="none"/>
          <w:lang w:val="en-US"/>
        </w:rPr>
        <w:t xml:space="preserve">2.3.1.1 </w:t>
      </w:r>
      <w:r>
        <w:rPr>
          <w:rFonts w:hint="eastAsia" w:ascii="宋体" w:hAnsi="宋体" w:cs="宋体"/>
          <w:color w:val="auto"/>
          <w:sz w:val="21"/>
          <w:szCs w:val="21"/>
          <w:highlight w:val="none"/>
        </w:rPr>
        <w:t xml:space="preserve">液压启闭机应能在动水中启闭闸门；并能在行程范围内的任意位置锁定并可靠持住闸门；能在设定的任意位置自动停机。★</w:t>
      </w:r>
      <w:r/>
    </w:p>
    <w:p>
      <w:pPr>
        <w:pStyle w:val="1225"/>
        <w:numPr>
          <w:ilvl w:val="3"/>
          <w:numId w:val="0"/>
        </w:numPr>
        <w:ind w:firstLine="480"/>
        <w:spacing w:line="360" w:lineRule="auto"/>
        <w:rPr>
          <w:rFonts w:ascii="宋体" w:hAnsi="宋体" w:cs="宋体"/>
          <w:bCs/>
          <w:color w:val="auto"/>
          <w:szCs w:val="24"/>
          <w:highlight w:val="none"/>
        </w:rPr>
      </w:pPr>
      <w:r>
        <w:rPr>
          <w:rFonts w:hint="eastAsia" w:ascii="宋体" w:hAnsi="宋体" w:cs="宋体"/>
          <w:bCs/>
          <w:color w:val="auto"/>
          <w:szCs w:val="24"/>
          <w:highlight w:val="none"/>
          <w:lang w:val="en-US"/>
        </w:rPr>
        <w:t xml:space="preserve">2.3.1.2 </w:t>
      </w:r>
      <w:r>
        <w:rPr>
          <w:rFonts w:hint="eastAsia" w:ascii="宋体" w:hAnsi="宋体" w:cs="宋体"/>
          <w:bCs/>
          <w:color w:val="auto"/>
          <w:szCs w:val="24"/>
          <w:highlight w:val="none"/>
        </w:rPr>
        <w:t xml:space="preserve">每套油缸左右两侧的有杆腔油路均设置电液比例调速阀，通过闭环控制自动纠偏实现双缸同步，双缸同步偏差控制在15mm（暂定值，根据现场调试确定实际值）范围内。当闸门启闭运行时，行程检测装置全程连续检测两只液压缸的行程偏差，当行程偏差≥15mm（暂定值，根据现场调试确定实际值）时，自动纠偏并发出报警信号，当行程偏差≥20mm（暂定值，根据现场调试确定实际值）时，液压系统自动停机保护并锁定。★</w:t>
      </w:r>
      <w:r/>
    </w:p>
    <w:p>
      <w:pPr>
        <w:pStyle w:val="1221"/>
        <w:spacing w:after="0" w:line="360" w:lineRule="auto"/>
        <w:widowControl w:val="off"/>
        <w:rPr>
          <w:rFonts w:ascii="宋体" w:hAnsi="宋体"/>
          <w:bCs/>
          <w:color w:val="auto"/>
          <w:szCs w:val="24"/>
          <w:highlight w:val="none"/>
        </w:rPr>
      </w:pPr>
      <w:r>
        <w:rPr>
          <w:rFonts w:hint="eastAsia" w:ascii="宋体" w:hAnsi="宋体"/>
          <w:bCs/>
          <w:color w:val="auto"/>
          <w:szCs w:val="24"/>
          <w:highlight w:val="none"/>
        </w:rPr>
        <w:t xml:space="preserve">闸门运行时，液压启闭机的陶瓷活塞杆带有的行程检测装置全程连续检测液压缸的行程。正常工作时以陶瓷活塞杆的行程检测信号为主，当陶瓷活塞杆的行程检测信号异常，每只液压缸备用的静磁栅行程检测信号可自动切入。★</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bCs/>
          <w:color w:val="auto"/>
          <w:szCs w:val="24"/>
          <w:highlight w:val="none"/>
          <w:lang w:val="en-US"/>
        </w:rPr>
        <w:t xml:space="preserve">2.3.1.3 </w:t>
      </w:r>
      <w:r>
        <w:rPr>
          <w:rFonts w:hint="eastAsia" w:ascii="宋体" w:hAnsi="宋体" w:cs="宋体"/>
          <w:bCs/>
          <w:color w:val="auto"/>
          <w:szCs w:val="24"/>
          <w:highlight w:val="none"/>
        </w:rPr>
        <w:t xml:space="preserve">油</w:t>
      </w:r>
      <w:r>
        <w:rPr>
          <w:rFonts w:hint="eastAsia" w:ascii="宋体" w:hAnsi="宋体" w:cs="宋体"/>
          <w:color w:val="auto"/>
          <w:szCs w:val="24"/>
          <w:highlight w:val="none"/>
        </w:rPr>
        <w:t xml:space="preserve">缸的有杆、无杆腔均设置缸旁闭锁阀。★</w:t>
      </w:r>
      <w:r/>
    </w:p>
    <w:p>
      <w:pPr>
        <w:pStyle w:val="1225"/>
        <w:numPr>
          <w:ilvl w:val="3"/>
          <w:numId w:val="0"/>
        </w:numPr>
        <w:ind w:firstLine="482"/>
        <w:spacing w:line="360" w:lineRule="auto"/>
        <w:rPr>
          <w:rFonts w:ascii="宋体" w:hAnsi="宋体" w:cs="宋体"/>
          <w:b/>
          <w:color w:val="auto"/>
          <w:szCs w:val="24"/>
          <w:highlight w:val="none"/>
        </w:rPr>
      </w:pPr>
      <w:r>
        <w:rPr>
          <w:rFonts w:hint="eastAsia" w:ascii="宋体" w:hAnsi="宋体" w:cs="宋体"/>
          <w:b/>
          <w:color w:val="auto"/>
          <w:szCs w:val="24"/>
          <w:highlight w:val="none"/>
          <w:lang w:val="en-US"/>
        </w:rPr>
        <w:t xml:space="preserve">2.3.1.4 </w:t>
      </w:r>
      <w:r>
        <w:rPr>
          <w:rFonts w:hint="eastAsia" w:ascii="宋体" w:hAnsi="宋体" w:cs="宋体"/>
          <w:b/>
          <w:color w:val="auto"/>
          <w:szCs w:val="24"/>
          <w:highlight w:val="none"/>
        </w:rPr>
        <w:t xml:space="preserve">液压系统配有多个压力传感器对系统压力、液压缸有杆腔、无杆腔进行监控，还具备油温、液位、高压滤油器状态、滤清器状态的保护与报警。上述监测量均能以数字信号送达现地PLC控制柜，并通过柜内的交换机上传上位机。</w:t>
      </w:r>
      <w:r>
        <w:rPr>
          <w:rFonts w:hint="eastAsia" w:ascii="宋体" w:hAnsi="宋体" w:cs="宋体"/>
          <w:color w:val="auto"/>
          <w:szCs w:val="24"/>
          <w:highlight w:val="none"/>
        </w:rPr>
        <w:t xml:space="preserve">★</w:t>
      </w:r>
      <w:r/>
    </w:p>
    <w:p>
      <w:pPr>
        <w:pStyle w:val="1225"/>
        <w:numPr>
          <w:ilvl w:val="3"/>
          <w:numId w:val="0"/>
        </w:numPr>
        <w:ind w:left="482"/>
        <w:spacing w:line="360" w:lineRule="auto"/>
        <w:rPr>
          <w:rFonts w:ascii="宋体" w:hAnsi="宋体" w:cs="宋体"/>
          <w:b/>
          <w:color w:val="auto"/>
          <w:szCs w:val="24"/>
          <w:highlight w:val="none"/>
        </w:rPr>
      </w:pPr>
      <w:r>
        <w:rPr>
          <w:rFonts w:hint="eastAsia" w:ascii="宋体" w:hAnsi="宋体" w:cs="宋体"/>
          <w:b/>
          <w:color w:val="auto"/>
          <w:szCs w:val="24"/>
          <w:highlight w:val="none"/>
          <w:lang w:val="en-US"/>
        </w:rPr>
        <w:t xml:space="preserve">2.3.1.5 </w:t>
      </w:r>
      <w:r>
        <w:rPr>
          <w:rFonts w:hint="eastAsia" w:ascii="宋体" w:hAnsi="宋体" w:cs="宋体"/>
          <w:b/>
          <w:color w:val="auto"/>
          <w:szCs w:val="24"/>
          <w:highlight w:val="none"/>
        </w:rPr>
        <w:t xml:space="preserve">液压系统主要阀组应具备阀芯位置信号反馈功能。</w:t>
      </w:r>
      <w:r>
        <w:rPr>
          <w:rFonts w:hint="eastAsia" w:ascii="宋体" w:hAnsi="宋体" w:cs="宋体"/>
          <w:color w:val="auto"/>
          <w:szCs w:val="24"/>
          <w:highlight w:val="none"/>
        </w:rPr>
        <w:t xml:space="preserve">★</w:t>
      </w:r>
      <w:r/>
    </w:p>
    <w:p>
      <w:pPr>
        <w:pStyle w:val="1225"/>
        <w:numPr>
          <w:ilvl w:val="3"/>
          <w:numId w:val="0"/>
        </w:numPr>
        <w:ind w:firstLine="480"/>
        <w:spacing w:line="360" w:lineRule="auto"/>
        <w:rPr>
          <w:rFonts w:ascii="宋体" w:hAnsi="宋体" w:cs="宋体"/>
          <w:bCs/>
          <w:color w:val="auto"/>
          <w:szCs w:val="24"/>
          <w:highlight w:val="none"/>
        </w:rPr>
      </w:pPr>
      <w:r>
        <w:rPr>
          <w:rFonts w:hint="eastAsia" w:ascii="宋体" w:hAnsi="宋体" w:cs="宋体"/>
          <w:bCs/>
          <w:color w:val="auto"/>
          <w:szCs w:val="24"/>
          <w:highlight w:val="none"/>
          <w:lang w:val="en-US"/>
        </w:rPr>
        <w:t xml:space="preserve">2.3.1.6 </w:t>
      </w:r>
      <w:r>
        <w:rPr>
          <w:rFonts w:hint="eastAsia" w:ascii="宋体" w:hAnsi="宋体" w:cs="宋体"/>
          <w:bCs/>
          <w:color w:val="auto"/>
          <w:szCs w:val="24"/>
          <w:highlight w:val="none"/>
        </w:rPr>
        <w:t xml:space="preserve">液压系统具备闸门下沉自动复位功能，当下滑量超过设定值时，系统可自动开机补油复位。</w:t>
      </w:r>
      <w:r/>
    </w:p>
    <w:p>
      <w:pPr>
        <w:pStyle w:val="1222"/>
        <w:numPr>
          <w:ilvl w:val="2"/>
          <w:numId w:val="0"/>
        </w:numPr>
        <w:ind w:left="426"/>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2.3.2 泵站液压启闭机控制与操作</w:t>
      </w:r>
      <w:r/>
    </w:p>
    <w:p>
      <w:pPr>
        <w:pStyle w:val="1225"/>
        <w:numPr>
          <w:ilvl w:val="3"/>
          <w:numId w:val="0"/>
        </w:numPr>
        <w:ind w:left="480"/>
        <w:spacing w:line="360" w:lineRule="auto"/>
        <w:rPr>
          <w:rFonts w:ascii="宋体" w:hAnsi="宋体" w:cs="宋体"/>
          <w:color w:val="auto"/>
          <w:szCs w:val="24"/>
          <w:highlight w:val="none"/>
        </w:rPr>
      </w:pPr>
      <w:r>
        <w:rPr>
          <w:rFonts w:hint="eastAsia" w:ascii="宋体" w:hAnsi="宋体" w:cs="宋体"/>
          <w:bCs/>
          <w:color w:val="auto"/>
          <w:szCs w:val="24"/>
          <w:highlight w:val="none"/>
          <w:lang w:val="en-US"/>
        </w:rPr>
        <w:t xml:space="preserve">2.3.2.1 </w:t>
      </w:r>
      <w:r>
        <w:rPr>
          <w:rFonts w:hint="eastAsia" w:ascii="宋体" w:hAnsi="宋体" w:cs="宋体"/>
          <w:color w:val="auto"/>
          <w:szCs w:val="24"/>
          <w:highlight w:val="none"/>
        </w:rPr>
        <w:t xml:space="preserve">液压启闭机应能在动水中开启或关闭闸门至设定的位置并自动停机。</w:t>
      </w:r>
      <w:r/>
    </w:p>
    <w:p>
      <w:pPr>
        <w:pStyle w:val="1225"/>
        <w:numPr>
          <w:ilvl w:val="3"/>
          <w:numId w:val="0"/>
        </w:num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lang w:val="en-US"/>
        </w:rPr>
        <w:t xml:space="preserve">2.3.2.2 </w:t>
      </w:r>
      <w:r>
        <w:rPr>
          <w:rFonts w:hint="eastAsia" w:ascii="宋体" w:hAnsi="宋体" w:cs="宋体"/>
          <w:b/>
          <w:color w:val="auto"/>
          <w:sz w:val="21"/>
          <w:szCs w:val="21"/>
          <w:highlight w:val="none"/>
        </w:rPr>
        <w:t xml:space="preserve">液压系统配有多个压力传感器对系统压力、液压缸有杆腔、油温、液位、高压滤油器状态、滤清器状态进行监控。上述监测量均能以数字信号送达现地PLC控制柜，并通过柜内的交换机上传上位机。</w:t>
      </w:r>
      <w:r>
        <w:rPr>
          <w:rFonts w:hint="eastAsia" w:ascii="宋体" w:hAnsi="宋体" w:cs="宋体"/>
          <w:color w:val="auto"/>
          <w:sz w:val="21"/>
          <w:szCs w:val="21"/>
          <w:highlight w:val="none"/>
        </w:rPr>
        <w:t xml:space="preserve">★</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bCs/>
          <w:color w:val="auto"/>
          <w:szCs w:val="24"/>
          <w:highlight w:val="none"/>
          <w:lang w:val="en-US"/>
        </w:rPr>
        <w:t xml:space="preserve">2.3.2.3 </w:t>
      </w:r>
      <w:r>
        <w:rPr>
          <w:rFonts w:hint="eastAsia" w:ascii="宋体" w:hAnsi="宋体" w:cs="宋体"/>
          <w:color w:val="auto"/>
          <w:szCs w:val="24"/>
          <w:highlight w:val="none"/>
        </w:rPr>
        <w:t xml:space="preserve">液压系统具备闸门下沉自动复位功能，当下滑量超过设定值时，系统可自动开机补油复位。</w:t>
      </w:r>
      <w:r/>
    </w:p>
    <w:p>
      <w:pPr>
        <w:pStyle w:val="1014"/>
        <w:ind w:firstLine="482"/>
        <w:jc w:val="left"/>
        <w:keepNext w:val="0"/>
        <w:spacing w:after="0" w:line="360" w:lineRule="auto"/>
        <w:widowControl w:val="off"/>
        <w:rPr>
          <w:rFonts w:ascii="宋体" w:hAnsi="宋体" w:eastAsia="宋体"/>
          <w:color w:val="auto"/>
          <w:sz w:val="24"/>
          <w:szCs w:val="24"/>
          <w:highlight w:val="none"/>
        </w:rPr>
      </w:pPr>
      <w:r/>
      <w:bookmarkStart w:id="66" w:name="_Toc14479"/>
      <w:r/>
      <w:bookmarkStart w:id="67" w:name="_Toc4580"/>
      <w:r/>
      <w:bookmarkStart w:id="68" w:name="_Toc31338"/>
      <w:r/>
      <w:bookmarkStart w:id="69" w:name="_Toc12092"/>
      <w:r/>
      <w:bookmarkStart w:id="70" w:name="_Toc10762"/>
      <w:r/>
      <w:bookmarkStart w:id="71" w:name="_Toc19113"/>
      <w:r>
        <w:rPr>
          <w:rFonts w:hint="eastAsia" w:ascii="宋体" w:hAnsi="宋体" w:eastAsia="宋体"/>
          <w:color w:val="auto"/>
          <w:sz w:val="24"/>
          <w:szCs w:val="24"/>
          <w:highlight w:val="none"/>
        </w:rPr>
        <w:t xml:space="preserve">2.4 液压设备关键配件性能及选型要求</w:t>
      </w:r>
      <w:bookmarkEnd w:id="66"/>
      <w:r>
        <w:rPr>
          <w:rFonts w:hint="eastAsia" w:ascii="宋体" w:hAnsi="宋体" w:eastAsia="宋体"/>
          <w:color w:val="auto"/>
          <w:sz w:val="24"/>
          <w:szCs w:val="24"/>
          <w:highlight w:val="none"/>
        </w:rPr>
        <w:t xml:space="preserve">★</w:t>
      </w:r>
      <w:r/>
    </w:p>
    <w:p>
      <w:pPr>
        <w:pStyle w:val="1222"/>
        <w:numPr>
          <w:ilvl w:val="2"/>
          <w:numId w:val="0"/>
        </w:numPr>
        <w:ind w:firstLine="480"/>
        <w:spacing w:line="360" w:lineRule="auto"/>
        <w:rPr>
          <w:rFonts w:hint="default" w:ascii="宋体" w:hAnsi="宋体" w:eastAsia="宋体" w:cs="宋体"/>
          <w:b w:val="0"/>
          <w:bCs w:val="0"/>
          <w:color w:val="auto"/>
          <w:szCs w:val="24"/>
          <w:highlight w:val="none"/>
          <w:lang w:val="en-US" w:eastAsia="zh-CN"/>
        </w:rPr>
      </w:pPr>
      <w:r>
        <w:rPr>
          <w:rFonts w:hint="eastAsia" w:ascii="宋体" w:hAnsi="宋体" w:cs="宋体"/>
          <w:b w:val="0"/>
          <w:bCs w:val="0"/>
          <w:color w:val="auto"/>
          <w:szCs w:val="24"/>
          <w:highlight w:val="none"/>
          <w:lang w:eastAsia="zh-CN"/>
        </w:rPr>
        <w:t xml:space="preserve">枢纽原液压启闭设备：缸体密封及导向件为Merkel、Parker进口品牌部件；液压系统主要阀件、油泵为Yuken进口品牌；电机为ABB进口品牌；高压软管为Yuken和Manuli；关节轴承为大连三环；压力传感器为进口知名品牌。</w:t>
      </w:r>
      <w:r/>
    </w:p>
    <w:p>
      <w:pPr>
        <w:pStyle w:val="1222"/>
        <w:numPr>
          <w:ilvl w:val="2"/>
          <w:numId w:val="0"/>
        </w:numPr>
        <w:ind w:firstLine="482"/>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2.4.1 全部油缸密封件及导向带</w:t>
      </w:r>
      <w:r>
        <w:rPr>
          <w:rFonts w:hint="eastAsia" w:ascii="宋体" w:hAnsi="宋体" w:cs="宋体"/>
          <w:b/>
          <w:color w:val="auto"/>
          <w:szCs w:val="24"/>
          <w:highlight w:val="none"/>
          <w:lang w:eastAsia="zh-CN"/>
        </w:rPr>
        <w:t xml:space="preserve">部件品牌：供应商所投产品</w:t>
      </w:r>
      <w:r>
        <w:rPr>
          <w:rFonts w:hint="eastAsia" w:ascii="宋体" w:hAnsi="宋体" w:cs="宋体"/>
          <w:b/>
          <w:color w:val="auto"/>
          <w:szCs w:val="24"/>
          <w:highlight w:val="none"/>
          <w:lang w:val="en-US" w:eastAsia="zh-CN"/>
        </w:rPr>
        <w:t xml:space="preserve">等于</w:t>
      </w:r>
      <w:r>
        <w:rPr>
          <w:rFonts w:hint="eastAsia" w:ascii="宋体" w:hAnsi="宋体" w:cs="宋体"/>
          <w:b/>
          <w:color w:val="auto"/>
          <w:szCs w:val="24"/>
          <w:highlight w:val="none"/>
          <w:lang w:eastAsia="zh-CN"/>
        </w:rPr>
        <w:t xml:space="preserve">或优于</w:t>
      </w:r>
      <w:r>
        <w:rPr>
          <w:rFonts w:hint="eastAsia" w:ascii="宋体" w:hAnsi="宋体" w:cs="宋体"/>
          <w:b/>
          <w:color w:val="auto"/>
          <w:szCs w:val="24"/>
          <w:highlight w:val="none"/>
          <w:lang w:val="en-US" w:eastAsia="zh-CN"/>
        </w:rPr>
        <w:t xml:space="preserve">原设备采用的品牌（原设备为Merkel、Parker）</w:t>
      </w:r>
      <w:r>
        <w:rPr>
          <w:rFonts w:hint="eastAsia" w:ascii="宋体" w:hAnsi="宋体" w:cs="宋体"/>
          <w:b/>
          <w:color w:val="auto"/>
          <w:szCs w:val="24"/>
          <w:highlight w:val="none"/>
        </w:rPr>
        <w:t xml:space="preserve">。</w:t>
      </w:r>
      <w:r/>
    </w:p>
    <w:p>
      <w:pPr>
        <w:pStyle w:val="1222"/>
        <w:numPr>
          <w:ilvl w:val="2"/>
          <w:numId w:val="0"/>
        </w:numPr>
        <w:ind w:firstLine="482"/>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2.4.2 主要阀件</w:t>
      </w:r>
      <w:r>
        <w:rPr>
          <w:rFonts w:hint="eastAsia" w:ascii="宋体" w:hAnsi="宋体" w:cs="宋体"/>
          <w:b/>
          <w:color w:val="auto"/>
          <w:szCs w:val="24"/>
          <w:highlight w:val="none"/>
          <w:lang w:eastAsia="zh-CN"/>
        </w:rPr>
        <w:t xml:space="preserve">品牌：供应商所投产品等于或优于</w:t>
      </w:r>
      <w:r>
        <w:rPr>
          <w:rFonts w:hint="eastAsia" w:ascii="宋体" w:hAnsi="宋体" w:cs="宋体"/>
          <w:b/>
          <w:color w:val="auto"/>
          <w:szCs w:val="24"/>
          <w:highlight w:val="none"/>
          <w:lang w:val="en-US" w:eastAsia="zh-CN"/>
        </w:rPr>
        <w:t xml:space="preserve">原设备采用的品牌（原设备为Yuken）</w:t>
      </w:r>
      <w:r>
        <w:rPr>
          <w:rFonts w:hint="eastAsia" w:ascii="宋体" w:hAnsi="宋体" w:cs="宋体"/>
          <w:b/>
          <w:color w:val="auto"/>
          <w:szCs w:val="24"/>
          <w:highlight w:val="none"/>
          <w:lang w:eastAsia="zh-CN"/>
        </w:rPr>
        <w:t xml:space="preserve">；本次采购要求主要阀件应自带阀芯位置反馈监测功能；节制闸液压设备同步回路原为单比例阀（一侧手动调定，一侧设比例阀跟踪），本次采购要求采用左、右双比例阀闭环同步模式，品牌应优于</w:t>
      </w:r>
      <w:r>
        <w:rPr>
          <w:rFonts w:hint="eastAsia" w:ascii="宋体" w:hAnsi="宋体" w:cs="宋体"/>
          <w:b/>
          <w:color w:val="auto"/>
          <w:szCs w:val="24"/>
          <w:highlight w:val="none"/>
          <w:lang w:val="en-US" w:eastAsia="zh-CN"/>
        </w:rPr>
        <w:t xml:space="preserve">原设备采用的品牌（原设备为Yuken）</w:t>
      </w:r>
      <w:r>
        <w:rPr>
          <w:rFonts w:hint="eastAsia" w:ascii="宋体" w:hAnsi="宋体" w:cs="宋体"/>
          <w:b/>
          <w:color w:val="auto"/>
          <w:szCs w:val="24"/>
          <w:highlight w:val="none"/>
          <w:lang w:eastAsia="zh-CN"/>
        </w:rPr>
        <w:t xml:space="preserve">。</w:t>
      </w:r>
      <w:r/>
    </w:p>
    <w:p>
      <w:pPr>
        <w:pStyle w:val="1222"/>
        <w:numPr>
          <w:ilvl w:val="2"/>
          <w:numId w:val="0"/>
        </w:numPr>
        <w:ind w:left="440"/>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2.4.3 高压软管</w:t>
      </w:r>
      <w:r>
        <w:rPr>
          <w:rFonts w:hint="eastAsia" w:ascii="宋体" w:hAnsi="宋体" w:cs="宋体"/>
          <w:b/>
          <w:color w:val="auto"/>
          <w:szCs w:val="24"/>
          <w:highlight w:val="none"/>
          <w:lang w:eastAsia="zh-CN"/>
        </w:rPr>
        <w:t xml:space="preserve">：供应商所投产品</w:t>
      </w:r>
      <w:r>
        <w:rPr>
          <w:rFonts w:hint="eastAsia" w:ascii="宋体" w:hAnsi="宋体" w:cs="宋体"/>
          <w:b/>
          <w:color w:val="auto"/>
          <w:szCs w:val="24"/>
          <w:highlight w:val="none"/>
          <w:lang w:val="en-US" w:eastAsia="zh-CN"/>
        </w:rPr>
        <w:t xml:space="preserve">等于</w:t>
      </w:r>
      <w:r>
        <w:rPr>
          <w:rFonts w:hint="eastAsia" w:ascii="宋体" w:hAnsi="宋体" w:cs="宋体"/>
          <w:b/>
          <w:color w:val="auto"/>
          <w:szCs w:val="24"/>
          <w:highlight w:val="none"/>
          <w:lang w:eastAsia="zh-CN"/>
        </w:rPr>
        <w:t xml:space="preserve">或</w:t>
      </w:r>
      <w:r>
        <w:rPr>
          <w:rFonts w:hint="eastAsia" w:ascii="宋体" w:hAnsi="宋体" w:cs="宋体"/>
          <w:b/>
          <w:color w:val="auto"/>
          <w:szCs w:val="24"/>
          <w:highlight w:val="none"/>
          <w:lang w:val="en-US" w:eastAsia="zh-CN"/>
        </w:rPr>
        <w:t xml:space="preserve">优于</w:t>
      </w:r>
      <w:r>
        <w:rPr>
          <w:rFonts w:hint="eastAsia" w:ascii="宋体" w:hAnsi="宋体" w:cs="宋体"/>
          <w:b/>
          <w:color w:val="auto"/>
          <w:szCs w:val="24"/>
          <w:highlight w:val="none"/>
          <w:lang w:eastAsia="zh-CN"/>
        </w:rPr>
        <w:t xml:space="preserve">原设备品牌（原设备为Yuken和Manuli）。</w:t>
      </w:r>
      <w:r/>
    </w:p>
    <w:p>
      <w:pPr>
        <w:pStyle w:val="1222"/>
        <w:numPr>
          <w:ilvl w:val="2"/>
          <w:numId w:val="0"/>
        </w:numPr>
        <w:ind w:firstLine="482"/>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2.4.4 油缸吊头采用关节轴承，中间支铰采用轴套</w:t>
      </w:r>
      <w:r>
        <w:rPr>
          <w:rFonts w:hint="eastAsia" w:ascii="宋体" w:hAnsi="宋体" w:cs="宋体"/>
          <w:b/>
          <w:color w:val="auto"/>
          <w:szCs w:val="24"/>
          <w:highlight w:val="none"/>
          <w:lang w:eastAsia="zh-CN"/>
        </w:rPr>
        <w:t xml:space="preserve">：</w:t>
      </w:r>
      <w:r>
        <w:rPr>
          <w:rFonts w:hint="eastAsia" w:ascii="宋体" w:hAnsi="宋体" w:cs="宋体"/>
          <w:b/>
          <w:color w:val="auto"/>
          <w:szCs w:val="24"/>
          <w:highlight w:val="none"/>
        </w:rPr>
        <w:t xml:space="preserve">均为铜基镶嵌型式，供应商所投产品</w:t>
      </w:r>
      <w:r>
        <w:rPr>
          <w:rFonts w:hint="eastAsia" w:ascii="宋体" w:hAnsi="宋体" w:cs="宋体"/>
          <w:b/>
          <w:color w:val="auto"/>
          <w:szCs w:val="24"/>
          <w:highlight w:val="none"/>
          <w:lang w:val="en-US" w:eastAsia="zh-CN"/>
        </w:rPr>
        <w:t xml:space="preserve">等于或优于</w:t>
      </w:r>
      <w:r>
        <w:rPr>
          <w:rFonts w:hint="eastAsia" w:ascii="宋体" w:hAnsi="宋体" w:cs="宋体"/>
          <w:b/>
          <w:color w:val="auto"/>
          <w:szCs w:val="24"/>
          <w:highlight w:val="none"/>
        </w:rPr>
        <w:t xml:space="preserve">原设备品牌（原设备为大连三环）。</w:t>
      </w:r>
      <w:r/>
    </w:p>
    <w:p>
      <w:pPr>
        <w:pStyle w:val="1222"/>
        <w:numPr>
          <w:ilvl w:val="2"/>
          <w:numId w:val="0"/>
        </w:numPr>
        <w:ind w:left="440"/>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2.4.5 节制闸液压站3套油泵、电机品牌：供应商所投产品完全符合或不低于原设备采用的品牌（原油泵为Rexroth，原电机为ABB）。</w:t>
      </w:r>
      <w:r/>
    </w:p>
    <w:p>
      <w:pPr>
        <w:pStyle w:val="1222"/>
        <w:numPr>
          <w:ilvl w:val="2"/>
          <w:numId w:val="0"/>
        </w:numPr>
        <w:ind w:left="440"/>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2.4.6 陶瓷活塞杆</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bCs/>
          <w:color w:val="auto"/>
          <w:szCs w:val="24"/>
          <w:highlight w:val="none"/>
          <w:lang w:val="en-US"/>
        </w:rPr>
        <w:t xml:space="preserve">2.4.6.1 </w:t>
      </w:r>
      <w:r>
        <w:rPr>
          <w:rFonts w:hint="eastAsia" w:ascii="宋体" w:hAnsi="宋体" w:cs="宋体"/>
          <w:bCs/>
          <w:color w:val="auto"/>
          <w:szCs w:val="24"/>
          <w:highlight w:val="none"/>
        </w:rPr>
        <w:t xml:space="preserve">节</w:t>
      </w:r>
      <w:r>
        <w:rPr>
          <w:rFonts w:hint="eastAsia" w:ascii="宋体" w:hAnsi="宋体" w:cs="宋体"/>
          <w:color w:val="auto"/>
          <w:szCs w:val="24"/>
          <w:highlight w:val="none"/>
        </w:rPr>
        <w:t xml:space="preserve">制闸油缸活塞杆为</w:t>
      </w:r>
      <w:r>
        <w:rPr>
          <w:rFonts w:hint="eastAsia" w:ascii="宋体" w:hAnsi="宋体" w:cs="宋体"/>
          <w:b/>
          <w:color w:val="auto"/>
          <w:szCs w:val="24"/>
          <w:highlight w:val="none"/>
        </w:rPr>
        <w:t xml:space="preserve">带刻度陶瓷活塞杆</w:t>
      </w:r>
      <w:r>
        <w:rPr>
          <w:rFonts w:hint="eastAsia" w:ascii="宋体" w:hAnsi="宋体" w:cs="宋体"/>
          <w:color w:val="auto"/>
          <w:szCs w:val="24"/>
          <w:highlight w:val="none"/>
        </w:rPr>
        <w:t xml:space="preserve">；泵站油缸活塞杆为</w:t>
      </w:r>
      <w:r>
        <w:rPr>
          <w:rFonts w:hint="eastAsia" w:ascii="宋体" w:hAnsi="宋体" w:cs="宋体"/>
          <w:b/>
          <w:color w:val="auto"/>
          <w:szCs w:val="24"/>
          <w:highlight w:val="none"/>
        </w:rPr>
        <w:t xml:space="preserve">不带刻度陶瓷活塞杆</w:t>
      </w:r>
      <w:r>
        <w:rPr>
          <w:rFonts w:hint="eastAsia" w:ascii="宋体" w:hAnsi="宋体" w:cs="宋体"/>
          <w:color w:val="auto"/>
          <w:szCs w:val="24"/>
          <w:highlight w:val="none"/>
        </w:rPr>
        <w:t xml:space="preserve">。</w:t>
      </w:r>
      <w:r/>
    </w:p>
    <w:p>
      <w:pPr>
        <w:pStyle w:val="1225"/>
        <w:numPr>
          <w:ilvl w:val="3"/>
          <w:numId w:val="0"/>
        </w:numPr>
        <w:ind w:left="480"/>
        <w:spacing w:line="360" w:lineRule="auto"/>
        <w:rPr>
          <w:rFonts w:ascii="宋体" w:hAnsi="宋体" w:cs="宋体"/>
          <w:color w:val="auto"/>
          <w:szCs w:val="24"/>
          <w:highlight w:val="none"/>
        </w:rPr>
      </w:pPr>
      <w:r>
        <w:rPr>
          <w:rFonts w:hint="eastAsia" w:ascii="宋体" w:hAnsi="宋体" w:cs="宋体"/>
          <w:bCs/>
          <w:color w:val="auto"/>
          <w:szCs w:val="24"/>
          <w:highlight w:val="none"/>
          <w:lang w:val="en-US"/>
        </w:rPr>
        <w:t xml:space="preserve">2.4.6.2 </w:t>
      </w:r>
      <w:r>
        <w:rPr>
          <w:rFonts w:hint="eastAsia" w:ascii="宋体" w:hAnsi="宋体" w:cs="宋体"/>
          <w:color w:val="auto"/>
          <w:szCs w:val="24"/>
          <w:highlight w:val="none"/>
        </w:rPr>
        <w:t xml:space="preserve">母材材质及加工制造要求</w:t>
      </w:r>
      <w:r/>
    </w:p>
    <w:p>
      <w:pPr>
        <w:pStyle w:val="1221"/>
        <w:numPr>
          <w:ilvl w:val="2"/>
          <w:numId w:val="22"/>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活塞杆采用钢锻件制造或钢轧制件制造，调质处理；锻钢毛坯应进行100%超声波检测，质量不低于GB/T 6402中3级的规定；焊接接长制造的活塞杆，焊缝应进行100%超声波检测，质量不低于NB/T 47013.3中II级的规定。</w:t>
      </w:r>
      <w:r/>
    </w:p>
    <w:p>
      <w:pPr>
        <w:pStyle w:val="1221"/>
        <w:numPr>
          <w:ilvl w:val="2"/>
          <w:numId w:val="22"/>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活塞杆外径尺寸及公差、圆度及外径母线的直线度公差和表面粗糙度应满足所选用的密封件、导向带的要求。</w:t>
      </w:r>
      <w:r/>
    </w:p>
    <w:p>
      <w:pPr>
        <w:pStyle w:val="1221"/>
        <w:numPr>
          <w:ilvl w:val="2"/>
          <w:numId w:val="22"/>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活塞杆导向段外圆圆度应不低于GB/T 1184中8级的规定，导向段母线直线度公差应不大于1000:0.1。与活塞接触之活塞杆端面对轴心线垂直度公差应不低于GB/T 1184中的7级。</w:t>
      </w:r>
      <w:r/>
    </w:p>
    <w:p>
      <w:pPr>
        <w:pStyle w:val="1221"/>
        <w:numPr>
          <w:ilvl w:val="2"/>
          <w:numId w:val="22"/>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活塞杆螺纹精度应不低于GB/T 197中6级的规定。</w:t>
      </w:r>
      <w:r/>
    </w:p>
    <w:p>
      <w:pPr>
        <w:pStyle w:val="1221"/>
        <w:numPr>
          <w:ilvl w:val="2"/>
          <w:numId w:val="22"/>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活塞杆导向段外径的表面粗糙度宜选择Ra0.2~0.4μm。</w:t>
      </w:r>
      <w:r/>
    </w:p>
    <w:p>
      <w:pPr>
        <w:pStyle w:val="1225"/>
        <w:numPr>
          <w:ilvl w:val="3"/>
          <w:numId w:val="0"/>
        </w:numPr>
        <w:ind w:left="480"/>
        <w:spacing w:line="360" w:lineRule="auto"/>
        <w:rPr>
          <w:rFonts w:ascii="宋体" w:hAnsi="宋体" w:cs="宋体"/>
          <w:color w:val="auto"/>
          <w:szCs w:val="24"/>
          <w:highlight w:val="none"/>
        </w:rPr>
      </w:pPr>
      <w:r>
        <w:rPr>
          <w:rFonts w:hint="eastAsia" w:ascii="宋体" w:hAnsi="宋体" w:cs="宋体"/>
          <w:bCs/>
          <w:color w:val="auto"/>
          <w:szCs w:val="24"/>
          <w:highlight w:val="none"/>
          <w:lang w:val="en-US"/>
        </w:rPr>
        <w:t xml:space="preserve">2.4.6.3 </w:t>
      </w:r>
      <w:r>
        <w:rPr>
          <w:rFonts w:hint="eastAsia" w:ascii="宋体" w:hAnsi="宋体" w:cs="宋体"/>
          <w:color w:val="auto"/>
          <w:szCs w:val="24"/>
          <w:highlight w:val="none"/>
        </w:rPr>
        <w:t xml:space="preserve">活塞杆涂层</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新活塞杆均采用陶瓷杆，应满足下列条件：</w:t>
      </w:r>
      <w:r/>
    </w:p>
    <w:p>
      <w:pPr>
        <w:pStyle w:val="1221"/>
        <w:numPr>
          <w:ilvl w:val="2"/>
          <w:numId w:val="23"/>
        </w:numPr>
        <w:spacing w:after="0" w:line="360" w:lineRule="auto"/>
        <w:widowControl w:val="off"/>
        <w:rPr>
          <w:rFonts w:ascii="宋体" w:hAnsi="宋体"/>
          <w:b/>
          <w:color w:val="auto"/>
          <w:szCs w:val="24"/>
          <w:highlight w:val="none"/>
        </w:rPr>
      </w:pPr>
      <w:r>
        <w:rPr>
          <w:rFonts w:hint="eastAsia" w:ascii="宋体" w:hAnsi="宋体"/>
          <w:b/>
          <w:color w:val="auto"/>
          <w:szCs w:val="24"/>
          <w:highlight w:val="none"/>
        </w:rPr>
        <w:t xml:space="preserve">底层</w:t>
      </w:r>
      <w:r>
        <w:rPr>
          <w:rFonts w:hint="eastAsia" w:ascii="宋体" w:hAnsi="宋体"/>
          <w:b/>
          <w:color w:val="auto"/>
          <w:szCs w:val="24"/>
          <w:highlight w:val="none"/>
          <w:lang w:eastAsia="zh-CN"/>
        </w:rPr>
        <w:t xml:space="preserve">（黏结层）</w:t>
      </w:r>
      <w:r>
        <w:rPr>
          <w:rFonts w:hint="eastAsia" w:ascii="宋体" w:hAnsi="宋体"/>
          <w:b/>
          <w:color w:val="auto"/>
          <w:szCs w:val="24"/>
          <w:highlight w:val="none"/>
        </w:rPr>
        <w:t xml:space="preserve">厚度60～100μm</w:t>
      </w:r>
      <w:r>
        <w:rPr>
          <w:rFonts w:hint="eastAsia" w:ascii="宋体" w:hAnsi="宋体"/>
          <w:b/>
          <w:color w:val="auto"/>
          <w:szCs w:val="24"/>
          <w:highlight w:val="none"/>
          <w:lang w:eastAsia="zh-CN"/>
        </w:rPr>
        <w:t xml:space="preserve">，工作层</w:t>
      </w:r>
      <w:r>
        <w:rPr>
          <w:rFonts w:hint="eastAsia" w:ascii="宋体" w:hAnsi="宋体"/>
          <w:b/>
          <w:color w:val="auto"/>
          <w:szCs w:val="24"/>
          <w:highlight w:val="none"/>
        </w:rPr>
        <w:t xml:space="preserve">厚度≥200μm，</w:t>
      </w:r>
      <w:r>
        <w:rPr>
          <w:rFonts w:hint="eastAsia" w:ascii="宋体" w:hAnsi="宋体"/>
          <w:b/>
          <w:color w:val="auto"/>
          <w:szCs w:val="24"/>
          <w:highlight w:val="none"/>
          <w:lang w:eastAsia="zh-CN"/>
        </w:rPr>
        <w:t xml:space="preserve">涂层总厚度</w:t>
      </w:r>
      <w:r>
        <w:rPr>
          <w:rFonts w:hint="eastAsia" w:ascii="宋体" w:hAnsi="宋体"/>
          <w:b/>
          <w:color w:val="auto"/>
          <w:szCs w:val="24"/>
          <w:highlight w:val="none"/>
        </w:rPr>
        <w:t xml:space="preserve">≥</w:t>
      </w:r>
      <w:r>
        <w:rPr>
          <w:rFonts w:hint="eastAsia" w:ascii="宋体" w:hAnsi="宋体"/>
          <w:b/>
          <w:color w:val="auto"/>
          <w:szCs w:val="24"/>
          <w:highlight w:val="none"/>
          <w:lang w:val="en-US" w:eastAsia="zh-CN"/>
        </w:rPr>
        <w:t xml:space="preserve">3</w:t>
      </w:r>
      <w:r>
        <w:rPr>
          <w:rFonts w:hint="eastAsia" w:ascii="宋体" w:hAnsi="宋体"/>
          <w:b/>
          <w:color w:val="auto"/>
          <w:szCs w:val="24"/>
          <w:highlight w:val="none"/>
        </w:rPr>
        <w:t xml:space="preserve">00μm</w:t>
      </w:r>
      <w:r>
        <w:rPr>
          <w:rFonts w:hint="eastAsia" w:ascii="宋体" w:hAnsi="宋体"/>
          <w:b/>
          <w:color w:val="auto"/>
          <w:szCs w:val="24"/>
          <w:highlight w:val="none"/>
          <w:lang w:eastAsia="zh-CN"/>
        </w:rPr>
        <w:t xml:space="preserve">；</w:t>
      </w:r>
      <w:r>
        <w:rPr>
          <w:rFonts w:hint="eastAsia" w:ascii="宋体" w:hAnsi="宋体"/>
          <w:b/>
          <w:color w:val="auto"/>
          <w:szCs w:val="24"/>
          <w:highlight w:val="none"/>
        </w:rPr>
        <w:t xml:space="preserve">面层硬度≥750HV。</w:t>
      </w:r>
      <w:r/>
    </w:p>
    <w:p>
      <w:pPr>
        <w:pStyle w:val="1221"/>
        <w:numPr>
          <w:ilvl w:val="2"/>
          <w:numId w:val="23"/>
        </w:numPr>
        <w:spacing w:after="0" w:line="360" w:lineRule="auto"/>
        <w:widowControl w:val="off"/>
        <w:rPr>
          <w:rFonts w:ascii="宋体" w:hAnsi="宋体"/>
          <w:b/>
          <w:color w:val="auto"/>
          <w:szCs w:val="24"/>
          <w:highlight w:val="none"/>
        </w:rPr>
      </w:pPr>
      <w:r>
        <w:rPr>
          <w:rFonts w:hint="eastAsia" w:ascii="宋体" w:hAnsi="宋体"/>
          <w:b/>
          <w:color w:val="auto"/>
          <w:szCs w:val="24"/>
          <w:highlight w:val="none"/>
        </w:rPr>
        <w:t xml:space="preserve">与活塞杆基体材料的结合强度≥30N/mm2，弯曲极限强度≥350N/mm2，表面抗冲击值≥2</w:t>
      </w:r>
      <w:r>
        <w:rPr>
          <w:rFonts w:hint="eastAsia" w:ascii="宋体" w:hAnsi="宋体"/>
          <w:b/>
          <w:color w:val="auto"/>
          <w:szCs w:val="24"/>
          <w:highlight w:val="none"/>
          <w:lang w:val="en-US" w:eastAsia="zh-CN"/>
        </w:rPr>
        <w:t xml:space="preserve">.5</w:t>
      </w:r>
      <w:r>
        <w:rPr>
          <w:rFonts w:hint="eastAsia" w:ascii="宋体" w:hAnsi="宋体"/>
          <w:b/>
          <w:color w:val="auto"/>
          <w:szCs w:val="24"/>
          <w:highlight w:val="none"/>
        </w:rPr>
        <w:t xml:space="preserve">J</w:t>
      </w:r>
      <w:r>
        <w:rPr>
          <w:rFonts w:hint="eastAsia" w:ascii="宋体" w:hAnsi="宋体"/>
          <w:b/>
          <w:color w:val="auto"/>
          <w:szCs w:val="24"/>
          <w:highlight w:val="none"/>
          <w:lang w:eastAsia="zh-CN"/>
        </w:rPr>
        <w:t xml:space="preserve">；活塞杆试件经</w:t>
      </w:r>
      <w:r>
        <w:rPr>
          <w:rFonts w:hint="eastAsia" w:ascii="宋体" w:hAnsi="宋体"/>
          <w:b/>
          <w:color w:val="auto"/>
          <w:szCs w:val="24"/>
          <w:highlight w:val="none"/>
          <w:lang w:val="en-US" w:eastAsia="zh-CN"/>
        </w:rPr>
        <w:t xml:space="preserve">2000次弯曲试验，涂层不应产生裂纹和剥落等现象</w:t>
      </w:r>
      <w:r>
        <w:rPr>
          <w:rFonts w:hint="eastAsia" w:ascii="宋体" w:hAnsi="宋体"/>
          <w:b/>
          <w:color w:val="auto"/>
          <w:szCs w:val="24"/>
          <w:highlight w:val="none"/>
        </w:rPr>
        <w:t xml:space="preserve">。</w:t>
      </w:r>
      <w:r/>
    </w:p>
    <w:p>
      <w:pPr>
        <w:pStyle w:val="1221"/>
        <w:numPr>
          <w:ilvl w:val="2"/>
          <w:numId w:val="23"/>
        </w:numPr>
        <w:spacing w:after="0" w:line="360" w:lineRule="auto"/>
        <w:widowControl w:val="off"/>
        <w:rPr>
          <w:rFonts w:ascii="宋体" w:hAnsi="宋体"/>
          <w:b/>
          <w:bCs/>
          <w:color w:val="auto"/>
          <w:szCs w:val="24"/>
          <w:highlight w:val="none"/>
        </w:rPr>
      </w:pPr>
      <w:r>
        <w:rPr>
          <w:rFonts w:hint="eastAsia" w:ascii="宋体" w:hAnsi="宋体"/>
          <w:b/>
          <w:bCs/>
          <w:color w:val="auto"/>
          <w:szCs w:val="24"/>
          <w:highlight w:val="none"/>
        </w:rPr>
        <w:t xml:space="preserve">热喷涂涂层孔隙率不应大于3%。</w:t>
      </w:r>
      <w:r/>
    </w:p>
    <w:p>
      <w:pPr>
        <w:pStyle w:val="1221"/>
        <w:numPr>
          <w:ilvl w:val="2"/>
          <w:numId w:val="23"/>
        </w:numPr>
        <w:spacing w:after="0" w:line="360" w:lineRule="auto"/>
        <w:widowControl w:val="off"/>
        <w:rPr>
          <w:rFonts w:ascii="宋体" w:hAnsi="宋体"/>
          <w:b/>
          <w:color w:val="auto"/>
          <w:szCs w:val="24"/>
          <w:highlight w:val="none"/>
        </w:rPr>
      </w:pPr>
      <w:r>
        <w:rPr>
          <w:rFonts w:hint="eastAsia" w:ascii="宋体" w:hAnsi="宋体"/>
          <w:b/>
          <w:color w:val="auto"/>
          <w:szCs w:val="24"/>
          <w:highlight w:val="none"/>
        </w:rPr>
        <w:t xml:space="preserve">陶瓷杆盐雾试验≥3000h</w:t>
      </w:r>
      <w:r>
        <w:rPr>
          <w:rFonts w:hint="eastAsia" w:ascii="宋体" w:hAnsi="宋体"/>
          <w:b/>
          <w:color w:val="auto"/>
          <w:szCs w:val="24"/>
          <w:highlight w:val="none"/>
          <w:lang w:eastAsia="zh-CN"/>
        </w:rPr>
        <w:t xml:space="preserve">，涂层应无气泡、锈蚀等现象</w:t>
      </w:r>
      <w:r>
        <w:rPr>
          <w:rFonts w:hint="eastAsia" w:ascii="宋体" w:hAnsi="宋体"/>
          <w:b/>
          <w:color w:val="auto"/>
          <w:szCs w:val="24"/>
          <w:highlight w:val="none"/>
        </w:rPr>
        <w:t xml:space="preserve">。</w:t>
      </w:r>
      <w:r/>
    </w:p>
    <w:p>
      <w:pPr>
        <w:pStyle w:val="1221"/>
        <w:numPr>
          <w:ilvl w:val="2"/>
          <w:numId w:val="23"/>
        </w:numPr>
        <w:spacing w:after="0" w:line="360" w:lineRule="auto"/>
        <w:widowControl w:val="off"/>
        <w:rPr>
          <w:rFonts w:ascii="宋体" w:hAnsi="宋体"/>
          <w:b/>
          <w:color w:val="auto"/>
          <w:szCs w:val="24"/>
          <w:highlight w:val="none"/>
        </w:rPr>
      </w:pPr>
      <w:r>
        <w:rPr>
          <w:rFonts w:hint="eastAsia" w:ascii="宋体" w:hAnsi="宋体"/>
          <w:b/>
          <w:color w:val="auto"/>
          <w:szCs w:val="24"/>
          <w:highlight w:val="none"/>
        </w:rPr>
        <w:t xml:space="preserve">出厂前陶瓷涂层不允许有修复痕迹。</w:t>
      </w:r>
      <w:r/>
    </w:p>
    <w:p>
      <w:pPr>
        <w:pStyle w:val="1221"/>
        <w:numPr>
          <w:ilvl w:val="2"/>
          <w:numId w:val="23"/>
        </w:numPr>
        <w:spacing w:after="0" w:line="360" w:lineRule="auto"/>
        <w:widowControl w:val="off"/>
        <w:rPr>
          <w:rFonts w:ascii="宋体" w:hAnsi="宋体"/>
          <w:b/>
          <w:color w:val="auto"/>
          <w:szCs w:val="24"/>
          <w:highlight w:val="none"/>
        </w:rPr>
      </w:pPr>
      <w:r>
        <w:rPr>
          <w:rFonts w:hint="eastAsia" w:ascii="宋体" w:hAnsi="宋体"/>
          <w:b/>
          <w:color w:val="auto"/>
          <w:szCs w:val="24"/>
          <w:highlight w:val="none"/>
        </w:rPr>
        <w:t xml:space="preserve">采用国产陶瓷杆，则需在国内水利水电行业有5年以上的应用实例，并提供相关用户证明文件，且产品具备省/部级产品鉴定证书；</w:t>
      </w:r>
      <w:r>
        <w:rPr>
          <w:rFonts w:hint="eastAsia" w:ascii="宋体" w:hAnsi="宋体"/>
          <w:b/>
          <w:color w:val="auto"/>
          <w:szCs w:val="24"/>
          <w:highlight w:val="none"/>
          <w:lang w:eastAsia="zh-CN"/>
        </w:rPr>
        <w:t xml:space="preserve">如</w:t>
      </w:r>
      <w:r>
        <w:rPr>
          <w:rFonts w:hint="eastAsia" w:ascii="宋体" w:hAnsi="宋体"/>
          <w:b/>
          <w:color w:val="auto"/>
          <w:szCs w:val="24"/>
          <w:highlight w:val="none"/>
        </w:rPr>
        <w:t xml:space="preserve">采用</w:t>
      </w:r>
      <w:r>
        <w:rPr>
          <w:rFonts w:hint="eastAsia" w:ascii="宋体" w:hAnsi="宋体"/>
          <w:b/>
          <w:color w:val="auto"/>
          <w:szCs w:val="24"/>
          <w:highlight w:val="none"/>
          <w:lang w:eastAsia="zh-CN"/>
        </w:rPr>
        <w:t xml:space="preserve">进口</w:t>
      </w:r>
      <w:r>
        <w:rPr>
          <w:rFonts w:hint="eastAsia" w:ascii="宋体" w:hAnsi="宋体"/>
          <w:b/>
          <w:color w:val="auto"/>
          <w:szCs w:val="24"/>
          <w:highlight w:val="none"/>
        </w:rPr>
        <w:t xml:space="preserve">陶瓷杆，则需在国内水利水电行业有5年以上的应用实例</w:t>
      </w:r>
      <w:r>
        <w:rPr>
          <w:rFonts w:hint="eastAsia" w:ascii="宋体" w:hAnsi="宋体"/>
          <w:b/>
          <w:color w:val="auto"/>
          <w:szCs w:val="24"/>
          <w:highlight w:val="none"/>
          <w:lang w:eastAsia="zh-CN"/>
        </w:rPr>
        <w:t xml:space="preserve">，并提供相关用户证明</w:t>
      </w:r>
      <w:r>
        <w:rPr>
          <w:rFonts w:hint="eastAsia" w:ascii="宋体" w:hAnsi="宋体"/>
          <w:b/>
          <w:color w:val="auto"/>
          <w:szCs w:val="24"/>
          <w:highlight w:val="none"/>
        </w:rPr>
        <w:t xml:space="preserve">。</w:t>
      </w:r>
      <w:r/>
    </w:p>
    <w:p>
      <w:pPr>
        <w:pStyle w:val="1221"/>
        <w:numPr>
          <w:ilvl w:val="2"/>
          <w:numId w:val="23"/>
        </w:numPr>
        <w:spacing w:after="0" w:line="360" w:lineRule="auto"/>
        <w:widowControl w:val="off"/>
        <w:rPr>
          <w:rFonts w:hint="eastAsia" w:ascii="宋体" w:hAnsi="宋体" w:cs="宋体"/>
          <w:b/>
          <w:color w:val="auto"/>
          <w:szCs w:val="24"/>
          <w:highlight w:val="none"/>
        </w:rPr>
      </w:pPr>
      <w:r>
        <w:rPr>
          <w:rFonts w:hint="eastAsia" w:ascii="宋体" w:hAnsi="宋体"/>
          <w:b/>
          <w:color w:val="auto"/>
          <w:szCs w:val="24"/>
          <w:highlight w:val="none"/>
        </w:rPr>
        <w:t xml:space="preserve">陶瓷活塞杆在正常使用（排除人为因素和自然灾害）情况下应保证其寿命不少于10年，10年内出现损伤或损坏的应免费提供维修或更换服务。</w:t>
      </w:r>
      <w:r/>
    </w:p>
    <w:p>
      <w:pPr>
        <w:pStyle w:val="1222"/>
        <w:numPr>
          <w:ilvl w:val="2"/>
          <w:numId w:val="0"/>
        </w:numPr>
        <w:ind w:left="440"/>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2.4.7 带刻度陶瓷杆专用行程检测装置：</w:t>
      </w:r>
      <w:r/>
    </w:p>
    <w:p>
      <w:pPr>
        <w:pStyle w:val="1221"/>
        <w:numPr>
          <w:ilvl w:val="2"/>
          <w:numId w:val="24"/>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与陶瓷活塞杆结合使用的行程检测传感器应为运行可靠、动作准确、抗干扰能力强的优质产品。</w:t>
      </w:r>
      <w:r/>
    </w:p>
    <w:p>
      <w:pPr>
        <w:pStyle w:val="1221"/>
        <w:numPr>
          <w:ilvl w:val="2"/>
          <w:numId w:val="24"/>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行程检测传感器的分辨力不低于0.5mm，测量精度1mm，行程检测误差±1mm，重复检测误差±2mm，适应环境温度-20℃～+70℃。</w:t>
      </w:r>
      <w:r/>
    </w:p>
    <w:p>
      <w:pPr>
        <w:pStyle w:val="1221"/>
        <w:numPr>
          <w:ilvl w:val="2"/>
          <w:numId w:val="24"/>
        </w:numPr>
        <w:spacing w:after="0" w:line="360" w:lineRule="auto"/>
        <w:widowControl w:val="off"/>
        <w:rPr>
          <w:rFonts w:ascii="宋体" w:hAnsi="宋体"/>
          <w:b/>
          <w:color w:val="auto"/>
          <w:szCs w:val="24"/>
          <w:highlight w:val="none"/>
        </w:rPr>
      </w:pPr>
      <w:r>
        <w:rPr>
          <w:rFonts w:hint="eastAsia" w:ascii="宋体" w:hAnsi="宋体"/>
          <w:color w:val="auto"/>
          <w:szCs w:val="24"/>
          <w:highlight w:val="none"/>
        </w:rPr>
        <w:t xml:space="preserve">行程检测传感器其防护等级为IP68。</w:t>
      </w:r>
      <w:bookmarkStart w:id="72" w:name="OLE_LINK39"/>
      <w:r/>
      <w:bookmarkStart w:id="73" w:name="OLE_LINK38"/>
      <w:r>
        <w:rPr>
          <w:rFonts w:hint="eastAsia" w:ascii="宋体" w:hAnsi="宋体"/>
          <w:color w:val="auto"/>
          <w:szCs w:val="24"/>
          <w:highlight w:val="none"/>
        </w:rPr>
        <w:t xml:space="preserve">传感器输出信号以SSI、RS485模式数字方式输出（设计联络会审定），并与控制设备配套。</w:t>
      </w:r>
      <w:r>
        <w:rPr>
          <w:rFonts w:hint="eastAsia" w:ascii="宋体" w:hAnsi="宋体"/>
          <w:b/>
          <w:color w:val="auto"/>
          <w:szCs w:val="24"/>
          <w:highlight w:val="none"/>
        </w:rPr>
        <w:t xml:space="preserve">传感器输出信号应具备停电记忆功能，停电记忆时间应大于72小时。</w:t>
      </w:r>
      <w:bookmarkEnd w:id="72"/>
      <w:r/>
      <w:bookmarkEnd w:id="73"/>
      <w:r/>
      <w:r/>
    </w:p>
    <w:p>
      <w:pPr>
        <w:pStyle w:val="1221"/>
        <w:numPr>
          <w:ilvl w:val="2"/>
          <w:numId w:val="24"/>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行程检测传感器能够在闸门处于任意状态时采用专用工具在线检修，安装、维护、检修简单方便。</w:t>
      </w:r>
      <w:r/>
    </w:p>
    <w:p>
      <w:pPr>
        <w:pStyle w:val="1221"/>
        <w:numPr>
          <w:ilvl w:val="2"/>
          <w:numId w:val="24"/>
        </w:numPr>
        <w:spacing w:after="0" w:line="360" w:lineRule="auto"/>
        <w:widowControl w:val="off"/>
        <w:rPr>
          <w:rFonts w:ascii="宋体" w:hAnsi="宋体"/>
          <w:color w:val="auto"/>
          <w:szCs w:val="24"/>
          <w:highlight w:val="none"/>
        </w:rPr>
      </w:pPr>
      <w:r/>
      <w:bookmarkStart w:id="74" w:name="OLE_LINK46"/>
      <w:r>
        <w:rPr>
          <w:rFonts w:hint="eastAsia" w:ascii="宋体" w:hAnsi="宋体"/>
          <w:b/>
          <w:color w:val="auto"/>
          <w:szCs w:val="24"/>
          <w:highlight w:val="none"/>
        </w:rPr>
        <w:t xml:space="preserve">合理使用年限6年</w:t>
      </w:r>
      <w:bookmarkEnd w:id="74"/>
      <w:r>
        <w:rPr>
          <w:rFonts w:hint="eastAsia" w:ascii="宋体" w:hAnsi="宋体"/>
          <w:b/>
          <w:color w:val="auto"/>
          <w:szCs w:val="24"/>
          <w:highlight w:val="none"/>
        </w:rPr>
        <w:t xml:space="preserve">。</w:t>
      </w:r>
      <w:r/>
    </w:p>
    <w:p>
      <w:pPr>
        <w:pStyle w:val="1222"/>
        <w:numPr>
          <w:ilvl w:val="2"/>
          <w:numId w:val="0"/>
        </w:numPr>
        <w:ind w:left="440"/>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2.4.8 静磁栅行程检测装置：</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新制1支外置式</w:t>
      </w:r>
      <w:bookmarkStart w:id="75" w:name="OLE_LINK34"/>
      <w:r/>
      <w:bookmarkStart w:id="76" w:name="OLE_LINK33"/>
      <w:r>
        <w:rPr>
          <w:rFonts w:hint="eastAsia" w:ascii="宋体" w:hAnsi="宋体"/>
          <w:color w:val="auto"/>
          <w:szCs w:val="24"/>
          <w:highlight w:val="none"/>
        </w:rPr>
        <w:t xml:space="preserve">静磁栅</w:t>
      </w:r>
      <w:bookmarkEnd w:id="75"/>
      <w:r/>
      <w:bookmarkEnd w:id="76"/>
      <w:r>
        <w:rPr>
          <w:rFonts w:hint="eastAsia" w:ascii="宋体" w:hAnsi="宋体"/>
          <w:color w:val="auto"/>
          <w:szCs w:val="24"/>
          <w:highlight w:val="none"/>
        </w:rPr>
        <w:t xml:space="preserve">行程检测装置，检测范围应≥油缸最大行程。静磁栅上、下位置自带防水接近开关作为行程保护。</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主要技术要求</w:t>
      </w:r>
      <w:r/>
    </w:p>
    <w:p>
      <w:pPr>
        <w:pStyle w:val="1221"/>
        <w:numPr>
          <w:ilvl w:val="2"/>
          <w:numId w:val="25"/>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测量传感器由刚性结构的动尺和刚性结构的静尺两部分构成；刚性动尺长度不小于实际测量行程，内部地址元为稀土永磁体；刚性静尺为圆形或矩形不锈钢管，地址元信号采集装置防水密封，长度不小于1.2m。</w:t>
      </w:r>
      <w:r/>
    </w:p>
    <w:p>
      <w:pPr>
        <w:pStyle w:val="1221"/>
        <w:numPr>
          <w:ilvl w:val="2"/>
          <w:numId w:val="25"/>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通过动尺静尺相对运动直接测量移动值。</w:t>
      </w:r>
      <w:r/>
    </w:p>
    <w:p>
      <w:pPr>
        <w:pStyle w:val="1221"/>
        <w:numPr>
          <w:ilvl w:val="2"/>
          <w:numId w:val="25"/>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动尺静尺之间无接触且保持一定间隙；动尺与静尺最大可靠检测间隙必须大于或等于 12 mm。</w:t>
      </w:r>
      <w:r/>
    </w:p>
    <w:p>
      <w:pPr>
        <w:pStyle w:val="1221"/>
        <w:numPr>
          <w:ilvl w:val="2"/>
          <w:numId w:val="25"/>
        </w:numPr>
        <w:spacing w:after="0" w:line="360" w:lineRule="auto"/>
        <w:widowControl w:val="off"/>
        <w:rPr>
          <w:rFonts w:ascii="宋体" w:hAnsi="宋体"/>
          <w:color w:val="auto"/>
          <w:szCs w:val="24"/>
          <w:highlight w:val="none"/>
        </w:rPr>
      </w:pPr>
      <w:r>
        <w:rPr>
          <w:rFonts w:hint="eastAsia" w:ascii="宋体" w:hAnsi="宋体"/>
          <w:b/>
          <w:color w:val="auto"/>
          <w:szCs w:val="24"/>
          <w:highlight w:val="none"/>
        </w:rPr>
        <w:t xml:space="preserve">编码器为绝对型</w:t>
      </w:r>
      <w:r>
        <w:rPr>
          <w:rFonts w:hint="eastAsia" w:ascii="宋体" w:hAnsi="宋体"/>
          <w:color w:val="auto"/>
          <w:szCs w:val="24"/>
          <w:highlight w:val="none"/>
        </w:rPr>
        <w:t xml:space="preserve">；测量精度为±1mm，行程检测误差</w:t>
      </w:r>
      <w:bookmarkStart w:id="77" w:name="OLE_LINK42"/>
      <w:r/>
      <w:bookmarkStart w:id="78" w:name="OLE_LINK43"/>
      <w:r>
        <w:rPr>
          <w:rFonts w:hint="eastAsia" w:ascii="宋体" w:hAnsi="宋体"/>
          <w:color w:val="auto"/>
          <w:szCs w:val="24"/>
          <w:highlight w:val="none"/>
        </w:rPr>
        <w:t xml:space="preserve">±1mm</w:t>
      </w:r>
      <w:bookmarkEnd w:id="77"/>
      <w:r/>
      <w:bookmarkEnd w:id="78"/>
      <w:r>
        <w:rPr>
          <w:rFonts w:hint="eastAsia" w:ascii="宋体" w:hAnsi="宋体"/>
          <w:color w:val="auto"/>
          <w:szCs w:val="24"/>
          <w:highlight w:val="none"/>
        </w:rPr>
        <w:t xml:space="preserve">，重复检测误差±2mm。</w:t>
      </w:r>
      <w:r/>
    </w:p>
    <w:p>
      <w:pPr>
        <w:pStyle w:val="1221"/>
        <w:numPr>
          <w:ilvl w:val="2"/>
          <w:numId w:val="25"/>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显示数值为绝对编码数值，</w:t>
      </w:r>
      <w:bookmarkStart w:id="79" w:name="OLE_LINK36"/>
      <w:r/>
      <w:bookmarkStart w:id="80" w:name="OLE_LINK35"/>
      <w:r/>
      <w:bookmarkStart w:id="81" w:name="OLE_LINK37"/>
      <w:r/>
      <w:bookmarkStart w:id="82" w:name="OLE_LINK47"/>
      <w:r/>
      <w:bookmarkStart w:id="83" w:name="OLE_LINK48"/>
      <w:r>
        <w:rPr>
          <w:rFonts w:hint="eastAsia" w:ascii="宋体" w:hAnsi="宋体"/>
          <w:color w:val="auto"/>
          <w:szCs w:val="24"/>
          <w:highlight w:val="none"/>
        </w:rPr>
        <w:t xml:space="preserve">以SSI、RS485模式数字方式输出</w:t>
      </w:r>
      <w:bookmarkEnd w:id="79"/>
      <w:r/>
      <w:bookmarkEnd w:id="80"/>
      <w:r>
        <w:rPr>
          <w:rFonts w:hint="eastAsia" w:ascii="宋体" w:hAnsi="宋体"/>
          <w:color w:val="auto"/>
          <w:szCs w:val="24"/>
          <w:highlight w:val="none"/>
        </w:rPr>
        <w:t xml:space="preserve">（设计联络会审定），并与控制设备配套</w:t>
      </w:r>
      <w:bookmarkEnd w:id="81"/>
      <w:r>
        <w:rPr>
          <w:rFonts w:hint="eastAsia" w:ascii="宋体" w:hAnsi="宋体"/>
          <w:color w:val="auto"/>
          <w:szCs w:val="24"/>
          <w:highlight w:val="none"/>
        </w:rPr>
        <w:t xml:space="preserve">。</w:t>
      </w:r>
      <w:bookmarkEnd w:id="82"/>
      <w:r/>
      <w:bookmarkEnd w:id="83"/>
      <w:r/>
      <w:r/>
    </w:p>
    <w:p>
      <w:pPr>
        <w:pStyle w:val="1221"/>
        <w:numPr>
          <w:ilvl w:val="2"/>
          <w:numId w:val="25"/>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动尺和静尺均取外置式安装方式，方便安装、调试、维护等。</w:t>
      </w:r>
      <w:r/>
    </w:p>
    <w:p>
      <w:pPr>
        <w:pStyle w:val="1221"/>
        <w:numPr>
          <w:ilvl w:val="2"/>
          <w:numId w:val="25"/>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动尺、静尺和传感器均可长期置于露天和水下工作，其防护等级IP68。</w:t>
      </w:r>
      <w:r/>
    </w:p>
    <w:p>
      <w:pPr>
        <w:pStyle w:val="1221"/>
        <w:numPr>
          <w:ilvl w:val="2"/>
          <w:numId w:val="25"/>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管状刚性动尺截面不小于70×30mm，壁厚不小于1.5mm；</w:t>
      </w:r>
      <w:r>
        <w:rPr>
          <w:rFonts w:hint="eastAsia" w:ascii="宋体" w:hAnsi="宋体"/>
          <w:b/>
          <w:color w:val="auto"/>
          <w:szCs w:val="24"/>
          <w:highlight w:val="none"/>
        </w:rPr>
        <w:t xml:space="preserve">动、静尺均采用不锈钢，合理使用年限10年。</w:t>
      </w:r>
      <w:r/>
    </w:p>
    <w:p>
      <w:pPr>
        <w:pStyle w:val="1221"/>
        <w:numPr>
          <w:ilvl w:val="2"/>
          <w:numId w:val="25"/>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动尺和静尺均可抗击水流冲击、抗击5公斤及以下漂浮物撞击、水草缠绕等。</w:t>
      </w:r>
      <w:r/>
    </w:p>
    <w:p>
      <w:pPr>
        <w:pStyle w:val="1221"/>
        <w:numPr>
          <w:ilvl w:val="2"/>
          <w:numId w:val="25"/>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静磁栅传感器配套独立的极限开、关位、同步等待位行程开关；行程开关位置现场可调，每个行程开关均可提供常开与常闭接点各一个。</w:t>
      </w:r>
      <w:r/>
    </w:p>
    <w:p>
      <w:pPr>
        <w:pStyle w:val="1221"/>
        <w:numPr>
          <w:ilvl w:val="2"/>
          <w:numId w:val="25"/>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测量系统工作温度为-20℃~+80℃。</w:t>
      </w:r>
      <w:r/>
    </w:p>
    <w:p>
      <w:pPr>
        <w:pStyle w:val="1221"/>
        <w:numPr>
          <w:ilvl w:val="2"/>
          <w:numId w:val="25"/>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上下限位测量方式：磁性接近开关通过感应刚性动尺的上下磁性地址元测量。</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行程检测装置应选用技术先进、工艺成熟、现场检修维护方便，并有相关业绩的知名品牌产品。</w:t>
      </w:r>
      <w:r/>
    </w:p>
    <w:p>
      <w:pPr>
        <w:pStyle w:val="1221"/>
        <w:ind w:firstLine="480"/>
        <w:spacing w:after="0" w:line="360" w:lineRule="auto"/>
        <w:widowControl w:val="off"/>
        <w:rPr>
          <w:rFonts w:ascii="宋体" w:hAnsi="宋体"/>
          <w:b/>
          <w:bCs/>
          <w:color w:val="auto"/>
          <w:szCs w:val="24"/>
          <w:highlight w:val="none"/>
        </w:rPr>
      </w:pPr>
      <w:r>
        <w:rPr>
          <w:rFonts w:hint="eastAsia" w:ascii="宋体" w:hAnsi="宋体"/>
          <w:b/>
          <w:bCs/>
          <w:color w:val="auto"/>
          <w:szCs w:val="24"/>
          <w:highlight w:val="none"/>
        </w:rPr>
        <w:t xml:space="preserve">静磁栅的规格形式应与原传感器匹配。</w:t>
      </w:r>
      <w:r/>
    </w:p>
    <w:p>
      <w:pPr>
        <w:pStyle w:val="1222"/>
        <w:numPr>
          <w:ilvl w:val="2"/>
          <w:numId w:val="0"/>
        </w:numPr>
        <w:ind w:left="440"/>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2.4.9外置钢丝绳行程检测装置：</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泵站启闭机新制的2套外置钢丝绳行程检测装置</w:t>
      </w:r>
      <w:r/>
    </w:p>
    <w:p>
      <w:pPr>
        <w:pStyle w:val="1221"/>
        <w:numPr>
          <w:ilvl w:val="2"/>
          <w:numId w:val="26"/>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测量精度±1mm，量程≥最大行程。</w:t>
      </w:r>
      <w:r/>
    </w:p>
    <w:p>
      <w:pPr>
        <w:pStyle w:val="1221"/>
        <w:numPr>
          <w:ilvl w:val="2"/>
          <w:numId w:val="26"/>
        </w:numPr>
        <w:spacing w:after="0" w:line="360" w:lineRule="auto"/>
        <w:widowControl w:val="off"/>
        <w:rPr>
          <w:rFonts w:ascii="宋体" w:hAnsi="宋体"/>
          <w:color w:val="auto"/>
          <w:szCs w:val="24"/>
          <w:highlight w:val="none"/>
        </w:rPr>
      </w:pPr>
      <w:r>
        <w:rPr>
          <w:rFonts w:hint="eastAsia" w:ascii="宋体" w:hAnsi="宋体"/>
          <w:b/>
          <w:color w:val="auto"/>
          <w:szCs w:val="24"/>
          <w:highlight w:val="none"/>
        </w:rPr>
        <w:t xml:space="preserve">编码器采用绝对型</w:t>
      </w:r>
      <w:r>
        <w:rPr>
          <w:rFonts w:hint="eastAsia" w:ascii="宋体" w:hAnsi="宋体"/>
          <w:color w:val="auto"/>
          <w:szCs w:val="24"/>
          <w:highlight w:val="none"/>
        </w:rPr>
        <w:t xml:space="preserve">，输出方式4～20mA、SSI及RS485可选（设计联络会审定），并与控制设备配套。</w:t>
      </w:r>
      <w:r/>
    </w:p>
    <w:p>
      <w:pPr>
        <w:pStyle w:val="1221"/>
        <w:numPr>
          <w:ilvl w:val="2"/>
          <w:numId w:val="26"/>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装置出线盒防护等级IP68，钢丝绳采用不锈钢。</w:t>
      </w:r>
      <w:r/>
    </w:p>
    <w:p>
      <w:pPr>
        <w:pStyle w:val="1221"/>
        <w:numPr>
          <w:ilvl w:val="2"/>
          <w:numId w:val="26"/>
        </w:numPr>
        <w:spacing w:after="0" w:line="360" w:lineRule="auto"/>
        <w:widowControl w:val="off"/>
        <w:rPr>
          <w:rFonts w:ascii="宋体" w:hAnsi="宋体"/>
          <w:color w:val="auto"/>
          <w:szCs w:val="24"/>
          <w:highlight w:val="none"/>
        </w:rPr>
      </w:pPr>
      <w:r>
        <w:rPr>
          <w:rFonts w:hint="eastAsia" w:ascii="宋体" w:hAnsi="宋体"/>
          <w:b/>
          <w:color w:val="auto"/>
          <w:szCs w:val="24"/>
          <w:highlight w:val="none"/>
        </w:rPr>
        <w:t xml:space="preserve">合理使用年限6年。</w:t>
      </w:r>
      <w:r/>
    </w:p>
    <w:p>
      <w:pPr>
        <w:pStyle w:val="1221"/>
        <w:numPr>
          <w:ilvl w:val="2"/>
          <w:numId w:val="26"/>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采用知名品牌。</w:t>
      </w:r>
      <w:r/>
    </w:p>
    <w:p>
      <w:pPr>
        <w:pStyle w:val="1222"/>
        <w:numPr>
          <w:ilvl w:val="2"/>
          <w:numId w:val="0"/>
        </w:numPr>
        <w:ind w:left="440"/>
        <w:spacing w:line="360" w:lineRule="auto"/>
        <w:rPr>
          <w:rFonts w:ascii="宋体" w:hAnsi="宋体" w:cs="宋体"/>
          <w:b/>
          <w:color w:val="auto"/>
          <w:szCs w:val="24"/>
          <w:highlight w:val="none"/>
        </w:rPr>
      </w:pPr>
      <w:r/>
      <w:bookmarkStart w:id="84" w:name="_Toc17193"/>
      <w:r>
        <w:rPr>
          <w:rFonts w:hint="eastAsia" w:ascii="宋体" w:hAnsi="宋体" w:cs="宋体"/>
          <w:b/>
          <w:color w:val="auto"/>
          <w:szCs w:val="24"/>
          <w:highlight w:val="none"/>
        </w:rPr>
        <w:t xml:space="preserve">2.4.10</w:t>
      </w:r>
      <w:r>
        <w:rPr>
          <w:rFonts w:hint="eastAsia" w:ascii="宋体" w:hAnsi="宋体" w:cs="宋体"/>
          <w:b/>
          <w:color w:val="auto"/>
          <w:szCs w:val="24"/>
          <w:highlight w:val="none"/>
          <w:lang w:val="en-US" w:eastAsia="zh-CN"/>
        </w:rPr>
        <w:t xml:space="preserve"> </w:t>
      </w:r>
      <w:r>
        <w:rPr>
          <w:rFonts w:hint="eastAsia" w:ascii="宋体" w:hAnsi="宋体" w:cs="宋体"/>
          <w:b/>
          <w:color w:val="auto"/>
          <w:szCs w:val="24"/>
          <w:highlight w:val="none"/>
        </w:rPr>
        <w:t xml:space="preserve">压力传感器</w:t>
      </w:r>
      <w:r>
        <w:rPr>
          <w:rFonts w:hint="eastAsia" w:ascii="宋体" w:hAnsi="宋体" w:cs="宋体"/>
          <w:b/>
          <w:color w:val="auto"/>
          <w:szCs w:val="24"/>
          <w:highlight w:val="none"/>
          <w:lang w:val="en-US" w:eastAsia="zh-CN"/>
        </w:rPr>
        <w:t xml:space="preserve">：</w:t>
      </w:r>
      <w:r>
        <w:rPr>
          <w:rFonts w:hint="eastAsia" w:ascii="宋体" w:hAnsi="宋体" w:cs="宋体"/>
          <w:b/>
          <w:color w:val="auto"/>
          <w:szCs w:val="24"/>
          <w:highlight w:val="none"/>
        </w:rPr>
        <w:t xml:space="preserve">供应商所投产品</w:t>
      </w:r>
      <w:r>
        <w:rPr>
          <w:rFonts w:hint="eastAsia" w:ascii="宋体" w:hAnsi="宋体" w:cs="宋体"/>
          <w:b/>
          <w:color w:val="auto"/>
          <w:szCs w:val="24"/>
          <w:highlight w:val="none"/>
          <w:lang w:val="en-US" w:eastAsia="zh-CN"/>
        </w:rPr>
        <w:t xml:space="preserve">等于</w:t>
      </w:r>
      <w:r>
        <w:rPr>
          <w:rFonts w:hint="eastAsia" w:ascii="宋体" w:hAnsi="宋体" w:cs="宋体"/>
          <w:b/>
          <w:color w:val="auto"/>
          <w:szCs w:val="24"/>
          <w:highlight w:val="none"/>
        </w:rPr>
        <w:t xml:space="preserve">或优于</w:t>
      </w:r>
      <w:r>
        <w:rPr>
          <w:rFonts w:hint="eastAsia" w:ascii="宋体" w:hAnsi="宋体" w:cs="宋体"/>
          <w:b/>
          <w:color w:val="auto"/>
          <w:szCs w:val="24"/>
          <w:highlight w:val="none"/>
          <w:lang w:eastAsia="zh-CN"/>
        </w:rPr>
        <w:t xml:space="preserve">原设备</w:t>
      </w:r>
      <w:r>
        <w:rPr>
          <w:rFonts w:hint="eastAsia" w:ascii="宋体" w:hAnsi="宋体" w:cs="宋体"/>
          <w:b/>
          <w:color w:val="auto"/>
          <w:szCs w:val="24"/>
          <w:highlight w:val="none"/>
        </w:rPr>
        <w:t xml:space="preserve">品牌</w:t>
      </w:r>
      <w:r>
        <w:rPr>
          <w:rFonts w:hint="eastAsia" w:ascii="宋体" w:hAnsi="宋体" w:cs="宋体"/>
          <w:b/>
          <w:color w:val="auto"/>
          <w:szCs w:val="24"/>
          <w:highlight w:val="none"/>
          <w:lang w:eastAsia="zh-CN"/>
        </w:rPr>
        <w:t xml:space="preserve">。</w:t>
      </w:r>
      <w:r/>
    </w:p>
    <w:p>
      <w:pPr>
        <w:pStyle w:val="1222"/>
        <w:numPr>
          <w:ilvl w:val="2"/>
          <w:numId w:val="0"/>
        </w:numPr>
        <w:ind w:left="440"/>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2.4.11仪表等附件采用知名品牌。</w:t>
      </w:r>
      <w:r/>
    </w:p>
    <w:p>
      <w:pPr>
        <w:pStyle w:val="1222"/>
        <w:numPr>
          <w:ilvl w:val="2"/>
          <w:numId w:val="0"/>
        </w:numPr>
        <w:ind w:firstLine="482"/>
        <w:spacing w:line="360" w:lineRule="auto"/>
        <w:rPr>
          <w:rFonts w:hint="eastAsia" w:ascii="宋体" w:hAnsi="宋体" w:eastAsia="宋体" w:cs="宋体"/>
          <w:b/>
          <w:color w:val="auto"/>
          <w:szCs w:val="24"/>
          <w:highlight w:val="none"/>
          <w:lang w:eastAsia="zh-CN"/>
        </w:rPr>
      </w:pPr>
      <w:r>
        <w:rPr>
          <w:rFonts w:hint="eastAsia" w:ascii="宋体" w:hAnsi="宋体" w:cs="宋体"/>
          <w:b/>
          <w:color w:val="auto"/>
          <w:szCs w:val="24"/>
          <w:highlight w:val="none"/>
        </w:rPr>
        <w:t xml:space="preserve">2.4.12 在线监测系统</w:t>
      </w:r>
      <w:r>
        <w:rPr>
          <w:rFonts w:hint="eastAsia" w:ascii="宋体" w:hAnsi="宋体" w:cs="宋体"/>
          <w:b/>
          <w:color w:val="auto"/>
          <w:szCs w:val="24"/>
          <w:highlight w:val="none"/>
          <w:lang w:eastAsia="zh-CN"/>
        </w:rPr>
        <w:t xml:space="preserve">：采用国内水利水电行业知名品牌，并具备水利水电行业类似业绩。</w:t>
      </w:r>
      <w:r/>
    </w:p>
    <w:p>
      <w:pPr>
        <w:pStyle w:val="1222"/>
        <w:numPr>
          <w:ilvl w:val="2"/>
          <w:numId w:val="0"/>
        </w:numPr>
        <w:ind w:firstLine="482"/>
        <w:spacing w:line="360" w:lineRule="auto"/>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r>
      <w:r/>
    </w:p>
    <w:p>
      <w:pPr>
        <w:pStyle w:val="1220"/>
        <w:numPr>
          <w:ilvl w:val="1"/>
          <w:numId w:val="0"/>
        </w:numPr>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备品备件</w:t>
      </w:r>
      <w:bookmarkEnd w:id="67"/>
      <w:r/>
      <w:bookmarkEnd w:id="68"/>
      <w:r/>
      <w:bookmarkEnd w:id="69"/>
      <w:r/>
      <w:bookmarkEnd w:id="70"/>
      <w:r/>
      <w:bookmarkEnd w:id="71"/>
      <w:r/>
      <w:bookmarkEnd w:id="84"/>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运行备品备件是指自完工验收至稳定运行三年内设备运行所必须的备品备件（见表2.5-1）。设备调试期间需要的备品备件由制造商自备。备品备件费用包含在总报价内。</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2.5.1 制造商应按合同提供随机易损备品备件、合同规定的备品备件。备品备件应能互换，并应与原设备的材料和质量相同。备品备件应与其它设备的部件分开装箱，与设备一起发货。箱上应有明显的标记，以便识别箱内所装的部件。箱内包装应能防止备品备件贮存时损坏，箱上应有明显的标记，以便识别箱内所装的部件。精密的电气元件，必须先装在带干燥剂的塑料袋中，或用其他有效的方法防潮然后装箱。包装所用材料应符合环保要求。</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2.5.2 制造商应提交一份完整的备品备件及专用工器具清单，清单应包括部件识别号、主要设备类别、部件说明、参考图、图号和数量，清单和清单的电子版文件一并提交给买方。</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2.5.3 备品备件买方验收前应贴上识别标志，标志应包含上述的各项内容。</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2.5.4 启闭机械备品备件</w:t>
      </w:r>
      <w:r/>
    </w:p>
    <w:p>
      <w:pPr>
        <w:pStyle w:val="1223"/>
        <w:numPr>
          <w:ilvl w:val="6"/>
          <w:numId w:val="0"/>
        </w:numPr>
        <w:keepNext w:val="0"/>
        <w:spacing w:line="360" w:lineRule="auto"/>
        <w:widowControl w:val="off"/>
        <w:rPr>
          <w:rFonts w:ascii="宋体" w:hAnsi="宋体" w:cs="宋体"/>
          <w:color w:val="auto"/>
          <w:szCs w:val="24"/>
          <w:highlight w:val="none"/>
        </w:rPr>
      </w:pPr>
      <w:r>
        <w:rPr>
          <w:rFonts w:ascii="宋体" w:hAnsi="宋体" w:cs="宋体"/>
          <w:color w:val="auto"/>
          <w:szCs w:val="24"/>
          <w:highlight w:val="none"/>
        </w:rPr>
      </w:r>
      <w:r/>
    </w:p>
    <w:p>
      <w:pPr>
        <w:pStyle w:val="1223"/>
        <w:numPr>
          <w:ilvl w:val="6"/>
          <w:numId w:val="0"/>
        </w:numPr>
        <w:keepNext w:val="0"/>
        <w:spacing w:line="360" w:lineRule="auto"/>
        <w:widowControl w:val="off"/>
        <w:rPr>
          <w:rFonts w:ascii="宋体" w:hAnsi="宋体" w:cs="宋体"/>
          <w:color w:val="auto"/>
          <w:szCs w:val="24"/>
          <w:highlight w:val="none"/>
        </w:rPr>
      </w:pPr>
      <w:r>
        <w:rPr>
          <w:rFonts w:hint="eastAsia" w:ascii="宋体" w:hAnsi="宋体" w:cs="宋体"/>
          <w:color w:val="auto"/>
          <w:szCs w:val="24"/>
          <w:highlight w:val="none"/>
        </w:rPr>
        <w:t xml:space="preserve">表2.5-1规定备品备件清单</w:t>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844"/>
        <w:gridCol w:w="2692"/>
        <w:gridCol w:w="2268"/>
        <w:gridCol w:w="2268"/>
      </w:tblGrid>
      <w:tr>
        <w:trPr>
          <w:jc w:val="center"/>
          <w:trHeight w:val="454"/>
        </w:trPr>
        <w:tc>
          <w:tcPr>
            <w:tcW w:w="1844" w:type="dxa"/>
            <w:vAlign w:val="center"/>
            <w:textDirection w:val="lrTb"/>
            <w:noWrap/>
          </w:tcPr>
          <w:p>
            <w:pPr>
              <w:pStyle w:val="1224"/>
              <w:spacing w:after="0"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序号</w:t>
            </w:r>
            <w:r/>
          </w:p>
        </w:tc>
        <w:tc>
          <w:tcPr>
            <w:tcW w:w="2692" w:type="dxa"/>
            <w:vAlign w:val="center"/>
            <w:textDirection w:val="lrTb"/>
            <w:noWrap/>
          </w:tcPr>
          <w:p>
            <w:pPr>
              <w:pStyle w:val="1224"/>
              <w:spacing w:after="0"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名称</w:t>
            </w:r>
            <w:r/>
          </w:p>
        </w:tc>
        <w:tc>
          <w:tcPr>
            <w:tcW w:w="2268" w:type="dxa"/>
            <w:vAlign w:val="center"/>
            <w:textDirection w:val="lrTb"/>
            <w:noWrap/>
          </w:tcPr>
          <w:p>
            <w:pPr>
              <w:pStyle w:val="1224"/>
              <w:spacing w:after="0"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数量</w:t>
            </w:r>
            <w:r/>
          </w:p>
        </w:tc>
        <w:tc>
          <w:tcPr>
            <w:tcW w:w="2268" w:type="dxa"/>
            <w:vAlign w:val="center"/>
            <w:textDirection w:val="lrTb"/>
            <w:noWrap/>
          </w:tcPr>
          <w:p>
            <w:pPr>
              <w:pStyle w:val="1224"/>
              <w:spacing w:after="0"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备注</w:t>
            </w:r>
            <w:r/>
          </w:p>
        </w:tc>
      </w:tr>
      <w:tr>
        <w:trPr>
          <w:jc w:val="center"/>
          <w:trHeight w:val="454"/>
        </w:trPr>
        <w:tc>
          <w:tcPr>
            <w:tcW w:w="1844"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692"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滤油器滤芯</w:t>
            </w:r>
            <w:r/>
          </w:p>
        </w:tc>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滤芯各备用2套</w:t>
            </w:r>
            <w:r/>
          </w:p>
        </w:tc>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1844"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692"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现地控制柜按钮</w:t>
            </w:r>
            <w:r/>
          </w:p>
        </w:tc>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5个</w:t>
            </w:r>
            <w:r/>
          </w:p>
        </w:tc>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1844"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692"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现地控制柜按钮指示灯</w:t>
            </w:r>
            <w:r/>
          </w:p>
        </w:tc>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5个</w:t>
            </w:r>
            <w:r/>
          </w:p>
        </w:tc>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r>
            <w:r/>
          </w:p>
        </w:tc>
      </w:tr>
    </w:tbl>
    <w:p>
      <w:pPr>
        <w:pStyle w:val="1220"/>
        <w:numPr>
          <w:ilvl w:val="1"/>
          <w:numId w:val="0"/>
        </w:numPr>
        <w:spacing w:line="360" w:lineRule="auto"/>
        <w:widowControl w:val="off"/>
        <w:rPr>
          <w:rFonts w:ascii="宋体" w:hAnsi="宋体" w:eastAsia="宋体" w:cs="宋体"/>
          <w:color w:val="auto"/>
          <w:sz w:val="24"/>
          <w:szCs w:val="24"/>
          <w:highlight w:val="none"/>
        </w:rPr>
      </w:pPr>
      <w:r/>
      <w:bookmarkStart w:id="85" w:name="_Toc1854"/>
      <w:r/>
      <w:bookmarkStart w:id="86" w:name="_Toc6188"/>
      <w:r/>
      <w:bookmarkStart w:id="87" w:name="_Toc25375"/>
      <w:r/>
      <w:bookmarkStart w:id="88" w:name="_Toc14699"/>
      <w:r/>
      <w:bookmarkStart w:id="89" w:name="_Toc27726"/>
      <w:r/>
      <w:bookmarkStart w:id="90" w:name="_Toc10906"/>
      <w:r>
        <w:rPr>
          <w:rFonts w:hint="eastAsia" w:ascii="宋体" w:hAnsi="宋体" w:eastAsia="宋体" w:cs="宋体"/>
          <w:color w:val="auto"/>
          <w:sz w:val="24"/>
          <w:szCs w:val="24"/>
          <w:highlight w:val="none"/>
        </w:rPr>
        <w:t xml:space="preserve">2.6 专用及随机工具</w:t>
      </w:r>
      <w:bookmarkEnd w:id="85"/>
      <w:r/>
      <w:bookmarkEnd w:id="86"/>
      <w:r/>
      <w:bookmarkEnd w:id="87"/>
      <w:r/>
      <w:bookmarkEnd w:id="88"/>
      <w:r/>
      <w:bookmarkEnd w:id="89"/>
      <w:r/>
      <w:bookmarkEnd w:id="90"/>
      <w:r/>
      <w:r/>
    </w:p>
    <w:p>
      <w:pPr>
        <w:pStyle w:val="1222"/>
        <w:numPr>
          <w:ilvl w:val="2"/>
          <w:numId w:val="0"/>
        </w:numPr>
        <w:ind w:left="426"/>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2.6.1 概述</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2.6.1.1 </w:t>
      </w:r>
      <w:r>
        <w:rPr>
          <w:rFonts w:hint="eastAsia" w:ascii="宋体" w:hAnsi="宋体" w:cs="宋体"/>
          <w:color w:val="auto"/>
          <w:szCs w:val="24"/>
          <w:highlight w:val="none"/>
        </w:rPr>
        <w:t xml:space="preserve">制造商应提供液压启闭机系统设备常规运维必须的专用工器具，其数量见相应清单，并随设备一起发货，并且注明各种工具仪器的功能及用途，其价格包含在投标总报价中。箱上应有明显的标记，以便识别箱内所装的部件。</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2.6.1.2 </w:t>
      </w:r>
      <w:r>
        <w:rPr>
          <w:rFonts w:hint="eastAsia" w:ascii="宋体" w:hAnsi="宋体" w:cs="宋体"/>
          <w:color w:val="auto"/>
          <w:szCs w:val="24"/>
          <w:highlight w:val="none"/>
        </w:rPr>
        <w:t xml:space="preserve">制造商在投标时可提供认为需要增加的专用工器具清单，及今后运行所需的专用工器具清单，并分项列出单价，供买方选定，不计入设备总价。</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2.6.1.3 </w:t>
      </w:r>
      <w:r>
        <w:rPr>
          <w:rFonts w:hint="eastAsia" w:ascii="宋体" w:hAnsi="宋体" w:cs="宋体"/>
          <w:color w:val="auto"/>
          <w:szCs w:val="24"/>
          <w:highlight w:val="none"/>
        </w:rPr>
        <w:t xml:space="preserve">若专用工具因质量问题发生损坏，制造商应无偿补齐。</w:t>
      </w:r>
      <w:r/>
    </w:p>
    <w:p>
      <w:pPr>
        <w:pStyle w:val="1222"/>
        <w:numPr>
          <w:ilvl w:val="2"/>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2.6.2 专用及随机工具清单</w:t>
      </w:r>
      <w:r/>
    </w:p>
    <w:p>
      <w:pPr>
        <w:pStyle w:val="1223"/>
        <w:numPr>
          <w:ilvl w:val="6"/>
          <w:numId w:val="0"/>
        </w:numPr>
        <w:keepNext w:val="0"/>
        <w:spacing w:line="360" w:lineRule="auto"/>
        <w:widowControl w:val="off"/>
        <w:rPr>
          <w:rFonts w:ascii="宋体" w:hAnsi="宋体" w:cs="宋体"/>
          <w:color w:val="auto"/>
          <w:szCs w:val="24"/>
          <w:highlight w:val="none"/>
        </w:rPr>
      </w:pPr>
      <w:r>
        <w:rPr>
          <w:rFonts w:hint="eastAsia" w:ascii="宋体" w:hAnsi="宋体" w:cs="宋体"/>
          <w:color w:val="auto"/>
          <w:szCs w:val="24"/>
          <w:highlight w:val="none"/>
        </w:rPr>
        <w:t xml:space="preserve">表2.6-1专用及随机工具清单</w:t>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2268"/>
        <w:gridCol w:w="2268"/>
        <w:gridCol w:w="2268"/>
        <w:gridCol w:w="2268"/>
      </w:tblGrid>
      <w:tr>
        <w:trPr>
          <w:jc w:val="center"/>
          <w:trHeight w:val="454"/>
        </w:trPr>
        <w:tc>
          <w:tcPr>
            <w:tcW w:w="2268" w:type="dxa"/>
            <w:vAlign w:val="center"/>
            <w:textDirection w:val="lrTb"/>
            <w:noWrap/>
          </w:tcPr>
          <w:p>
            <w:pPr>
              <w:pStyle w:val="1224"/>
              <w:spacing w:after="0"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序号</w:t>
            </w:r>
            <w:r/>
          </w:p>
        </w:tc>
        <w:tc>
          <w:tcPr>
            <w:tcW w:w="2268" w:type="dxa"/>
            <w:vAlign w:val="center"/>
            <w:textDirection w:val="lrTb"/>
            <w:noWrap/>
          </w:tcPr>
          <w:p>
            <w:pPr>
              <w:pStyle w:val="1224"/>
              <w:spacing w:after="0"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名称</w:t>
            </w:r>
            <w:r/>
          </w:p>
        </w:tc>
        <w:tc>
          <w:tcPr>
            <w:tcW w:w="2268" w:type="dxa"/>
            <w:vAlign w:val="center"/>
            <w:textDirection w:val="lrTb"/>
            <w:noWrap/>
          </w:tcPr>
          <w:p>
            <w:pPr>
              <w:pStyle w:val="1224"/>
              <w:spacing w:after="0"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数量</w:t>
            </w:r>
            <w:r/>
          </w:p>
        </w:tc>
        <w:tc>
          <w:tcPr>
            <w:tcW w:w="2268" w:type="dxa"/>
            <w:vAlign w:val="center"/>
            <w:textDirection w:val="lrTb"/>
            <w:noWrap/>
          </w:tcPr>
          <w:p>
            <w:pPr>
              <w:pStyle w:val="1224"/>
              <w:spacing w:after="0"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备注</w:t>
            </w:r>
            <w:r/>
          </w:p>
        </w:tc>
      </w:tr>
      <w:tr>
        <w:trPr>
          <w:jc w:val="center"/>
          <w:trHeight w:val="454"/>
        </w:trPr>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力矩扳手</w:t>
            </w:r>
            <w:r/>
          </w:p>
        </w:tc>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2套</w:t>
            </w:r>
            <w:r/>
          </w:p>
        </w:tc>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电工钳工组合工具</w:t>
            </w:r>
            <w:r/>
          </w:p>
        </w:tc>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1套</w:t>
            </w:r>
            <w:r/>
          </w:p>
        </w:tc>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454"/>
        </w:trPr>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r>
            <w:r/>
          </w:p>
        </w:tc>
        <w:tc>
          <w:tcPr>
            <w:tcW w:w="2268" w:type="dxa"/>
            <w:vAlign w:val="center"/>
            <w:textDirection w:val="lrTb"/>
            <w:noWrap/>
          </w:tcPr>
          <w:p>
            <w:pPr>
              <w:pStyle w:val="1224"/>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r>
            <w:r/>
          </w:p>
        </w:tc>
      </w:tr>
    </w:tbl>
    <w:p>
      <w:pPr>
        <w:pStyle w:val="1220"/>
        <w:numPr>
          <w:ilvl w:val="1"/>
          <w:numId w:val="0"/>
        </w:numPr>
        <w:spacing w:line="360" w:lineRule="auto"/>
        <w:widowControl w:val="off"/>
        <w:rPr>
          <w:rFonts w:ascii="宋体" w:hAnsi="宋体" w:eastAsia="宋体" w:cs="宋体"/>
          <w:color w:val="auto"/>
          <w:sz w:val="24"/>
          <w:szCs w:val="24"/>
          <w:highlight w:val="none"/>
        </w:rPr>
      </w:pPr>
      <w:r/>
      <w:bookmarkStart w:id="91" w:name="_Toc11158"/>
      <w:r/>
      <w:bookmarkStart w:id="92" w:name="_Toc31483"/>
      <w:r/>
      <w:bookmarkStart w:id="93" w:name="_Toc18211"/>
      <w:r/>
      <w:bookmarkStart w:id="94" w:name="_Toc28190"/>
      <w:r/>
      <w:bookmarkStart w:id="95" w:name="_Toc6781"/>
      <w:r>
        <w:rPr>
          <w:rFonts w:hint="eastAsia" w:ascii="宋体" w:hAnsi="宋体" w:eastAsia="宋体" w:cs="宋体"/>
          <w:color w:val="auto"/>
          <w:sz w:val="24"/>
          <w:szCs w:val="24"/>
          <w:highlight w:val="none"/>
        </w:rPr>
        <w:t xml:space="preserve">2.7 电气设备的一般要求</w:t>
      </w:r>
      <w:bookmarkEnd w:id="91"/>
      <w:r/>
      <w:bookmarkEnd w:id="92"/>
      <w:r/>
      <w:bookmarkEnd w:id="93"/>
      <w:r/>
      <w:bookmarkEnd w:id="94"/>
      <w:r/>
      <w:bookmarkEnd w:id="95"/>
      <w:r/>
      <w:r/>
    </w:p>
    <w:p>
      <w:pPr>
        <w:pStyle w:val="1222"/>
        <w:numPr>
          <w:ilvl w:val="2"/>
          <w:numId w:val="0"/>
        </w:numPr>
        <w:ind w:left="426"/>
        <w:spacing w:line="360" w:lineRule="auto"/>
        <w:rPr>
          <w:rFonts w:ascii="宋体" w:hAnsi="宋体" w:cs="宋体"/>
          <w:color w:val="auto"/>
          <w:szCs w:val="24"/>
          <w:highlight w:val="none"/>
        </w:rPr>
      </w:pPr>
      <w:r>
        <w:rPr>
          <w:rFonts w:hint="eastAsia" w:ascii="宋体" w:hAnsi="宋体" w:cs="宋体"/>
          <w:bCs w:val="0"/>
          <w:color w:val="auto"/>
          <w:szCs w:val="24"/>
          <w:highlight w:val="none"/>
        </w:rPr>
        <w:t xml:space="preserve">2.7.1  </w:t>
      </w:r>
      <w:r>
        <w:rPr>
          <w:rFonts w:hint="eastAsia" w:ascii="宋体" w:hAnsi="宋体" w:cs="宋体"/>
          <w:color w:val="auto"/>
          <w:szCs w:val="24"/>
          <w:highlight w:val="none"/>
        </w:rPr>
        <w:t xml:space="preserve">总则</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2.7.1</w:t>
      </w:r>
      <w:r>
        <w:rPr>
          <w:rFonts w:hint="eastAsia" w:ascii="宋体" w:hAnsi="宋体" w:cs="宋体"/>
          <w:color w:val="auto"/>
          <w:szCs w:val="24"/>
          <w:highlight w:val="none"/>
        </w:rPr>
        <w:t xml:space="preserve">.1</w:t>
      </w:r>
      <w:r>
        <w:rPr>
          <w:rFonts w:hint="eastAsia" w:ascii="宋体" w:hAnsi="宋体" w:cs="宋体"/>
          <w:color w:val="auto"/>
          <w:szCs w:val="24"/>
          <w:highlight w:val="none"/>
          <w:lang w:val="en-US"/>
        </w:rPr>
        <w:t xml:space="preserve"> </w:t>
      </w:r>
      <w:r>
        <w:rPr>
          <w:rFonts w:hint="eastAsia" w:ascii="宋体" w:hAnsi="宋体" w:cs="宋体"/>
          <w:color w:val="auto"/>
          <w:szCs w:val="24"/>
          <w:highlight w:val="none"/>
        </w:rPr>
        <w:t xml:space="preserve">制造商的工作范围</w:t>
      </w:r>
      <w:r/>
    </w:p>
    <w:p>
      <w:pPr>
        <w:pStyle w:val="1221"/>
        <w:numPr>
          <w:ilvl w:val="2"/>
          <w:numId w:val="27"/>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 完成PLC控制柜的制造、工厂试验、包装运输、交货、安装指导、指导工地试验及调试、指导验收、人员培训等全部工作。</w:t>
      </w:r>
      <w:r/>
    </w:p>
    <w:p>
      <w:pPr>
        <w:pStyle w:val="1221"/>
        <w:numPr>
          <w:ilvl w:val="2"/>
          <w:numId w:val="27"/>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提供必要的测试、试验设备和维修设备。</w:t>
      </w:r>
      <w:r/>
    </w:p>
    <w:p>
      <w:pPr>
        <w:pStyle w:val="1221"/>
        <w:numPr>
          <w:ilvl w:val="2"/>
          <w:numId w:val="27"/>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提供设备的电气控制柜原理图、内部接线图、外部接线图、端子接线图、电气设备布置图、安装图、操作控制流程图、电缆敷设图、电缆统计清册，安装调试说明书、操作使用维护说明书、正版应用软件（含源程序代码）及软件程序清单、软件编制说明等全套图纸、技术文件。</w:t>
      </w:r>
      <w:r/>
    </w:p>
    <w:p>
      <w:pPr>
        <w:pStyle w:val="1221"/>
        <w:numPr>
          <w:ilvl w:val="2"/>
          <w:numId w:val="27"/>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制造商提供的图纸和技术文件、计算机软件等必须符合国家有关标准规范。</w:t>
      </w:r>
      <w:r/>
    </w:p>
    <w:p>
      <w:pPr>
        <w:pStyle w:val="1221"/>
        <w:numPr>
          <w:ilvl w:val="2"/>
          <w:numId w:val="27"/>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对外接口协调。</w:t>
      </w:r>
      <w:r/>
    </w:p>
    <w:p>
      <w:pPr>
        <w:pStyle w:val="1221"/>
        <w:numPr>
          <w:ilvl w:val="2"/>
          <w:numId w:val="27"/>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对于现地控制柜与远方控制设备之间通信的具体内容和格式，制造商应与买方或买方指定的单位进行协商确定，并保证现地控制柜与远方控制设备之间数据通信正常运行或I/O接口匹配成功。</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2.7.1</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rPr>
        <w:t xml:space="preserve">2 </w:t>
      </w:r>
      <w:r>
        <w:rPr>
          <w:rFonts w:hint="eastAsia" w:ascii="宋体" w:hAnsi="宋体" w:cs="宋体"/>
          <w:color w:val="auto"/>
          <w:szCs w:val="24"/>
          <w:highlight w:val="none"/>
        </w:rPr>
        <w:t xml:space="preserve">电气元器件</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电气设备主要元器件（包括操作控制器件和执行器件）。所有元器件及附件应满足当地气候条件。制造商应在投标书中详细说明这些器件的生产制造商和原产地。高度限制器、重量限制器必须有国家型式试验许可证。</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PLC可编程控制器要求不需电池也能保存程序。控制器须采用模块式配置：机架、电源模块、CPU模块、以太网接口、DI/DO模块、AI/AO模块、SSI模块，主控柜和副控柜配置应分别配置CPU模块，采用以太网接口联网。</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PLC采用以太网通讯接口能与远方计算机监控系统通信，实现液压启闭机必要信息的上送，并能接受计算机监控系统的命令，且能实现对液压启闭机的远方控制功能。通信接口和规约在设计审查会上根据计算机监控系统的需求确定，PLC的选型应满足此要求。现地PLC对各台电机的启动应能自动计数，自动实现电机的轮换启动。</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2.7.1</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rPr>
        <w:t xml:space="preserve">3 </w:t>
      </w:r>
      <w:r>
        <w:rPr>
          <w:rFonts w:hint="eastAsia" w:ascii="宋体" w:hAnsi="宋体" w:cs="宋体"/>
          <w:color w:val="auto"/>
          <w:szCs w:val="24"/>
          <w:highlight w:val="none"/>
        </w:rPr>
        <w:t xml:space="preserve">电气控制系统</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电气控制系统要求采用PLC为基础的控制装置构成。电气控制柜利用现有控制柜。</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电气控制分为现地手动控制、现地自动控制及远控方式，每种控制方式互为闭锁，手动操作时脱离PLC控制，自动操作时主副侧PLC参与控制自动控制，控制闸门主副侧的油缸活塞杆同步运行。</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控制柜上同时应提供开关量接点，将“PLC装置故障”“电源消失”等故障、状态信号、控制方式开关位置及锁定信号等以空接点的形式送电站计算机监控系统。启闭机控制系统能实现现地和远方控制，并预留远方控制（开启、关闭）接口及设置远方/现地切换开关。</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启闭机控制系统的控制状态（处远方、现地位置）、启闭机状态（开启、关闭位置）、启闭机事故及故障信号均以继电器接点形式送出。所有信号为无源接点，各信号分别提供2对接点，并引至启闭机控制柜对外端子排。接点的容量要求为长期接通容量不小于5A、AC220V。</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启闭机应有短路保护、过流保护、失压保护、零位保护与紧急开关、油压差保护及高、低油位保护。</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2.7.1</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rPr>
        <w:t xml:space="preserve">4 </w:t>
      </w:r>
      <w:r>
        <w:rPr>
          <w:rFonts w:hint="eastAsia" w:ascii="宋体" w:hAnsi="宋体" w:cs="宋体"/>
          <w:color w:val="auto"/>
          <w:szCs w:val="24"/>
          <w:highlight w:val="none"/>
        </w:rPr>
        <w:t xml:space="preserve">远程集控（监控）</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所有液压启闭机均有远方集控（监控）要求，其现地电控柜内应留有与计算机集控系统，同时应具有与监控系统的通信接口。</w:t>
      </w:r>
      <w:r/>
    </w:p>
    <w:p>
      <w:pPr>
        <w:pStyle w:val="1222"/>
        <w:numPr>
          <w:ilvl w:val="2"/>
          <w:numId w:val="0"/>
        </w:numPr>
        <w:ind w:left="426"/>
        <w:spacing w:line="360" w:lineRule="auto"/>
        <w:rPr>
          <w:rFonts w:ascii="宋体" w:hAnsi="宋体" w:cs="宋体"/>
          <w:color w:val="auto"/>
          <w:szCs w:val="24"/>
          <w:highlight w:val="none"/>
        </w:rPr>
      </w:pPr>
      <w:r>
        <w:rPr>
          <w:rFonts w:hint="eastAsia" w:ascii="宋体" w:hAnsi="宋体" w:cs="宋体"/>
          <w:bCs w:val="0"/>
          <w:color w:val="auto"/>
          <w:szCs w:val="24"/>
          <w:highlight w:val="none"/>
        </w:rPr>
        <w:t xml:space="preserve">2.7.2 </w:t>
      </w:r>
      <w:r>
        <w:rPr>
          <w:rFonts w:hint="eastAsia" w:ascii="宋体" w:hAnsi="宋体" w:cs="宋体"/>
          <w:color w:val="auto"/>
          <w:szCs w:val="24"/>
          <w:highlight w:val="none"/>
        </w:rPr>
        <w:t xml:space="preserve">控制系统性能要求</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控制系统应保证达到下列的主要性能指标：</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2.7.2</w:t>
      </w:r>
      <w:r>
        <w:rPr>
          <w:rFonts w:hint="eastAsia" w:ascii="宋体" w:hAnsi="宋体" w:cs="宋体"/>
          <w:color w:val="auto"/>
          <w:szCs w:val="24"/>
          <w:highlight w:val="none"/>
        </w:rPr>
        <w:t xml:space="preserve">.1</w:t>
      </w:r>
      <w:r>
        <w:rPr>
          <w:rFonts w:hint="eastAsia" w:ascii="宋体" w:hAnsi="宋体" w:cs="宋体"/>
          <w:color w:val="auto"/>
          <w:szCs w:val="24"/>
          <w:highlight w:val="none"/>
          <w:lang w:val="en-US"/>
        </w:rPr>
        <w:t xml:space="preserve"> </w:t>
      </w:r>
      <w:r>
        <w:rPr>
          <w:rFonts w:hint="eastAsia" w:ascii="宋体" w:hAnsi="宋体" w:cs="宋体"/>
          <w:color w:val="auto"/>
          <w:szCs w:val="24"/>
          <w:highlight w:val="none"/>
        </w:rPr>
        <w:t xml:space="preserve">实时性</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现地控制站的响应能力应满足对于运行过程的数据采集时间或控制命令执行时间的要求。</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2.7.2.2 </w:t>
      </w:r>
      <w:r>
        <w:rPr>
          <w:rFonts w:hint="eastAsia" w:ascii="宋体" w:hAnsi="宋体" w:cs="宋体"/>
          <w:color w:val="auto"/>
          <w:szCs w:val="24"/>
          <w:highlight w:val="none"/>
        </w:rPr>
        <w:t xml:space="preserve">可靠性</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控制系统的MTBF：＞2×10</w:t>
      </w:r>
      <w:r>
        <w:rPr>
          <w:rFonts w:hint="eastAsia" w:ascii="宋体" w:hAnsi="宋体"/>
          <w:color w:val="auto"/>
          <w:szCs w:val="24"/>
          <w:highlight w:val="none"/>
          <w:vertAlign w:val="superscript"/>
        </w:rPr>
        <w:t xml:space="preserve">4</w:t>
      </w:r>
      <w:r>
        <w:rPr>
          <w:rFonts w:hint="eastAsia" w:ascii="宋体" w:hAnsi="宋体"/>
          <w:color w:val="auto"/>
          <w:szCs w:val="24"/>
          <w:highlight w:val="none"/>
        </w:rPr>
        <w:t xml:space="preserve">h</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2.7.2.3 </w:t>
      </w:r>
      <w:r>
        <w:rPr>
          <w:rFonts w:hint="eastAsia" w:ascii="宋体" w:hAnsi="宋体" w:cs="宋体"/>
          <w:color w:val="auto"/>
          <w:szCs w:val="24"/>
          <w:highlight w:val="none"/>
        </w:rPr>
        <w:t xml:space="preserve">可利用率＞99.9%</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2.7.2.4 </w:t>
      </w:r>
      <w:r>
        <w:rPr>
          <w:rFonts w:hint="eastAsia" w:ascii="宋体" w:hAnsi="宋体" w:cs="宋体"/>
          <w:color w:val="auto"/>
          <w:szCs w:val="24"/>
          <w:highlight w:val="none"/>
        </w:rPr>
        <w:t xml:space="preserve">安全性</w:t>
      </w:r>
      <w:r/>
    </w:p>
    <w:p>
      <w:pPr>
        <w:pStyle w:val="1221"/>
        <w:numPr>
          <w:ilvl w:val="2"/>
          <w:numId w:val="28"/>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对每一功能和操作进行校核；</w:t>
      </w:r>
      <w:r/>
    </w:p>
    <w:p>
      <w:pPr>
        <w:pStyle w:val="1221"/>
        <w:numPr>
          <w:ilvl w:val="2"/>
          <w:numId w:val="28"/>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当有误操作时，能自动和手动地被禁止并报警；</w:t>
      </w:r>
      <w:r/>
    </w:p>
    <w:p>
      <w:pPr>
        <w:pStyle w:val="1221"/>
        <w:numPr>
          <w:ilvl w:val="2"/>
          <w:numId w:val="28"/>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任何自动或手动操作可作存储记录或提示指示；</w:t>
      </w:r>
      <w:r/>
    </w:p>
    <w:p>
      <w:pPr>
        <w:pStyle w:val="1221"/>
        <w:numPr>
          <w:ilvl w:val="2"/>
          <w:numId w:val="28"/>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系统应保证报文信息中的一个信息量错误不会导致系统关键性故障；</w:t>
      </w:r>
      <w:r/>
    </w:p>
    <w:p>
      <w:pPr>
        <w:pStyle w:val="1221"/>
        <w:numPr>
          <w:ilvl w:val="2"/>
          <w:numId w:val="28"/>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应有电源故障保护和自动重新启动；</w:t>
      </w:r>
      <w:r/>
    </w:p>
    <w:p>
      <w:pPr>
        <w:pStyle w:val="1221"/>
        <w:numPr>
          <w:ilvl w:val="2"/>
          <w:numId w:val="28"/>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有自检能力，检出故障时自动报警；</w:t>
      </w:r>
      <w:r/>
    </w:p>
    <w:p>
      <w:pPr>
        <w:pStyle w:val="1221"/>
        <w:numPr>
          <w:ilvl w:val="2"/>
          <w:numId w:val="28"/>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 设备故障自动解除并能报警；</w:t>
      </w:r>
      <w:r/>
    </w:p>
    <w:p>
      <w:pPr>
        <w:pStyle w:val="1221"/>
        <w:numPr>
          <w:ilvl w:val="2"/>
          <w:numId w:val="28"/>
        </w:numPr>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系统中任何单个元件的故障不应造成生产设备误动作。</w:t>
      </w:r>
      <w:r/>
    </w:p>
    <w:p>
      <w:pPr>
        <w:pStyle w:val="1222"/>
        <w:numPr>
          <w:ilvl w:val="2"/>
          <w:numId w:val="0"/>
        </w:numPr>
        <w:ind w:left="426"/>
        <w:spacing w:line="360" w:lineRule="auto"/>
        <w:rPr>
          <w:rFonts w:ascii="宋体" w:hAnsi="宋体" w:cs="宋体"/>
          <w:color w:val="auto"/>
          <w:szCs w:val="24"/>
          <w:highlight w:val="none"/>
        </w:rPr>
      </w:pPr>
      <w:r>
        <w:rPr>
          <w:rFonts w:hint="eastAsia" w:ascii="宋体" w:hAnsi="宋体" w:cs="宋体"/>
          <w:bCs w:val="0"/>
          <w:color w:val="auto"/>
          <w:szCs w:val="24"/>
          <w:highlight w:val="none"/>
        </w:rPr>
        <w:t xml:space="preserve">2.7.3 </w:t>
      </w:r>
      <w:r>
        <w:rPr>
          <w:rFonts w:hint="eastAsia" w:ascii="宋体" w:hAnsi="宋体" w:cs="宋体"/>
          <w:color w:val="auto"/>
          <w:szCs w:val="24"/>
          <w:highlight w:val="none"/>
        </w:rPr>
        <w:t xml:space="preserve">控制系统工厂试验项目</w:t>
      </w:r>
      <w:r/>
    </w:p>
    <w:p>
      <w:pPr>
        <w:pStyle w:val="1221"/>
        <w:spacing w:after="0" w:line="360" w:lineRule="auto"/>
        <w:widowControl w:val="off"/>
        <w:rPr>
          <w:rFonts w:ascii="宋体" w:hAnsi="宋体"/>
          <w:color w:val="auto"/>
          <w:szCs w:val="24"/>
          <w:highlight w:val="none"/>
        </w:rPr>
      </w:pPr>
      <w:r>
        <w:rPr>
          <w:rFonts w:hint="eastAsia" w:ascii="宋体" w:hAnsi="宋体"/>
          <w:color w:val="auto"/>
          <w:szCs w:val="24"/>
          <w:highlight w:val="none"/>
        </w:rPr>
        <w:t xml:space="preserve">控制系统在工厂试验包含以下的项目：</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2.7.3.1 </w:t>
      </w:r>
      <w:r>
        <w:rPr>
          <w:rFonts w:hint="eastAsia" w:ascii="宋体" w:hAnsi="宋体" w:cs="宋体"/>
          <w:color w:val="auto"/>
          <w:szCs w:val="24"/>
          <w:highlight w:val="none"/>
        </w:rPr>
        <w:t xml:space="preserve">检查控制系统和设备的设计资料、操作手册和维护手册；</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2.7.3.2 </w:t>
      </w:r>
      <w:r>
        <w:rPr>
          <w:rFonts w:hint="eastAsia" w:ascii="宋体" w:hAnsi="宋体" w:cs="宋体"/>
          <w:color w:val="auto"/>
          <w:szCs w:val="24"/>
          <w:highlight w:val="none"/>
        </w:rPr>
        <w:t xml:space="preserve">检查质量保证措施及各种检测报告；</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2.7.3.3 </w:t>
      </w:r>
      <w:r>
        <w:rPr>
          <w:rFonts w:hint="eastAsia" w:ascii="宋体" w:hAnsi="宋体" w:cs="宋体"/>
          <w:color w:val="auto"/>
          <w:szCs w:val="24"/>
          <w:highlight w:val="none"/>
        </w:rPr>
        <w:t xml:space="preserve">检查设备缺陷修补处理记录；</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2.7.3.4 </w:t>
      </w:r>
      <w:r>
        <w:rPr>
          <w:rFonts w:hint="eastAsia" w:ascii="宋体" w:hAnsi="宋体" w:cs="宋体"/>
          <w:color w:val="auto"/>
          <w:szCs w:val="24"/>
          <w:highlight w:val="none"/>
        </w:rPr>
        <w:t xml:space="preserve">检查设备外观和工艺质量；</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2.7.3.5 </w:t>
      </w:r>
      <w:r>
        <w:rPr>
          <w:rFonts w:hint="eastAsia" w:ascii="宋体" w:hAnsi="宋体" w:cs="宋体"/>
          <w:color w:val="auto"/>
          <w:szCs w:val="24"/>
          <w:highlight w:val="none"/>
        </w:rPr>
        <w:t xml:space="preserve">检查设备的配置；</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2.7.3.6 </w:t>
      </w:r>
      <w:r>
        <w:rPr>
          <w:rFonts w:hint="eastAsia" w:ascii="宋体" w:hAnsi="宋体" w:cs="宋体"/>
          <w:color w:val="auto"/>
          <w:szCs w:val="24"/>
          <w:highlight w:val="none"/>
        </w:rPr>
        <w:t xml:space="preserve">设备的功能测试；</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2.7.3.7 </w:t>
      </w:r>
      <w:r>
        <w:rPr>
          <w:rFonts w:hint="eastAsia" w:ascii="宋体" w:hAnsi="宋体" w:cs="宋体"/>
          <w:color w:val="auto"/>
          <w:szCs w:val="24"/>
          <w:highlight w:val="none"/>
        </w:rPr>
        <w:t xml:space="preserve">设备的绝缘强度SWC试验；</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2.7.3.8 </w:t>
      </w:r>
      <w:r>
        <w:rPr>
          <w:rFonts w:hint="eastAsia" w:ascii="宋体" w:hAnsi="宋体" w:cs="宋体"/>
          <w:color w:val="auto"/>
          <w:szCs w:val="24"/>
          <w:highlight w:val="none"/>
        </w:rPr>
        <w:t xml:space="preserve">电源测试包含电压、频率和工作范围，设备的输入输出特性，在断电后重新启动的恢复性；</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2.7.3.9 </w:t>
      </w:r>
      <w:r>
        <w:rPr>
          <w:rFonts w:hint="eastAsia" w:ascii="宋体" w:hAnsi="宋体" w:cs="宋体"/>
          <w:color w:val="auto"/>
          <w:szCs w:val="24"/>
          <w:highlight w:val="none"/>
        </w:rPr>
        <w:t xml:space="preserve">设备接口试验（包括电源、I/O接口设备、通讯通道技术参数等）；</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2.7.3.10 </w:t>
      </w:r>
      <w:r>
        <w:rPr>
          <w:rFonts w:hint="eastAsia" w:ascii="宋体" w:hAnsi="宋体" w:cs="宋体"/>
          <w:color w:val="auto"/>
          <w:szCs w:val="24"/>
          <w:highlight w:val="none"/>
        </w:rPr>
        <w:t xml:space="preserve">模拟控制系统的自动和手动运行工况。</w:t>
      </w:r>
      <w:r/>
    </w:p>
    <w:p>
      <w:pPr>
        <w:pStyle w:val="1222"/>
        <w:numPr>
          <w:ilvl w:val="2"/>
          <w:numId w:val="0"/>
        </w:numPr>
        <w:ind w:left="426"/>
        <w:spacing w:line="360" w:lineRule="auto"/>
        <w:rPr>
          <w:rFonts w:ascii="宋体" w:hAnsi="宋体" w:cs="宋体"/>
          <w:color w:val="auto"/>
          <w:szCs w:val="24"/>
          <w:highlight w:val="none"/>
        </w:rPr>
      </w:pPr>
      <w:r>
        <w:rPr>
          <w:rFonts w:hint="eastAsia" w:ascii="宋体" w:hAnsi="宋体" w:cs="宋体"/>
          <w:bCs w:val="0"/>
          <w:color w:val="auto"/>
          <w:szCs w:val="24"/>
          <w:highlight w:val="none"/>
        </w:rPr>
        <w:t xml:space="preserve">2.7.4 </w:t>
      </w:r>
      <w:r>
        <w:rPr>
          <w:rFonts w:hint="eastAsia" w:ascii="宋体" w:hAnsi="宋体" w:cs="宋体"/>
          <w:color w:val="auto"/>
          <w:szCs w:val="24"/>
          <w:highlight w:val="none"/>
        </w:rPr>
        <w:t xml:space="preserve">控制系统现场试验</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2.7.4</w:t>
      </w:r>
      <w:r>
        <w:rPr>
          <w:rFonts w:hint="eastAsia" w:ascii="宋体" w:hAnsi="宋体" w:cs="宋体"/>
          <w:color w:val="auto"/>
          <w:szCs w:val="24"/>
          <w:highlight w:val="none"/>
        </w:rPr>
        <w:t xml:space="preserve">.1</w:t>
      </w:r>
      <w:r>
        <w:rPr>
          <w:rFonts w:hint="eastAsia" w:ascii="宋体" w:hAnsi="宋体" w:cs="宋体"/>
          <w:color w:val="auto"/>
          <w:szCs w:val="24"/>
          <w:highlight w:val="none"/>
        </w:rPr>
        <w:t xml:space="preserve"> 设备的功能测试；</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2.7.4</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rPr>
        <w:t xml:space="preserve">2</w:t>
      </w:r>
      <w:r>
        <w:rPr>
          <w:rFonts w:hint="eastAsia" w:ascii="宋体" w:hAnsi="宋体" w:cs="宋体"/>
          <w:color w:val="auto"/>
          <w:szCs w:val="24"/>
          <w:highlight w:val="none"/>
        </w:rPr>
        <w:t xml:space="preserve"> 系统保护功能试验；</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2.7.4</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rPr>
        <w:t xml:space="preserve">3</w:t>
      </w:r>
      <w:r>
        <w:rPr>
          <w:rFonts w:hint="eastAsia" w:ascii="宋体" w:hAnsi="宋体" w:cs="宋体"/>
          <w:color w:val="auto"/>
          <w:szCs w:val="24"/>
          <w:highlight w:val="none"/>
        </w:rPr>
        <w:t xml:space="preserve"> 设备的绝缘强度SWC试验；</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2.7.4</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rPr>
        <w:t xml:space="preserve">4</w:t>
      </w:r>
      <w:r>
        <w:rPr>
          <w:rFonts w:hint="eastAsia" w:ascii="宋体" w:hAnsi="宋体" w:cs="宋体"/>
          <w:color w:val="auto"/>
          <w:szCs w:val="24"/>
          <w:highlight w:val="none"/>
        </w:rPr>
        <w:t xml:space="preserve"> 电源测试包含电压、频率和工作范围，设备的输入输出特性，在断电后重新启动的恢复性；</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2.7.4</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rPr>
        <w:t xml:space="preserve">5</w:t>
      </w:r>
      <w:r>
        <w:rPr>
          <w:rFonts w:hint="eastAsia" w:ascii="宋体" w:hAnsi="宋体" w:cs="宋体"/>
          <w:color w:val="auto"/>
          <w:szCs w:val="24"/>
          <w:highlight w:val="none"/>
        </w:rPr>
        <w:t xml:space="preserve"> 设备接口试验（包括电源、I/O接口设备、通讯通道技术参数等）；</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2.7.4</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rPr>
        <w:t xml:space="preserve">6</w:t>
      </w:r>
      <w:r>
        <w:rPr>
          <w:rFonts w:hint="eastAsia" w:ascii="宋体" w:hAnsi="宋体" w:cs="宋体"/>
          <w:color w:val="auto"/>
          <w:szCs w:val="24"/>
          <w:highlight w:val="none"/>
        </w:rPr>
        <w:t xml:space="preserve"> 模拟控制系统的自动和手动运行工况；</w:t>
      </w:r>
      <w:r/>
    </w:p>
    <w:p>
      <w:pPr>
        <w:pStyle w:val="1225"/>
        <w:numPr>
          <w:ilvl w:val="3"/>
          <w:numId w:val="0"/>
        </w:numPr>
        <w:ind w:firstLine="480"/>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2.7.4</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rPr>
        <w:t xml:space="preserve">7</w:t>
      </w:r>
      <w:r>
        <w:rPr>
          <w:rFonts w:hint="eastAsia" w:ascii="宋体" w:hAnsi="宋体" w:cs="宋体"/>
          <w:color w:val="auto"/>
          <w:szCs w:val="24"/>
          <w:highlight w:val="none"/>
        </w:rPr>
        <w:t xml:space="preserve"> 整体设备联调。</w:t>
      </w:r>
      <w:r/>
    </w:p>
    <w:p>
      <w:pPr>
        <w:pStyle w:val="1219"/>
        <w:spacing w:line="360" w:lineRule="auto"/>
        <w:rPr>
          <w:rFonts w:ascii="宋体" w:hAnsi="宋体" w:eastAsia="宋体" w:cs="宋体"/>
          <w:color w:val="auto"/>
          <w:sz w:val="28"/>
          <w:highlight w:val="none"/>
        </w:rPr>
      </w:pPr>
      <w:r/>
      <w:bookmarkStart w:id="96" w:name="_Toc25699"/>
      <w:r>
        <w:rPr>
          <w:rFonts w:hint="eastAsia" w:ascii="宋体" w:hAnsi="宋体" w:eastAsia="宋体" w:cs="宋体"/>
          <w:color w:val="auto"/>
          <w:sz w:val="28"/>
          <w:highlight w:val="none"/>
        </w:rPr>
        <w:t xml:space="preserve">通用技术条款</w:t>
      </w:r>
      <w:bookmarkEnd w:id="96"/>
      <w:r/>
      <w:r/>
    </w:p>
    <w:p>
      <w:pPr>
        <w:pStyle w:val="1220"/>
        <w:spacing w:line="360" w:lineRule="auto"/>
        <w:rPr>
          <w:rFonts w:ascii="宋体" w:hAnsi="宋体" w:eastAsia="宋体" w:cs="宋体"/>
          <w:color w:val="auto"/>
          <w:sz w:val="24"/>
          <w:szCs w:val="24"/>
          <w:highlight w:val="none"/>
        </w:rPr>
      </w:pPr>
      <w:r/>
      <w:bookmarkStart w:id="97" w:name="_Toc26329"/>
      <w:r/>
      <w:bookmarkStart w:id="98" w:name="_Toc21874"/>
      <w:r/>
      <w:bookmarkStart w:id="99" w:name="_Toc2006"/>
      <w:r/>
      <w:bookmarkStart w:id="100" w:name="_Toc27011"/>
      <w:r/>
      <w:bookmarkStart w:id="101" w:name="_Toc13343"/>
      <w:r/>
      <w:bookmarkStart w:id="102" w:name="_Toc29631"/>
      <w:r>
        <w:rPr>
          <w:rFonts w:hint="eastAsia" w:ascii="宋体" w:hAnsi="宋体" w:eastAsia="宋体" w:cs="宋体"/>
          <w:color w:val="auto"/>
          <w:sz w:val="24"/>
          <w:szCs w:val="24"/>
          <w:highlight w:val="none"/>
        </w:rPr>
        <w:t xml:space="preserve">启闭机安装使用地点的环境和交通条件</w:t>
      </w:r>
      <w:bookmarkEnd w:id="97"/>
      <w:r/>
      <w:bookmarkEnd w:id="98"/>
      <w:r/>
      <w:bookmarkEnd w:id="99"/>
      <w:r/>
      <w:bookmarkEnd w:id="100"/>
      <w:r/>
      <w:bookmarkEnd w:id="101"/>
      <w:r/>
      <w:bookmarkEnd w:id="102"/>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自然条件</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气温</w:t>
      </w:r>
      <w:r/>
    </w:p>
    <w:p>
      <w:pPr>
        <w:pStyle w:val="1221"/>
        <w:numPr>
          <w:ilvl w:val="2"/>
          <w:numId w:val="29"/>
        </w:numPr>
        <w:spacing w:line="360" w:lineRule="auto"/>
        <w:rPr>
          <w:rFonts w:ascii="宋体" w:hAnsi="宋体"/>
          <w:color w:val="auto"/>
          <w:szCs w:val="24"/>
          <w:highlight w:val="none"/>
        </w:rPr>
      </w:pPr>
      <w:r>
        <w:rPr>
          <w:rFonts w:hint="eastAsia" w:ascii="宋体" w:hAnsi="宋体"/>
          <w:color w:val="auto"/>
          <w:szCs w:val="24"/>
          <w:highlight w:val="none"/>
        </w:rPr>
        <w:t xml:space="preserve">极端最高气温</w:t>
      </w:r>
      <w:r>
        <w:rPr>
          <w:rFonts w:hint="eastAsia" w:ascii="宋体" w:hAnsi="宋体"/>
          <w:color w:val="auto"/>
          <w:szCs w:val="24"/>
          <w:highlight w:val="none"/>
        </w:rPr>
        <w:tab/>
      </w:r>
      <w:r>
        <w:rPr>
          <w:rFonts w:hint="eastAsia" w:ascii="宋体" w:hAnsi="宋体"/>
          <w:color w:val="auto"/>
          <w:szCs w:val="24"/>
          <w:highlight w:val="none"/>
        </w:rPr>
        <w:t xml:space="preserve">41℃</w:t>
      </w:r>
      <w:r/>
    </w:p>
    <w:p>
      <w:pPr>
        <w:pStyle w:val="1221"/>
        <w:numPr>
          <w:ilvl w:val="2"/>
          <w:numId w:val="29"/>
        </w:numPr>
        <w:spacing w:line="360" w:lineRule="auto"/>
        <w:rPr>
          <w:rFonts w:ascii="宋体" w:hAnsi="宋体"/>
          <w:color w:val="auto"/>
          <w:szCs w:val="24"/>
          <w:highlight w:val="none"/>
        </w:rPr>
      </w:pPr>
      <w:r>
        <w:rPr>
          <w:rFonts w:hint="eastAsia" w:ascii="宋体" w:hAnsi="宋体"/>
          <w:color w:val="auto"/>
          <w:szCs w:val="24"/>
          <w:highlight w:val="none"/>
        </w:rPr>
        <w:t xml:space="preserve">极端最低气温</w:t>
      </w:r>
      <w:r>
        <w:rPr>
          <w:rFonts w:hint="eastAsia" w:ascii="宋体" w:hAnsi="宋体"/>
          <w:color w:val="auto"/>
          <w:szCs w:val="24"/>
          <w:highlight w:val="none"/>
        </w:rPr>
        <w:tab/>
      </w:r>
      <w:r>
        <w:rPr>
          <w:rFonts w:hint="eastAsia" w:ascii="宋体" w:hAnsi="宋体"/>
          <w:color w:val="auto"/>
          <w:szCs w:val="24"/>
          <w:highlight w:val="none"/>
        </w:rPr>
        <w:t xml:space="preserve">-9.2℃</w:t>
      </w:r>
      <w:r/>
    </w:p>
    <w:p>
      <w:pPr>
        <w:pStyle w:val="1221"/>
        <w:numPr>
          <w:ilvl w:val="2"/>
          <w:numId w:val="29"/>
        </w:numPr>
        <w:spacing w:line="360" w:lineRule="auto"/>
        <w:rPr>
          <w:rFonts w:ascii="宋体" w:hAnsi="宋体"/>
          <w:color w:val="auto"/>
          <w:szCs w:val="24"/>
          <w:highlight w:val="none"/>
        </w:rPr>
      </w:pPr>
      <w:r>
        <w:rPr>
          <w:rFonts w:hint="eastAsia" w:ascii="宋体" w:hAnsi="宋体"/>
          <w:color w:val="auto"/>
          <w:szCs w:val="24"/>
          <w:highlight w:val="none"/>
        </w:rPr>
        <w:t xml:space="preserve">多年平均气温</w:t>
      </w:r>
      <w:r>
        <w:rPr>
          <w:rFonts w:hint="eastAsia" w:ascii="宋体" w:hAnsi="宋体"/>
          <w:color w:val="auto"/>
          <w:szCs w:val="24"/>
          <w:highlight w:val="none"/>
        </w:rPr>
        <w:tab/>
      </w:r>
      <w:r>
        <w:rPr>
          <w:rFonts w:hint="eastAsia" w:ascii="宋体" w:hAnsi="宋体"/>
          <w:color w:val="auto"/>
          <w:szCs w:val="24"/>
          <w:highlight w:val="none"/>
        </w:rPr>
        <w:t xml:space="preserve">16~18℃</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年平均风速          2.6m/s</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地震烈度等级</w:t>
      </w:r>
      <w:r>
        <w:rPr>
          <w:rFonts w:hint="eastAsia" w:ascii="宋体" w:hAnsi="宋体" w:cs="宋体"/>
          <w:color w:val="auto"/>
          <w:szCs w:val="24"/>
          <w:highlight w:val="none"/>
        </w:rPr>
        <w:tab/>
      </w:r>
      <w:r>
        <w:rPr>
          <w:rFonts w:hint="eastAsia" w:ascii="宋体" w:hAnsi="宋体" w:cs="宋体"/>
          <w:color w:val="auto"/>
          <w:szCs w:val="24"/>
          <w:highlight w:val="none"/>
        </w:rPr>
        <w:t xml:space="preserve">Ⅶ度</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交通条件</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枢纽位于无锡市中心城区，对外交通较便利，直接连通西内环快速路，可快速抵达无锡市区及周边区域。大型设备可直接利用汽车运输至管理区。枢纽管理区场地较为空旷、开阔，临时施工用房和卸货区可布置于管理区内。</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承包商应在投标前自行查勘现场及周边交通情况，并根据</w:t>
      </w:r>
      <w:r>
        <w:rPr>
          <w:rFonts w:hint="eastAsia" w:ascii="宋体" w:hAnsi="宋体" w:cs="宋体"/>
          <w:color w:val="auto"/>
          <w:szCs w:val="24"/>
          <w:highlight w:val="none"/>
          <w:lang w:val="en-US" w:eastAsia="zh-CN"/>
        </w:rPr>
        <w:t xml:space="preserve">项目</w:t>
      </w:r>
      <w:r>
        <w:rPr>
          <w:rFonts w:hint="eastAsia" w:ascii="宋体" w:hAnsi="宋体" w:cs="宋体"/>
          <w:color w:val="auto"/>
          <w:szCs w:val="24"/>
          <w:highlight w:val="none"/>
        </w:rPr>
        <w:t xml:space="preserve">现场实际运输条件制订合理的运输方案。</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承包商在投标文件中应明确设备从工厂至</w:t>
      </w:r>
      <w:r>
        <w:rPr>
          <w:rFonts w:hint="eastAsia" w:ascii="宋体" w:hAnsi="宋体" w:cs="宋体"/>
          <w:color w:val="auto"/>
          <w:szCs w:val="24"/>
          <w:highlight w:val="none"/>
          <w:lang w:val="en-US" w:eastAsia="zh-CN"/>
        </w:rPr>
        <w:t xml:space="preserve">项目</w:t>
      </w:r>
      <w:r>
        <w:rPr>
          <w:rFonts w:hint="eastAsia" w:ascii="宋体" w:hAnsi="宋体" w:cs="宋体"/>
          <w:color w:val="auto"/>
          <w:szCs w:val="24"/>
          <w:highlight w:val="none"/>
        </w:rPr>
        <w:t xml:space="preserve">现场的运输方案。</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供应商负责设备现场卸货并提供临时存放场地。</w:t>
      </w:r>
      <w:r/>
    </w:p>
    <w:p>
      <w:pPr>
        <w:pStyle w:val="1220"/>
        <w:spacing w:line="360" w:lineRule="auto"/>
        <w:rPr>
          <w:rFonts w:ascii="宋体" w:hAnsi="宋体" w:eastAsia="宋体" w:cs="宋体"/>
          <w:color w:val="auto"/>
          <w:sz w:val="24"/>
          <w:szCs w:val="24"/>
          <w:highlight w:val="none"/>
        </w:rPr>
      </w:pPr>
      <w:r/>
      <w:bookmarkStart w:id="103" w:name="_Toc28277"/>
      <w:r/>
      <w:bookmarkStart w:id="104" w:name="_Toc25444"/>
      <w:r/>
      <w:bookmarkStart w:id="105" w:name="_Toc30416"/>
      <w:r/>
      <w:bookmarkStart w:id="106" w:name="_Toc940"/>
      <w:r/>
      <w:bookmarkStart w:id="107" w:name="_Toc949"/>
      <w:r/>
      <w:bookmarkStart w:id="108" w:name="_Toc21170"/>
      <w:r>
        <w:rPr>
          <w:rFonts w:hint="eastAsia" w:ascii="宋体" w:hAnsi="宋体" w:eastAsia="宋体" w:cs="宋体"/>
          <w:color w:val="auto"/>
          <w:sz w:val="24"/>
          <w:szCs w:val="24"/>
          <w:highlight w:val="none"/>
        </w:rPr>
        <w:t xml:space="preserve">启闭机设备的制造原则</w:t>
      </w:r>
      <w:bookmarkEnd w:id="103"/>
      <w:r/>
      <w:bookmarkEnd w:id="104"/>
      <w:r/>
      <w:bookmarkEnd w:id="105"/>
      <w:r/>
      <w:bookmarkEnd w:id="106"/>
      <w:r/>
      <w:bookmarkEnd w:id="107"/>
      <w:r/>
      <w:bookmarkEnd w:id="108"/>
      <w:r/>
      <w:r/>
    </w:p>
    <w:p>
      <w:pPr>
        <w:pStyle w:val="1222"/>
        <w:ind w:left="6"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承包商在启闭机设备的制造过程中，除应遵守本招标文件中所提出的规程、规范和技术标准外，经监理人批准，可采用不低于上述规程、规范和技术标准进行设计和制造，并按本合同书的相关规定提出所采用的规程、规范和技术标准文本，以及相应的对照索引。</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启闭机设备设计应满足运行安全可靠、技术先进、经济合理、维修方便、操作智能、绿色环保和景观协调等要求，</w:t>
      </w:r>
      <w:bookmarkStart w:id="109" w:name="OLE_LINK63"/>
      <w:r>
        <w:rPr>
          <w:rFonts w:hint="eastAsia" w:ascii="宋体" w:hAnsi="宋体"/>
          <w:color w:val="auto"/>
          <w:szCs w:val="24"/>
          <w:highlight w:val="none"/>
        </w:rPr>
        <w:t xml:space="preserve">符合SL41《水利水电工程启闭机设计规范》及NB/T 10341.4  《水电工程启闭机设计规范 第4部分：液压启闭机设计规范》相关规定，符合</w:t>
      </w:r>
      <w:bookmarkStart w:id="110" w:name="OLE_LINK62"/>
      <w:r/>
      <w:bookmarkStart w:id="111" w:name="OLE_LINK61"/>
      <w:r>
        <w:rPr>
          <w:rFonts w:hint="eastAsia" w:ascii="宋体" w:hAnsi="宋体"/>
          <w:color w:val="auto"/>
          <w:szCs w:val="24"/>
          <w:highlight w:val="none"/>
        </w:rPr>
        <w:t xml:space="preserve">招标文件</w:t>
      </w:r>
      <w:bookmarkEnd w:id="110"/>
      <w:r/>
      <w:bookmarkEnd w:id="111"/>
      <w:r>
        <w:rPr>
          <w:rFonts w:hint="eastAsia" w:ascii="宋体" w:hAnsi="宋体"/>
          <w:color w:val="auto"/>
          <w:szCs w:val="24"/>
          <w:highlight w:val="none"/>
        </w:rPr>
        <w:t xml:space="preserve">及工程 现场的要求。</w:t>
      </w:r>
      <w:r/>
    </w:p>
    <w:p>
      <w:pPr>
        <w:pStyle w:val="1222"/>
        <w:ind w:left="6"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承包商所制造的启闭机设备应技术先进、成熟、安全可靠，便于安装、操作、维护和管理，符合SL/T381《水利水电工程启闭机制造、安装及验收规范》等规范相关规定，</w:t>
      </w:r>
      <w:bookmarkEnd w:id="109"/>
      <w:r>
        <w:rPr>
          <w:rFonts w:hint="eastAsia" w:ascii="宋体" w:hAnsi="宋体" w:cs="宋体"/>
          <w:color w:val="auto"/>
          <w:szCs w:val="24"/>
          <w:highlight w:val="none"/>
        </w:rPr>
        <w:t xml:space="preserve">符合招标文件和制造图纸的要求。</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设备应造型美观，线型流畅，表面平整光洁，色彩协调。</w:t>
      </w:r>
      <w:r/>
    </w:p>
    <w:p>
      <w:pPr>
        <w:pStyle w:val="1222"/>
        <w:ind w:left="6" w:firstLine="42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启闭机的结构拼装型式，应符合国家关于铁路及公路运输有关规定，满足构造、吊装及运输等的刚度要求，同时满足设备现场最大吊装单元的条件。</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电气设备性能应符合国家有关规程规范的要求，枢纽</w:t>
      </w:r>
      <w:r>
        <w:rPr>
          <w:rFonts w:hint="eastAsia" w:ascii="宋体" w:hAnsi="宋体" w:cs="宋体"/>
          <w:color w:val="auto"/>
          <w:szCs w:val="24"/>
          <w:highlight w:val="none"/>
          <w:lang w:val="en-US" w:eastAsia="zh-CN"/>
        </w:rPr>
        <w:t xml:space="preserve">项目</w:t>
      </w:r>
      <w:r>
        <w:rPr>
          <w:rFonts w:hint="eastAsia" w:ascii="宋体" w:hAnsi="宋体" w:cs="宋体"/>
          <w:color w:val="auto"/>
          <w:szCs w:val="24"/>
          <w:highlight w:val="none"/>
        </w:rPr>
        <w:t xml:space="preserve">提供给液压设备的电压：交流380V。</w:t>
      </w:r>
      <w:r/>
    </w:p>
    <w:p>
      <w:pPr>
        <w:pStyle w:val="1220"/>
        <w:spacing w:line="360" w:lineRule="auto"/>
        <w:rPr>
          <w:rFonts w:ascii="宋体" w:hAnsi="宋体" w:eastAsia="宋体" w:cs="宋体"/>
          <w:color w:val="auto"/>
          <w:sz w:val="24"/>
          <w:szCs w:val="24"/>
          <w:highlight w:val="none"/>
        </w:rPr>
      </w:pPr>
      <w:r/>
      <w:bookmarkStart w:id="112" w:name="_Toc15747"/>
      <w:r/>
      <w:bookmarkStart w:id="113" w:name="_Toc13265"/>
      <w:r/>
      <w:bookmarkStart w:id="114" w:name="_Toc22542"/>
      <w:r/>
      <w:bookmarkStart w:id="115" w:name="_Toc30183"/>
      <w:r/>
      <w:bookmarkStart w:id="116" w:name="_Toc27529"/>
      <w:r/>
      <w:bookmarkStart w:id="117" w:name="_Toc22547"/>
      <w:r>
        <w:rPr>
          <w:rFonts w:hint="eastAsia" w:ascii="宋体" w:hAnsi="宋体" w:eastAsia="宋体" w:cs="宋体"/>
          <w:color w:val="auto"/>
          <w:sz w:val="24"/>
          <w:szCs w:val="24"/>
          <w:highlight w:val="none"/>
        </w:rPr>
        <w:t xml:space="preserve">启闭机的性能要求</w:t>
      </w:r>
      <w:bookmarkEnd w:id="112"/>
      <w:r/>
      <w:bookmarkEnd w:id="113"/>
      <w:r/>
      <w:bookmarkEnd w:id="114"/>
      <w:r/>
      <w:bookmarkEnd w:id="115"/>
      <w:r/>
      <w:bookmarkEnd w:id="116"/>
      <w:r/>
      <w:bookmarkEnd w:id="117"/>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闸门启闭过程中液压缸应平稳运行，无爬行、抖动等不良现象。</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启闭机应能使闸门可靠地停止在任何位置，并有相应的指示装置和任意设定的限位停机功能。</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液压系统中应设有限压保护装置，以保护设备的安全运行。</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由于油液泄漏或气温变化引起闸门下滑100mm时，油泵电机组应能自动投入，使闸门复位。如果闸门未能复位而继续下沉至150mm时，在远控端或现场应有报警信号。</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闸门下滑的控制值，48小时内下滑量不应大于200mm。</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启闭机既可现场操作，又可在远方集控室由计算机监控系统控制启停及监视运行状况。启闭机现地控制柜采用PLC可编程逻辑控制，控制设备应具有满足功能要求的输入、输出接口，内容包括（但不限于）：闸门开度、双缸同步、闸门上下极限位置信号；油泵油压、液压缸上、下腔油压；油箱油液温度、滤器堵塞信号、油箱液位各种故障信号和电机、油泵运行及故障信号等，PLC控制器应具有与计算机监控系统的通信接口。</w:t>
      </w:r>
      <w:r/>
    </w:p>
    <w:p>
      <w:pPr>
        <w:pStyle w:val="1220"/>
        <w:spacing w:line="360" w:lineRule="auto"/>
        <w:rPr>
          <w:rFonts w:ascii="宋体" w:hAnsi="宋体" w:eastAsia="宋体" w:cs="宋体"/>
          <w:color w:val="auto"/>
          <w:sz w:val="24"/>
          <w:szCs w:val="24"/>
          <w:highlight w:val="none"/>
        </w:rPr>
      </w:pPr>
      <w:r/>
      <w:bookmarkStart w:id="118" w:name="_Toc22313"/>
      <w:r/>
      <w:bookmarkStart w:id="119" w:name="_Toc14458"/>
      <w:r/>
      <w:bookmarkStart w:id="120" w:name="_Toc6235"/>
      <w:r/>
      <w:bookmarkStart w:id="121" w:name="_Toc10328"/>
      <w:r/>
      <w:bookmarkStart w:id="122" w:name="_Toc14182"/>
      <w:r/>
      <w:bookmarkStart w:id="123" w:name="_Toc21912"/>
      <w:r>
        <w:rPr>
          <w:rFonts w:hint="eastAsia" w:ascii="宋体" w:hAnsi="宋体" w:eastAsia="宋体" w:cs="宋体"/>
          <w:color w:val="auto"/>
          <w:sz w:val="24"/>
          <w:szCs w:val="24"/>
          <w:highlight w:val="none"/>
        </w:rPr>
        <w:t xml:space="preserve">液压系统要求</w:t>
      </w:r>
      <w:bookmarkEnd w:id="118"/>
      <w:r/>
      <w:bookmarkEnd w:id="119"/>
      <w:r/>
      <w:bookmarkEnd w:id="120"/>
      <w:r/>
      <w:bookmarkEnd w:id="121"/>
      <w:r/>
      <w:bookmarkEnd w:id="122"/>
      <w:r/>
      <w:bookmarkEnd w:id="123"/>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系统应结构简明、工作可靠且易于安装、维护和检修。液压泵站、阀台等液压油易渗漏处应设置集油盘（槽），防止油液外泄污染周边环境。</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系统应设有完善的监视、测量、控制和保护装置。</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系统应满足闸门处于任一开度时，启闭机油缸均能可靠持住。节制闸启闭机油缸的有杆腔、无杆腔均应设置缸旁闭锁阀。</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系统应满足油泵空载启动与稳压的要求。</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压力表采用优质抗震压力变送器，选用优质品牌。</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系统应尽量避免与减少振动、液压冲击、噪声、气穴、污染、进气与泄漏等不利现象。</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工作状态下液压油的油温不超过各类液压泵允许的工作油温，且最高不应大于55℃。在工作环境温度最低时，设备必须能正常工作。</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液压系统运行时，溢流阀调整压力、泄漏量和液压系统容积效率应满足规范要求。</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液压系统应进行液压冲击计算，在设计油管管路与管接头时应考虑液压冲击影响，并在结构上采取缓冲措施。</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液压系统与液压缸的公称压力应按GB/T 2346选取，管接头及其附件公称压力应按GB 7937选取。</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系统设计应满足GB/T 3766中第5.2条安全要求。</w:t>
      </w:r>
      <w:r/>
    </w:p>
    <w:p>
      <w:pPr>
        <w:pStyle w:val="1220"/>
        <w:spacing w:line="360" w:lineRule="auto"/>
        <w:rPr>
          <w:rFonts w:ascii="宋体" w:hAnsi="宋体" w:eastAsia="宋体" w:cs="宋体"/>
          <w:color w:val="auto"/>
          <w:sz w:val="24"/>
          <w:szCs w:val="24"/>
          <w:highlight w:val="none"/>
        </w:rPr>
      </w:pPr>
      <w:r/>
      <w:bookmarkStart w:id="124" w:name="_Toc30772"/>
      <w:r/>
      <w:bookmarkStart w:id="125" w:name="_Toc754"/>
      <w:r/>
      <w:bookmarkStart w:id="126" w:name="_Toc10558"/>
      <w:r/>
      <w:bookmarkStart w:id="127" w:name="_Toc21449"/>
      <w:r/>
      <w:bookmarkStart w:id="128" w:name="_Toc24892"/>
      <w:r/>
      <w:bookmarkStart w:id="129" w:name="_Toc3254"/>
      <w:r>
        <w:rPr>
          <w:rFonts w:hint="eastAsia" w:ascii="宋体" w:hAnsi="宋体" w:eastAsia="宋体" w:cs="宋体"/>
          <w:color w:val="auto"/>
          <w:sz w:val="24"/>
          <w:szCs w:val="24"/>
          <w:highlight w:val="none"/>
        </w:rPr>
        <w:t xml:space="preserve">液压部件与元件质量要求</w:t>
      </w:r>
      <w:bookmarkEnd w:id="124"/>
      <w:r/>
      <w:bookmarkEnd w:id="125"/>
      <w:r/>
      <w:bookmarkEnd w:id="126"/>
      <w:r/>
      <w:bookmarkEnd w:id="127"/>
      <w:r/>
      <w:bookmarkEnd w:id="128"/>
      <w:r/>
      <w:bookmarkEnd w:id="129"/>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液压油</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液压油与过滤器选择应符合SL41中7.7条规定。选用无灰抗磨型液压油，液压油粘度等级为ISO VG46，油的倾点不高于-24℃。液压油的清洁度等级根据液压系统的控制方式确定，采用电液比例控制技术的油液清洁度等级不低于GB/T 4039的-/17/14。</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油应具备优异的抗磨特性、抗乳化性、热氧安定性、锈蚀和腐蚀保护、迅速的空气释放特性以及水解稳定性，无腐蚀作用、不破坏密封材料，与液压系统常用的多种金属和密封材质相兼容。应根据油泵类型、系统压力、工作温度、现场环境选用合适的液压油品。</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 液压缸与液压泵站在制造厂的试验用油应与工作用油一致。液压缸与泵站在制造厂的试验用油应与工作用油一致。</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油泵与电动机</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油泵选用手动变量柱塞泵，由电动机驱动，组成的油泵电动机组应能向系统提供平顺的压力油，且在系统最大压力时能连续工作。油泵电动机组的最大噪音在距电机外壳1m处检测应小于85dBA。</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电动机选用湿热型，电机应进行TH 处理，防护等级IP55，绝缘等级为F级,连续工作方式S1，空载噪声符合IEC 60034-9标准。电动机额定电压为 380V，电源频率为 50Hz。</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油泵流量应取油缸启、闭时所需流量的1.1～1.3倍，同时考虑管路距离引起的压力损耗容量。油泵额定工作压力不小于28MPa。</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节制闸液压泵站油泵电机组3套，每套油泵电机组应能无扰自动切换。电机-泵组设置在一个机架上，固定支架应设有防震装置，油泵与油箱之间应设避震接头连接。</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启闭机油泵电机的联轴器和钟型罩应选用知名品牌设备。</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节制闸液压泵与电动机之间连接、液压泵与电动机安装底座及进油管路工作时应满足GB/T 3766的要求。油泵电动机组在系统工作时应能空载启动。</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 控制阀</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各类控制阀的选择应符合SL41中7.4条规定。应满足液压系统工作要求，其额定压力和流量应不小于通过该阀的最高压力和最大流量。</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根据系统流量选用控制阀类型，控制阀优先采用二通插装阀或性能稳定可靠的优质滑阀。控制阀线圈电压等级：直流24V。</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阀组块体应镀镍处理。</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控制阀组的布置应力求整齐、操作维护方便，指示表、需要调整或监视的液压元件应布置在便于观察和操作的位置。阀组油口的进出口方向，通径和阀组的数量必须满足启闭机的工作特点和布置要求。所有仪表应统一布置在油箱上方便于观察的醒目位置侧。液压泵站线缆束扎整齐，并采用线槽固定。</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液压缸</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节制闸液压缸采用无缝钢管，泵站液压缸利旧出新。</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密封和导向件</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液压缸的动、静密封件应具有耐油、防水、永久变形小、摩阻力小、无粘着、抗老化等性能，使用寿命不低于10年。</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液压缸的动密封件采用V型组合密封圈，在最高及最低工作压力时均应有良好的密封性能和较低的启动压力。静密封件采用O型密封圈，液压缸端密封O型密封圈需加挡圈。动密封件应便于安装和调整。</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液压缸的动、静密封件和防尘圈应选用优质密封件。</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陶瓷活塞杆的动密封件应选用适应陶瓷活塞杆的专用密封（V形组合密封圈），活塞上下腔均采用V形组合密封圈（V形夹织物组合密封），密封件应便于安装和调整。在液压缸缸体两端适当位置（工作全缩位活塞以下），均应设置排气阀。</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陶瓷活塞杆须采用与其配套的导向带，要求导向带材料在25℃，其动态时最大许用承载力不小于100 N/mm。</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滤油器</w:t>
      </w:r>
      <w:r/>
    </w:p>
    <w:p>
      <w:pPr>
        <w:ind w:firstLine="220"/>
        <w:rPr>
          <w:rFonts w:ascii="宋体" w:hAnsi="宋体"/>
          <w:color w:val="auto"/>
          <w:sz w:val="24"/>
          <w:szCs w:val="24"/>
          <w:highlight w:val="none"/>
        </w:rPr>
      </w:pPr>
      <w:r>
        <w:rPr>
          <w:rFonts w:hint="eastAsia" w:ascii="宋体" w:hAnsi="宋体"/>
          <w:color w:val="auto"/>
          <w:szCs w:val="24"/>
          <w:highlight w:val="none"/>
        </w:rPr>
        <w:t xml:space="preserve">为了保证液压设备的清洁度，按照选用的液压元器件对清洁度要求在液压回路中设置滤油器的位</w:t>
      </w:r>
      <w:r>
        <w:rPr>
          <w:rFonts w:hint="eastAsia" w:ascii="宋体" w:hAnsi="宋体"/>
          <w:color w:val="auto"/>
          <w:sz w:val="24"/>
          <w:szCs w:val="24"/>
          <w:highlight w:val="none"/>
        </w:rPr>
        <w:t xml:space="preserve">置。</w:t>
      </w:r>
      <w:r/>
    </w:p>
    <w:p>
      <w:pPr>
        <w:ind w:firstLine="240"/>
        <w:rPr>
          <w:rFonts w:ascii="宋体" w:hAnsi="宋体"/>
          <w:color w:val="auto"/>
          <w:sz w:val="24"/>
          <w:szCs w:val="24"/>
          <w:highlight w:val="none"/>
        </w:rPr>
      </w:pPr>
      <w:r>
        <w:rPr>
          <w:rFonts w:hint="eastAsia" w:ascii="宋体" w:hAnsi="宋体"/>
          <w:color w:val="auto"/>
          <w:sz w:val="24"/>
          <w:szCs w:val="24"/>
          <w:highlight w:val="none"/>
        </w:rPr>
        <w:t xml:space="preserve">对于油箱注油口的滤油器，过滤精度为100微米；回油滤油器的过滤精度为10微米。</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滤油器应可在线更换滤芯，为便于更换，要求安装在油箱顶面，并带有旁通阀以保证滤芯堵塞时不会对液压系统造成损伤。滤芯材料为玻璃纤维，过滤精度为10微米，过滤比大于等于200，带有压差发讯装置在滤芯堵塞时能够发讯报警。当回油滤油器压差达到0.3MPa时，发讯装置发出声光讯号，并能向现地控制柜发送信号。</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过滤能力应满足液压系统流量要求并留有足够余量。回油滤油器的公称流量应大于回油流量的3倍，在压力回路中的过滤器公称流量应大于过流量的2倍。</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耐压性：当滤油器入口压力在10%公称压力和标准公称压力之间，快速上升下降反复作用，滤油器不应有永久变形、漏油和其它缺陷。</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滤芯强度：吸油管路用的滤芯，缓慢加至0.15MPa压差，保持30s不应破坏。回油管路用的滤芯缓慢加至1MPa压差，保持30s不应破坏。高管路用的滤芯缓慢加至2MPa压差，保持30s不应破坏。</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油箱及附件</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节制闸及泵站液压油箱均实施改造出新处理，结合新制阀台及管路布置要求，在油箱本体对应位置开设安装孔。</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空气滤清器采用防潮式，自带硅胶干燥剂；过滤器必须带过滤显示仪和电气连接以及工作压力为3 bar的旁通阀。滤油器为一次性滤芯，不可采用滤纸滤芯。滤油器应便于维护清洗、便于更换滤芯。电子指示油位发讯器输出数字信号。</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空气滤清器应带空气除湿器。</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油箱内应设置温度计、液位控制装置及温度控制器，均采用国内知名品牌。</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管路及附件</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启闭机的所有硬管均采用不锈钢无缝钢管，油管不锈钢标号不低于S304，强度安全系数不小于5，管接头、管夹和法兰应采用不锈钢材料，除焊接法兰外，压力油管不应进行焊接。软油管应选用钢丝缠绕高压软管。</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油管管夹采用优质产品。</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油泵与油管、油泵与电动机、电动机与基座等之间采用软性连接，降低工作时的震动和噪音。</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油箱和管路的冲洗工艺，必须按有关技术文件和安装、使用说明书的规定执行。</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承包商应将供货的油管清洗干净，两端管口密封住，分类捆扎并标明型号及数量。管接头及高压软管须单独装箱供货。</w:t>
      </w:r>
      <w:r/>
    </w:p>
    <w:p>
      <w:pPr>
        <w:pStyle w:val="1220"/>
        <w:spacing w:line="360" w:lineRule="auto"/>
        <w:rPr>
          <w:rFonts w:ascii="宋体" w:hAnsi="宋体" w:eastAsia="宋体" w:cs="宋体"/>
          <w:color w:val="auto"/>
          <w:sz w:val="24"/>
          <w:szCs w:val="24"/>
          <w:highlight w:val="none"/>
        </w:rPr>
      </w:pPr>
      <w:r/>
      <w:bookmarkStart w:id="130" w:name="_Toc2059"/>
      <w:r/>
      <w:bookmarkStart w:id="131" w:name="_Toc19907"/>
      <w:r/>
      <w:bookmarkStart w:id="132" w:name="_Toc27176"/>
      <w:r/>
      <w:bookmarkStart w:id="133" w:name="_Toc14397"/>
      <w:r/>
      <w:bookmarkStart w:id="134" w:name="_Toc32074"/>
      <w:r/>
      <w:bookmarkStart w:id="135" w:name="_Toc29524"/>
      <w:r>
        <w:rPr>
          <w:rFonts w:hint="eastAsia" w:ascii="宋体" w:hAnsi="宋体" w:eastAsia="宋体" w:cs="宋体"/>
          <w:color w:val="auto"/>
          <w:sz w:val="24"/>
          <w:szCs w:val="24"/>
          <w:highlight w:val="none"/>
        </w:rPr>
        <w:t xml:space="preserve">行程检测装置</w:t>
      </w:r>
      <w:bookmarkEnd w:id="130"/>
      <w:r/>
      <w:bookmarkEnd w:id="131"/>
      <w:r/>
      <w:bookmarkEnd w:id="132"/>
      <w:r/>
      <w:bookmarkEnd w:id="133"/>
      <w:r/>
      <w:bookmarkEnd w:id="134"/>
      <w:r/>
      <w:bookmarkEnd w:id="135"/>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节制闸液压启闭配置主行程检测装置、备份行程检测装置。主行程检测装置采用与陶瓷刻度活塞杆结合使用的行程检测传感器，备份装置采用现状静磁栅传感器（新增1套备用）。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泵站倒挂式油缸采用现状外置钢丝绳行程传感器（新增2套备用）。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新制行程检测装置</w:t>
      </w:r>
      <w:bookmarkStart w:id="136" w:name="OLE_LINK65"/>
      <w:r>
        <w:rPr>
          <w:rFonts w:hint="eastAsia" w:ascii="宋体" w:hAnsi="宋体"/>
          <w:color w:val="auto"/>
          <w:sz w:val="24"/>
          <w:szCs w:val="24"/>
          <w:highlight w:val="none"/>
        </w:rPr>
        <w:t xml:space="preserve">满足符合SL41、NB/T 10341.4  、SL/T381及T/CWEC 66等规范相关规定。</w:t>
      </w:r>
      <w:bookmarkEnd w:id="136"/>
      <w:r/>
      <w:r/>
    </w:p>
    <w:p>
      <w:pPr>
        <w:pStyle w:val="1220"/>
        <w:spacing w:line="360" w:lineRule="auto"/>
        <w:rPr>
          <w:rFonts w:ascii="宋体" w:hAnsi="宋体" w:eastAsia="宋体" w:cs="宋体"/>
          <w:color w:val="auto"/>
          <w:sz w:val="24"/>
          <w:szCs w:val="24"/>
          <w:highlight w:val="none"/>
        </w:rPr>
      </w:pPr>
      <w:r/>
      <w:bookmarkStart w:id="137" w:name="_Toc24888"/>
      <w:r/>
      <w:bookmarkStart w:id="138" w:name="_Toc14713"/>
      <w:r/>
      <w:bookmarkStart w:id="139" w:name="_Toc25234"/>
      <w:r/>
      <w:bookmarkStart w:id="140" w:name="_Toc4578"/>
      <w:r/>
      <w:bookmarkStart w:id="141" w:name="_Toc12448"/>
      <w:r/>
      <w:bookmarkStart w:id="142" w:name="_Toc6556"/>
      <w:r>
        <w:rPr>
          <w:rFonts w:hint="eastAsia" w:ascii="宋体" w:hAnsi="宋体" w:eastAsia="宋体" w:cs="宋体"/>
          <w:color w:val="auto"/>
          <w:sz w:val="24"/>
          <w:szCs w:val="24"/>
          <w:highlight w:val="none"/>
        </w:rPr>
        <w:t xml:space="preserve">液压缸主要部件制造要求</w:t>
      </w:r>
      <w:bookmarkEnd w:id="137"/>
      <w:r/>
      <w:bookmarkEnd w:id="138"/>
      <w:r/>
      <w:bookmarkEnd w:id="139"/>
      <w:r/>
      <w:bookmarkEnd w:id="140"/>
      <w:r/>
      <w:bookmarkEnd w:id="141"/>
      <w:r/>
      <w:bookmarkEnd w:id="142"/>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缸体</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缸体内表面应珩磨加工。</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缸体整体锻造或采用整段无缝钢管。材质的力学性能应不低于GB/T 8162中45号钢的规定。对缸体母材应进行100%超声波探伤，无缝钢管毛坯应进行100%超声波检测，质量不低于NB/T 47013.3中II级的规定；锻钢毛坯应进行100%超声波检测，质量不低于GB/T 6402中2级的规定。</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缸体法兰材料宜采用45号钢正火处理。</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缸体、法兰需要环向对接焊接时，焊缝应按GB/T 11345中的B级进行100%超声波检测，质量不低于GB/T 29712中2级的规定。</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缸体粗加工后应进行正火处理。</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缸体内径尺寸偏差应符合活塞密封件和导向件的要求，缸体内径尺寸公差应不低于GB/T 1801中的H8，圆度公差应不低于GB/T 1184中7级，内表面母线的直线度公差不大于1000:0.12。</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缸体法兰端面圆跳动公差不低于GB/T1184中的9级，法兰端面与缸体轴线垂直公差不低于GB/T1184中的</w:t>
      </w:r>
      <w:r>
        <w:rPr>
          <w:rFonts w:hint="eastAsia" w:ascii="宋体" w:hAnsi="宋体" w:cs="宋体"/>
          <w:color w:val="auto"/>
          <w:szCs w:val="24"/>
          <w:highlight w:val="none"/>
          <w:lang w:val="en-US"/>
        </w:rPr>
        <w:t xml:space="preserve">8</w:t>
      </w:r>
      <w:r>
        <w:rPr>
          <w:rFonts w:hint="eastAsia" w:ascii="宋体" w:hAnsi="宋体" w:cs="宋体"/>
          <w:color w:val="auto"/>
          <w:szCs w:val="24"/>
          <w:highlight w:val="none"/>
        </w:rPr>
        <w:t xml:space="preserve">级。</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缸体内孔表面粗糙度应符合活塞密封件和导向件的要求，缸体内表面粗糙度Ra</w:t>
      </w:r>
      <w:r>
        <w:rPr>
          <w:rFonts w:ascii="UniversalMath1 BT" w:hAnsi="UniversalMath1 BT" w:eastAsia="UniversalMath1 BT" w:cs="UniversalMath1 BT"/>
          <w:color w:val="auto"/>
          <w:szCs w:val="24"/>
          <w:highlight w:val="none"/>
          <w:lang w:val="en-US"/>
        </w:rPr>
        <w:t xml:space="preserve">£</w:t>
      </w:r>
      <w:r>
        <w:rPr>
          <w:rFonts w:hint="eastAsia" w:ascii="宋体" w:hAnsi="宋体" w:cs="宋体"/>
          <w:color w:val="auto"/>
          <w:szCs w:val="24"/>
          <w:highlight w:val="none"/>
        </w:rPr>
        <w:t xml:space="preserve">0.4μm。</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活塞</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活塞直径尺寸及公差、密封件和导向套（环）安装沟槽尺寸及公差应满足所选用的密封件和导向套（环）要求。</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活塞材料性能应不低于GB/T 699中45号钢，热处理状态为正火处理。</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活塞外径公差不低于GB/T 1801中的f8。</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活塞外径对内孔的同轴度公差不低于GB/T 1184中的8级。</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活塞外径圆柱度公差应不低于GB/T 1184中的8级。</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活塞端面对轴线的垂直度公差不低于GB/T 1184中的8级。</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活塞外圆表面粗糙度Ra</w:t>
      </w:r>
      <w:r>
        <w:rPr>
          <w:rFonts w:ascii="UniversalMath1 BT" w:hAnsi="UniversalMath1 BT" w:eastAsia="UniversalMath1 BT" w:cs="UniversalMath1 BT"/>
          <w:color w:val="auto"/>
          <w:szCs w:val="24"/>
          <w:highlight w:val="none"/>
          <w:lang w:val="en-US"/>
        </w:rPr>
        <w:t xml:space="preserve">£</w:t>
      </w:r>
      <w:r>
        <w:rPr>
          <w:rFonts w:hint="eastAsia" w:ascii="宋体" w:hAnsi="宋体" w:cs="宋体"/>
          <w:color w:val="auto"/>
          <w:szCs w:val="24"/>
          <w:highlight w:val="none"/>
          <w:lang w:val="en-US"/>
        </w:rPr>
        <w:t xml:space="preserve">1.6</w:t>
      </w:r>
      <w:r>
        <w:rPr>
          <w:rFonts w:hint="eastAsia" w:ascii="宋体" w:hAnsi="宋体" w:cs="宋体"/>
          <w:color w:val="auto"/>
          <w:szCs w:val="24"/>
          <w:highlight w:val="none"/>
        </w:rPr>
        <w:t xml:space="preserve">μm。</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前后缸盖</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缸盖材料性能应不低于GB/T 699中45号钢，热处理状态为正火处理。</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母材100%超声波探伤，质量检验应符合NB/T 47013.3的规定</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缸盖与相关件配合处的圆柱度公差不低于GB/T 1184中8级。</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缸盖与相关件配合处的同轴度公差应不低于GB/T 1184中7级。</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缸盖与缸体配合的端面与缸盖轴线垂直度公差不低于GB/T 1184中7级。</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缸盖外表面粗糙度Ra</w:t>
      </w:r>
      <w:bookmarkStart w:id="143" w:name="OLE_LINK3"/>
      <w:r/>
      <w:bookmarkStart w:id="144" w:name="OLE_LINK4"/>
      <w:r>
        <w:rPr>
          <w:rFonts w:ascii="UniversalMath1 BT" w:hAnsi="UniversalMath1 BT" w:eastAsia="UniversalMath1 BT" w:cs="UniversalMath1 BT"/>
          <w:color w:val="auto"/>
          <w:szCs w:val="24"/>
          <w:highlight w:val="none"/>
        </w:rPr>
        <w:t xml:space="preserve">£</w:t>
      </w:r>
      <w:bookmarkEnd w:id="143"/>
      <w:r/>
      <w:bookmarkEnd w:id="144"/>
      <w:r>
        <w:rPr>
          <w:rFonts w:hint="eastAsia" w:ascii="宋体" w:hAnsi="宋体" w:cs="宋体"/>
          <w:color w:val="auto"/>
          <w:szCs w:val="24"/>
          <w:highlight w:val="none"/>
        </w:rPr>
        <w:t xml:space="preserve">0.4μm。</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 活塞杆</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活塞杆应满足符合NB/T 10341.4  </w:t>
      </w:r>
      <w:bookmarkStart w:id="145" w:name="OLE_LINK66"/>
      <w:r/>
      <w:bookmarkStart w:id="146" w:name="OLE_LINK67"/>
      <w:r>
        <w:rPr>
          <w:rFonts w:hint="eastAsia" w:ascii="宋体" w:hAnsi="宋体"/>
          <w:color w:val="auto"/>
          <w:szCs w:val="24"/>
          <w:highlight w:val="none"/>
        </w:rPr>
        <w:t xml:space="preserve">及SL/T381</w:t>
      </w:r>
      <w:bookmarkEnd w:id="145"/>
      <w:r/>
      <w:bookmarkEnd w:id="146"/>
      <w:r>
        <w:rPr>
          <w:rFonts w:hint="eastAsia" w:ascii="宋体" w:hAnsi="宋体"/>
          <w:color w:val="auto"/>
          <w:szCs w:val="24"/>
          <w:highlight w:val="none"/>
        </w:rPr>
        <w:t xml:space="preserve">等规范相关规定；活塞杆陶瓷涂层满足NB/T35017及SL/T381的规定。</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吊头</w:t>
      </w:r>
      <w:r/>
    </w:p>
    <w:p>
      <w:pPr>
        <w:pStyle w:val="1221"/>
        <w:ind w:left="400" w:firstLine="0"/>
        <w:spacing w:line="360" w:lineRule="auto"/>
        <w:rPr>
          <w:rFonts w:ascii="宋体" w:hAnsi="宋体"/>
          <w:color w:val="auto"/>
          <w:szCs w:val="24"/>
          <w:highlight w:val="none"/>
        </w:rPr>
      </w:pPr>
      <w:r>
        <w:rPr>
          <w:rFonts w:hint="eastAsia" w:ascii="宋体" w:hAnsi="宋体"/>
          <w:color w:val="auto"/>
          <w:szCs w:val="24"/>
          <w:highlight w:val="none"/>
        </w:rPr>
        <w:t xml:space="preserve">启闭机吊头采用合金中碳钢锻件，调质处理。</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轴承</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自润滑关节轴承，主要技术要求如下：</w:t>
      </w:r>
      <w:r/>
    </w:p>
    <w:p>
      <w:pPr>
        <w:pStyle w:val="1221"/>
        <w:numPr>
          <w:ilvl w:val="2"/>
          <w:numId w:val="30"/>
        </w:numPr>
        <w:spacing w:line="360" w:lineRule="auto"/>
        <w:rPr>
          <w:rFonts w:ascii="宋体" w:hAnsi="宋体"/>
          <w:color w:val="auto"/>
          <w:szCs w:val="24"/>
          <w:highlight w:val="none"/>
        </w:rPr>
      </w:pPr>
      <w:r>
        <w:rPr>
          <w:rFonts w:hint="eastAsia" w:ascii="宋体" w:hAnsi="宋体"/>
          <w:color w:val="auto"/>
          <w:szCs w:val="24"/>
          <w:highlight w:val="none"/>
        </w:rPr>
        <w:t xml:space="preserve">自润滑关节轴承采用青铜基镶嵌自润滑材料的向心关节轴承，并带密封装置。关节轴承的内、外圈分别采用铜基镶嵌自润滑材质和轴承不锈钢；</w:t>
      </w:r>
      <w:r/>
    </w:p>
    <w:p>
      <w:pPr>
        <w:pStyle w:val="1221"/>
        <w:numPr>
          <w:ilvl w:val="2"/>
          <w:numId w:val="30"/>
        </w:numPr>
        <w:spacing w:line="360" w:lineRule="auto"/>
        <w:rPr>
          <w:rFonts w:ascii="宋体" w:hAnsi="宋体"/>
          <w:color w:val="auto"/>
          <w:szCs w:val="24"/>
          <w:highlight w:val="none"/>
        </w:rPr>
      </w:pPr>
      <w:r>
        <w:rPr>
          <w:rFonts w:hint="eastAsia" w:ascii="宋体" w:hAnsi="宋体"/>
          <w:color w:val="auto"/>
          <w:szCs w:val="24"/>
          <w:highlight w:val="none"/>
        </w:rPr>
        <w:t xml:space="preserve">轴承工作环境：低速重载、震动的运动状态下；</w:t>
      </w:r>
      <w:r/>
    </w:p>
    <w:p>
      <w:pPr>
        <w:pStyle w:val="1221"/>
        <w:numPr>
          <w:ilvl w:val="2"/>
          <w:numId w:val="30"/>
        </w:numPr>
        <w:spacing w:line="360" w:lineRule="auto"/>
        <w:rPr>
          <w:rFonts w:ascii="宋体" w:hAnsi="宋体"/>
          <w:color w:val="auto"/>
          <w:szCs w:val="24"/>
          <w:highlight w:val="none"/>
        </w:rPr>
      </w:pPr>
      <w:r>
        <w:rPr>
          <w:rFonts w:hint="eastAsia" w:ascii="宋体" w:hAnsi="宋体"/>
          <w:color w:val="auto"/>
          <w:szCs w:val="24"/>
          <w:highlight w:val="none"/>
        </w:rPr>
        <w:t xml:space="preserve">轴承的设计动荷载值等于或大于液压缸所受最大力的2倍。</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轴套</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轴套为铜基镶嵌自润滑材质。</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吊轴</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吊轴材质不低于40Cr，调质处理。</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吊轴精加工后镀铬防腐，表面先镀乳白铬0.05mm，再镀硬铬0.06mm，镀后应精磨，使其单边镀层厚度为0.10mm。</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紧固件</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缸筒与上盖、下盖连接紧固件及端盖与下盖连接紧固件等主要受力紧固件按照计算结果选用性能等级，其余非主要受力紧固件采用不锈钢材料。采用普通材料时表面应反腐处理；紧固件螺纹不得有凹陷和断扣，局部螺纹表面损伤不得多于2处。</w:t>
      </w:r>
      <w:r/>
    </w:p>
    <w:p>
      <w:pPr>
        <w:pStyle w:val="1221"/>
        <w:ind w:firstLine="480"/>
        <w:spacing w:line="360" w:lineRule="auto"/>
        <w:rPr>
          <w:rFonts w:ascii="宋体" w:hAnsi="宋体"/>
          <w:b/>
          <w:color w:val="auto"/>
          <w:szCs w:val="24"/>
          <w:highlight w:val="none"/>
        </w:rPr>
      </w:pPr>
      <w:r>
        <w:rPr>
          <w:rFonts w:hint="eastAsia" w:ascii="宋体" w:hAnsi="宋体"/>
          <w:b/>
          <w:color w:val="auto"/>
          <w:szCs w:val="24"/>
          <w:highlight w:val="none"/>
        </w:rPr>
        <w:t xml:space="preserve">油缸承力非不绣钢材质高强螺栓（螺钉）均应采用达克罗防腐。</w:t>
      </w:r>
      <w:r/>
    </w:p>
    <w:p>
      <w:pPr>
        <w:pStyle w:val="1220"/>
        <w:spacing w:line="360" w:lineRule="auto"/>
        <w:rPr>
          <w:rFonts w:ascii="宋体" w:hAnsi="宋体" w:eastAsia="宋体" w:cs="宋体"/>
          <w:color w:val="auto"/>
          <w:sz w:val="24"/>
          <w:szCs w:val="24"/>
          <w:highlight w:val="none"/>
        </w:rPr>
      </w:pPr>
      <w:r/>
      <w:bookmarkStart w:id="147" w:name="_Toc5384"/>
      <w:r/>
      <w:bookmarkStart w:id="148" w:name="_Toc31944"/>
      <w:r/>
      <w:bookmarkStart w:id="149" w:name="_Toc29522"/>
      <w:r/>
      <w:bookmarkStart w:id="150" w:name="_Toc9703"/>
      <w:r/>
      <w:bookmarkStart w:id="151" w:name="_Toc15289"/>
      <w:r/>
      <w:bookmarkStart w:id="152" w:name="_Toc15517"/>
      <w:r>
        <w:rPr>
          <w:rFonts w:hint="eastAsia" w:ascii="宋体" w:hAnsi="宋体" w:eastAsia="宋体" w:cs="宋体"/>
          <w:color w:val="auto"/>
          <w:sz w:val="24"/>
          <w:szCs w:val="24"/>
          <w:highlight w:val="none"/>
        </w:rPr>
        <w:t xml:space="preserve">材料和工艺要求</w:t>
      </w:r>
      <w:bookmarkEnd w:id="147"/>
      <w:r/>
      <w:bookmarkEnd w:id="148"/>
      <w:r/>
      <w:bookmarkEnd w:id="149"/>
      <w:r/>
      <w:bookmarkEnd w:id="150"/>
      <w:r/>
      <w:bookmarkEnd w:id="151"/>
      <w:r/>
      <w:bookmarkEnd w:id="152"/>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材料采购</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由承包商采购的用于本合同项目的全部材料均应符合图纸和本合同有关规定的要求，均具有材质证明、出厂合格证等。无材质证明、出厂合格证的材料不得在本</w:t>
      </w:r>
      <w:r>
        <w:rPr>
          <w:rFonts w:hint="eastAsia" w:ascii="宋体" w:hAnsi="宋体" w:cs="宋体"/>
          <w:color w:val="auto"/>
          <w:szCs w:val="24"/>
          <w:highlight w:val="none"/>
          <w:lang w:val="en-US" w:eastAsia="zh-CN"/>
        </w:rPr>
        <w:t xml:space="preserve">项目</w:t>
      </w:r>
      <w:r>
        <w:rPr>
          <w:rFonts w:hint="eastAsia" w:ascii="宋体" w:hAnsi="宋体" w:cs="宋体"/>
          <w:color w:val="auto"/>
          <w:szCs w:val="24"/>
          <w:highlight w:val="none"/>
        </w:rPr>
        <w:t xml:space="preserve">中使用。</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承包商对其采购的材料负全部责任。</w:t>
      </w:r>
      <w:r>
        <w:rPr>
          <w:rFonts w:hint="eastAsia" w:ascii="宋体" w:hAnsi="宋体" w:cs="宋体"/>
          <w:color w:val="auto"/>
          <w:szCs w:val="24"/>
          <w:highlight w:val="none"/>
          <w:lang w:val="en-US"/>
        </w:rPr>
        <w:t xml:space="preserve">采购人</w:t>
      </w:r>
      <w:r>
        <w:rPr>
          <w:rFonts w:hint="eastAsia" w:ascii="宋体" w:hAnsi="宋体" w:cs="宋体"/>
          <w:color w:val="auto"/>
          <w:szCs w:val="24"/>
          <w:highlight w:val="none"/>
        </w:rPr>
        <w:t xml:space="preserve">有权要求承包商提供所有材质证明文件、出厂合格证、材料样品的原件和试验报告等。</w:t>
      </w:r>
      <w:r>
        <w:rPr>
          <w:rFonts w:hint="eastAsia" w:ascii="宋体" w:hAnsi="宋体" w:cs="宋体"/>
          <w:color w:val="auto"/>
          <w:szCs w:val="24"/>
          <w:highlight w:val="none"/>
          <w:lang w:val="en-US"/>
        </w:rPr>
        <w:t xml:space="preserve">采购人</w:t>
      </w:r>
      <w:r>
        <w:rPr>
          <w:rFonts w:hint="eastAsia" w:ascii="宋体" w:hAnsi="宋体" w:cs="宋体"/>
          <w:color w:val="auto"/>
          <w:szCs w:val="24"/>
          <w:highlight w:val="none"/>
        </w:rPr>
        <w:t xml:space="preserve">一旦发现承包商在本</w:t>
      </w:r>
      <w:r>
        <w:rPr>
          <w:rFonts w:hint="eastAsia" w:ascii="宋体" w:hAnsi="宋体" w:cs="宋体"/>
          <w:color w:val="auto"/>
          <w:szCs w:val="24"/>
          <w:highlight w:val="none"/>
          <w:lang w:val="en-US" w:eastAsia="zh-CN"/>
        </w:rPr>
        <w:t xml:space="preserve">项目</w:t>
      </w:r>
      <w:r>
        <w:rPr>
          <w:rFonts w:hint="eastAsia" w:ascii="宋体" w:hAnsi="宋体" w:cs="宋体"/>
          <w:color w:val="auto"/>
          <w:szCs w:val="24"/>
          <w:highlight w:val="none"/>
        </w:rPr>
        <w:t xml:space="preserve">中使用了不合格的材料时，承包商应按买方的指示立即更换，并对由此产生的后果负责。</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承包商应采购近两年出厂的材料，锈蚀严重或有缺陷的材料严禁使用。</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承包商应遵照制造图和本合同技术条件的规定，采用能保证产品质量的工艺。一旦</w:t>
      </w:r>
      <w:r>
        <w:rPr>
          <w:rFonts w:hint="eastAsia" w:ascii="宋体" w:hAnsi="宋体" w:cs="宋体"/>
          <w:color w:val="auto"/>
          <w:szCs w:val="24"/>
          <w:highlight w:val="none"/>
          <w:lang w:val="en-US"/>
        </w:rPr>
        <w:t xml:space="preserve">采购人</w:t>
      </w:r>
      <w:r>
        <w:rPr>
          <w:rFonts w:hint="eastAsia" w:ascii="宋体" w:hAnsi="宋体" w:cs="宋体"/>
          <w:color w:val="auto"/>
          <w:szCs w:val="24"/>
          <w:highlight w:val="none"/>
        </w:rPr>
        <w:t xml:space="preserve">发现工艺不合格，发出书面通知时，承包商应立即更换或更改，并承担由此造成的损失和产生的后果。</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金属材料</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设备制造所需的金属材料，包括黑色金属和有色金属材料，必须符合合同文件的规定，其机械性能和化学成份及其它技术性能必须符合现行的有关国家标准和行业标准，并应具有出厂合格证。如采购人对所用的材料有疑问并要求重新检验时，应由采购人认可具有资质的检验单位进行检验，检验合格后并取得采购人同意后才能使用。</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 铸钢件</w:t>
      </w:r>
      <w:r/>
    </w:p>
    <w:p>
      <w:pPr>
        <w:pStyle w:val="1221"/>
        <w:numPr>
          <w:ilvl w:val="2"/>
          <w:numId w:val="31"/>
        </w:numPr>
        <w:spacing w:line="360" w:lineRule="auto"/>
        <w:rPr>
          <w:rFonts w:ascii="宋体" w:hAnsi="宋体"/>
          <w:color w:val="auto"/>
          <w:szCs w:val="24"/>
          <w:highlight w:val="none"/>
        </w:rPr>
      </w:pPr>
      <w:r>
        <w:rPr>
          <w:rFonts w:hint="eastAsia" w:ascii="宋体" w:hAnsi="宋体"/>
          <w:color w:val="auto"/>
          <w:szCs w:val="24"/>
          <w:highlight w:val="none"/>
        </w:rPr>
        <w:t xml:space="preserve">铸钢件应符合图纸的规定。</w:t>
      </w:r>
      <w:r/>
    </w:p>
    <w:p>
      <w:pPr>
        <w:pStyle w:val="1221"/>
        <w:numPr>
          <w:ilvl w:val="2"/>
          <w:numId w:val="31"/>
        </w:numPr>
        <w:spacing w:line="360" w:lineRule="auto"/>
        <w:rPr>
          <w:rFonts w:ascii="宋体" w:hAnsi="宋体"/>
          <w:color w:val="auto"/>
          <w:szCs w:val="24"/>
          <w:highlight w:val="none"/>
        </w:rPr>
      </w:pPr>
      <w:r>
        <w:rPr>
          <w:rFonts w:hint="eastAsia" w:ascii="宋体" w:hAnsi="宋体"/>
          <w:color w:val="auto"/>
          <w:szCs w:val="24"/>
          <w:highlight w:val="none"/>
        </w:rPr>
        <w:t xml:space="preserve">铸钢件的化学成份和机械性能应符合GB/T 11352的规定。铸钢件的探伤、热处理及硬度应符合图纸及合同要求。铸钢件的尺寸公差应符合GB/T 6414的规定。</w:t>
      </w:r>
      <w:r/>
    </w:p>
    <w:p>
      <w:pPr>
        <w:pStyle w:val="1221"/>
        <w:numPr>
          <w:ilvl w:val="2"/>
          <w:numId w:val="31"/>
        </w:numPr>
        <w:spacing w:line="360" w:lineRule="auto"/>
        <w:rPr>
          <w:rFonts w:ascii="宋体" w:hAnsi="宋体"/>
          <w:color w:val="auto"/>
          <w:szCs w:val="24"/>
          <w:highlight w:val="none"/>
        </w:rPr>
      </w:pPr>
      <w:r>
        <w:rPr>
          <w:rFonts w:hint="eastAsia" w:ascii="宋体" w:hAnsi="宋体"/>
          <w:color w:val="auto"/>
          <w:szCs w:val="24"/>
          <w:highlight w:val="none"/>
        </w:rPr>
        <w:t xml:space="preserve">铸钢件的质量要求和允许焊补范围应按GB/T14173的规定执行。铸钢件需做超声波探伤检查，质量等级应符合GB/T 7233中二级要求。</w:t>
      </w:r>
      <w:r/>
    </w:p>
    <w:p>
      <w:pPr>
        <w:pStyle w:val="1221"/>
        <w:numPr>
          <w:ilvl w:val="2"/>
          <w:numId w:val="31"/>
        </w:numPr>
        <w:spacing w:line="360" w:lineRule="auto"/>
        <w:rPr>
          <w:rFonts w:ascii="宋体" w:hAnsi="宋体"/>
          <w:color w:val="auto"/>
          <w:szCs w:val="24"/>
          <w:highlight w:val="none"/>
        </w:rPr>
      </w:pPr>
      <w:r>
        <w:rPr>
          <w:rFonts w:hint="eastAsia" w:ascii="宋体" w:hAnsi="宋体"/>
          <w:color w:val="auto"/>
          <w:szCs w:val="24"/>
          <w:highlight w:val="none"/>
        </w:rPr>
        <w:t xml:space="preserve">当铸件缺陷经检查在允许焊补的范围内时，应制定可靠的补焊措施，并报采购人同意后才能进行补焊。焊补的质量应达到设计要求，并作好记录。</w:t>
      </w:r>
      <w:r/>
    </w:p>
    <w:p>
      <w:pPr>
        <w:pStyle w:val="1221"/>
        <w:numPr>
          <w:ilvl w:val="2"/>
          <w:numId w:val="31"/>
        </w:numPr>
        <w:spacing w:line="360" w:lineRule="auto"/>
        <w:rPr>
          <w:rFonts w:ascii="宋体" w:hAnsi="宋体"/>
          <w:color w:val="auto"/>
          <w:szCs w:val="24"/>
          <w:highlight w:val="none"/>
        </w:rPr>
      </w:pPr>
      <w:r>
        <w:rPr>
          <w:rFonts w:hint="eastAsia" w:ascii="宋体" w:hAnsi="宋体"/>
          <w:color w:val="auto"/>
          <w:szCs w:val="24"/>
          <w:highlight w:val="none"/>
        </w:rPr>
        <w:t xml:space="preserve">承包商对铸件如需外协时，须经采购人审查、批准。</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锻件</w:t>
      </w:r>
      <w:r/>
    </w:p>
    <w:p>
      <w:pPr>
        <w:pStyle w:val="1221"/>
        <w:numPr>
          <w:ilvl w:val="2"/>
          <w:numId w:val="32"/>
        </w:numPr>
        <w:spacing w:line="360" w:lineRule="auto"/>
        <w:rPr>
          <w:rFonts w:ascii="宋体" w:hAnsi="宋体"/>
          <w:color w:val="auto"/>
          <w:szCs w:val="24"/>
          <w:highlight w:val="none"/>
        </w:rPr>
      </w:pPr>
      <w:r>
        <w:rPr>
          <w:rFonts w:hint="eastAsia" w:ascii="宋体" w:hAnsi="宋体"/>
          <w:color w:val="auto"/>
          <w:szCs w:val="24"/>
          <w:highlight w:val="none"/>
        </w:rPr>
        <w:t xml:space="preserve">锻件的锻造应符合图纸和GB/T 14173的规定。</w:t>
      </w:r>
      <w:r/>
    </w:p>
    <w:p>
      <w:pPr>
        <w:pStyle w:val="1221"/>
        <w:numPr>
          <w:ilvl w:val="2"/>
          <w:numId w:val="32"/>
        </w:numPr>
        <w:spacing w:line="360" w:lineRule="auto"/>
        <w:rPr>
          <w:rFonts w:ascii="宋体" w:hAnsi="宋体"/>
          <w:color w:val="auto"/>
          <w:szCs w:val="24"/>
          <w:highlight w:val="none"/>
        </w:rPr>
      </w:pPr>
      <w:r>
        <w:rPr>
          <w:rFonts w:hint="eastAsia" w:ascii="宋体" w:hAnsi="宋体"/>
          <w:color w:val="auto"/>
          <w:szCs w:val="24"/>
          <w:highlight w:val="none"/>
        </w:rPr>
        <w:t xml:space="preserve">锻件的质量检查应按图纸及GB/T 14173的规定执行，锻件探伤、热处理及硬度应符合图纸的要求，并提出相应工艺措施。锻件需做超声波探伤检查，质量标准应符合GB/T 6402二级标准的规定。</w:t>
      </w:r>
      <w:r/>
    </w:p>
    <w:p>
      <w:pPr>
        <w:pStyle w:val="1221"/>
        <w:numPr>
          <w:ilvl w:val="2"/>
          <w:numId w:val="32"/>
        </w:numPr>
        <w:spacing w:line="360" w:lineRule="auto"/>
        <w:rPr>
          <w:rFonts w:ascii="宋体" w:hAnsi="宋体"/>
          <w:color w:val="auto"/>
          <w:szCs w:val="24"/>
          <w:highlight w:val="none"/>
        </w:rPr>
      </w:pPr>
      <w:r>
        <w:rPr>
          <w:rFonts w:hint="eastAsia" w:ascii="宋体" w:hAnsi="宋体"/>
          <w:color w:val="auto"/>
          <w:szCs w:val="24"/>
          <w:highlight w:val="none"/>
        </w:rPr>
        <w:t xml:space="preserve">吊轴等锻件的缺陷不得补焊。</w:t>
      </w:r>
      <w:r/>
    </w:p>
    <w:p>
      <w:pPr>
        <w:pStyle w:val="1221"/>
        <w:numPr>
          <w:ilvl w:val="2"/>
          <w:numId w:val="32"/>
        </w:numPr>
        <w:spacing w:line="360" w:lineRule="auto"/>
        <w:rPr>
          <w:rFonts w:ascii="宋体" w:hAnsi="宋体"/>
          <w:color w:val="auto"/>
          <w:szCs w:val="24"/>
          <w:highlight w:val="none"/>
        </w:rPr>
      </w:pPr>
      <w:r>
        <w:rPr>
          <w:rFonts w:hint="eastAsia" w:ascii="宋体" w:hAnsi="宋体"/>
          <w:color w:val="auto"/>
          <w:szCs w:val="24"/>
          <w:highlight w:val="none"/>
        </w:rPr>
        <w:t xml:space="preserve">承包商对锻件如需外协时，须经采购人审查并报采购人批准。</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焊接材料</w:t>
      </w:r>
      <w:r/>
    </w:p>
    <w:p>
      <w:pPr>
        <w:pStyle w:val="1221"/>
        <w:numPr>
          <w:ilvl w:val="2"/>
          <w:numId w:val="33"/>
        </w:numPr>
        <w:spacing w:line="360" w:lineRule="auto"/>
        <w:rPr>
          <w:rFonts w:ascii="宋体" w:hAnsi="宋体"/>
          <w:color w:val="auto"/>
          <w:szCs w:val="24"/>
          <w:highlight w:val="none"/>
        </w:rPr>
      </w:pPr>
      <w:r>
        <w:rPr>
          <w:rFonts w:hint="eastAsia" w:ascii="宋体" w:hAnsi="宋体"/>
          <w:color w:val="auto"/>
          <w:szCs w:val="24"/>
          <w:highlight w:val="none"/>
        </w:rPr>
        <w:t xml:space="preserve">焊条型号或焊丝代号及其焊剂必须符合合同技术条件的规定，当合同技术条件没有规定时，应选用与母材强度相适应的焊接材料。不锈钢的焊接应当使用相匹配的不锈钢焊条。</w:t>
      </w:r>
      <w:r/>
    </w:p>
    <w:p>
      <w:pPr>
        <w:pStyle w:val="1221"/>
        <w:numPr>
          <w:ilvl w:val="2"/>
          <w:numId w:val="33"/>
        </w:numPr>
        <w:spacing w:line="360" w:lineRule="auto"/>
        <w:rPr>
          <w:rFonts w:ascii="宋体" w:hAnsi="宋体"/>
          <w:color w:val="auto"/>
          <w:szCs w:val="24"/>
          <w:highlight w:val="none"/>
        </w:rPr>
      </w:pPr>
      <w:r>
        <w:rPr>
          <w:rFonts w:hint="eastAsia" w:ascii="宋体" w:hAnsi="宋体"/>
          <w:color w:val="auto"/>
          <w:szCs w:val="24"/>
          <w:highlight w:val="none"/>
        </w:rPr>
        <w:t xml:space="preserve">焊条应符合GB/T5117、GB/T5118的有关规定；</w:t>
      </w:r>
      <w:r/>
    </w:p>
    <w:p>
      <w:pPr>
        <w:pStyle w:val="1221"/>
        <w:numPr>
          <w:ilvl w:val="2"/>
          <w:numId w:val="33"/>
        </w:numPr>
        <w:spacing w:line="360" w:lineRule="auto"/>
        <w:rPr>
          <w:rFonts w:ascii="宋体" w:hAnsi="宋体"/>
          <w:color w:val="auto"/>
          <w:szCs w:val="24"/>
          <w:highlight w:val="none"/>
        </w:rPr>
      </w:pPr>
      <w:r>
        <w:rPr>
          <w:rFonts w:hint="eastAsia" w:ascii="宋体" w:hAnsi="宋体"/>
          <w:color w:val="auto"/>
          <w:szCs w:val="24"/>
          <w:highlight w:val="none"/>
        </w:rPr>
        <w:t xml:space="preserve">焊接材料必须具有产品质量合格证；</w:t>
      </w:r>
      <w:r/>
    </w:p>
    <w:p>
      <w:pPr>
        <w:pStyle w:val="1221"/>
        <w:numPr>
          <w:ilvl w:val="2"/>
          <w:numId w:val="33"/>
        </w:numPr>
        <w:spacing w:line="360" w:lineRule="auto"/>
        <w:rPr>
          <w:rFonts w:ascii="宋体" w:hAnsi="宋体"/>
          <w:color w:val="auto"/>
          <w:szCs w:val="24"/>
          <w:highlight w:val="none"/>
        </w:rPr>
      </w:pPr>
      <w:r>
        <w:rPr>
          <w:rFonts w:hint="eastAsia" w:ascii="宋体" w:hAnsi="宋体"/>
          <w:color w:val="auto"/>
          <w:szCs w:val="24"/>
          <w:highlight w:val="none"/>
        </w:rPr>
        <w:t xml:space="preserve">焊条的贮存、保管与使用须遵照JB/T3223的规程执行。</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制造工艺</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设备制造开工前承包商应编制设备制造工艺文件报</w:t>
      </w:r>
      <w:r>
        <w:rPr>
          <w:rFonts w:hint="eastAsia" w:ascii="宋体" w:hAnsi="宋体" w:cs="宋体"/>
          <w:color w:val="auto"/>
          <w:szCs w:val="24"/>
          <w:highlight w:val="none"/>
          <w:lang w:val="en-US"/>
        </w:rPr>
        <w:t xml:space="preserve">采购人</w:t>
      </w:r>
      <w:r>
        <w:rPr>
          <w:rFonts w:hint="eastAsia" w:ascii="宋体" w:hAnsi="宋体" w:cs="宋体"/>
          <w:color w:val="auto"/>
          <w:szCs w:val="24"/>
          <w:highlight w:val="none"/>
        </w:rPr>
        <w:t xml:space="preserve">审批，</w:t>
      </w:r>
      <w:r>
        <w:rPr>
          <w:rFonts w:hint="eastAsia" w:ascii="宋体" w:hAnsi="宋体" w:cs="宋体"/>
          <w:color w:val="auto"/>
          <w:szCs w:val="24"/>
          <w:highlight w:val="none"/>
          <w:lang w:val="en-US"/>
        </w:rPr>
        <w:t xml:space="preserve">采购人</w:t>
      </w:r>
      <w:r>
        <w:rPr>
          <w:rFonts w:hint="eastAsia" w:ascii="宋体" w:hAnsi="宋体" w:cs="宋体"/>
          <w:color w:val="auto"/>
          <w:szCs w:val="24"/>
          <w:highlight w:val="none"/>
        </w:rPr>
        <w:t xml:space="preserve">批准后下达开工令。主要制造工艺和组装工艺文件还应报</w:t>
      </w:r>
      <w:r>
        <w:rPr>
          <w:rFonts w:hint="eastAsia" w:ascii="宋体" w:hAnsi="宋体" w:cs="宋体"/>
          <w:color w:val="auto"/>
          <w:szCs w:val="24"/>
          <w:highlight w:val="none"/>
          <w:lang w:val="en-US"/>
        </w:rPr>
        <w:t xml:space="preserve">采购人</w:t>
      </w:r>
      <w:r>
        <w:rPr>
          <w:rFonts w:hint="eastAsia" w:ascii="宋体" w:hAnsi="宋体" w:cs="宋体"/>
          <w:color w:val="auto"/>
          <w:szCs w:val="24"/>
          <w:highlight w:val="none"/>
        </w:rPr>
        <w:t xml:space="preserve">一份备案。</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采购人</w:t>
      </w:r>
      <w:r>
        <w:rPr>
          <w:rFonts w:hint="eastAsia" w:ascii="宋体" w:hAnsi="宋体" w:cs="宋体"/>
          <w:color w:val="auto"/>
          <w:szCs w:val="24"/>
          <w:highlight w:val="none"/>
        </w:rPr>
        <w:t xml:space="preserve">对设备制造的全过程进行监督，在设备制造过程中发现有不合格的制造工艺和材料，</w:t>
      </w:r>
      <w:r>
        <w:rPr>
          <w:rFonts w:hint="eastAsia" w:ascii="宋体" w:hAnsi="宋体" w:cs="宋体"/>
          <w:color w:val="auto"/>
          <w:szCs w:val="24"/>
          <w:highlight w:val="none"/>
          <w:lang w:val="en-US"/>
        </w:rPr>
        <w:t xml:space="preserve">采购人</w:t>
      </w:r>
      <w:r>
        <w:rPr>
          <w:rFonts w:hint="eastAsia" w:ascii="宋体" w:hAnsi="宋体" w:cs="宋体"/>
          <w:color w:val="auto"/>
          <w:szCs w:val="24"/>
          <w:highlight w:val="none"/>
        </w:rPr>
        <w:t xml:space="preserve">提出整改、返工处理直至下达停工令并报</w:t>
      </w:r>
      <w:r>
        <w:rPr>
          <w:rFonts w:hint="eastAsia" w:ascii="宋体" w:hAnsi="宋体" w:cs="宋体"/>
          <w:color w:val="auto"/>
          <w:szCs w:val="24"/>
          <w:highlight w:val="none"/>
          <w:lang w:val="en-US"/>
        </w:rPr>
        <w:t xml:space="preserve">采购人</w:t>
      </w:r>
      <w:r>
        <w:rPr>
          <w:rFonts w:hint="eastAsia" w:ascii="宋体" w:hAnsi="宋体" w:cs="宋体"/>
          <w:color w:val="auto"/>
          <w:szCs w:val="24"/>
          <w:highlight w:val="none"/>
        </w:rPr>
        <w:t xml:space="preserve">。</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设备的表面处理及其涂装工艺必须经</w:t>
      </w:r>
      <w:r>
        <w:rPr>
          <w:rFonts w:hint="eastAsia" w:ascii="宋体" w:hAnsi="宋体" w:cs="宋体"/>
          <w:color w:val="auto"/>
          <w:szCs w:val="24"/>
          <w:highlight w:val="none"/>
          <w:lang w:val="en-US"/>
        </w:rPr>
        <w:t xml:space="preserve">采购人</w:t>
      </w:r>
      <w:r>
        <w:rPr>
          <w:rFonts w:hint="eastAsia" w:ascii="宋体" w:hAnsi="宋体" w:cs="宋体"/>
          <w:color w:val="auto"/>
          <w:szCs w:val="24"/>
          <w:highlight w:val="none"/>
        </w:rPr>
        <w:t xml:space="preserve">批准同意后，才能按要求实施。</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lang w:val="en-US"/>
        </w:rPr>
        <w:t xml:space="preserve">采购人</w:t>
      </w:r>
      <w:r>
        <w:rPr>
          <w:rFonts w:hint="eastAsia" w:ascii="宋体" w:hAnsi="宋体" w:cs="宋体"/>
          <w:color w:val="auto"/>
          <w:szCs w:val="24"/>
          <w:highlight w:val="none"/>
        </w:rPr>
        <w:t xml:space="preserve">对制造工艺的检验或批准并不意味着可以减免或免除承包商在合同中应负的责任。</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连接</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 焊接连接</w:t>
      </w:r>
      <w:r/>
    </w:p>
    <w:p>
      <w:pPr>
        <w:pStyle w:val="1221"/>
        <w:numPr>
          <w:ilvl w:val="2"/>
          <w:numId w:val="34"/>
        </w:numPr>
        <w:spacing w:line="360" w:lineRule="auto"/>
        <w:rPr>
          <w:rFonts w:ascii="宋体" w:hAnsi="宋体"/>
          <w:color w:val="auto"/>
          <w:szCs w:val="24"/>
          <w:highlight w:val="none"/>
        </w:rPr>
      </w:pPr>
      <w:r>
        <w:rPr>
          <w:rFonts w:hint="eastAsia" w:ascii="宋体" w:hAnsi="宋体"/>
          <w:color w:val="auto"/>
          <w:szCs w:val="24"/>
          <w:highlight w:val="none"/>
        </w:rPr>
        <w:t xml:space="preserve">金属结构件的焊接工艺、焊前准备、施焊、焊接矫形、焊后处理、焊缝质检和焊缝修补等技术必须符合SL 36和GB/T 14173的规定。对一、二类焊缝的焊接工艺和新材料，焊前必须进行焊接工艺评定，评定报告报送采购人审批。</w:t>
      </w:r>
      <w:r/>
    </w:p>
    <w:p>
      <w:pPr>
        <w:pStyle w:val="1221"/>
        <w:numPr>
          <w:ilvl w:val="2"/>
          <w:numId w:val="34"/>
        </w:numPr>
        <w:spacing w:line="360" w:lineRule="auto"/>
        <w:rPr>
          <w:rFonts w:ascii="宋体" w:hAnsi="宋体"/>
          <w:color w:val="auto"/>
          <w:szCs w:val="24"/>
          <w:highlight w:val="none"/>
        </w:rPr>
      </w:pPr>
      <w:r>
        <w:rPr>
          <w:rFonts w:hint="eastAsia" w:ascii="宋体" w:hAnsi="宋体"/>
          <w:color w:val="auto"/>
          <w:szCs w:val="24"/>
          <w:highlight w:val="none"/>
        </w:rPr>
        <w:t xml:space="preserve">焊工的考试按SL 35的规定执行，经考试合格并持有效合格证的焊工才能参加相应焊接材料和相应焊接位置的焊接。</w:t>
      </w:r>
      <w:r/>
    </w:p>
    <w:p>
      <w:pPr>
        <w:pStyle w:val="1221"/>
        <w:numPr>
          <w:ilvl w:val="2"/>
          <w:numId w:val="34"/>
        </w:numPr>
        <w:spacing w:line="360" w:lineRule="auto"/>
        <w:rPr>
          <w:rFonts w:ascii="宋体" w:hAnsi="宋体"/>
          <w:color w:val="auto"/>
          <w:szCs w:val="24"/>
          <w:highlight w:val="none"/>
        </w:rPr>
      </w:pPr>
      <w:r>
        <w:rPr>
          <w:rFonts w:hint="eastAsia" w:ascii="宋体" w:hAnsi="宋体"/>
          <w:color w:val="auto"/>
          <w:szCs w:val="24"/>
          <w:highlight w:val="none"/>
        </w:rPr>
        <w:t xml:space="preserve">无损检测人员必须持有国家专业部门签发的资格证书。评定焊缝质量应由二级以上的检测人员担任。</w:t>
      </w:r>
      <w:r/>
    </w:p>
    <w:p>
      <w:pPr>
        <w:pStyle w:val="1221"/>
        <w:numPr>
          <w:ilvl w:val="2"/>
          <w:numId w:val="34"/>
        </w:numPr>
        <w:spacing w:line="360" w:lineRule="auto"/>
        <w:rPr>
          <w:rFonts w:ascii="宋体" w:hAnsi="宋体"/>
          <w:color w:val="auto"/>
          <w:szCs w:val="24"/>
          <w:highlight w:val="none"/>
        </w:rPr>
      </w:pPr>
      <w:r>
        <w:rPr>
          <w:rFonts w:hint="eastAsia" w:ascii="宋体" w:hAnsi="宋体"/>
          <w:color w:val="auto"/>
          <w:szCs w:val="24"/>
          <w:highlight w:val="none"/>
        </w:rPr>
        <w:t xml:space="preserve">焊缝坡口的型式与尺寸应符合图纸的规定。</w:t>
      </w:r>
      <w:r/>
    </w:p>
    <w:p>
      <w:pPr>
        <w:pStyle w:val="1221"/>
        <w:numPr>
          <w:ilvl w:val="2"/>
          <w:numId w:val="34"/>
        </w:numPr>
        <w:spacing w:line="360" w:lineRule="auto"/>
        <w:rPr>
          <w:rFonts w:ascii="宋体" w:hAnsi="宋体"/>
          <w:color w:val="auto"/>
          <w:szCs w:val="24"/>
          <w:highlight w:val="none"/>
        </w:rPr>
      </w:pPr>
      <w:r>
        <w:rPr>
          <w:rFonts w:hint="eastAsia" w:ascii="宋体" w:hAnsi="宋体"/>
          <w:color w:val="auto"/>
          <w:szCs w:val="24"/>
          <w:highlight w:val="none"/>
        </w:rPr>
        <w:t xml:space="preserve">凡属一、二类焊缝的对接与角接的组合焊缝要求全部焊透，其角焊缝的焊角必须符合图纸的规定，焊缝外形平缓过渡。</w:t>
      </w:r>
      <w:r/>
    </w:p>
    <w:p>
      <w:pPr>
        <w:pStyle w:val="1221"/>
        <w:numPr>
          <w:ilvl w:val="2"/>
          <w:numId w:val="34"/>
        </w:numPr>
        <w:spacing w:line="360" w:lineRule="auto"/>
        <w:rPr>
          <w:rFonts w:ascii="宋体" w:hAnsi="宋体"/>
          <w:color w:val="auto"/>
          <w:szCs w:val="24"/>
          <w:highlight w:val="none"/>
        </w:rPr>
      </w:pPr>
      <w:r>
        <w:rPr>
          <w:rFonts w:hint="eastAsia" w:ascii="宋体" w:hAnsi="宋体"/>
          <w:color w:val="auto"/>
          <w:szCs w:val="24"/>
          <w:highlight w:val="none"/>
        </w:rPr>
        <w:t xml:space="preserve">除非图纸另有说明外，所有焊缝均为连续焊缝。</w:t>
      </w:r>
      <w:r/>
    </w:p>
    <w:p>
      <w:pPr>
        <w:pStyle w:val="1221"/>
        <w:numPr>
          <w:ilvl w:val="2"/>
          <w:numId w:val="34"/>
        </w:numPr>
        <w:spacing w:line="360" w:lineRule="auto"/>
        <w:rPr>
          <w:rFonts w:ascii="宋体" w:hAnsi="宋体"/>
          <w:color w:val="auto"/>
          <w:szCs w:val="24"/>
          <w:highlight w:val="none"/>
        </w:rPr>
      </w:pPr>
      <w:r>
        <w:rPr>
          <w:rFonts w:hint="eastAsia" w:ascii="宋体" w:hAnsi="宋体"/>
          <w:color w:val="auto"/>
          <w:szCs w:val="24"/>
          <w:highlight w:val="none"/>
        </w:rPr>
        <w:t xml:space="preserve">钢板的拼接接头应避开构件应力集中的断面，尽可能避免十字焊缝，相邻平行焊缝的间距应大于200mm。</w:t>
      </w:r>
      <w:r/>
    </w:p>
    <w:p>
      <w:pPr>
        <w:pStyle w:val="1221"/>
        <w:numPr>
          <w:ilvl w:val="2"/>
          <w:numId w:val="34"/>
        </w:numPr>
        <w:spacing w:line="360" w:lineRule="auto"/>
        <w:rPr>
          <w:rFonts w:ascii="宋体" w:hAnsi="宋体"/>
          <w:color w:val="auto"/>
          <w:szCs w:val="24"/>
          <w:highlight w:val="none"/>
        </w:rPr>
      </w:pPr>
      <w:r>
        <w:rPr>
          <w:rFonts w:hint="eastAsia" w:ascii="宋体" w:hAnsi="宋体"/>
          <w:color w:val="auto"/>
          <w:szCs w:val="24"/>
          <w:highlight w:val="none"/>
        </w:rPr>
        <w:t xml:space="preserve">对于厚板大断面的焊缝，应采用多层多道焊。</w:t>
      </w:r>
      <w:r/>
    </w:p>
    <w:p>
      <w:pPr>
        <w:pStyle w:val="1221"/>
        <w:numPr>
          <w:ilvl w:val="2"/>
          <w:numId w:val="34"/>
        </w:numPr>
        <w:spacing w:line="360" w:lineRule="auto"/>
        <w:rPr>
          <w:rFonts w:ascii="宋体" w:hAnsi="宋体"/>
          <w:color w:val="auto"/>
          <w:szCs w:val="24"/>
          <w:highlight w:val="none"/>
        </w:rPr>
      </w:pPr>
      <w:r>
        <w:rPr>
          <w:rFonts w:hint="eastAsia" w:ascii="宋体" w:hAnsi="宋体"/>
          <w:color w:val="auto"/>
          <w:szCs w:val="24"/>
          <w:highlight w:val="none"/>
        </w:rPr>
        <w:t xml:space="preserve">焊缝出现裂纹时，焊工不得擅自处理，应查清原因，订出修补工艺后方可处理。焊缝同一部位的返修次数不超过两次，一、二类焊缝的返修应在采购人的监督下进行。</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 螺栓连接</w:t>
      </w:r>
      <w:r/>
    </w:p>
    <w:p>
      <w:pPr>
        <w:pStyle w:val="1221"/>
        <w:numPr>
          <w:ilvl w:val="2"/>
          <w:numId w:val="35"/>
        </w:numPr>
        <w:spacing w:line="360" w:lineRule="auto"/>
        <w:rPr>
          <w:rFonts w:ascii="宋体" w:hAnsi="宋体"/>
          <w:color w:val="auto"/>
          <w:szCs w:val="24"/>
          <w:highlight w:val="none"/>
        </w:rPr>
      </w:pPr>
      <w:r>
        <w:rPr>
          <w:rFonts w:hint="eastAsia" w:ascii="宋体" w:hAnsi="宋体"/>
          <w:color w:val="auto"/>
          <w:szCs w:val="24"/>
          <w:highlight w:val="none"/>
        </w:rPr>
        <w:t xml:space="preserve">紧固件的规格、材料、制孔和连接应符合图纸及SL 381的规定。</w:t>
      </w:r>
      <w:r/>
    </w:p>
    <w:p>
      <w:pPr>
        <w:pStyle w:val="1221"/>
        <w:numPr>
          <w:ilvl w:val="2"/>
          <w:numId w:val="35"/>
        </w:numPr>
        <w:spacing w:line="360" w:lineRule="auto"/>
        <w:rPr>
          <w:rFonts w:ascii="宋体" w:hAnsi="宋体"/>
          <w:color w:val="auto"/>
          <w:szCs w:val="24"/>
          <w:highlight w:val="none"/>
        </w:rPr>
      </w:pPr>
      <w:r>
        <w:rPr>
          <w:rFonts w:hint="eastAsia" w:ascii="宋体" w:hAnsi="宋体"/>
          <w:color w:val="auto"/>
          <w:szCs w:val="24"/>
          <w:highlight w:val="none"/>
        </w:rPr>
        <w:t xml:space="preserve">安装所需要的螺栓、螺母、垫圈、连接螺杆均应按图纸中规定的数量提供3%的备件，且备件不少于2件。</w:t>
      </w:r>
      <w:r/>
    </w:p>
    <w:p>
      <w:pPr>
        <w:pStyle w:val="1220"/>
        <w:spacing w:line="360" w:lineRule="auto"/>
        <w:rPr>
          <w:rFonts w:ascii="宋体" w:hAnsi="宋体" w:eastAsia="宋体" w:cs="宋体"/>
          <w:color w:val="auto"/>
          <w:sz w:val="24"/>
          <w:szCs w:val="24"/>
          <w:highlight w:val="none"/>
        </w:rPr>
      </w:pPr>
      <w:r/>
      <w:bookmarkStart w:id="153" w:name="_Toc23976"/>
      <w:r/>
      <w:bookmarkStart w:id="154" w:name="_Toc10513"/>
      <w:r/>
      <w:bookmarkStart w:id="155" w:name="_Toc13634"/>
      <w:r/>
      <w:bookmarkStart w:id="156" w:name="_Toc20330"/>
      <w:r/>
      <w:bookmarkStart w:id="157" w:name="_Toc11526"/>
      <w:r/>
      <w:bookmarkStart w:id="158" w:name="_Toc31924"/>
      <w:r>
        <w:rPr>
          <w:rFonts w:hint="eastAsia" w:ascii="宋体" w:hAnsi="宋体" w:eastAsia="宋体" w:cs="宋体"/>
          <w:color w:val="auto"/>
          <w:sz w:val="24"/>
          <w:szCs w:val="24"/>
          <w:highlight w:val="none"/>
        </w:rPr>
        <w:t xml:space="preserve">外购件与专业配套件</w:t>
      </w:r>
      <w:bookmarkEnd w:id="153"/>
      <w:r/>
      <w:bookmarkEnd w:id="154"/>
      <w:r/>
      <w:bookmarkEnd w:id="155"/>
      <w:r/>
      <w:bookmarkEnd w:id="156"/>
      <w:r/>
      <w:bookmarkEnd w:id="157"/>
      <w:r/>
      <w:bookmarkEnd w:id="158"/>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外购件与专业配套件系指各种标准组件、零件，或专业厂生产的产品及标准设备。</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所采购的外购件应符合合同书、设计图纸的型号、技术参数、性能指标等参数要求，须随件附有出厂合格证。外购进口件还需附有产品原产地生产制造商的证明。</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所采购的专业配套件应严格按照合同书、设计图纸、技术文件规定的专业配套厂制造的零件和组件配套，除非经采购人认可，方可对零件与组件进行替换。</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外购件采购时应进行必要的检验与测试，认定合格后方可采购。在所购外购件或专业配套件的使用寿命期限内或保管期内，承包商应对其质量负责。</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对采购人专门指定的特殊外购件或专业配套件，承包商应予以满足。</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所购外购件必须是在同类</w:t>
      </w:r>
      <w:r>
        <w:rPr>
          <w:rFonts w:hint="eastAsia" w:ascii="宋体" w:hAnsi="宋体" w:cs="宋体"/>
          <w:color w:val="auto"/>
          <w:szCs w:val="24"/>
          <w:highlight w:val="none"/>
          <w:lang w:val="en-US" w:eastAsia="zh-CN"/>
        </w:rPr>
        <w:t xml:space="preserve">项目</w:t>
      </w:r>
      <w:r>
        <w:rPr>
          <w:rFonts w:hint="eastAsia" w:ascii="宋体" w:hAnsi="宋体" w:cs="宋体"/>
          <w:color w:val="auto"/>
          <w:szCs w:val="24"/>
          <w:highlight w:val="none"/>
        </w:rPr>
        <w:t xml:space="preserve">中使用的、性能稳定可靠的优质产品。</w:t>
      </w:r>
      <w:r/>
    </w:p>
    <w:p>
      <w:pPr>
        <w:pStyle w:val="1220"/>
        <w:spacing w:line="360" w:lineRule="auto"/>
        <w:rPr>
          <w:rFonts w:ascii="宋体" w:hAnsi="宋体" w:eastAsia="宋体" w:cs="宋体"/>
          <w:color w:val="auto"/>
          <w:sz w:val="24"/>
          <w:szCs w:val="24"/>
          <w:highlight w:val="none"/>
        </w:rPr>
      </w:pPr>
      <w:r/>
      <w:bookmarkStart w:id="159" w:name="_Toc17233"/>
      <w:r/>
      <w:bookmarkStart w:id="160" w:name="_Toc15181"/>
      <w:r/>
      <w:bookmarkStart w:id="161" w:name="_Toc19226"/>
      <w:r/>
      <w:bookmarkStart w:id="162" w:name="_Toc5399"/>
      <w:r/>
      <w:bookmarkStart w:id="163" w:name="_Toc18968"/>
      <w:r/>
      <w:bookmarkStart w:id="164" w:name="_Toc13927"/>
      <w:r>
        <w:rPr>
          <w:rFonts w:hint="eastAsia" w:ascii="宋体" w:hAnsi="宋体" w:eastAsia="宋体" w:cs="宋体"/>
          <w:color w:val="auto"/>
          <w:sz w:val="24"/>
          <w:szCs w:val="24"/>
          <w:highlight w:val="none"/>
        </w:rPr>
        <w:t xml:space="preserve">组装</w:t>
      </w:r>
      <w:bookmarkEnd w:id="159"/>
      <w:r/>
      <w:bookmarkEnd w:id="160"/>
      <w:r/>
      <w:bookmarkEnd w:id="161"/>
      <w:r/>
      <w:bookmarkEnd w:id="162"/>
      <w:r/>
      <w:bookmarkEnd w:id="163"/>
      <w:r/>
      <w:bookmarkEnd w:id="164"/>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组装要求</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装配的零部件和外购件均应有质量检测合格的报告或记录，任何变形、损伤、锈蚀的零部件和外购件不得用于装配。</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零部件在装配前应清洗干净，不得带有铁屑、毛刺、纤维状杂质等污染物。液压元件应根据情况进行分解清洗；阀芯动作应无卡阻。</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元件装配时，不得使用棉纱、纸张等纤维易落物擦拭壳体内腔及零部件配合面和进、出流道。</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所有零部件装配过程应按GB/Z 19848的规定控制清洁度。</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装配时不应碰伤、擦毛零部件表面，不得用铁棍直接敲击零部件。各紧固件应按顺序拧紧。</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液压缸</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在进行液压缸装置组装之前，应将缸体、缸盖、活塞、活塞杆、导向套（环）、密封件等所有零件清理干净，特别是内、外螺纹、沟槽、油口内壁等凹凸不平的部位必须采用特殊手段进行处理，不允许留存任何污物。应将零件表面的铁锈、氧化物、焊渣、油污、灰尘等彻底清洗干净。</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装配时不应碰伤、擦毛零件表面，禁止用铁棍直接敲击零件，各紧固件必须顺序拧紧。</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密封圈应压缩到设计尺寸，装配时不应被扭转、切角，“V”油封相邻两圈的接头应错开90°以上。</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液压缸上的安全阀、截止阀等可根据情况进行分解清洗。阀内弹簧不得有断裂，阀体应能自由升降而无卡阻现象。</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要注意不碰伤活塞杆表面和防止变形，特别是在装配某些配合较紧的零部件时，若需采取敲击的方法，则只能用铜棒等较软的器械，而绝对禁止用硬金属直接敲击。组装前后端盖时，连接螺栓要分次对称拧紧。</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装配后的液压缸应运动自如，所有外连接螺纹、油口边缘等应无损伤。</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液压泵站</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液压系统组装应符合GB/T 3766的规定。</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在进行液压泵站和阀组组装之前，应将油泵、阀件、连接油管、法兰和管接头等零部件清理干净，阀块应拆开清洗，不允许留存任何污物。</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液压元件均应有产品合格证并具有质量证明书和厂内试压记录，外形整洁美观，无损坏现象。</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液压泵站组装前所有液压阀件、油泵应单独通过出厂试验。所有管接头应分别进行耐压试验检查，不合格者不允许组装。</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油箱表面彻底清除铁锈、氧化物、焊渣、油污、灰尘。</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油箱应进行密闭性试验并满足要求。</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液压管道</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组装前，管道应进行清洗，清洗后内壁不得有任何焊渣等异物。</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液压管道采用氩弧焊接，禁止热弯。</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液压管道布置应整齐，并便于安装与测试。</w:t>
      </w:r>
      <w:r/>
    </w:p>
    <w:p>
      <w:pPr>
        <w:pStyle w:val="1220"/>
        <w:spacing w:line="360" w:lineRule="auto"/>
        <w:rPr>
          <w:rFonts w:ascii="宋体" w:hAnsi="宋体" w:eastAsia="宋体" w:cs="宋体"/>
          <w:color w:val="auto"/>
          <w:sz w:val="24"/>
          <w:szCs w:val="24"/>
          <w:highlight w:val="none"/>
        </w:rPr>
      </w:pPr>
      <w:r/>
      <w:bookmarkStart w:id="165" w:name="_Toc19690"/>
      <w:r/>
      <w:bookmarkStart w:id="166" w:name="_Toc15867"/>
      <w:r/>
      <w:bookmarkStart w:id="167" w:name="_Toc17701"/>
      <w:r/>
      <w:bookmarkStart w:id="168" w:name="_Toc17195"/>
      <w:r/>
      <w:bookmarkStart w:id="169" w:name="_Toc12889"/>
      <w:r/>
      <w:bookmarkStart w:id="170" w:name="_Toc28943"/>
      <w:r/>
      <w:bookmarkStart w:id="171" w:name="_Toc79030954"/>
      <w:r/>
      <w:bookmarkStart w:id="172" w:name="_Toc163527919"/>
      <w:r/>
      <w:bookmarkStart w:id="173" w:name="_Toc79029554"/>
      <w:r/>
      <w:bookmarkStart w:id="174" w:name="_Toc79030536"/>
      <w:r/>
      <w:bookmarkStart w:id="175" w:name="_Toc163528590"/>
      <w:r/>
      <w:bookmarkStart w:id="176" w:name="_Toc536495207"/>
      <w:r/>
      <w:bookmarkStart w:id="177" w:name="_Toc79032768"/>
      <w:r/>
      <w:bookmarkStart w:id="178" w:name="_Toc79030793"/>
      <w:r/>
      <w:bookmarkStart w:id="179" w:name="_Toc166232209"/>
      <w:r/>
      <w:bookmarkStart w:id="180" w:name="_Toc163528193"/>
      <w:r/>
      <w:bookmarkStart w:id="181" w:name="_Toc305402583"/>
      <w:r>
        <w:rPr>
          <w:rFonts w:hint="eastAsia" w:ascii="宋体" w:hAnsi="宋体" w:eastAsia="宋体" w:cs="宋体"/>
          <w:color w:val="auto"/>
          <w:sz w:val="24"/>
          <w:szCs w:val="24"/>
          <w:highlight w:val="none"/>
        </w:rPr>
        <w:t xml:space="preserve">涂漆与防腐要求</w:t>
      </w:r>
      <w:bookmarkEnd w:id="165"/>
      <w:r/>
      <w:bookmarkEnd w:id="166"/>
      <w:r/>
      <w:bookmarkEnd w:id="167"/>
      <w:r/>
      <w:bookmarkEnd w:id="168"/>
      <w:r/>
      <w:bookmarkEnd w:id="169"/>
      <w:r/>
      <w:bookmarkEnd w:id="170"/>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表面预处理和涂料防腐施工应严格按照SL 105中的有关规定执行。涂装前应先对涂料性能进行抽检，还应对环境温度、湿度、天气状况及工作表面温度进行检测并做好记录。涂装前应对表面预处理的清洁度、粗糙度等进行检验并做好记录，合格后方可进行涂装。涂装过程中对每一道涂层均应进行湿膜厚度检测及湿膜、干膜的外观检查，并符合规范SL 105的规定。涂装结束漆膜固化后，应进行干膜厚度的测定、附着性能检查、针孔检查等，检查方法按规范SL 105进行。</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设备厂内吊装、卸货过程中的涂层碰损，由承包商修补。安装过程中损坏部位的涂装、安装焊缝区涂装等修补面漆的涂装由供应商负责，但承包商应提供足量面漆、涂装工艺参数、产品说明书、机械性能指标及涂装要求等。</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防腐准备</w:t>
      </w:r>
      <w:r/>
    </w:p>
    <w:p>
      <w:pPr>
        <w:pStyle w:val="1221"/>
        <w:spacing w:line="360" w:lineRule="auto"/>
        <w:rPr>
          <w:rFonts w:ascii="宋体" w:hAnsi="宋体"/>
          <w:color w:val="auto"/>
          <w:szCs w:val="24"/>
          <w:highlight w:val="none"/>
        </w:rPr>
      </w:pPr>
      <w:r/>
      <w:bookmarkStart w:id="182" w:name="_Hlk92620981"/>
      <w:r>
        <w:rPr>
          <w:rFonts w:hint="eastAsia" w:ascii="宋体" w:hAnsi="宋体"/>
          <w:color w:val="auto"/>
          <w:szCs w:val="24"/>
          <w:highlight w:val="none"/>
        </w:rPr>
        <w:t xml:space="preserve">金属结构表面在实施防腐涂装前，应采用喷砂除锈的方法彻底清除表面铁锈、氧化皮、油污、焊渣、灰尘、水分等污物，使整个表面露出亮白色的金属本色，且其颜色均匀，无明显交界线，其表面清洁度应符合GB 8923《涂装前钢材表面锈蚀等级和除锈等级》中规定的Sa2</w:t>
      </w:r>
      <w:r>
        <w:rPr>
          <w:rFonts w:hint="eastAsia" w:ascii="宋体" w:hAnsi="宋体"/>
          <w:color w:val="auto"/>
          <w:szCs w:val="24"/>
          <w:highlight w:val="none"/>
          <w:vertAlign w:val="superscript"/>
        </w:rPr>
        <w:t xml:space="preserve">1/2</w:t>
      </w:r>
      <w:r>
        <w:rPr>
          <w:rFonts w:hint="eastAsia" w:ascii="宋体" w:hAnsi="宋体"/>
          <w:color w:val="auto"/>
          <w:szCs w:val="24"/>
          <w:highlight w:val="none"/>
        </w:rPr>
        <w:t xml:space="preserve">级。除锈后表面粗糙度对于涂料涂装应达到Ry40～70（m，表面预处理、涂装、涂装检验按SL 41、SL 37及SL 105执行。</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涂装材料要求</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用于本合同项目的涂装材料，应选用符合本技术条件和图纸规定的经过</w:t>
      </w:r>
      <w:r>
        <w:rPr>
          <w:rFonts w:hint="eastAsia" w:ascii="宋体" w:hAnsi="宋体" w:cs="宋体"/>
          <w:color w:val="auto"/>
          <w:szCs w:val="24"/>
          <w:highlight w:val="none"/>
          <w:lang w:val="en-US" w:eastAsia="zh-CN"/>
        </w:rPr>
        <w:t xml:space="preserve">项目</w:t>
      </w:r>
      <w:r>
        <w:rPr>
          <w:rFonts w:hint="eastAsia" w:ascii="宋体" w:hAnsi="宋体" w:cs="宋体"/>
          <w:color w:val="auto"/>
          <w:szCs w:val="24"/>
          <w:highlight w:val="none"/>
        </w:rPr>
        <w:t xml:space="preserve">实践证明其综合性能优良的产品。使用的涂料质量，必须符合中华人民共和国国家标准或相应行业标准，不合格或过期涂料严禁使用。</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涂装保护年限：要求达到10年以上。外观质量应能耐阳光、雨水等侵蚀，保色、保光性好，要求在8年～10年内颜色、光泽不会出现明显变化，其失光不低于3级，变色、粉化等级不低于2级。</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涂料应配套使用，底、中、面涂料须选用同一制造商的产品。本</w:t>
      </w:r>
      <w:r>
        <w:rPr>
          <w:rFonts w:hint="eastAsia" w:ascii="宋体" w:hAnsi="宋体" w:cs="宋体"/>
          <w:color w:val="auto"/>
          <w:szCs w:val="24"/>
          <w:highlight w:val="none"/>
          <w:lang w:val="en-US" w:eastAsia="zh-CN"/>
        </w:rPr>
        <w:t xml:space="preserve">项目</w:t>
      </w:r>
      <w:r>
        <w:rPr>
          <w:rFonts w:hint="eastAsia" w:ascii="宋体" w:hAnsi="宋体" w:cs="宋体"/>
          <w:color w:val="auto"/>
          <w:szCs w:val="24"/>
          <w:highlight w:val="none"/>
        </w:rPr>
        <w:t xml:space="preserve">液压缸所采用的面漆应无毒，对水质无污染，并符合国家生活饮用水、输配水设备及防护材料的安全性评价标准。承包商对防腐涂料的质量、防腐施工的质量承担全部责任。</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涂装施工要求</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液压缸经喷丸或抛丸表面除锈处理，外露机架经喷砂除锈处理后涂装。</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涂装涂料的品种、层数、涂膜厚度按表下表执行，干膜总厚度≥280μm，干膜总厚度不含现场面漆。</w:t>
      </w:r>
      <w:r/>
    </w:p>
    <w:p>
      <w:pPr>
        <w:pStyle w:val="1221"/>
        <w:rPr>
          <w:rFonts w:ascii="宋体" w:hAnsi="宋体"/>
          <w:color w:val="auto"/>
          <w:szCs w:val="24"/>
          <w:highlight w:val="none"/>
        </w:rPr>
      </w:pPr>
      <w:r>
        <w:rPr>
          <w:rFonts w:ascii="宋体" w:hAnsi="宋体"/>
          <w:color w:val="auto"/>
          <w:szCs w:val="24"/>
          <w:highlight w:val="none"/>
        </w:rPr>
      </w:r>
      <w:r/>
    </w:p>
    <w:p>
      <w:pPr>
        <w:pStyle w:val="1221"/>
        <w:rPr>
          <w:rFonts w:ascii="宋体" w:hAnsi="宋体"/>
          <w:color w:val="auto"/>
          <w:szCs w:val="24"/>
          <w:highlight w:val="none"/>
        </w:rPr>
      </w:pPr>
      <w:r>
        <w:rPr>
          <w:rFonts w:ascii="宋体" w:hAnsi="宋体"/>
          <w:color w:val="auto"/>
          <w:szCs w:val="24"/>
          <w:highlight w:val="none"/>
        </w:rPr>
      </w:r>
      <w:r/>
    </w:p>
    <w:p>
      <w:pPr>
        <w:pStyle w:val="1223"/>
        <w:ind w:left="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液压缸涂装涂料分层性能参数</w:t>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85"/>
        <w:gridCol w:w="2285"/>
        <w:gridCol w:w="2285"/>
        <w:gridCol w:w="2286"/>
      </w:tblGrid>
      <w:tr>
        <w:trPr>
          <w:jc w:val="center"/>
          <w:trHeight w:val="454"/>
        </w:trPr>
        <w:tc>
          <w:tcPr>
            <w:tcW w:w="2285" w:type="dxa"/>
            <w:vAlign w:val="center"/>
            <w:textDirection w:val="lrTb"/>
            <w:noWrap/>
          </w:tcPr>
          <w:p>
            <w:pPr>
              <w:pStyle w:val="1224"/>
              <w:spacing w:line="24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涂层系统</w:t>
            </w:r>
            <w:r/>
          </w:p>
        </w:tc>
        <w:tc>
          <w:tcPr>
            <w:tcW w:w="2285" w:type="dxa"/>
            <w:vAlign w:val="center"/>
            <w:textDirection w:val="lrTb"/>
            <w:noWrap/>
          </w:tcPr>
          <w:p>
            <w:pPr>
              <w:pStyle w:val="1224"/>
              <w:spacing w:line="24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涂料名称</w:t>
            </w:r>
            <w:r/>
          </w:p>
        </w:tc>
        <w:tc>
          <w:tcPr>
            <w:tcW w:w="2285" w:type="dxa"/>
            <w:vAlign w:val="center"/>
            <w:textDirection w:val="lrTb"/>
            <w:noWrap/>
          </w:tcPr>
          <w:p>
            <w:pPr>
              <w:pStyle w:val="1224"/>
              <w:spacing w:line="24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道数</w:t>
            </w:r>
            <w:r/>
          </w:p>
        </w:tc>
        <w:tc>
          <w:tcPr>
            <w:tcW w:w="2286" w:type="dxa"/>
            <w:vAlign w:val="center"/>
            <w:textDirection w:val="lrTb"/>
            <w:noWrap/>
          </w:tcPr>
          <w:p>
            <w:pPr>
              <w:pStyle w:val="1224"/>
              <w:spacing w:line="24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干膜厚度（（m）</w:t>
            </w:r>
            <w:r/>
          </w:p>
        </w:tc>
      </w:tr>
      <w:tr>
        <w:trPr>
          <w:jc w:val="center"/>
          <w:trHeight w:val="454"/>
        </w:trPr>
        <w:tc>
          <w:tcPr>
            <w:tcW w:w="2285" w:type="dxa"/>
            <w:vAlign w:val="center"/>
            <w:textDirection w:val="lrTb"/>
            <w:noWrap/>
          </w:tcPr>
          <w:p>
            <w:pPr>
              <w:pStyle w:val="1224"/>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底漆</w:t>
            </w:r>
            <w:r/>
          </w:p>
        </w:tc>
        <w:tc>
          <w:tcPr>
            <w:tcW w:w="2285" w:type="dxa"/>
            <w:vAlign w:val="center"/>
            <w:textDirection w:val="lrTb"/>
            <w:noWrap/>
          </w:tcPr>
          <w:p>
            <w:pPr>
              <w:pStyle w:val="1224"/>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石墨烯锌粉底漆</w:t>
            </w:r>
            <w:r/>
          </w:p>
        </w:tc>
        <w:tc>
          <w:tcPr>
            <w:tcW w:w="2285" w:type="dxa"/>
            <w:vAlign w:val="center"/>
            <w:textDirection w:val="lrTb"/>
            <w:noWrap/>
          </w:tcPr>
          <w:p>
            <w:pPr>
              <w:pStyle w:val="1224"/>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2</w:t>
            </w:r>
            <w:r/>
          </w:p>
        </w:tc>
        <w:tc>
          <w:tcPr>
            <w:tcW w:w="2286" w:type="dxa"/>
            <w:vAlign w:val="center"/>
            <w:textDirection w:val="lrTb"/>
            <w:noWrap/>
          </w:tcPr>
          <w:p>
            <w:pPr>
              <w:pStyle w:val="1224"/>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80</w:t>
            </w:r>
            <w:r/>
          </w:p>
        </w:tc>
      </w:tr>
      <w:tr>
        <w:trPr>
          <w:jc w:val="center"/>
          <w:trHeight w:val="454"/>
        </w:trPr>
        <w:tc>
          <w:tcPr>
            <w:tcW w:w="2285" w:type="dxa"/>
            <w:vAlign w:val="center"/>
            <w:textDirection w:val="lrTb"/>
            <w:noWrap/>
          </w:tcPr>
          <w:p>
            <w:pPr>
              <w:pStyle w:val="1224"/>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中间漆</w:t>
            </w:r>
            <w:r/>
          </w:p>
        </w:tc>
        <w:tc>
          <w:tcPr>
            <w:tcW w:w="2285" w:type="dxa"/>
            <w:vAlign w:val="center"/>
            <w:textDirection w:val="lrTb"/>
            <w:noWrap/>
          </w:tcPr>
          <w:p>
            <w:pPr>
              <w:pStyle w:val="1224"/>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环氧云铁防锈漆</w:t>
            </w:r>
            <w:r/>
          </w:p>
        </w:tc>
        <w:tc>
          <w:tcPr>
            <w:tcW w:w="2285" w:type="dxa"/>
            <w:vAlign w:val="center"/>
            <w:textDirection w:val="lrTb"/>
            <w:noWrap/>
          </w:tcPr>
          <w:p>
            <w:pPr>
              <w:pStyle w:val="1224"/>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2</w:t>
            </w:r>
            <w:r/>
          </w:p>
        </w:tc>
        <w:tc>
          <w:tcPr>
            <w:tcW w:w="2286" w:type="dxa"/>
            <w:vAlign w:val="center"/>
            <w:textDirection w:val="lrTb"/>
            <w:noWrap/>
          </w:tcPr>
          <w:p>
            <w:pPr>
              <w:pStyle w:val="1224"/>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100</w:t>
            </w:r>
            <w:r/>
          </w:p>
        </w:tc>
      </w:tr>
      <w:tr>
        <w:trPr>
          <w:jc w:val="center"/>
          <w:trHeight w:val="454"/>
        </w:trPr>
        <w:tc>
          <w:tcPr>
            <w:tcW w:w="2285" w:type="dxa"/>
            <w:vAlign w:val="center"/>
            <w:textDirection w:val="lrTb"/>
            <w:noWrap/>
          </w:tcPr>
          <w:p>
            <w:pPr>
              <w:pStyle w:val="1224"/>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面漆</w:t>
            </w:r>
            <w:r/>
          </w:p>
        </w:tc>
        <w:tc>
          <w:tcPr>
            <w:tcW w:w="2285" w:type="dxa"/>
            <w:vAlign w:val="center"/>
            <w:textDirection w:val="lrTb"/>
            <w:noWrap/>
          </w:tcPr>
          <w:p>
            <w:pPr>
              <w:pStyle w:val="1224"/>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聚氨酯面漆</w:t>
            </w:r>
            <w:r/>
          </w:p>
        </w:tc>
        <w:tc>
          <w:tcPr>
            <w:tcW w:w="2285" w:type="dxa"/>
            <w:vAlign w:val="center"/>
            <w:textDirection w:val="lrTb"/>
            <w:noWrap/>
          </w:tcPr>
          <w:p>
            <w:pPr>
              <w:pStyle w:val="1224"/>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2</w:t>
            </w:r>
            <w:r/>
          </w:p>
        </w:tc>
        <w:tc>
          <w:tcPr>
            <w:tcW w:w="2286" w:type="dxa"/>
            <w:vAlign w:val="center"/>
            <w:textDirection w:val="lrTb"/>
            <w:noWrap/>
          </w:tcPr>
          <w:p>
            <w:pPr>
              <w:pStyle w:val="1224"/>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100</w:t>
            </w:r>
            <w:r/>
          </w:p>
        </w:tc>
      </w:tr>
    </w:tbl>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涂装技术要求应符合SL /T105的规定。</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涂漆颜色：液压启闭机的液压系统、油箱及机架为艳绿色（G03），液压缸为深黄色（Y08），高压油管出口连接处涂大红色（R03）色环，低压油管出口连接处涂深黄色（Y08）色环，最终颜色在设联会中确认，规范要求的颜色及制造厂外构件的颜色除外。</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应做好所有外露加工面的涂油防腐工作，所有液压元件外露油口用耐油塞子封口。</w:t>
      </w:r>
      <w:bookmarkEnd w:id="182"/>
      <w:r/>
      <w:r/>
    </w:p>
    <w:p>
      <w:pPr>
        <w:pStyle w:val="1220"/>
        <w:spacing w:line="360" w:lineRule="auto"/>
        <w:rPr>
          <w:rFonts w:ascii="宋体" w:hAnsi="宋体" w:eastAsia="宋体" w:cs="宋体"/>
          <w:color w:val="auto"/>
          <w:sz w:val="24"/>
          <w:szCs w:val="24"/>
          <w:highlight w:val="none"/>
        </w:rPr>
      </w:pPr>
      <w:r/>
      <w:bookmarkStart w:id="183" w:name="_Toc19634"/>
      <w:r/>
      <w:bookmarkStart w:id="184" w:name="_Toc31613"/>
      <w:r/>
      <w:bookmarkStart w:id="185" w:name="_Toc3707"/>
      <w:r/>
      <w:bookmarkStart w:id="186" w:name="_Toc2941"/>
      <w:r/>
      <w:bookmarkStart w:id="187" w:name="_Toc8475"/>
      <w:r/>
      <w:bookmarkStart w:id="188" w:name="_Toc20367"/>
      <w:r>
        <w:rPr>
          <w:rFonts w:hint="eastAsia" w:ascii="宋体" w:hAnsi="宋体" w:eastAsia="宋体" w:cs="宋体"/>
          <w:color w:val="auto"/>
          <w:sz w:val="24"/>
          <w:szCs w:val="24"/>
          <w:highlight w:val="none"/>
        </w:rPr>
        <w:t xml:space="preserve">成套性</w:t>
      </w:r>
      <w:bookmarkEnd w:id="183"/>
      <w:r/>
      <w:bookmarkEnd w:id="184"/>
      <w:r/>
      <w:bookmarkEnd w:id="185"/>
      <w:r/>
      <w:bookmarkEnd w:id="186"/>
      <w:r/>
      <w:bookmarkEnd w:id="187"/>
      <w:r/>
      <w:bookmarkEnd w:id="188"/>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应符合NB/T 35036和GB 3766的规定。</w:t>
      </w:r>
      <w:r/>
    </w:p>
    <w:p>
      <w:pPr>
        <w:pStyle w:val="1220"/>
        <w:spacing w:line="360" w:lineRule="auto"/>
        <w:rPr>
          <w:rFonts w:ascii="宋体" w:hAnsi="宋体" w:eastAsia="宋体" w:cs="宋体"/>
          <w:color w:val="auto"/>
          <w:sz w:val="24"/>
          <w:szCs w:val="24"/>
          <w:highlight w:val="none"/>
        </w:rPr>
      </w:pPr>
      <w:r/>
      <w:bookmarkStart w:id="189" w:name="_Toc31106"/>
      <w:r/>
      <w:bookmarkStart w:id="190" w:name="_Toc5285"/>
      <w:r/>
      <w:bookmarkStart w:id="191" w:name="_Toc27453"/>
      <w:r/>
      <w:bookmarkStart w:id="192" w:name="_Toc26858"/>
      <w:r/>
      <w:bookmarkStart w:id="193" w:name="_Toc18128"/>
      <w:r/>
      <w:bookmarkStart w:id="194" w:name="_Toc20805"/>
      <w:r>
        <w:rPr>
          <w:rFonts w:hint="eastAsia" w:ascii="宋体" w:hAnsi="宋体" w:eastAsia="宋体" w:cs="宋体"/>
          <w:color w:val="auto"/>
          <w:sz w:val="24"/>
          <w:szCs w:val="24"/>
          <w:highlight w:val="none"/>
        </w:rPr>
        <w:t xml:space="preserve">无损检测</w:t>
      </w:r>
      <w:bookmarkEnd w:id="189"/>
      <w:r/>
      <w:bookmarkEnd w:id="190"/>
      <w:r/>
      <w:bookmarkEnd w:id="191"/>
      <w:r/>
      <w:bookmarkEnd w:id="192"/>
      <w:r/>
      <w:bookmarkEnd w:id="193"/>
      <w:r/>
      <w:bookmarkEnd w:id="194"/>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无损检测应按国家标准有关规定进行。</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无损检测方法主要采用染色法、超声波探伤、TFOD。射线探伤用于高应力部件或某些关键部件的探伤。如其它方法检查、解释不清或有疑问时，也可采用射线探伤法。</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承包商应将无损检测的详细工艺提交监理工程师审查，关键部件的检测必须有监理工程师在场认可。</w:t>
      </w:r>
      <w:r/>
    </w:p>
    <w:p>
      <w:pPr>
        <w:pStyle w:val="1220"/>
        <w:spacing w:line="360" w:lineRule="auto"/>
        <w:rPr>
          <w:rFonts w:ascii="宋体" w:hAnsi="宋体" w:eastAsia="宋体" w:cs="宋体"/>
          <w:color w:val="auto"/>
          <w:sz w:val="24"/>
          <w:szCs w:val="24"/>
          <w:highlight w:val="none"/>
        </w:rPr>
      </w:pPr>
      <w:r/>
      <w:bookmarkStart w:id="195" w:name="_Toc25745"/>
      <w:r/>
      <w:bookmarkStart w:id="196" w:name="_Toc24526"/>
      <w:r/>
      <w:bookmarkStart w:id="197" w:name="_Toc30091"/>
      <w:r/>
      <w:bookmarkStart w:id="198" w:name="_Toc26513"/>
      <w:r/>
      <w:bookmarkStart w:id="199" w:name="_Toc10277"/>
      <w:r/>
      <w:bookmarkStart w:id="200" w:name="_Toc22884"/>
      <w:r>
        <w:rPr>
          <w:rFonts w:hint="eastAsia" w:ascii="宋体" w:hAnsi="宋体" w:eastAsia="宋体" w:cs="宋体"/>
          <w:color w:val="auto"/>
          <w:sz w:val="24"/>
          <w:szCs w:val="24"/>
          <w:highlight w:val="none"/>
        </w:rPr>
        <w:t xml:space="preserve">润滑油及润滑油脂</w:t>
      </w:r>
      <w:bookmarkEnd w:id="195"/>
      <w:r/>
      <w:bookmarkEnd w:id="196"/>
      <w:r/>
      <w:bookmarkEnd w:id="197"/>
      <w:r/>
      <w:bookmarkEnd w:id="198"/>
      <w:r/>
      <w:bookmarkEnd w:id="199"/>
      <w:r/>
      <w:bookmarkEnd w:id="200"/>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所供设备采用的油应符合GB/T 11120《抗磨液压油》、GB/T 7324《通用锂基润滑脂》的规定。</w:t>
      </w:r>
      <w:bookmarkEnd w:id="171"/>
      <w:r/>
      <w:bookmarkEnd w:id="172"/>
      <w:r/>
      <w:bookmarkEnd w:id="173"/>
      <w:r/>
      <w:bookmarkEnd w:id="174"/>
      <w:r/>
      <w:bookmarkEnd w:id="175"/>
      <w:r/>
      <w:bookmarkEnd w:id="176"/>
      <w:r/>
      <w:bookmarkEnd w:id="177"/>
      <w:r/>
      <w:bookmarkEnd w:id="178"/>
      <w:r/>
      <w:bookmarkEnd w:id="179"/>
      <w:r/>
      <w:bookmarkEnd w:id="180"/>
      <w:r/>
      <w:bookmarkEnd w:id="181"/>
      <w:r/>
      <w:r/>
    </w:p>
    <w:p>
      <w:pPr>
        <w:pStyle w:val="1220"/>
        <w:spacing w:line="360" w:lineRule="auto"/>
        <w:rPr>
          <w:rFonts w:ascii="宋体" w:hAnsi="宋体" w:eastAsia="宋体" w:cs="宋体"/>
          <w:color w:val="auto"/>
          <w:sz w:val="24"/>
          <w:szCs w:val="24"/>
          <w:highlight w:val="none"/>
        </w:rPr>
      </w:pPr>
      <w:r/>
      <w:bookmarkStart w:id="201" w:name="_Toc3759"/>
      <w:r/>
      <w:bookmarkStart w:id="202" w:name="_Toc12414"/>
      <w:r/>
      <w:bookmarkStart w:id="203" w:name="_Toc13770"/>
      <w:r/>
      <w:bookmarkStart w:id="204" w:name="_Toc11780"/>
      <w:r/>
      <w:bookmarkStart w:id="205" w:name="_Toc29486"/>
      <w:r/>
      <w:bookmarkStart w:id="206" w:name="_Toc13456"/>
      <w:r>
        <w:rPr>
          <w:rFonts w:hint="eastAsia" w:ascii="宋体" w:hAnsi="宋体" w:eastAsia="宋体" w:cs="宋体"/>
          <w:color w:val="auto"/>
          <w:sz w:val="24"/>
          <w:szCs w:val="24"/>
          <w:highlight w:val="none"/>
        </w:rPr>
        <w:t xml:space="preserve">验收与试验</w:t>
      </w:r>
      <w:bookmarkEnd w:id="201"/>
      <w:r/>
      <w:bookmarkEnd w:id="202"/>
      <w:r/>
      <w:bookmarkEnd w:id="203"/>
      <w:r/>
      <w:bookmarkEnd w:id="204"/>
      <w:r/>
      <w:bookmarkEnd w:id="205"/>
      <w:r/>
      <w:bookmarkEnd w:id="206"/>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验收资料准备</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编制出厂试验与验收大纲</w:t>
      </w:r>
      <w:r/>
    </w:p>
    <w:p>
      <w:pPr>
        <w:pStyle w:val="1221"/>
        <w:numPr>
          <w:ilvl w:val="2"/>
          <w:numId w:val="36"/>
        </w:numPr>
        <w:spacing w:line="360" w:lineRule="auto"/>
        <w:rPr>
          <w:rFonts w:ascii="宋体" w:hAnsi="宋体"/>
          <w:color w:val="auto"/>
          <w:szCs w:val="24"/>
          <w:highlight w:val="none"/>
        </w:rPr>
      </w:pPr>
      <w:r>
        <w:rPr>
          <w:rFonts w:hint="eastAsia" w:ascii="宋体" w:hAnsi="宋体"/>
          <w:color w:val="auto"/>
          <w:szCs w:val="24"/>
          <w:highlight w:val="none"/>
        </w:rPr>
        <w:t xml:space="preserve">出厂试验与验收大纲的内容应包括：设备概况、设备的主要技术参数、供货范围、检验的依据、检验项目及允许值和实测值、检验方法及工具仪器、竣工图样、完整而且有效的质量证明文件及安装使用维护说明书和必要的列表和说明等部分。</w:t>
      </w:r>
      <w:r/>
    </w:p>
    <w:p>
      <w:pPr>
        <w:pStyle w:val="1221"/>
        <w:numPr>
          <w:ilvl w:val="2"/>
          <w:numId w:val="36"/>
        </w:numPr>
        <w:spacing w:line="360" w:lineRule="auto"/>
        <w:rPr>
          <w:rFonts w:ascii="宋体" w:hAnsi="宋体"/>
          <w:color w:val="auto"/>
          <w:szCs w:val="24"/>
          <w:highlight w:val="none"/>
        </w:rPr>
      </w:pPr>
      <w:r>
        <w:rPr>
          <w:rFonts w:hint="eastAsia" w:ascii="宋体" w:hAnsi="宋体"/>
          <w:color w:val="auto"/>
          <w:szCs w:val="24"/>
          <w:highlight w:val="none"/>
        </w:rPr>
        <w:t xml:space="preserve">承包商在出厂前14天将出厂试验与验收大纲交监理人审签后报买方批准。</w:t>
      </w:r>
      <w:r/>
    </w:p>
    <w:p>
      <w:pPr>
        <w:pStyle w:val="1221"/>
        <w:numPr>
          <w:ilvl w:val="2"/>
          <w:numId w:val="36"/>
        </w:numPr>
        <w:spacing w:line="360" w:lineRule="auto"/>
        <w:rPr>
          <w:rFonts w:ascii="宋体" w:hAnsi="宋体"/>
          <w:color w:val="auto"/>
          <w:szCs w:val="24"/>
          <w:highlight w:val="none"/>
        </w:rPr>
      </w:pPr>
      <w:r>
        <w:rPr>
          <w:rFonts w:hint="eastAsia" w:ascii="宋体" w:hAnsi="宋体"/>
          <w:color w:val="auto"/>
          <w:szCs w:val="24"/>
          <w:highlight w:val="none"/>
        </w:rPr>
        <w:t xml:space="preserve">承包商提供启闭机液压缸组拼过程及自检过程的影像资料。</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 出厂竣工资料</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出厂竣工资料按要求整理成册。</w:t>
      </w:r>
      <w:r/>
    </w:p>
    <w:p>
      <w:pPr>
        <w:pStyle w:val="1221"/>
        <w:numPr>
          <w:ilvl w:val="2"/>
          <w:numId w:val="37"/>
        </w:numPr>
        <w:spacing w:line="360" w:lineRule="auto"/>
        <w:rPr>
          <w:rFonts w:ascii="宋体" w:hAnsi="宋体"/>
          <w:color w:val="auto"/>
          <w:szCs w:val="24"/>
          <w:highlight w:val="none"/>
        </w:rPr>
      </w:pPr>
      <w:r>
        <w:rPr>
          <w:rFonts w:hint="eastAsia" w:ascii="宋体" w:hAnsi="宋体"/>
          <w:color w:val="auto"/>
          <w:szCs w:val="24"/>
          <w:highlight w:val="none"/>
        </w:rPr>
        <w:t xml:space="preserve">设备质量证明文件及资料</w:t>
      </w:r>
      <w:r/>
    </w:p>
    <w:p>
      <w:pPr>
        <w:pStyle w:val="1221"/>
        <w:numPr>
          <w:ilvl w:val="3"/>
          <w:numId w:val="38"/>
        </w:numPr>
        <w:spacing w:line="360" w:lineRule="auto"/>
        <w:rPr>
          <w:rFonts w:ascii="宋体" w:hAnsi="宋体"/>
          <w:color w:val="auto"/>
          <w:szCs w:val="24"/>
          <w:highlight w:val="none"/>
        </w:rPr>
      </w:pPr>
      <w:r>
        <w:rPr>
          <w:rFonts w:hint="eastAsia" w:ascii="宋体" w:hAnsi="宋体"/>
          <w:color w:val="auto"/>
          <w:szCs w:val="24"/>
          <w:highlight w:val="none"/>
        </w:rPr>
        <w:t xml:space="preserve">设备质量证明文件及资料一式八份，按A4幅面分别袋装或盒装。设备质量证明文件及资料包括如下内容：</w:t>
      </w:r>
      <w:r/>
    </w:p>
    <w:p>
      <w:pPr>
        <w:pStyle w:val="1221"/>
        <w:numPr>
          <w:ilvl w:val="3"/>
          <w:numId w:val="38"/>
        </w:numPr>
        <w:spacing w:line="360" w:lineRule="auto"/>
        <w:rPr>
          <w:rFonts w:ascii="宋体" w:hAnsi="宋体"/>
          <w:color w:val="auto"/>
          <w:szCs w:val="24"/>
          <w:highlight w:val="none"/>
        </w:rPr>
      </w:pPr>
      <w:r>
        <w:rPr>
          <w:rFonts w:hint="eastAsia" w:ascii="宋体" w:hAnsi="宋体"/>
          <w:color w:val="auto"/>
          <w:szCs w:val="24"/>
          <w:highlight w:val="none"/>
        </w:rPr>
        <w:t xml:space="preserve">完整的设备（包括结构件和机构）自检记录；</w:t>
      </w:r>
      <w:r/>
    </w:p>
    <w:p>
      <w:pPr>
        <w:pStyle w:val="1221"/>
        <w:numPr>
          <w:ilvl w:val="3"/>
          <w:numId w:val="38"/>
        </w:numPr>
        <w:spacing w:line="360" w:lineRule="auto"/>
        <w:rPr>
          <w:rFonts w:ascii="宋体" w:hAnsi="宋体"/>
          <w:color w:val="auto"/>
          <w:szCs w:val="24"/>
          <w:highlight w:val="none"/>
        </w:rPr>
      </w:pPr>
      <w:r>
        <w:rPr>
          <w:rFonts w:hint="eastAsia" w:ascii="宋体" w:hAnsi="宋体"/>
          <w:color w:val="auto"/>
          <w:szCs w:val="24"/>
          <w:highlight w:val="none"/>
        </w:rPr>
        <w:t xml:space="preserve">主要外购件的出厂合格证；</w:t>
      </w:r>
      <w:r/>
    </w:p>
    <w:p>
      <w:pPr>
        <w:pStyle w:val="1221"/>
        <w:numPr>
          <w:ilvl w:val="3"/>
          <w:numId w:val="38"/>
        </w:numPr>
        <w:spacing w:line="360" w:lineRule="auto"/>
        <w:rPr>
          <w:rFonts w:ascii="宋体" w:hAnsi="宋体"/>
          <w:color w:val="auto"/>
          <w:szCs w:val="24"/>
          <w:highlight w:val="none"/>
        </w:rPr>
      </w:pPr>
      <w:r>
        <w:rPr>
          <w:rFonts w:hint="eastAsia" w:ascii="宋体" w:hAnsi="宋体"/>
          <w:color w:val="auto"/>
          <w:szCs w:val="24"/>
          <w:highlight w:val="none"/>
        </w:rPr>
        <w:t xml:space="preserve">主要外协件的质量检测记录；</w:t>
      </w:r>
      <w:r/>
    </w:p>
    <w:p>
      <w:pPr>
        <w:pStyle w:val="1221"/>
        <w:numPr>
          <w:ilvl w:val="3"/>
          <w:numId w:val="38"/>
        </w:numPr>
        <w:spacing w:line="360" w:lineRule="auto"/>
        <w:rPr>
          <w:rFonts w:ascii="宋体" w:hAnsi="宋体"/>
          <w:color w:val="auto"/>
          <w:szCs w:val="24"/>
          <w:highlight w:val="none"/>
        </w:rPr>
      </w:pPr>
      <w:r>
        <w:rPr>
          <w:rFonts w:hint="eastAsia" w:ascii="宋体" w:hAnsi="宋体"/>
          <w:color w:val="auto"/>
          <w:szCs w:val="24"/>
          <w:highlight w:val="none"/>
        </w:rPr>
        <w:t xml:space="preserve">主要构件及关键零部件的材质检验证明；</w:t>
      </w:r>
      <w:r/>
    </w:p>
    <w:p>
      <w:pPr>
        <w:pStyle w:val="1221"/>
        <w:numPr>
          <w:ilvl w:val="3"/>
          <w:numId w:val="38"/>
        </w:numPr>
        <w:spacing w:line="360" w:lineRule="auto"/>
        <w:rPr>
          <w:rFonts w:ascii="宋体" w:hAnsi="宋体"/>
          <w:color w:val="auto"/>
          <w:szCs w:val="24"/>
          <w:highlight w:val="none"/>
        </w:rPr>
      </w:pPr>
      <w:r>
        <w:rPr>
          <w:rFonts w:hint="eastAsia" w:ascii="宋体" w:hAnsi="宋体"/>
          <w:color w:val="auto"/>
          <w:szCs w:val="24"/>
          <w:highlight w:val="none"/>
        </w:rPr>
        <w:t xml:space="preserve">设备出厂前的试验或检测报告；</w:t>
      </w:r>
      <w:r/>
    </w:p>
    <w:p>
      <w:pPr>
        <w:pStyle w:val="1221"/>
        <w:numPr>
          <w:ilvl w:val="3"/>
          <w:numId w:val="38"/>
        </w:numPr>
        <w:spacing w:line="360" w:lineRule="auto"/>
        <w:rPr>
          <w:rFonts w:ascii="宋体" w:hAnsi="宋体"/>
          <w:color w:val="auto"/>
          <w:szCs w:val="24"/>
          <w:highlight w:val="none"/>
        </w:rPr>
      </w:pPr>
      <w:r>
        <w:rPr>
          <w:rFonts w:hint="eastAsia" w:ascii="宋体" w:hAnsi="宋体"/>
          <w:color w:val="auto"/>
          <w:szCs w:val="24"/>
          <w:highlight w:val="none"/>
        </w:rPr>
        <w:t xml:space="preserve">重要焊缝的焊接检验记录；</w:t>
      </w:r>
      <w:r/>
    </w:p>
    <w:p>
      <w:pPr>
        <w:pStyle w:val="1221"/>
        <w:numPr>
          <w:ilvl w:val="3"/>
          <w:numId w:val="38"/>
        </w:numPr>
        <w:spacing w:line="360" w:lineRule="auto"/>
        <w:rPr>
          <w:rFonts w:ascii="宋体" w:hAnsi="宋体"/>
          <w:color w:val="auto"/>
          <w:szCs w:val="24"/>
          <w:highlight w:val="none"/>
        </w:rPr>
      </w:pPr>
      <w:r>
        <w:rPr>
          <w:rFonts w:hint="eastAsia" w:ascii="宋体" w:hAnsi="宋体"/>
          <w:color w:val="auto"/>
          <w:szCs w:val="24"/>
          <w:highlight w:val="none"/>
        </w:rPr>
        <w:t xml:space="preserve">设备的外观及涂装质量检测记录；</w:t>
      </w:r>
      <w:r/>
    </w:p>
    <w:p>
      <w:pPr>
        <w:pStyle w:val="1221"/>
        <w:numPr>
          <w:ilvl w:val="3"/>
          <w:numId w:val="38"/>
        </w:numPr>
        <w:spacing w:line="360" w:lineRule="auto"/>
        <w:rPr>
          <w:rFonts w:ascii="宋体" w:hAnsi="宋体"/>
          <w:color w:val="auto"/>
          <w:szCs w:val="24"/>
          <w:highlight w:val="none"/>
        </w:rPr>
      </w:pPr>
      <w:r>
        <w:rPr>
          <w:rFonts w:hint="eastAsia" w:ascii="宋体" w:hAnsi="宋体"/>
          <w:color w:val="auto"/>
          <w:szCs w:val="24"/>
          <w:highlight w:val="none"/>
        </w:rPr>
        <w:t xml:space="preserve">重大缺陷处理记录和有关的会议纪录；</w:t>
      </w:r>
      <w:r/>
    </w:p>
    <w:p>
      <w:pPr>
        <w:pStyle w:val="1221"/>
        <w:numPr>
          <w:ilvl w:val="3"/>
          <w:numId w:val="38"/>
        </w:numPr>
        <w:spacing w:line="360" w:lineRule="auto"/>
        <w:rPr>
          <w:rFonts w:ascii="宋体" w:hAnsi="宋体"/>
          <w:color w:val="auto"/>
          <w:szCs w:val="24"/>
          <w:highlight w:val="none"/>
        </w:rPr>
      </w:pPr>
      <w:r>
        <w:rPr>
          <w:rFonts w:hint="eastAsia" w:ascii="宋体" w:hAnsi="宋体"/>
          <w:color w:val="auto"/>
          <w:szCs w:val="24"/>
          <w:highlight w:val="none"/>
        </w:rPr>
        <w:t xml:space="preserve">机电液系统的调试报告；</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⑪设备的预拼装检验记录；</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⑫产品合格证及外购件合格证；</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⑬重大质量缺陷处理纪录，有关会议纪要和设计通知单；</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⑭易损件清单（含规格、数量、用途、使用部位、生产制造商、通讯地址）；</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⑮备品备件清单；</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⑯试验和调试大纲。</w:t>
      </w:r>
      <w:r/>
    </w:p>
    <w:p>
      <w:pPr>
        <w:pStyle w:val="1221"/>
        <w:numPr>
          <w:ilvl w:val="2"/>
          <w:numId w:val="37"/>
        </w:numPr>
        <w:spacing w:line="360" w:lineRule="auto"/>
        <w:rPr>
          <w:rFonts w:ascii="宋体" w:hAnsi="宋体"/>
          <w:color w:val="auto"/>
          <w:szCs w:val="24"/>
          <w:highlight w:val="none"/>
        </w:rPr>
      </w:pPr>
      <w:r>
        <w:rPr>
          <w:rFonts w:hint="eastAsia" w:ascii="宋体" w:hAnsi="宋体"/>
          <w:color w:val="auto"/>
          <w:szCs w:val="24"/>
          <w:highlight w:val="none"/>
        </w:rPr>
        <w:t xml:space="preserve">竣工图</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竣工图的规程和数量必须满足本招标及合同文件的要求。竣工图包括的内容如下：</w:t>
      </w:r>
      <w:r/>
    </w:p>
    <w:p>
      <w:pPr>
        <w:pStyle w:val="1221"/>
        <w:numPr>
          <w:ilvl w:val="3"/>
          <w:numId w:val="39"/>
        </w:numPr>
        <w:spacing w:line="360" w:lineRule="auto"/>
        <w:rPr>
          <w:rFonts w:ascii="宋体" w:hAnsi="宋体"/>
          <w:color w:val="auto"/>
          <w:szCs w:val="24"/>
          <w:highlight w:val="none"/>
        </w:rPr>
      </w:pPr>
      <w:r>
        <w:rPr>
          <w:rFonts w:hint="eastAsia" w:ascii="宋体" w:hAnsi="宋体"/>
          <w:color w:val="auto"/>
          <w:szCs w:val="24"/>
          <w:highlight w:val="none"/>
        </w:rPr>
        <w:t xml:space="preserve">设备总布置图；</w:t>
      </w:r>
      <w:r/>
    </w:p>
    <w:p>
      <w:pPr>
        <w:pStyle w:val="1221"/>
        <w:numPr>
          <w:ilvl w:val="3"/>
          <w:numId w:val="39"/>
        </w:numPr>
        <w:spacing w:line="360" w:lineRule="auto"/>
        <w:rPr>
          <w:rFonts w:ascii="宋体" w:hAnsi="宋体"/>
          <w:color w:val="auto"/>
          <w:szCs w:val="24"/>
          <w:highlight w:val="none"/>
        </w:rPr>
      </w:pPr>
      <w:r>
        <w:rPr>
          <w:rFonts w:hint="eastAsia" w:ascii="宋体" w:hAnsi="宋体"/>
          <w:color w:val="auto"/>
          <w:szCs w:val="24"/>
          <w:highlight w:val="none"/>
        </w:rPr>
        <w:t xml:space="preserve">液压泵站总布置图；</w:t>
      </w:r>
      <w:r/>
    </w:p>
    <w:p>
      <w:pPr>
        <w:pStyle w:val="1221"/>
        <w:numPr>
          <w:ilvl w:val="3"/>
          <w:numId w:val="39"/>
        </w:numPr>
        <w:spacing w:line="360" w:lineRule="auto"/>
        <w:rPr>
          <w:rFonts w:ascii="宋体" w:hAnsi="宋体"/>
          <w:color w:val="auto"/>
          <w:szCs w:val="24"/>
          <w:highlight w:val="none"/>
        </w:rPr>
      </w:pPr>
      <w:r>
        <w:rPr>
          <w:rFonts w:hint="eastAsia" w:ascii="宋体" w:hAnsi="宋体"/>
          <w:color w:val="auto"/>
          <w:szCs w:val="24"/>
          <w:highlight w:val="none"/>
        </w:rPr>
        <w:t xml:space="preserve">设备的所有部件图、装配图和总成图；</w:t>
      </w:r>
      <w:r/>
    </w:p>
    <w:p>
      <w:pPr>
        <w:pStyle w:val="1221"/>
        <w:numPr>
          <w:ilvl w:val="3"/>
          <w:numId w:val="39"/>
        </w:numPr>
        <w:spacing w:line="360" w:lineRule="auto"/>
        <w:rPr>
          <w:rFonts w:ascii="宋体" w:hAnsi="宋体"/>
          <w:color w:val="auto"/>
          <w:szCs w:val="24"/>
          <w:highlight w:val="none"/>
        </w:rPr>
      </w:pPr>
      <w:r>
        <w:rPr>
          <w:rFonts w:hint="eastAsia" w:ascii="宋体" w:hAnsi="宋体"/>
          <w:color w:val="auto"/>
          <w:szCs w:val="24"/>
          <w:highlight w:val="none"/>
        </w:rPr>
        <w:t xml:space="preserve">液压管路布置图；</w:t>
      </w:r>
      <w:r/>
    </w:p>
    <w:p>
      <w:pPr>
        <w:pStyle w:val="1221"/>
        <w:numPr>
          <w:ilvl w:val="3"/>
          <w:numId w:val="39"/>
        </w:numPr>
        <w:spacing w:line="360" w:lineRule="auto"/>
        <w:rPr>
          <w:rFonts w:ascii="宋体" w:hAnsi="宋体"/>
          <w:color w:val="auto"/>
          <w:szCs w:val="24"/>
          <w:highlight w:val="none"/>
        </w:rPr>
      </w:pPr>
      <w:r>
        <w:rPr>
          <w:rFonts w:hint="eastAsia" w:ascii="宋体" w:hAnsi="宋体"/>
          <w:color w:val="auto"/>
          <w:szCs w:val="24"/>
          <w:highlight w:val="none"/>
        </w:rPr>
        <w:t xml:space="preserve">液压系统原理图；</w:t>
      </w:r>
      <w:r/>
    </w:p>
    <w:p>
      <w:pPr>
        <w:pStyle w:val="1221"/>
        <w:numPr>
          <w:ilvl w:val="3"/>
          <w:numId w:val="39"/>
        </w:numPr>
        <w:spacing w:line="360" w:lineRule="auto"/>
        <w:rPr>
          <w:rFonts w:ascii="宋体" w:hAnsi="宋体"/>
          <w:color w:val="auto"/>
          <w:szCs w:val="24"/>
          <w:highlight w:val="none"/>
        </w:rPr>
      </w:pPr>
      <w:r>
        <w:rPr>
          <w:rFonts w:hint="eastAsia" w:ascii="宋体" w:hAnsi="宋体"/>
          <w:color w:val="auto"/>
          <w:szCs w:val="24"/>
          <w:highlight w:val="none"/>
        </w:rPr>
        <w:t xml:space="preserve">设备的吊装、运转、存放示意图；</w:t>
      </w:r>
      <w:r/>
    </w:p>
    <w:p>
      <w:pPr>
        <w:pStyle w:val="1221"/>
        <w:numPr>
          <w:ilvl w:val="3"/>
          <w:numId w:val="39"/>
        </w:numPr>
        <w:spacing w:line="360" w:lineRule="auto"/>
        <w:rPr>
          <w:rFonts w:ascii="宋体" w:hAnsi="宋体"/>
          <w:color w:val="auto"/>
          <w:szCs w:val="24"/>
          <w:highlight w:val="none"/>
        </w:rPr>
      </w:pPr>
      <w:r>
        <w:rPr>
          <w:rFonts w:hint="eastAsia" w:ascii="宋体" w:hAnsi="宋体"/>
          <w:color w:val="auto"/>
          <w:szCs w:val="24"/>
          <w:highlight w:val="none"/>
        </w:rPr>
        <w:t xml:space="preserve">设备的相应埋件图；</w:t>
      </w:r>
      <w:r/>
    </w:p>
    <w:p>
      <w:pPr>
        <w:pStyle w:val="1221"/>
        <w:numPr>
          <w:ilvl w:val="2"/>
          <w:numId w:val="37"/>
        </w:numPr>
        <w:spacing w:line="360" w:lineRule="auto"/>
        <w:rPr>
          <w:rFonts w:ascii="宋体" w:hAnsi="宋体"/>
          <w:color w:val="auto"/>
          <w:szCs w:val="24"/>
          <w:highlight w:val="none"/>
        </w:rPr>
      </w:pPr>
      <w:r>
        <w:rPr>
          <w:rFonts w:hint="eastAsia" w:ascii="宋体" w:hAnsi="宋体"/>
          <w:color w:val="auto"/>
          <w:szCs w:val="24"/>
          <w:highlight w:val="none"/>
        </w:rPr>
        <w:t xml:space="preserve">安装、使用、维护说明书</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安装、使用、维护说明书一式八份，按A4幅面装订。安装、使用、维护说明书要求如下：</w:t>
      </w:r>
      <w:r/>
    </w:p>
    <w:p>
      <w:pPr>
        <w:pStyle w:val="1221"/>
        <w:numPr>
          <w:ilvl w:val="3"/>
          <w:numId w:val="40"/>
        </w:numPr>
        <w:spacing w:line="360" w:lineRule="auto"/>
        <w:rPr>
          <w:rFonts w:ascii="宋体" w:hAnsi="宋体"/>
          <w:color w:val="auto"/>
          <w:szCs w:val="24"/>
          <w:highlight w:val="none"/>
        </w:rPr>
      </w:pPr>
      <w:r>
        <w:rPr>
          <w:rFonts w:hint="eastAsia" w:ascii="宋体" w:hAnsi="宋体"/>
          <w:color w:val="auto"/>
          <w:szCs w:val="24"/>
          <w:highlight w:val="none"/>
        </w:rPr>
        <w:t xml:space="preserve">在安装、使用和维护说明书中，承包商应将其它与自己的设备相关的供应商和分包商的有关说明包括在自己的安装、使用和维护说明书中。</w:t>
      </w:r>
      <w:r/>
    </w:p>
    <w:p>
      <w:pPr>
        <w:pStyle w:val="1221"/>
        <w:numPr>
          <w:ilvl w:val="3"/>
          <w:numId w:val="40"/>
        </w:numPr>
        <w:spacing w:line="360" w:lineRule="auto"/>
        <w:rPr>
          <w:rFonts w:ascii="宋体" w:hAnsi="宋体"/>
          <w:color w:val="auto"/>
          <w:szCs w:val="24"/>
          <w:highlight w:val="none"/>
        </w:rPr>
      </w:pPr>
      <w:r>
        <w:rPr>
          <w:rFonts w:hint="eastAsia" w:ascii="宋体" w:hAnsi="宋体"/>
          <w:color w:val="auto"/>
          <w:szCs w:val="24"/>
          <w:highlight w:val="none"/>
        </w:rPr>
        <w:t xml:space="preserve">在设备出厂前，如果因任何原因对合同设备进行了改进并因此而改变了安装、使用和维护要求，承包商应相应修改其安装、使用和维护说明书。</w:t>
      </w:r>
      <w:r/>
    </w:p>
    <w:p>
      <w:pPr>
        <w:pStyle w:val="1221"/>
        <w:numPr>
          <w:ilvl w:val="3"/>
          <w:numId w:val="40"/>
        </w:numPr>
        <w:spacing w:line="360" w:lineRule="auto"/>
        <w:rPr>
          <w:rFonts w:ascii="宋体" w:hAnsi="宋体"/>
          <w:color w:val="auto"/>
          <w:szCs w:val="24"/>
          <w:highlight w:val="none"/>
        </w:rPr>
      </w:pPr>
      <w:r>
        <w:rPr>
          <w:rFonts w:hint="eastAsia" w:ascii="宋体" w:hAnsi="宋体"/>
          <w:color w:val="auto"/>
          <w:szCs w:val="24"/>
          <w:highlight w:val="none"/>
        </w:rPr>
        <w:t xml:space="preserve">说明书应包括设备的性能与功能说明组成，包括总成和部件的组装以及安装、使用、保养、故障检修说明。</w:t>
      </w:r>
      <w:r/>
    </w:p>
    <w:p>
      <w:pPr>
        <w:pStyle w:val="1221"/>
        <w:numPr>
          <w:ilvl w:val="3"/>
          <w:numId w:val="40"/>
        </w:numPr>
        <w:spacing w:line="360" w:lineRule="auto"/>
        <w:rPr>
          <w:rFonts w:ascii="宋体" w:hAnsi="宋体"/>
          <w:color w:val="auto"/>
          <w:szCs w:val="24"/>
          <w:highlight w:val="none"/>
        </w:rPr>
      </w:pPr>
      <w:r>
        <w:rPr>
          <w:rFonts w:hint="eastAsia" w:ascii="宋体" w:hAnsi="宋体"/>
          <w:color w:val="auto"/>
          <w:szCs w:val="24"/>
          <w:highlight w:val="none"/>
        </w:rPr>
        <w:t xml:space="preserve">安装与使用资料应包括必要的调试与操作程序。</w:t>
      </w:r>
      <w:r/>
    </w:p>
    <w:p>
      <w:pPr>
        <w:pStyle w:val="1221"/>
        <w:numPr>
          <w:ilvl w:val="3"/>
          <w:numId w:val="40"/>
        </w:numPr>
        <w:spacing w:line="360" w:lineRule="auto"/>
        <w:rPr>
          <w:rFonts w:ascii="宋体" w:hAnsi="宋体"/>
          <w:color w:val="auto"/>
          <w:szCs w:val="24"/>
          <w:highlight w:val="none"/>
        </w:rPr>
      </w:pPr>
      <w:r>
        <w:rPr>
          <w:rFonts w:hint="eastAsia" w:ascii="宋体" w:hAnsi="宋体"/>
          <w:color w:val="auto"/>
          <w:szCs w:val="24"/>
          <w:highlight w:val="none"/>
        </w:rPr>
        <w:t xml:space="preserve">维护资料应包括承包商产品的正确运行检查、清理、润滑、调节、修理、大修、拆卸和重新装配的方法和程序，并应包括所需要的专用工具。</w:t>
      </w:r>
      <w:r/>
    </w:p>
    <w:p>
      <w:pPr>
        <w:pStyle w:val="1221"/>
        <w:numPr>
          <w:ilvl w:val="3"/>
          <w:numId w:val="40"/>
        </w:numPr>
        <w:spacing w:line="360" w:lineRule="auto"/>
        <w:rPr>
          <w:rFonts w:ascii="宋体" w:hAnsi="宋体"/>
          <w:color w:val="auto"/>
          <w:szCs w:val="24"/>
          <w:highlight w:val="none"/>
        </w:rPr>
      </w:pPr>
      <w:r>
        <w:rPr>
          <w:rFonts w:hint="eastAsia" w:ascii="宋体" w:hAnsi="宋体"/>
          <w:color w:val="auto"/>
          <w:szCs w:val="24"/>
          <w:highlight w:val="none"/>
        </w:rPr>
        <w:t xml:space="preserve">承包商的质检部门根据图纸、合同和有关规范完成设备自检并达到合格，设备整体组装检测指标满足合同技术条件和SL381的规定，出厂设备须提交合格证。验收前出具第三方质量检测机构的检测报告，检测报告作为竣工验收文件。设备组装和总装应处于待验状态。</w:t>
      </w:r>
      <w:r/>
    </w:p>
    <w:p>
      <w:pPr>
        <w:pStyle w:val="1221"/>
        <w:numPr>
          <w:ilvl w:val="3"/>
          <w:numId w:val="40"/>
        </w:numPr>
        <w:spacing w:line="360" w:lineRule="auto"/>
        <w:rPr>
          <w:rFonts w:ascii="宋体" w:hAnsi="宋体"/>
          <w:color w:val="auto"/>
          <w:szCs w:val="24"/>
          <w:highlight w:val="none"/>
        </w:rPr>
      </w:pPr>
      <w:r>
        <w:rPr>
          <w:rFonts w:hint="eastAsia" w:ascii="宋体" w:hAnsi="宋体"/>
          <w:color w:val="auto"/>
          <w:szCs w:val="24"/>
          <w:highlight w:val="none"/>
        </w:rPr>
        <w:t xml:space="preserve">承包商在完成以上准备工作后，提出设备自检合格报告和出厂试验与验收申请报告，经监理人审签后报买方组织出厂制造验收。</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试验前准备工作</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设备的试验应按照合同技术条件、SL41和SL381的规定执行。</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试验设备应性能完善，容量、精度应满足试验要求。</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试验用液压油应与液压启闭机工作用液压油一致与被试液压缸的密封件材料相容。试验用油液的运动粘度为41.4～50.6mm2/s，油液的固体颗粒污染度等级应符合启闭机液压元器件的要求，且不应高于GB/T 14039规定的—/17/14；过滤精度应不低于5μm。</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试验用压力表精度应为±1.0%，量程宜为试验最大压力值的1.5倍。</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分批交货的液压启闭机设备，首套设备须厂内进行机电液联调试验，另须有两套设备进行模拟实验。</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试验与验收的要求</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液压缸、液压泵站、阀组等组装完毕并经检验合格后再进行试验。设备的试验应按照合同技术条件和SL 381的规定执行。</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液压缸</w:t>
      </w:r>
      <w:r/>
    </w:p>
    <w:p>
      <w:pPr>
        <w:pStyle w:val="1221"/>
        <w:numPr>
          <w:ilvl w:val="2"/>
          <w:numId w:val="41"/>
        </w:numPr>
        <w:spacing w:line="360" w:lineRule="auto"/>
        <w:rPr>
          <w:rFonts w:ascii="宋体" w:hAnsi="宋体"/>
          <w:color w:val="auto"/>
          <w:szCs w:val="24"/>
          <w:highlight w:val="none"/>
        </w:rPr>
      </w:pPr>
      <w:r>
        <w:rPr>
          <w:rFonts w:hint="eastAsia" w:ascii="宋体" w:hAnsi="宋体"/>
          <w:color w:val="auto"/>
          <w:szCs w:val="24"/>
          <w:highlight w:val="none"/>
        </w:rPr>
        <w:t xml:space="preserve">液压缸试验项</w:t>
      </w:r>
      <w:r/>
    </w:p>
    <w:p>
      <w:pPr>
        <w:pStyle w:val="1221"/>
        <w:numPr>
          <w:ilvl w:val="3"/>
          <w:numId w:val="42"/>
        </w:numPr>
        <w:spacing w:line="360" w:lineRule="auto"/>
        <w:rPr>
          <w:rFonts w:ascii="宋体" w:hAnsi="宋体"/>
          <w:color w:val="auto"/>
          <w:szCs w:val="24"/>
          <w:highlight w:val="none"/>
        </w:rPr>
      </w:pPr>
      <w:r>
        <w:rPr>
          <w:rFonts w:hint="eastAsia" w:ascii="宋体" w:hAnsi="宋体"/>
          <w:color w:val="auto"/>
          <w:szCs w:val="24"/>
          <w:highlight w:val="none"/>
        </w:rPr>
        <w:t xml:space="preserve">空载试验：调整试验系统压力，使被试液压缸排气后，液压缸在无荷载情况下往复运动2次，不得出现外部渗油及爬行等异常现象。</w:t>
      </w:r>
      <w:r/>
    </w:p>
    <w:p>
      <w:pPr>
        <w:pStyle w:val="1221"/>
        <w:numPr>
          <w:ilvl w:val="3"/>
          <w:numId w:val="42"/>
        </w:numPr>
        <w:spacing w:line="360" w:lineRule="auto"/>
        <w:rPr>
          <w:rFonts w:ascii="宋体" w:hAnsi="宋体"/>
          <w:color w:val="auto"/>
          <w:szCs w:val="24"/>
          <w:highlight w:val="none"/>
        </w:rPr>
      </w:pPr>
      <w:r>
        <w:rPr>
          <w:rFonts w:hint="eastAsia" w:ascii="宋体" w:hAnsi="宋体"/>
          <w:color w:val="auto"/>
          <w:szCs w:val="24"/>
          <w:highlight w:val="none"/>
        </w:rPr>
        <w:t xml:space="preserve">最小起动压力试验：活塞停靠在上盖处，调整溢流阀，使无杆腔侧压力逐渐升高至活塞杆移动，其最小起动压力应不大于0.5MPa；试验时不得有外泄漏现象。</w:t>
      </w:r>
      <w:r/>
    </w:p>
    <w:p>
      <w:pPr>
        <w:pStyle w:val="1221"/>
        <w:numPr>
          <w:ilvl w:val="3"/>
          <w:numId w:val="42"/>
        </w:numPr>
        <w:spacing w:line="360" w:lineRule="auto"/>
        <w:rPr>
          <w:rFonts w:ascii="宋体" w:hAnsi="宋体"/>
          <w:color w:val="auto"/>
          <w:szCs w:val="24"/>
          <w:highlight w:val="none"/>
        </w:rPr>
      </w:pPr>
      <w:r>
        <w:rPr>
          <w:rFonts w:hint="eastAsia" w:ascii="宋体" w:hAnsi="宋体"/>
          <w:color w:val="auto"/>
          <w:szCs w:val="24"/>
          <w:highlight w:val="none"/>
        </w:rPr>
        <w:t xml:space="preserve">耐压试验：当液压缸的额定压力小于或等于16MPa时，试验压力为额定压力的1.5倍；当液压缸的额定压力大于16MPa且小于或等于19.2MPa时，试验压力为24MPa；当液压缸的额定压力大于19.2MPa时，试验压力为额定压力的1.25倍。将活塞分别停在行程两端，在试验压力下保压2min，不得有外泄漏或破坏现象。</w:t>
      </w:r>
      <w:r/>
    </w:p>
    <w:p>
      <w:pPr>
        <w:pStyle w:val="1221"/>
        <w:numPr>
          <w:ilvl w:val="3"/>
          <w:numId w:val="42"/>
        </w:numPr>
        <w:spacing w:line="360" w:lineRule="auto"/>
        <w:rPr>
          <w:rFonts w:ascii="宋体" w:hAnsi="宋体"/>
          <w:color w:val="auto"/>
          <w:szCs w:val="24"/>
          <w:highlight w:val="none"/>
        </w:rPr>
      </w:pPr>
      <w:r>
        <w:rPr>
          <w:rFonts w:hint="eastAsia" w:ascii="宋体" w:hAnsi="宋体"/>
          <w:color w:val="auto"/>
          <w:szCs w:val="24"/>
          <w:highlight w:val="none"/>
        </w:rPr>
        <w:t xml:space="preserve">外泄漏试验：在额定压力下，将活塞停于液压缸两端，各保压2min，不得有泄漏现象；在空载试验和最低启动压力试验时活塞允许有少量油膜存在，但不应形成油环或油滴，其他各处不得有外泄漏现象。</w:t>
      </w:r>
      <w:r/>
    </w:p>
    <w:p>
      <w:pPr>
        <w:pStyle w:val="1221"/>
        <w:numPr>
          <w:ilvl w:val="3"/>
          <w:numId w:val="42"/>
        </w:numPr>
        <w:spacing w:line="360" w:lineRule="auto"/>
        <w:rPr>
          <w:rFonts w:ascii="宋体" w:hAnsi="宋体"/>
          <w:color w:val="auto"/>
          <w:szCs w:val="24"/>
          <w:highlight w:val="none"/>
        </w:rPr>
      </w:pPr>
      <w:r>
        <w:rPr>
          <w:rFonts w:hint="eastAsia" w:ascii="宋体" w:hAnsi="宋体"/>
          <w:color w:val="auto"/>
          <w:szCs w:val="24"/>
          <w:highlight w:val="none"/>
        </w:rPr>
        <w:t xml:space="preserve">内泄漏试验：在额定压力下，将活塞停于液压缸一端，保压10min。试验结果内泄漏不超过规范的规定值。</w:t>
      </w:r>
      <w:r/>
    </w:p>
    <w:p>
      <w:pPr>
        <w:pStyle w:val="1221"/>
        <w:numPr>
          <w:ilvl w:val="3"/>
          <w:numId w:val="42"/>
        </w:numPr>
        <w:spacing w:line="360" w:lineRule="auto"/>
        <w:rPr>
          <w:rFonts w:ascii="宋体" w:hAnsi="宋体"/>
          <w:color w:val="auto"/>
          <w:szCs w:val="24"/>
          <w:highlight w:val="none"/>
        </w:rPr>
      </w:pPr>
      <w:r>
        <w:rPr>
          <w:rFonts w:hint="eastAsia" w:ascii="宋体" w:hAnsi="宋体"/>
          <w:color w:val="auto"/>
          <w:szCs w:val="24"/>
          <w:highlight w:val="none"/>
        </w:rPr>
        <w:t xml:space="preserve">行程检测：液压缸行程应符合设计要求。液压油污染度检测：液压油污染度等级应符合设计要求。</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试验合格的液压缸充氮气防锈并用堵头封堵油口，油箱及管路的所有外露油口，应用耐油塞子封口。</w:t>
      </w:r>
      <w:r/>
    </w:p>
    <w:p>
      <w:pPr>
        <w:pStyle w:val="1221"/>
        <w:numPr>
          <w:ilvl w:val="2"/>
          <w:numId w:val="41"/>
        </w:numPr>
        <w:spacing w:line="360" w:lineRule="auto"/>
        <w:rPr>
          <w:rFonts w:ascii="宋体" w:hAnsi="宋体"/>
          <w:color w:val="auto"/>
          <w:szCs w:val="24"/>
          <w:highlight w:val="none"/>
        </w:rPr>
      </w:pPr>
      <w:r>
        <w:rPr>
          <w:rFonts w:hint="eastAsia" w:ascii="宋体" w:hAnsi="宋体"/>
          <w:color w:val="auto"/>
          <w:szCs w:val="24"/>
          <w:highlight w:val="none"/>
        </w:rPr>
        <w:t xml:space="preserve">液压缸功能试验</w:t>
      </w:r>
      <w:r/>
    </w:p>
    <w:p>
      <w:pPr>
        <w:pStyle w:val="1221"/>
        <w:spacing w:line="360" w:lineRule="auto"/>
        <w:rPr>
          <w:rFonts w:ascii="宋体" w:hAnsi="宋体"/>
          <w:color w:val="auto"/>
          <w:szCs w:val="24"/>
          <w:highlight w:val="none"/>
        </w:rPr>
      </w:pPr>
      <w:r>
        <w:rPr>
          <w:rFonts w:hint="eastAsia" w:ascii="宋体" w:hAnsi="宋体"/>
          <w:color w:val="auto"/>
          <w:szCs w:val="24"/>
          <w:highlight w:val="none"/>
        </w:rPr>
        <w:t xml:space="preserve">液压缸启门（或闭门）动作试验：液压缸无抖动、爬行，液压系统运行平稳，无异常，液压缸行程测量显示与实际相符，要求综合测量误差不大于</w:t>
      </w:r>
      <w:r>
        <w:rPr>
          <w:rFonts w:hint="eastAsia" w:ascii="宋体" w:hAnsi="宋体"/>
          <w:color w:val="auto"/>
          <w:szCs w:val="24"/>
          <w:highlight w:val="none"/>
        </w:rPr>
        <mc:AlternateContent>
          <mc:Choice Requires="wpg">
            <w:drawing>
              <wp:inline xmlns:wp="http://schemas.openxmlformats.org/drawingml/2006/wordprocessingDrawing" distT="0" distB="0" distL="0" distR="0">
                <wp:extent cx="139700" cy="152400"/>
                <wp:effectExtent l="0" t="0" r="0" b="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r/>
                      </pic:nvPicPr>
                      <pic:blipFill>
                        <a:blip r:embed="rId14"/>
                        <a:stretch/>
                      </pic:blipFill>
                      <pic:spPr bwMode="auto">
                        <a:xfrm>
                          <a:off x="0" y="0"/>
                          <a:ext cx="139700" cy="152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0pt;height:12.0pt;mso-wrap-distance-left:0.0pt;mso-wrap-distance-top:0.0pt;mso-wrap-distance-right:0.0pt;mso-wrap-distance-bottom:0.0pt;" stroked="f">
                <v:path textboxrect="0,0,0,0"/>
                <v:imagedata r:id="rId14" o:title=""/>
              </v:shape>
            </w:pict>
          </mc:Fallback>
        </mc:AlternateContent>
      </w:r>
      <w:r>
        <w:rPr>
          <w:rFonts w:hint="eastAsia" w:ascii="宋体" w:hAnsi="宋体"/>
          <w:color w:val="auto"/>
          <w:szCs w:val="24"/>
          <w:highlight w:val="none"/>
        </w:rPr>
        <w:t xml:space="preserve">2mm。启门（或闭门）到位停机。</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 液压泵站</w:t>
      </w:r>
      <w:r/>
    </w:p>
    <w:p>
      <w:pPr>
        <w:pStyle w:val="1221"/>
        <w:numPr>
          <w:ilvl w:val="2"/>
          <w:numId w:val="43"/>
        </w:numPr>
        <w:spacing w:line="360" w:lineRule="auto"/>
        <w:rPr>
          <w:rFonts w:ascii="宋体" w:hAnsi="宋体"/>
          <w:color w:val="auto"/>
          <w:szCs w:val="24"/>
          <w:highlight w:val="none"/>
        </w:rPr>
      </w:pPr>
      <w:r>
        <w:rPr>
          <w:rFonts w:hint="eastAsia" w:ascii="宋体" w:hAnsi="宋体"/>
          <w:color w:val="auto"/>
          <w:szCs w:val="24"/>
          <w:highlight w:val="none"/>
        </w:rPr>
        <w:t xml:space="preserve">空载试验：液压泵站应进行至少2次空载运行，每次运行时间不少于3min。要求电机、油泵、阀件等元件空载运行平稳、无异常。</w:t>
      </w:r>
      <w:r/>
    </w:p>
    <w:p>
      <w:pPr>
        <w:pStyle w:val="1221"/>
        <w:numPr>
          <w:ilvl w:val="2"/>
          <w:numId w:val="43"/>
        </w:numPr>
        <w:spacing w:line="360" w:lineRule="auto"/>
        <w:rPr>
          <w:rFonts w:ascii="宋体" w:hAnsi="宋体"/>
          <w:color w:val="auto"/>
          <w:szCs w:val="24"/>
          <w:highlight w:val="none"/>
        </w:rPr>
      </w:pPr>
      <w:r>
        <w:rPr>
          <w:rFonts w:hint="eastAsia" w:ascii="宋体" w:hAnsi="宋体"/>
          <w:color w:val="auto"/>
          <w:szCs w:val="24"/>
          <w:highlight w:val="none"/>
        </w:rPr>
        <w:t xml:space="preserve">保压试验：在1.1倍额定压力下，液压泵站保压30min，液压泵站无外泄漏，同时油箱应进行渗漏试验，不得有渗漏现象。</w:t>
      </w:r>
      <w:r/>
    </w:p>
    <w:p>
      <w:pPr>
        <w:pStyle w:val="1221"/>
        <w:numPr>
          <w:ilvl w:val="2"/>
          <w:numId w:val="43"/>
        </w:numPr>
        <w:spacing w:line="360" w:lineRule="auto"/>
        <w:rPr>
          <w:rFonts w:ascii="宋体" w:hAnsi="宋体"/>
          <w:color w:val="auto"/>
          <w:szCs w:val="24"/>
          <w:highlight w:val="none"/>
        </w:rPr>
      </w:pPr>
      <w:r>
        <w:rPr>
          <w:rFonts w:hint="eastAsia" w:ascii="宋体" w:hAnsi="宋体"/>
          <w:color w:val="auto"/>
          <w:szCs w:val="24"/>
          <w:highlight w:val="none"/>
        </w:rPr>
        <w:t xml:space="preserve">耐压试验：对于工作压力低于16MPa的系统，试验压力为工作压力的1.5倍；对于工作压力高于16MPa小于19.2Mpa的系统，试验压力取24Mpa；对于工作压力高于19.2Mpa的系统，试验压力为工作压力的1.25倍。达到试验压力后，保压10min，外部不应有渗漏、永久变形或损坏。</w:t>
      </w:r>
      <w:r/>
    </w:p>
    <w:p>
      <w:pPr>
        <w:pStyle w:val="1221"/>
        <w:numPr>
          <w:ilvl w:val="2"/>
          <w:numId w:val="43"/>
        </w:numPr>
        <w:spacing w:line="360" w:lineRule="auto"/>
        <w:rPr>
          <w:rFonts w:ascii="宋体" w:hAnsi="宋体"/>
          <w:color w:val="auto"/>
          <w:szCs w:val="24"/>
          <w:highlight w:val="none"/>
        </w:rPr>
      </w:pPr>
      <w:r>
        <w:rPr>
          <w:rFonts w:hint="eastAsia" w:ascii="宋体" w:hAnsi="宋体"/>
          <w:color w:val="auto"/>
          <w:szCs w:val="24"/>
          <w:highlight w:val="none"/>
        </w:rPr>
        <w:t xml:space="preserve">液压泵站运行时，用声级计或等同于、高于声级计的仪器监测噪音，距液压泵站1m处检测噪音应低于85db（A）。</w:t>
      </w:r>
      <w:r/>
    </w:p>
    <w:p>
      <w:pPr>
        <w:pStyle w:val="1221"/>
        <w:numPr>
          <w:ilvl w:val="2"/>
          <w:numId w:val="43"/>
        </w:numPr>
        <w:spacing w:line="360" w:lineRule="auto"/>
        <w:rPr>
          <w:rFonts w:ascii="宋体" w:hAnsi="宋体"/>
          <w:color w:val="auto"/>
          <w:szCs w:val="24"/>
          <w:highlight w:val="none"/>
        </w:rPr>
      </w:pPr>
      <w:r>
        <w:rPr>
          <w:rFonts w:hint="eastAsia" w:ascii="宋体" w:hAnsi="宋体"/>
          <w:color w:val="auto"/>
          <w:szCs w:val="24"/>
          <w:highlight w:val="none"/>
        </w:rPr>
        <w:t xml:space="preserve">模拟液压缸上升和下降，各阀件操作正常。</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 机、电、液联调</w:t>
      </w:r>
      <w:r/>
    </w:p>
    <w:p>
      <w:pPr>
        <w:pStyle w:val="1221"/>
        <w:numPr>
          <w:ilvl w:val="2"/>
          <w:numId w:val="44"/>
        </w:numPr>
        <w:spacing w:line="360" w:lineRule="auto"/>
        <w:rPr>
          <w:rFonts w:ascii="宋体" w:hAnsi="宋体"/>
          <w:color w:val="auto"/>
          <w:szCs w:val="24"/>
          <w:highlight w:val="none"/>
        </w:rPr>
      </w:pPr>
      <w:r>
        <w:rPr>
          <w:rFonts w:hint="eastAsia" w:ascii="宋体" w:hAnsi="宋体"/>
          <w:color w:val="auto"/>
          <w:szCs w:val="24"/>
          <w:highlight w:val="none"/>
        </w:rPr>
        <w:t xml:space="preserve">液压缸动作试验</w:t>
      </w:r>
      <w:r/>
    </w:p>
    <w:p>
      <w:pPr>
        <w:pStyle w:val="1221"/>
        <w:numPr>
          <w:ilvl w:val="3"/>
          <w:numId w:val="45"/>
        </w:numPr>
        <w:spacing w:line="360" w:lineRule="auto"/>
        <w:rPr>
          <w:rFonts w:ascii="宋体" w:hAnsi="宋体"/>
          <w:color w:val="auto"/>
          <w:szCs w:val="24"/>
          <w:highlight w:val="none"/>
        </w:rPr>
      </w:pPr>
      <w:r>
        <w:rPr>
          <w:rFonts w:hint="eastAsia" w:ascii="宋体" w:hAnsi="宋体"/>
          <w:color w:val="auto"/>
          <w:szCs w:val="24"/>
          <w:highlight w:val="none"/>
        </w:rPr>
        <w:t xml:space="preserve">空载启动试验：电机、油泵空载运行平稳、无异常。</w:t>
      </w:r>
      <w:r/>
    </w:p>
    <w:p>
      <w:pPr>
        <w:pStyle w:val="1221"/>
        <w:numPr>
          <w:ilvl w:val="3"/>
          <w:numId w:val="45"/>
        </w:numPr>
        <w:spacing w:line="360" w:lineRule="auto"/>
        <w:rPr>
          <w:rFonts w:ascii="宋体" w:hAnsi="宋体"/>
          <w:color w:val="auto"/>
          <w:szCs w:val="24"/>
          <w:highlight w:val="none"/>
        </w:rPr>
      </w:pPr>
      <w:r>
        <w:rPr>
          <w:rFonts w:hint="eastAsia" w:ascii="宋体" w:hAnsi="宋体"/>
          <w:color w:val="auto"/>
          <w:szCs w:val="24"/>
          <w:highlight w:val="none"/>
        </w:rPr>
        <w:t xml:space="preserve">启门（或闭门）动作试验：液压缸无抖动、爬行，液压系统运行平稳，无异常，液压缸行程测量显示与实际相符，要求综合测量误差不大于 2mm。对于双吊点启闭机，同一台启闭机的两套液压缸在行程内任意位置的同步偏差大于设计允许值时应自动投入纠偏装置。</w:t>
      </w:r>
      <w:r/>
    </w:p>
    <w:p>
      <w:pPr>
        <w:pStyle w:val="1221"/>
        <w:numPr>
          <w:ilvl w:val="3"/>
          <w:numId w:val="45"/>
        </w:numPr>
        <w:spacing w:line="360" w:lineRule="auto"/>
        <w:rPr>
          <w:rFonts w:ascii="宋体" w:hAnsi="宋体"/>
          <w:color w:val="auto"/>
          <w:szCs w:val="24"/>
          <w:highlight w:val="none"/>
        </w:rPr>
      </w:pPr>
      <w:r>
        <w:rPr>
          <w:rFonts w:hint="eastAsia" w:ascii="宋体" w:hAnsi="宋体"/>
          <w:color w:val="auto"/>
          <w:szCs w:val="24"/>
          <w:highlight w:val="none"/>
        </w:rPr>
        <w:t xml:space="preserve">启门（或闭门）到位试验：</w:t>
      </w:r>
      <w:r/>
    </w:p>
    <w:p>
      <w:pPr>
        <w:pStyle w:val="1221"/>
        <w:numPr>
          <w:ilvl w:val="6"/>
          <w:numId w:val="46"/>
        </w:numPr>
        <w:spacing w:line="360" w:lineRule="auto"/>
        <w:rPr>
          <w:rFonts w:ascii="宋体" w:hAnsi="宋体"/>
          <w:color w:val="auto"/>
          <w:szCs w:val="24"/>
          <w:highlight w:val="none"/>
        </w:rPr>
      </w:pPr>
      <w:r>
        <w:rPr>
          <w:rFonts w:hint="eastAsia" w:ascii="宋体" w:hAnsi="宋体"/>
          <w:color w:val="auto"/>
          <w:szCs w:val="24"/>
          <w:highlight w:val="none"/>
        </w:rPr>
        <w:t xml:space="preserve">液压缸位移测量系统发讯测试及有关阀件动作检验。</w:t>
      </w:r>
      <w:r/>
    </w:p>
    <w:p>
      <w:pPr>
        <w:pStyle w:val="1221"/>
        <w:numPr>
          <w:ilvl w:val="6"/>
          <w:numId w:val="46"/>
        </w:numPr>
        <w:spacing w:line="360" w:lineRule="auto"/>
        <w:rPr>
          <w:rFonts w:ascii="宋体" w:hAnsi="宋体"/>
          <w:color w:val="auto"/>
          <w:szCs w:val="24"/>
          <w:highlight w:val="none"/>
        </w:rPr>
      </w:pPr>
      <w:r>
        <w:rPr>
          <w:rFonts w:hint="eastAsia" w:ascii="宋体" w:hAnsi="宋体"/>
          <w:color w:val="auto"/>
          <w:szCs w:val="24"/>
          <w:highlight w:val="none"/>
        </w:rPr>
        <w:t xml:space="preserve">接近开关发讯测试及有关阀件动作检验。</w:t>
      </w:r>
      <w:r/>
    </w:p>
    <w:p>
      <w:pPr>
        <w:pStyle w:val="1221"/>
        <w:numPr>
          <w:ilvl w:val="2"/>
          <w:numId w:val="44"/>
        </w:numPr>
        <w:spacing w:line="360" w:lineRule="auto"/>
        <w:rPr>
          <w:rFonts w:ascii="宋体" w:hAnsi="宋体"/>
          <w:color w:val="auto"/>
          <w:szCs w:val="24"/>
          <w:highlight w:val="none"/>
        </w:rPr>
      </w:pPr>
      <w:r>
        <w:rPr>
          <w:rFonts w:hint="eastAsia" w:ascii="宋体" w:hAnsi="宋体"/>
          <w:color w:val="auto"/>
          <w:szCs w:val="24"/>
          <w:highlight w:val="none"/>
        </w:rPr>
        <w:t xml:space="preserve">功能保护试验</w:t>
      </w:r>
      <w:r/>
    </w:p>
    <w:p>
      <w:pPr>
        <w:pStyle w:val="1221"/>
        <w:numPr>
          <w:ilvl w:val="3"/>
          <w:numId w:val="47"/>
        </w:numPr>
        <w:spacing w:line="360" w:lineRule="auto"/>
        <w:rPr>
          <w:rFonts w:ascii="宋体" w:hAnsi="宋体"/>
          <w:color w:val="auto"/>
          <w:szCs w:val="24"/>
          <w:highlight w:val="none"/>
        </w:rPr>
      </w:pPr>
      <w:r>
        <w:rPr>
          <w:rFonts w:hint="eastAsia" w:ascii="宋体" w:hAnsi="宋体"/>
          <w:color w:val="auto"/>
          <w:szCs w:val="24"/>
          <w:highlight w:val="none"/>
        </w:rPr>
        <w:t xml:space="preserve">油泵故障：当液压泵站开始运行，工作油泵出现故障时自动切换到备用油泵。</w:t>
      </w:r>
      <w:r/>
    </w:p>
    <w:p>
      <w:pPr>
        <w:pStyle w:val="1221"/>
        <w:numPr>
          <w:ilvl w:val="3"/>
          <w:numId w:val="47"/>
        </w:numPr>
        <w:spacing w:line="360" w:lineRule="auto"/>
        <w:rPr>
          <w:rFonts w:ascii="宋体" w:hAnsi="宋体"/>
          <w:color w:val="auto"/>
          <w:szCs w:val="24"/>
          <w:highlight w:val="none"/>
        </w:rPr>
      </w:pPr>
      <w:r>
        <w:rPr>
          <w:rFonts w:hint="eastAsia" w:ascii="宋体" w:hAnsi="宋体"/>
          <w:color w:val="auto"/>
          <w:szCs w:val="24"/>
          <w:highlight w:val="none"/>
        </w:rPr>
        <w:t xml:space="preserve">系统超压保护：当系统压力超过1.1倍额定压力时，报警并停机。</w:t>
      </w:r>
      <w:r/>
    </w:p>
    <w:p>
      <w:pPr>
        <w:pStyle w:val="1221"/>
        <w:numPr>
          <w:ilvl w:val="3"/>
          <w:numId w:val="47"/>
        </w:numPr>
        <w:spacing w:line="360" w:lineRule="auto"/>
        <w:rPr>
          <w:rFonts w:ascii="宋体" w:hAnsi="宋体"/>
          <w:color w:val="auto"/>
          <w:szCs w:val="24"/>
          <w:highlight w:val="none"/>
        </w:rPr>
      </w:pPr>
      <w:r>
        <w:rPr>
          <w:rFonts w:hint="eastAsia" w:ascii="宋体" w:hAnsi="宋体"/>
          <w:color w:val="auto"/>
          <w:szCs w:val="24"/>
          <w:highlight w:val="none"/>
        </w:rPr>
        <w:t xml:space="preserve">启门超压保护：当工作压力超过启门额定压力时发讯并停机。</w:t>
      </w:r>
      <w:r/>
    </w:p>
    <w:p>
      <w:pPr>
        <w:pStyle w:val="1221"/>
        <w:numPr>
          <w:ilvl w:val="3"/>
          <w:numId w:val="47"/>
        </w:numPr>
        <w:spacing w:line="360" w:lineRule="auto"/>
        <w:rPr>
          <w:rFonts w:ascii="宋体" w:hAnsi="宋体"/>
          <w:color w:val="auto"/>
          <w:szCs w:val="24"/>
          <w:highlight w:val="none"/>
        </w:rPr>
      </w:pPr>
      <w:r>
        <w:rPr>
          <w:rFonts w:hint="eastAsia" w:ascii="宋体" w:hAnsi="宋体"/>
          <w:color w:val="auto"/>
          <w:szCs w:val="24"/>
          <w:highlight w:val="none"/>
        </w:rPr>
        <w:t xml:space="preserve">启门失压保护：当工作压力低于2MPa时发讯并停机。</w:t>
      </w:r>
      <w:r/>
    </w:p>
    <w:p>
      <w:pPr>
        <w:pStyle w:val="1221"/>
        <w:numPr>
          <w:ilvl w:val="3"/>
          <w:numId w:val="47"/>
        </w:numPr>
        <w:spacing w:line="360" w:lineRule="auto"/>
        <w:rPr>
          <w:rFonts w:ascii="宋体" w:hAnsi="宋体"/>
          <w:color w:val="auto"/>
          <w:szCs w:val="24"/>
          <w:highlight w:val="none"/>
        </w:rPr>
      </w:pPr>
      <w:r>
        <w:rPr>
          <w:rFonts w:hint="eastAsia" w:ascii="宋体" w:hAnsi="宋体"/>
          <w:color w:val="auto"/>
          <w:szCs w:val="24"/>
          <w:highlight w:val="none"/>
        </w:rPr>
        <w:t xml:space="preserve">闭门超压保护：当工作压力超过闭门额定压力时发讯并停机。</w:t>
      </w:r>
      <w:r/>
    </w:p>
    <w:p>
      <w:pPr>
        <w:pStyle w:val="1221"/>
        <w:numPr>
          <w:ilvl w:val="3"/>
          <w:numId w:val="47"/>
        </w:numPr>
        <w:spacing w:line="360" w:lineRule="auto"/>
        <w:rPr>
          <w:rFonts w:ascii="宋体" w:hAnsi="宋体"/>
          <w:color w:val="auto"/>
          <w:szCs w:val="24"/>
          <w:highlight w:val="none"/>
        </w:rPr>
      </w:pPr>
      <w:r>
        <w:rPr>
          <w:rFonts w:hint="eastAsia" w:ascii="宋体" w:hAnsi="宋体"/>
          <w:color w:val="auto"/>
          <w:szCs w:val="24"/>
          <w:highlight w:val="none"/>
        </w:rPr>
        <w:t xml:space="preserve">系统压力监视与压力表显示数据相同。</w:t>
      </w:r>
      <w:r/>
    </w:p>
    <w:p>
      <w:pPr>
        <w:pStyle w:val="1221"/>
        <w:numPr>
          <w:ilvl w:val="3"/>
          <w:numId w:val="47"/>
        </w:numPr>
        <w:spacing w:line="360" w:lineRule="auto"/>
        <w:rPr>
          <w:rFonts w:ascii="宋体" w:hAnsi="宋体"/>
          <w:color w:val="auto"/>
          <w:szCs w:val="24"/>
          <w:highlight w:val="none"/>
        </w:rPr>
      </w:pPr>
      <w:r>
        <w:rPr>
          <w:rFonts w:hint="eastAsia" w:ascii="宋体" w:hAnsi="宋体"/>
          <w:color w:val="auto"/>
          <w:szCs w:val="24"/>
          <w:highlight w:val="none"/>
        </w:rPr>
        <w:t xml:space="preserve">滤油器堵塞：模拟滤油器堵塞，压力大于0.3MPa时报警。</w:t>
      </w:r>
      <w:r/>
    </w:p>
    <w:p>
      <w:pPr>
        <w:pStyle w:val="1221"/>
        <w:numPr>
          <w:ilvl w:val="3"/>
          <w:numId w:val="47"/>
        </w:numPr>
        <w:spacing w:line="360" w:lineRule="auto"/>
        <w:rPr>
          <w:rFonts w:ascii="宋体" w:hAnsi="宋体"/>
          <w:color w:val="auto"/>
          <w:szCs w:val="24"/>
          <w:highlight w:val="none"/>
        </w:rPr>
      </w:pPr>
      <w:r>
        <w:rPr>
          <w:rFonts w:hint="eastAsia" w:ascii="宋体" w:hAnsi="宋体"/>
          <w:color w:val="auto"/>
          <w:szCs w:val="24"/>
          <w:highlight w:val="none"/>
        </w:rPr>
        <w:t xml:space="preserve">油箱液位控制：模拟油箱油位超高、偏低位报警，超低位停机。</w:t>
      </w:r>
      <w:r/>
    </w:p>
    <w:p>
      <w:pPr>
        <w:pStyle w:val="1221"/>
        <w:numPr>
          <w:ilvl w:val="3"/>
          <w:numId w:val="47"/>
        </w:numPr>
        <w:spacing w:line="360" w:lineRule="auto"/>
        <w:rPr>
          <w:rFonts w:ascii="宋体" w:hAnsi="宋体"/>
          <w:color w:val="auto"/>
          <w:szCs w:val="24"/>
          <w:highlight w:val="none"/>
        </w:rPr>
      </w:pPr>
      <w:r>
        <w:rPr>
          <w:rFonts w:hint="eastAsia" w:ascii="宋体" w:hAnsi="宋体"/>
          <w:color w:val="auto"/>
          <w:szCs w:val="24"/>
          <w:highlight w:val="none"/>
        </w:rPr>
        <w:t xml:space="preserve">油箱温度控制：检验油箱温度加热器性能，要求≤5ºC加热，≥15ºC失电。</w:t>
      </w:r>
      <w:r/>
    </w:p>
    <w:p>
      <w:pPr>
        <w:pStyle w:val="1221"/>
        <w:numPr>
          <w:ilvl w:val="2"/>
          <w:numId w:val="44"/>
        </w:numPr>
        <w:spacing w:line="360" w:lineRule="auto"/>
        <w:rPr>
          <w:rFonts w:ascii="宋体" w:hAnsi="宋体"/>
          <w:color w:val="auto"/>
          <w:szCs w:val="24"/>
          <w:highlight w:val="none"/>
        </w:rPr>
      </w:pPr>
      <w:r>
        <w:rPr>
          <w:rFonts w:hint="eastAsia" w:ascii="宋体" w:hAnsi="宋体"/>
          <w:color w:val="auto"/>
          <w:szCs w:val="24"/>
          <w:highlight w:val="none"/>
        </w:rPr>
        <w:t xml:space="preserve">按照液压系统对液压油清洁度要求，设备试验用液压油达到GB/T 14039标准中对应的清洁度规定才能注入油箱。</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出厂验收</w:t>
      </w:r>
      <w:r/>
    </w:p>
    <w:p>
      <w:pPr>
        <w:pStyle w:val="1221"/>
        <w:numPr>
          <w:ilvl w:val="2"/>
          <w:numId w:val="48"/>
        </w:numPr>
        <w:spacing w:line="360" w:lineRule="auto"/>
        <w:rPr>
          <w:rFonts w:ascii="宋体" w:hAnsi="宋体"/>
          <w:color w:val="auto"/>
          <w:szCs w:val="24"/>
          <w:highlight w:val="none"/>
        </w:rPr>
      </w:pPr>
      <w:r>
        <w:rPr>
          <w:rFonts w:hint="eastAsia" w:ascii="宋体" w:hAnsi="宋体"/>
          <w:color w:val="auto"/>
          <w:szCs w:val="24"/>
          <w:highlight w:val="none"/>
        </w:rPr>
        <w:t xml:space="preserve">承包商对验收检查发现的制造质量缺陷，必须采取措施使其达到合格，并经监理人审签后才能进行出厂。</w:t>
      </w:r>
      <w:r/>
    </w:p>
    <w:p>
      <w:pPr>
        <w:pStyle w:val="1221"/>
        <w:numPr>
          <w:ilvl w:val="2"/>
          <w:numId w:val="48"/>
        </w:numPr>
        <w:spacing w:line="360" w:lineRule="auto"/>
        <w:rPr>
          <w:rFonts w:ascii="宋体" w:hAnsi="宋体"/>
          <w:color w:val="auto"/>
          <w:szCs w:val="24"/>
          <w:highlight w:val="none"/>
        </w:rPr>
      </w:pPr>
      <w:r>
        <w:rPr>
          <w:rFonts w:hint="eastAsia" w:ascii="宋体" w:hAnsi="宋体"/>
          <w:color w:val="auto"/>
          <w:szCs w:val="24"/>
          <w:highlight w:val="none"/>
        </w:rPr>
        <w:t xml:space="preserve">设备经出厂验收合格，其包装状况和发货清单及竣工资料等，必须符合本招标及合同文件有关条款的规定，并经监理人签署出厂验收证书后，设备方可发运。</w:t>
      </w:r>
      <w:r/>
    </w:p>
    <w:p>
      <w:pPr>
        <w:pStyle w:val="1221"/>
        <w:numPr>
          <w:ilvl w:val="2"/>
          <w:numId w:val="48"/>
        </w:numPr>
        <w:spacing w:line="360" w:lineRule="auto"/>
        <w:rPr>
          <w:rFonts w:ascii="宋体" w:hAnsi="宋体"/>
          <w:color w:val="auto"/>
          <w:szCs w:val="24"/>
          <w:highlight w:val="none"/>
        </w:rPr>
      </w:pPr>
      <w:r>
        <w:rPr>
          <w:rFonts w:hint="eastAsia" w:ascii="宋体" w:hAnsi="宋体"/>
          <w:color w:val="auto"/>
          <w:szCs w:val="24"/>
          <w:highlight w:val="none"/>
        </w:rPr>
        <w:t xml:space="preserve">设备出厂验收并不是设备的最终验收。承包商仍需承担设备的全部责任。</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 交接验收</w:t>
      </w:r>
      <w:r/>
    </w:p>
    <w:p>
      <w:pPr>
        <w:pStyle w:val="1221"/>
        <w:numPr>
          <w:ilvl w:val="2"/>
          <w:numId w:val="49"/>
        </w:numPr>
        <w:spacing w:line="360" w:lineRule="auto"/>
        <w:rPr>
          <w:rFonts w:ascii="宋体" w:hAnsi="宋体"/>
          <w:color w:val="auto"/>
          <w:szCs w:val="24"/>
          <w:highlight w:val="none"/>
        </w:rPr>
      </w:pPr>
      <w:r>
        <w:rPr>
          <w:rFonts w:hint="eastAsia" w:ascii="宋体" w:hAnsi="宋体"/>
          <w:color w:val="auto"/>
          <w:szCs w:val="24"/>
          <w:highlight w:val="none"/>
        </w:rPr>
        <w:t xml:space="preserve">工地交接验收由买方主持并组织安装承包商、安装监理人和承包商组成验收小组进行验收和签证工作。</w:t>
      </w:r>
      <w:r/>
    </w:p>
    <w:p>
      <w:pPr>
        <w:pStyle w:val="1221"/>
        <w:numPr>
          <w:ilvl w:val="2"/>
          <w:numId w:val="49"/>
        </w:numPr>
        <w:spacing w:line="360" w:lineRule="auto"/>
        <w:rPr>
          <w:rFonts w:ascii="宋体" w:hAnsi="宋体"/>
          <w:color w:val="auto"/>
          <w:szCs w:val="24"/>
          <w:highlight w:val="none"/>
        </w:rPr>
      </w:pPr>
      <w:r>
        <w:rPr>
          <w:rFonts w:hint="eastAsia" w:ascii="宋体" w:hAnsi="宋体"/>
          <w:color w:val="auto"/>
          <w:szCs w:val="24"/>
          <w:highlight w:val="none"/>
        </w:rPr>
        <w:t xml:space="preserve">工地交接验收主要包括：数量清点、外观检查、资料的审核以及买方认为必要的抽检等。</w:t>
      </w:r>
      <w:r/>
    </w:p>
    <w:p>
      <w:pPr>
        <w:pStyle w:val="1221"/>
        <w:numPr>
          <w:ilvl w:val="2"/>
          <w:numId w:val="49"/>
        </w:numPr>
        <w:spacing w:line="360" w:lineRule="auto"/>
        <w:rPr>
          <w:rFonts w:ascii="宋体" w:hAnsi="宋体"/>
          <w:color w:val="auto"/>
          <w:szCs w:val="24"/>
          <w:highlight w:val="none"/>
        </w:rPr>
      </w:pPr>
      <w:r>
        <w:rPr>
          <w:rFonts w:hint="eastAsia" w:ascii="宋体" w:hAnsi="宋体"/>
          <w:color w:val="auto"/>
          <w:szCs w:val="24"/>
          <w:highlight w:val="none"/>
        </w:rPr>
        <w:t xml:space="preserve">设备在运输过程中造成的损伤由承包商负责限期处理或赔偿。</w:t>
      </w:r>
      <w:r/>
    </w:p>
    <w:p>
      <w:pPr>
        <w:pStyle w:val="1220"/>
        <w:spacing w:line="360" w:lineRule="auto"/>
        <w:rPr>
          <w:rFonts w:ascii="宋体" w:hAnsi="宋体" w:eastAsia="宋体" w:cs="宋体"/>
          <w:color w:val="auto"/>
          <w:sz w:val="24"/>
          <w:szCs w:val="24"/>
          <w:highlight w:val="none"/>
        </w:rPr>
      </w:pPr>
      <w:r/>
      <w:bookmarkStart w:id="207" w:name="_Toc16245"/>
      <w:r/>
      <w:bookmarkStart w:id="208" w:name="_Toc1674"/>
      <w:r/>
      <w:bookmarkStart w:id="209" w:name="_Toc32540"/>
      <w:r/>
      <w:bookmarkStart w:id="210" w:name="_Toc25771"/>
      <w:r/>
      <w:bookmarkStart w:id="211" w:name="_Toc26230"/>
      <w:r/>
      <w:bookmarkStart w:id="212" w:name="_Toc23408"/>
      <w:r>
        <w:rPr>
          <w:rFonts w:hint="eastAsia" w:ascii="宋体" w:hAnsi="宋体" w:eastAsia="宋体" w:cs="宋体"/>
          <w:color w:val="auto"/>
          <w:sz w:val="24"/>
          <w:szCs w:val="24"/>
          <w:highlight w:val="none"/>
        </w:rPr>
        <w:t xml:space="preserve">专用工具和备品备件</w:t>
      </w:r>
      <w:bookmarkEnd w:id="207"/>
      <w:r/>
      <w:bookmarkEnd w:id="208"/>
      <w:r/>
      <w:bookmarkEnd w:id="209"/>
      <w:r/>
      <w:bookmarkEnd w:id="210"/>
      <w:r/>
      <w:bookmarkEnd w:id="211"/>
      <w:r/>
      <w:bookmarkEnd w:id="212"/>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规定要求</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承包商应按合同提供随机易损备品备件、合同规定的备品备件（若安装调试借用，并及时归还）。备品备件应能互换，并应与原设备的材料和质量相同。备品备件应与其它设备的部件分开装箱，与设备一起发货。箱上应有明显的标记，以便识别箱内所装的部件。箱内包装应能防止备品备件贮存时损坏，箱上应有明显的标记，以便识别箱内所装的部件。精密的电气元件，必须先装在带干燥剂的塑料袋中，或用其他有效的方法防潮然后装箱。包装所用材料应符合环保要求。</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承包商应提交一份完整的备品备件及专用工器具清单，清单应包括部件识别号、主要设备类别、部件说明、参考图、图号和数量，清单和清单的电子版文件一并提交给</w:t>
      </w:r>
      <w:r>
        <w:rPr>
          <w:rFonts w:hint="eastAsia" w:ascii="宋体" w:hAnsi="宋体" w:cs="宋体"/>
          <w:color w:val="auto"/>
          <w:szCs w:val="24"/>
          <w:highlight w:val="none"/>
          <w:lang w:val="en-US"/>
        </w:rPr>
        <w:t xml:space="preserve">采购人</w:t>
      </w:r>
      <w:r>
        <w:rPr>
          <w:rFonts w:hint="eastAsia" w:ascii="宋体" w:hAnsi="宋体" w:cs="宋体"/>
          <w:color w:val="auto"/>
          <w:szCs w:val="24"/>
          <w:highlight w:val="none"/>
        </w:rPr>
        <w:t xml:space="preserve">。</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备品备件</w:t>
      </w:r>
      <w:r>
        <w:rPr>
          <w:rFonts w:hint="eastAsia" w:ascii="宋体" w:hAnsi="宋体" w:cs="宋体"/>
          <w:color w:val="auto"/>
          <w:szCs w:val="24"/>
          <w:highlight w:val="none"/>
          <w:lang w:val="en-US"/>
        </w:rPr>
        <w:t xml:space="preserve">采购人</w:t>
      </w:r>
      <w:r>
        <w:rPr>
          <w:rFonts w:hint="eastAsia" w:ascii="宋体" w:hAnsi="宋体" w:cs="宋体"/>
          <w:color w:val="auto"/>
          <w:szCs w:val="24"/>
          <w:highlight w:val="none"/>
        </w:rPr>
        <w:t xml:space="preserve">验收前应贴上识别标志，标志应包含上述的各项内容。</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具体要求</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承包商负责质保期内免费更换损坏的零部件。承包商提供自完工验收至稳定运行三年内设备运行所必须的备品备件（包括但不限于液压备品备件清单），其费用包括在设备总价中。</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提供液压缸和电气显示箱（柜）维修维护必要的专用工具2套，包括各类扳手、螺丝刀、数字式万用表、除尘设备等。</w:t>
      </w:r>
      <w:r/>
    </w:p>
    <w:p>
      <w:pPr>
        <w:pStyle w:val="1220"/>
        <w:spacing w:line="360" w:lineRule="auto"/>
        <w:rPr>
          <w:rFonts w:ascii="宋体" w:hAnsi="宋体" w:eastAsia="宋体" w:cs="宋体"/>
          <w:color w:val="auto"/>
          <w:sz w:val="24"/>
          <w:szCs w:val="24"/>
          <w:highlight w:val="none"/>
        </w:rPr>
      </w:pPr>
      <w:r/>
      <w:bookmarkStart w:id="213" w:name="_Toc21352"/>
      <w:r/>
      <w:bookmarkStart w:id="214" w:name="_Toc13686"/>
      <w:r/>
      <w:bookmarkStart w:id="215" w:name="_Toc19038"/>
      <w:r/>
      <w:bookmarkStart w:id="216" w:name="_Toc10051"/>
      <w:r/>
      <w:bookmarkStart w:id="217" w:name="_Toc7161"/>
      <w:r/>
      <w:bookmarkStart w:id="218" w:name="_Toc13188"/>
      <w:r>
        <w:rPr>
          <w:rFonts w:hint="eastAsia" w:ascii="宋体" w:hAnsi="宋体" w:eastAsia="宋体" w:cs="宋体"/>
          <w:color w:val="auto"/>
          <w:sz w:val="24"/>
          <w:szCs w:val="24"/>
          <w:highlight w:val="none"/>
        </w:rPr>
        <w:t xml:space="preserve">界面接口</w:t>
      </w:r>
      <w:bookmarkEnd w:id="213"/>
      <w:r/>
      <w:bookmarkEnd w:id="214"/>
      <w:r/>
      <w:bookmarkEnd w:id="215"/>
      <w:r/>
      <w:bookmarkEnd w:id="216"/>
      <w:r/>
      <w:bookmarkEnd w:id="217"/>
      <w:r/>
      <w:bookmarkEnd w:id="218"/>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通用规定</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各设备的供货界定及接口关系的具体要求参照各设备的专用技术条件执行。</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专用技术条件中所列设备的供货界定及接口关系为至少包括的内容。在合同执行过程中买方有权对供货界定及接口关系作局部修改，承包商不得拒绝。</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各设备的接口配合及相关配合技术资料设联会确定，承包商应及时提供配合技术资料，提供资料应满足相关方设计、制造、安装、调试需要，承包商不得拒绝或延误。</w:t>
      </w:r>
      <w:r/>
    </w:p>
    <w:p>
      <w:pPr>
        <w:pStyle w:val="1222"/>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液压启闭机接口</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承包商提供液压启闭机吊头与闸门联接的轴及附件，应与闸门上的吊耳孔相匹配。</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承包商提供的材料是指启闭机在安装调试和使用中需要的消耗性材料，如润滑油、脂、滤芯、纸垫等等，提供的数量能使用至设备的质量保证期结束。对机房的照明、通风采暖、消防所需要求，由承包商提出。</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所有在混凝土地面及结构上装设的设备、埋件由承包商提供，在混凝土中预留或布置的埋件、孔、槽、油管、电缆管及电线、电缆走向应满足</w:t>
      </w:r>
      <w:r>
        <w:rPr>
          <w:rFonts w:hint="eastAsia" w:ascii="宋体" w:hAnsi="宋体" w:cs="宋体"/>
          <w:color w:val="auto"/>
          <w:szCs w:val="24"/>
          <w:highlight w:val="none"/>
          <w:lang w:val="en-US" w:eastAsia="zh-CN"/>
        </w:rPr>
        <w:t xml:space="preserve">项目</w:t>
      </w:r>
      <w:r>
        <w:rPr>
          <w:rFonts w:hint="eastAsia" w:ascii="宋体" w:hAnsi="宋体" w:cs="宋体"/>
          <w:color w:val="auto"/>
          <w:szCs w:val="24"/>
          <w:highlight w:val="none"/>
        </w:rPr>
        <w:t xml:space="preserve">要求。对</w:t>
      </w:r>
      <w:r>
        <w:rPr>
          <w:rFonts w:hint="eastAsia" w:ascii="宋体" w:hAnsi="宋体" w:cs="宋体"/>
          <w:color w:val="auto"/>
          <w:szCs w:val="24"/>
          <w:highlight w:val="none"/>
          <w:lang w:val="en-US" w:eastAsia="zh-CN"/>
        </w:rPr>
        <w:t xml:space="preserve">项目</w:t>
      </w:r>
      <w:r>
        <w:rPr>
          <w:rFonts w:hint="eastAsia" w:ascii="宋体" w:hAnsi="宋体" w:cs="宋体"/>
          <w:color w:val="auto"/>
          <w:szCs w:val="24"/>
          <w:highlight w:val="none"/>
        </w:rPr>
        <w:t xml:space="preserve">中原来已有的布置，承包商应进行确认，并对这些布置负责。</w:t>
      </w:r>
      <w:r/>
    </w:p>
    <w:p>
      <w:pPr>
        <w:pStyle w:val="1225"/>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承包商提供的现地控制柜应有与计算机监控系统联接的接口，接口及通信要求由承包商与买方或买方指定单位协商确定。承包商负责现地控制设备的接口程序编制。</w:t>
      </w:r>
      <w:r/>
    </w:p>
    <w:p>
      <w:pPr>
        <w:pStyle w:val="1063"/>
        <w:ind w:left="0" w:firstLine="480"/>
        <w:spacing w:after="0"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八、</w:t>
      </w:r>
      <w:bookmarkStart w:id="219" w:name="_Toc296890982"/>
      <w:r/>
      <w:bookmarkEnd w:id="219"/>
      <w:r/>
      <w:bookmarkStart w:id="220" w:name="_Toc296503025"/>
      <w:r/>
      <w:bookmarkEnd w:id="220"/>
      <w:r>
        <w:rPr>
          <w:rFonts w:hint="eastAsia" w:ascii="宋体" w:hAnsi="宋体"/>
          <w:b/>
          <w:bCs/>
          <w:color w:val="auto"/>
          <w:sz w:val="24"/>
          <w:szCs w:val="24"/>
          <w:highlight w:val="none"/>
          <w:lang w:val="en-US" w:eastAsia="zh-CN"/>
        </w:rPr>
        <w:t xml:space="preserve">招标</w:t>
      </w:r>
      <w:r>
        <w:rPr>
          <w:rFonts w:hint="eastAsia" w:ascii="宋体" w:hAnsi="宋体"/>
          <w:b/>
          <w:bCs/>
          <w:color w:val="auto"/>
          <w:sz w:val="24"/>
          <w:szCs w:val="24"/>
          <w:highlight w:val="none"/>
        </w:rPr>
        <w:t xml:space="preserve">清单详见附件。</w:t>
      </w:r>
      <w:r/>
    </w:p>
    <w:p>
      <w:pPr>
        <w:jc w:val="center"/>
        <w:pageBreakBefore/>
        <w:spacing w:after="0" w:line="360" w:lineRule="auto"/>
        <w:rPr>
          <w:rFonts w:ascii="宋体" w:hAnsi="宋体"/>
          <w:b/>
          <w:color w:val="auto"/>
          <w:sz w:val="44"/>
          <w:szCs w:val="44"/>
          <w:highlight w:val="none"/>
        </w:rPr>
      </w:pPr>
      <w:r>
        <w:rPr>
          <w:rFonts w:hint="eastAsia" w:ascii="宋体" w:hAnsi="宋体"/>
          <w:b/>
          <w:color w:val="auto"/>
          <w:sz w:val="44"/>
          <w:szCs w:val="44"/>
          <w:highlight w:val="none"/>
        </w:rPr>
        <w:t xml:space="preserve">四、合同书</w:t>
      </w:r>
      <w:bookmarkStart w:id="221" w:name="五．合同条款"/>
      <w:r/>
      <w:bookmarkEnd w:id="221"/>
      <w:r>
        <w:rPr>
          <w:rFonts w:hint="eastAsia" w:ascii="宋体" w:hAnsi="宋体"/>
          <w:b/>
          <w:color w:val="auto"/>
          <w:sz w:val="44"/>
          <w:szCs w:val="44"/>
          <w:highlight w:val="none"/>
        </w:rPr>
        <w:t xml:space="preserve">格式</w:t>
      </w:r>
      <w:r/>
    </w:p>
    <w:p>
      <w:pPr>
        <w:spacing w:line="360" w:lineRule="auto"/>
        <w:rPr>
          <w:bCs/>
          <w:color w:val="auto"/>
          <w:sz w:val="24"/>
          <w:szCs w:val="24"/>
          <w:highlight w:val="none"/>
          <w:u w:val="single"/>
        </w:rPr>
      </w:pPr>
      <w:r>
        <w:rPr>
          <w:rFonts w:hint="eastAsia" w:ascii="宋体" w:hAnsi="宋体"/>
          <w:bCs/>
          <w:color w:val="auto"/>
          <w:sz w:val="24"/>
          <w:szCs w:val="24"/>
          <w:highlight w:val="none"/>
        </w:rPr>
        <w:t xml:space="preserve">甲</w:t>
      </w:r>
      <w:r>
        <w:rPr>
          <w:rFonts w:hint="eastAsia" w:ascii="___WRD_EMBED_SUB_44" w:hAnsi="___WRD_EMBED_SUB_44" w:eastAsia="___WRD_EMBED_SUB_44" w:cs="___WRD_EMBED_SUB_44"/>
          <w:bCs/>
          <w:color w:val="auto"/>
          <w:sz w:val="24"/>
          <w:szCs w:val="24"/>
          <w:highlight w:val="none"/>
        </w:rPr>
        <w:t xml:space="preserve">方（</w:t>
      </w:r>
      <w:r>
        <w:rPr>
          <w:rFonts w:hint="eastAsia" w:ascii="宋体" w:hAnsi="宋体"/>
          <w:bCs/>
          <w:color w:val="auto"/>
          <w:sz w:val="24"/>
          <w:szCs w:val="24"/>
          <w:highlight w:val="none"/>
        </w:rPr>
        <w:t xml:space="preserve">采购人）：</w:t>
      </w:r>
      <w:r>
        <w:rPr>
          <w:rFonts w:hint="eastAsia"/>
          <w:bCs/>
          <w:color w:val="auto"/>
          <w:sz w:val="24"/>
          <w:szCs w:val="24"/>
          <w:highlight w:val="none"/>
          <w:u w:val="single"/>
        </w:rPr>
        <w:t xml:space="preserve"> 无锡市水利工程管理中心 </w:t>
      </w:r>
      <w:r/>
    </w:p>
    <w:p>
      <w:pPr>
        <w:spacing w:line="360" w:lineRule="auto"/>
        <w:rPr>
          <w:bCs/>
          <w:color w:val="auto"/>
          <w:sz w:val="24"/>
          <w:szCs w:val="24"/>
          <w:highlight w:val="none"/>
          <w:u w:val="single"/>
        </w:rPr>
      </w:pPr>
      <w:r>
        <w:rPr>
          <w:rFonts w:hint="eastAsia"/>
          <w:bCs/>
          <w:color w:val="auto"/>
          <w:sz w:val="24"/>
          <w:szCs w:val="24"/>
          <w:highlight w:val="none"/>
        </w:rPr>
        <w:t xml:space="preserve">乙方（中标供应商）：</w:t>
      </w:r>
      <w:r>
        <w:rPr>
          <w:bCs/>
          <w:color w:val="auto"/>
          <w:sz w:val="24"/>
          <w:szCs w:val="24"/>
          <w:highlight w:val="none"/>
          <w:u w:val="single"/>
        </w:rPr>
        <w:t xml:space="preserve">                      </w:t>
      </w:r>
      <w:r/>
    </w:p>
    <w:p>
      <w:pPr>
        <w:ind w:firstLine="480"/>
        <w:spacing w:line="360" w:lineRule="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一、政府采购编号：</w:t>
      </w:r>
      <w:r>
        <w:rPr>
          <w:bCs/>
          <w:color w:val="auto"/>
          <w:sz w:val="24"/>
          <w:szCs w:val="24"/>
          <w:highlight w:val="none"/>
          <w:u w:val="single"/>
        </w:rPr>
        <w:t xml:space="preserve">                    </w:t>
      </w:r>
      <w:r>
        <w:rPr>
          <w:rFonts w:hint="eastAsia"/>
          <w:bCs/>
          <w:color w:val="auto"/>
          <w:sz w:val="24"/>
          <w:szCs w:val="24"/>
          <w:highlight w:val="none"/>
        </w:rPr>
        <w:t xml:space="preserve">  </w:t>
      </w:r>
      <w:r/>
    </w:p>
    <w:p>
      <w:pPr>
        <w:ind w:firstLine="480"/>
        <w:spacing w:line="360" w:lineRule="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二、采购内容：</w:t>
      </w:r>
      <w:r>
        <w:rPr>
          <w:bCs/>
          <w:color w:val="auto"/>
          <w:sz w:val="24"/>
          <w:szCs w:val="24"/>
          <w:highlight w:val="none"/>
          <w:u w:val="single"/>
        </w:rPr>
        <w:t xml:space="preserve">                   </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rPr>
        <w:t xml:space="preserve">    </w:t>
      </w:r>
      <w:r/>
    </w:p>
    <w:p>
      <w:pPr>
        <w:ind w:firstLine="480"/>
        <w:spacing w:line="360" w:lineRule="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三、中标总金额：</w:t>
      </w:r>
      <w:r>
        <w:rPr>
          <w:rFonts w:hint="eastAsia" w:ascii="宋体" w:hAnsi="宋体"/>
          <w:bCs/>
          <w:color w:val="auto"/>
          <w:sz w:val="24"/>
          <w:szCs w:val="24"/>
          <w:highlight w:val="none"/>
        </w:rPr>
        <w:t xml:space="preserve">人民币（大写）</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；人民币（小写）</w:t>
      </w:r>
      <w:r>
        <w:rPr>
          <w:rFonts w:hint="eastAsia" w:ascii="宋体" w:hAnsi="宋体"/>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u w:val="single"/>
        </w:rPr>
        <w:t xml:space="preserve">       </w:t>
      </w:r>
      <w:r>
        <w:rPr>
          <w:bCs/>
          <w:color w:val="auto"/>
          <w:sz w:val="24"/>
          <w:szCs w:val="24"/>
          <w:highlight w:val="none"/>
          <w:u w:val="single"/>
        </w:rPr>
        <w:t xml:space="preserve">  </w:t>
      </w:r>
      <w:r>
        <w:rPr>
          <w:bCs/>
          <w:color w:val="auto"/>
          <w:sz w:val="24"/>
          <w:szCs w:val="24"/>
          <w:highlight w:val="none"/>
        </w:rPr>
        <w:t xml:space="preserve"> </w:t>
      </w:r>
      <w:r/>
    </w:p>
    <w:p>
      <w:pPr>
        <w:ind w:firstLine="480"/>
        <w:spacing w:line="360" w:lineRule="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四、质量要求及验收标准：</w:t>
      </w:r>
      <w:r>
        <w:rPr>
          <w:bCs/>
          <w:color w:val="auto"/>
          <w:sz w:val="24"/>
          <w:szCs w:val="24"/>
          <w:highlight w:val="none"/>
          <w:u w:val="single"/>
        </w:rPr>
        <w:t xml:space="preserve">                   </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rPr>
        <w:t xml:space="preserve"> </w:t>
      </w:r>
      <w:r/>
    </w:p>
    <w:p>
      <w:pPr>
        <w:ind w:firstLine="480"/>
        <w:spacing w:line="360" w:lineRule="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五、</w:t>
      </w:r>
      <w:r>
        <w:rPr>
          <w:rFonts w:hint="eastAsia" w:ascii="宋体" w:hAnsi="宋体"/>
          <w:color w:val="auto"/>
          <w:sz w:val="24"/>
          <w:szCs w:val="24"/>
          <w:highlight w:val="none"/>
        </w:rPr>
        <w:t xml:space="preserve">质保期：</w:t>
      </w:r>
      <w:r>
        <w:rPr>
          <w:rFonts w:hint="eastAsia" w:ascii="宋体" w:hAnsi="宋体"/>
          <w:color w:val="auto"/>
          <w:sz w:val="24"/>
          <w:szCs w:val="24"/>
          <w:highlight w:val="none"/>
          <w:u w:val="single"/>
        </w:rPr>
        <w:t xml:space="preserve">                 </w:t>
      </w:r>
      <w:r/>
    </w:p>
    <w:p>
      <w:pPr>
        <w:ind w:firstLine="480"/>
        <w:spacing w:line="360" w:lineRule="auto"/>
        <w:tabs>
          <w:tab w:val="left" w:pos="840" w:leader="none"/>
          <w:tab w:val="left" w:pos="1155" w:leader="none"/>
        </w:tabs>
        <w:rPr>
          <w:bCs/>
          <w:color w:val="auto"/>
          <w:sz w:val="24"/>
          <w:szCs w:val="24"/>
          <w:highlight w:val="none"/>
          <w:u w:val="single"/>
        </w:rPr>
      </w:pPr>
      <w:r>
        <w:rPr>
          <w:rFonts w:hint="eastAsia" w:ascii="宋体" w:hAnsi="宋体"/>
          <w:bCs/>
          <w:color w:val="auto"/>
          <w:sz w:val="24"/>
          <w:szCs w:val="24"/>
          <w:highlight w:val="none"/>
        </w:rPr>
        <w:t xml:space="preserve">六、服务期：</w:t>
      </w:r>
      <w:r>
        <w:rPr>
          <w:bCs/>
          <w:color w:val="auto"/>
          <w:sz w:val="24"/>
          <w:szCs w:val="24"/>
          <w:highlight w:val="none"/>
          <w:u w:val="single"/>
        </w:rPr>
        <w:t xml:space="preserve">                   </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rPr>
        <w:t xml:space="preserve"> </w:t>
      </w:r>
      <w:r/>
    </w:p>
    <w:p>
      <w:pPr>
        <w:ind w:firstLine="480"/>
        <w:spacing w:line="360" w:lineRule="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七、服务</w:t>
      </w:r>
      <w:r>
        <w:rPr>
          <w:rFonts w:hint="eastAsia" w:ascii="宋体" w:hAnsi="宋体"/>
          <w:bCs/>
          <w:color w:val="auto"/>
          <w:sz w:val="24"/>
          <w:szCs w:val="24"/>
          <w:highlight w:val="none"/>
        </w:rPr>
        <w:t xml:space="preserve">地点和方式：</w:t>
      </w:r>
      <w:r>
        <w:rPr>
          <w:bCs/>
          <w:color w:val="auto"/>
          <w:sz w:val="24"/>
          <w:szCs w:val="24"/>
          <w:highlight w:val="none"/>
          <w:u w:val="single"/>
        </w:rPr>
        <w:t xml:space="preserve">                   </w:t>
      </w:r>
      <w:r>
        <w:rPr>
          <w:rFonts w:hint="eastAsia"/>
          <w:bCs/>
          <w:color w:val="auto"/>
          <w:sz w:val="24"/>
          <w:szCs w:val="24"/>
          <w:highlight w:val="none"/>
          <w:u w:val="single"/>
        </w:rPr>
        <w:t xml:space="preserve">   </w:t>
      </w:r>
      <w:r>
        <w:rPr>
          <w:bCs/>
          <w:color w:val="auto"/>
          <w:sz w:val="24"/>
          <w:szCs w:val="24"/>
          <w:highlight w:val="none"/>
          <w:u w:val="single"/>
        </w:rPr>
        <w:t xml:space="preserve"> </w:t>
      </w:r>
      <w:r/>
    </w:p>
    <w:p>
      <w:pPr>
        <w:ind w:firstLine="480"/>
        <w:spacing w:line="360" w:lineRule="auto"/>
        <w:tabs>
          <w:tab w:val="left" w:pos="840" w:leader="none"/>
          <w:tab w:val="left" w:pos="1155" w:leader="none"/>
        </w:tabs>
        <w:rPr>
          <w:rFonts w:ascii="宋体" w:hAnsi="宋体"/>
          <w:color w:val="auto"/>
          <w:sz w:val="24"/>
          <w:szCs w:val="24"/>
          <w:highlight w:val="none"/>
        </w:rPr>
      </w:pPr>
      <w:r>
        <w:rPr>
          <w:rFonts w:hint="eastAsia"/>
          <w:color w:val="auto"/>
          <w:sz w:val="24"/>
          <w:szCs w:val="24"/>
          <w:highlight w:val="none"/>
        </w:rPr>
        <w:t xml:space="preserve">八</w:t>
      </w:r>
      <w:r>
        <w:rPr>
          <w:rFonts w:hint="eastAsia"/>
          <w:bCs/>
          <w:color w:val="auto"/>
          <w:sz w:val="24"/>
          <w:szCs w:val="24"/>
          <w:highlight w:val="none"/>
        </w:rPr>
        <w:t xml:space="preserve">、合同款支付步骤和办法： </w:t>
      </w:r>
      <w:r>
        <w:rPr>
          <w:bCs/>
          <w:color w:val="auto"/>
          <w:sz w:val="24"/>
          <w:szCs w:val="24"/>
          <w:highlight w:val="none"/>
          <w:u w:val="single"/>
        </w:rPr>
        <w:t xml:space="preserve">                   </w:t>
      </w:r>
      <w:r>
        <w:rPr>
          <w:rFonts w:hint="eastAsia"/>
          <w:bCs/>
          <w:color w:val="auto"/>
          <w:sz w:val="24"/>
          <w:szCs w:val="24"/>
          <w:highlight w:val="none"/>
          <w:u w:val="single"/>
        </w:rPr>
        <w:t xml:space="preserve">   </w:t>
      </w:r>
      <w:r>
        <w:rPr>
          <w:bCs/>
          <w:color w:val="auto"/>
          <w:sz w:val="24"/>
          <w:szCs w:val="24"/>
          <w:highlight w:val="none"/>
          <w:u w:val="single"/>
        </w:rPr>
        <w:t xml:space="preserve"> </w:t>
      </w:r>
      <w:r>
        <w:rPr>
          <w:rFonts w:hint="eastAsia"/>
          <w:bCs/>
          <w:color w:val="auto"/>
          <w:sz w:val="24"/>
          <w:szCs w:val="24"/>
          <w:highlight w:val="none"/>
        </w:rPr>
        <w:t xml:space="preserve"> </w:t>
      </w:r>
      <w:r/>
    </w:p>
    <w:p>
      <w:pPr>
        <w:ind w:firstLine="480"/>
        <w:spacing w:line="360" w:lineRule="auto"/>
        <w:tabs>
          <w:tab w:val="left" w:pos="840" w:leader="none"/>
          <w:tab w:val="left" w:pos="1155" w:leader="none"/>
        </w:tabs>
        <w:rPr>
          <w:bCs/>
          <w:color w:val="auto"/>
          <w:sz w:val="24"/>
          <w:szCs w:val="24"/>
          <w:highlight w:val="none"/>
          <w:u w:val="single"/>
        </w:rPr>
      </w:pPr>
      <w:r>
        <w:rPr>
          <w:rFonts w:hint="eastAsia"/>
          <w:color w:val="auto"/>
          <w:sz w:val="24"/>
          <w:szCs w:val="24"/>
          <w:highlight w:val="none"/>
        </w:rPr>
        <w:t xml:space="preserve">九、</w:t>
      </w:r>
      <w:r>
        <w:rPr>
          <w:rFonts w:hint="eastAsia"/>
          <w:bCs/>
          <w:color w:val="auto"/>
          <w:sz w:val="24"/>
          <w:szCs w:val="24"/>
          <w:highlight w:val="none"/>
        </w:rPr>
        <w:t xml:space="preserve">违约责任：</w:t>
      </w:r>
      <w:r>
        <w:rPr>
          <w:rFonts w:hint="eastAsia"/>
          <w:bCs/>
          <w:color w:val="auto"/>
          <w:sz w:val="24"/>
          <w:szCs w:val="24"/>
          <w:highlight w:val="none"/>
          <w:u w:val="single"/>
        </w:rPr>
        <w:t xml:space="preserve">详见合同条款。</w:t>
      </w:r>
      <w:r/>
    </w:p>
    <w:p>
      <w:pPr>
        <w:ind w:firstLine="480"/>
        <w:spacing w:line="360" w:lineRule="auto"/>
        <w:tabs>
          <w:tab w:val="left" w:pos="840" w:leader="none"/>
          <w:tab w:val="left" w:pos="1155" w:leader="none"/>
        </w:tabs>
        <w:rPr>
          <w:bCs/>
          <w:color w:val="auto"/>
          <w:sz w:val="24"/>
          <w:szCs w:val="24"/>
          <w:highlight w:val="none"/>
          <w:u w:val="single"/>
        </w:rPr>
      </w:pPr>
      <w:r>
        <w:rPr>
          <w:rFonts w:hint="eastAsia"/>
          <w:bCs/>
          <w:color w:val="auto"/>
          <w:sz w:val="24"/>
          <w:szCs w:val="24"/>
          <w:highlight w:val="none"/>
        </w:rPr>
        <w:t xml:space="preserve">十</w:t>
      </w:r>
      <w:r>
        <w:rPr>
          <w:rFonts w:hint="eastAsia"/>
          <w:color w:val="auto"/>
          <w:sz w:val="24"/>
          <w:szCs w:val="24"/>
          <w:highlight w:val="none"/>
        </w:rPr>
        <w:t xml:space="preserve">、解决争议的方式：</w:t>
      </w:r>
      <w:r>
        <w:rPr>
          <w:rFonts w:hint="eastAsia"/>
          <w:bCs/>
          <w:color w:val="auto"/>
          <w:sz w:val="24"/>
          <w:szCs w:val="24"/>
          <w:highlight w:val="none"/>
          <w:u w:val="single"/>
        </w:rPr>
        <w:t xml:space="preserve">详见合同条款。</w:t>
      </w:r>
      <w:r/>
    </w:p>
    <w:p>
      <w:pPr>
        <w:pStyle w:val="1092"/>
        <w:rPr>
          <w:bCs/>
          <w:color w:val="auto"/>
          <w:sz w:val="24"/>
          <w:szCs w:val="24"/>
          <w:highlight w:val="none"/>
          <w:u w:val="single"/>
        </w:rPr>
      </w:pPr>
      <w:r>
        <w:rPr>
          <w:rFonts w:hint="eastAsia"/>
          <w:bCs/>
          <w:color w:val="auto"/>
          <w:sz w:val="24"/>
          <w:szCs w:val="24"/>
          <w:highlight w:val="none"/>
        </w:rPr>
        <w:t xml:space="preserve">十一、其他事项：</w:t>
      </w:r>
      <w:r>
        <w:rPr>
          <w:rFonts w:hint="eastAsia" w:ascii="宋体" w:hAnsi="宋体"/>
          <w:bCs/>
          <w:color w:val="auto"/>
          <w:sz w:val="24"/>
          <w:szCs w:val="24"/>
          <w:highlight w:val="none"/>
          <w:u w:val="single"/>
          <w:lang w:val="en-US"/>
        </w:rPr>
        <w:t xml:space="preserve">本项目收取履约保证金；其他事项</w:t>
      </w:r>
      <w:r>
        <w:rPr>
          <w:rFonts w:hint="eastAsia"/>
          <w:bCs/>
          <w:color w:val="auto"/>
          <w:sz w:val="24"/>
          <w:szCs w:val="24"/>
          <w:highlight w:val="none"/>
          <w:u w:val="single"/>
        </w:rPr>
        <w:t xml:space="preserve">详见合同条款。</w:t>
      </w:r>
      <w:r/>
    </w:p>
    <w:p>
      <w:pPr>
        <w:ind w:firstLine="480"/>
        <w:spacing w:line="360" w:lineRule="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十二、合同不可分割部分：</w:t>
      </w:r>
      <w:r/>
    </w:p>
    <w:p>
      <w:pPr>
        <w:ind w:firstLine="480"/>
        <w:spacing w:line="360" w:lineRule="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招标文件、投标文件、合同条款及成交通知书，乙方在投标、评标过程中所作其它有关承诺、声明、书面澄清等均为合同不可分割的部分，与主合同具有同等法律效力。</w:t>
      </w:r>
      <w:r/>
    </w:p>
    <w:p>
      <w:pPr>
        <w:ind w:firstLine="480"/>
        <w:spacing w:line="360" w:lineRule="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十三、合同备案：合同一式五份，甲乙双方二份，采购代理机构一份。</w:t>
      </w:r>
      <w:r/>
    </w:p>
    <w:p>
      <w:pPr>
        <w:ind w:firstLine="480"/>
        <w:spacing w:line="360" w:lineRule="auto"/>
        <w:tabs>
          <w:tab w:val="left" w:pos="840" w:leader="none"/>
          <w:tab w:val="left" w:pos="1155" w:leader="none"/>
        </w:tabs>
        <w:rPr>
          <w:bCs/>
          <w:color w:val="auto"/>
          <w:sz w:val="24"/>
          <w:szCs w:val="24"/>
          <w:highlight w:val="none"/>
        </w:rPr>
      </w:pPr>
      <w:r>
        <w:rPr>
          <w:rFonts w:hint="eastAsia"/>
          <w:bCs/>
          <w:color w:val="auto"/>
          <w:sz w:val="24"/>
          <w:szCs w:val="24"/>
          <w:highlight w:val="none"/>
        </w:rPr>
        <w:t xml:space="preserve">十四、本合同由甲乙双方签字、盖章，并经采购代理机构见证后生效。   </w:t>
      </w:r>
      <w:r/>
    </w:p>
    <w:p>
      <w:pPr>
        <w:spacing w:line="360" w:lineRule="auto"/>
        <w:rPr>
          <w:bCs/>
          <w:color w:val="auto"/>
          <w:sz w:val="24"/>
          <w:szCs w:val="24"/>
          <w:highlight w:val="none"/>
          <w:u w:val="single"/>
        </w:rPr>
      </w:pPr>
      <w:r>
        <w:rPr>
          <w:rFonts w:hint="eastAsia"/>
          <w:bCs/>
          <w:color w:val="auto"/>
          <w:sz w:val="24"/>
          <w:szCs w:val="24"/>
          <w:highlight w:val="none"/>
        </w:rPr>
        <w:t xml:space="preserve"> 甲方（采购人）：（盖章）</w:t>
      </w:r>
      <w:r>
        <w:rPr>
          <w:bCs/>
          <w:color w:val="auto"/>
          <w:sz w:val="24"/>
          <w:szCs w:val="24"/>
          <w:highlight w:val="none"/>
        </w:rPr>
        <w:t xml:space="preserve">         </w:t>
      </w:r>
      <w:r>
        <w:rPr>
          <w:rFonts w:hint="eastAsia"/>
          <w:bCs/>
          <w:color w:val="auto"/>
          <w:sz w:val="24"/>
          <w:szCs w:val="24"/>
          <w:highlight w:val="none"/>
        </w:rPr>
        <w:t xml:space="preserve">       乙方（中标供应商）：（盖章）</w:t>
      </w:r>
      <w:r/>
    </w:p>
    <w:p>
      <w:pPr>
        <w:jc w:val="both"/>
        <w:spacing w:after="0" w:line="360" w:lineRule="auto"/>
        <w:widowControl w:val="off"/>
        <w:rPr>
          <w:rFonts w:ascii="宋体" w:hAnsi="Times New Roman" w:cs="Times New Roman"/>
          <w:bCs/>
          <w:color w:val="auto"/>
          <w:sz w:val="24"/>
          <w:szCs w:val="24"/>
          <w:highlight w:val="none"/>
          <w:u w:val="single"/>
        </w:rPr>
      </w:pPr>
      <w:r>
        <w:rPr>
          <w:rFonts w:hint="eastAsia"/>
          <w:bCs/>
          <w:color w:val="auto"/>
          <w:sz w:val="24"/>
          <w:szCs w:val="24"/>
          <w:highlight w:val="none"/>
        </w:rPr>
        <w:t xml:space="preserve"> </w:t>
      </w:r>
      <w:r>
        <w:rPr>
          <w:rFonts w:hint="eastAsia" w:ascii="宋体" w:hAnsi="宋体"/>
          <w:bCs/>
          <w:color w:val="auto"/>
          <w:sz w:val="24"/>
          <w:szCs w:val="24"/>
          <w:highlight w:val="none"/>
        </w:rPr>
        <w:t xml:space="preserve">法定（授权）代表人：</w:t>
      </w:r>
      <w:r>
        <w:rPr>
          <w:rFonts w:hint="eastAsia" w:ascii="宋体" w:hAnsi="宋体" w:cs="Times New Roman"/>
          <w:bCs/>
          <w:color w:val="auto"/>
          <w:sz w:val="24"/>
          <w:szCs w:val="24"/>
          <w:highlight w:val="none"/>
          <w:u w:val="single"/>
        </w:rPr>
        <w:t xml:space="preserve">                </w:t>
      </w:r>
      <w:r>
        <w:rPr>
          <w:rFonts w:hint="eastAsia" w:ascii="宋体" w:hAnsi="宋体" w:cs="Times New Roman"/>
          <w:bCs/>
          <w:color w:val="auto"/>
          <w:sz w:val="24"/>
          <w:szCs w:val="24"/>
          <w:highlight w:val="none"/>
        </w:rPr>
        <w:t xml:space="preserve">    </w:t>
      </w:r>
      <w:r>
        <w:rPr>
          <w:rFonts w:hint="eastAsia" w:ascii="宋体" w:hAnsi="宋体"/>
          <w:bCs/>
          <w:color w:val="auto"/>
          <w:sz w:val="24"/>
          <w:szCs w:val="24"/>
          <w:highlight w:val="none"/>
        </w:rPr>
        <w:t xml:space="preserve">法定（授权）代表人：</w:t>
      </w:r>
      <w:r>
        <w:rPr>
          <w:rFonts w:hint="eastAsia" w:ascii="宋体" w:hAnsi="宋体" w:cs="Times New Roman"/>
          <w:bCs/>
          <w:color w:val="auto"/>
          <w:sz w:val="24"/>
          <w:szCs w:val="24"/>
          <w:highlight w:val="none"/>
          <w:u w:val="single"/>
        </w:rPr>
        <w:t xml:space="preserve">                </w:t>
      </w:r>
      <w:r/>
    </w:p>
    <w:p>
      <w:pPr>
        <w:ind w:firstLine="1200"/>
        <w:jc w:val="both"/>
        <w:spacing w:after="0" w:line="360" w:lineRule="auto"/>
        <w:widowControl w:val="off"/>
        <w:rPr>
          <w:rFonts w:ascii="宋体" w:hAnsi="宋体" w:cs="Times New Roman"/>
          <w:bCs/>
          <w:color w:val="auto"/>
          <w:sz w:val="24"/>
          <w:szCs w:val="24"/>
          <w:highlight w:val="none"/>
        </w:rPr>
      </w:pPr>
      <w:r>
        <w:rPr>
          <w:rFonts w:hint="eastAsia" w:ascii="宋体" w:hAnsi="宋体" w:cs="Times New Roman"/>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hint="eastAsia" w:ascii="宋体" w:hAnsi="宋体" w:cs="Times New Roman"/>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hint="eastAsia" w:ascii="宋体" w:hAnsi="宋体" w:cs="Times New Roman"/>
          <w:bCs/>
          <w:color w:val="auto"/>
          <w:sz w:val="24"/>
          <w:szCs w:val="24"/>
          <w:highlight w:val="none"/>
          <w:u w:val="single"/>
        </w:rPr>
        <w:t xml:space="preserve">       </w:t>
      </w:r>
      <w:r>
        <w:rPr>
          <w:rFonts w:hint="eastAsia" w:ascii="宋体" w:hAnsi="宋体"/>
          <w:bCs/>
          <w:color w:val="auto"/>
          <w:sz w:val="24"/>
          <w:szCs w:val="24"/>
          <w:highlight w:val="none"/>
        </w:rPr>
        <w:t xml:space="preserve">日</w:t>
      </w:r>
      <w:r>
        <w:rPr>
          <w:rFonts w:hint="eastAsia" w:ascii="宋体" w:hAnsi="宋体" w:cs="Times New Roman"/>
          <w:bCs/>
          <w:color w:val="auto"/>
          <w:sz w:val="24"/>
          <w:szCs w:val="24"/>
          <w:highlight w:val="none"/>
        </w:rPr>
        <w:t xml:space="preserve">            </w:t>
      </w:r>
      <w:r>
        <w:rPr>
          <w:rFonts w:hint="eastAsia" w:ascii="宋体" w:hAnsi="宋体" w:cs="Times New Roman"/>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hint="eastAsia" w:ascii="宋体" w:hAnsi="宋体" w:cs="Times New Roman"/>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hint="eastAsia" w:ascii="宋体" w:hAnsi="宋体" w:cs="Times New Roman"/>
          <w:bCs/>
          <w:color w:val="auto"/>
          <w:sz w:val="24"/>
          <w:szCs w:val="24"/>
          <w:highlight w:val="none"/>
          <w:u w:val="single"/>
        </w:rPr>
        <w:t xml:space="preserve">       </w:t>
      </w:r>
      <w:r>
        <w:rPr>
          <w:rFonts w:hint="eastAsia" w:ascii="宋体" w:hAnsi="宋体"/>
          <w:bCs/>
          <w:color w:val="auto"/>
          <w:sz w:val="24"/>
          <w:szCs w:val="24"/>
          <w:highlight w:val="none"/>
        </w:rPr>
        <w:t xml:space="preserve">日</w:t>
      </w:r>
      <w:r>
        <w:rPr>
          <w:rFonts w:hint="eastAsia" w:ascii="宋体" w:hAnsi="宋体" w:cs="Times New Roman"/>
          <w:bCs/>
          <w:color w:val="auto"/>
          <w:sz w:val="24"/>
          <w:szCs w:val="24"/>
          <w:highlight w:val="none"/>
        </w:rPr>
        <w:t xml:space="preserve">  </w:t>
      </w:r>
      <w:r/>
    </w:p>
    <w:p>
      <w:pPr>
        <w:jc w:val="center"/>
        <w:spacing w:after="0" w:line="360" w:lineRule="auto"/>
        <w:widowControl w:val="off"/>
        <w:rPr>
          <w:rFonts w:ascii="宋体" w:hAnsi="Times New Roman" w:cs="Times New Roman"/>
          <w:bCs/>
          <w:color w:val="auto"/>
          <w:sz w:val="24"/>
          <w:szCs w:val="24"/>
          <w:highlight w:val="none"/>
          <w:u w:val="single"/>
        </w:rPr>
      </w:pPr>
      <w:r>
        <w:rPr>
          <w:rFonts w:hint="eastAsia" w:ascii="宋体" w:hAnsi="宋体"/>
          <w:bCs/>
          <w:color w:val="auto"/>
          <w:sz w:val="24"/>
          <w:szCs w:val="24"/>
          <w:highlight w:val="none"/>
        </w:rPr>
        <w:t xml:space="preserve">               供方户名：</w:t>
      </w:r>
      <w:r>
        <w:rPr>
          <w:rFonts w:hint="eastAsia" w:ascii="宋体" w:hAnsi="宋体" w:cs="Times New Roman"/>
          <w:bCs/>
          <w:color w:val="auto"/>
          <w:sz w:val="24"/>
          <w:szCs w:val="24"/>
          <w:highlight w:val="none"/>
          <w:u w:val="single"/>
        </w:rPr>
        <w:t xml:space="preserve">                           </w:t>
      </w:r>
      <w:r/>
    </w:p>
    <w:p>
      <w:pPr>
        <w:jc w:val="center"/>
        <w:spacing w:after="0" w:line="360" w:lineRule="auto"/>
        <w:widowControl w:val="off"/>
        <w:rPr>
          <w:rFonts w:ascii="宋体" w:hAnsi="宋体" w:cs="Times New Roman"/>
          <w:bCs/>
          <w:color w:val="auto"/>
          <w:sz w:val="24"/>
          <w:szCs w:val="24"/>
          <w:highlight w:val="none"/>
          <w:u w:val="single"/>
        </w:rPr>
      </w:pPr>
      <w:r>
        <w:rPr>
          <w:rFonts w:hint="eastAsia" w:ascii="宋体" w:hAnsi="宋体" w:cs="Times New Roman"/>
          <w:bCs/>
          <w:color w:val="auto"/>
          <w:sz w:val="24"/>
          <w:szCs w:val="24"/>
          <w:highlight w:val="none"/>
        </w:rPr>
        <w:t xml:space="preserve">                   </w:t>
      </w:r>
      <w:r>
        <w:rPr>
          <w:rFonts w:hint="eastAsia" w:ascii="宋体" w:hAnsi="宋体"/>
          <w:bCs/>
          <w:color w:val="auto"/>
          <w:sz w:val="24"/>
          <w:szCs w:val="24"/>
          <w:highlight w:val="none"/>
        </w:rPr>
        <w:t xml:space="preserve">供方开户银行：</w:t>
      </w:r>
      <w:r>
        <w:rPr>
          <w:rFonts w:hint="eastAsia" w:ascii="宋体" w:hAnsi="宋体" w:cs="Times New Roman"/>
          <w:bCs/>
          <w:color w:val="auto"/>
          <w:sz w:val="24"/>
          <w:szCs w:val="24"/>
          <w:highlight w:val="none"/>
          <w:u w:val="single"/>
        </w:rPr>
        <w:t xml:space="preserve">                       </w:t>
      </w:r>
      <w:r/>
    </w:p>
    <w:p>
      <w:pPr>
        <w:jc w:val="center"/>
        <w:spacing w:after="0" w:line="360" w:lineRule="auto"/>
        <w:widowControl w:val="off"/>
        <w:rPr>
          <w:rFonts w:ascii="宋体" w:hAnsi="Times New Roman" w:cs="Times New Roman"/>
          <w:bCs/>
          <w:color w:val="auto"/>
          <w:sz w:val="24"/>
          <w:szCs w:val="24"/>
          <w:highlight w:val="none"/>
          <w:u w:val="single"/>
        </w:rPr>
      </w:pPr>
      <w:r>
        <w:rPr>
          <w:rFonts w:hint="eastAsia" w:ascii="宋体" w:hAnsi="宋体"/>
          <w:bCs/>
          <w:color w:val="auto"/>
          <w:sz w:val="24"/>
          <w:szCs w:val="24"/>
          <w:highlight w:val="none"/>
        </w:rPr>
        <w:t xml:space="preserve">               供方账号：</w:t>
      </w:r>
      <w:r>
        <w:rPr>
          <w:rFonts w:hint="eastAsia" w:ascii="宋体" w:hAnsi="宋体" w:cs="Times New Roman"/>
          <w:bCs/>
          <w:color w:val="auto"/>
          <w:sz w:val="24"/>
          <w:szCs w:val="24"/>
          <w:highlight w:val="none"/>
          <w:u w:val="single"/>
        </w:rPr>
        <w:t xml:space="preserve">                            </w:t>
      </w:r>
      <w:r/>
    </w:p>
    <w:p>
      <w:pPr>
        <w:jc w:val="both"/>
        <w:spacing w:after="0" w:line="360" w:lineRule="auto"/>
        <w:widowControl w:val="off"/>
        <w:rPr>
          <w:rFonts w:ascii="宋体" w:hAnsi="Times New Roman" w:cs="Times New Roman"/>
          <w:bCs/>
          <w:color w:val="auto"/>
          <w:sz w:val="24"/>
          <w:szCs w:val="24"/>
          <w:highlight w:val="none"/>
        </w:rPr>
      </w:pPr>
      <w:r>
        <w:rPr>
          <w:rFonts w:hint="eastAsia" w:ascii="宋体" w:hAnsi="宋体"/>
          <w:bCs/>
          <w:color w:val="auto"/>
          <w:sz w:val="24"/>
          <w:szCs w:val="24"/>
          <w:highlight w:val="none"/>
        </w:rPr>
        <w:t xml:space="preserve">见证方：</w:t>
      </w:r>
      <w:r>
        <w:rPr>
          <w:rFonts w:hint="eastAsia" w:ascii="宋体" w:hAnsi="宋体" w:cs="Times New Roman"/>
          <w:bCs/>
          <w:color w:val="auto"/>
          <w:sz w:val="24"/>
          <w:szCs w:val="24"/>
          <w:highlight w:val="none"/>
          <w:u w:val="single"/>
        </w:rPr>
        <w:t xml:space="preserve"> </w:t>
      </w:r>
      <w:r>
        <w:rPr>
          <w:rFonts w:hint="eastAsia" w:ascii="宋体" w:hAnsi="宋体"/>
          <w:bCs/>
          <w:color w:val="auto"/>
          <w:sz w:val="24"/>
          <w:szCs w:val="24"/>
          <w:highlight w:val="none"/>
          <w:u w:val="single"/>
        </w:rPr>
        <w:t xml:space="preserve">江苏仁合中惠工程咨询有限公司</w:t>
      </w:r>
      <w:r>
        <w:rPr>
          <w:rFonts w:hint="eastAsia" w:ascii="宋体" w:hAnsi="宋体" w:cs="Times New Roman"/>
          <w:bCs/>
          <w:color w:val="auto"/>
          <w:sz w:val="24"/>
          <w:szCs w:val="24"/>
          <w:highlight w:val="none"/>
          <w:u w:val="single"/>
        </w:rPr>
        <w:t xml:space="preserve"> </w:t>
      </w:r>
      <w:r>
        <w:rPr>
          <w:rFonts w:hint="eastAsia" w:ascii="宋体" w:hAnsi="宋体"/>
          <w:bCs/>
          <w:color w:val="auto"/>
          <w:sz w:val="24"/>
          <w:szCs w:val="24"/>
          <w:highlight w:val="none"/>
        </w:rPr>
        <w:t xml:space="preserve">（盖章）</w:t>
      </w:r>
      <w:r/>
    </w:p>
    <w:p>
      <w:pPr>
        <w:spacing w:after="0" w:line="360" w:lineRule="auto"/>
        <w:widowControl w:val="off"/>
        <w:rPr>
          <w:rFonts w:ascii="宋体" w:hAnsi="Times New Roman" w:cs="Times New Roman"/>
          <w:bCs/>
          <w:color w:val="auto"/>
          <w:sz w:val="24"/>
          <w:szCs w:val="24"/>
          <w:highlight w:val="none"/>
        </w:rPr>
      </w:pPr>
      <w:r>
        <w:rPr>
          <w:rFonts w:hint="eastAsia" w:ascii="宋体" w:hAnsi="宋体"/>
          <w:bCs/>
          <w:color w:val="auto"/>
          <w:sz w:val="24"/>
          <w:szCs w:val="24"/>
          <w:highlight w:val="none"/>
        </w:rPr>
        <w:t xml:space="preserve">见证人：</w:t>
      </w:r>
      <w:r>
        <w:rPr>
          <w:rFonts w:hint="eastAsia" w:ascii="宋体" w:hAnsi="宋体" w:cs="Times New Roman"/>
          <w:bCs/>
          <w:color w:val="auto"/>
          <w:sz w:val="24"/>
          <w:szCs w:val="24"/>
          <w:highlight w:val="none"/>
          <w:u w:val="single"/>
        </w:rPr>
        <w:t xml:space="preserve">                              </w:t>
      </w:r>
      <w:r/>
    </w:p>
    <w:p>
      <w:pPr>
        <w:spacing w:after="0" w:line="360" w:lineRule="auto"/>
        <w:widowControl w:val="off"/>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 </w:t>
      </w:r>
      <w:r>
        <w:rPr>
          <w:rFonts w:hint="eastAsia" w:ascii="宋体" w:hAnsi="宋体"/>
          <w:bCs/>
          <w:color w:val="auto"/>
          <w:sz w:val="24"/>
          <w:szCs w:val="24"/>
          <w:highlight w:val="none"/>
        </w:rPr>
        <w:t xml:space="preserve">★</w:t>
      </w:r>
      <w:r>
        <w:rPr>
          <w:rFonts w:hint="eastAsia" w:ascii="宋体" w:hAnsi="Times New Roman" w:cs="Times New Roman"/>
          <w:bCs/>
          <w:color w:val="auto"/>
          <w:sz w:val="24"/>
          <w:szCs w:val="24"/>
          <w:highlight w:val="none"/>
        </w:rPr>
        <w:t xml:space="preserve">.</w:t>
      </w:r>
      <w:r>
        <w:rPr>
          <w:rFonts w:hint="eastAsia" w:ascii="宋体" w:hAnsi="宋体"/>
          <w:b/>
          <w:bCs/>
          <w:color w:val="auto"/>
          <w:sz w:val="24"/>
          <w:szCs w:val="24"/>
          <w:highlight w:val="none"/>
        </w:rPr>
        <w:t xml:space="preserve">备注：</w:t>
      </w:r>
      <w:r>
        <w:rPr>
          <w:rFonts w:hint="eastAsia" w:ascii="宋体" w:hAnsi="宋体"/>
          <w:bCs/>
          <w:color w:val="auto"/>
          <w:sz w:val="24"/>
          <w:szCs w:val="24"/>
          <w:highlight w:val="none"/>
        </w:rPr>
        <w:t xml:space="preserve">甲乙双方必须以本格式文本，按照合同条款拟订合同。</w:t>
      </w:r>
      <w:r/>
    </w:p>
    <w:p>
      <w:pPr>
        <w:jc w:val="center"/>
        <w:spacing w:line="360" w:lineRule="auto"/>
        <w:rPr>
          <w:rFonts w:ascii="黑体" w:eastAsia="黑体"/>
          <w:color w:val="auto"/>
          <w:sz w:val="32"/>
          <w:highlight w:val="none"/>
        </w:rPr>
      </w:pPr>
      <w:r>
        <w:rPr>
          <w:rFonts w:ascii="宋体" w:hAnsi="宋体"/>
          <w:bCs/>
          <w:color w:val="auto"/>
          <w:sz w:val="24"/>
          <w:szCs w:val="24"/>
          <w:highlight w:val="none"/>
        </w:rPr>
        <w:br w:type="page" w:clear="all"/>
      </w:r>
      <w:bookmarkStart w:id="222" w:name="_Toc112006934"/>
      <w:r>
        <w:rPr>
          <w:rFonts w:hint="eastAsia" w:ascii="黑体" w:eastAsia="黑体"/>
          <w:color w:val="auto"/>
          <w:sz w:val="32"/>
          <w:highlight w:val="none"/>
        </w:rPr>
        <w:t xml:space="preserve">合同条款</w:t>
      </w:r>
      <w:bookmarkEnd w:id="222"/>
      <w:r/>
      <w:r/>
    </w:p>
    <w:p>
      <w:pPr>
        <w:ind w:firstLine="482"/>
        <w:spacing w:line="360" w:lineRule="auto"/>
        <w:rPr>
          <w:rFonts w:ascii="宋体"/>
          <w:b/>
          <w:color w:val="auto"/>
          <w:sz w:val="24"/>
          <w:szCs w:val="24"/>
          <w:highlight w:val="none"/>
        </w:rPr>
      </w:pPr>
      <w:r>
        <w:rPr>
          <w:rFonts w:hint="eastAsia" w:ascii="宋体" w:hAnsi="宋体"/>
          <w:b/>
          <w:color w:val="auto"/>
          <w:sz w:val="24"/>
          <w:szCs w:val="24"/>
          <w:highlight w:val="none"/>
        </w:rPr>
        <w:t xml:space="preserve">甲方（采购人）：</w:t>
      </w:r>
      <w:r>
        <w:rPr>
          <w:rFonts w:hint="eastAsia"/>
          <w:bCs/>
          <w:color w:val="auto"/>
          <w:sz w:val="24"/>
          <w:szCs w:val="24"/>
          <w:highlight w:val="none"/>
          <w:u w:val="single"/>
        </w:rPr>
        <w:t xml:space="preserve"> 无锡市水利工程管理中心 </w:t>
      </w:r>
      <w:r/>
    </w:p>
    <w:p>
      <w:pPr>
        <w:ind w:firstLine="482"/>
        <w:spacing w:line="360" w:lineRule="auto"/>
        <w:rPr>
          <w:rFonts w:ascii="宋体"/>
          <w:color w:val="auto"/>
          <w:sz w:val="24"/>
          <w:szCs w:val="24"/>
          <w:highlight w:val="none"/>
        </w:rPr>
      </w:pPr>
      <w:r>
        <w:rPr>
          <w:rFonts w:hint="eastAsia" w:ascii="宋体" w:hAnsi="宋体"/>
          <w:b/>
          <w:color w:val="auto"/>
          <w:sz w:val="24"/>
          <w:szCs w:val="24"/>
          <w:highlight w:val="none"/>
        </w:rPr>
        <w:t xml:space="preserve">乙方（中标供应商）：</w:t>
      </w:r>
      <w:r>
        <w:rPr>
          <w:rFonts w:ascii="宋体" w:hAnsi="宋体"/>
          <w:b/>
          <w:color w:val="auto"/>
          <w:sz w:val="24"/>
          <w:szCs w:val="24"/>
          <w:highlight w:val="non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根据《中华人民共和国民法典》及有关法律规定，遵循平等、自愿、公平和诚实信用的原则，双方就</w:t>
      </w:r>
      <w:r>
        <w:rPr>
          <w:rFonts w:hint="eastAsia" w:ascii="宋体" w:hAnsi="宋体"/>
          <w:b/>
          <w:color w:val="auto"/>
          <w:sz w:val="24"/>
          <w:szCs w:val="24"/>
          <w:highlight w:val="none"/>
          <w:u w:val="single"/>
          <w:lang w:eastAsia="zh-CN"/>
        </w:rPr>
        <w:t xml:space="preserve">无锡市水利工程管理中心江尖水利枢纽液压系统维修改造项目</w:t>
      </w:r>
      <w:r>
        <w:rPr>
          <w:rFonts w:hint="eastAsia" w:ascii="宋体" w:hAnsi="宋体"/>
          <w:color w:val="auto"/>
          <w:sz w:val="24"/>
          <w:szCs w:val="24"/>
          <w:highlight w:val="none"/>
        </w:rPr>
        <w:t xml:space="preserve">及有关事项协商一致，共同达成如下协议：</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一、项目概况</w:t>
      </w:r>
      <w:r/>
    </w:p>
    <w:p>
      <w:pPr>
        <w:ind w:firstLine="480"/>
        <w:spacing w:after="0" w:line="360" w:lineRule="auto"/>
        <w:rPr>
          <w:rFonts w:hint="eastAsia" w:ascii="宋体" w:eastAsia="宋体"/>
          <w:color w:val="auto"/>
          <w:sz w:val="24"/>
          <w:szCs w:val="24"/>
          <w:highlight w:val="none"/>
          <w:u w:val="single"/>
          <w:lang w:eastAsia="zh-CN"/>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项目名称</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eastAsia="zh-CN"/>
        </w:rPr>
        <w:t xml:space="preserve">无锡市水利工程管理中心江尖水利枢纽液压系统维修改造项目</w:t>
      </w:r>
      <w:r/>
    </w:p>
    <w:p>
      <w:pPr>
        <w:ind w:firstLine="480"/>
        <w:spacing w:after="0" w:line="360" w:lineRule="auto"/>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项目地点：</w:t>
      </w:r>
      <w:r>
        <w:rPr>
          <w:rFonts w:ascii="宋体" w:hAnsi="宋体"/>
          <w:bCs/>
          <w:color w:val="auto"/>
          <w:sz w:val="24"/>
          <w:szCs w:val="24"/>
          <w:highlight w:val="none"/>
          <w:u w:val="single"/>
        </w:rPr>
        <w:t xml:space="preserve">                              </w:t>
      </w:r>
      <w:r/>
    </w:p>
    <w:p>
      <w:pPr>
        <w:ind w:firstLine="480"/>
        <w:spacing w:after="0" w:line="360" w:lineRule="auto"/>
        <w:rPr>
          <w:rFonts w:asci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资金来源：</w:t>
      </w:r>
      <w:r>
        <w:rPr>
          <w:rFonts w:ascii="宋体" w:hAnsi="宋体"/>
          <w:bCs/>
          <w:color w:val="auto"/>
          <w:sz w:val="24"/>
          <w:szCs w:val="24"/>
          <w:highlight w:val="none"/>
          <w:u w:val="single"/>
        </w:rPr>
        <w:t xml:space="preserve">                              </w:t>
      </w:r>
      <w:r/>
    </w:p>
    <w:p>
      <w:pPr>
        <w:ind w:firstLine="480"/>
        <w:spacing w:after="0" w:line="360" w:lineRule="auto"/>
        <w:rPr>
          <w:rFonts w:ascii="宋体"/>
          <w:bCs/>
          <w:color w:val="auto"/>
          <w:sz w:val="24"/>
          <w:szCs w:val="24"/>
          <w:highlight w:val="none"/>
          <w:u w:val="single"/>
        </w:rPr>
      </w:pP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项目范围和内容：</w:t>
      </w:r>
      <w:r>
        <w:rPr>
          <w:rFonts w:ascii="宋体" w:hAnsi="宋体"/>
          <w:bCs/>
          <w:color w:val="auto"/>
          <w:sz w:val="24"/>
          <w:szCs w:val="24"/>
          <w:highlight w:val="none"/>
          <w:u w:val="single"/>
        </w:rPr>
        <w:t xml:space="preserve">                          </w:t>
      </w:r>
      <w:r/>
    </w:p>
    <w:p>
      <w:pPr>
        <w:ind w:firstLine="480"/>
        <w:spacing w:after="0" w:line="360" w:lineRule="auto"/>
        <w:rPr>
          <w:rFonts w:ascii="宋体"/>
          <w:bCs/>
          <w:color w:val="auto"/>
          <w:sz w:val="24"/>
          <w:szCs w:val="24"/>
          <w:highlight w:val="none"/>
        </w:rPr>
      </w:pP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合计金额：（大写）</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（小写）</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after="0"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二、</w:t>
      </w:r>
      <w:r>
        <w:rPr>
          <w:rFonts w:hint="eastAsia" w:ascii="宋体" w:hAnsi="宋体"/>
          <w:color w:val="auto"/>
          <w:sz w:val="24"/>
          <w:szCs w:val="24"/>
          <w:highlight w:val="none"/>
          <w:lang w:val="en-US" w:eastAsia="zh-CN"/>
        </w:rPr>
        <w:t xml:space="preserve">服务期限</w:t>
      </w:r>
      <w:r/>
    </w:p>
    <w:p>
      <w:pPr>
        <w:ind w:firstLine="480"/>
        <w:spacing w:after="0" w:line="360" w:lineRule="auto"/>
        <w:rPr>
          <w:rFonts w:asci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计划开工日期：</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日；计划竣工日期：</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总日历天数：</w:t>
      </w:r>
      <w:r>
        <w:rPr>
          <w:rFonts w:hint="eastAsia" w:ascii="宋体" w:hAnsi="宋体"/>
          <w:color w:val="auto"/>
          <w:sz w:val="24"/>
          <w:szCs w:val="24"/>
          <w:highlight w:val="none"/>
          <w:u w:val="single"/>
        </w:rPr>
        <w:t xml:space="preserve">210</w:t>
      </w:r>
      <w:r>
        <w:rPr>
          <w:rFonts w:hint="eastAsia" w:ascii="宋体" w:hAnsi="宋体"/>
          <w:color w:val="auto"/>
          <w:sz w:val="24"/>
          <w:szCs w:val="24"/>
          <w:highlight w:val="none"/>
        </w:rPr>
        <w:t xml:space="preserve">日历天。</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总日历天数与根据前述计划开竣工日期计算的天数不一致的，以</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总日历天数为准。</w:t>
      </w:r>
      <w:r/>
    </w:p>
    <w:p>
      <w:pPr>
        <w:ind w:firstLine="480"/>
        <w:spacing w:after="0" w:line="360" w:lineRule="auto"/>
        <w:rPr>
          <w:rFonts w:asci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在项目施工过程中，如遇下列情况，可顺延工期。顺延期限，应由双方及时协商，签订协议，并报有关部门备案。</w:t>
      </w:r>
      <w:r/>
    </w:p>
    <w:p>
      <w:pPr>
        <w:ind w:firstLine="480"/>
        <w:spacing w:after="0" w:line="360" w:lineRule="auto"/>
        <w:rPr>
          <w:rFonts w:asci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）由于人力不可抗的灾害，而被迫停工；</w:t>
      </w:r>
      <w:r/>
    </w:p>
    <w:p>
      <w:pPr>
        <w:ind w:firstLine="480"/>
        <w:spacing w:after="0" w:line="360" w:lineRule="auto"/>
        <w:rPr>
          <w:rFonts w:asci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）因发包方变更计划或变更施工内容，不能继续施工或需增加时长。</w:t>
      </w:r>
      <w:r/>
    </w:p>
    <w:p>
      <w:pPr>
        <w:ind w:firstLine="480"/>
        <w:spacing w:after="0" w:line="360" w:lineRule="auto"/>
        <w:widowControl w:val="off"/>
        <w:rPr>
          <w:rFonts w:asci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因乙方原因造成工期延误，逾期完工违约金的计算方法为：每拖延一天乙方须按中标价的万分之五支付违约金。因乙方原因造成工期延误，逾期完工违约金的上限：签约合同价的</w:t>
      </w:r>
      <w:r>
        <w:rPr>
          <w:rFonts w:ascii="宋体" w:hAnsi="宋体"/>
          <w:color w:val="auto"/>
          <w:sz w:val="24"/>
          <w:szCs w:val="24"/>
          <w:highlight w:val="none"/>
        </w:rPr>
        <w:t xml:space="preserve">5%</w:t>
      </w:r>
      <w:r>
        <w:rPr>
          <w:rFonts w:hint="eastAsia" w:ascii="宋体" w:hAnsi="宋体"/>
          <w:color w:val="auto"/>
          <w:sz w:val="24"/>
          <w:szCs w:val="24"/>
          <w:highlight w:val="none"/>
        </w:rPr>
        <w:t xml:space="preserve">。逾期完工违约金扣除金额达到上限，甲方有权指定分割或终止合同，并有权追索赔偿。</w:t>
      </w:r>
      <w:r/>
    </w:p>
    <w:p>
      <w:pPr>
        <w:ind w:firstLine="480"/>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履约保证金的缴纳和退付：</w:t>
      </w:r>
      <w:r/>
    </w:p>
    <w:p>
      <w:pPr>
        <w:ind w:firstLine="480"/>
        <w:spacing w:after="0" w:line="360" w:lineRule="auto"/>
        <w:widowControl w:val="off"/>
        <w:tabs>
          <w:tab w:val="left" w:pos="420" w:leader="none"/>
        </w:tabs>
        <w:rPr>
          <w:rFonts w:ascii="宋体" w:hAnsi="宋体"/>
          <w:color w:val="auto"/>
          <w:sz w:val="24"/>
          <w:szCs w:val="24"/>
          <w:highlight w:val="none"/>
        </w:rPr>
      </w:pPr>
      <w:r>
        <w:rPr>
          <w:rFonts w:ascii="宋体" w:hAnsi="宋体"/>
          <w:color w:val="auto"/>
          <w:sz w:val="24"/>
          <w:szCs w:val="24"/>
          <w:highlight w:val="none"/>
        </w:rPr>
        <w:t xml:space="preserve">本项目是/否向采购人缴纳履约保证金：</w:t>
      </w:r>
      <w:r>
        <w:rPr>
          <w:rFonts w:ascii="宋体" w:hAnsi="宋体"/>
          <w:color w:val="auto"/>
          <w:sz w:val="24"/>
          <w:szCs w:val="24"/>
          <w:highlight w:val="none"/>
          <w:u w:val="single"/>
        </w:rPr>
        <w:t xml:space="preserve">  是   </w:t>
      </w:r>
      <w:r>
        <w:rPr>
          <w:rFonts w:ascii="宋体" w:hAnsi="宋体"/>
          <w:color w:val="auto"/>
          <w:sz w:val="24"/>
          <w:szCs w:val="24"/>
          <w:highlight w:val="none"/>
        </w:rPr>
        <w:t xml:space="preserve">。</w:t>
      </w:r>
      <w:r/>
    </w:p>
    <w:p>
      <w:pPr>
        <w:ind w:left="420"/>
        <w:spacing w:after="0" w:line="360" w:lineRule="auto"/>
        <w:widowControl w:val="off"/>
        <w:rPr>
          <w:rFonts w:ascii="宋体" w:hAnsi="宋体"/>
          <w:color w:val="auto"/>
          <w:sz w:val="24"/>
          <w:szCs w:val="24"/>
          <w:highlight w:val="none"/>
        </w:rPr>
      </w:pPr>
      <w:r/>
      <w:bookmarkStart w:id="223" w:name="_Hlk135988211"/>
      <w:r>
        <w:rPr>
          <w:rFonts w:hint="eastAsia" w:ascii="宋体" w:hAnsi="宋体"/>
          <w:color w:val="auto"/>
          <w:sz w:val="24"/>
          <w:szCs w:val="24"/>
          <w:highlight w:val="none"/>
        </w:rPr>
        <w:t xml:space="preserve">收取履约保证金形式：</w:t>
      </w:r>
      <w:r>
        <w:rPr>
          <w:rFonts w:hint="eastAsia" w:ascii="宋体" w:hAnsi="宋体"/>
          <w:color w:val="auto"/>
          <w:sz w:val="24"/>
          <w:szCs w:val="24"/>
          <w:highlight w:val="none"/>
          <w:u w:val="single"/>
        </w:rPr>
        <w:t xml:space="preserve">以电子保函或保单等非现金形式缴纳或提交。 </w:t>
      </w:r>
      <w:r>
        <w:rPr>
          <w:rFonts w:hint="eastAsia" w:ascii="宋体" w:hAnsi="宋体"/>
          <w:color w:val="auto"/>
          <w:sz w:val="24"/>
          <w:szCs w:val="24"/>
          <w:highlight w:val="none"/>
        </w:rPr>
        <w:t xml:space="preserve">                           </w:t>
      </w:r>
      <w:r/>
    </w:p>
    <w:p>
      <w:pPr>
        <w:ind w:left="42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收取履约保证金金额：</w:t>
      </w:r>
      <w:r>
        <w:rPr>
          <w:rFonts w:hint="eastAsia" w:ascii="宋体" w:hAnsi="宋体"/>
          <w:color w:val="auto"/>
          <w:sz w:val="24"/>
          <w:szCs w:val="24"/>
          <w:highlight w:val="none"/>
          <w:u w:val="single"/>
        </w:rPr>
        <w:t xml:space="preserve">合同价款的5% 。 </w:t>
      </w:r>
      <w:r>
        <w:rPr>
          <w:rFonts w:hint="eastAsia" w:ascii="宋体" w:hAnsi="宋体"/>
          <w:color w:val="auto"/>
          <w:sz w:val="24"/>
          <w:szCs w:val="24"/>
          <w:highlight w:val="none"/>
        </w:rPr>
        <w:t xml:space="preserve">                          </w:t>
      </w:r>
      <w:r/>
    </w:p>
    <w:p>
      <w:pPr>
        <w:ind w:left="42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履约担保期限：</w:t>
      </w:r>
      <w:r>
        <w:rPr>
          <w:rFonts w:hint="eastAsia" w:ascii="宋体" w:hAnsi="宋体"/>
          <w:color w:val="auto"/>
          <w:sz w:val="24"/>
          <w:szCs w:val="24"/>
          <w:highlight w:val="none"/>
          <w:u w:val="single"/>
        </w:rPr>
        <w:t xml:space="preserve">将在完工验收合格后10个工作日内无息退回。</w:t>
      </w:r>
      <w:r/>
    </w:p>
    <w:p>
      <w:pPr>
        <w:ind w:left="42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履约保证金的缴纳时间：</w:t>
      </w:r>
      <w:r>
        <w:rPr>
          <w:rFonts w:hint="eastAsia" w:ascii="宋体" w:hAnsi="宋体"/>
          <w:color w:val="auto"/>
          <w:sz w:val="24"/>
          <w:szCs w:val="24"/>
          <w:highlight w:val="none"/>
          <w:u w:val="single"/>
        </w:rPr>
        <w:t xml:space="preserve"> 乙方在签订合同后5个工作日内，向甲方提交履约保证金。</w:t>
      </w:r>
      <w:r>
        <w:rPr>
          <w:rFonts w:hint="eastAsia" w:ascii="宋体" w:hAnsi="宋体"/>
          <w:color w:val="auto"/>
          <w:sz w:val="24"/>
          <w:szCs w:val="24"/>
          <w:highlight w:val="none"/>
        </w:rPr>
        <w:t xml:space="preserve">                           </w:t>
      </w:r>
      <w:r/>
    </w:p>
    <w:p>
      <w:pPr>
        <w:ind w:left="42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退付办法：</w:t>
      </w:r>
      <w:r>
        <w:rPr>
          <w:rFonts w:hint="eastAsia" w:ascii="宋体" w:hAnsi="宋体"/>
          <w:color w:val="auto"/>
          <w:sz w:val="24"/>
          <w:szCs w:val="24"/>
          <w:highlight w:val="none"/>
          <w:u w:val="single"/>
        </w:rPr>
        <w:t xml:space="preserve">与供方提交履约保证金的方式相同。</w:t>
      </w:r>
      <w:r>
        <w:rPr>
          <w:rFonts w:hint="eastAsia" w:ascii="宋体" w:hAnsi="宋体"/>
          <w:color w:val="auto"/>
          <w:sz w:val="24"/>
          <w:szCs w:val="24"/>
          <w:highlight w:val="none"/>
        </w:rPr>
        <w:t xml:space="preserve">                                      </w:t>
      </w:r>
      <w:r/>
    </w:p>
    <w:p>
      <w:pPr>
        <w:ind w:left="420"/>
        <w:spacing w:after="0"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履约保证金不予退还的情形：</w:t>
      </w:r>
      <w:r>
        <w:rPr>
          <w:rFonts w:ascii="宋体" w:hAnsi="宋体"/>
          <w:color w:val="auto"/>
          <w:sz w:val="24"/>
          <w:szCs w:val="24"/>
          <w:highlight w:val="none"/>
          <w:u w:val="single"/>
        </w:rPr>
        <w:t xml:space="preserve">①在合同期内，乙方擅自撕毁合同、撤离项目现场、终止服务作业；②在合同期内，乙方确实不能履行本合同的各项责任和义务；③未经</w:t>
      </w:r>
      <w:r>
        <w:rPr>
          <w:rFonts w:hint="eastAsia" w:ascii="宋体" w:hAnsi="宋体"/>
          <w:color w:val="auto"/>
          <w:sz w:val="24"/>
          <w:szCs w:val="24"/>
          <w:highlight w:val="none"/>
          <w:u w:val="single"/>
        </w:rPr>
        <w:t xml:space="preserve">甲方</w:t>
      </w:r>
      <w:r>
        <w:rPr>
          <w:rFonts w:ascii="宋体" w:hAnsi="宋体"/>
          <w:color w:val="auto"/>
          <w:sz w:val="24"/>
          <w:szCs w:val="24"/>
          <w:highlight w:val="none"/>
          <w:u w:val="single"/>
        </w:rPr>
        <w:t xml:space="preserve">同意，乙方擅自分包或者转包的</w:t>
      </w:r>
      <w:r>
        <w:rPr>
          <w:rFonts w:hint="eastAsia" w:ascii="宋体" w:hAnsi="宋体"/>
          <w:color w:val="auto"/>
          <w:sz w:val="24"/>
          <w:szCs w:val="24"/>
          <w:highlight w:val="none"/>
          <w:u w:val="single"/>
        </w:rPr>
        <w:t xml:space="preserve">；④在履行合同期间发生重大安全事故，给甲方造成不良影响和严重经济损失的。</w:t>
      </w:r>
      <w:r/>
    </w:p>
    <w:p>
      <w:pPr>
        <w:ind w:left="42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逾期退还履约保证金的违约责任：</w:t>
      </w:r>
      <w:r>
        <w:rPr>
          <w:rFonts w:hint="eastAsia" w:ascii="宋体" w:hAnsi="宋体"/>
          <w:color w:val="auto"/>
          <w:sz w:val="24"/>
          <w:szCs w:val="24"/>
          <w:highlight w:val="none"/>
          <w:u w:val="single"/>
        </w:rPr>
        <w:t xml:space="preserve">承担履约保证金金额万分之五/天的违约金。</w:t>
      </w:r>
      <w:bookmarkEnd w:id="223"/>
      <w:r/>
      <w:r/>
    </w:p>
    <w:p>
      <w:pPr>
        <w:ind w:left="42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三、质量标准及项目验收</w:t>
      </w:r>
      <w:r/>
    </w:p>
    <w:p>
      <w:pPr>
        <w:ind w:firstLine="480"/>
        <w:spacing w:after="0" w:line="360" w:lineRule="auto"/>
        <w:rPr>
          <w:rFonts w:asci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项目质量符合：</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标准。</w:t>
      </w:r>
      <w:r/>
    </w:p>
    <w:p>
      <w:pPr>
        <w:ind w:firstLine="480"/>
        <w:spacing w:after="0" w:line="360" w:lineRule="auto"/>
        <w:rPr>
          <w:rFonts w:asci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适用于项目的标准规范包括：</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after="0" w:line="360" w:lineRule="auto"/>
        <w:rPr>
          <w:rFonts w:ascii="宋体"/>
          <w:color w:val="auto"/>
          <w:sz w:val="24"/>
          <w:szCs w:val="24"/>
          <w:highlight w:val="none"/>
        </w:rPr>
      </w:pPr>
      <w:r>
        <w:rPr>
          <w:rFonts w:ascii="宋体" w:hAnsi="宋体"/>
          <w:color w:val="auto"/>
          <w:sz w:val="24"/>
          <w:szCs w:val="24"/>
          <w:highlight w:val="none"/>
        </w:rPr>
        <w:t xml:space="preserve">3.分部分项</w:t>
      </w:r>
      <w:r>
        <w:rPr>
          <w:rFonts w:hint="eastAsia" w:ascii="宋体" w:hAnsi="宋体"/>
          <w:color w:val="auto"/>
          <w:sz w:val="24"/>
          <w:szCs w:val="24"/>
          <w:highlight w:val="none"/>
        </w:rPr>
        <w:t xml:space="preserve">验收：根据国家有关</w:t>
      </w:r>
      <w:r>
        <w:rPr>
          <w:rFonts w:ascii="宋体" w:hAnsi="宋体"/>
          <w:color w:val="auto"/>
          <w:sz w:val="24"/>
          <w:szCs w:val="24"/>
          <w:highlight w:val="none"/>
        </w:rPr>
        <w:t xml:space="preserve">施工</w:t>
      </w:r>
      <w:r>
        <w:rPr>
          <w:rFonts w:hint="eastAsia" w:ascii="宋体" w:hAnsi="宋体"/>
          <w:color w:val="auto"/>
          <w:sz w:val="24"/>
          <w:szCs w:val="24"/>
          <w:highlight w:val="none"/>
        </w:rPr>
        <w:t xml:space="preserve">验收规范、标准及合同约定，经乙方自检合格并具备验收条件的，乙方应提前通知甲方进行验收，甲方应及时响应乙方的验收申请并组织验收，分部分项未经验收的，不得进入下一道工序施工。</w:t>
      </w:r>
      <w:r/>
    </w:p>
    <w:p>
      <w:pPr>
        <w:ind w:firstLine="480"/>
        <w:spacing w:after="0" w:line="360" w:lineRule="auto"/>
        <w:rPr>
          <w:rFonts w:asci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验收：</w:t>
      </w:r>
      <w:r/>
    </w:p>
    <w:p>
      <w:pPr>
        <w:ind w:firstLine="480"/>
        <w:spacing w:after="0" w:line="360" w:lineRule="auto"/>
        <w:rPr>
          <w:rFonts w:ascii="宋体"/>
          <w:color w:val="auto"/>
          <w:sz w:val="24"/>
          <w:szCs w:val="24"/>
          <w:highlight w:val="none"/>
        </w:rPr>
      </w:pPr>
      <w:r/>
      <w:bookmarkStart w:id="224" w:name="_Toc351203537"/>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）乙方已完成合同约定的内容和份数备齐的完工资料（开工申请表、变更申请报告、施工记录、</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价款支付申请书、主要材料、构配件和设备申报表、工程量报验单、单元工程施工质量报验单、会议纪要等），乙方向甲方报送完工验收申请报告；</w:t>
      </w:r>
      <w:r/>
    </w:p>
    <w:p>
      <w:pPr>
        <w:ind w:firstLine="480"/>
        <w:spacing w:after="0" w:line="360" w:lineRule="auto"/>
        <w:rPr>
          <w:rFonts w:asci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）乙方向甲方提出完工验收报告后，甲方应及时组织项目完工验收，并及时办理拨款手续；</w:t>
      </w:r>
      <w:r/>
    </w:p>
    <w:p>
      <w:pPr>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）完工验收不合格的，甲方应按照验收意见发出指示，要求乙方对不合格</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返工、修复或采取其他补救措施，由此增加的费用和（或）延误的工期由乙方承担。乙方在完成不合格</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的返工、修复或采取其他补救措施后，应重新提交完工验收申请报告，并按本项约定的程序重新进行验收。</w:t>
      </w:r>
      <w:r/>
    </w:p>
    <w:p>
      <w:pPr>
        <w:ind w:firstLine="480"/>
        <w:spacing w:line="360" w:lineRule="auto"/>
        <w:rPr>
          <w:rFonts w:asci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质量争议检测</w:t>
      </w:r>
      <w:bookmarkEnd w:id="224"/>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合同当事人对项目质量有争议的，由双方协商确定的质量检测机构鉴定，由此产生的费用及因此造成的损失，由责任方承担。合同当事人均有责任的，由双方根据其责任分别承担。</w:t>
      </w:r>
      <w:r/>
    </w:p>
    <w:p>
      <w:pPr>
        <w:ind w:firstLine="480"/>
        <w:spacing w:line="360" w:lineRule="auto"/>
        <w:rPr>
          <w:rFonts w:asci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质量保修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）项目整体保修期：保修期1年，自</w:t>
      </w:r>
      <w:r>
        <w:rPr>
          <w:rFonts w:hint="eastAsia" w:ascii="宋体" w:hAnsi="宋体"/>
          <w:color w:val="auto"/>
          <w:sz w:val="24"/>
          <w:szCs w:val="24"/>
          <w:highlight w:val="none"/>
          <w:lang w:eastAsia="zh-CN"/>
        </w:rPr>
        <w:t xml:space="preserve">合同内容</w:t>
      </w:r>
      <w:r>
        <w:rPr>
          <w:rFonts w:hint="eastAsia" w:ascii="宋体" w:hAnsi="宋体"/>
          <w:color w:val="auto"/>
          <w:sz w:val="24"/>
          <w:szCs w:val="24"/>
          <w:highlight w:val="none"/>
        </w:rPr>
        <w:t xml:space="preserve">验收合格之日起算，项目内容按照国家规定及</w:t>
      </w:r>
      <w:r>
        <w:rPr>
          <w:rFonts w:hint="eastAsia" w:ascii="宋体" w:hAnsi="宋体"/>
          <w:b/>
          <w:bCs/>
          <w:color w:val="auto"/>
          <w:sz w:val="24"/>
          <w:szCs w:val="24"/>
          <w:highlight w:val="none"/>
        </w:rPr>
        <w:t xml:space="preserve">承包人承诺超过1年的按照保修期长的执行</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质量保修范围：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（3）承包人在质量保修期内，按照有关法律规定和合同约定，承担</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质量保修责任。</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b/>
          <w:color w:val="auto"/>
          <w:sz w:val="24"/>
          <w:szCs w:val="24"/>
          <w:highlight w:val="none"/>
        </w:rPr>
        <w:t xml:space="preserve">质保条款专属释义</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① 本合同约定的1年基础保修期，仅用于约束决算审计后3%剩余尾款的支付条件，仅界定基础质保责任。</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② 乙方在投标文件中自愿承诺的</w:t>
      </w:r>
      <w:r>
        <w:rPr>
          <w:rFonts w:hint="eastAsia" w:ascii="宋体" w:hAnsi="宋体"/>
          <w:b/>
          <w:color w:val="auto"/>
          <w:sz w:val="24"/>
          <w:szCs w:val="24"/>
          <w:highlight w:val="none"/>
        </w:rPr>
        <w:t xml:space="preserve">超出1年的液压启闭设备主要部件延长质保服务</w:t>
      </w:r>
      <w:r>
        <w:rPr>
          <w:rFonts w:hint="eastAsia" w:ascii="宋体" w:hAnsi="宋体"/>
          <w:color w:val="auto"/>
          <w:sz w:val="24"/>
          <w:szCs w:val="24"/>
          <w:highlight w:val="none"/>
        </w:rPr>
        <w:t xml:space="preserve">，属于乙方为中标加分自愿提供的增值履约义务，纳入本合同刚性履约范畴，独立于1年基础质保、独立于付款节点，不影响本合同所有付款流程及尾款支付规则。</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③ 1年基础质保期满、甲方付清全部合同款项、项目验收移交、决算审计完成、合同到期等任一情形，</w:t>
      </w:r>
      <w:r>
        <w:rPr>
          <w:rFonts w:hint="eastAsia" w:ascii="宋体" w:hAnsi="宋体"/>
          <w:b/>
          <w:color w:val="auto"/>
          <w:sz w:val="24"/>
          <w:szCs w:val="24"/>
          <w:highlight w:val="none"/>
        </w:rPr>
        <w:t xml:space="preserve">均不免除乙方投标承诺的全部延长质保履约责任</w:t>
      </w:r>
      <w:r>
        <w:rPr>
          <w:rFonts w:hint="eastAsia" w:ascii="宋体" w:hAnsi="宋体"/>
          <w:color w:val="auto"/>
          <w:sz w:val="24"/>
          <w:szCs w:val="24"/>
          <w:highlight w:val="none"/>
        </w:rPr>
        <w:t xml:space="preserve">，乙方必须完整履行承诺的全部延长质保周期。</w:t>
      </w:r>
      <w:r/>
    </w:p>
    <w:p>
      <w:pPr>
        <w:ind w:firstLine="482"/>
        <w:spacing w:after="0" w:line="360" w:lineRule="auto"/>
        <w:widowControl w:val="off"/>
        <w:rPr>
          <w:rFonts w:ascii="宋体" w:hAnsi="宋体"/>
          <w:color w:val="auto"/>
          <w:sz w:val="24"/>
          <w:szCs w:val="24"/>
          <w:highlight w:val="none"/>
        </w:rPr>
      </w:pP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rPr>
        <w:t xml:space="preserve">）延长质保范围界定</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基础质保及延长质保服务范围：液压启闭设备主要部件。</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本项目统一界定易损易耗件（不在质保范围内）：油液、空气滤清器、油液滤芯、高压软管、测压软管、表计、管路密封件、利旧的液压元器件和利旧的传感器，以上部件不享受基础质保及延长质保服务。</w:t>
      </w:r>
      <w:r/>
    </w:p>
    <w:p>
      <w:pPr>
        <w:ind w:firstLine="482"/>
        <w:spacing w:after="0" w:line="360" w:lineRule="auto"/>
        <w:widowControl w:val="off"/>
        <w:rPr>
          <w:rFonts w:ascii="宋体" w:hAnsi="宋体"/>
          <w:color w:val="auto"/>
          <w:sz w:val="24"/>
          <w:szCs w:val="24"/>
          <w:highlight w:val="none"/>
        </w:rPr>
      </w:pP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rPr>
        <w:t xml:space="preserve">）延长质保专项经济约束与履约追责条款</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① 乙方投标承诺的延长质保年限、服务标准为合同实质性约定，中标后不得缩减、更改、放弃、拒不履约，否则视为严重合同违约及投标虚假承诺。</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② 若乙方实际履约的质保年限、服务标准、保修范围低于其投标承诺标准，甲方有权追究乙方违约责任，乙方须按延长质保对应设备价值的15%向甲方支付违约金，同时甲方有权依据合同约定追责、上报政府采购不良履约记录。</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③ 在延长质保周期内，设备主要部件出现非人为损坏、非耗材质量缺陷的，乙方须无条件免费维修、免费更换、及时故障处置。若乙方拒不履约、拖延履约，甲方可自行委托第三方开展维修、更换、运维工作，由此产生的维修费、备件费、人工费、设备停运损失、检测费、维权律师费诉讼费等全部费用，均由乙方全额承担，甲方有权无条件追偿。</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④ 延长质保服务费用已全部包含在乙方投标综合报价内，甲方无需额外支付任何费用。延长质保期内，乙方须提供7×24小时故障响应、定期巡检、技术咨询、故障排查等全套免费售后服务，全程保障设备稳定运行。</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四、违约责任：</w:t>
      </w:r>
      <w:r/>
    </w:p>
    <w:p>
      <w:pPr>
        <w:ind w:firstLine="480"/>
        <w:spacing w:line="360" w:lineRule="auto"/>
        <w:rPr>
          <w:rFonts w:asci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在履行合同的过程中，如果乙方遇到妨碍提供服务的情况时，应及时以书面形式将拖延的事实、可能拖延的时间和原因通知甲方。甲方在收到乙方通知后，应尽快对情况进行核实，并有权根据情况确定是否酌情延长完工时间以及是否收取逾期完工的违约金及损害赔偿金（如有），或向甲方发出书面通知书，提出解除部分或全部合同。延期应通过签订补充合同的方式由双方认可并履行。</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乙方如无不可抗力，又未履行招标文件、投标文件和合同条款的，一经查实，由乙方赔偿由此给甲方造成的损失，并按照合同总价的</w:t>
      </w:r>
      <w:r>
        <w:rPr>
          <w:rFonts w:ascii="宋体" w:hAnsi="宋体"/>
          <w:color w:val="auto"/>
          <w:sz w:val="24"/>
          <w:szCs w:val="24"/>
          <w:highlight w:val="none"/>
        </w:rPr>
        <w:t xml:space="preserve">20%</w:t>
      </w:r>
      <w:r>
        <w:rPr>
          <w:rFonts w:hint="eastAsia" w:ascii="宋体" w:hAnsi="宋体"/>
          <w:color w:val="auto"/>
          <w:sz w:val="24"/>
          <w:szCs w:val="24"/>
          <w:highlight w:val="none"/>
        </w:rPr>
        <w:t xml:space="preserve">向甲方支付违约金，因招、投标产生的其他责任及后果按招标文件的相关要求及处理方式执行。</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w:t>
      </w:r>
      <w:r>
        <w:rPr>
          <w:rFonts w:ascii="宋体" w:hAnsi="宋体"/>
          <w:color w:val="auto"/>
          <w:sz w:val="24"/>
          <w:szCs w:val="24"/>
          <w:highlight w:val="none"/>
        </w:rPr>
        <w:t xml:space="preserve">20%</w:t>
      </w:r>
      <w:r>
        <w:rPr>
          <w:rFonts w:hint="eastAsia" w:ascii="宋体" w:hAnsi="宋体"/>
          <w:color w:val="auto"/>
          <w:sz w:val="24"/>
          <w:szCs w:val="24"/>
          <w:highlight w:val="none"/>
        </w:rPr>
        <w:t xml:space="preserve">向甲方支付违约金，如给甲方造成其他损失的，乙方还应负责赔偿。</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招标文件及合同中所述之“不可抗力”系指不可预见、不可避免、不可克服的事件，包括但不限于：战争、洪水、台风、地震及其他法律法规规定的事件。</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w:t>
      </w:r>
      <w:r>
        <w:rPr>
          <w:rFonts w:hint="eastAsia" w:ascii="宋体" w:hAnsi="宋体"/>
          <w:color w:val="auto"/>
          <w:sz w:val="24"/>
          <w:szCs w:val="24"/>
          <w:highlight w:val="none"/>
        </w:rPr>
        <w:t xml:space="preserve">如果乙方在本合同履行完毕之前破产或无清偿能力，甲方可在任何时候以书面形式通知乙方，提出解除合同。该终止合同将不损害或影响甲方已经采取或将要采取的任何行动或补救措施的权力。</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五、合同变更</w:t>
      </w:r>
      <w:r/>
    </w:p>
    <w:p>
      <w:pPr>
        <w:ind w:firstLine="480"/>
        <w:spacing w:line="360" w:lineRule="auto"/>
        <w:rPr>
          <w:rFonts w:asci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乙方严格按照施工合同文本所明确的内容施工，不得随意调整、改动。乙方收到经甲方签认的变更指示后，方可实施变更。变更中要明确变更的理由、施工说明、工程量计算及预算的调整。</w:t>
      </w:r>
      <w:r/>
    </w:p>
    <w:p>
      <w:pPr>
        <w:ind w:firstLine="480"/>
        <w:spacing w:line="360" w:lineRule="auto"/>
        <w:rPr>
          <w:rFonts w:asci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未经甲方签认的变更，乙方不得擅自对</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的任何部分进行变更；因乙方擅自变更所引起的一切损失由乙方承担。</w:t>
      </w:r>
      <w:r/>
    </w:p>
    <w:p>
      <w:pPr>
        <w:ind w:firstLine="480"/>
        <w:spacing w:line="360" w:lineRule="auto"/>
        <w:rPr>
          <w:rFonts w:asci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因任何一方原因（包括双方当事人自身原因以及政策变动、规划调整等外部原因）导致合同变更的，双方当事人应当以书面形式变更合同。有过错的一方应当承担赔偿责任，双方当事人都有过错的，各自承担相应的责任。</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因不可抗力致使合同有变更必要的，双方当事人应在</w:t>
      </w:r>
      <w:r>
        <w:rPr>
          <w:rFonts w:ascii="宋体" w:hAnsi="宋体"/>
          <w:color w:val="auto"/>
          <w:sz w:val="24"/>
          <w:szCs w:val="24"/>
          <w:highlight w:val="none"/>
        </w:rPr>
        <w:t xml:space="preserve">15</w:t>
      </w:r>
      <w:r>
        <w:rPr>
          <w:rFonts w:hint="eastAsia" w:ascii="宋体" w:hAnsi="宋体"/>
          <w:color w:val="auto"/>
          <w:sz w:val="24"/>
          <w:szCs w:val="24"/>
          <w:highlight w:val="none"/>
        </w:rPr>
        <w:t xml:space="preserve">日内以书面形式变更合同。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（1）甲方内部工作安排、计划调整等自身原因；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（2）中央、省、市、区级政策变动，以及规划、计划调整等外部原因；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（3）其他甲方原因。</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六、合同中止、终止</w:t>
      </w:r>
      <w:r/>
    </w:p>
    <w:p>
      <w:pPr>
        <w:ind w:firstLine="480"/>
        <w:spacing w:line="360" w:lineRule="auto"/>
        <w:rPr>
          <w:rFonts w:asci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双方当事人不得擅自中止或者终止合同。</w:t>
      </w:r>
      <w:r/>
    </w:p>
    <w:p>
      <w:pPr>
        <w:ind w:firstLine="480"/>
        <w:spacing w:line="360" w:lineRule="auto"/>
        <w:rPr>
          <w:rFonts w:asci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合同继续履行将损害国家利益和社会公共利益的，双方当事人应当中止或者终止合同。有过错的一方应当承担赔偿责任，双方当事人都有过错的，各自承担相应的责任。</w:t>
      </w:r>
      <w:r/>
    </w:p>
    <w:p>
      <w:pPr>
        <w:ind w:firstLine="480"/>
        <w:spacing w:line="360" w:lineRule="auto"/>
        <w:rPr>
          <w:rFonts w:asci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因任何一方原因（包括双方当事人自身原因以及政策变动、规划调整等外部原因）导致中止或终止合同的，应向对方支付合同总价</w:t>
      </w:r>
      <w:r>
        <w:rPr>
          <w:rFonts w:ascii="宋体" w:hAnsi="宋体"/>
          <w:color w:val="auto"/>
          <w:sz w:val="24"/>
          <w:szCs w:val="24"/>
          <w:highlight w:val="none"/>
        </w:rPr>
        <w:t xml:space="preserve">20</w:t>
      </w:r>
      <w:r>
        <w:rPr>
          <w:rFonts w:hint="eastAsia" w:ascii="宋体" w:hAnsi="宋体"/>
          <w:color w:val="auto"/>
          <w:sz w:val="24"/>
          <w:szCs w:val="24"/>
          <w:highlight w:val="none"/>
        </w:rPr>
        <w:t xml:space="preserve">％的违约金；因中止或终止合同造成的经济损失超过违约金的，还应给予赔偿。</w:t>
      </w:r>
      <w:r/>
    </w:p>
    <w:p>
      <w:pPr>
        <w:ind w:firstLine="482"/>
        <w:spacing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七、付款方式：</w:t>
      </w:r>
      <w:r>
        <w:rPr>
          <w:rFonts w:hint="eastAsia" w:ascii="宋体" w:hAnsi="宋体" w:eastAsia="宋体" w:cs="宋体"/>
          <w:b/>
          <w:bCs/>
          <w:color w:val="auto"/>
          <w:sz w:val="24"/>
          <w:szCs w:val="24"/>
          <w:highlight w:val="none"/>
        </w:rPr>
        <w:t xml:space="preserve">合同签订及设计联络会完成后，采购人向中标人支付合同金额的30%预付款；节制闸油缸通过出厂验收支付至合同金额的40%；</w:t>
      </w:r>
      <w:r>
        <w:rPr>
          <w:rFonts w:hint="eastAsia" w:ascii="宋体" w:hAnsi="宋体" w:cs="宋体"/>
          <w:b/>
          <w:bCs/>
          <w:color w:val="auto"/>
          <w:sz w:val="24"/>
          <w:szCs w:val="24"/>
          <w:highlight w:val="none"/>
          <w:lang w:val="en-US" w:eastAsia="zh-CN"/>
        </w:rPr>
        <w:t xml:space="preserve">该项目初验</w:t>
      </w:r>
      <w:r>
        <w:rPr>
          <w:rFonts w:hint="eastAsia" w:ascii="宋体" w:hAnsi="宋体" w:eastAsia="宋体" w:cs="宋体"/>
          <w:b/>
          <w:bCs/>
          <w:color w:val="auto"/>
          <w:sz w:val="24"/>
          <w:szCs w:val="24"/>
          <w:highlight w:val="none"/>
        </w:rPr>
        <w:t xml:space="preserve">合格后支付至合同金额的65%；决算审计后，</w:t>
      </w:r>
      <w:r>
        <w:rPr>
          <w:rFonts w:hint="eastAsia" w:ascii="宋体" w:hAnsi="宋体" w:cs="宋体"/>
          <w:b/>
          <w:bCs/>
          <w:color w:val="auto"/>
          <w:sz w:val="24"/>
          <w:szCs w:val="24"/>
          <w:highlight w:val="none"/>
          <w:lang w:val="en-US" w:eastAsia="zh-CN"/>
        </w:rPr>
        <w:t xml:space="preserve">终验</w:t>
      </w:r>
      <w:r>
        <w:rPr>
          <w:rFonts w:hint="eastAsia" w:ascii="宋体" w:hAnsi="宋体" w:eastAsia="宋体" w:cs="宋体"/>
          <w:b/>
          <w:bCs/>
          <w:color w:val="auto"/>
          <w:sz w:val="24"/>
          <w:szCs w:val="24"/>
          <w:highlight w:val="none"/>
        </w:rPr>
        <w:t xml:space="preserve">合格</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甲方支付至决算价的100%。</w:t>
      </w:r>
      <w:r/>
    </w:p>
    <w:p>
      <w:pPr>
        <w:ind w:firstLine="480"/>
        <w:spacing w:after="320" w:line="320" w:lineRule="exact"/>
        <w:rPr>
          <w:rFonts w:ascii="仿宋_GB2312"/>
          <w:color w:val="auto"/>
          <w:sz w:val="28"/>
          <w:highlight w:val="none"/>
        </w:rPr>
      </w:pPr>
      <w:r>
        <w:rPr>
          <w:rFonts w:hint="eastAsia" w:ascii="宋体" w:hAnsi="宋体"/>
          <w:bCs/>
          <w:color w:val="auto"/>
          <w:sz w:val="24"/>
          <w:highlight w:val="none"/>
        </w:rPr>
        <w:t xml:space="preserve">八、项目经理</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甲方</w:t>
      </w:r>
      <w:r>
        <w:rPr>
          <w:rFonts w:hint="eastAsia" w:ascii="宋体" w:hAnsi="宋体"/>
          <w:bCs/>
          <w:color w:val="auto"/>
          <w:sz w:val="24"/>
          <w:highlight w:val="none"/>
        </w:rPr>
        <w:t xml:space="preserve">项目经理</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，职务：</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乙方</w:t>
      </w:r>
      <w:r>
        <w:rPr>
          <w:rFonts w:hint="eastAsia" w:ascii="宋体" w:hAnsi="宋体"/>
          <w:bCs/>
          <w:color w:val="auto"/>
          <w:sz w:val="24"/>
          <w:highlight w:val="none"/>
        </w:rPr>
        <w:t xml:space="preserve">项目经理</w:t>
      </w:r>
      <w:r>
        <w:rPr>
          <w:rFonts w:hint="eastAsia"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，职务：</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after="320" w:line="320" w:lineRule="exact"/>
        <w:rPr>
          <w:rFonts w:ascii="宋体" w:hAnsi="宋体"/>
          <w:bCs/>
          <w:color w:val="auto"/>
          <w:sz w:val="24"/>
          <w:highlight w:val="none"/>
        </w:rPr>
      </w:pPr>
      <w:r>
        <w:rPr>
          <w:rFonts w:hint="eastAsia" w:ascii="宋体" w:hAnsi="宋体"/>
          <w:bCs/>
          <w:color w:val="auto"/>
          <w:sz w:val="24"/>
          <w:highlight w:val="none"/>
        </w:rPr>
        <w:t xml:space="preserve">九、合同文件构成及优先顺序</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组成合同文本的各项文件应互相解释，互为说明，合同文本的构成及优先顺序如下：</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）合同协议书；</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）中标通知书（如果有）；</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）响应函及其附录（如果有）；</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）专用合同条款及其附件；</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）通用合同条款；</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）技术标准和要求；</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）图纸；</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8</w:t>
      </w:r>
      <w:r>
        <w:rPr>
          <w:rFonts w:hint="eastAsia" w:ascii="宋体" w:hAnsi="宋体"/>
          <w:color w:val="auto"/>
          <w:sz w:val="24"/>
          <w:szCs w:val="24"/>
          <w:highlight w:val="none"/>
        </w:rPr>
        <w:t xml:space="preserve">）已标价</w:t>
      </w:r>
      <w:r>
        <w:rPr>
          <w:rFonts w:hint="eastAsia" w:ascii="宋体" w:hAnsi="宋体"/>
          <w:color w:val="auto"/>
          <w:sz w:val="24"/>
          <w:szCs w:val="24"/>
          <w:highlight w:val="none"/>
          <w:lang w:val="en-US" w:eastAsia="zh-CN"/>
        </w:rPr>
        <w:t xml:space="preserve">招标</w:t>
      </w:r>
      <w:r>
        <w:rPr>
          <w:rFonts w:hint="eastAsia" w:ascii="宋体" w:hAnsi="宋体"/>
          <w:color w:val="auto"/>
          <w:sz w:val="24"/>
          <w:szCs w:val="24"/>
          <w:highlight w:val="none"/>
        </w:rPr>
        <w:t xml:space="preserve">清单或预算书；</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）其他合同文件。</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在合同订立及履行过程中形成的与合同有关的文件均构成合同文件组成部分，并根据其性质确定优先解释顺序。</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上述各项合同文件包括合同当事人就该项合同文件所作出的补充和修改，属于同一项内容的文件，应以最新签署的为准。</w:t>
      </w:r>
      <w:bookmarkStart w:id="225" w:name="_Toc351203489"/>
      <w:r/>
      <w:r/>
    </w:p>
    <w:p>
      <w:pPr>
        <w:ind w:firstLine="480"/>
        <w:spacing w:after="320" w:line="320" w:lineRule="exact"/>
        <w:rPr>
          <w:rFonts w:ascii="宋体" w:hAnsi="宋体"/>
          <w:bCs/>
          <w:color w:val="auto"/>
          <w:sz w:val="24"/>
          <w:highlight w:val="none"/>
        </w:rPr>
      </w:pPr>
      <w:r>
        <w:rPr>
          <w:rFonts w:hint="eastAsia" w:ascii="宋体" w:hAnsi="宋体"/>
          <w:bCs/>
          <w:color w:val="auto"/>
          <w:sz w:val="24"/>
          <w:highlight w:val="none"/>
        </w:rPr>
        <w:t xml:space="preserve">十、签订地点</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本合同在</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签订。</w:t>
      </w:r>
      <w:bookmarkEnd w:id="225"/>
      <w:r/>
      <w:r/>
    </w:p>
    <w:p>
      <w:pPr>
        <w:ind w:firstLine="480"/>
        <w:spacing w:after="320" w:line="320" w:lineRule="exact"/>
        <w:rPr>
          <w:rFonts w:ascii="宋体" w:hAnsi="宋体"/>
          <w:bCs/>
          <w:color w:val="auto"/>
          <w:sz w:val="24"/>
          <w:highlight w:val="none"/>
        </w:rPr>
      </w:pPr>
      <w:r>
        <w:rPr>
          <w:rFonts w:hint="eastAsia" w:ascii="宋体" w:hAnsi="宋体"/>
          <w:bCs/>
          <w:color w:val="auto"/>
          <w:sz w:val="24"/>
          <w:highlight w:val="none"/>
        </w:rPr>
        <w:t xml:space="preserve">十一、签订时间</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本合同于</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年</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月</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日签订。</w:t>
      </w:r>
      <w:r/>
    </w:p>
    <w:p>
      <w:pPr>
        <w:ind w:firstLine="480"/>
        <w:spacing w:after="320" w:line="320" w:lineRule="exact"/>
        <w:rPr>
          <w:rFonts w:ascii="宋体" w:hAnsi="宋体"/>
          <w:bCs/>
          <w:color w:val="auto"/>
          <w:sz w:val="24"/>
          <w:highlight w:val="none"/>
        </w:rPr>
      </w:pPr>
      <w:r>
        <w:rPr>
          <w:rFonts w:hint="eastAsia" w:ascii="宋体" w:hAnsi="宋体"/>
          <w:bCs/>
          <w:color w:val="auto"/>
          <w:sz w:val="24"/>
          <w:highlight w:val="none"/>
        </w:rPr>
        <w:t xml:space="preserve">十二、争议解决</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合同当事人可以就争议自行和解，如争议无法和解，合同当事人按照以下顺序解决争议：</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）向约定的仲裁委员会申请仲裁；</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）向有管辖权的人民法院起诉。</w:t>
      </w:r>
      <w:r/>
    </w:p>
    <w:p>
      <w:pPr>
        <w:ind w:firstLine="480"/>
        <w:spacing w:after="320" w:line="320" w:lineRule="exact"/>
        <w:rPr>
          <w:rFonts w:ascii="宋体" w:hAnsi="宋体"/>
          <w:bCs/>
          <w:color w:val="auto"/>
          <w:sz w:val="24"/>
          <w:highlight w:val="none"/>
        </w:rPr>
      </w:pPr>
      <w:r>
        <w:rPr>
          <w:rFonts w:hint="eastAsia" w:ascii="宋体" w:hAnsi="宋体"/>
          <w:bCs/>
          <w:color w:val="auto"/>
          <w:sz w:val="24"/>
          <w:highlight w:val="none"/>
        </w:rPr>
        <w:t xml:space="preserve">十三、补充协议</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合同未尽事宜，合同当事人另行签订补充协议，补充协议是合同的组成部分。</w:t>
      </w:r>
      <w:r/>
    </w:p>
    <w:p>
      <w:pPr>
        <w:rPr>
          <w:color w:val="auto"/>
          <w:highlight w:val="none"/>
        </w:rPr>
      </w:pPr>
      <w:r>
        <w:rPr>
          <w:color w:val="auto"/>
          <w:highlight w:val="none"/>
        </w:rPr>
      </w:r>
      <w:r/>
    </w:p>
    <w:p>
      <w:pPr>
        <w:jc w:val="center"/>
        <w:pageBreakBefore/>
        <w:spacing w:after="0" w:line="360" w:lineRule="auto"/>
        <w:widowControl w:val="off"/>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廉政建设协议</w:t>
      </w:r>
      <w:r/>
    </w:p>
    <w:p>
      <w:pPr>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p>
    <w:p>
      <w:pPr>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项目地址：</w:t>
      </w:r>
      <w:r/>
    </w:p>
    <w:p>
      <w:pPr>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甲方：</w:t>
      </w:r>
      <w:r/>
    </w:p>
    <w:p>
      <w:pPr>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乙方：</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为规范项目合同执行过程中承发包双方的行为，促进合作双方单位的廉政建设，保护国家、集体和当事人的合法权益，根据国家有关工程建设的法律法规和廉政建设责任制规定，特订立本廉政协议。</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甲乙双方的责任</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应严格遵守国家关于市场准入、项目招标投标、工程建设、施工安装和市场活动等有关法律法规，相关政策，以及廉政建设的各项规定。</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严格执行建设工程项目承发包合同文件，自觉履行合同相关规定。</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业务活动必须坚持公开、公平、公正、诚信、透明的原则（除法律法规另有规定者外），不得为获取不正当的利益，损害国家、集体和对方利益，不得违反工程建设管理、施工安装的规章制度。</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发现对方在业务活动中有违规、违纪、违法行为的，应及时提醒对方，情节严重的，应向其上级主管部门或纪检监察、司法等有关机关举报。</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甲方的责任</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甲方的领导和从事该建设工程项目的工作人员，在工程建设的招投标阶段、施工合同签订、材料设备认价、现场签证、工程验收和结算等过程中应遵守以下规定：</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不准向乙方和相关单位索要或接受回扣、礼金、有价证券、贵重物品和好处费、感谢费等。</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不准在乙方和相关单位报销任何应由甲方或个人支付的费用。</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不准要求、暗示或接受乙方和相关单位为个人装修住房、婚丧嫁娶、配偶子女的工作安排以及出国（境）、旅游等提供方便。</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不准参加有可能影响公正执行公务的乙方和相关单位的宴请和健身、娱乐等活动。</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不准向乙方介绍或为配偶、子女、亲属参与同甲方项目工程施工合同有关的设备、材料、工程分包、劳务等经济活动。不得以任何理由向乙方和相关单位推荐分包单位或要求乙方购买项目工程施工合同规定以外的材料、设备等。</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甲方的权利</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  乙方工作人员有违反本协议责任行为给甲方单位造成经济损失的，甲方有权要求乙方进行相应赔偿。</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  乙方工作人员有违反本责任书责任行为，甲方有权做出罚扣全部或部分廉政保证金、取消乙方中标资格、终止合同、重新进行竣工结算等处理决定。</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股份公司系统内单位或个人在甲乙双方合同执行过程中违反本廉政协议相关规定，造成甲方单位损失，甲方将向股份公司领导汇报，请求对乙方进行行政处理。对于触犯法律行为，甲方将依法追究其法律责任。</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乙方的责任</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不准以任何理由向甲方、相关单位及其工作人员赠送礼金、有价证券、贵重物品和回扣、好处费、感谢费等。</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不准以任何理由为甲方和相关单位报销应由对方或个人支付的费用。</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不准接受或暗示为甲方、相关单位或个人装修住房、婚丧嫁娶、配偶子女的工作安排以及出国（境）、旅游等提供方便。</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不准以任何理由为甲方、相关单位或个人组织有可能影响公正执行公务的宴请、健身、娱乐等活动。</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不准以任何理由拒绝为甲方上级单位审计、监察部门的纪检监察工作进行配合。</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乙方的权利</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甲方工作人员有违反本协议书责任行为给乙方单位造成经济损失的，乙方有权要求甲方进行相应赔偿。</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乙方有权向甲方或甲方上级单位举报甲方人员违反廉政规定的情况。</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乙方没有违反本协议责任行为，廉政保证金在约定时限内无息返还。</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本协议作为投标供应商须知或工程施工合同的附件，与投标供应商须知或工程施工合同具有同等法律效力，经双方签署后立即生效。</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本协议一式四份，由甲乙双方各执一份，送交甲乙双方的监督单位各一份。</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 </w:t>
      </w:r>
      <w:r/>
    </w:p>
    <w:p>
      <w:pPr>
        <w:ind w:firstLine="480"/>
        <w:spacing w:after="0"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甲方单位：（盖章）          乙方单位：（盖章）</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法定代表人：             法定代表人：</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地址：                地址：</w:t>
      </w:r>
      <w:r/>
    </w:p>
    <w:p>
      <w:pPr>
        <w:ind w:firstLine="480"/>
        <w:spacing w:after="0"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电话：                 电话：</w:t>
      </w:r>
      <w:r/>
    </w:p>
    <w:p>
      <w:pPr>
        <w:jc w:val="center"/>
        <w:pageBreakBefore/>
        <w:spacing w:after="0" w:line="360" w:lineRule="auto"/>
        <w:widowControl w:val="off"/>
        <w:rPr>
          <w:rFonts w:ascii="黑体" w:hAnsi="宋体" w:eastAsia="黑体" w:cs="Times New Roman"/>
          <w:b/>
          <w:color w:val="auto"/>
          <w:sz w:val="32"/>
          <w:szCs w:val="32"/>
          <w:highlight w:val="none"/>
        </w:rPr>
      </w:pPr>
      <w:r>
        <w:rPr>
          <w:rFonts w:hint="eastAsia" w:ascii="黑体" w:hAnsi="宋体" w:eastAsia="黑体" w:cs="黑体"/>
          <w:b/>
          <w:color w:val="auto"/>
          <w:sz w:val="32"/>
          <w:szCs w:val="32"/>
          <w:highlight w:val="none"/>
        </w:rPr>
        <w:t xml:space="preserve">安全生产协议</w:t>
      </w:r>
      <w:r/>
    </w:p>
    <w:p>
      <w:pPr>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甲方：无锡市水利工程管理中心</w:t>
      </w:r>
      <w:r/>
    </w:p>
    <w:p>
      <w:pPr>
        <w:jc w:val="both"/>
        <w:spacing w:after="0" w:line="360" w:lineRule="auto"/>
        <w:widowControl w:val="off"/>
        <w:tabs>
          <w:tab w:val="left" w:pos="2500" w:leader="none"/>
        </w:tabs>
        <w:rPr>
          <w:rFonts w:ascii="宋体" w:hAnsi="宋体" w:cs="Times New Roman"/>
          <w:bCs/>
          <w:color w:val="auto"/>
          <w:sz w:val="24"/>
          <w:szCs w:val="24"/>
          <w:highlight w:val="none"/>
        </w:rPr>
      </w:pPr>
      <w:r>
        <w:rPr>
          <w:rFonts w:hint="eastAsia" w:ascii="宋体" w:hAnsi="宋体"/>
          <w:bCs/>
          <w:color w:val="auto"/>
          <w:sz w:val="24"/>
          <w:szCs w:val="24"/>
          <w:highlight w:val="none"/>
        </w:rPr>
        <w:t xml:space="preserve">乙方：</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深入贯彻安全第一、预防为主、综合治理的方针，牢固树立以人为本、人民至上、生命至上的安全发展理念，为创造安全、高效的项目实施环境，切实做好安全生产管理，保障人身、设备安全，确保不发生安全事故，依据国家有关法律法规，经双方平等协商，自愿签订如下安全生产协议：</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第一条：双方必须认真贯彻执行国家有关安全生产政策、法律、法规、标准及规范等。</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第二条：协议范围</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1.本协议涵盖参与</w:t>
      </w:r>
      <w:r>
        <w:rPr>
          <w:rFonts w:hint="eastAsia" w:ascii="宋体" w:hAnsi="宋体" w:cs="Times New Roman"/>
          <w:bCs/>
          <w:color w:val="auto"/>
          <w:sz w:val="24"/>
          <w:szCs w:val="24"/>
          <w:highlight w:val="none"/>
          <w:u w:val="single"/>
        </w:rPr>
        <w:t xml:space="preserve">                      </w:t>
      </w:r>
      <w:r>
        <w:rPr>
          <w:rFonts w:hint="eastAsia" w:ascii="宋体" w:hAnsi="宋体"/>
          <w:bCs/>
          <w:color w:val="auto"/>
          <w:sz w:val="24"/>
          <w:szCs w:val="24"/>
          <w:highlight w:val="none"/>
        </w:rPr>
        <w:t xml:space="preserve">项目实施与管理的单位与人员的安全管理要求，包括但不限于甲方管理人员，乙方项目经理、运行人员等。</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第三条：甲方的安全责任、权利</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1.甲方有权要求乙方严格遵守甲方安全生产规章制度和安全操作规程，执行安全管理；</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2.甲方有权制止乙方的三违操作和不安全行为，不得强令乙方运行人员进行三违操作；</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3.甲方有权对项目实施的状况和台账记录等开展安全生产监督、检查，发现安全隐患并督促乙方限期整改；</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4.发现乙方人员等玩忽职守，安全管理不到位，存在重大安全生产事故隐患或已出现事故苗头，甲方有权要求乙方立即暂停项目实施并整改，待消除隐患后方可允许继续实施项目；</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cs="Times New Roman"/>
          <w:bCs/>
          <w:color w:val="auto"/>
          <w:sz w:val="24"/>
          <w:szCs w:val="24"/>
          <w:highlight w:val="none"/>
        </w:rPr>
        <w:t xml:space="preserve">.甲方应帮助乙方人员了解熟悉工程</w:t>
      </w:r>
      <w:r>
        <w:rPr>
          <w:rFonts w:hint="eastAsia" w:ascii="宋体" w:hAnsi="宋体"/>
          <w:bCs/>
          <w:color w:val="auto"/>
          <w:sz w:val="24"/>
          <w:szCs w:val="24"/>
          <w:highlight w:val="none"/>
        </w:rPr>
        <w:t xml:space="preserve">运行的环境、各类设备情况，工程环境、设施设备等发生重大变化可能影响运行或应急抢险保障安全时，应及时告知乙方。</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第四条：乙方的安全责任、权利</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1.乙方施工前应建立横向到边、纵向到底的安全生产责任制网络，项目经理、运行人员等尽职履职，全员签订安全责任状；</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2．乙方应执行国家和行业标准，杜绝三违操作和不安全行为，有权拒绝甲方的三违操作指令；</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3.乙方应参与甲方的危险源辨识、风险评价和隐患排查治理，协助落实危险源的管控及安全措施，有效防范安全生产事故；</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4.乙方还需根据项目特点，加强项目人员的安全生产教育培训、各项业务技能培训，定期召开安全生产会议；项目实施前和新员工到岗前须完成三级安全教育；</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5.乙方应接受甲方的安全生产监督检查及管理，定期开展安全生产自查，及时整改安全隐患；</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6.乙方应保障必须的安全生产投入，用于开展项目人员的安全培训教育、宣传、业务技能培训以及采购配备安全防护用品、购买人身意外保险等用途；</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7.乙方接到甲方指令后，必须执行安全操作规程，开展运行前设施设备、防护用品等检查与准备，确保及时、安全执行指令。</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8</w:t>
      </w:r>
      <w:r>
        <w:rPr>
          <w:rFonts w:hint="eastAsia" w:ascii="宋体" w:hAnsi="宋体" w:cs="Times New Roman"/>
          <w:bCs/>
          <w:color w:val="auto"/>
          <w:sz w:val="24"/>
          <w:szCs w:val="24"/>
          <w:highlight w:val="none"/>
        </w:rPr>
        <w:t xml:space="preserve">.</w:t>
      </w:r>
      <w:r>
        <w:rPr>
          <w:rFonts w:hint="eastAsia" w:ascii="宋体" w:hAnsi="宋体"/>
          <w:bCs/>
          <w:color w:val="auto"/>
          <w:sz w:val="24"/>
          <w:szCs w:val="24"/>
          <w:highlight w:val="none"/>
        </w:rPr>
        <w:t xml:space="preserve">乙方执行设备运行、停送电等运行任务时，乙方严格执行两票三制，采取有效安全措施，监护人员到位，须由持电工作业证的人员完成运行操作任务；</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9</w:t>
      </w:r>
      <w:r>
        <w:rPr>
          <w:rFonts w:hint="eastAsia" w:ascii="宋体" w:hAnsi="宋体"/>
          <w:bCs/>
          <w:color w:val="auto"/>
          <w:sz w:val="24"/>
          <w:szCs w:val="24"/>
          <w:highlight w:val="none"/>
        </w:rPr>
        <w:t xml:space="preserve">.乙方运行人员应充分了解工程环境、设备情况；</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乙方在保障</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10.乙方应确保值班等区域的设施</w:t>
      </w:r>
      <w:r>
        <w:rPr>
          <w:rFonts w:hint="eastAsia" w:ascii="宋体" w:hAnsi="宋体"/>
          <w:bCs/>
          <w:color w:val="auto"/>
          <w:sz w:val="24"/>
          <w:szCs w:val="24"/>
          <w:highlight w:val="none"/>
        </w:rPr>
        <w:t xml:space="preserve">设备和生产设施等安全使用。</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第六条：其它</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1.由乙方违反国家有关安全生产法律、法规，或不服从甲方安全管理要求，或不执行设施设备的安全操作规程，或三违作业，或违反本协议，或乙方安全管理不尽职履职等造成安全事故或发生人员伤害、设施设备损坏等，所造成的损失由乙方承担，同时承担相应的法律责任；</w:t>
      </w:r>
      <w:r/>
    </w:p>
    <w:p>
      <w:pPr>
        <w:ind w:firstLine="480"/>
        <w:jc w:val="both"/>
        <w:spacing w:after="0" w:line="360" w:lineRule="auto"/>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2.未尽安全生产事宜，由双方协商。</w:t>
      </w:r>
      <w:r/>
    </w:p>
    <w:p>
      <w:pPr>
        <w:jc w:val="both"/>
        <w:spacing w:after="0" w:line="360" w:lineRule="auto"/>
        <w:widowControl w:val="off"/>
        <w:rPr>
          <w:rFonts w:ascii="宋体" w:hAnsi="宋体" w:cs="Times New Roman"/>
          <w:bCs/>
          <w:color w:val="auto"/>
          <w:sz w:val="24"/>
          <w:szCs w:val="24"/>
          <w:highlight w:val="none"/>
          <w:u w:val="single"/>
        </w:rPr>
      </w:pPr>
      <w:r>
        <w:rPr>
          <w:rFonts w:hint="eastAsia" w:ascii="宋体" w:hAnsi="宋体" w:cs="Times New Roman"/>
          <w:bCs/>
          <w:color w:val="auto"/>
          <w:sz w:val="24"/>
          <w:szCs w:val="24"/>
          <w:highlight w:val="none"/>
          <w:u w:val="single"/>
        </w:rPr>
        <w:t xml:space="preserve">                                                                                                                     </w:t>
      </w:r>
      <w:r/>
    </w:p>
    <w:p>
      <w:pPr>
        <w:jc w:val="both"/>
        <w:spacing w:after="0" w:line="360" w:lineRule="auto"/>
        <w:widowControl w:val="off"/>
        <w:rPr>
          <w:rFonts w:ascii="宋体" w:hAnsi="宋体" w:cs="Times New Roman"/>
          <w:bCs/>
          <w:color w:val="auto"/>
          <w:sz w:val="24"/>
          <w:szCs w:val="24"/>
          <w:highlight w:val="none"/>
          <w:u w:val="single"/>
        </w:rPr>
      </w:pPr>
      <w:r>
        <w:rPr>
          <w:rFonts w:hint="eastAsia" w:ascii="宋体" w:hAnsi="宋体" w:cs="Times New Roman"/>
          <w:bCs/>
          <w:color w:val="auto"/>
          <w:sz w:val="24"/>
          <w:szCs w:val="24"/>
          <w:highlight w:val="none"/>
          <w:u w:val="single"/>
        </w:rPr>
        <w:t xml:space="preserve">                                                                               </w:t>
      </w:r>
      <w:r/>
    </w:p>
    <w:p>
      <w:pPr>
        <w:jc w:val="both"/>
        <w:spacing w:after="0" w:line="360" w:lineRule="auto"/>
        <w:widowControl w:val="off"/>
        <w:rPr>
          <w:rFonts w:ascii="宋体" w:hAnsi="宋体" w:cs="Times New Roman"/>
          <w:color w:val="auto"/>
          <w:sz w:val="24"/>
          <w:szCs w:val="24"/>
          <w:highlight w:val="none"/>
          <w:u w:val="single"/>
        </w:rPr>
      </w:pPr>
      <w:r>
        <w:rPr>
          <w:rFonts w:hint="eastAsia" w:ascii="宋体" w:hAnsi="宋体" w:cs="Times New Roman"/>
          <w:color w:val="auto"/>
          <w:sz w:val="24"/>
          <w:szCs w:val="24"/>
          <w:highlight w:val="none"/>
          <w:u w:val="single"/>
        </w:rPr>
        <w:t xml:space="preserve">                                                                               </w:t>
      </w:r>
      <w:r/>
    </w:p>
    <w:p>
      <w:pPr>
        <w:jc w:val="both"/>
        <w:spacing w:after="0" w:line="50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jc w:val="both"/>
        <w:spacing w:after="0" w:line="500" w:lineRule="exact"/>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甲方（无锡市水利工程管理中心）：                   乙方：（或授权委托人）</w:t>
      </w:r>
      <w:r/>
    </w:p>
    <w:p>
      <w:pPr>
        <w:jc w:val="both"/>
        <w:spacing w:after="0" w:line="500" w:lineRule="exact"/>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地址：                                            地址：</w:t>
      </w:r>
      <w:r/>
    </w:p>
    <w:p>
      <w:pPr>
        <w:jc w:val="both"/>
        <w:spacing w:after="0" w:line="500" w:lineRule="exact"/>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法定代表人：（盖章）                               法定代表人：（盖章）</w:t>
      </w:r>
      <w:r/>
    </w:p>
    <w:p>
      <w:pPr>
        <w:ind w:firstLine="960"/>
        <w:jc w:val="both"/>
        <w:spacing w:after="0" w:line="500" w:lineRule="exact"/>
        <w:widowControl w:val="off"/>
        <w:rPr>
          <w:rFonts w:ascii="宋体" w:hAnsi="宋体" w:cs="Times New Roman"/>
          <w:bCs/>
          <w:color w:val="auto"/>
          <w:sz w:val="24"/>
          <w:szCs w:val="24"/>
          <w:highlight w:val="none"/>
        </w:rPr>
      </w:pPr>
      <w:r>
        <w:rPr>
          <w:rFonts w:hint="eastAsia" w:ascii="宋体" w:hAnsi="宋体"/>
          <w:bCs/>
          <w:color w:val="auto"/>
          <w:sz w:val="24"/>
          <w:szCs w:val="24"/>
          <w:highlight w:val="none"/>
        </w:rPr>
        <w:t xml:space="preserve">年</w:t>
      </w:r>
      <w:r>
        <w:rPr>
          <w:rFonts w:hint="eastAsia" w:ascii="宋体" w:hAnsi="宋体" w:cs="Times New Roman"/>
          <w:bCs/>
          <w:color w:val="auto"/>
          <w:sz w:val="24"/>
          <w:szCs w:val="24"/>
          <w:highlight w:val="none"/>
        </w:rPr>
        <w:t xml:space="preserve">    </w:t>
      </w:r>
      <w:r>
        <w:rPr>
          <w:rFonts w:hint="eastAsia" w:ascii="宋体" w:hAnsi="宋体"/>
          <w:bCs/>
          <w:color w:val="auto"/>
          <w:sz w:val="24"/>
          <w:szCs w:val="24"/>
          <w:highlight w:val="none"/>
        </w:rPr>
        <w:t xml:space="preserve">月</w:t>
      </w:r>
      <w:r>
        <w:rPr>
          <w:rFonts w:hint="eastAsia" w:ascii="宋体" w:hAnsi="宋体" w:cs="Times New Roman"/>
          <w:bCs/>
          <w:color w:val="auto"/>
          <w:sz w:val="24"/>
          <w:szCs w:val="24"/>
          <w:highlight w:val="none"/>
        </w:rPr>
        <w:t xml:space="preserve">     </w:t>
      </w:r>
      <w:r>
        <w:rPr>
          <w:rFonts w:hint="eastAsia" w:ascii="宋体" w:hAnsi="宋体"/>
          <w:bCs/>
          <w:color w:val="auto"/>
          <w:sz w:val="24"/>
          <w:szCs w:val="24"/>
          <w:highlight w:val="none"/>
        </w:rPr>
        <w:t xml:space="preserve">日                                年</w:t>
      </w:r>
      <w:r>
        <w:rPr>
          <w:rFonts w:hint="eastAsia" w:ascii="宋体" w:hAnsi="宋体" w:cs="Times New Roman"/>
          <w:bCs/>
          <w:color w:val="auto"/>
          <w:sz w:val="24"/>
          <w:szCs w:val="24"/>
          <w:highlight w:val="none"/>
        </w:rPr>
        <w:t xml:space="preserve">    </w:t>
      </w:r>
      <w:r>
        <w:rPr>
          <w:rFonts w:hint="eastAsia" w:ascii="宋体" w:hAnsi="宋体"/>
          <w:bCs/>
          <w:color w:val="auto"/>
          <w:sz w:val="24"/>
          <w:szCs w:val="24"/>
          <w:highlight w:val="none"/>
        </w:rPr>
        <w:t xml:space="preserve">月</w:t>
      </w:r>
      <w:r>
        <w:rPr>
          <w:rFonts w:hint="eastAsia" w:ascii="宋体" w:hAnsi="宋体" w:cs="Times New Roman"/>
          <w:bCs/>
          <w:color w:val="auto"/>
          <w:sz w:val="24"/>
          <w:szCs w:val="24"/>
          <w:highlight w:val="none"/>
        </w:rPr>
        <w:t xml:space="preserve">    </w:t>
      </w:r>
      <w:r>
        <w:rPr>
          <w:rFonts w:hint="eastAsia" w:ascii="宋体" w:hAnsi="宋体"/>
          <w:bCs/>
          <w:color w:val="auto"/>
          <w:sz w:val="24"/>
          <w:szCs w:val="24"/>
          <w:highlight w:val="none"/>
        </w:rPr>
        <w:t xml:space="preserve">日</w:t>
      </w:r>
      <w:r/>
    </w:p>
    <w:p>
      <w:pPr>
        <w:jc w:val="both"/>
        <w:pageBreakBefore/>
        <w:spacing w:after="0"/>
        <w:rPr>
          <w:rFonts w:ascii="宋体" w:hAnsi="宋体"/>
          <w:b/>
          <w:color w:val="auto"/>
          <w:sz w:val="24"/>
          <w:szCs w:val="24"/>
          <w:highlight w:val="none"/>
        </w:rPr>
      </w:pPr>
      <w:r>
        <w:rPr>
          <w:rFonts w:hint="eastAsia" w:ascii="宋体" w:hAnsi="宋体"/>
          <w:color w:val="auto"/>
          <w:highlight w:val="none"/>
        </w:rPr>
        <w:t xml:space="preserve">五、</w:t>
      </w:r>
      <w:r>
        <w:rPr>
          <w:rFonts w:hint="eastAsia" w:ascii="宋体" w:hAnsi="宋体"/>
          <w:b/>
          <w:color w:val="auto"/>
          <w:sz w:val="24"/>
          <w:szCs w:val="24"/>
          <w:highlight w:val="none"/>
        </w:rPr>
        <w:t xml:space="preserve"> 附件（投标文件格式）</w:t>
      </w:r>
      <w:r/>
    </w:p>
    <w:p>
      <w:pPr>
        <w:spacing w:after="0"/>
        <w:rPr>
          <w:rFonts w:ascii="宋体" w:hAnsi="宋体"/>
          <w:b/>
          <w:bCs/>
          <w:color w:val="auto"/>
          <w:sz w:val="24"/>
          <w:szCs w:val="24"/>
          <w:highlight w:val="none"/>
        </w:rPr>
      </w:pPr>
      <w:r>
        <w:rPr>
          <w:rFonts w:ascii="宋体" w:hAnsi="宋体"/>
          <w:b/>
          <w:bCs/>
          <w:color w:val="auto"/>
          <w:sz w:val="24"/>
          <w:szCs w:val="24"/>
          <w:highlight w:val="none"/>
        </w:rPr>
      </w:r>
      <w:r/>
    </w:p>
    <w:p>
      <w:pPr>
        <w:pStyle w:val="843"/>
        <w:rPr>
          <w:rFonts w:ascii="宋体" w:hAnsi="宋体"/>
          <w:b/>
          <w:color w:val="auto"/>
          <w:sz w:val="48"/>
          <w:highlight w:val="none"/>
          <w:u w:val="single"/>
        </w:rPr>
      </w:pPr>
      <w:r>
        <w:rPr>
          <w:rFonts w:ascii="宋体" w:hAnsi="宋体"/>
          <w:b/>
          <w:color w:val="auto"/>
          <w:sz w:val="48"/>
          <w:highlight w:val="none"/>
          <w:u w:val="single"/>
        </w:rPr>
      </w:r>
      <w:r/>
    </w:p>
    <w:p>
      <w:pPr>
        <w:pStyle w:val="854"/>
        <w:numPr>
          <w:ilvl w:val="0"/>
          <w:numId w:val="0"/>
        </w:numPr>
        <w:rPr>
          <w:color w:val="auto"/>
          <w:highlight w:val="none"/>
        </w:rPr>
      </w:pPr>
      <w:r>
        <w:rPr>
          <w:color w:val="auto"/>
          <w:highlight w:val="none"/>
        </w:rPr>
      </w:r>
      <w:r/>
    </w:p>
    <w:p>
      <w:pPr>
        <w:jc w:val="center"/>
        <w:spacing w:after="0" w:line="360" w:lineRule="auto"/>
        <w:rPr>
          <w:rFonts w:ascii="宋体" w:hAnsi="宋体"/>
          <w:b/>
          <w:color w:val="auto"/>
          <w:sz w:val="48"/>
          <w:highlight w:val="none"/>
        </w:rPr>
      </w:pPr>
      <w:r>
        <w:rPr>
          <w:rFonts w:hint="eastAsia" w:ascii="宋体" w:hAnsi="宋体"/>
          <w:b/>
          <w:color w:val="auto"/>
          <w:sz w:val="48"/>
          <w:highlight w:val="none"/>
          <w:u w:val="single"/>
        </w:rPr>
        <w:t xml:space="preserve">                  </w:t>
      </w:r>
      <w:r>
        <w:rPr>
          <w:rFonts w:hint="eastAsia" w:ascii="宋体" w:hAnsi="宋体"/>
          <w:b/>
          <w:color w:val="auto"/>
          <w:sz w:val="48"/>
          <w:highlight w:val="none"/>
        </w:rPr>
        <w:t xml:space="preserve">项目公开招标</w:t>
      </w:r>
      <w:r/>
    </w:p>
    <w:p>
      <w:pPr>
        <w:jc w:val="center"/>
        <w:spacing w:after="0" w:line="360" w:lineRule="auto"/>
        <w:rPr>
          <w:rFonts w:ascii="宋体" w:hAnsi="宋体"/>
          <w:b/>
          <w:color w:val="auto"/>
          <w:sz w:val="72"/>
          <w:highlight w:val="none"/>
        </w:rPr>
      </w:pPr>
      <w:r>
        <w:rPr>
          <w:rFonts w:hint="eastAsia" w:ascii="宋体" w:hAnsi="宋体"/>
          <w:b/>
          <w:color w:val="auto"/>
          <w:sz w:val="72"/>
          <w:highlight w:val="none"/>
        </w:rPr>
        <w:t xml:space="preserve">投标文件</w:t>
      </w:r>
      <w:r/>
    </w:p>
    <w:p>
      <w:pPr>
        <w:spacing w:before="721" w:after="541"/>
        <w:rPr>
          <w:rFonts w:ascii="宋体" w:hAnsi="宋体"/>
          <w:bCs/>
          <w:color w:val="auto"/>
          <w:sz w:val="32"/>
          <w:szCs w:val="32"/>
          <w:highlight w:val="none"/>
        </w:rPr>
      </w:pPr>
      <w:r>
        <w:rPr>
          <w:rFonts w:hint="eastAsia" w:ascii="宋体" w:hAnsi="宋体"/>
          <w:b/>
          <w:color w:val="auto"/>
          <w:sz w:val="32"/>
          <w:szCs w:val="32"/>
          <w:highlight w:val="none"/>
        </w:rPr>
        <w:t xml:space="preserve">采购项目编号：</w:t>
      </w:r>
      <w:r/>
    </w:p>
    <w:p>
      <w:pPr>
        <w:spacing w:before="721" w:after="541" w:line="360" w:lineRule="auto"/>
        <w:rPr>
          <w:rFonts w:ascii="宋体" w:hAnsi="宋体"/>
          <w:b/>
          <w:color w:val="auto"/>
          <w:sz w:val="32"/>
          <w:szCs w:val="32"/>
          <w:highlight w:val="none"/>
          <w:u w:val="single"/>
        </w:rPr>
      </w:pPr>
      <w:r>
        <w:rPr>
          <w:rFonts w:hint="eastAsia" w:ascii="宋体" w:hAnsi="宋体"/>
          <w:b/>
          <w:color w:val="auto"/>
          <w:sz w:val="32"/>
          <w:szCs w:val="32"/>
          <w:highlight w:val="none"/>
        </w:rPr>
        <w:t xml:space="preserve">采购项目名称：</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u w:val="single"/>
        </w:rPr>
        <w:tab/>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u w:val="single"/>
        </w:rPr>
        <w:tab/>
      </w:r>
      <w:r>
        <w:rPr>
          <w:rFonts w:hint="eastAsia" w:ascii="宋体" w:hAnsi="宋体"/>
          <w:b/>
          <w:color w:val="auto"/>
          <w:sz w:val="32"/>
          <w:szCs w:val="32"/>
          <w:highlight w:val="none"/>
          <w:u w:val="single"/>
        </w:rPr>
        <w:tab/>
      </w:r>
      <w:r>
        <w:rPr>
          <w:rFonts w:hint="eastAsia" w:ascii="宋体" w:hAnsi="宋体"/>
          <w:b/>
          <w:color w:val="auto"/>
          <w:sz w:val="32"/>
          <w:szCs w:val="32"/>
          <w:highlight w:val="none"/>
          <w:u w:val="single"/>
        </w:rPr>
        <w:t xml:space="preserve">                          </w:t>
      </w:r>
      <w:r/>
    </w:p>
    <w:p>
      <w:pPr>
        <w:spacing w:before="721" w:after="541" w:line="360" w:lineRule="auto"/>
        <w:rPr>
          <w:rFonts w:ascii="宋体" w:hAnsi="宋体"/>
          <w:color w:val="auto"/>
          <w:sz w:val="32"/>
          <w:szCs w:val="32"/>
          <w:highlight w:val="none"/>
        </w:rPr>
      </w:pP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 xml:space="preserve">月</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 xml:space="preserve">日</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 xml:space="preserve">时</w:t>
      </w: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 xml:space="preserve">分</w:t>
      </w:r>
      <w:r>
        <w:rPr>
          <w:rFonts w:hint="eastAsia" w:ascii="宋体" w:hAnsi="宋体"/>
          <w:color w:val="auto"/>
          <w:sz w:val="32"/>
          <w:szCs w:val="32"/>
          <w:highlight w:val="none"/>
        </w:rPr>
        <w:t xml:space="preserve">开标，此时间以前不得开封；</w:t>
      </w:r>
      <w:r/>
    </w:p>
    <w:p>
      <w:pPr>
        <w:spacing w:before="721" w:after="541" w:line="360" w:lineRule="auto"/>
        <w:rPr>
          <w:rFonts w:ascii="宋体" w:hAnsi="宋体"/>
          <w:b/>
          <w:color w:val="auto"/>
          <w:sz w:val="32"/>
          <w:szCs w:val="32"/>
          <w:highlight w:val="none"/>
          <w:u w:val="single"/>
        </w:rPr>
      </w:pPr>
      <w:r>
        <w:rPr>
          <w:rFonts w:hint="eastAsia" w:ascii="宋体" w:hAnsi="宋体"/>
          <w:b/>
          <w:color w:val="auto"/>
          <w:sz w:val="32"/>
          <w:szCs w:val="32"/>
          <w:highlight w:val="none"/>
        </w:rPr>
        <w:t xml:space="preserve">投标供应商：</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u w:val="single"/>
        </w:rPr>
        <w:tab/>
      </w:r>
      <w:r>
        <w:rPr>
          <w:rFonts w:hint="eastAsia" w:ascii="宋体" w:hAnsi="宋体"/>
          <w:b/>
          <w:color w:val="auto"/>
          <w:sz w:val="32"/>
          <w:szCs w:val="32"/>
          <w:highlight w:val="none"/>
          <w:u w:val="single"/>
        </w:rPr>
        <w:t xml:space="preserve">              （盖公章）</w:t>
      </w:r>
      <w:r/>
    </w:p>
    <w:p>
      <w:pPr>
        <w:spacing w:before="721" w:after="541"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法定代表人或</w:t>
      </w:r>
      <w:r/>
    </w:p>
    <w:p>
      <w:pPr>
        <w:spacing w:before="721" w:after="541" w:line="360" w:lineRule="auto"/>
        <w:rPr>
          <w:rFonts w:ascii="宋体" w:hAnsi="宋体"/>
          <w:b/>
          <w:color w:val="auto"/>
          <w:sz w:val="32"/>
          <w:szCs w:val="32"/>
          <w:highlight w:val="none"/>
          <w:u w:val="single"/>
        </w:rPr>
      </w:pPr>
      <w:r>
        <w:rPr>
          <w:rFonts w:hint="eastAsia" w:ascii="宋体" w:hAnsi="宋体"/>
          <w:b/>
          <w:color w:val="auto"/>
          <w:sz w:val="32"/>
          <w:szCs w:val="32"/>
          <w:highlight w:val="none"/>
        </w:rPr>
        <w:t xml:space="preserve">其委托代理人：</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u w:val="single"/>
        </w:rPr>
        <w:tab/>
      </w:r>
      <w:r>
        <w:rPr>
          <w:rFonts w:hint="eastAsia" w:ascii="宋体" w:hAnsi="宋体"/>
          <w:b/>
          <w:color w:val="auto"/>
          <w:sz w:val="32"/>
          <w:szCs w:val="32"/>
          <w:highlight w:val="none"/>
          <w:u w:val="single"/>
        </w:rPr>
        <w:t xml:space="preserve">          （签字或盖章）</w:t>
      </w:r>
      <w:r/>
    </w:p>
    <w:p>
      <w:pPr>
        <w:spacing w:before="721" w:after="541"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日  期：</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 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 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日</w:t>
      </w:r>
      <w:r/>
    </w:p>
    <w:p>
      <w:pPr>
        <w:pageBreakBefore/>
        <w:spacing w:after="0"/>
        <w:widowControl w:val="off"/>
        <w:rPr>
          <w:rFonts w:ascii="宋体" w:hAnsi="宋体"/>
          <w:b/>
          <w:color w:val="auto"/>
          <w:sz w:val="32"/>
          <w:szCs w:val="32"/>
          <w:highlight w:val="none"/>
        </w:rPr>
        <w:outlineLvl w:val="2"/>
      </w:pPr>
      <w:r>
        <w:rPr>
          <w:rFonts w:hint="eastAsia" w:ascii="宋体" w:hAnsi="宋体"/>
          <w:b/>
          <w:color w:val="auto"/>
          <w:sz w:val="32"/>
          <w:szCs w:val="32"/>
          <w:highlight w:val="none"/>
        </w:rPr>
        <w:t xml:space="preserve">（一）投标函（格式）：</w:t>
      </w:r>
      <w:r/>
    </w:p>
    <w:p>
      <w:pPr>
        <w:jc w:val="center"/>
        <w:spacing w:after="0" w:line="312" w:lineRule="auto"/>
        <w:widowControl w:val="off"/>
        <w:rPr>
          <w:rFonts w:ascii="宋体" w:hAnsi="宋体"/>
          <w:b/>
          <w:color w:val="auto"/>
          <w:sz w:val="32"/>
          <w:szCs w:val="32"/>
          <w:highlight w:val="none"/>
        </w:rPr>
      </w:pPr>
      <w:r>
        <w:rPr>
          <w:rFonts w:hint="eastAsia" w:ascii="宋体" w:hAnsi="宋体"/>
          <w:b/>
          <w:color w:val="auto"/>
          <w:sz w:val="32"/>
          <w:szCs w:val="32"/>
          <w:highlight w:val="none"/>
        </w:rPr>
        <w:t xml:space="preserve">投标函</w:t>
      </w:r>
      <w:r/>
    </w:p>
    <w:p>
      <w:pPr>
        <w:spacing w:after="0" w:line="303"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致：江苏仁合中惠工程咨询有限公司</w:t>
      </w:r>
      <w:r/>
    </w:p>
    <w:p>
      <w:pPr>
        <w:ind w:firstLine="480"/>
        <w:spacing w:after="0" w:line="303"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color w:val="auto"/>
          <w:sz w:val="24"/>
          <w:highlight w:val="none"/>
        </w:rPr>
        <w:t xml:space="preserve">采购编号为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w:t>
      </w:r>
      <w:r>
        <w:rPr>
          <w:rFonts w:hint="eastAsia" w:ascii="宋体" w:hAnsi="宋体"/>
          <w:b/>
          <w:color w:val="auto"/>
          <w:sz w:val="24"/>
          <w:highlight w:val="none"/>
          <w:u w:val="single"/>
        </w:rPr>
        <w:t xml:space="preserve">    （采购项目名称 ）   </w:t>
      </w:r>
      <w:r>
        <w:rPr>
          <w:rFonts w:hint="eastAsia" w:ascii="宋体" w:hAnsi="宋体"/>
          <w:color w:val="auto"/>
          <w:sz w:val="24"/>
          <w:highlight w:val="none"/>
        </w:rPr>
        <w:t xml:space="preserve">的</w:t>
      </w:r>
      <w:r>
        <w:rPr>
          <w:rFonts w:hint="eastAsia" w:ascii="宋体" w:hAnsi="宋体"/>
          <w:bCs/>
          <w:color w:val="auto"/>
          <w:sz w:val="24"/>
          <w:szCs w:val="24"/>
          <w:highlight w:val="none"/>
        </w:rPr>
        <w:t xml:space="preserve">招标文件，经仔细阅读和研究，我方决定参加此项目的投标。</w:t>
      </w:r>
      <w:r/>
    </w:p>
    <w:p>
      <w:pPr>
        <w:ind w:firstLine="525"/>
        <w:spacing w:after="0" w:line="303" w:lineRule="auto"/>
        <w:widowControl w:val="off"/>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一、</w:t>
      </w:r>
      <w:r>
        <w:rPr>
          <w:rFonts w:hint="eastAsia" w:ascii="宋体" w:hAnsi="宋体"/>
          <w:bCs/>
          <w:color w:val="auto"/>
          <w:sz w:val="24"/>
          <w:szCs w:val="24"/>
          <w:highlight w:val="none"/>
        </w:rPr>
        <w:t xml:space="preserve">我方愿意按照招标文件的一切要求，提供本项目的投标，投标总价见《开标一览表》。</w:t>
      </w:r>
      <w:r/>
    </w:p>
    <w:p>
      <w:pPr>
        <w:ind w:firstLine="523"/>
        <w:spacing w:after="0" w:line="303" w:lineRule="auto"/>
        <w:widowControl w:val="off"/>
        <w:tabs>
          <w:tab w:val="left" w:pos="0" w:leader="none"/>
          <w:tab w:val="left" w:pos="315" w:leader="none"/>
          <w:tab w:val="left" w:pos="525" w:leader="none"/>
          <w:tab w:val="left" w:pos="840" w:leader="none"/>
          <w:tab w:val="left" w:pos="945" w:leader="none"/>
          <w:tab w:val="left" w:pos="1050" w:leader="none"/>
        </w:tabs>
        <w:rPr>
          <w:rStyle w:val="1195"/>
          <w:rFonts w:ascii="宋体" w:hAnsi="宋体"/>
          <w:bCs/>
          <w:color w:val="auto"/>
          <w:highlight w:val="none"/>
        </w:rPr>
      </w:pPr>
      <w:r>
        <w:rPr>
          <w:rFonts w:hint="eastAsia" w:ascii="Times New Roman" w:hAnsi="Times New Roman" w:eastAsia="Times New Roman" w:cs="Times New Roman"/>
          <w:bCs/>
          <w:color w:val="auto"/>
          <w:sz w:val="21"/>
          <w:highlight w:val="none"/>
        </w:rPr>
        <w:t xml:space="preserve">二、</w:t>
      </w:r>
      <w:r>
        <w:rPr>
          <w:rFonts w:hint="eastAsia" w:ascii="宋体" w:hAnsi="宋体"/>
          <w:bCs/>
          <w:color w:val="auto"/>
          <w:sz w:val="24"/>
          <w:szCs w:val="24"/>
          <w:highlight w:val="none"/>
        </w:rPr>
        <w:t xml:space="preserve">我方愿意提供招标文件中要求的文件、资料。</w:t>
      </w:r>
      <w:r/>
    </w:p>
    <w:p>
      <w:pPr>
        <w:ind w:firstLine="523"/>
        <w:spacing w:after="0" w:line="303" w:lineRule="auto"/>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三、</w:t>
      </w:r>
      <w:r>
        <w:rPr>
          <w:rFonts w:hint="eastAsia" w:ascii="宋体" w:hAnsi="宋体"/>
          <w:bCs/>
          <w:color w:val="auto"/>
          <w:sz w:val="24"/>
          <w:szCs w:val="24"/>
          <w:highlight w:val="none"/>
        </w:rPr>
        <w:t xml:space="preserve">我方同意按招标文件中的规定，本投标文件投标的有效期限为开标之日起90天。</w:t>
      </w:r>
      <w:r/>
    </w:p>
    <w:p>
      <w:pPr>
        <w:ind w:firstLine="523"/>
        <w:spacing w:after="0" w:line="303" w:lineRule="auto"/>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四、</w:t>
      </w:r>
      <w:r>
        <w:rPr>
          <w:rFonts w:hint="eastAsia" w:ascii="宋体" w:hAnsi="宋体"/>
          <w:bCs/>
          <w:color w:val="auto"/>
          <w:sz w:val="24"/>
          <w:szCs w:val="24"/>
          <w:highlight w:val="none"/>
        </w:rPr>
        <w:t xml:space="preserve">如果我方的投标文件被接受，我方将履行招标文件中规定的每一项要求，按期、按质、按量，完成服务任务。</w:t>
      </w:r>
      <w:r/>
    </w:p>
    <w:p>
      <w:pPr>
        <w:ind w:firstLine="523"/>
        <w:spacing w:after="0" w:line="303" w:lineRule="auto"/>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五、</w:t>
      </w:r>
      <w:r>
        <w:rPr>
          <w:rFonts w:hint="eastAsia" w:ascii="宋体" w:hAnsi="宋体"/>
          <w:bCs/>
          <w:color w:val="auto"/>
          <w:sz w:val="24"/>
          <w:szCs w:val="24"/>
          <w:highlight w:val="none"/>
        </w:rPr>
        <w:t xml:space="preserve">我方认为贵中心有权决定中标者。</w:t>
      </w:r>
      <w:r/>
    </w:p>
    <w:p>
      <w:pPr>
        <w:ind w:firstLine="523"/>
        <w:spacing w:after="0" w:line="303" w:lineRule="auto"/>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六、</w:t>
      </w: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ind w:firstLine="523"/>
        <w:spacing w:after="0" w:line="303" w:lineRule="auto"/>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七、我方已详细审核全部招标文件及其有效补充文件，我们知道必须放弃提出含糊不清或误解问题的权利</w:t>
      </w:r>
      <w:r>
        <w:rPr>
          <w:rFonts w:hint="eastAsia" w:ascii="宋体" w:hAnsi="宋体"/>
          <w:bCs/>
          <w:color w:val="auto"/>
          <w:sz w:val="24"/>
          <w:szCs w:val="24"/>
          <w:highlight w:val="none"/>
        </w:rPr>
        <w:t xml:space="preserve">。</w:t>
      </w:r>
      <w:r/>
    </w:p>
    <w:p>
      <w:pPr>
        <w:ind w:firstLine="523"/>
        <w:spacing w:after="0" w:line="303" w:lineRule="auto"/>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八、</w:t>
      </w: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ind w:firstLine="523"/>
        <w:spacing w:after="0" w:line="303" w:lineRule="auto"/>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九、</w:t>
      </w: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ind w:firstLine="523"/>
        <w:spacing w:after="0" w:line="303" w:lineRule="auto"/>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Times New Roman" w:hAnsi="Times New Roman" w:eastAsia="Times New Roman" w:cs="Times New Roman"/>
          <w:bCs/>
          <w:color w:val="auto"/>
          <w:sz w:val="24"/>
          <w:szCs w:val="24"/>
          <w:highlight w:val="none"/>
        </w:rPr>
        <w:t xml:space="preserve">十、</w:t>
      </w: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after="0" w:line="303"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after="0" w:line="303"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after="0" w:line="303"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after="0" w:line="303"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地址：                              邮编：                             </w:t>
      </w:r>
      <w:r/>
    </w:p>
    <w:p>
      <w:pPr>
        <w:ind w:firstLine="480"/>
        <w:spacing w:after="0" w:line="303"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spacing w:after="0" w:line="303"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开户银行：                   </w:t>
      </w:r>
      <w:r/>
    </w:p>
    <w:p>
      <w:pPr>
        <w:ind w:firstLine="480"/>
        <w:spacing w:after="0" w:line="303"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226" w:name="校园网系统报价和服务承诺表（格式）"/>
      <w:r/>
      <w:bookmarkEnd w:id="226"/>
      <w:r/>
      <w:bookmarkStart w:id="227" w:name="（报价人）法定代表人授权书（格式）"/>
      <w:r/>
      <w:bookmarkEnd w:id="227"/>
      <w:r/>
      <w:r/>
    </w:p>
    <w:p>
      <w:pPr>
        <w:pageBreakBefore/>
        <w:spacing w:after="0"/>
        <w:widowControl w:val="off"/>
        <w:rPr>
          <w:rFonts w:ascii="宋体" w:hAnsi="宋体"/>
          <w:bCs/>
          <w:color w:val="auto"/>
          <w:sz w:val="28"/>
          <w:szCs w:val="28"/>
          <w:highlight w:val="none"/>
        </w:rPr>
        <w:outlineLvl w:val="2"/>
      </w:pPr>
      <w:r>
        <w:rPr>
          <w:rFonts w:hint="eastAsia" w:ascii="宋体" w:hAnsi="宋体"/>
          <w:b/>
          <w:color w:val="auto"/>
          <w:sz w:val="32"/>
          <w:szCs w:val="32"/>
          <w:highlight w:val="none"/>
        </w:rPr>
        <w:t xml:space="preserve">（二）（投标供应商）关于资格的声明函（格式）：</w:t>
      </w:r>
      <w:r/>
    </w:p>
    <w:p>
      <w:pPr>
        <w:spacing w:after="0" w:line="360" w:lineRule="auto"/>
        <w:rPr>
          <w:rFonts w:ascii="宋体" w:hAnsi="宋体"/>
          <w:bCs/>
          <w:color w:val="auto"/>
          <w:sz w:val="36"/>
          <w:highlight w:val="none"/>
        </w:rPr>
      </w:pPr>
      <w:r>
        <w:rPr>
          <w:rFonts w:ascii="宋体" w:hAnsi="宋体"/>
          <w:bCs/>
          <w:color w:val="auto"/>
          <w:sz w:val="36"/>
          <w:highlight w:val="none"/>
        </w:rPr>
      </w:r>
      <w:r/>
    </w:p>
    <w:p>
      <w:pPr>
        <w:jc w:val="center"/>
        <w:spacing w:after="0"/>
        <w:rPr>
          <w:rFonts w:ascii="宋体" w:hAnsi="宋体"/>
          <w:bCs/>
          <w:color w:val="auto"/>
          <w:sz w:val="28"/>
          <w:szCs w:val="28"/>
          <w:highlight w:val="none"/>
        </w:rPr>
      </w:pPr>
      <w:r/>
      <w:bookmarkStart w:id="228" w:name="报价方关于资格的声明函（格式）"/>
      <w:r/>
      <w:bookmarkEnd w:id="228"/>
      <w:r>
        <w:rPr>
          <w:rFonts w:hint="eastAsia" w:ascii="宋体" w:hAnsi="宋体"/>
          <w:bCs/>
          <w:color w:val="auto"/>
          <w:sz w:val="28"/>
          <w:szCs w:val="28"/>
          <w:highlight w:val="none"/>
        </w:rPr>
        <w:t xml:space="preserve">关于资格的声明函</w:t>
      </w:r>
      <w:r/>
    </w:p>
    <w:p>
      <w:pPr>
        <w:jc w:val="center"/>
        <w:spacing w:after="0" w:line="480" w:lineRule="auto"/>
        <w:rPr>
          <w:rFonts w:ascii="宋体" w:hAnsi="宋体"/>
          <w:bCs/>
          <w:color w:val="auto"/>
          <w:sz w:val="24"/>
          <w:szCs w:val="24"/>
          <w:highlight w:val="none"/>
        </w:rPr>
      </w:pPr>
      <w:r>
        <w:rPr>
          <w:rFonts w:ascii="宋体" w:hAnsi="宋体"/>
          <w:bCs/>
          <w:color w:val="auto"/>
          <w:sz w:val="24"/>
          <w:szCs w:val="24"/>
          <w:highlight w:val="none"/>
        </w:rPr>
      </w:r>
      <w:r/>
    </w:p>
    <w:p>
      <w:pPr>
        <w:jc w:val="center"/>
        <w:spacing w:after="0"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after="0" w:line="480" w:lineRule="auto"/>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致：江苏仁合中惠工程咨询有限公司</w:t>
      </w:r>
      <w:r/>
    </w:p>
    <w:p>
      <w:pPr>
        <w:spacing w:after="0"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p>
      <w:pPr>
        <w:ind w:firstLine="480"/>
        <w:spacing w:after="0"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JSZC-320200-RHZH-G2026-0048</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JSZC-320200-RHZH-G2026-0048</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after="0"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投标供应商（盖章）：</w:t>
      </w:r>
      <w:r/>
    </w:p>
    <w:p>
      <w:pPr>
        <w:spacing w:after="0"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法定代表人或法定代表人授权代表（签字或盖章）：</w:t>
      </w:r>
      <w:r/>
    </w:p>
    <w:p>
      <w:pPr>
        <w:spacing w:after="0" w:line="480" w:lineRule="auto"/>
        <w:rPr>
          <w:rFonts w:ascii="宋体" w:hAnsi="宋体"/>
          <w:b/>
          <w:color w:val="auto"/>
          <w:sz w:val="24"/>
          <w:szCs w:val="24"/>
          <w:highlight w:val="none"/>
        </w:rPr>
      </w:pPr>
      <w:r>
        <w:rPr>
          <w:rFonts w:hint="eastAsia" w:ascii="宋体" w:hAnsi="宋体"/>
          <w:color w:val="auto"/>
          <w:sz w:val="24"/>
          <w:szCs w:val="24"/>
          <w:highlight w:val="none"/>
        </w:rPr>
        <w:t xml:space="preserve">备注：上述所称 “重大违法记录”，是指投标供应商因违法经营受到刑事处罚或者责令停产停业、吊销许可证或者执照、较大数额罚款等行政处罚，（根据财政部关于 《中华人民共和国政府采购法实施条例》第十九条第一款“较大数额罚款〞具体适用问题的意见 财库〔2022〕3号文规定，“较大数额罚款”认定为 200 万元以上的罚款，法律、行政法规以及国务院有关部门明确规定相关领域“较大数额罚款”标准高于 200 万元的，从其规定。</w:t>
      </w:r>
      <w:r>
        <w:rPr>
          <w:color w:val="auto"/>
          <w:highlight w:val="none"/>
        </w:rPr>
        <w:br w:type="page" w:clear="all"/>
      </w:r>
      <w:r>
        <w:rPr>
          <w:rFonts w:hint="eastAsia" w:ascii="宋体" w:hAnsi="宋体"/>
          <w:b/>
          <w:color w:val="auto"/>
          <w:sz w:val="32"/>
          <w:szCs w:val="32"/>
          <w:highlight w:val="none"/>
        </w:rPr>
        <w:t xml:space="preserve">（三）（投标供应商）法定代表人授权委托书（格式）：</w:t>
      </w:r>
      <w:r/>
    </w:p>
    <w:p>
      <w:pPr>
        <w:jc w:val="center"/>
        <w:spacing w:after="0"/>
        <w:rPr>
          <w:rFonts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spacing w:after="0" w:line="480" w:lineRule="auto"/>
        <w:rPr>
          <w:rFonts w:ascii="宋体" w:hAnsi="宋体"/>
          <w:bCs/>
          <w:color w:val="auto"/>
          <w:sz w:val="30"/>
          <w:highlight w:val="none"/>
        </w:rPr>
      </w:pPr>
      <w:r>
        <w:rPr>
          <w:rFonts w:hint="eastAsia" w:ascii="宋体" w:hAnsi="宋体"/>
          <w:bCs/>
          <w:color w:val="auto"/>
          <w:sz w:val="30"/>
          <w:highlight w:val="none"/>
        </w:rPr>
        <w:t xml:space="preserve">                           </w:t>
      </w:r>
      <w:r/>
    </w:p>
    <w:p>
      <w:pPr>
        <w:jc w:val="center"/>
        <w:spacing w:after="0"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采购项目编号：</w:t>
      </w:r>
      <w:r/>
    </w:p>
    <w:p>
      <w:pPr>
        <w:spacing w:after="0"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日期：</w:t>
      </w:r>
      <w:r/>
    </w:p>
    <w:p>
      <w:pPr>
        <w:spacing w:after="0" w:line="360" w:lineRule="auto"/>
        <w:rPr>
          <w:rFonts w:ascii="宋体" w:hAnsi="宋体"/>
          <w:color w:val="auto"/>
          <w:sz w:val="24"/>
          <w:highlight w:val="none"/>
          <w:u w:val="single"/>
        </w:rPr>
      </w:pPr>
      <w:r>
        <w:rPr>
          <w:rFonts w:hint="eastAsia" w:ascii="宋体" w:hAnsi="宋体"/>
          <w:color w:val="auto"/>
          <w:sz w:val="24"/>
          <w:highlight w:val="none"/>
          <w:u w:val="single"/>
        </w:rPr>
        <w:t xml:space="preserve">江苏仁合中惠工程咨询有限公司 ：</w:t>
      </w:r>
      <w:r/>
    </w:p>
    <w:p>
      <w:pPr>
        <w:spacing w:after="0" w:line="360" w:lineRule="auto"/>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u w:val="single"/>
        </w:rPr>
        <w:t xml:space="preserve">     （投标供应商名称）       </w:t>
      </w:r>
      <w:r>
        <w:rPr>
          <w:rFonts w:hint="eastAsia" w:ascii="宋体" w:hAnsi="宋体"/>
          <w:color w:val="auto"/>
          <w:sz w:val="24"/>
          <w:highlight w:val="none"/>
        </w:rPr>
        <w:t xml:space="preserve">系中华人民共和国合法企业</w:t>
      </w:r>
      <w:r/>
    </w:p>
    <w:p>
      <w:pPr>
        <w:spacing w:after="0" w:line="360" w:lineRule="auto"/>
        <w:rPr>
          <w:rFonts w:ascii="宋体" w:hAnsi="宋体"/>
          <w:color w:val="auto"/>
          <w:sz w:val="24"/>
          <w:highlight w:val="none"/>
        </w:rPr>
      </w:pPr>
      <w:r>
        <w:rPr>
          <w:rFonts w:hint="eastAsia" w:ascii="宋体" w:hAnsi="宋体"/>
          <w:color w:val="auto"/>
          <w:sz w:val="24"/>
          <w:highlight w:val="none"/>
        </w:rPr>
        <w:t xml:space="preserve">法定地址：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特授权</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代表我公司（单位）全权办理针对本项目（采购编号：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）的报价等具体工作，并签署全部有关文件、协议及合同。</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我公司（单位）对被授权人的签名负全部责任。</w:t>
      </w:r>
      <w:r/>
    </w:p>
    <w:p>
      <w:pPr>
        <w:ind w:firstLine="48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被授权人情况：</w:t>
      </w:r>
      <w:r/>
    </w:p>
    <w:p>
      <w:pPr>
        <w:ind w:firstLine="48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姓名：          性别：         年龄：          职务：</w:t>
      </w:r>
      <w:r/>
    </w:p>
    <w:p>
      <w:pPr>
        <w:ind w:firstLine="48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身份证号码：                   电话：</w:t>
      </w:r>
      <w:r/>
    </w:p>
    <w:p>
      <w:pPr>
        <w:ind w:firstLine="48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通讯地址：</w:t>
      </w:r>
      <w:r/>
    </w:p>
    <w:p>
      <w:pPr>
        <w:ind w:firstLine="48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被授权人签名：                  单位名称（盖章）：</w:t>
      </w:r>
      <w:r/>
    </w:p>
    <w:p>
      <w:pPr>
        <w:ind w:firstLine="432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法定代表人（签字或盖章）：</w:t>
      </w:r>
      <w:r/>
    </w:p>
    <w:p>
      <w:pPr>
        <w:ind w:firstLine="5760"/>
        <w:spacing w:after="0" w:line="360" w:lineRule="auto"/>
        <w:widowControl w:val="off"/>
        <w:rPr>
          <w:rFonts w:ascii="宋体" w:hAnsi="宋体"/>
          <w:color w:val="auto"/>
          <w:sz w:val="24"/>
          <w:highlight w:val="none"/>
        </w:rPr>
      </w:pPr>
      <w:r>
        <w:rPr>
          <w:rFonts w:hint="eastAsia" w:ascii="宋体" w:hAnsi="宋体"/>
          <w:color w:val="auto"/>
          <w:sz w:val="24"/>
          <w:highlight w:val="none"/>
        </w:rPr>
        <w:t xml:space="preserve">年     月     日</w:t>
      </w:r>
      <w:r/>
    </w:p>
    <w:tbl>
      <w:tblPr>
        <w:tblStyle w:val="8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after="0" w:line="360" w:lineRule="auto"/>
              <w:rPr>
                <w:rFonts w:ascii="宋体" w:hAnsi="宋体"/>
                <w:color w:val="auto"/>
                <w:sz w:val="24"/>
                <w:highlight w:val="none"/>
              </w:rPr>
            </w:pPr>
            <w:r>
              <w:rPr>
                <w:rFonts w:ascii="宋体" w:hAnsi="宋体"/>
                <w:color w:val="auto"/>
                <w:sz w:val="24"/>
                <w:highlight w:val="none"/>
              </w:rPr>
            </w:r>
            <w:r/>
          </w:p>
          <w:p>
            <w:pPr>
              <w:spacing w:after="0" w:line="360" w:lineRule="auto"/>
              <w:rPr>
                <w:rFonts w:ascii="宋体" w:hAnsi="宋体"/>
                <w:color w:val="auto"/>
                <w:sz w:val="24"/>
                <w:highlight w:val="none"/>
              </w:rPr>
            </w:pPr>
            <w:r>
              <w:rPr>
                <w:rFonts w:ascii="宋体" w:hAnsi="宋体"/>
                <w:color w:val="auto"/>
                <w:sz w:val="24"/>
                <w:highlight w:val="none"/>
              </w:rPr>
            </w:r>
            <w:r/>
          </w:p>
          <w:p>
            <w:pPr>
              <w:jc w:val="center"/>
              <w:spacing w:after="0" w:line="360" w:lineRule="auto"/>
              <w:rPr>
                <w:rFonts w:ascii="宋体" w:hAnsi="宋体"/>
                <w:color w:val="auto"/>
                <w:sz w:val="24"/>
                <w:highlight w:val="none"/>
              </w:rPr>
            </w:pPr>
            <w:r>
              <w:rPr>
                <w:rFonts w:hint="eastAsia" w:ascii="宋体" w:hAnsi="宋体"/>
                <w:color w:val="auto"/>
                <w:sz w:val="24"/>
                <w:highlight w:val="none"/>
              </w:rPr>
              <w:t xml:space="preserve">法定代表人身份证复印件</w:t>
            </w:r>
            <w:r/>
          </w:p>
        </w:tc>
        <w:tc>
          <w:tcPr>
            <w:tcW w:w="720" w:type="dxa"/>
            <w:textDirection w:val="lrTb"/>
            <w:noWrap w:val="false"/>
          </w:tcPr>
          <w:p>
            <w:pPr>
              <w:spacing w:after="0" w:line="360" w:lineRule="auto"/>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after="0" w:line="360" w:lineRule="auto"/>
              <w:rPr>
                <w:rFonts w:ascii="宋体" w:hAnsi="宋体"/>
                <w:color w:val="auto"/>
                <w:sz w:val="24"/>
                <w:highlight w:val="none"/>
              </w:rPr>
            </w:pPr>
            <w:r>
              <w:rPr>
                <w:rFonts w:ascii="宋体" w:hAnsi="宋体"/>
                <w:color w:val="auto"/>
                <w:sz w:val="24"/>
                <w:highlight w:val="none"/>
              </w:rPr>
            </w:r>
            <w:r/>
          </w:p>
          <w:p>
            <w:pPr>
              <w:spacing w:after="0" w:line="360" w:lineRule="auto"/>
              <w:rPr>
                <w:rFonts w:ascii="宋体" w:hAnsi="宋体"/>
                <w:color w:val="auto"/>
                <w:sz w:val="24"/>
                <w:highlight w:val="none"/>
              </w:rPr>
            </w:pPr>
            <w:r>
              <w:rPr>
                <w:rFonts w:ascii="宋体" w:hAnsi="宋体"/>
                <w:color w:val="auto"/>
                <w:sz w:val="24"/>
                <w:highlight w:val="none"/>
              </w:rPr>
            </w:r>
            <w:r/>
          </w:p>
          <w:p>
            <w:pPr>
              <w:jc w:val="center"/>
              <w:spacing w:after="0" w:line="360" w:lineRule="auto"/>
              <w:rPr>
                <w:rFonts w:ascii="宋体" w:hAnsi="宋体"/>
                <w:color w:val="auto"/>
                <w:sz w:val="24"/>
                <w:highlight w:val="none"/>
              </w:rPr>
            </w:pPr>
            <w:r>
              <w:rPr>
                <w:rFonts w:hint="eastAsia" w:ascii="宋体" w:hAnsi="宋体"/>
                <w:color w:val="auto"/>
                <w:sz w:val="24"/>
                <w:highlight w:val="none"/>
              </w:rPr>
              <w:t xml:space="preserve">授权代表身份证复印件</w:t>
            </w:r>
            <w:r/>
          </w:p>
        </w:tc>
      </w:tr>
    </w:tbl>
    <w:p>
      <w:pPr>
        <w:jc w:val="both"/>
        <w:spacing w:after="0" w:line="400" w:lineRule="exact"/>
        <w:rPr>
          <w:rFonts w:hAnsi="宋体"/>
          <w:b/>
          <w:color w:val="auto"/>
          <w:sz w:val="24"/>
          <w:highlight w:val="none"/>
        </w:rPr>
        <w:outlineLvl w:val="1"/>
      </w:pPr>
      <w:r>
        <w:rPr>
          <w:rFonts w:hAnsi="宋体"/>
          <w:b/>
          <w:color w:val="auto"/>
          <w:sz w:val="24"/>
          <w:highlight w:val="none"/>
        </w:rPr>
      </w:r>
      <w:r/>
    </w:p>
    <w:p>
      <w:pPr>
        <w:jc w:val="both"/>
        <w:spacing w:after="0" w:line="400" w:lineRule="exact"/>
        <w:rPr>
          <w:rFonts w:hAnsi="宋体"/>
          <w:b/>
          <w:color w:val="auto"/>
          <w:sz w:val="24"/>
          <w:highlight w:val="none"/>
        </w:rPr>
        <w:outlineLvl w:val="1"/>
      </w:pPr>
      <w:r>
        <w:rPr>
          <w:rFonts w:hAnsi="宋体"/>
          <w:b/>
          <w:color w:val="auto"/>
          <w:sz w:val="24"/>
          <w:highlight w:val="none"/>
        </w:rPr>
      </w:r>
      <w:r/>
    </w:p>
    <w:p>
      <w:pPr>
        <w:jc w:val="both"/>
        <w:spacing w:after="0" w:line="400" w:lineRule="exact"/>
        <w:rPr>
          <w:rFonts w:hAnsi="宋体"/>
          <w:b/>
          <w:color w:val="auto"/>
          <w:sz w:val="24"/>
          <w:highlight w:val="none"/>
        </w:rPr>
        <w:outlineLvl w:val="1"/>
      </w:pPr>
      <w:r>
        <w:rPr>
          <w:rFonts w:hAnsi="宋体"/>
          <w:b/>
          <w:color w:val="auto"/>
          <w:sz w:val="24"/>
          <w:highlight w:val="none"/>
        </w:rPr>
      </w:r>
      <w:r/>
    </w:p>
    <w:p>
      <w:pPr>
        <w:jc w:val="both"/>
        <w:spacing w:after="0" w:line="400" w:lineRule="exact"/>
        <w:rPr>
          <w:rFonts w:ascii="Times New Roman"/>
          <w:b/>
          <w:color w:val="auto"/>
          <w:sz w:val="28"/>
          <w:highlight w:val="none"/>
        </w:rPr>
        <w:outlineLvl w:val="1"/>
      </w:pPr>
      <w:r>
        <w:rPr>
          <w:rFonts w:hint="eastAsia" w:hAnsi="宋体"/>
          <w:b/>
          <w:color w:val="auto"/>
          <w:sz w:val="24"/>
          <w:highlight w:val="none"/>
        </w:rPr>
        <w:t xml:space="preserve">法定代表人身份证明书（格式）（适用于无委托代理人的情况）</w:t>
      </w:r>
      <w:r/>
    </w:p>
    <w:p>
      <w:pPr>
        <w:jc w:val="center"/>
        <w:spacing w:after="0" w:line="400" w:lineRule="exact"/>
        <w:rPr>
          <w:rFonts w:ascii="Times New Roman" w:eastAsia="黑体"/>
          <w:color w:val="auto"/>
          <w:sz w:val="28"/>
          <w:highlight w:val="none"/>
        </w:rPr>
        <w:outlineLvl w:val="1"/>
      </w:pPr>
      <w:r>
        <w:rPr>
          <w:rFonts w:ascii="Times New Roman" w:eastAsia="黑体"/>
          <w:color w:val="auto"/>
          <w:sz w:val="28"/>
          <w:highlight w:val="none"/>
        </w:rPr>
      </w:r>
      <w:r/>
    </w:p>
    <w:p>
      <w:pPr>
        <w:jc w:val="center"/>
        <w:spacing w:after="0" w:line="400" w:lineRule="exact"/>
        <w:rPr>
          <w:rFonts w:ascii="Times New Roman" w:eastAsia="黑体"/>
          <w:color w:val="auto"/>
          <w:sz w:val="28"/>
          <w:highlight w:val="none"/>
        </w:rPr>
        <w:outlineLvl w:val="1"/>
      </w:pPr>
      <w:r>
        <w:rPr>
          <w:rFonts w:ascii="Times New Roman" w:eastAsia="黑体"/>
          <w:color w:val="auto"/>
          <w:sz w:val="28"/>
          <w:highlight w:val="none"/>
        </w:rPr>
        <w:t xml:space="preserve">法定代表人身份证明</w:t>
      </w:r>
      <w:r/>
    </w:p>
    <w:p>
      <w:pPr>
        <w:pStyle w:val="1034"/>
        <w:spacing w:after="0"/>
        <w:rPr>
          <w:color w:val="auto"/>
          <w:highlight w:val="none"/>
        </w:rPr>
      </w:pPr>
      <w:r>
        <w:rPr>
          <w:color w:val="auto"/>
          <w:highlight w:val="none"/>
        </w:rPr>
      </w:r>
      <w:r/>
    </w:p>
    <w:p>
      <w:pPr>
        <w:pStyle w:val="1034"/>
        <w:spacing w:after="0"/>
        <w:rPr>
          <w:color w:val="auto"/>
          <w:highlight w:val="none"/>
        </w:rPr>
      </w:pPr>
      <w:r>
        <w:rPr>
          <w:color w:val="auto"/>
          <w:highlight w:val="none"/>
        </w:rPr>
      </w:r>
      <w:r/>
    </w:p>
    <w:p>
      <w:pPr>
        <w:ind w:firstLine="600"/>
        <w:spacing w:after="0"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after="0"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after="0"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after="0"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after="0"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after="0"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after="0"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after="0"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w:t>
      </w:r>
      <w:r>
        <w:rPr>
          <w:rFonts w:hint="eastAsia" w:ascii="Times New Roman"/>
          <w:color w:val="auto"/>
          <w:sz w:val="24"/>
          <w:szCs w:val="24"/>
          <w:highlight w:val="none"/>
        </w:rPr>
        <w:t xml:space="preserve">投标供应商</w:t>
      </w:r>
      <w:r>
        <w:rPr>
          <w:rFonts w:ascii="Times New Roman"/>
          <w:color w:val="auto"/>
          <w:sz w:val="24"/>
          <w:szCs w:val="24"/>
          <w:highlight w:val="none"/>
        </w:rPr>
        <w:t xml:space="preserve">名称）的法定代表人。</w:t>
      </w:r>
      <w:r/>
    </w:p>
    <w:p>
      <w:pPr>
        <w:ind w:firstLine="600"/>
        <w:spacing w:after="0"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after="0" w:line="500" w:lineRule="exact"/>
        <w:rPr>
          <w:rFonts w:ascii="Times New Roman"/>
          <w:color w:val="auto"/>
          <w:sz w:val="24"/>
          <w:szCs w:val="24"/>
          <w:highlight w:val="none"/>
        </w:rPr>
      </w:pPr>
      <w:r>
        <w:rPr>
          <w:rFonts w:ascii="Times New Roman"/>
          <w:color w:val="auto"/>
          <w:sz w:val="24"/>
          <w:szCs w:val="24"/>
          <w:highlight w:val="none"/>
        </w:rPr>
      </w:r>
      <w:r/>
    </w:p>
    <w:p>
      <w:pPr>
        <w:spacing w:after="0"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after="0" w:line="500" w:lineRule="exact"/>
        <w:rPr>
          <w:rFonts w:ascii="Times New Roman"/>
          <w:color w:val="auto"/>
          <w:sz w:val="24"/>
          <w:szCs w:val="24"/>
          <w:highlight w:val="none"/>
        </w:rPr>
      </w:pPr>
      <w:r>
        <w:rPr>
          <w:rFonts w:ascii="Times New Roman"/>
          <w:color w:val="auto"/>
          <w:sz w:val="24"/>
          <w:szCs w:val="24"/>
          <w:highlight w:val="none"/>
        </w:rPr>
        <w:t xml:space="preserve">注：本身份证明需由</w:t>
      </w:r>
      <w:r>
        <w:rPr>
          <w:rFonts w:hint="eastAsia" w:ascii="Times New Roman"/>
          <w:color w:val="auto"/>
          <w:sz w:val="24"/>
          <w:szCs w:val="24"/>
          <w:highlight w:val="none"/>
        </w:rPr>
        <w:t xml:space="preserve">投标供应商</w:t>
      </w:r>
      <w:r>
        <w:rPr>
          <w:rFonts w:ascii="Times New Roman"/>
          <w:color w:val="auto"/>
          <w:sz w:val="24"/>
          <w:szCs w:val="24"/>
          <w:highlight w:val="none"/>
        </w:rPr>
        <w:t xml:space="preserve">加盖单位公章。</w:t>
      </w:r>
      <w:r/>
    </w:p>
    <w:p>
      <w:pPr>
        <w:jc w:val="right"/>
        <w:spacing w:after="0" w:line="500" w:lineRule="exact"/>
        <w:rPr>
          <w:rFonts w:ascii="Times New Roman"/>
          <w:color w:val="auto"/>
          <w:sz w:val="24"/>
          <w:szCs w:val="24"/>
          <w:highlight w:val="none"/>
        </w:rPr>
      </w:pPr>
      <w:r>
        <w:rPr>
          <w:rFonts w:hint="eastAsia" w:ascii="Times New Roman"/>
          <w:color w:val="auto"/>
          <w:sz w:val="24"/>
          <w:szCs w:val="24"/>
          <w:highlight w:val="none"/>
        </w:rPr>
        <w:t xml:space="preserve">投标供应商</w:t>
      </w:r>
      <w:r>
        <w:rPr>
          <w:rFonts w:ascii="Times New Roman"/>
          <w:color w:val="auto"/>
          <w:sz w:val="24"/>
          <w:szCs w:val="24"/>
          <w:highlight w:val="none"/>
        </w:rPr>
        <w:t xml:space="preserve">：</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spacing w:after="0"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spacing w:after="0"/>
        <w:rPr>
          <w:rFonts w:hAnsi="宋体"/>
          <w:bCs/>
          <w:color w:val="auto"/>
          <w:sz w:val="28"/>
          <w:szCs w:val="28"/>
          <w:highlight w:val="none"/>
        </w:rPr>
      </w:pPr>
      <w:r>
        <w:rPr>
          <w:rFonts w:hAnsi="宋体"/>
          <w:bCs/>
          <w:color w:val="auto"/>
          <w:sz w:val="28"/>
          <w:szCs w:val="28"/>
          <w:highlight w:val="none"/>
        </w:rPr>
      </w:r>
      <w:r/>
    </w:p>
    <w:p>
      <w:pPr>
        <w:spacing w:after="0"/>
        <w:widowControl w:val="off"/>
        <w:rPr>
          <w:rFonts w:ascii="宋体" w:hAnsi="宋体"/>
          <w:b/>
          <w:color w:val="auto"/>
          <w:sz w:val="32"/>
          <w:szCs w:val="32"/>
          <w:highlight w:val="none"/>
        </w:rPr>
        <w:outlineLvl w:val="2"/>
      </w:pPr>
      <w:r>
        <w:rPr>
          <w:rFonts w:ascii="宋体" w:hAnsi="宋体"/>
          <w:b/>
          <w:color w:val="auto"/>
          <w:sz w:val="32"/>
          <w:szCs w:val="32"/>
          <w:highlight w:val="none"/>
        </w:rPr>
      </w:r>
      <w:r/>
    </w:p>
    <w:p>
      <w:pPr>
        <w:spacing w:after="0"/>
        <w:widowControl w:val="off"/>
        <w:rPr>
          <w:rFonts w:ascii="宋体" w:hAnsi="宋体"/>
          <w:b/>
          <w:color w:val="auto"/>
          <w:sz w:val="32"/>
          <w:szCs w:val="32"/>
          <w:highlight w:val="none"/>
        </w:rPr>
        <w:outlineLvl w:val="2"/>
      </w:pPr>
      <w:r>
        <w:rPr>
          <w:rFonts w:ascii="宋体" w:hAnsi="宋体"/>
          <w:b/>
          <w:color w:val="auto"/>
          <w:sz w:val="32"/>
          <w:szCs w:val="32"/>
          <w:highlight w:val="none"/>
        </w:rPr>
      </w:r>
      <w:r/>
    </w:p>
    <w:p>
      <w:pPr>
        <w:spacing w:after="0"/>
        <w:widowControl w:val="off"/>
        <w:rPr>
          <w:rFonts w:ascii="宋体" w:hAnsi="宋体"/>
          <w:b/>
          <w:color w:val="auto"/>
          <w:sz w:val="32"/>
          <w:szCs w:val="32"/>
          <w:highlight w:val="none"/>
        </w:rPr>
        <w:outlineLvl w:val="2"/>
      </w:pPr>
      <w:r>
        <w:rPr>
          <w:rFonts w:ascii="宋体" w:hAnsi="宋体"/>
          <w:b/>
          <w:color w:val="auto"/>
          <w:sz w:val="32"/>
          <w:szCs w:val="32"/>
          <w:highlight w:val="none"/>
        </w:rPr>
      </w:r>
      <w:r/>
    </w:p>
    <w:p>
      <w:pPr>
        <w:spacing w:after="0"/>
        <w:widowControl w:val="off"/>
        <w:rPr>
          <w:rFonts w:ascii="宋体" w:hAnsi="宋体"/>
          <w:b/>
          <w:color w:val="auto"/>
          <w:sz w:val="32"/>
          <w:szCs w:val="32"/>
          <w:highlight w:val="none"/>
        </w:rPr>
        <w:outlineLvl w:val="2"/>
      </w:pPr>
      <w:r>
        <w:rPr>
          <w:rFonts w:ascii="宋体" w:hAnsi="宋体"/>
          <w:b/>
          <w:color w:val="auto"/>
          <w:sz w:val="32"/>
          <w:szCs w:val="32"/>
          <w:highlight w:val="none"/>
        </w:rPr>
      </w:r>
      <w:r/>
    </w:p>
    <w:p>
      <w:pPr>
        <w:spacing w:after="0"/>
        <w:widowControl w:val="off"/>
        <w:rPr>
          <w:rFonts w:ascii="宋体" w:hAnsi="宋体"/>
          <w:b/>
          <w:color w:val="auto"/>
          <w:sz w:val="32"/>
          <w:szCs w:val="32"/>
          <w:highlight w:val="none"/>
        </w:rPr>
        <w:outlineLvl w:val="2"/>
      </w:pPr>
      <w:r>
        <w:rPr>
          <w:rFonts w:ascii="宋体" w:hAnsi="宋体"/>
          <w:b/>
          <w:color w:val="auto"/>
          <w:sz w:val="32"/>
          <w:szCs w:val="32"/>
          <w:highlight w:val="none"/>
        </w:rPr>
      </w:r>
      <w:r/>
    </w:p>
    <w:p>
      <w:pPr>
        <w:spacing w:after="0"/>
        <w:widowControl w:val="off"/>
        <w:rPr>
          <w:rFonts w:ascii="宋体" w:hAnsi="宋体"/>
          <w:b/>
          <w:color w:val="auto"/>
          <w:sz w:val="32"/>
          <w:szCs w:val="32"/>
          <w:highlight w:val="none"/>
        </w:rPr>
        <w:outlineLvl w:val="2"/>
      </w:pPr>
      <w:r>
        <w:rPr>
          <w:rFonts w:ascii="宋体" w:hAnsi="宋体"/>
          <w:b/>
          <w:color w:val="auto"/>
          <w:sz w:val="32"/>
          <w:szCs w:val="32"/>
          <w:highlight w:val="none"/>
        </w:rPr>
      </w:r>
      <w:r/>
    </w:p>
    <w:p>
      <w:pPr>
        <w:spacing w:after="0"/>
        <w:widowControl w:val="off"/>
        <w:rPr>
          <w:rFonts w:ascii="宋体" w:hAnsi="宋体"/>
          <w:b/>
          <w:color w:val="auto"/>
          <w:sz w:val="32"/>
          <w:szCs w:val="32"/>
          <w:highlight w:val="none"/>
        </w:rPr>
        <w:outlineLvl w:val="2"/>
      </w:pPr>
      <w:r>
        <w:rPr>
          <w:rFonts w:ascii="宋体" w:hAnsi="宋体"/>
          <w:b/>
          <w:color w:val="auto"/>
          <w:sz w:val="32"/>
          <w:szCs w:val="32"/>
          <w:highlight w:val="none"/>
        </w:rPr>
      </w:r>
      <w:r/>
    </w:p>
    <w:p>
      <w:pPr>
        <w:spacing w:after="0"/>
        <w:widowControl w:val="off"/>
        <w:rPr>
          <w:rFonts w:ascii="宋体" w:hAnsi="宋体"/>
          <w:b/>
          <w:color w:val="auto"/>
          <w:sz w:val="32"/>
          <w:szCs w:val="32"/>
          <w:highlight w:val="none"/>
        </w:rPr>
        <w:outlineLvl w:val="2"/>
      </w:pPr>
      <w:r>
        <w:rPr>
          <w:rFonts w:ascii="宋体" w:hAnsi="宋体"/>
          <w:b/>
          <w:color w:val="auto"/>
          <w:sz w:val="32"/>
          <w:szCs w:val="32"/>
          <w:highlight w:val="none"/>
        </w:rPr>
      </w:r>
      <w:r/>
    </w:p>
    <w:p>
      <w:pPr>
        <w:spacing w:after="0"/>
        <w:widowControl w:val="off"/>
        <w:rPr>
          <w:rFonts w:ascii="宋体" w:hAnsi="宋体"/>
          <w:b/>
          <w:color w:val="auto"/>
          <w:sz w:val="32"/>
          <w:szCs w:val="32"/>
          <w:highlight w:val="none"/>
        </w:rPr>
        <w:outlineLvl w:val="2"/>
      </w:pPr>
      <w:r>
        <w:rPr>
          <w:rFonts w:ascii="宋体" w:hAnsi="宋体"/>
          <w:b/>
          <w:color w:val="auto"/>
          <w:sz w:val="32"/>
          <w:szCs w:val="32"/>
          <w:highlight w:val="none"/>
        </w:rPr>
      </w:r>
      <w:r/>
    </w:p>
    <w:p>
      <w:pPr>
        <w:spacing w:after="0"/>
        <w:widowControl w:val="off"/>
        <w:rPr>
          <w:rFonts w:ascii="宋体" w:hAnsi="宋体"/>
          <w:b/>
          <w:color w:val="auto"/>
          <w:sz w:val="32"/>
          <w:szCs w:val="32"/>
          <w:highlight w:val="none"/>
        </w:rPr>
        <w:outlineLvl w:val="2"/>
      </w:pPr>
      <w:r>
        <w:rPr>
          <w:rFonts w:hint="eastAsia" w:ascii="宋体" w:hAnsi="宋体"/>
          <w:b/>
          <w:color w:val="auto"/>
          <w:sz w:val="32"/>
          <w:szCs w:val="32"/>
          <w:highlight w:val="none"/>
        </w:rPr>
        <w:t xml:space="preserve">（四）（投标供应商）中小企业声明函（格式）：</w:t>
      </w:r>
      <w:r/>
    </w:p>
    <w:p>
      <w:pPr>
        <w:jc w:val="center"/>
        <w:spacing w:after="0"/>
        <w:rPr>
          <w:rFonts w:ascii="黑体" w:eastAsia="黑体"/>
          <w:bCs/>
          <w:color w:val="auto"/>
          <w:sz w:val="28"/>
          <w:szCs w:val="28"/>
          <w:highlight w:val="none"/>
        </w:rPr>
      </w:pPr>
      <w:r/>
      <w:bookmarkStart w:id="229" w:name="OLE_LINK13"/>
      <w:r/>
      <w:bookmarkStart w:id="230" w:name="OLE_LINK14"/>
      <w:r/>
      <w:bookmarkEnd w:id="229"/>
      <w:r/>
      <w:bookmarkEnd w:id="230"/>
      <w:r/>
      <w:r/>
    </w:p>
    <w:p>
      <w:pPr>
        <w:jc w:val="center"/>
        <w:spacing w:line="360" w:lineRule="auto"/>
        <w:rPr>
          <w:rFonts w:hAnsi="宋体" w:cs="宋体"/>
          <w:b/>
          <w:bCs/>
          <w:color w:val="auto"/>
          <w:sz w:val="32"/>
          <w:szCs w:val="32"/>
          <w:highlight w:val="none"/>
        </w:rPr>
        <w:outlineLvl w:val="0"/>
      </w:pPr>
      <w:r>
        <w:rPr>
          <w:rFonts w:hint="eastAsia" w:hAnsi="宋体" w:cs="宋体"/>
          <w:b/>
          <w:bCs/>
          <w:color w:val="auto"/>
          <w:sz w:val="32"/>
          <w:szCs w:val="32"/>
          <w:highlight w:val="none"/>
        </w:rPr>
        <w:t xml:space="preserve">中小企业声明函（服务）</w:t>
      </w:r>
      <w:r/>
    </w:p>
    <w:p>
      <w:pPr>
        <w:ind w:firstLine="56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本公司（联合体）郑重声明，根据《政府采购促进中小企业发展管理办法》（财库﹝2020﹞46 号）的规定，本公司（联合体）参加</w:t>
      </w:r>
      <w:r>
        <w:rPr>
          <w:rFonts w:hint="eastAsia" w:ascii="宋体" w:hAnsi="宋体" w:cs="宋体"/>
          <w:i/>
          <w:color w:val="auto"/>
          <w:sz w:val="24"/>
          <w:szCs w:val="24"/>
          <w:highlight w:val="none"/>
          <w:u w:val="single"/>
          <w:lang w:bidi="ar"/>
        </w:rPr>
        <w:t xml:space="preserve">（</w:t>
      </w:r>
      <w:r>
        <w:rPr>
          <w:rFonts w:hint="eastAsia" w:ascii="宋体" w:hAnsi="宋体" w:cs="宋体"/>
          <w:color w:val="auto"/>
          <w:sz w:val="24"/>
          <w:szCs w:val="24"/>
          <w:highlight w:val="none"/>
          <w:u w:val="single"/>
          <w:lang w:bidi="ar"/>
        </w:rPr>
        <w:t xml:space="preserve">单位名称）</w:t>
      </w:r>
      <w:r>
        <w:rPr>
          <w:rFonts w:hint="eastAsia" w:ascii="宋体" w:hAnsi="宋体" w:cs="宋体"/>
          <w:color w:val="auto"/>
          <w:sz w:val="24"/>
          <w:szCs w:val="24"/>
          <w:highlight w:val="none"/>
          <w:lang w:bidi="ar"/>
        </w:rPr>
        <w:t xml:space="preserve">的</w:t>
      </w:r>
      <w:r>
        <w:rPr>
          <w:rFonts w:hint="eastAsia" w:ascii="宋体" w:hAnsi="宋体" w:cs="宋体"/>
          <w:color w:val="auto"/>
          <w:sz w:val="24"/>
          <w:szCs w:val="24"/>
          <w:highlight w:val="none"/>
          <w:u w:val="single"/>
          <w:lang w:bidi="ar"/>
        </w:rPr>
        <w:t xml:space="preserve">（项目名称）</w:t>
      </w:r>
      <w:r>
        <w:rPr>
          <w:rFonts w:hint="eastAsia" w:ascii="宋体" w:hAnsi="宋体" w:cs="宋体"/>
          <w:color w:val="auto"/>
          <w:sz w:val="24"/>
          <w:szCs w:val="24"/>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56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rPr>
          <w:rFonts w:hint="eastAsia" w:ascii="宋体" w:hAnsi="宋体" w:cs="宋体"/>
          <w:color w:val="auto"/>
          <w:sz w:val="24"/>
          <w:szCs w:val="24"/>
          <w:highlight w:val="none"/>
          <w:u w:val="single"/>
          <w:lang w:bidi="ar"/>
        </w:rPr>
        <w:t xml:space="preserve"> </w:t>
      </w:r>
      <w:r>
        <w:rPr>
          <w:rFonts w:hint="eastAsia" w:ascii="宋体" w:hAnsi="宋体" w:cs="宋体"/>
          <w:i/>
          <w:color w:val="auto"/>
          <w:sz w:val="24"/>
          <w:szCs w:val="24"/>
          <w:highlight w:val="none"/>
          <w:u w:val="single"/>
          <w:lang w:bidi="ar"/>
        </w:rPr>
        <w:t xml:space="preserve">（标的名称） </w:t>
      </w:r>
      <w:r>
        <w:rPr>
          <w:rFonts w:hint="eastAsia" w:ascii="宋体" w:hAnsi="宋体" w:cs="宋体"/>
          <w:color w:val="auto"/>
          <w:sz w:val="24"/>
          <w:szCs w:val="24"/>
          <w:highlight w:val="none"/>
          <w:lang w:bidi="ar"/>
        </w:rPr>
        <w:t xml:space="preserve">，属于</w:t>
      </w:r>
      <w:r>
        <w:rPr>
          <w:rFonts w:hint="eastAsia" w:ascii="宋体" w:hAnsi="宋体" w:cs="宋体"/>
          <w:i/>
          <w:color w:val="auto"/>
          <w:sz w:val="24"/>
          <w:szCs w:val="24"/>
          <w:highlight w:val="none"/>
          <w:u w:val="single"/>
          <w:lang w:bidi="ar"/>
        </w:rPr>
        <w:t xml:space="preserve">（采购文件中明确的所属行业）</w:t>
      </w:r>
      <w:r>
        <w:rPr>
          <w:rFonts w:hint="eastAsia" w:ascii="宋体" w:hAnsi="宋体" w:cs="宋体"/>
          <w:i/>
          <w:color w:val="auto"/>
          <w:sz w:val="24"/>
          <w:szCs w:val="24"/>
          <w:highlight w:val="none"/>
          <w:lang w:bidi="ar"/>
        </w:rPr>
        <w:t xml:space="preserve">行业</w:t>
      </w:r>
      <w:r>
        <w:rPr>
          <w:rFonts w:hint="eastAsia" w:ascii="宋体" w:hAnsi="宋体" w:cs="宋体"/>
          <w:color w:val="auto"/>
          <w:sz w:val="24"/>
          <w:szCs w:val="24"/>
          <w:highlight w:val="none"/>
          <w:lang w:bidi="ar"/>
        </w:rPr>
        <w:t xml:space="preserve">；承建（承接）企业为</w:t>
      </w:r>
      <w:r>
        <w:rPr>
          <w:rFonts w:hint="eastAsia" w:ascii="宋体" w:hAnsi="宋体" w:cs="宋体"/>
          <w:i/>
          <w:color w:val="auto"/>
          <w:sz w:val="24"/>
          <w:szCs w:val="24"/>
          <w:highlight w:val="none"/>
          <w:u w:val="single"/>
          <w:lang w:bidi="ar"/>
        </w:rPr>
        <w:t xml:space="preserve">（企业名称）</w:t>
      </w:r>
      <w:r>
        <w:rPr>
          <w:rFonts w:hint="eastAsia" w:ascii="宋体" w:hAnsi="宋体" w:cs="宋体"/>
          <w:color w:val="auto"/>
          <w:sz w:val="24"/>
          <w:szCs w:val="24"/>
          <w:highlight w:val="none"/>
          <w:lang w:bidi="ar"/>
        </w:rPr>
        <w:t xml:space="preserve">，从业人员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万元，属于</w:t>
      </w:r>
      <w:r>
        <w:rPr>
          <w:rFonts w:hint="eastAsia" w:ascii="宋体" w:hAnsi="宋体" w:cs="宋体"/>
          <w:i/>
          <w:color w:val="auto"/>
          <w:sz w:val="24"/>
          <w:szCs w:val="24"/>
          <w:highlight w:val="none"/>
          <w:u w:val="single"/>
          <w:lang w:bidi="ar"/>
        </w:rPr>
        <w:t xml:space="preserve">（中型企业、小型企业、微型企业）</w:t>
      </w:r>
      <w:r>
        <w:rPr>
          <w:rFonts w:hint="eastAsia" w:ascii="宋体" w:hAnsi="宋体" w:cs="宋体"/>
          <w:color w:val="auto"/>
          <w:sz w:val="24"/>
          <w:szCs w:val="24"/>
          <w:highlight w:val="none"/>
          <w:lang w:bidi="ar"/>
        </w:rPr>
        <w:t xml:space="preserve">； </w:t>
      </w:r>
      <w:r/>
    </w:p>
    <w:p>
      <w:pPr>
        <w:ind w:firstLine="56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 </w:t>
      </w:r>
      <w:r>
        <w:rPr>
          <w:rFonts w:hint="eastAsia" w:ascii="宋体" w:hAnsi="宋体" w:cs="宋体"/>
          <w:color w:val="auto"/>
          <w:sz w:val="24"/>
          <w:szCs w:val="24"/>
          <w:highlight w:val="none"/>
          <w:u w:val="single"/>
          <w:lang w:bidi="ar"/>
        </w:rPr>
        <w:t xml:space="preserve"> </w:t>
      </w:r>
      <w:r>
        <w:rPr>
          <w:rFonts w:hint="eastAsia" w:ascii="宋体" w:hAnsi="宋体" w:cs="宋体"/>
          <w:i/>
          <w:color w:val="auto"/>
          <w:sz w:val="24"/>
          <w:szCs w:val="24"/>
          <w:highlight w:val="none"/>
          <w:u w:val="single"/>
          <w:lang w:bidi="ar"/>
        </w:rPr>
        <w:t xml:space="preserve">（标的名称） </w:t>
      </w:r>
      <w:r>
        <w:rPr>
          <w:rFonts w:hint="eastAsia" w:ascii="宋体" w:hAnsi="宋体" w:cs="宋体"/>
          <w:color w:val="auto"/>
          <w:sz w:val="24"/>
          <w:szCs w:val="24"/>
          <w:highlight w:val="none"/>
          <w:lang w:bidi="ar"/>
        </w:rPr>
        <w:t xml:space="preserve">，属于</w:t>
      </w:r>
      <w:r>
        <w:rPr>
          <w:rFonts w:hint="eastAsia" w:ascii="宋体" w:hAnsi="宋体" w:cs="宋体"/>
          <w:i/>
          <w:color w:val="auto"/>
          <w:sz w:val="24"/>
          <w:szCs w:val="24"/>
          <w:highlight w:val="none"/>
          <w:u w:val="single"/>
          <w:lang w:bidi="ar"/>
        </w:rPr>
        <w:t xml:space="preserve">（采购文件中明确的所属行业）</w:t>
      </w:r>
      <w:r>
        <w:rPr>
          <w:rFonts w:hint="eastAsia" w:ascii="宋体" w:hAnsi="宋体" w:cs="宋体"/>
          <w:i/>
          <w:color w:val="auto"/>
          <w:sz w:val="24"/>
          <w:szCs w:val="24"/>
          <w:highlight w:val="none"/>
          <w:lang w:bidi="ar"/>
        </w:rPr>
        <w:t xml:space="preserve">行业</w:t>
      </w:r>
      <w:r>
        <w:rPr>
          <w:rFonts w:hint="eastAsia" w:ascii="宋体" w:hAnsi="宋体" w:cs="宋体"/>
          <w:color w:val="auto"/>
          <w:sz w:val="24"/>
          <w:szCs w:val="24"/>
          <w:highlight w:val="none"/>
          <w:lang w:bidi="ar"/>
        </w:rPr>
        <w:t xml:space="preserve">；承建（承接）企业为</w:t>
      </w:r>
      <w:r>
        <w:rPr>
          <w:rFonts w:hint="eastAsia" w:ascii="宋体" w:hAnsi="宋体" w:cs="宋体"/>
          <w:i/>
          <w:color w:val="auto"/>
          <w:sz w:val="24"/>
          <w:szCs w:val="24"/>
          <w:highlight w:val="none"/>
          <w:u w:val="single"/>
          <w:lang w:bidi="ar"/>
        </w:rPr>
        <w:t xml:space="preserve">（企业名称）</w:t>
      </w:r>
      <w:r>
        <w:rPr>
          <w:rFonts w:hint="eastAsia" w:ascii="宋体" w:hAnsi="宋体" w:cs="宋体"/>
          <w:color w:val="auto"/>
          <w:sz w:val="24"/>
          <w:szCs w:val="24"/>
          <w:highlight w:val="none"/>
          <w:lang w:bidi="ar"/>
        </w:rPr>
        <w:t xml:space="preserve">，从业人员</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人，营业收入为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万元，资产总额为</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万元，属于</w:t>
      </w:r>
      <w:r>
        <w:rPr>
          <w:rFonts w:hint="eastAsia" w:ascii="宋体" w:hAnsi="宋体" w:cs="宋体"/>
          <w:i/>
          <w:color w:val="auto"/>
          <w:sz w:val="24"/>
          <w:szCs w:val="24"/>
          <w:highlight w:val="none"/>
          <w:u w:val="single"/>
          <w:lang w:bidi="ar"/>
        </w:rPr>
        <w:t xml:space="preserve">（中型企业、小型企业、微型企业）</w:t>
      </w:r>
      <w:r>
        <w:rPr>
          <w:rFonts w:hint="eastAsia" w:ascii="宋体" w:hAnsi="宋体" w:cs="宋体"/>
          <w:color w:val="auto"/>
          <w:sz w:val="24"/>
          <w:szCs w:val="24"/>
          <w:highlight w:val="none"/>
          <w:lang w:bidi="ar"/>
        </w:rPr>
        <w:t xml:space="preserve">； </w:t>
      </w:r>
      <w:r/>
    </w:p>
    <w:p>
      <w:pPr>
        <w:ind w:firstLine="56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56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本企业对上述声明内容的真实性负责。如有虚假，将依法承担相应责任。 </w:t>
      </w:r>
      <w:r/>
    </w:p>
    <w:p>
      <w:pPr>
        <w:ind w:firstLine="560"/>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                                        企业名称（盖章）： </w:t>
      </w:r>
      <w:r/>
    </w:p>
    <w:p>
      <w:pPr>
        <w:jc w:val="center"/>
        <w:rPr>
          <w:rFonts w:ascii="宋体" w:hAnsi="宋体" w:cs="宋体"/>
          <w:b/>
          <w:color w:val="auto"/>
          <w:sz w:val="24"/>
          <w:szCs w:val="24"/>
          <w:highlight w:val="none"/>
        </w:rPr>
      </w:pPr>
      <w:r>
        <w:rPr>
          <w:rFonts w:hint="eastAsia" w:ascii="宋体" w:hAnsi="宋体" w:cs="宋体"/>
          <w:color w:val="auto"/>
          <w:sz w:val="24"/>
          <w:szCs w:val="24"/>
          <w:highlight w:val="none"/>
          <w:lang w:bidi="ar"/>
        </w:rPr>
        <w:t xml:space="preserve">                                  日 期：</w:t>
      </w:r>
      <w:r/>
    </w:p>
    <w:p>
      <w:pPr>
        <w:ind w:left="106" w:right="111" w:firstLine="170"/>
        <w:spacing w:line="348" w:lineRule="auto"/>
        <w:rPr>
          <w:rFonts w:ascii="宋体" w:hAnsi="宋体" w:cs="宋体"/>
          <w:color w:val="auto"/>
          <w:szCs w:val="21"/>
          <w:highlight w:val="none"/>
        </w:rPr>
      </w:pPr>
      <w:r>
        <w:rPr>
          <w:rFonts w:ascii="宋体" w:hAnsi="宋体" w:cs="宋体"/>
          <w:b/>
          <w:bCs/>
          <w:color w:val="auto"/>
          <w:spacing w:val="-2"/>
          <w:szCs w:val="21"/>
          <w:highlight w:val="none"/>
        </w:rPr>
        <w:t xml:space="preserve">注：</w:t>
      </w:r>
      <w:r>
        <w:rPr>
          <w:rFonts w:hint="eastAsia" w:ascii="宋体" w:hAnsi="宋体" w:cs="宋体"/>
          <w:color w:val="auto"/>
          <w:szCs w:val="21"/>
          <w:highlight w:val="none"/>
        </w:rPr>
        <w:t xml:space="preserve">1.从业人员、营业收入、资产总额填报上一年度数据，无上一年度数据的新成立企业可不填报。</w:t>
      </w:r>
      <w:r/>
    </w:p>
    <w:p>
      <w:pPr>
        <w:ind w:left="106" w:right="111" w:firstLine="170"/>
        <w:spacing w:line="348" w:lineRule="auto"/>
        <w:rPr>
          <w:rFonts w:ascii="宋体" w:hAnsi="宋体" w:cs="宋体"/>
          <w:color w:val="auto"/>
          <w:szCs w:val="21"/>
          <w:highlight w:val="none"/>
        </w:rPr>
      </w:pPr>
      <w:r>
        <w:rPr>
          <w:rFonts w:hint="eastAsia" w:ascii="宋体" w:hAnsi="宋体" w:cs="宋体"/>
          <w:color w:val="auto"/>
          <w:szCs w:val="21"/>
          <w:highlight w:val="none"/>
        </w:rPr>
        <w:t xml:space="preserve">2.中标、</w:t>
      </w:r>
      <w:r>
        <w:rPr>
          <w:rFonts w:hint="eastAsia" w:ascii="宋体" w:hAnsi="宋体" w:cs="宋体"/>
          <w:color w:val="auto"/>
          <w:szCs w:val="21"/>
          <w:highlight w:val="none"/>
          <w:lang w:eastAsia="zh-CN"/>
        </w:rPr>
        <w:t xml:space="preserve">中标供应商</w:t>
      </w:r>
      <w:r>
        <w:rPr>
          <w:rFonts w:hint="eastAsia" w:ascii="宋体" w:hAnsi="宋体" w:cs="宋体"/>
          <w:color w:val="auto"/>
          <w:szCs w:val="21"/>
          <w:highlight w:val="none"/>
        </w:rPr>
        <w:t xml:space="preserve">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auto"/>
          <w:szCs w:val="21"/>
          <w:highlight w:val="none"/>
        </w:rPr>
        <w:t xml:space="preserve"> </w:t>
      </w:r>
      <w:r/>
    </w:p>
    <w:p>
      <w:pPr>
        <w:pStyle w:val="867"/>
        <w:spacing w:after="0"/>
        <w:rPr>
          <w:rFonts w:ascii="黑体" w:hAnsi="宋体" w:eastAsia="黑体"/>
          <w:color w:val="auto"/>
          <w:sz w:val="24"/>
          <w:szCs w:val="24"/>
          <w:highlight w:val="none"/>
        </w:rPr>
      </w:pPr>
      <w:r>
        <w:rPr>
          <w:rFonts w:ascii="黑体" w:hAnsi="宋体" w:eastAsia="黑体"/>
          <w:color w:val="auto"/>
          <w:sz w:val="24"/>
          <w:szCs w:val="24"/>
          <w:highlight w:val="none"/>
        </w:rPr>
      </w:r>
      <w:r/>
    </w:p>
    <w:p>
      <w:pPr>
        <w:spacing w:after="0"/>
        <w:widowControl w:val="off"/>
        <w:rPr>
          <w:rFonts w:ascii="宋体" w:hAnsi="宋体"/>
          <w:b/>
          <w:color w:val="auto"/>
          <w:sz w:val="32"/>
          <w:szCs w:val="32"/>
          <w:highlight w:val="none"/>
        </w:rPr>
        <w:outlineLvl w:val="2"/>
      </w:pPr>
      <w:r>
        <w:rPr>
          <w:rFonts w:hint="eastAsia" w:ascii="宋体" w:hAnsi="宋体"/>
          <w:b/>
          <w:color w:val="auto"/>
          <w:sz w:val="32"/>
          <w:szCs w:val="32"/>
          <w:highlight w:val="none"/>
        </w:rPr>
        <w:t xml:space="preserve">（五）（投标供应商）残疾人福利性单位声明函（格式）：</w:t>
      </w:r>
      <w:r/>
    </w:p>
    <w:p>
      <w:pPr>
        <w:spacing w:after="0" w:line="480" w:lineRule="auto"/>
        <w:rPr>
          <w:rFonts w:ascii="宋体" w:hAnsi="宋体"/>
          <w:b/>
          <w:color w:val="auto"/>
          <w:sz w:val="24"/>
          <w:szCs w:val="24"/>
          <w:highlight w:val="none"/>
        </w:rPr>
      </w:pPr>
      <w:r>
        <w:rPr>
          <w:rFonts w:ascii="宋体" w:hAnsi="宋体"/>
          <w:b/>
          <w:color w:val="auto"/>
          <w:sz w:val="24"/>
          <w:szCs w:val="24"/>
          <w:highlight w:val="none"/>
        </w:rPr>
      </w:r>
      <w:r/>
    </w:p>
    <w:p>
      <w:pPr>
        <w:jc w:val="center"/>
        <w:spacing w:after="0"/>
        <w:rPr>
          <w:rFonts w:ascii="宋体" w:hAnsi="宋体"/>
          <w:b/>
          <w:color w:val="auto"/>
          <w:sz w:val="28"/>
          <w:szCs w:val="28"/>
          <w:highlight w:val="none"/>
        </w:rPr>
      </w:pPr>
      <w:r>
        <w:rPr>
          <w:rFonts w:hint="eastAsia" w:ascii="宋体" w:hAnsi="宋体"/>
          <w:b/>
          <w:color w:val="auto"/>
          <w:sz w:val="28"/>
          <w:szCs w:val="28"/>
          <w:highlight w:val="none"/>
        </w:rPr>
        <w:t xml:space="preserve">残疾人福利性单位声明函</w:t>
      </w:r>
      <w:r/>
    </w:p>
    <w:p>
      <w:pPr>
        <w:jc w:val="center"/>
        <w:spacing w:after="0"/>
        <w:rPr>
          <w:rFonts w:ascii="宋体" w:hAnsi="宋体"/>
          <w:bCs/>
          <w:color w:val="auto"/>
          <w:sz w:val="28"/>
          <w:szCs w:val="28"/>
          <w:highlight w:val="none"/>
        </w:rPr>
      </w:pPr>
      <w:r>
        <w:rPr>
          <w:rFonts w:ascii="宋体" w:hAnsi="宋体"/>
          <w:bCs/>
          <w:color w:val="auto"/>
          <w:sz w:val="28"/>
          <w:szCs w:val="28"/>
          <w:highlight w:val="none"/>
        </w:rPr>
      </w:r>
      <w:r/>
    </w:p>
    <w:p>
      <w:pPr>
        <w:ind w:firstLine="480"/>
        <w:spacing w:after="0"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after="0"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after="0"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after="0"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after="0"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after="0"/>
        <w:rPr>
          <w:rFonts w:ascii="宋体" w:hAnsi="宋体"/>
          <w:bCs/>
          <w:color w:val="auto"/>
          <w:sz w:val="24"/>
          <w:szCs w:val="24"/>
          <w:highlight w:val="none"/>
        </w:rPr>
      </w:pPr>
      <w:r>
        <w:rPr>
          <w:rFonts w:ascii="宋体" w:hAnsi="宋体"/>
          <w:bCs/>
          <w:color w:val="auto"/>
          <w:sz w:val="24"/>
          <w:szCs w:val="24"/>
          <w:highlight w:val="none"/>
        </w:rPr>
      </w:r>
      <w:r/>
    </w:p>
    <w:p>
      <w:pPr>
        <w:ind w:firstLine="480"/>
        <w:spacing w:after="0"/>
        <w:rPr>
          <w:rFonts w:ascii="宋体" w:hAnsi="宋体"/>
          <w:bCs/>
          <w:color w:val="auto"/>
          <w:sz w:val="24"/>
          <w:szCs w:val="24"/>
          <w:highlight w:val="none"/>
        </w:rPr>
      </w:pPr>
      <w:r>
        <w:rPr>
          <w:rFonts w:ascii="宋体" w:hAnsi="宋体"/>
          <w:bCs/>
          <w:color w:val="auto"/>
          <w:sz w:val="24"/>
          <w:szCs w:val="24"/>
          <w:highlight w:val="none"/>
        </w:rPr>
      </w:r>
      <w:r/>
    </w:p>
    <w:p>
      <w:pPr>
        <w:ind w:firstLine="480"/>
        <w:spacing w:after="0"/>
        <w:rPr>
          <w:rFonts w:ascii="宋体" w:hAnsi="宋体"/>
          <w:bCs/>
          <w:color w:val="auto"/>
          <w:sz w:val="24"/>
          <w:szCs w:val="24"/>
          <w:highlight w:val="none"/>
        </w:rPr>
      </w:pPr>
      <w:r>
        <w:rPr>
          <w:rFonts w:ascii="宋体" w:hAnsi="宋体"/>
          <w:bCs/>
          <w:color w:val="auto"/>
          <w:sz w:val="24"/>
          <w:szCs w:val="24"/>
          <w:highlight w:val="none"/>
        </w:rPr>
      </w:r>
      <w:r/>
    </w:p>
    <w:p>
      <w:pPr>
        <w:ind w:firstLine="480"/>
        <w:spacing w:after="0"/>
        <w:rPr>
          <w:rFonts w:ascii="宋体" w:hAnsi="宋体"/>
          <w:bCs/>
          <w:color w:val="auto"/>
          <w:sz w:val="24"/>
          <w:szCs w:val="24"/>
          <w:highlight w:val="none"/>
        </w:rPr>
      </w:pPr>
      <w:r>
        <w:rPr>
          <w:rFonts w:ascii="宋体" w:hAnsi="宋体"/>
          <w:bCs/>
          <w:color w:val="auto"/>
          <w:sz w:val="24"/>
          <w:szCs w:val="24"/>
          <w:highlight w:val="none"/>
        </w:rPr>
      </w:r>
      <w:r/>
    </w:p>
    <w:p>
      <w:pPr>
        <w:ind w:firstLine="480"/>
        <w:spacing w:after="0"/>
        <w:rPr>
          <w:rFonts w:ascii="宋体" w:hAnsi="宋体"/>
          <w:bCs/>
          <w:color w:val="auto"/>
          <w:sz w:val="24"/>
          <w:szCs w:val="24"/>
          <w:highlight w:val="none"/>
        </w:rPr>
      </w:pPr>
      <w:r>
        <w:rPr>
          <w:rFonts w:ascii="宋体" w:hAnsi="宋体"/>
          <w:bCs/>
          <w:color w:val="auto"/>
          <w:sz w:val="24"/>
          <w:szCs w:val="24"/>
          <w:highlight w:val="none"/>
        </w:rPr>
      </w:r>
      <w:r/>
    </w:p>
    <w:p>
      <w:pPr>
        <w:ind w:firstLine="480"/>
        <w:spacing w:after="0"/>
        <w:rPr>
          <w:rFonts w:ascii="宋体" w:hAnsi="宋体"/>
          <w:bCs/>
          <w:color w:val="auto"/>
          <w:sz w:val="24"/>
          <w:szCs w:val="24"/>
          <w:highlight w:val="none"/>
        </w:rPr>
      </w:pPr>
      <w:r>
        <w:rPr>
          <w:rFonts w:ascii="宋体" w:hAnsi="宋体"/>
          <w:bCs/>
          <w:color w:val="auto"/>
          <w:sz w:val="24"/>
          <w:szCs w:val="24"/>
          <w:highlight w:val="none"/>
        </w:rPr>
      </w:r>
      <w:r/>
    </w:p>
    <w:p>
      <w:pPr>
        <w:ind w:firstLine="480"/>
        <w:spacing w:after="0"/>
        <w:rPr>
          <w:rFonts w:ascii="宋体" w:hAnsi="宋体"/>
          <w:bCs/>
          <w:color w:val="auto"/>
          <w:sz w:val="24"/>
          <w:szCs w:val="24"/>
          <w:highlight w:val="none"/>
        </w:rPr>
      </w:pPr>
      <w:r>
        <w:rPr>
          <w:rFonts w:ascii="宋体" w:hAnsi="宋体"/>
          <w:bCs/>
          <w:color w:val="auto"/>
          <w:sz w:val="24"/>
          <w:szCs w:val="24"/>
          <w:highlight w:val="none"/>
        </w:rPr>
      </w:r>
      <w:r/>
    </w:p>
    <w:p>
      <w:pPr>
        <w:ind w:firstLine="480"/>
        <w:spacing w:after="0"/>
        <w:rPr>
          <w:rFonts w:ascii="宋体" w:hAnsi="宋体"/>
          <w:bCs/>
          <w:color w:val="auto"/>
          <w:sz w:val="24"/>
          <w:szCs w:val="24"/>
          <w:highlight w:val="none"/>
        </w:rPr>
      </w:pPr>
      <w:r>
        <w:rPr>
          <w:rFonts w:ascii="宋体" w:hAnsi="宋体"/>
          <w:bCs/>
          <w:color w:val="auto"/>
          <w:sz w:val="24"/>
          <w:szCs w:val="24"/>
          <w:highlight w:val="none"/>
        </w:rPr>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spacing w:after="0"/>
        <w:widowControl w:val="off"/>
        <w:rPr>
          <w:rFonts w:ascii="宋体" w:hAnsi="宋体"/>
          <w:b/>
          <w:color w:val="auto"/>
          <w:sz w:val="32"/>
          <w:szCs w:val="32"/>
          <w:highlight w:val="none"/>
        </w:rPr>
        <w:outlineLvl w:val="2"/>
      </w:pPr>
      <w:r>
        <w:rPr>
          <w:rFonts w:hint="eastAsia" w:ascii="宋体" w:hAnsi="宋体"/>
          <w:b/>
          <w:color w:val="auto"/>
          <w:sz w:val="32"/>
          <w:szCs w:val="32"/>
          <w:highlight w:val="none"/>
        </w:rPr>
        <w:t xml:space="preserve">（六）关于符合本国产品标准的声明函：</w:t>
      </w:r>
      <w:r/>
    </w:p>
    <w:p>
      <w:pPr>
        <w:pStyle w:val="830"/>
        <w:jc w:val="center"/>
        <w:spacing w:after="0"/>
        <w:rPr>
          <w:rFonts w:ascii="黑体" w:hAnsi="Times New Roman" w:eastAsia="黑体" w:cs="Times New Roman"/>
          <w:color w:val="auto"/>
          <w:sz w:val="32"/>
          <w:szCs w:val="32"/>
          <w:highlight w:val="none"/>
        </w:rPr>
      </w:pPr>
      <w:r>
        <w:rPr>
          <w:rFonts w:hint="eastAsia" w:ascii="黑体" w:hAnsi="Times New Roman" w:eastAsia="黑体" w:cs="Times New Roman"/>
          <w:b/>
          <w:bCs/>
          <w:color w:val="auto"/>
          <w:sz w:val="32"/>
          <w:szCs w:val="32"/>
          <w:highlight w:val="none"/>
        </w:rPr>
        <w:t xml:space="preserve">关于符合本国产品标准的声明函</w:t>
      </w:r>
      <w:r/>
    </w:p>
    <w:p>
      <w:pPr>
        <w:ind w:firstLine="420"/>
        <w:spacing w:before="30" w:after="30" w:line="500" w:lineRule="exact"/>
        <w:shd w:val="clear" w:color="auto" w:fill="ffffff"/>
        <w:rPr>
          <w:rFonts w:ascii="宋体" w:hAnsi="宋体"/>
          <w:color w:val="auto"/>
          <w:sz w:val="24"/>
          <w:szCs w:val="24"/>
          <w:highlight w:val="none"/>
        </w:rPr>
      </w:pPr>
      <w:r>
        <w:rPr>
          <w:rFonts w:hint="eastAsia" w:ascii="宋体" w:hAnsi="宋体"/>
          <w:color w:val="auto"/>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500" w:lineRule="exact"/>
        <w:shd w:val="clear" w:color="auto" w:fill="ffffff"/>
        <w:rPr>
          <w:rFonts w:ascii="宋体" w:hAnsi="宋体"/>
          <w:color w:val="auto"/>
          <w:sz w:val="24"/>
          <w:szCs w:val="24"/>
          <w:highlight w:val="none"/>
        </w:rPr>
      </w:pPr>
      <w:r>
        <w:rPr>
          <w:rFonts w:hint="eastAsia" w:ascii="宋体" w:hAnsi="宋体"/>
          <w:color w:val="auto"/>
          <w:sz w:val="24"/>
          <w:szCs w:val="24"/>
          <w:highlight w:val="none"/>
          <w:shd w:val="clear" w:color="auto" w:fill="ffffff"/>
        </w:rPr>
        <w:t xml:space="preserve">1.</w:t>
      </w:r>
      <w:r>
        <w:rPr>
          <w:rFonts w:hint="eastAsia" w:ascii="宋体" w:hAnsi="宋体"/>
          <w:color w:val="auto"/>
          <w:sz w:val="24"/>
          <w:szCs w:val="24"/>
          <w:highlight w:val="none"/>
          <w:u w:val="single"/>
          <w:shd w:val="clear" w:color="auto" w:fill="ffffff"/>
        </w:rPr>
        <w:t xml:space="preserve">（产品名称1）</w:t>
      </w:r>
      <w:r>
        <w:rPr>
          <w:rFonts w:hint="eastAsia" w:ascii="宋体" w:hAnsi="宋体"/>
          <w:color w:val="auto"/>
          <w:sz w:val="24"/>
          <w:szCs w:val="24"/>
          <w:highlight w:val="none"/>
          <w:u w:val="single"/>
          <w:shd w:val="clear" w:color="auto" w:fill="ffffff"/>
          <w:vertAlign w:val="superscript"/>
        </w:rPr>
        <w:t xml:space="preserve">1</w:t>
      </w:r>
      <w:r>
        <w:rPr>
          <w:rFonts w:hint="eastAsia" w:ascii="宋体" w:hAnsi="宋体"/>
          <w:color w:val="auto"/>
          <w:sz w:val="24"/>
          <w:szCs w:val="24"/>
          <w:highlight w:val="none"/>
          <w:shd w:val="clear" w:color="auto" w:fill="ffffff"/>
        </w:rPr>
        <w:t xml:space="preserve">，生产厂为</w:t>
      </w:r>
      <w:r>
        <w:rPr>
          <w:rFonts w:hint="eastAsia" w:ascii="宋体" w:hAnsi="宋体"/>
          <w:color w:val="auto"/>
          <w:sz w:val="24"/>
          <w:szCs w:val="24"/>
          <w:highlight w:val="none"/>
          <w:u w:val="single"/>
          <w:shd w:val="clear" w:color="auto" w:fill="ffffff"/>
        </w:rPr>
        <w:t xml:space="preserve">（厂名）</w:t>
      </w:r>
      <w:r>
        <w:rPr>
          <w:rFonts w:hint="eastAsia" w:ascii="宋体" w:hAnsi="宋体"/>
          <w:color w:val="auto"/>
          <w:sz w:val="24"/>
          <w:szCs w:val="24"/>
          <w:highlight w:val="none"/>
          <w:u w:val="single"/>
          <w:shd w:val="clear" w:color="auto" w:fill="ffffff"/>
          <w:vertAlign w:val="superscript"/>
        </w:rPr>
        <w:t xml:space="preserve">2</w:t>
      </w:r>
      <w:r>
        <w:rPr>
          <w:rFonts w:hint="eastAsia" w:ascii="宋体" w:hAnsi="宋体"/>
          <w:color w:val="auto"/>
          <w:sz w:val="24"/>
          <w:szCs w:val="24"/>
          <w:highlight w:val="none"/>
          <w:shd w:val="clear" w:color="auto" w:fill="ffffff"/>
        </w:rPr>
        <w:t xml:space="preserve">，厂址为</w:t>
      </w:r>
      <w:r>
        <w:rPr>
          <w:rFonts w:hint="eastAsia" w:ascii="宋体" w:hAnsi="宋体"/>
          <w:color w:val="auto"/>
          <w:sz w:val="24"/>
          <w:szCs w:val="24"/>
          <w:highlight w:val="none"/>
          <w:u w:val="single"/>
          <w:shd w:val="clear" w:color="auto" w:fill="ffffff"/>
        </w:rPr>
        <w:t xml:space="preserve">（生产厂址）</w:t>
      </w:r>
      <w:r>
        <w:rPr>
          <w:rFonts w:hint="eastAsia" w:ascii="宋体" w:hAnsi="宋体"/>
          <w:color w:val="auto"/>
          <w:sz w:val="24"/>
          <w:szCs w:val="24"/>
          <w:highlight w:val="none"/>
          <w:shd w:val="clear" w:color="auto" w:fill="ffffff"/>
        </w:rPr>
        <w:t xml:space="preserve">。</w:t>
      </w:r>
      <w:r>
        <w:rPr>
          <w:rFonts w:hint="eastAsia" w:ascii="宋体" w:hAnsi="宋体"/>
          <w:strike/>
          <w:color w:val="auto"/>
          <w:sz w:val="24"/>
          <w:szCs w:val="24"/>
          <w:highlight w:val="none"/>
          <w:u w:val="single"/>
          <w:shd w:val="clear" w:color="auto" w:fill="ffffff"/>
        </w:rPr>
        <w:t xml:space="preserve">（产品名称1）</w:t>
      </w:r>
      <w:r>
        <w:rPr>
          <w:rFonts w:hint="eastAsia" w:ascii="宋体" w:hAnsi="宋体"/>
          <w:color w:val="auto"/>
          <w:sz w:val="24"/>
          <w:szCs w:val="24"/>
          <w:highlight w:val="none"/>
          <w:shd w:val="clear" w:color="auto" w:fill="ffffff"/>
        </w:rPr>
        <w:t xml:space="preserve">的中国境内生产的组件成本占比≥</w:t>
      </w:r>
      <w:r>
        <w:rPr>
          <w:rFonts w:hint="eastAsia" w:ascii="宋体" w:hAnsi="宋体"/>
          <w:strike/>
          <w:color w:val="auto"/>
          <w:sz w:val="24"/>
          <w:szCs w:val="24"/>
          <w:highlight w:val="none"/>
          <w:u w:val="single"/>
          <w:shd w:val="clear" w:color="auto" w:fill="ffffff"/>
        </w:rPr>
        <w:t xml:space="preserve">（规定比例）</w:t>
      </w:r>
      <w:r>
        <w:rPr>
          <w:rFonts w:hint="eastAsia" w:ascii="宋体" w:hAnsi="宋体"/>
          <w:color w:val="auto"/>
          <w:sz w:val="24"/>
          <w:szCs w:val="24"/>
          <w:highlight w:val="none"/>
          <w:u w:val="single"/>
          <w:shd w:val="clear" w:color="auto" w:fill="ffffff"/>
          <w:vertAlign w:val="superscript"/>
        </w:rPr>
        <w:t xml:space="preserve">3</w:t>
      </w:r>
      <w:r>
        <w:rPr>
          <w:rFonts w:hint="eastAsia" w:ascii="宋体" w:hAnsi="宋体"/>
          <w:color w:val="auto"/>
          <w:sz w:val="24"/>
          <w:szCs w:val="24"/>
          <w:highlight w:val="none"/>
          <w:shd w:val="clear" w:color="auto" w:fill="ffffff"/>
        </w:rPr>
        <w:t xml:space="preserve">。</w:t>
      </w:r>
      <w:r>
        <w:rPr>
          <w:rFonts w:hint="eastAsia" w:ascii="宋体" w:hAnsi="宋体"/>
          <w:strike/>
          <w:color w:val="auto"/>
          <w:sz w:val="24"/>
          <w:szCs w:val="24"/>
          <w:highlight w:val="none"/>
          <w:u w:val="single"/>
          <w:shd w:val="clear" w:color="auto" w:fill="ffffff"/>
        </w:rPr>
        <w:t xml:space="preserve">（产品名称1）</w:t>
      </w:r>
      <w:r>
        <w:rPr>
          <w:rFonts w:hint="eastAsia" w:ascii="宋体" w:hAnsi="宋体"/>
          <w:color w:val="auto"/>
          <w:sz w:val="24"/>
          <w:szCs w:val="24"/>
          <w:highlight w:val="none"/>
          <w:shd w:val="clear" w:color="auto" w:fill="ffffff"/>
        </w:rPr>
        <w:t xml:space="preserve">的</w:t>
      </w:r>
      <w:r>
        <w:rPr>
          <w:rFonts w:hint="eastAsia" w:ascii="宋体" w:hAnsi="宋体"/>
          <w:strike/>
          <w:color w:val="auto"/>
          <w:sz w:val="24"/>
          <w:szCs w:val="24"/>
          <w:highlight w:val="none"/>
          <w:u w:val="single"/>
          <w:shd w:val="clear" w:color="auto" w:fill="ffffff"/>
        </w:rPr>
        <w:t xml:space="preserve">（关键组件）</w:t>
      </w:r>
      <w:r>
        <w:rPr>
          <w:rFonts w:hint="eastAsia" w:ascii="宋体" w:hAnsi="宋体"/>
          <w:color w:val="auto"/>
          <w:sz w:val="24"/>
          <w:szCs w:val="24"/>
          <w:highlight w:val="none"/>
          <w:u w:val="single"/>
          <w:shd w:val="clear" w:color="auto" w:fill="ffffff"/>
          <w:vertAlign w:val="superscript"/>
        </w:rPr>
        <w:t xml:space="preserve">4</w:t>
      </w:r>
      <w:r>
        <w:rPr>
          <w:rFonts w:hint="eastAsia" w:ascii="宋体" w:hAnsi="宋体"/>
          <w:color w:val="auto"/>
          <w:sz w:val="24"/>
          <w:szCs w:val="24"/>
          <w:highlight w:val="none"/>
          <w:shd w:val="clear" w:color="auto" w:fill="ffffff"/>
        </w:rPr>
        <w:t xml:space="preserve">在中国境内生产。</w:t>
      </w:r>
      <w:r>
        <w:rPr>
          <w:rFonts w:hint="eastAsia" w:ascii="宋体" w:hAnsi="宋体"/>
          <w:strike/>
          <w:color w:val="auto"/>
          <w:sz w:val="24"/>
          <w:szCs w:val="24"/>
          <w:highlight w:val="none"/>
          <w:u w:val="single"/>
          <w:shd w:val="clear" w:color="auto" w:fill="ffffff"/>
        </w:rPr>
        <w:t xml:space="preserve">（产品名称1）</w:t>
      </w:r>
      <w:r>
        <w:rPr>
          <w:rFonts w:hint="eastAsia" w:ascii="宋体" w:hAnsi="宋体"/>
          <w:color w:val="auto"/>
          <w:sz w:val="24"/>
          <w:szCs w:val="24"/>
          <w:highlight w:val="none"/>
          <w:shd w:val="clear" w:color="auto" w:fill="ffffff"/>
        </w:rPr>
        <w:t xml:space="preserve">的</w:t>
      </w:r>
      <w:r>
        <w:rPr>
          <w:rFonts w:hint="eastAsia" w:ascii="宋体" w:hAnsi="宋体"/>
          <w:strike/>
          <w:color w:val="auto"/>
          <w:sz w:val="24"/>
          <w:szCs w:val="24"/>
          <w:highlight w:val="none"/>
          <w:u w:val="single"/>
          <w:shd w:val="clear" w:color="auto" w:fill="ffffff"/>
        </w:rPr>
        <w:t xml:space="preserve">（关键工序）</w:t>
      </w:r>
      <w:r>
        <w:rPr>
          <w:rFonts w:hint="eastAsia" w:ascii="宋体" w:hAnsi="宋体"/>
          <w:color w:val="auto"/>
          <w:sz w:val="24"/>
          <w:szCs w:val="24"/>
          <w:highlight w:val="none"/>
          <w:u w:val="single"/>
          <w:shd w:val="clear" w:color="auto" w:fill="ffffff"/>
          <w:vertAlign w:val="superscript"/>
        </w:rPr>
        <w:t xml:space="preserve">5</w:t>
      </w:r>
      <w:r>
        <w:rPr>
          <w:rFonts w:hint="eastAsia" w:ascii="宋体" w:hAnsi="宋体"/>
          <w:color w:val="auto"/>
          <w:sz w:val="24"/>
          <w:szCs w:val="24"/>
          <w:highlight w:val="none"/>
          <w:shd w:val="clear" w:color="auto" w:fill="ffffff"/>
        </w:rPr>
        <w:t xml:space="preserve">在中国境内完成。</w:t>
      </w:r>
      <w:r/>
    </w:p>
    <w:p>
      <w:pPr>
        <w:ind w:firstLine="420"/>
        <w:spacing w:before="30" w:after="30" w:line="500" w:lineRule="exact"/>
        <w:shd w:val="clear" w:color="auto" w:fill="ffffff"/>
        <w:rPr>
          <w:rFonts w:ascii="宋体" w:hAnsi="宋体"/>
          <w:color w:val="auto"/>
          <w:sz w:val="24"/>
          <w:szCs w:val="24"/>
          <w:highlight w:val="none"/>
        </w:rPr>
      </w:pPr>
      <w:r>
        <w:rPr>
          <w:rFonts w:hint="eastAsia" w:ascii="宋体" w:hAnsi="宋体"/>
          <w:color w:val="auto"/>
          <w:sz w:val="24"/>
          <w:szCs w:val="24"/>
          <w:highlight w:val="none"/>
          <w:shd w:val="clear" w:color="auto" w:fill="ffffff"/>
        </w:rPr>
        <w:t xml:space="preserve">2.</w:t>
      </w:r>
      <w:r>
        <w:rPr>
          <w:rFonts w:hint="eastAsia" w:ascii="宋体" w:hAnsi="宋体"/>
          <w:color w:val="auto"/>
          <w:sz w:val="24"/>
          <w:szCs w:val="24"/>
          <w:highlight w:val="none"/>
          <w:u w:val="single"/>
          <w:shd w:val="clear" w:color="auto" w:fill="ffffff"/>
        </w:rPr>
        <w:t xml:space="preserve">（产品名称2）</w:t>
      </w:r>
      <w:r>
        <w:rPr>
          <w:rFonts w:hint="eastAsia" w:ascii="宋体" w:hAnsi="宋体"/>
          <w:color w:val="auto"/>
          <w:sz w:val="24"/>
          <w:szCs w:val="24"/>
          <w:highlight w:val="none"/>
          <w:shd w:val="clear" w:color="auto" w:fill="ffffff"/>
        </w:rPr>
        <w:t xml:space="preserve">，生产厂为</w:t>
      </w:r>
      <w:r>
        <w:rPr>
          <w:rFonts w:hint="eastAsia" w:ascii="宋体" w:hAnsi="宋体"/>
          <w:color w:val="auto"/>
          <w:sz w:val="24"/>
          <w:szCs w:val="24"/>
          <w:highlight w:val="none"/>
          <w:u w:val="single"/>
          <w:shd w:val="clear" w:color="auto" w:fill="ffffff"/>
        </w:rPr>
        <w:t xml:space="preserve">（厂名）</w:t>
      </w:r>
      <w:r>
        <w:rPr>
          <w:rFonts w:hint="eastAsia" w:ascii="宋体" w:hAnsi="宋体"/>
          <w:color w:val="auto"/>
          <w:sz w:val="24"/>
          <w:szCs w:val="24"/>
          <w:highlight w:val="none"/>
          <w:shd w:val="clear" w:color="auto" w:fill="ffffff"/>
        </w:rPr>
        <w:t xml:space="preserve">，厂址为</w:t>
      </w:r>
      <w:r>
        <w:rPr>
          <w:rFonts w:hint="eastAsia" w:ascii="宋体" w:hAnsi="宋体"/>
          <w:color w:val="auto"/>
          <w:sz w:val="24"/>
          <w:szCs w:val="24"/>
          <w:highlight w:val="none"/>
          <w:u w:val="single"/>
          <w:shd w:val="clear" w:color="auto" w:fill="ffffff"/>
        </w:rPr>
        <w:t xml:space="preserve">（生产厂址）</w:t>
      </w:r>
      <w:r>
        <w:rPr>
          <w:rFonts w:hint="eastAsia" w:ascii="宋体" w:hAnsi="宋体"/>
          <w:color w:val="auto"/>
          <w:sz w:val="24"/>
          <w:szCs w:val="24"/>
          <w:highlight w:val="none"/>
          <w:shd w:val="clear" w:color="auto" w:fill="ffffff"/>
        </w:rPr>
        <w:t xml:space="preserve">。</w:t>
      </w:r>
      <w:r>
        <w:rPr>
          <w:rFonts w:hint="eastAsia" w:ascii="宋体" w:hAnsi="宋体"/>
          <w:strike/>
          <w:color w:val="auto"/>
          <w:sz w:val="24"/>
          <w:szCs w:val="24"/>
          <w:highlight w:val="none"/>
          <w:u w:val="single"/>
          <w:shd w:val="clear" w:color="auto" w:fill="ffffff"/>
        </w:rPr>
        <w:t xml:space="preserve">（产品名称2）</w:t>
      </w:r>
      <w:r>
        <w:rPr>
          <w:rFonts w:hint="eastAsia" w:ascii="宋体" w:hAnsi="宋体"/>
          <w:color w:val="auto"/>
          <w:sz w:val="24"/>
          <w:szCs w:val="24"/>
          <w:highlight w:val="none"/>
          <w:shd w:val="clear" w:color="auto" w:fill="ffffff"/>
        </w:rPr>
        <w:t xml:space="preserve">的中国境内生产的组件成本占比≥</w:t>
      </w:r>
      <w:r>
        <w:rPr>
          <w:rFonts w:hint="eastAsia" w:ascii="宋体" w:hAnsi="宋体"/>
          <w:strike/>
          <w:color w:val="auto"/>
          <w:sz w:val="24"/>
          <w:szCs w:val="24"/>
          <w:highlight w:val="none"/>
          <w:u w:val="single"/>
          <w:shd w:val="clear" w:color="auto" w:fill="ffffff"/>
        </w:rPr>
        <w:t xml:space="preserve">（规定比例）</w:t>
      </w:r>
      <w:r>
        <w:rPr>
          <w:rFonts w:hint="eastAsia" w:ascii="宋体" w:hAnsi="宋体"/>
          <w:color w:val="auto"/>
          <w:sz w:val="24"/>
          <w:szCs w:val="24"/>
          <w:highlight w:val="none"/>
          <w:shd w:val="clear" w:color="auto" w:fill="ffffff"/>
        </w:rPr>
        <w:t xml:space="preserve">。</w:t>
      </w:r>
      <w:r>
        <w:rPr>
          <w:rFonts w:hint="eastAsia" w:ascii="宋体" w:hAnsi="宋体"/>
          <w:strike/>
          <w:color w:val="auto"/>
          <w:sz w:val="24"/>
          <w:szCs w:val="24"/>
          <w:highlight w:val="none"/>
          <w:u w:val="single"/>
          <w:shd w:val="clear" w:color="auto" w:fill="ffffff"/>
        </w:rPr>
        <w:t xml:space="preserve">（产品名称2）</w:t>
      </w:r>
      <w:r>
        <w:rPr>
          <w:rFonts w:hint="eastAsia" w:ascii="宋体" w:hAnsi="宋体"/>
          <w:color w:val="auto"/>
          <w:sz w:val="24"/>
          <w:szCs w:val="24"/>
          <w:highlight w:val="none"/>
          <w:shd w:val="clear" w:color="auto" w:fill="ffffff"/>
        </w:rPr>
        <w:t xml:space="preserve">的</w:t>
      </w:r>
      <w:r>
        <w:rPr>
          <w:rFonts w:hint="eastAsia" w:ascii="宋体" w:hAnsi="宋体"/>
          <w:strike/>
          <w:color w:val="auto"/>
          <w:sz w:val="24"/>
          <w:szCs w:val="24"/>
          <w:highlight w:val="none"/>
          <w:u w:val="single"/>
          <w:shd w:val="clear" w:color="auto" w:fill="ffffff"/>
        </w:rPr>
        <w:t xml:space="preserve">（关键组件）</w:t>
      </w:r>
      <w:r>
        <w:rPr>
          <w:rFonts w:hint="eastAsia" w:ascii="宋体" w:hAnsi="宋体"/>
          <w:color w:val="auto"/>
          <w:sz w:val="24"/>
          <w:szCs w:val="24"/>
          <w:highlight w:val="none"/>
          <w:shd w:val="clear" w:color="auto" w:fill="ffffff"/>
        </w:rPr>
        <w:t xml:space="preserve">在中国境内生产。</w:t>
      </w:r>
      <w:r>
        <w:rPr>
          <w:rFonts w:hint="eastAsia" w:ascii="宋体" w:hAnsi="宋体"/>
          <w:strike/>
          <w:color w:val="auto"/>
          <w:sz w:val="24"/>
          <w:szCs w:val="24"/>
          <w:highlight w:val="none"/>
          <w:u w:val="single"/>
          <w:shd w:val="clear" w:color="auto" w:fill="ffffff"/>
        </w:rPr>
        <w:t xml:space="preserve">（产品名称2）</w:t>
      </w:r>
      <w:r>
        <w:rPr>
          <w:rFonts w:hint="eastAsia" w:ascii="宋体" w:hAnsi="宋体"/>
          <w:color w:val="auto"/>
          <w:sz w:val="24"/>
          <w:szCs w:val="24"/>
          <w:highlight w:val="none"/>
          <w:shd w:val="clear" w:color="auto" w:fill="ffffff"/>
        </w:rPr>
        <w:t xml:space="preserve">的</w:t>
      </w:r>
      <w:r>
        <w:rPr>
          <w:rFonts w:hint="eastAsia" w:ascii="宋体" w:hAnsi="宋体"/>
          <w:strike/>
          <w:color w:val="auto"/>
          <w:sz w:val="24"/>
          <w:szCs w:val="24"/>
          <w:highlight w:val="none"/>
          <w:u w:val="single"/>
          <w:shd w:val="clear" w:color="auto" w:fill="ffffff"/>
        </w:rPr>
        <w:t xml:space="preserve">（关键工序）</w:t>
      </w:r>
      <w:r>
        <w:rPr>
          <w:rFonts w:hint="eastAsia" w:ascii="宋体" w:hAnsi="宋体"/>
          <w:color w:val="auto"/>
          <w:sz w:val="24"/>
          <w:szCs w:val="24"/>
          <w:highlight w:val="none"/>
          <w:shd w:val="clear" w:color="auto" w:fill="ffffff"/>
        </w:rPr>
        <w:t xml:space="preserve">在中国境内完成。</w:t>
      </w:r>
      <w:r/>
    </w:p>
    <w:p>
      <w:pPr>
        <w:ind w:firstLine="420"/>
        <w:spacing w:before="30" w:after="30" w:line="500" w:lineRule="exact"/>
        <w:shd w:val="clear" w:color="auto" w:fill="ffffff"/>
        <w:rPr>
          <w:rFonts w:ascii="宋体" w:hAnsi="宋体"/>
          <w:color w:val="auto"/>
          <w:sz w:val="24"/>
          <w:szCs w:val="24"/>
          <w:highlight w:val="none"/>
        </w:rPr>
      </w:pPr>
      <w:r>
        <w:rPr>
          <w:rFonts w:hint="eastAsia" w:ascii="宋体" w:hAnsi="宋体"/>
          <w:color w:val="auto"/>
          <w:sz w:val="24"/>
          <w:szCs w:val="24"/>
          <w:highlight w:val="none"/>
          <w:shd w:val="clear" w:color="auto" w:fill="ffffff"/>
        </w:rPr>
        <w:t xml:space="preserve">……</w:t>
      </w:r>
      <w:r/>
    </w:p>
    <w:p>
      <w:pPr>
        <w:ind w:firstLine="420"/>
        <w:spacing w:before="30" w:after="30" w:line="500" w:lineRule="exact"/>
        <w:shd w:val="clear" w:color="auto" w:fill="ffffff"/>
        <w:rPr>
          <w:rFonts w:ascii="宋体" w:hAnsi="宋体"/>
          <w:color w:val="auto"/>
          <w:sz w:val="24"/>
          <w:szCs w:val="24"/>
          <w:highlight w:val="none"/>
        </w:rPr>
      </w:pPr>
      <w:r>
        <w:rPr>
          <w:rFonts w:hint="eastAsia" w:ascii="宋体" w:hAnsi="宋体"/>
          <w:color w:val="auto"/>
          <w:sz w:val="24"/>
          <w:szCs w:val="24"/>
          <w:highlight w:val="none"/>
          <w:shd w:val="clear" w:color="auto" w:fill="ffffff"/>
        </w:rPr>
        <w:t xml:space="preserve">本公司（单位）对上述声明内容的真实性负责。如有虚假，愿承担相应法律责任。</w:t>
      </w:r>
      <w:r/>
    </w:p>
    <w:p>
      <w:pPr>
        <w:ind w:firstLine="420"/>
        <w:jc w:val="right"/>
        <w:spacing w:before="30" w:after="30" w:line="500" w:lineRule="exact"/>
        <w:shd w:val="clear" w:color="auto" w:fill="ffffff"/>
        <w:rPr>
          <w:rFonts w:ascii="宋体" w:hAnsi="宋体"/>
          <w:color w:val="auto"/>
          <w:sz w:val="24"/>
          <w:szCs w:val="24"/>
          <w:highlight w:val="none"/>
          <w:shd w:val="clear" w:color="auto" w:fill="ffffff"/>
        </w:rPr>
      </w:pPr>
      <w:r>
        <w:rPr>
          <w:rFonts w:ascii="宋体" w:hAnsi="宋体"/>
          <w:color w:val="auto"/>
          <w:sz w:val="24"/>
          <w:szCs w:val="24"/>
          <w:highlight w:val="none"/>
          <w:shd w:val="clear" w:color="auto" w:fill="ffffff"/>
        </w:rPr>
      </w:r>
      <w:r/>
    </w:p>
    <w:p>
      <w:pPr>
        <w:ind w:firstLine="420"/>
        <w:jc w:val="right"/>
        <w:spacing w:before="30" w:after="30" w:line="500" w:lineRule="exact"/>
        <w:shd w:val="clear" w:color="auto" w:fill="ffffff"/>
        <w:rPr>
          <w:rFonts w:ascii="宋体" w:hAnsi="宋体"/>
          <w:color w:val="auto"/>
          <w:sz w:val="24"/>
          <w:szCs w:val="24"/>
          <w:highlight w:val="none"/>
        </w:rPr>
      </w:pPr>
      <w:r>
        <w:rPr>
          <w:rFonts w:hint="eastAsia" w:ascii="宋体" w:hAnsi="宋体"/>
          <w:color w:val="auto"/>
          <w:sz w:val="24"/>
          <w:szCs w:val="24"/>
          <w:highlight w:val="none"/>
          <w:shd w:val="clear" w:color="auto" w:fill="ffffff"/>
        </w:rPr>
        <w:t xml:space="preserve">公司（单位）名称（盖章）：      </w:t>
      </w:r>
      <w:r/>
    </w:p>
    <w:p>
      <w:pPr>
        <w:ind w:firstLine="420"/>
        <w:jc w:val="right"/>
        <w:spacing w:before="30" w:after="30" w:line="500" w:lineRule="exact"/>
        <w:shd w:val="clear" w:color="auto" w:fill="ffffff"/>
        <w:rPr>
          <w:rFonts w:ascii="宋体" w:hAnsi="宋体"/>
          <w:color w:val="auto"/>
          <w:sz w:val="24"/>
          <w:szCs w:val="24"/>
          <w:highlight w:val="none"/>
        </w:rPr>
      </w:pPr>
      <w:r>
        <w:rPr>
          <w:rFonts w:hint="eastAsia" w:ascii="宋体" w:hAnsi="宋体"/>
          <w:color w:val="auto"/>
          <w:sz w:val="24"/>
          <w:szCs w:val="24"/>
          <w:highlight w:val="none"/>
          <w:shd w:val="clear" w:color="auto" w:fill="ffffff"/>
        </w:rPr>
        <w:t xml:space="preserve">日期：　　　　　年　　月　日    </w:t>
      </w:r>
      <w:r/>
    </w:p>
    <w:p>
      <w:pPr>
        <w:spacing w:before="30" w:after="30" w:line="500" w:lineRule="exact"/>
        <w:shd w:val="clear" w:color="auto" w:fill="ffffff"/>
        <w:rPr>
          <w:rFonts w:ascii="宋体" w:hAnsi="宋体"/>
          <w:color w:val="auto"/>
          <w:sz w:val="24"/>
          <w:szCs w:val="24"/>
          <w:highlight w:val="none"/>
        </w:rPr>
      </w:pPr>
      <w:r>
        <w:rPr>
          <w:rFonts w:hint="eastAsia" w:ascii="宋体" w:hAnsi="宋体"/>
          <w:color w:val="auto"/>
          <w:sz w:val="24"/>
          <w:szCs w:val="24"/>
          <w:highlight w:val="none"/>
          <w:shd w:val="clear" w:color="auto" w:fill="ffffff"/>
        </w:rPr>
        <w:t xml:space="preserve">_____________________________</w:t>
      </w:r>
      <w:r/>
    </w:p>
    <w:p>
      <w:pPr>
        <w:ind w:firstLine="420"/>
        <w:spacing w:before="30" w:after="30" w:line="240" w:lineRule="auto"/>
        <w:shd w:val="clear" w:color="auto" w:fill="ffffff"/>
        <w:rPr>
          <w:rFonts w:ascii="宋体" w:hAnsi="宋体"/>
          <w:color w:val="auto"/>
          <w:sz w:val="24"/>
          <w:szCs w:val="24"/>
          <w:highlight w:val="none"/>
        </w:rPr>
      </w:pPr>
      <w:r>
        <w:rPr>
          <w:rFonts w:hint="eastAsia" w:ascii="宋体" w:hAnsi="宋体"/>
          <w:color w:val="auto"/>
          <w:sz w:val="24"/>
          <w:szCs w:val="24"/>
          <w:highlight w:val="none"/>
          <w:shd w:val="clear" w:color="auto" w:fill="ffffff"/>
        </w:rPr>
        <w:t xml:space="preserve">1.产品如有型号，请在“产品名称”栏一并填写。</w:t>
      </w:r>
      <w:r/>
    </w:p>
    <w:p>
      <w:pPr>
        <w:ind w:firstLine="420"/>
        <w:spacing w:before="30" w:after="30" w:line="240" w:lineRule="auto"/>
        <w:shd w:val="clear" w:color="auto" w:fill="ffffff"/>
        <w:rPr>
          <w:rFonts w:ascii="宋体" w:hAnsi="宋体"/>
          <w:color w:val="auto"/>
          <w:sz w:val="24"/>
          <w:szCs w:val="24"/>
          <w:highlight w:val="none"/>
        </w:rPr>
      </w:pPr>
      <w:r>
        <w:rPr>
          <w:rFonts w:hint="eastAsia" w:ascii="宋体" w:hAnsi="宋体"/>
          <w:color w:val="auto"/>
          <w:sz w:val="24"/>
          <w:szCs w:val="24"/>
          <w:highlight w:val="none"/>
          <w:shd w:val="clear" w:color="auto" w:fill="ffffff"/>
        </w:rPr>
        <w:t xml:space="preserve">2.生产厂名与厂址应与生产厂营业执照载明的相关信息保持一致。</w:t>
      </w:r>
      <w:r/>
    </w:p>
    <w:p>
      <w:pPr>
        <w:ind w:firstLine="420"/>
        <w:spacing w:before="30" w:after="30" w:line="240" w:lineRule="auto"/>
        <w:shd w:val="clear" w:color="auto" w:fill="ffffff"/>
        <w:rPr>
          <w:rFonts w:ascii="宋体" w:hAnsi="宋体"/>
          <w:color w:val="auto"/>
          <w:sz w:val="24"/>
          <w:szCs w:val="24"/>
          <w:highlight w:val="none"/>
        </w:rPr>
      </w:pPr>
      <w:r>
        <w:rPr>
          <w:rFonts w:hint="eastAsia" w:ascii="宋体" w:hAnsi="宋体"/>
          <w:color w:val="auto"/>
          <w:sz w:val="24"/>
          <w:szCs w:val="24"/>
          <w:highlight w:val="none"/>
          <w:shd w:val="clear" w:color="auto" w:fill="ffffff"/>
        </w:rPr>
        <w:t xml:space="preserve">3.该产品的中国境内生产的组件成本占比相关要求实施前，“规定比例”栏可不填，下同。</w:t>
      </w:r>
      <w:r/>
    </w:p>
    <w:p>
      <w:pPr>
        <w:ind w:firstLine="420"/>
        <w:spacing w:before="30" w:after="30" w:line="240" w:lineRule="auto"/>
        <w:shd w:val="clear" w:color="auto" w:fill="ffffff"/>
        <w:rPr>
          <w:rFonts w:ascii="宋体" w:hAnsi="宋体"/>
          <w:color w:val="auto"/>
          <w:sz w:val="24"/>
          <w:szCs w:val="24"/>
          <w:highlight w:val="none"/>
          <w:shd w:val="clear" w:color="auto" w:fill="ffffff"/>
        </w:rPr>
      </w:pPr>
      <w:r>
        <w:rPr>
          <w:rFonts w:hint="eastAsia" w:ascii="宋体" w:hAnsi="宋体"/>
          <w:color w:val="auto"/>
          <w:sz w:val="24"/>
          <w:szCs w:val="24"/>
          <w:highlight w:val="none"/>
          <w:shd w:val="clear" w:color="auto" w:fill="ffffff"/>
        </w:rPr>
        <w:t xml:space="preserve">4.该产品的关键组件要求实施前，“关键组件”栏可不填，下同。</w:t>
      </w:r>
      <w:r/>
    </w:p>
    <w:p>
      <w:pPr>
        <w:ind w:firstLine="420"/>
        <w:spacing w:before="30" w:after="30" w:line="240" w:lineRule="auto"/>
        <w:shd w:val="clear" w:color="auto" w:fill="ffffff"/>
        <w:rPr>
          <w:rFonts w:ascii="宋体" w:hAnsi="宋体"/>
          <w:b/>
          <w:color w:val="auto"/>
          <w:sz w:val="24"/>
          <w:szCs w:val="24"/>
          <w:highlight w:val="none"/>
        </w:rPr>
      </w:pPr>
      <w:r>
        <w:rPr>
          <w:rFonts w:hint="eastAsia" w:ascii="宋体" w:hAnsi="宋体"/>
          <w:color w:val="auto"/>
          <w:sz w:val="24"/>
          <w:szCs w:val="24"/>
          <w:highlight w:val="none"/>
          <w:shd w:val="clear" w:color="auto" w:fill="ffffff"/>
        </w:rPr>
        <w:t xml:space="preserve">5.该产品的关键工序要求实施前，“关键工序”栏可不填，</w:t>
      </w:r>
      <w:r/>
    </w:p>
    <w:p>
      <w:pPr>
        <w:ind w:firstLine="482"/>
        <w:spacing w:line="360" w:lineRule="auto"/>
        <w:shd w:val="clear" w:color="auto" w:fill="ffffff"/>
        <w:rPr>
          <w:rFonts w:ascii="宋体" w:hAnsi="宋体" w:cs="Times New Roman"/>
          <w:bCs/>
          <w:color w:val="auto"/>
          <w:sz w:val="24"/>
          <w:szCs w:val="24"/>
          <w:highlight w:val="none"/>
        </w:rPr>
      </w:pPr>
      <w:r>
        <w:rPr>
          <w:rFonts w:hint="eastAsia" w:ascii="宋体" w:hAnsi="宋体"/>
          <w:b/>
          <w:color w:val="auto"/>
          <w:sz w:val="24"/>
          <w:szCs w:val="24"/>
          <w:highlight w:val="none"/>
        </w:rPr>
        <w:t xml:space="preserve">注：划删除线的地方无需填写。</w:t>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spacing w:after="0"/>
        <w:rPr>
          <w:rFonts w:ascii="宋体" w:hAnsi="宋体"/>
          <w:b/>
          <w:color w:val="auto"/>
          <w:sz w:val="32"/>
          <w:szCs w:val="32"/>
          <w:highlight w:val="none"/>
        </w:rPr>
        <w:outlineLvl w:val="2"/>
      </w:pPr>
      <w:r>
        <w:rPr>
          <w:rFonts w:hint="eastAsia" w:ascii="宋体" w:hAnsi="宋体"/>
          <w:b/>
          <w:color w:val="auto"/>
          <w:sz w:val="32"/>
          <w:szCs w:val="32"/>
          <w:highlight w:val="none"/>
        </w:rPr>
        <w:t xml:space="preserve">（七）承诺书（格式）：</w:t>
      </w:r>
      <w:r/>
    </w:p>
    <w:p>
      <w:pPr>
        <w:jc w:val="center"/>
        <w:spacing w:after="0"/>
        <w:rPr>
          <w:rFonts w:ascii="宋体" w:hAnsi="宋体"/>
          <w:b/>
          <w:color w:val="auto"/>
          <w:sz w:val="32"/>
          <w:szCs w:val="32"/>
          <w:highlight w:val="none"/>
        </w:rPr>
      </w:pPr>
      <w:r>
        <w:rPr>
          <w:rFonts w:hint="eastAsia" w:ascii="宋体" w:hAnsi="宋体"/>
          <w:b/>
          <w:color w:val="auto"/>
          <w:sz w:val="32"/>
          <w:szCs w:val="32"/>
          <w:highlight w:val="none"/>
        </w:rPr>
        <w:t xml:space="preserve">承诺书一</w:t>
      </w:r>
      <w:r/>
    </w:p>
    <w:p>
      <w:pPr>
        <w:jc w:val="center"/>
        <w:spacing w:after="0"/>
        <w:widowControl w:val="off"/>
        <w:rPr>
          <w:rFonts w:ascii="宋体" w:hAnsi="宋体"/>
          <w:bCs/>
          <w:color w:val="auto"/>
          <w:sz w:val="28"/>
          <w:szCs w:val="28"/>
          <w:highlight w:val="none"/>
        </w:rPr>
      </w:pPr>
      <w:r>
        <w:rPr>
          <w:rFonts w:ascii="宋体" w:hAnsi="宋体"/>
          <w:bCs/>
          <w:color w:val="auto"/>
          <w:sz w:val="28"/>
          <w:szCs w:val="28"/>
          <w:highlight w:val="none"/>
        </w:rPr>
      </w:r>
      <w:r/>
    </w:p>
    <w:p>
      <w:pPr>
        <w:spacing w:after="0" w:line="480" w:lineRule="auto"/>
        <w:widowControl w:val="off"/>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（投标供应商名称）针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JSZC-320200-RHZH-G2026-0048</w:t>
      </w:r>
      <w:r>
        <w:rPr>
          <w:rFonts w:hint="eastAsia" w:ascii="宋体" w:hAnsi="宋体"/>
          <w:bCs/>
          <w:color w:val="auto"/>
          <w:sz w:val="24"/>
          <w:szCs w:val="24"/>
          <w:highlight w:val="none"/>
        </w:rPr>
        <w:t xml:space="preserve"> ）</w:t>
      </w:r>
      <w:r>
        <w:rPr>
          <w:rFonts w:hint="eastAsia" w:ascii="宋体" w:hAnsi="宋体"/>
          <w:color w:val="auto"/>
          <w:sz w:val="24"/>
          <w:szCs w:val="24"/>
          <w:highlight w:val="none"/>
        </w:rPr>
        <w:t xml:space="preserve">在此承诺：</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JSZC-320200-RHZH-G2026-0048</w:t>
      </w:r>
      <w:r>
        <w:rPr>
          <w:rFonts w:hint="eastAsia" w:ascii="宋体" w:hAnsi="宋体"/>
          <w:bCs/>
          <w:color w:val="auto"/>
          <w:sz w:val="24"/>
          <w:szCs w:val="24"/>
          <w:highlight w:val="none"/>
        </w:rPr>
        <w:t xml:space="preserve">）所提供的</w:t>
      </w:r>
      <w:r>
        <w:rPr>
          <w:rFonts w:hint="eastAsia" w:ascii="宋体" w:hAnsi="宋体"/>
          <w:bCs/>
          <w:color w:val="auto"/>
          <w:sz w:val="24"/>
          <w:szCs w:val="24"/>
          <w:highlight w:val="none"/>
          <w:lang w:eastAsia="zh-CN"/>
        </w:rPr>
        <w:t xml:space="preserve">无锡市水利工程管理中心江尖水利枢纽液压系统维修改造项目</w:t>
      </w:r>
      <w:r>
        <w:rPr>
          <w:rFonts w:hint="eastAsia" w:ascii="宋体" w:hAnsi="宋体"/>
          <w:bCs/>
          <w:color w:val="auto"/>
          <w:sz w:val="24"/>
          <w:szCs w:val="24"/>
          <w:highlight w:val="none"/>
        </w:rPr>
        <w:t xml:space="preserve">符合采购文件要求；</w:t>
      </w:r>
      <w:r/>
    </w:p>
    <w:p>
      <w:pPr>
        <w:ind w:firstLine="465"/>
        <w:spacing w:after="0" w:line="360" w:lineRule="auto"/>
        <w:widowControl w:val="off"/>
        <w:tabs>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2、本公司（单位）具备履行合同所必需的设备和专业技术能力；</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1196"/>
          <w:rFonts w:hint="eastAsia" w:ascii="宋体" w:hAnsi="宋体"/>
          <w:bCs/>
          <w:color w:val="auto"/>
          <w:sz w:val="24"/>
          <w:szCs w:val="24"/>
          <w:highlight w:val="none"/>
        </w:rPr>
        <w:t xml:space="preserve">www.creditchina.gov.cn</w:t>
      </w:r>
      <w:r>
        <w:rPr>
          <w:rStyle w:val="1196"/>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5、</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6、</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7、</w:t>
      </w:r>
      <w:r/>
    </w:p>
    <w:p>
      <w:pPr>
        <w:ind w:firstLine="465"/>
        <w:spacing w:after="0" w:line="360" w:lineRule="auto"/>
        <w:widowControl w:val="off"/>
        <w:tabs>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8、</w:t>
      </w:r>
      <w:r/>
    </w:p>
    <w:p>
      <w:pPr>
        <w:ind w:firstLine="960"/>
        <w:spacing w:after="0"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960"/>
        <w:spacing w:after="0"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3720"/>
        <w:spacing w:after="0" w:line="480" w:lineRule="auto"/>
        <w:widowControl w:val="off"/>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480"/>
        <w:spacing w:after="0"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after="0"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after="0"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注：以上内容由投标单位根据采购要求可自行完善。</w:t>
      </w:r>
      <w:r/>
    </w:p>
    <w:p>
      <w:pPr>
        <w:ind w:firstLine="420"/>
        <w:spacing w:after="0"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after="0"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after="0"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after="0" w:line="480" w:lineRule="auto"/>
        <w:rPr>
          <w:rFonts w:ascii="宋体" w:hAnsi="宋体"/>
          <w:bCs/>
          <w:color w:val="auto"/>
          <w:sz w:val="24"/>
          <w:szCs w:val="24"/>
          <w:highlight w:val="none"/>
        </w:rPr>
      </w:pPr>
      <w:r>
        <w:rPr>
          <w:rFonts w:ascii="宋体" w:hAnsi="宋体"/>
          <w:bCs/>
          <w:color w:val="auto"/>
          <w:sz w:val="24"/>
          <w:szCs w:val="24"/>
          <w:highlight w:val="none"/>
        </w:rPr>
      </w:r>
      <w:r/>
    </w:p>
    <w:p>
      <w:pPr>
        <w:jc w:val="center"/>
        <w:rPr>
          <w:rFonts w:ascii="宋体" w:hAnsi="宋体"/>
          <w:color w:val="auto"/>
          <w:highlight w:val="none"/>
        </w:rPr>
      </w:pPr>
      <w:r>
        <w:rPr>
          <w:rFonts w:ascii="宋体" w:hAnsi="宋体"/>
          <w:color w:val="auto"/>
          <w:highlight w:val="none"/>
        </w:rPr>
        <w:br w:type="page" w:clear="all"/>
      </w:r>
      <w:r>
        <w:rPr>
          <w:rFonts w:hint="eastAsia" w:ascii="宋体" w:hAnsi="宋体"/>
          <w:b/>
          <w:bCs/>
          <w:color w:val="auto"/>
          <w:sz w:val="28"/>
          <w:szCs w:val="36"/>
          <w:highlight w:val="none"/>
        </w:rPr>
        <w:t xml:space="preserve">承诺书二（廉洁承诺书）</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为了积极配合贵单位的招标工作，有效遏制不公平竞争和违规违纪问题的发生，确保招标工作的公平、公正、公开，我们保证认真贯彻相关规定以及相关廉洁要求，特向贵单位承诺如下事项：</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1.自觉遵守国家法律法规及有关廉政建设制度。</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2.主动了解贵单位招投标纪律，积极配合贵单位执行招投标廉政建设的有关规定。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3.不使用不正当手段妨碍、排挤其他投标单位或串通投标。</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4.按照招标文件规定的方式进行投标，不隐瞒本单位投标资质的真实情况，投标资质符合规定。</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6.不向设计招标的单位及个人购置或提供通信工具、交通工具和高档办公用品等。</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7.不向涉及招标的单位及个人的配偶、子女、亲属分包此次招标项目。</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8.不向涉及招标的单位及个人支付好处费、介绍费。</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9.一旦发现相关人员在招标过程中有索要财物等不廉洁行为，坚决予以抵制，并及时向贵单位纪检监察室举报。</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我们若违反上述承诺，愿接受取消投标资格及其他任何形式的处理。</w:t>
      </w:r>
      <w:r/>
    </w:p>
    <w:p>
      <w:pPr>
        <w:ind w:right="480" w:firstLine="2760"/>
        <w:jc w:val="right"/>
        <w:spacing w:before="240" w:line="360" w:lineRule="auto"/>
        <w:rPr>
          <w:rFonts w:ascii="宋体" w:hAnsi="宋体"/>
          <w:color w:val="auto"/>
          <w:sz w:val="24"/>
          <w:highlight w:val="none"/>
        </w:rPr>
      </w:pPr>
      <w:r>
        <w:rPr>
          <w:rFonts w:hint="eastAsia" w:ascii="宋体" w:hAnsi="宋体"/>
          <w:color w:val="auto"/>
          <w:sz w:val="24"/>
          <w:highlight w:val="none"/>
        </w:rPr>
        <w:t xml:space="preserve">供应商：（公章）</w:t>
      </w:r>
      <w:r/>
    </w:p>
    <w:p>
      <w:pPr>
        <w:ind w:firstLine="480"/>
        <w:jc w:val="right"/>
        <w:spacing w:before="240" w:line="360" w:lineRule="auto"/>
        <w:rPr>
          <w:color w:val="auto"/>
          <w:sz w:val="24"/>
          <w:highlight w:val="none"/>
        </w:rPr>
      </w:pPr>
      <w:r>
        <w:rPr>
          <w:rFonts w:ascii="宋体" w:hAnsi="宋体"/>
          <w:color w:val="auto"/>
          <w:sz w:val="24"/>
          <w:highlight w:val="none"/>
        </w:rPr>
        <w:t xml:space="preserve">法定代表人</w:t>
      </w:r>
      <w:r>
        <w:rPr>
          <w:rFonts w:hint="eastAsia" w:ascii="宋体" w:hAnsi="宋体"/>
          <w:color w:val="auto"/>
          <w:sz w:val="24"/>
          <w:highlight w:val="none"/>
        </w:rPr>
        <w:t xml:space="preserve">或被授权代表</w:t>
      </w:r>
      <w:r>
        <w:rPr>
          <w:rFonts w:ascii="宋体" w:hAnsi="宋体"/>
          <w:color w:val="auto"/>
          <w:sz w:val="24"/>
          <w:highlight w:val="none"/>
        </w:rPr>
        <w:t xml:space="preserve">：   （签字</w:t>
      </w:r>
      <w:r>
        <w:rPr>
          <w:rFonts w:hint="eastAsia" w:ascii="宋体" w:hAnsi="宋体"/>
          <w:color w:val="auto"/>
          <w:sz w:val="24"/>
          <w:highlight w:val="none"/>
        </w:rPr>
        <w:t xml:space="preserve">或盖章</w:t>
      </w:r>
      <w:r>
        <w:rPr>
          <w:rFonts w:ascii="宋体" w:hAnsi="宋体"/>
          <w:color w:val="auto"/>
          <w:sz w:val="24"/>
          <w:highlight w:val="none"/>
        </w:rPr>
        <w:t xml:space="preserve">）</w:t>
      </w:r>
      <w:r/>
    </w:p>
    <w:p>
      <w:pPr>
        <w:ind w:right="480" w:firstLine="480"/>
        <w:jc w:val="center"/>
        <w:spacing w:before="240" w:line="360" w:lineRule="auto"/>
        <w:rPr>
          <w:rFonts w:ascii="宋体" w:hAnsi="宋体"/>
          <w:color w:val="auto"/>
          <w:sz w:val="24"/>
          <w:highlight w:val="none"/>
        </w:rPr>
      </w:pPr>
      <w:r>
        <w:rPr>
          <w:rFonts w:hint="eastAsia" w:ascii="宋体" w:hAnsi="宋体"/>
          <w:color w:val="auto"/>
          <w:sz w:val="24"/>
          <w:highlight w:val="none"/>
        </w:rPr>
        <w:t xml:space="preserve">                                              年    月    日</w:t>
      </w:r>
      <w:r>
        <w:rPr>
          <w:rFonts w:ascii="宋体" w:hAnsi="宋体"/>
          <w:color w:val="auto"/>
          <w:sz w:val="24"/>
          <w:highlight w:val="none"/>
        </w:rPr>
        <w:t xml:space="preserve">   </w:t>
      </w:r>
      <w:r/>
    </w:p>
    <w:p>
      <w:pPr>
        <w:pStyle w:val="828"/>
        <w:numPr>
          <w:ilvl w:val="0"/>
          <w:numId w:val="0"/>
        </w:numPr>
        <w:jc w:val="center"/>
        <w:keepLines w:val="0"/>
        <w:keepNext w:val="0"/>
        <w:spacing w:line="240" w:lineRule="auto"/>
        <w:rPr>
          <w:rFonts w:ascii="宋体" w:hAnsi="宋体" w:eastAsia="宋体" w:cs="宋体"/>
          <w:color w:val="auto"/>
          <w:sz w:val="28"/>
          <w:szCs w:val="28"/>
          <w:highlight w:val="none"/>
        </w:rPr>
      </w:pPr>
      <w:r>
        <w:rPr>
          <w:rFonts w:hint="eastAsia" w:ascii="宋体" w:hAnsi="宋体"/>
          <w:b/>
          <w:bCs/>
          <w:color w:val="auto"/>
          <w:sz w:val="28"/>
          <w:szCs w:val="36"/>
          <w:highlight w:val="none"/>
        </w:rPr>
        <w:t xml:space="preserve">承诺书三（质保承诺书）</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致：（采购人）</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本公司作为</w:t>
      </w:r>
      <w:r>
        <w:rPr>
          <w:rFonts w:hint="eastAsia" w:ascii="宋体" w:hAnsi="宋体"/>
          <w:color w:val="auto"/>
          <w:sz w:val="24"/>
          <w:szCs w:val="24"/>
          <w:highlight w:val="none"/>
          <w:u w:val="single"/>
          <w:lang w:eastAsia="zh-CN"/>
        </w:rPr>
        <w:t xml:space="preserve">无锡市水利工程管理中心江尖水利枢纽液压系统维修改造项目</w:t>
      </w:r>
      <w:r>
        <w:rPr>
          <w:rFonts w:hint="eastAsia" w:ascii="宋体" w:hAnsi="宋体"/>
          <w:color w:val="auto"/>
          <w:sz w:val="24"/>
          <w:szCs w:val="24"/>
          <w:highlight w:val="none"/>
        </w:rPr>
        <w:t xml:space="preserve">（项目名称）的投标供应商，为保障采购人的设备正常使用、稳定运行，现对本项目的设备质量及售后服务，郑重作出如下质保承诺：</w:t>
      </w:r>
      <w:r/>
    </w:p>
    <w:p>
      <w:pPr>
        <w:ind w:firstLine="482"/>
        <w:spacing w:after="0"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一、承诺的质保期</w:t>
      </w:r>
      <w:r/>
    </w:p>
    <w:p>
      <w:pPr>
        <w:ind w:firstLine="482"/>
        <w:spacing w:after="0" w:line="360" w:lineRule="auto"/>
        <w:widowControl w:val="off"/>
        <w:tabs>
          <w:tab w:val="left" w:pos="945"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本项目的基础质保期为1年，本公司承诺：额外提供</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 xml:space="preserve">年的质保。</w:t>
      </w:r>
      <w:r/>
    </w:p>
    <w:p>
      <w:pPr>
        <w:ind w:firstLine="482"/>
        <w:spacing w:after="0"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二、质保范围与责任</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在承诺的质保期内，</w:t>
      </w:r>
      <w:r>
        <w:rPr>
          <w:rFonts w:hint="eastAsia" w:ascii="宋体" w:hAnsi="宋体"/>
          <w:b/>
          <w:bCs/>
          <w:color w:val="auto"/>
          <w:sz w:val="24"/>
          <w:szCs w:val="24"/>
          <w:highlight w:val="none"/>
        </w:rPr>
        <w:t xml:space="preserve">本公司提供的液压启闭设备主要部件（不含易损易耗件，易损易耗件指：油液、空气滤清器、油液滤芯、高压软管、测压软管、表计、管路密封件、利旧的液压元器件和利旧的传感器）</w:t>
      </w:r>
      <w:r>
        <w:rPr>
          <w:rFonts w:hint="eastAsia" w:ascii="宋体" w:hAnsi="宋体"/>
          <w:color w:val="auto"/>
          <w:sz w:val="24"/>
          <w:szCs w:val="24"/>
          <w:highlight w:val="none"/>
        </w:rPr>
        <w:t xml:space="preserve">，若主要部件出现非人为损坏、非耗材类质量缺陷，本公司承诺：无条件提供免费维修、免费更换故障部件服务，并第一时间响应、及时完成故障处置，确保设备恢复正常运行。</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质保期内，所有因设备本身质量问题产生的维修工时费、零部件费、上门服务费等，均由本公司全额承担，不向采购人收取任何费用。</w:t>
      </w:r>
      <w:r/>
    </w:p>
    <w:p>
      <w:pPr>
        <w:ind w:firstLine="482"/>
        <w:spacing w:after="0"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三、故障升级处理承诺</w:t>
      </w:r>
      <w:r/>
    </w:p>
    <w:p>
      <w:pPr>
        <w:ind w:firstLine="48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质保期内，</w:t>
      </w:r>
      <w:r>
        <w:rPr>
          <w:rFonts w:hint="eastAsia" w:ascii="宋体" w:hAnsi="宋体"/>
          <w:b/>
          <w:bCs/>
          <w:color w:val="auto"/>
          <w:sz w:val="24"/>
          <w:szCs w:val="24"/>
          <w:highlight w:val="none"/>
        </w:rPr>
        <w:t xml:space="preserve">如设备同一故障连续 </w:t>
      </w:r>
      <w:r>
        <w:rPr>
          <w:rFonts w:hint="eastAsia" w:ascii="宋体" w:hAnsi="宋体"/>
          <w:b/>
          <w:bCs/>
          <w:color w:val="auto"/>
          <w:sz w:val="24"/>
          <w:szCs w:val="24"/>
          <w:highlight w:val="none"/>
          <w:lang w:val="en-US" w:eastAsia="zh-CN"/>
        </w:rPr>
        <w:t xml:space="preserve">3</w:t>
      </w:r>
      <w:r>
        <w:rPr>
          <w:rFonts w:hint="eastAsia" w:ascii="宋体" w:hAnsi="宋体"/>
          <w:b/>
          <w:bCs/>
          <w:color w:val="auto"/>
          <w:sz w:val="24"/>
          <w:szCs w:val="24"/>
          <w:highlight w:val="none"/>
        </w:rPr>
        <w:t xml:space="preserve"> 次维修后仍无法正常使用，</w:t>
      </w:r>
      <w:r>
        <w:rPr>
          <w:rFonts w:hint="eastAsia" w:ascii="宋体" w:hAnsi="宋体"/>
          <w:color w:val="auto"/>
          <w:sz w:val="24"/>
          <w:szCs w:val="24"/>
          <w:highlight w:val="none"/>
        </w:rPr>
        <w:t xml:space="preserve">本公司承诺：立即为采购人免费更换同型号全新设备，并承担更换、安装、调试全部费用，直至设备正常投入使用。</w:t>
      </w:r>
      <w:r/>
    </w:p>
    <w:p>
      <w:pPr>
        <w:ind w:firstLine="482"/>
        <w:spacing w:after="0" w:line="360" w:lineRule="auto"/>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四、服务时效承诺</w:t>
      </w:r>
      <w:r/>
    </w:p>
    <w:p>
      <w:pPr>
        <w:ind w:left="293" w:firstLine="240"/>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本公司建立专项售后服务响应机制，接到采购人故障通知后，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小时内予以响应，</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小时内到达现场处置，最大限度降低设备故障对采购人使用造成的影响。</w:t>
      </w:r>
      <w:r/>
    </w:p>
    <w:p>
      <w:pPr>
        <w:jc w:val="right"/>
        <w:spacing w:after="0" w:line="360" w:lineRule="auto"/>
        <w:widowControl w:val="off"/>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r>
      <w:r/>
    </w:p>
    <w:p>
      <w:pPr>
        <w:jc w:val="center"/>
        <w:spacing w:after="0" w:line="360" w:lineRule="auto"/>
        <w:widowControl w:val="off"/>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                  投标供应商：（盖章）</w:t>
      </w:r>
      <w:r/>
    </w:p>
    <w:p>
      <w:pPr>
        <w:ind w:firstLine="480"/>
        <w:jc w:val="right"/>
        <w:spacing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法定代表人或被授权代表：   （签字或盖章）</w:t>
      </w:r>
      <w:r/>
    </w:p>
    <w:p>
      <w:pPr>
        <w:ind w:firstLine="560"/>
        <w:spacing w:line="240" w:lineRule="auto"/>
        <w:widowControl w:val="off"/>
        <w:rPr>
          <w:rFonts w:ascii="宋体" w:hAnsi="宋体"/>
          <w:color w:val="auto"/>
          <w:sz w:val="28"/>
          <w:szCs w:val="28"/>
          <w:highlight w:val="none"/>
        </w:rPr>
      </w:pPr>
      <w:r>
        <w:rPr>
          <w:rFonts w:ascii="宋体" w:hAnsi="宋体"/>
          <w:color w:val="auto"/>
          <w:sz w:val="28"/>
          <w:szCs w:val="28"/>
          <w:highlight w:val="none"/>
        </w:rPr>
      </w:r>
      <w:r/>
    </w:p>
    <w:p>
      <w:pPr>
        <w:ind w:right="480" w:firstLine="480"/>
        <w:jc w:val="center"/>
        <w:spacing w:before="240" w:line="360" w:lineRule="auto"/>
        <w:rPr>
          <w:rFonts w:ascii="宋体" w:hAnsi="宋体"/>
          <w:color w:val="auto"/>
          <w:sz w:val="24"/>
          <w:highlight w:val="none"/>
        </w:rPr>
      </w:pPr>
      <w:r>
        <w:rPr>
          <w:rFonts w:ascii="宋体" w:hAnsi="宋体"/>
          <w:color w:val="auto"/>
          <w:sz w:val="24"/>
          <w:highlight w:val="none"/>
        </w:rPr>
      </w:r>
      <w:r/>
    </w:p>
    <w:p>
      <w:pPr>
        <w:ind w:right="480" w:firstLine="480"/>
        <w:jc w:val="center"/>
        <w:spacing w:before="240" w:line="360" w:lineRule="auto"/>
        <w:rPr>
          <w:rFonts w:ascii="宋体" w:hAnsi="宋体"/>
          <w:color w:val="auto"/>
          <w:sz w:val="24"/>
          <w:highlight w:val="none"/>
        </w:rPr>
      </w:pPr>
      <w:r>
        <w:rPr>
          <w:rFonts w:ascii="宋体" w:hAnsi="宋体"/>
          <w:color w:val="auto"/>
          <w:sz w:val="24"/>
          <w:highlight w:val="none"/>
        </w:rPr>
      </w:r>
      <w:r/>
    </w:p>
    <w:p>
      <w:pPr>
        <w:ind w:firstLine="420"/>
        <w:spacing w:after="0" w:line="480" w:lineRule="auto"/>
        <w:rPr>
          <w:rFonts w:ascii="宋体" w:hAnsi="宋体"/>
          <w:bCs/>
          <w:color w:val="auto"/>
          <w:sz w:val="24"/>
          <w:szCs w:val="24"/>
          <w:highlight w:val="none"/>
        </w:rPr>
        <w:sectPr>
          <w:headerReference w:type="default" r:id="rId9"/>
          <w:footerReference w:type="default" r:id="rId10"/>
          <w:footnotePr/>
          <w:endnotePr/>
          <w:type w:val="nextPage"/>
          <w:pgSz w:w="11906" w:h="16838" w:orient="portrait"/>
          <w:pgMar w:top="1440" w:right="1247" w:bottom="1440" w:left="1247" w:header="850" w:footer="992" w:gutter="0"/>
          <w:cols w:num="1" w:sep="0" w:space="1701" w:equalWidth="1"/>
          <w:docGrid w:linePitch="360"/>
        </w:sectPr>
      </w:pPr>
      <w:r>
        <w:rPr>
          <w:rFonts w:ascii="宋体" w:hAnsi="宋体"/>
          <w:bCs/>
          <w:color w:val="auto"/>
          <w:sz w:val="24"/>
          <w:szCs w:val="24"/>
          <w:highlight w:val="none"/>
        </w:rPr>
      </w:r>
      <w:r/>
    </w:p>
    <w:p>
      <w:pPr>
        <w:spacing w:after="0"/>
        <w:widowControl w:val="off"/>
        <w:rPr>
          <w:rFonts w:ascii="宋体" w:hAnsi="宋体"/>
          <w:b/>
          <w:color w:val="auto"/>
          <w:sz w:val="32"/>
          <w:szCs w:val="32"/>
          <w:highlight w:val="none"/>
        </w:rPr>
        <w:outlineLvl w:val="2"/>
      </w:pPr>
      <w:r>
        <w:rPr>
          <w:rFonts w:hint="eastAsia" w:ascii="宋体" w:hAnsi="宋体"/>
          <w:b/>
          <w:color w:val="auto"/>
          <w:sz w:val="32"/>
          <w:szCs w:val="32"/>
          <w:highlight w:val="none"/>
        </w:rPr>
        <w:t xml:space="preserve">（八）开标一览表（格式）：</w:t>
      </w:r>
      <w:r/>
    </w:p>
    <w:p>
      <w:pPr>
        <w:jc w:val="center"/>
        <w:spacing w:after="0"/>
        <w:rPr>
          <w:rFonts w:ascii="宋体" w:hAnsi="宋体"/>
          <w:b/>
          <w:color w:val="auto"/>
          <w:sz w:val="32"/>
          <w:szCs w:val="32"/>
          <w:highlight w:val="none"/>
        </w:rPr>
      </w:pPr>
      <w:r>
        <w:rPr>
          <w:rFonts w:hint="eastAsia" w:ascii="宋体" w:hAnsi="宋体"/>
          <w:b/>
          <w:color w:val="auto"/>
          <w:sz w:val="32"/>
          <w:szCs w:val="32"/>
          <w:highlight w:val="none"/>
        </w:rPr>
        <w:t xml:space="preserve">开标一览表 </w:t>
      </w:r>
      <w:r/>
    </w:p>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投标供应商名称（盖章）              </w:t>
      </w:r>
      <w:r/>
    </w:p>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JSZC-320200-RHZH-G2026-0048</w:t>
      </w:r>
      <w:r>
        <w:rPr>
          <w:rFonts w:hint="eastAsia" w:ascii="宋体" w:hAnsi="宋体"/>
          <w:bCs/>
          <w:color w:val="auto"/>
          <w:sz w:val="24"/>
          <w:szCs w:val="24"/>
          <w:highlight w:val="none"/>
        </w:rPr>
        <w:t xml:space="preserve"> </w:t>
      </w:r>
      <w:r/>
    </w:p>
    <w:p>
      <w:pPr>
        <w:spacing w:after="0" w:line="360" w:lineRule="auto"/>
        <w:rPr>
          <w:rFonts w:ascii="宋体" w:hAnsi="宋体"/>
          <w:color w:val="auto"/>
          <w:sz w:val="24"/>
          <w:highlight w:val="none"/>
        </w:rPr>
      </w:pPr>
      <w:r>
        <w:rPr>
          <w:rFonts w:hint="eastAsia" w:ascii="宋体" w:hAnsi="宋体"/>
          <w:bCs/>
          <w:color w:val="auto"/>
          <w:sz w:val="24"/>
          <w:szCs w:val="24"/>
          <w:highlight w:val="none"/>
        </w:rPr>
        <w:t xml:space="preserve">采购项目名称：</w:t>
      </w:r>
      <w:r>
        <w:rPr>
          <w:rFonts w:hint="eastAsia" w:ascii="宋体" w:hAnsi="宋体"/>
          <w:color w:val="auto"/>
          <w:sz w:val="24"/>
          <w:highlight w:val="none"/>
          <w:lang w:eastAsia="zh-CN"/>
        </w:rPr>
        <w:t xml:space="preserve">无锡市水利工程管理中心江尖水利枢纽液压系统维修改造项目</w:t>
      </w:r>
      <w:r>
        <w:rPr>
          <w:rFonts w:hint="eastAsia" w:ascii="宋体" w:hAnsi="宋体"/>
          <w:color w:val="auto"/>
          <w:sz w:val="24"/>
          <w:highlight w:val="none"/>
        </w:rPr>
        <w:t xml:space="preserve"> </w:t>
      </w:r>
      <w:r/>
    </w:p>
    <w:tbl>
      <w:tblPr>
        <w:tblStyle w:val="838"/>
        <w:tblW w:w="8778"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894"/>
        <w:gridCol w:w="6247"/>
      </w:tblGrid>
      <w:tr>
        <w:trPr>
          <w:trHeight w:val="555"/>
        </w:trPr>
        <w:tc>
          <w:tcPr>
            <w:tcW w:w="637" w:type="dxa"/>
            <w:vAlign w:val="center"/>
            <w:textDirection w:val="lrTb"/>
            <w:noWrap w:val="false"/>
          </w:tcPr>
          <w:p>
            <w:pPr>
              <w:jc w:val="center"/>
              <w:spacing w:after="0" w:line="400" w:lineRule="exact"/>
              <w:rPr>
                <w:rFonts w:hAnsi="宋体"/>
                <w:color w:val="auto"/>
                <w:sz w:val="24"/>
                <w:highlight w:val="none"/>
              </w:rPr>
            </w:pPr>
            <w:r>
              <w:rPr>
                <w:rFonts w:hint="eastAsia" w:ascii="宋体" w:hAnsi="宋体"/>
                <w:bCs/>
                <w:color w:val="auto"/>
                <w:sz w:val="24"/>
                <w:highlight w:val="none"/>
              </w:rPr>
              <w:t xml:space="preserve">序号</w:t>
            </w:r>
            <w:r/>
          </w:p>
        </w:tc>
        <w:tc>
          <w:tcPr>
            <w:tcW w:w="1894" w:type="dxa"/>
            <w:vAlign w:val="center"/>
            <w:textDirection w:val="lrTb"/>
            <w:noWrap w:val="false"/>
          </w:tcPr>
          <w:p>
            <w:pPr>
              <w:jc w:val="center"/>
              <w:spacing w:after="0" w:line="400" w:lineRule="exact"/>
              <w:rPr>
                <w:rFonts w:hAnsi="宋体"/>
                <w:color w:val="auto"/>
                <w:sz w:val="24"/>
                <w:highlight w:val="none"/>
              </w:rPr>
            </w:pPr>
            <w:r>
              <w:rPr>
                <w:rFonts w:hint="eastAsia" w:ascii="宋体" w:hAnsi="宋体"/>
                <w:color w:val="auto"/>
                <w:sz w:val="24"/>
                <w:highlight w:val="none"/>
              </w:rPr>
              <w:t xml:space="preserve">名称</w:t>
            </w:r>
            <w:r/>
          </w:p>
        </w:tc>
        <w:tc>
          <w:tcPr>
            <w:tcW w:w="6247" w:type="dxa"/>
            <w:vAlign w:val="center"/>
            <w:textDirection w:val="lrTb"/>
            <w:noWrap w:val="false"/>
          </w:tcPr>
          <w:p>
            <w:pPr>
              <w:jc w:val="both"/>
              <w:spacing w:after="0" w:line="240" w:lineRule="auto"/>
              <w:rPr>
                <w:rFonts w:hAnsi="宋体"/>
                <w:bCs/>
                <w:color w:val="auto"/>
                <w:sz w:val="24"/>
                <w:highlight w:val="none"/>
              </w:rPr>
            </w:pPr>
            <w:r>
              <w:rPr>
                <w:rFonts w:hint="eastAsia" w:ascii="宋体" w:hAnsi="宋体"/>
                <w:bCs/>
                <w:color w:val="auto"/>
                <w:sz w:val="24"/>
                <w:highlight w:val="none"/>
              </w:rPr>
              <w:t xml:space="preserve">承诺内容</w:t>
            </w:r>
            <w:r/>
          </w:p>
        </w:tc>
      </w:tr>
      <w:tr>
        <w:trPr>
          <w:cantSplit/>
          <w:trHeight w:val="740"/>
        </w:trPr>
        <w:tc>
          <w:tcPr>
            <w:tcW w:w="637" w:type="dxa"/>
            <w:vAlign w:val="center"/>
            <w:vMerge w:val="restart"/>
            <w:textDirection w:val="lrTb"/>
            <w:noWrap w:val="false"/>
          </w:tcPr>
          <w:p>
            <w:pPr>
              <w:jc w:val="center"/>
              <w:spacing w:after="0"/>
              <w:rPr>
                <w:rFonts w:hAnsi="宋体"/>
                <w:color w:val="auto"/>
                <w:sz w:val="24"/>
                <w:highlight w:val="none"/>
              </w:rPr>
            </w:pPr>
            <w:r>
              <w:rPr>
                <w:color w:val="auto"/>
                <w:sz w:val="24"/>
                <w:highlight w:val="none"/>
              </w:rPr>
              <w:t xml:space="preserve">1</w:t>
            </w:r>
            <w:r/>
          </w:p>
        </w:tc>
        <w:tc>
          <w:tcPr>
            <w:tcW w:w="1894" w:type="dxa"/>
            <w:vAlign w:val="center"/>
            <w:vMerge w:val="restart"/>
            <w:textDirection w:val="lrTb"/>
            <w:noWrap w:val="false"/>
          </w:tcPr>
          <w:p>
            <w:pPr>
              <w:jc w:val="center"/>
              <w:spacing w:after="0"/>
              <w:rPr>
                <w:rFonts w:hAnsi="宋体"/>
                <w:color w:val="auto"/>
                <w:sz w:val="24"/>
                <w:highlight w:val="none"/>
              </w:rPr>
            </w:pPr>
            <w:r>
              <w:rPr>
                <w:rFonts w:hint="eastAsia" w:ascii="宋体" w:hAnsi="宋体"/>
                <w:color w:val="auto"/>
                <w:sz w:val="24"/>
                <w:highlight w:val="none"/>
              </w:rPr>
              <w:t xml:space="preserve">投标报价（元）</w:t>
            </w:r>
            <w:r/>
          </w:p>
        </w:tc>
        <w:tc>
          <w:tcPr>
            <w:tcW w:w="6247" w:type="dxa"/>
            <w:vAlign w:val="center"/>
            <w:textDirection w:val="lrTb"/>
            <w:noWrap w:val="false"/>
          </w:tcPr>
          <w:p>
            <w:pPr>
              <w:jc w:val="both"/>
              <w:spacing w:after="0" w:line="240" w:lineRule="auto"/>
              <w:rPr>
                <w:rFonts w:hAnsi="宋体"/>
                <w:color w:val="auto"/>
                <w:sz w:val="24"/>
                <w:highlight w:val="none"/>
              </w:rPr>
            </w:pPr>
            <w:r>
              <w:rPr>
                <w:rFonts w:hint="eastAsia" w:hAnsi="宋体"/>
                <w:color w:val="auto"/>
                <w:sz w:val="24"/>
                <w:highlight w:val="none"/>
              </w:rPr>
              <w:t xml:space="preserve">大写：</w:t>
            </w:r>
            <w:r/>
          </w:p>
        </w:tc>
      </w:tr>
      <w:tr>
        <w:trPr>
          <w:cantSplit/>
          <w:trHeight w:val="762"/>
        </w:trPr>
        <w:tc>
          <w:tcPr>
            <w:tcW w:w="637" w:type="dxa"/>
            <w:vAlign w:val="center"/>
            <w:vMerge w:val="continue"/>
            <w:textDirection w:val="lrTb"/>
            <w:noWrap w:val="false"/>
          </w:tcPr>
          <w:p>
            <w:pPr>
              <w:jc w:val="center"/>
              <w:spacing w:after="0"/>
              <w:rPr>
                <w:color w:val="auto"/>
                <w:sz w:val="20"/>
                <w:szCs w:val="20"/>
                <w:highlight w:val="none"/>
              </w:rPr>
            </w:pPr>
            <w:r>
              <w:rPr>
                <w:color w:val="auto"/>
                <w:sz w:val="20"/>
                <w:szCs w:val="20"/>
                <w:highlight w:val="none"/>
              </w:rPr>
            </w:r>
            <w:r/>
          </w:p>
        </w:tc>
        <w:tc>
          <w:tcPr>
            <w:tcW w:w="1894" w:type="dxa"/>
            <w:vAlign w:val="center"/>
            <w:vMerge w:val="continue"/>
            <w:textDirection w:val="lrTb"/>
            <w:noWrap w:val="false"/>
          </w:tcPr>
          <w:p>
            <w:pPr>
              <w:jc w:val="center"/>
              <w:spacing w:after="0"/>
              <w:rPr>
                <w:color w:val="auto"/>
                <w:sz w:val="20"/>
                <w:szCs w:val="20"/>
                <w:highlight w:val="none"/>
              </w:rPr>
            </w:pPr>
            <w:r>
              <w:rPr>
                <w:color w:val="auto"/>
                <w:sz w:val="20"/>
                <w:szCs w:val="20"/>
                <w:highlight w:val="none"/>
              </w:rPr>
            </w:r>
            <w:r/>
          </w:p>
        </w:tc>
        <w:tc>
          <w:tcPr>
            <w:tcW w:w="6247" w:type="dxa"/>
            <w:vAlign w:val="center"/>
            <w:textDirection w:val="lrTb"/>
            <w:noWrap w:val="false"/>
          </w:tcPr>
          <w:p>
            <w:pPr>
              <w:jc w:val="both"/>
              <w:spacing w:after="0" w:line="240" w:lineRule="auto"/>
              <w:rPr>
                <w:rFonts w:hAnsi="宋体"/>
                <w:color w:val="auto"/>
                <w:sz w:val="24"/>
                <w:highlight w:val="none"/>
              </w:rPr>
            </w:pPr>
            <w:r>
              <w:rPr>
                <w:rFonts w:ascii="Times New Roman"/>
                <w:color w:val="auto"/>
                <w:sz w:val="24"/>
                <w:highlight w:val="none"/>
              </w:rPr>
              <w:t xml:space="preserve">小写：</w:t>
            </w:r>
            <w:r/>
          </w:p>
        </w:tc>
      </w:tr>
      <w:tr>
        <w:trPr>
          <w:cantSplit/>
          <w:trHeight w:val="623"/>
        </w:trPr>
        <w:tc>
          <w:tcPr>
            <w:tcW w:w="637" w:type="dxa"/>
            <w:vAlign w:val="center"/>
            <w:textDirection w:val="lrTb"/>
            <w:noWrap w:val="false"/>
          </w:tcPr>
          <w:p>
            <w:pPr>
              <w:jc w:val="center"/>
              <w:spacing w:after="0"/>
              <w:rPr>
                <w:rFonts w:hAnsi="宋体"/>
                <w:color w:val="auto"/>
                <w:sz w:val="24"/>
                <w:highlight w:val="none"/>
              </w:rPr>
            </w:pPr>
            <w:r>
              <w:rPr>
                <w:color w:val="auto"/>
                <w:sz w:val="24"/>
                <w:highlight w:val="none"/>
              </w:rPr>
              <w:t xml:space="preserve">2</w:t>
            </w:r>
            <w:r/>
          </w:p>
        </w:tc>
        <w:tc>
          <w:tcPr>
            <w:tcW w:w="1894" w:type="dxa"/>
            <w:vAlign w:val="center"/>
            <w:textDirection w:val="lrTb"/>
            <w:noWrap w:val="false"/>
          </w:tcPr>
          <w:p>
            <w:pPr>
              <w:jc w:val="center"/>
              <w:spacing w:after="0"/>
              <w:rPr>
                <w:rFonts w:hint="eastAsia" w:hAnsi="宋体" w:eastAsia="宋体"/>
                <w:color w:val="auto"/>
                <w:sz w:val="24"/>
                <w:highlight w:val="none"/>
                <w:lang w:eastAsia="zh-CN"/>
              </w:rPr>
            </w:pPr>
            <w:r>
              <w:rPr>
                <w:rFonts w:hint="eastAsia" w:ascii="宋体" w:hAnsi="宋体"/>
                <w:color w:val="auto"/>
                <w:sz w:val="24"/>
                <w:highlight w:val="none"/>
                <w:lang w:val="en-US" w:eastAsia="zh-CN"/>
              </w:rPr>
              <w:t xml:space="preserve">服务期</w:t>
            </w:r>
            <w:r/>
          </w:p>
        </w:tc>
        <w:tc>
          <w:tcPr>
            <w:tcW w:w="6247" w:type="dxa"/>
            <w:vAlign w:val="center"/>
            <w:textDirection w:val="lrTb"/>
            <w:noWrap w:val="false"/>
          </w:tcPr>
          <w:p>
            <w:pPr>
              <w:jc w:val="both"/>
              <w:spacing w:after="0" w:line="240" w:lineRule="auto"/>
              <w:rPr>
                <w:rFonts w:hAnsi="宋体"/>
                <w:color w:val="auto"/>
                <w:sz w:val="24"/>
                <w:highlight w:val="none"/>
              </w:rPr>
            </w:pPr>
            <w:r>
              <w:rPr>
                <w:rFonts w:hAnsi="宋体"/>
                <w:color w:val="auto"/>
                <w:sz w:val="24"/>
                <w:highlight w:val="none"/>
              </w:rPr>
            </w:r>
            <w:r/>
          </w:p>
        </w:tc>
      </w:tr>
      <w:tr>
        <w:trPr>
          <w:cantSplit/>
          <w:trHeight w:val="623"/>
        </w:trPr>
        <w:tc>
          <w:tcPr>
            <w:shd w:val="clear" w:color="auto" w:fill="auto"/>
            <w:tcW w:w="637" w:type="dxa"/>
            <w:vAlign w:val="center"/>
            <w:textDirection w:val="lrTb"/>
            <w:noWrap w:val="false"/>
          </w:tcPr>
          <w:p>
            <w:pPr>
              <w:jc w:val="center"/>
              <w:spacing w:after="0"/>
              <w:rPr>
                <w:rFonts w:ascii="Calibri" w:hAnsi="宋体" w:eastAsia="宋体" w:cs="宋体"/>
                <w:color w:val="auto"/>
                <w:sz w:val="24"/>
                <w:szCs w:val="22"/>
                <w:highlight w:val="none"/>
                <w:lang w:val="en-US" w:eastAsia="zh-CN" w:bidi="ar-SA"/>
              </w:rPr>
            </w:pPr>
            <w:r>
              <w:rPr>
                <w:color w:val="auto"/>
                <w:sz w:val="24"/>
                <w:highlight w:val="none"/>
              </w:rPr>
              <w:t xml:space="preserve">3</w:t>
            </w:r>
            <w:r/>
          </w:p>
        </w:tc>
        <w:tc>
          <w:tcPr>
            <w:tcW w:w="1894" w:type="dxa"/>
            <w:vAlign w:val="center"/>
            <w:textDirection w:val="lrTb"/>
            <w:noWrap w:val="false"/>
          </w:tcPr>
          <w:p>
            <w:pPr>
              <w:jc w:val="center"/>
              <w:spacing w:after="0"/>
              <w:rPr>
                <w:rFonts w:hint="eastAsia" w:ascii="宋体" w:hAnsi="宋体"/>
                <w:color w:val="auto"/>
                <w:sz w:val="24"/>
                <w:highlight w:val="none"/>
              </w:rPr>
            </w:pPr>
            <w:r>
              <w:rPr>
                <w:rFonts w:hint="eastAsia" w:ascii="宋体" w:hAnsi="宋体"/>
                <w:color w:val="auto"/>
                <w:sz w:val="24"/>
                <w:highlight w:val="none"/>
              </w:rPr>
              <w:t xml:space="preserve">施工准备时间</w:t>
            </w:r>
            <w:r/>
          </w:p>
        </w:tc>
        <w:tc>
          <w:tcPr>
            <w:tcW w:w="6247" w:type="dxa"/>
            <w:vAlign w:val="center"/>
            <w:textDirection w:val="lrTb"/>
            <w:noWrap w:val="false"/>
          </w:tcPr>
          <w:p>
            <w:pPr>
              <w:jc w:val="both"/>
              <w:spacing w:after="0" w:line="240" w:lineRule="auto"/>
              <w:rPr>
                <w:rFonts w:hint="eastAsia" w:hAnsi="宋体"/>
                <w:color w:val="auto"/>
                <w:sz w:val="24"/>
                <w:highlight w:val="none"/>
              </w:rPr>
            </w:pPr>
            <w:r>
              <w:rPr>
                <w:rFonts w:hint="eastAsia" w:hAnsi="宋体"/>
                <w:color w:val="auto"/>
                <w:sz w:val="24"/>
                <w:highlight w:val="none"/>
              </w:rPr>
              <w:t xml:space="preserve">签订合同后</w:t>
            </w:r>
            <w:r>
              <w:rPr>
                <w:rFonts w:hint="eastAsia" w:hAnsi="宋体"/>
                <w:color w:val="auto"/>
                <w:sz w:val="24"/>
                <w:highlight w:val="none"/>
                <w:lang w:eastAsia="zh-CN"/>
              </w:rPr>
              <w:t xml:space="preserve">（</w:t>
            </w:r>
            <w:r>
              <w:rPr>
                <w:rFonts w:hint="eastAsia" w:hAnsi="宋体"/>
                <w:color w:val="auto"/>
                <w:sz w:val="24"/>
                <w:highlight w:val="none"/>
                <w:lang w:val="en-US" w:eastAsia="zh-CN"/>
              </w:rPr>
              <w:t xml:space="preserve">  </w:t>
            </w:r>
            <w:r>
              <w:rPr>
                <w:rFonts w:hint="eastAsia" w:hAnsi="宋体"/>
                <w:color w:val="auto"/>
                <w:sz w:val="24"/>
                <w:highlight w:val="none"/>
                <w:lang w:eastAsia="zh-CN"/>
              </w:rPr>
              <w:t xml:space="preserve">）</w:t>
            </w:r>
            <w:r>
              <w:rPr>
                <w:rFonts w:hint="eastAsia" w:hAnsi="宋体"/>
                <w:color w:val="auto"/>
                <w:sz w:val="24"/>
                <w:highlight w:val="none"/>
              </w:rPr>
              <w:t xml:space="preserve">天</w:t>
            </w:r>
            <w:r/>
          </w:p>
        </w:tc>
      </w:tr>
      <w:tr>
        <w:trPr>
          <w:cantSplit/>
          <w:trHeight w:val="683"/>
        </w:trPr>
        <w:tc>
          <w:tcPr>
            <w:shd w:val="clear" w:color="auto" w:fill="auto"/>
            <w:tcW w:w="637" w:type="dxa"/>
            <w:vAlign w:val="center"/>
            <w:textDirection w:val="lrTb"/>
            <w:noWrap w:val="false"/>
          </w:tcPr>
          <w:p>
            <w:pPr>
              <w:jc w:val="center"/>
              <w:spacing w:after="0"/>
              <w:rPr>
                <w:rFonts w:ascii="Calibri" w:hAnsi="宋体" w:eastAsia="宋体" w:cs="宋体"/>
                <w:color w:val="auto"/>
                <w:sz w:val="24"/>
                <w:szCs w:val="22"/>
                <w:highlight w:val="none"/>
                <w:lang w:val="en-US" w:eastAsia="zh-CN" w:bidi="ar-SA"/>
              </w:rPr>
            </w:pPr>
            <w:r>
              <w:rPr>
                <w:rFonts w:hint="eastAsia"/>
                <w:color w:val="auto"/>
                <w:sz w:val="24"/>
                <w:highlight w:val="none"/>
              </w:rPr>
              <w:t xml:space="preserve">4</w:t>
            </w:r>
            <w:r/>
          </w:p>
        </w:tc>
        <w:tc>
          <w:tcPr>
            <w:tcW w:w="1894" w:type="dxa"/>
            <w:vAlign w:val="center"/>
            <w:textDirection w:val="lrTb"/>
            <w:noWrap w:val="false"/>
          </w:tcPr>
          <w:p>
            <w:pPr>
              <w:jc w:val="center"/>
              <w:spacing w:after="0"/>
              <w:rPr>
                <w:rFonts w:hAnsi="宋体"/>
                <w:color w:val="auto"/>
                <w:sz w:val="24"/>
                <w:highlight w:val="none"/>
              </w:rPr>
            </w:pPr>
            <w:r>
              <w:rPr>
                <w:rFonts w:hint="eastAsia" w:hAnsi="宋体"/>
                <w:color w:val="auto"/>
                <w:sz w:val="24"/>
                <w:highlight w:val="none"/>
              </w:rPr>
              <w:t xml:space="preserve">质量标准</w:t>
            </w:r>
            <w:r/>
          </w:p>
        </w:tc>
        <w:tc>
          <w:tcPr>
            <w:tcW w:w="6247" w:type="dxa"/>
            <w:vAlign w:val="center"/>
            <w:textDirection w:val="lrTb"/>
            <w:noWrap w:val="false"/>
          </w:tcPr>
          <w:p>
            <w:pPr>
              <w:jc w:val="both"/>
              <w:spacing w:after="0" w:line="240" w:lineRule="auto"/>
              <w:rPr>
                <w:rFonts w:hAnsi="宋体"/>
                <w:color w:val="auto"/>
                <w:sz w:val="24"/>
                <w:highlight w:val="none"/>
              </w:rPr>
            </w:pPr>
            <w:r>
              <w:rPr>
                <w:rFonts w:hAnsi="宋体"/>
                <w:color w:val="auto"/>
                <w:sz w:val="24"/>
                <w:highlight w:val="none"/>
              </w:rPr>
            </w:r>
            <w:r/>
          </w:p>
        </w:tc>
      </w:tr>
      <w:tr>
        <w:trPr>
          <w:cantSplit/>
          <w:trHeight w:val="1400"/>
        </w:trPr>
        <w:tc>
          <w:tcPr>
            <w:shd w:val="clear" w:color="auto" w:fill="auto"/>
            <w:tcW w:w="637" w:type="dxa"/>
            <w:vAlign w:val="center"/>
            <w:textDirection w:val="lrTb"/>
            <w:noWrap w:val="false"/>
          </w:tcPr>
          <w:p>
            <w:pPr>
              <w:jc w:val="center"/>
              <w:spacing w:after="0"/>
              <w:rPr>
                <w:rFonts w:ascii="Calibri" w:hAnsi="宋体" w:eastAsia="宋体" w:cs="宋体"/>
                <w:color w:val="auto"/>
                <w:sz w:val="24"/>
                <w:szCs w:val="22"/>
                <w:highlight w:val="none"/>
                <w:lang w:val="en-US" w:eastAsia="zh-CN" w:bidi="ar-SA"/>
              </w:rPr>
            </w:pPr>
            <w:r>
              <w:rPr>
                <w:rFonts w:hint="eastAsia" w:hAnsi="宋体"/>
                <w:color w:val="auto"/>
                <w:sz w:val="24"/>
                <w:highlight w:val="none"/>
              </w:rPr>
              <w:t xml:space="preserve">5</w:t>
            </w:r>
            <w:r/>
          </w:p>
        </w:tc>
        <w:tc>
          <w:tcPr>
            <w:tcW w:w="1894" w:type="dxa"/>
            <w:vAlign w:val="center"/>
            <w:textDirection w:val="lrTb"/>
            <w:noWrap w:val="false"/>
          </w:tcPr>
          <w:p>
            <w:pPr>
              <w:jc w:val="center"/>
              <w:spacing w:after="0"/>
              <w:rPr>
                <w:rFonts w:hAnsi="宋体"/>
                <w:color w:val="auto"/>
                <w:sz w:val="24"/>
                <w:highlight w:val="none"/>
              </w:rPr>
            </w:pPr>
            <w:r>
              <w:rPr>
                <w:rFonts w:hint="eastAsia" w:ascii="宋体" w:hAnsi="宋体"/>
                <w:color w:val="auto"/>
                <w:sz w:val="24"/>
                <w:highlight w:val="none"/>
              </w:rPr>
              <w:t xml:space="preserve">项目经理</w:t>
            </w:r>
            <w:r/>
          </w:p>
        </w:tc>
        <w:tc>
          <w:tcPr>
            <w:tcW w:w="6247" w:type="dxa"/>
            <w:vAlign w:val="center"/>
            <w:textDirection w:val="lrTb"/>
            <w:noWrap w:val="false"/>
          </w:tcPr>
          <w:p>
            <w:pPr>
              <w:jc w:val="both"/>
              <w:spacing w:after="0" w:line="240" w:lineRule="auto"/>
              <w:rPr>
                <w:rFonts w:hAnsi="宋体"/>
                <w:color w:val="auto"/>
                <w:sz w:val="24"/>
                <w:highlight w:val="none"/>
              </w:rPr>
            </w:pPr>
            <w:r>
              <w:rPr>
                <w:rFonts w:hint="eastAsia" w:hAnsi="宋体"/>
                <w:color w:val="auto"/>
                <w:sz w:val="24"/>
                <w:highlight w:val="none"/>
              </w:rPr>
              <w:t xml:space="preserve">姓名：</w:t>
            </w:r>
            <w:r/>
          </w:p>
          <w:p>
            <w:pPr>
              <w:jc w:val="both"/>
              <w:spacing w:after="0" w:line="240" w:lineRule="auto"/>
              <w:rPr>
                <w:rFonts w:hAnsi="宋体"/>
                <w:color w:val="auto"/>
                <w:sz w:val="24"/>
                <w:highlight w:val="none"/>
              </w:rPr>
            </w:pPr>
            <w:r>
              <w:rPr>
                <w:rFonts w:hint="eastAsia" w:hAnsi="宋体"/>
                <w:color w:val="auto"/>
                <w:sz w:val="24"/>
                <w:highlight w:val="none"/>
              </w:rPr>
              <w:t xml:space="preserve">身份证号码：</w:t>
            </w:r>
            <w:r/>
          </w:p>
          <w:p>
            <w:pPr>
              <w:jc w:val="both"/>
              <w:spacing w:after="0" w:line="240" w:lineRule="auto"/>
              <w:rPr>
                <w:rFonts w:hAnsi="宋体"/>
                <w:color w:val="auto"/>
                <w:sz w:val="24"/>
                <w:highlight w:val="none"/>
              </w:rPr>
            </w:pPr>
            <w:r>
              <w:rPr>
                <w:rFonts w:hint="eastAsia" w:hAnsi="宋体"/>
                <w:color w:val="auto"/>
                <w:sz w:val="24"/>
                <w:highlight w:val="none"/>
              </w:rPr>
              <w:t xml:space="preserve">建造师证号：</w:t>
            </w:r>
            <w:r/>
          </w:p>
          <w:p>
            <w:pPr>
              <w:jc w:val="both"/>
              <w:spacing w:after="0" w:line="240" w:lineRule="auto"/>
              <w:rPr>
                <w:rFonts w:hAnsi="宋体"/>
                <w:color w:val="auto"/>
                <w:sz w:val="24"/>
                <w:highlight w:val="none"/>
              </w:rPr>
            </w:pPr>
            <w:r>
              <w:rPr>
                <w:rFonts w:hint="eastAsia" w:hAnsi="宋体"/>
                <w:color w:val="auto"/>
                <w:sz w:val="24"/>
                <w:highlight w:val="none"/>
              </w:rPr>
              <w:t xml:space="preserve">联系方式：</w:t>
            </w:r>
            <w:r/>
          </w:p>
        </w:tc>
      </w:tr>
      <w:tr>
        <w:trPr>
          <w:cantSplit/>
          <w:trHeight w:val="1329"/>
        </w:trPr>
        <w:tc>
          <w:tcPr>
            <w:tcW w:w="637" w:type="dxa"/>
            <w:vAlign w:val="center"/>
            <w:textDirection w:val="lrTb"/>
            <w:noWrap w:val="false"/>
          </w:tcPr>
          <w:p>
            <w:pPr>
              <w:jc w:val="center"/>
              <w:spacing w:after="0"/>
              <w:rPr>
                <w:rFonts w:hint="eastAsia" w:hAnsi="宋体" w:eastAsia="宋体"/>
                <w:color w:val="auto"/>
                <w:sz w:val="24"/>
                <w:highlight w:val="none"/>
                <w:lang w:val="en-US" w:eastAsia="zh-CN"/>
              </w:rPr>
            </w:pPr>
            <w:r>
              <w:rPr>
                <w:rFonts w:hint="eastAsia" w:hAnsi="宋体"/>
                <w:color w:val="auto"/>
                <w:sz w:val="24"/>
                <w:highlight w:val="none"/>
                <w:lang w:val="en-US" w:eastAsia="zh-CN"/>
              </w:rPr>
              <w:t xml:space="preserve">6</w:t>
            </w:r>
            <w:r/>
          </w:p>
        </w:tc>
        <w:tc>
          <w:tcPr>
            <w:tcW w:w="1894" w:type="dxa"/>
            <w:vAlign w:val="center"/>
            <w:textDirection w:val="lrTb"/>
            <w:noWrap w:val="false"/>
          </w:tcPr>
          <w:p>
            <w:pPr>
              <w:jc w:val="center"/>
              <w:spacing w:after="0"/>
              <w:rPr>
                <w:rFonts w:hAnsi="宋体"/>
                <w:color w:val="auto"/>
                <w:sz w:val="24"/>
                <w:highlight w:val="none"/>
              </w:rPr>
            </w:pPr>
            <w:r>
              <w:rPr>
                <w:rFonts w:hint="eastAsia" w:hAnsi="宋体"/>
                <w:color w:val="auto"/>
                <w:sz w:val="24"/>
                <w:highlight w:val="none"/>
              </w:rPr>
              <w:t xml:space="preserve">是否属于小、微型企业/监狱企业/残疾人福利性单位</w:t>
            </w:r>
            <w:r/>
          </w:p>
        </w:tc>
        <w:tc>
          <w:tcPr>
            <w:tcW w:w="6247" w:type="dxa"/>
            <w:vAlign w:val="center"/>
            <w:textDirection w:val="lrTb"/>
            <w:noWrap w:val="false"/>
          </w:tcPr>
          <w:p>
            <w:pPr>
              <w:jc w:val="both"/>
              <w:spacing w:after="0" w:line="240" w:lineRule="auto"/>
              <w:rPr>
                <w:rFonts w:hAnsi="宋体"/>
                <w:color w:val="auto"/>
                <w:sz w:val="24"/>
                <w:highlight w:val="none"/>
              </w:rPr>
            </w:pPr>
            <w:r>
              <w:rPr>
                <w:rFonts w:hAnsi="宋体"/>
                <w:color w:val="auto"/>
                <w:sz w:val="24"/>
                <w:highlight w:val="none"/>
              </w:rPr>
            </w:r>
            <w:r/>
          </w:p>
        </w:tc>
      </w:tr>
    </w:tbl>
    <w:p>
      <w:pPr>
        <w:ind w:firstLine="482"/>
        <w:spacing w:after="0" w:line="360" w:lineRule="auto"/>
        <w:rPr>
          <w:rFonts w:ascii="宋体" w:hAnsi="宋体"/>
          <w:bCs/>
          <w:color w:val="auto"/>
          <w:sz w:val="24"/>
          <w:highlight w:val="none"/>
        </w:rPr>
      </w:pPr>
      <w:r>
        <w:rPr>
          <w:rFonts w:hint="eastAsia" w:ascii="宋体" w:hAnsi="宋体"/>
          <w:b/>
          <w:color w:val="auto"/>
          <w:sz w:val="24"/>
          <w:highlight w:val="none"/>
        </w:rPr>
        <w:t xml:space="preserve">填写说明：</w:t>
      </w:r>
      <w:r>
        <w:rPr>
          <w:rFonts w:hint="eastAsia" w:ascii="宋体" w:hAnsi="宋体"/>
          <w:bCs/>
          <w:color w:val="auto"/>
          <w:sz w:val="24"/>
          <w:highlight w:val="none"/>
        </w:rPr>
        <w:t xml:space="preserve">开标一览表中的内容应与投标函内容一致，否则评标时一律按开标一览表中内容为准，开标一览表中必须盖章或签字。</w:t>
      </w:r>
      <w:r/>
    </w:p>
    <w:p>
      <w:pPr>
        <w:spacing w:after="0" w:line="480" w:lineRule="auto"/>
        <w:rPr>
          <w:rFonts w:ascii="宋体" w:hAnsi="宋体"/>
          <w:b/>
          <w:bCs/>
          <w:color w:val="auto"/>
          <w:sz w:val="24"/>
          <w:highlight w:val="none"/>
        </w:rPr>
      </w:pPr>
      <w:r>
        <w:rPr>
          <w:rFonts w:hint="eastAsia" w:ascii="宋体" w:hAnsi="宋体"/>
          <w:b/>
          <w:bCs/>
          <w:color w:val="auto"/>
          <w:sz w:val="24"/>
          <w:highlight w:val="none"/>
        </w:rPr>
        <w:t xml:space="preserve">法定代表人或法定代表人授权代表（签字或盖章）：</w:t>
      </w:r>
      <w:r/>
    </w:p>
    <w:p>
      <w:pPr>
        <w:spacing w:after="0" w:line="480" w:lineRule="auto"/>
        <w:rPr>
          <w:rFonts w:ascii="宋体" w:hAnsi="宋体"/>
          <w:b/>
          <w:bCs/>
          <w:color w:val="auto"/>
          <w:sz w:val="24"/>
          <w:highlight w:val="none"/>
          <w:u w:val="single"/>
        </w:rPr>
      </w:pPr>
      <w:r>
        <w:rPr>
          <w:rFonts w:hint="eastAsia" w:ascii="宋体" w:hAnsi="宋体"/>
          <w:b/>
          <w:bCs/>
          <w:color w:val="auto"/>
          <w:sz w:val="24"/>
          <w:highlight w:val="none"/>
        </w:rPr>
        <w:t xml:space="preserve">授 权 代 表（签字）： </w:t>
      </w:r>
      <w:r>
        <w:rPr>
          <w:rFonts w:hint="eastAsia" w:ascii="宋体" w:hAnsi="宋体"/>
          <w:b/>
          <w:bCs/>
          <w:color w:val="auto"/>
          <w:sz w:val="24"/>
          <w:highlight w:val="none"/>
          <w:u w:val="single"/>
        </w:rPr>
        <w:t xml:space="preserve">                     </w:t>
      </w:r>
      <w:r/>
    </w:p>
    <w:p>
      <w:pPr>
        <w:spacing w:after="0" w:line="480" w:lineRule="auto"/>
        <w:rPr>
          <w:rFonts w:ascii="宋体" w:hAnsi="宋体"/>
          <w:b/>
          <w:bCs/>
          <w:color w:val="auto"/>
          <w:sz w:val="24"/>
          <w:highlight w:val="none"/>
        </w:rPr>
      </w:pPr>
      <w:r>
        <w:rPr>
          <w:rFonts w:hint="eastAsia" w:ascii="宋体" w:hAnsi="宋体"/>
          <w:b/>
          <w:bCs/>
          <w:color w:val="auto"/>
          <w:sz w:val="24"/>
          <w:highlight w:val="none"/>
        </w:rPr>
        <w:t xml:space="preserve">年    月    日</w:t>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spacing w:after="0"/>
        <w:rPr>
          <w:rFonts w:ascii="宋体" w:hAnsi="宋体"/>
          <w:b/>
          <w:color w:val="auto"/>
          <w:sz w:val="32"/>
          <w:szCs w:val="32"/>
          <w:highlight w:val="none"/>
        </w:rPr>
        <w:outlineLvl w:val="2"/>
      </w:pPr>
      <w:r>
        <w:rPr>
          <w:rFonts w:ascii="宋体" w:hAnsi="宋体"/>
          <w:b/>
          <w:color w:val="auto"/>
          <w:sz w:val="32"/>
          <w:szCs w:val="32"/>
          <w:highlight w:val="none"/>
        </w:rPr>
      </w:r>
      <w:r/>
    </w:p>
    <w:p>
      <w:pPr>
        <w:pStyle w:val="843"/>
        <w:rPr>
          <w:color w:val="auto"/>
          <w:highlight w:val="none"/>
        </w:rPr>
      </w:pPr>
      <w:r>
        <w:rPr>
          <w:color w:val="auto"/>
          <w:highlight w:val="none"/>
        </w:rPr>
      </w:r>
      <w:r/>
    </w:p>
    <w:p>
      <w:pPr>
        <w:pStyle w:val="1040"/>
        <w:ind w:left="0" w:right="34"/>
        <w:rPr>
          <w:rFonts w:hAnsi="宋体"/>
          <w:color w:val="auto"/>
          <w:highlight w:val="none"/>
        </w:rPr>
        <w:outlineLvl w:val="1"/>
      </w:pPr>
      <w:r>
        <w:rPr>
          <w:rFonts w:hint="eastAsia" w:hAnsi="宋体"/>
          <w:b/>
          <w:color w:val="auto"/>
          <w:sz w:val="32"/>
          <w:szCs w:val="32"/>
          <w:highlight w:val="none"/>
        </w:rPr>
        <w:t xml:space="preserve">（九）</w:t>
      </w:r>
      <w:r>
        <w:rPr>
          <w:rFonts w:hint="eastAsia" w:hAnsi="宋体"/>
          <w:b/>
          <w:color w:val="auto"/>
          <w:sz w:val="30"/>
          <w:szCs w:val="30"/>
          <w:highlight w:val="none"/>
        </w:rPr>
        <w:t xml:space="preserve">实施项目管理机构配备情况：</w:t>
      </w:r>
      <w:r/>
    </w:p>
    <w:p>
      <w:pPr>
        <w:jc w:val="center"/>
        <w:rPr>
          <w:rFonts w:ascii="黑体" w:hAnsi="宋体" w:eastAsia="黑体"/>
          <w:bCs/>
          <w:color w:val="auto"/>
          <w:sz w:val="24"/>
          <w:highlight w:val="none"/>
        </w:rPr>
      </w:pPr>
      <w:r>
        <w:rPr>
          <w:rFonts w:hint="eastAsia" w:ascii="黑体" w:hAnsi="宋体" w:eastAsia="黑体"/>
          <w:bCs/>
          <w:color w:val="auto"/>
          <w:sz w:val="24"/>
          <w:highlight w:val="none"/>
        </w:rPr>
        <w:t xml:space="preserve">（1）项目管理机构配备情况表</w:t>
      </w:r>
      <w:r/>
    </w:p>
    <w:p>
      <w:pPr>
        <w:spacing w:after="120" w:line="360" w:lineRule="auto"/>
        <w:rPr>
          <w:rFonts w:ascii="宋体" w:hAnsi="宋体"/>
          <w:color w:val="auto"/>
          <w:sz w:val="24"/>
          <w:highlight w:val="none"/>
        </w:rPr>
      </w:pPr>
      <w:r>
        <w:rPr>
          <w:rFonts w:hint="eastAsia" w:ascii="宋体" w:hAnsi="宋体"/>
          <w:color w:val="auto"/>
          <w:sz w:val="24"/>
          <w:highlight w:val="none"/>
        </w:rPr>
        <w:t xml:space="preserve">项目</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highlight w:val="none"/>
        </w:rPr>
        <w:t xml:space="preserve">表1</w:t>
      </w:r>
      <w:r/>
    </w:p>
    <w:tbl>
      <w:tblPr>
        <w:tblStyle w:val="838"/>
        <w:tblW w:w="94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职务</w:t>
            </w:r>
            <w:r/>
          </w:p>
        </w:tc>
        <w:tc>
          <w:tcPr>
            <w:tcW w:w="686" w:type="dxa"/>
            <w:vAlign w:val="center"/>
            <w:vMerge w:val="restart"/>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姓名</w:t>
            </w:r>
            <w:r/>
          </w:p>
        </w:tc>
        <w:tc>
          <w:tcPr>
            <w:tcW w:w="686" w:type="dxa"/>
            <w:vAlign w:val="center"/>
            <w:vMerge w:val="restart"/>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职称</w:t>
            </w:r>
            <w:r/>
          </w:p>
        </w:tc>
        <w:tc>
          <w:tcPr>
            <w:gridSpan w:val="6"/>
            <w:tcW w:w="5081"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执业或职业资格证明</w:t>
            </w:r>
            <w:r/>
          </w:p>
        </w:tc>
        <w:tc>
          <w:tcPr>
            <w:gridSpan w:val="2"/>
            <w:tcW w:w="2310"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已承担项目情况</w:t>
            </w:r>
            <w:r/>
          </w:p>
        </w:tc>
      </w:tr>
      <w:tr>
        <w:trPr>
          <w:cantSplit/>
          <w:trHeight w:val="444"/>
        </w:trPr>
        <w:tc>
          <w:tcPr>
            <w:tcW w:w="690" w:type="dxa"/>
            <w:vMerge w:val="continue"/>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686" w:type="dxa"/>
            <w:vMerge w:val="continue"/>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686" w:type="dxa"/>
            <w:vMerge w:val="continue"/>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1207"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证书名称</w:t>
            </w:r>
            <w:r/>
          </w:p>
        </w:tc>
        <w:tc>
          <w:tcPr>
            <w:tcW w:w="808"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级别</w:t>
            </w:r>
            <w:r/>
          </w:p>
        </w:tc>
        <w:tc>
          <w:tcPr>
            <w:tcW w:w="738"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证号</w:t>
            </w:r>
            <w:r/>
          </w:p>
        </w:tc>
        <w:tc>
          <w:tcPr>
            <w:tcW w:w="773"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专业</w:t>
            </w:r>
            <w:r/>
          </w:p>
        </w:tc>
        <w:tc>
          <w:tcPr>
            <w:tcW w:w="735"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身份证号</w:t>
            </w:r>
            <w:r/>
          </w:p>
        </w:tc>
        <w:tc>
          <w:tcPr>
            <w:tcW w:w="820"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原服务单位</w:t>
            </w:r>
            <w:r/>
          </w:p>
        </w:tc>
        <w:tc>
          <w:tcPr>
            <w:tcW w:w="1065"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项目数</w:t>
            </w:r>
            <w:r/>
          </w:p>
        </w:tc>
        <w:tc>
          <w:tcPr>
            <w:tcW w:w="1245" w:type="dxa"/>
            <w:vAlign w:val="center"/>
            <w:textDirection w:val="lrTb"/>
            <w:noWrap w:val="false"/>
          </w:tcPr>
          <w:p>
            <w:pPr>
              <w:jc w:val="center"/>
              <w:spacing w:line="240" w:lineRule="auto"/>
              <w:rPr>
                <w:rFonts w:ascii="宋体" w:hAnsi="宋体"/>
                <w:color w:val="auto"/>
                <w:szCs w:val="21"/>
                <w:highlight w:val="none"/>
              </w:rPr>
            </w:pPr>
            <w:r>
              <w:rPr>
                <w:rFonts w:hint="eastAsia" w:ascii="宋体" w:hAnsi="宋体"/>
                <w:color w:val="auto"/>
                <w:szCs w:val="21"/>
                <w:highlight w:val="none"/>
              </w:rPr>
              <w:t xml:space="preserve">主要项目名称</w:t>
            </w:r>
            <w:r/>
          </w:p>
        </w:tc>
      </w:tr>
      <w:tr>
        <w:trPr>
          <w:trHeight w:val="660"/>
        </w:trPr>
        <w:tc>
          <w:tcPr>
            <w:tcW w:w="690"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686"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686"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1207"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808"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738"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773"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735"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820"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1065"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1245"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trHeight w:val="660"/>
        </w:trPr>
        <w:tc>
          <w:tcPr>
            <w:tcW w:w="690"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686"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686"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1207"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808"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738"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773"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735"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820"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1065"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1245"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trHeight w:val="660"/>
        </w:trPr>
        <w:tc>
          <w:tcPr>
            <w:tcW w:w="690"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686"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686"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1207"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808"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738"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773"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735"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820"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1065"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c>
          <w:tcPr>
            <w:tcW w:w="1245" w:type="dxa"/>
            <w:textDirection w:val="lrTb"/>
            <w:noWrap w:val="false"/>
          </w:tcPr>
          <w:p>
            <w:pPr>
              <w:spacing w:line="240" w:lineRule="auto"/>
              <w:rPr>
                <w:rFonts w:ascii="宋体" w:hAnsi="宋体"/>
                <w:color w:val="auto"/>
                <w:szCs w:val="21"/>
                <w:highlight w:val="none"/>
              </w:rPr>
            </w:pPr>
            <w:r>
              <w:rPr>
                <w:rFonts w:ascii="宋体" w:hAnsi="宋体"/>
                <w:color w:val="auto"/>
                <w:szCs w:val="21"/>
                <w:highlight w:val="none"/>
              </w:rPr>
            </w:r>
            <w:r/>
          </w:p>
        </w:tc>
      </w:tr>
      <w:tr>
        <w:trPr>
          <w:cantSplit/>
          <w:trHeight w:val="979"/>
        </w:trPr>
        <w:tc>
          <w:tcPr>
            <w:gridSpan w:val="11"/>
            <w:tcW w:w="9453" w:type="dxa"/>
            <w:textDirection w:val="lrTb"/>
            <w:noWrap w:val="false"/>
          </w:tcPr>
          <w:p>
            <w:pPr>
              <w:ind w:firstLine="360"/>
              <w:spacing w:line="240" w:lineRule="auto"/>
              <w:rPr>
                <w:rFonts w:ascii="宋体" w:hAnsi="宋体"/>
                <w:color w:val="auto"/>
                <w:szCs w:val="21"/>
                <w:highlight w:val="none"/>
              </w:rPr>
            </w:pPr>
            <w:r>
              <w:rPr>
                <w:rFonts w:hint="eastAsia" w:ascii="宋体" w:hAnsi="宋体"/>
                <w:color w:val="auto"/>
                <w:szCs w:val="21"/>
                <w:highlight w:val="none"/>
              </w:rPr>
              <w:t xml:space="preserve">一旦我单位中标，将实行项目经理负责制，我方保证并配备上述项目管理机构。上述填报内容真实，若不真实，愿按有关规定接受处理。项目管理班子机构设置、职责分工等情况另附资料说明。             </w:t>
            </w:r>
            <w:r/>
          </w:p>
        </w:tc>
      </w:tr>
    </w:tbl>
    <w:p>
      <w:pPr>
        <w:rPr>
          <w:color w:val="auto"/>
          <w:highlight w:val="none"/>
        </w:rPr>
      </w:pPr>
      <w:r>
        <w:rPr>
          <w:color w:val="auto"/>
          <w:highlight w:val="none"/>
        </w:rPr>
      </w:r>
      <w:r/>
    </w:p>
    <w:p>
      <w:pPr>
        <w:jc w:val="center"/>
        <w:rPr>
          <w:rFonts w:hAnsi="宋体"/>
          <w:color w:val="auto"/>
          <w:sz w:val="24"/>
          <w:highlight w:val="none"/>
        </w:rPr>
      </w:pPr>
      <w:r>
        <w:rPr>
          <w:rFonts w:hint="eastAsia" w:hAnsi="宋体"/>
          <w:color w:val="auto"/>
          <w:sz w:val="24"/>
          <w:highlight w:val="none"/>
        </w:rPr>
        <w:t xml:space="preserve">（2）项目经理简历表</w:t>
      </w:r>
      <w:r/>
    </w:p>
    <w:p>
      <w:pPr>
        <w:rPr>
          <w:rFonts w:ascii="宋体" w:hAnsi="宋体"/>
          <w:color w:val="auto"/>
          <w:highlight w:val="none"/>
        </w:rPr>
      </w:pPr>
      <w:r>
        <w:rPr>
          <w:rFonts w:hint="eastAsia" w:ascii="宋体" w:hAnsi="宋体"/>
          <w:color w:val="auto"/>
          <w:sz w:val="24"/>
          <w:highlight w:val="none"/>
        </w:rPr>
        <w:t xml:space="preserve">项目</w:t>
      </w:r>
      <w:r>
        <w:rPr>
          <w:rFonts w:hint="eastAsia" w:ascii="宋体" w:hAnsi="宋体"/>
          <w:color w:val="auto"/>
          <w:highlight w:val="none"/>
        </w:rPr>
        <w:t xml:space="preserve">表2  </w:t>
      </w:r>
      <w:r/>
    </w:p>
    <w:tbl>
      <w:tblPr>
        <w:tblStyle w:val="838"/>
        <w:tblW w:w="9167"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817"/>
      </w:tblGrid>
      <w:tr>
        <w:trPr>
          <w:trHeight w:val="600"/>
        </w:trPr>
        <w:tc>
          <w:tcPr>
            <w:tcW w:w="735" w:type="dxa"/>
            <w:vAlign w:val="center"/>
            <w:textDirection w:val="lrTb"/>
            <w:noWrap w:val="false"/>
          </w:tcPr>
          <w:p>
            <w:pPr>
              <w:jc w:val="center"/>
              <w:spacing w:line="240" w:lineRule="auto"/>
              <w:rPr>
                <w:rFonts w:ascii="宋体" w:hAnsi="宋体"/>
                <w:color w:val="auto"/>
                <w:sz w:val="24"/>
                <w:highlight w:val="none"/>
              </w:rPr>
            </w:pPr>
            <w:r>
              <w:rPr>
                <w:rFonts w:hint="eastAsia" w:ascii="宋体" w:hAnsi="宋体"/>
                <w:color w:val="auto"/>
                <w:sz w:val="24"/>
                <w:highlight w:val="none"/>
              </w:rPr>
              <w:t xml:space="preserve">姓名</w:t>
            </w:r>
            <w:r/>
          </w:p>
        </w:tc>
        <w:tc>
          <w:tcPr>
            <w:gridSpan w:val="4"/>
            <w:tcW w:w="2610"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c>
          <w:tcPr>
            <w:tcW w:w="840" w:type="dxa"/>
            <w:vAlign w:val="center"/>
            <w:textDirection w:val="lrTb"/>
            <w:noWrap w:val="false"/>
          </w:tcPr>
          <w:p>
            <w:pPr>
              <w:jc w:val="center"/>
              <w:spacing w:line="240" w:lineRule="auto"/>
              <w:rPr>
                <w:rFonts w:ascii="宋体" w:hAnsi="宋体"/>
                <w:color w:val="auto"/>
                <w:sz w:val="24"/>
                <w:highlight w:val="none"/>
              </w:rPr>
            </w:pPr>
            <w:r>
              <w:rPr>
                <w:rFonts w:hint="eastAsia" w:ascii="宋体" w:hAnsi="宋体"/>
                <w:color w:val="auto"/>
                <w:sz w:val="24"/>
                <w:highlight w:val="none"/>
              </w:rPr>
              <w:t xml:space="preserve">性别</w:t>
            </w:r>
            <w:r/>
          </w:p>
        </w:tc>
        <w:tc>
          <w:tcPr>
            <w:gridSpan w:val="3"/>
            <w:tcW w:w="1680"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c>
          <w:tcPr>
            <w:gridSpan w:val="2"/>
            <w:tcW w:w="1080" w:type="dxa"/>
            <w:vAlign w:val="center"/>
            <w:textDirection w:val="lrTb"/>
            <w:noWrap w:val="false"/>
          </w:tcPr>
          <w:p>
            <w:pPr>
              <w:jc w:val="center"/>
              <w:spacing w:line="240" w:lineRule="auto"/>
              <w:rPr>
                <w:rFonts w:ascii="宋体" w:hAnsi="宋体"/>
                <w:color w:val="auto"/>
                <w:sz w:val="24"/>
                <w:highlight w:val="none"/>
              </w:rPr>
            </w:pPr>
            <w:r>
              <w:rPr>
                <w:rFonts w:hint="eastAsia" w:ascii="宋体" w:hAnsi="宋体"/>
                <w:color w:val="auto"/>
                <w:sz w:val="24"/>
                <w:highlight w:val="none"/>
              </w:rPr>
              <w:t xml:space="preserve">年龄</w:t>
            </w:r>
            <w:r/>
          </w:p>
        </w:tc>
        <w:tc>
          <w:tcPr>
            <w:gridSpan w:val="2"/>
            <w:tcW w:w="2222"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r>
      <w:tr>
        <w:trPr>
          <w:trHeight w:val="623"/>
        </w:trPr>
        <w:tc>
          <w:tcPr>
            <w:tcW w:w="735" w:type="dxa"/>
            <w:vAlign w:val="center"/>
            <w:textDirection w:val="lrTb"/>
            <w:noWrap w:val="false"/>
          </w:tcPr>
          <w:p>
            <w:pPr>
              <w:jc w:val="center"/>
              <w:spacing w:line="240" w:lineRule="auto"/>
              <w:rPr>
                <w:rFonts w:ascii="宋体" w:hAnsi="宋体"/>
                <w:color w:val="auto"/>
                <w:sz w:val="24"/>
                <w:highlight w:val="none"/>
              </w:rPr>
            </w:pPr>
            <w:r>
              <w:rPr>
                <w:rFonts w:hint="eastAsia" w:ascii="宋体" w:hAnsi="宋体"/>
                <w:color w:val="auto"/>
                <w:sz w:val="24"/>
                <w:highlight w:val="none"/>
              </w:rPr>
              <w:t xml:space="preserve">职务</w:t>
            </w:r>
            <w:r/>
          </w:p>
        </w:tc>
        <w:tc>
          <w:tcPr>
            <w:gridSpan w:val="4"/>
            <w:tcW w:w="2610"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c>
          <w:tcPr>
            <w:tcW w:w="840" w:type="dxa"/>
            <w:vAlign w:val="center"/>
            <w:textDirection w:val="lrTb"/>
            <w:noWrap w:val="false"/>
          </w:tcPr>
          <w:p>
            <w:pPr>
              <w:jc w:val="center"/>
              <w:spacing w:line="240" w:lineRule="auto"/>
              <w:rPr>
                <w:rFonts w:ascii="宋体" w:hAnsi="宋体"/>
                <w:color w:val="auto"/>
                <w:sz w:val="24"/>
                <w:highlight w:val="none"/>
              </w:rPr>
            </w:pPr>
            <w:r>
              <w:rPr>
                <w:rFonts w:hint="eastAsia" w:ascii="宋体" w:hAnsi="宋体"/>
                <w:color w:val="auto"/>
                <w:sz w:val="24"/>
                <w:highlight w:val="none"/>
              </w:rPr>
              <w:t xml:space="preserve">职称</w:t>
            </w:r>
            <w:r/>
          </w:p>
        </w:tc>
        <w:tc>
          <w:tcPr>
            <w:gridSpan w:val="3"/>
            <w:tcW w:w="1680"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c>
          <w:tcPr>
            <w:gridSpan w:val="2"/>
            <w:tcW w:w="1080" w:type="dxa"/>
            <w:vAlign w:val="center"/>
            <w:textDirection w:val="lrTb"/>
            <w:noWrap w:val="false"/>
          </w:tcPr>
          <w:p>
            <w:pPr>
              <w:jc w:val="center"/>
              <w:spacing w:line="240" w:lineRule="auto"/>
              <w:rPr>
                <w:rFonts w:ascii="宋体" w:hAnsi="宋体"/>
                <w:color w:val="auto"/>
                <w:sz w:val="24"/>
                <w:highlight w:val="none"/>
              </w:rPr>
            </w:pPr>
            <w:r>
              <w:rPr>
                <w:rFonts w:hint="eastAsia" w:ascii="宋体" w:hAnsi="宋体"/>
                <w:color w:val="auto"/>
                <w:sz w:val="24"/>
                <w:highlight w:val="none"/>
              </w:rPr>
              <w:t xml:space="preserve">学历</w:t>
            </w:r>
            <w:r/>
          </w:p>
        </w:tc>
        <w:tc>
          <w:tcPr>
            <w:gridSpan w:val="2"/>
            <w:tcW w:w="2222"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r>
      <w:tr>
        <w:trPr>
          <w:trHeight w:val="600"/>
        </w:trPr>
        <w:tc>
          <w:tcPr>
            <w:gridSpan w:val="3"/>
            <w:tcW w:w="2835" w:type="dxa"/>
            <w:vAlign w:val="center"/>
            <w:textDirection w:val="lrTb"/>
            <w:noWrap w:val="false"/>
          </w:tcPr>
          <w:p>
            <w:pPr>
              <w:jc w:val="center"/>
              <w:spacing w:line="240" w:lineRule="auto"/>
              <w:rPr>
                <w:rFonts w:ascii="宋体" w:hAnsi="宋体"/>
                <w:color w:val="auto"/>
                <w:sz w:val="24"/>
                <w:highlight w:val="none"/>
              </w:rPr>
            </w:pPr>
            <w:r>
              <w:rPr>
                <w:rFonts w:hint="eastAsia" w:ascii="宋体" w:hAnsi="宋体"/>
                <w:color w:val="auto"/>
                <w:sz w:val="24"/>
                <w:highlight w:val="none"/>
              </w:rPr>
              <w:t xml:space="preserve">参加工作时间</w:t>
            </w:r>
            <w:r/>
          </w:p>
        </w:tc>
        <w:tc>
          <w:tcPr>
            <w:gridSpan w:val="4"/>
            <w:tcW w:w="1890"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c>
          <w:tcPr>
            <w:gridSpan w:val="5"/>
            <w:tcW w:w="2625" w:type="dxa"/>
            <w:vAlign w:val="center"/>
            <w:textDirection w:val="lrTb"/>
            <w:noWrap w:val="false"/>
          </w:tcPr>
          <w:p>
            <w:pPr>
              <w:jc w:val="center"/>
              <w:spacing w:line="240" w:lineRule="auto"/>
              <w:rPr>
                <w:rFonts w:ascii="宋体" w:hAnsi="宋体"/>
                <w:color w:val="auto"/>
                <w:sz w:val="24"/>
                <w:highlight w:val="none"/>
              </w:rPr>
            </w:pPr>
            <w:r>
              <w:rPr>
                <w:rFonts w:hint="eastAsia" w:ascii="宋体" w:hAnsi="宋体"/>
                <w:color w:val="auto"/>
                <w:sz w:val="24"/>
                <w:highlight w:val="none"/>
              </w:rPr>
              <w:t xml:space="preserve">担任项目经理年限</w:t>
            </w:r>
            <w:r/>
          </w:p>
        </w:tc>
        <w:tc>
          <w:tcPr>
            <w:tcW w:w="1817"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r>
      <w:tr>
        <w:trPr>
          <w:trHeight w:val="620"/>
        </w:trPr>
        <w:tc>
          <w:tcPr>
            <w:gridSpan w:val="13"/>
            <w:tcW w:w="9167" w:type="dxa"/>
            <w:vAlign w:val="center"/>
            <w:textDirection w:val="lrTb"/>
            <w:noWrap w:val="false"/>
          </w:tcPr>
          <w:p>
            <w:pPr>
              <w:jc w:val="center"/>
              <w:spacing w:line="240" w:lineRule="auto"/>
              <w:rPr>
                <w:rFonts w:ascii="宋体" w:hAnsi="宋体"/>
                <w:color w:val="auto"/>
                <w:sz w:val="24"/>
                <w:highlight w:val="none"/>
              </w:rPr>
            </w:pPr>
            <w:r>
              <w:rPr>
                <w:rFonts w:hint="eastAsia" w:ascii="宋体" w:hAnsi="宋体"/>
                <w:color w:val="auto"/>
                <w:sz w:val="24"/>
                <w:highlight w:val="none"/>
              </w:rPr>
              <w:t xml:space="preserve">在建和已完成项目情况</w:t>
            </w:r>
            <w:r/>
          </w:p>
        </w:tc>
      </w:tr>
      <w:tr>
        <w:trPr>
          <w:trHeight w:val="600"/>
        </w:trPr>
        <w:tc>
          <w:tcPr>
            <w:gridSpan w:val="2"/>
            <w:tcW w:w="1480" w:type="dxa"/>
            <w:vAlign w:val="center"/>
            <w:textDirection w:val="lrTb"/>
            <w:noWrap w:val="false"/>
          </w:tcPr>
          <w:p>
            <w:pPr>
              <w:jc w:val="center"/>
              <w:spacing w:line="240" w:lineRule="auto"/>
              <w:rPr>
                <w:rFonts w:ascii="宋体" w:hAnsi="宋体"/>
                <w:color w:val="auto"/>
                <w:sz w:val="24"/>
                <w:highlight w:val="none"/>
              </w:rPr>
            </w:pPr>
            <w:r>
              <w:rPr>
                <w:rFonts w:hint="eastAsia" w:ascii="宋体" w:hAnsi="宋体"/>
                <w:color w:val="auto"/>
                <w:sz w:val="24"/>
                <w:highlight w:val="none"/>
              </w:rPr>
              <w:t xml:space="preserve">建设单位</w:t>
            </w:r>
            <w:r/>
          </w:p>
        </w:tc>
        <w:tc>
          <w:tcPr>
            <w:gridSpan w:val="2"/>
            <w:tcW w:w="1680" w:type="dxa"/>
            <w:vAlign w:val="center"/>
            <w:textDirection w:val="lrTb"/>
            <w:noWrap w:val="false"/>
          </w:tcPr>
          <w:p>
            <w:pPr>
              <w:jc w:val="center"/>
              <w:spacing w:line="240" w:lineRule="auto"/>
              <w:rPr>
                <w:rFonts w:ascii="宋体" w:hAnsi="宋体"/>
                <w:color w:val="auto"/>
                <w:sz w:val="24"/>
                <w:highlight w:val="none"/>
              </w:rPr>
            </w:pPr>
            <w:r>
              <w:rPr>
                <w:rFonts w:hint="eastAsia" w:ascii="宋体" w:hAnsi="宋体"/>
                <w:color w:val="auto"/>
                <w:sz w:val="24"/>
                <w:highlight w:val="none"/>
              </w:rPr>
              <w:t xml:space="preserve">项目名称</w:t>
            </w:r>
            <w:r/>
          </w:p>
        </w:tc>
        <w:tc>
          <w:tcPr>
            <w:gridSpan w:val="4"/>
            <w:tcW w:w="1580" w:type="dxa"/>
            <w:vAlign w:val="center"/>
            <w:textDirection w:val="lrTb"/>
            <w:noWrap w:val="false"/>
          </w:tcPr>
          <w:p>
            <w:pPr>
              <w:jc w:val="center"/>
              <w:spacing w:line="240" w:lineRule="auto"/>
              <w:rPr>
                <w:rFonts w:ascii="宋体" w:hAnsi="宋体"/>
                <w:color w:val="auto"/>
                <w:sz w:val="24"/>
                <w:highlight w:val="none"/>
              </w:rPr>
            </w:pPr>
            <w:r>
              <w:rPr>
                <w:rFonts w:hint="eastAsia" w:ascii="宋体" w:hAnsi="宋体"/>
                <w:color w:val="auto"/>
                <w:sz w:val="24"/>
                <w:highlight w:val="none"/>
              </w:rPr>
              <w:t xml:space="preserve">建设规模</w:t>
            </w:r>
            <w:r/>
          </w:p>
        </w:tc>
        <w:tc>
          <w:tcPr>
            <w:gridSpan w:val="2"/>
            <w:tcW w:w="1560" w:type="dxa"/>
            <w:vAlign w:val="center"/>
            <w:textDirection w:val="lrTb"/>
            <w:noWrap w:val="false"/>
          </w:tcPr>
          <w:p>
            <w:pPr>
              <w:jc w:val="center"/>
              <w:spacing w:line="240" w:lineRule="auto"/>
              <w:rPr>
                <w:rFonts w:ascii="宋体" w:hAnsi="宋体"/>
                <w:color w:val="auto"/>
                <w:sz w:val="24"/>
                <w:highlight w:val="none"/>
              </w:rPr>
            </w:pPr>
            <w:r>
              <w:rPr>
                <w:rFonts w:hint="eastAsia" w:ascii="宋体" w:hAnsi="宋体"/>
                <w:color w:val="auto"/>
                <w:sz w:val="24"/>
                <w:highlight w:val="none"/>
              </w:rPr>
              <w:t xml:space="preserve">开、竣工</w:t>
            </w:r>
            <w:r/>
          </w:p>
          <w:p>
            <w:pPr>
              <w:jc w:val="center"/>
              <w:spacing w:line="240" w:lineRule="auto"/>
              <w:rPr>
                <w:rFonts w:ascii="宋体" w:hAnsi="宋体"/>
                <w:color w:val="auto"/>
                <w:sz w:val="24"/>
                <w:highlight w:val="none"/>
              </w:rPr>
            </w:pPr>
            <w:r>
              <w:rPr>
                <w:rFonts w:hint="eastAsia" w:ascii="宋体" w:hAnsi="宋体"/>
                <w:color w:val="auto"/>
                <w:sz w:val="24"/>
                <w:highlight w:val="none"/>
              </w:rPr>
              <w:t xml:space="preserve">日期</w:t>
            </w:r>
            <w:r/>
          </w:p>
        </w:tc>
        <w:tc>
          <w:tcPr>
            <w:gridSpan w:val="2"/>
            <w:tcW w:w="1050" w:type="dxa"/>
            <w:vAlign w:val="center"/>
            <w:textDirection w:val="lrTb"/>
            <w:noWrap w:val="false"/>
          </w:tcPr>
          <w:p>
            <w:pPr>
              <w:jc w:val="center"/>
              <w:spacing w:line="240" w:lineRule="auto"/>
              <w:rPr>
                <w:rFonts w:ascii="宋体" w:hAnsi="宋体"/>
                <w:color w:val="auto"/>
                <w:sz w:val="24"/>
                <w:highlight w:val="none"/>
              </w:rPr>
            </w:pPr>
            <w:r>
              <w:rPr>
                <w:rFonts w:hint="eastAsia" w:ascii="宋体" w:hAnsi="宋体"/>
                <w:color w:val="auto"/>
                <w:sz w:val="24"/>
                <w:highlight w:val="none"/>
              </w:rPr>
              <w:t xml:space="preserve">在建或已 完成</w:t>
            </w:r>
            <w:r/>
          </w:p>
        </w:tc>
        <w:tc>
          <w:tcPr>
            <w:tcW w:w="1817" w:type="dxa"/>
            <w:vAlign w:val="center"/>
            <w:textDirection w:val="lrTb"/>
            <w:noWrap w:val="false"/>
          </w:tcPr>
          <w:p>
            <w:pPr>
              <w:jc w:val="center"/>
              <w:spacing w:line="240" w:lineRule="auto"/>
              <w:rPr>
                <w:rFonts w:ascii="宋体" w:hAnsi="宋体"/>
                <w:color w:val="auto"/>
                <w:sz w:val="24"/>
                <w:highlight w:val="none"/>
              </w:rPr>
            </w:pPr>
            <w:r>
              <w:rPr>
                <w:rFonts w:hint="eastAsia" w:ascii="宋体" w:hAnsi="宋体"/>
                <w:color w:val="auto"/>
                <w:sz w:val="24"/>
                <w:highlight w:val="none"/>
              </w:rPr>
              <w:t xml:space="preserve">项目质量</w:t>
            </w:r>
            <w:r/>
          </w:p>
        </w:tc>
      </w:tr>
      <w:tr>
        <w:trPr>
          <w:trHeight w:val="616"/>
        </w:trPr>
        <w:tc>
          <w:tcPr>
            <w:gridSpan w:val="2"/>
            <w:tcW w:w="1480"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c>
          <w:tcPr>
            <w:gridSpan w:val="2"/>
            <w:tcW w:w="1680"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c>
          <w:tcPr>
            <w:gridSpan w:val="4"/>
            <w:tcW w:w="1580"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c>
          <w:tcPr>
            <w:gridSpan w:val="2"/>
            <w:tcW w:w="1560"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c>
          <w:tcPr>
            <w:gridSpan w:val="2"/>
            <w:tcW w:w="1050"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c>
          <w:tcPr>
            <w:tcW w:w="1817"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r>
      <w:tr>
        <w:trPr>
          <w:trHeight w:val="616"/>
        </w:trPr>
        <w:tc>
          <w:tcPr>
            <w:gridSpan w:val="2"/>
            <w:tcW w:w="1480"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c>
          <w:tcPr>
            <w:gridSpan w:val="2"/>
            <w:tcW w:w="1680"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c>
          <w:tcPr>
            <w:gridSpan w:val="4"/>
            <w:tcW w:w="1580"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c>
          <w:tcPr>
            <w:gridSpan w:val="2"/>
            <w:tcW w:w="1560"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c>
          <w:tcPr>
            <w:gridSpan w:val="2"/>
            <w:tcW w:w="1050"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c>
          <w:tcPr>
            <w:tcW w:w="1817" w:type="dxa"/>
            <w:vAlign w:val="center"/>
            <w:textDirection w:val="lrTb"/>
            <w:noWrap w:val="false"/>
          </w:tcPr>
          <w:p>
            <w:pPr>
              <w:jc w:val="center"/>
              <w:spacing w:line="240" w:lineRule="auto"/>
              <w:rPr>
                <w:rFonts w:ascii="宋体" w:hAnsi="宋体"/>
                <w:color w:val="auto"/>
                <w:sz w:val="24"/>
                <w:highlight w:val="none"/>
              </w:rPr>
            </w:pPr>
            <w:r>
              <w:rPr>
                <w:rFonts w:ascii="宋体" w:hAnsi="宋体"/>
                <w:color w:val="auto"/>
                <w:sz w:val="24"/>
                <w:highlight w:val="none"/>
              </w:rPr>
            </w:r>
            <w:r/>
          </w:p>
        </w:tc>
      </w:tr>
    </w:tbl>
    <w:p>
      <w:pPr>
        <w:jc w:val="center"/>
        <w:rPr>
          <w:rFonts w:hAnsi="宋体"/>
          <w:color w:val="auto"/>
          <w:sz w:val="24"/>
          <w:highlight w:val="none"/>
        </w:rPr>
      </w:pPr>
      <w:r>
        <w:rPr>
          <w:rFonts w:hAnsi="宋体"/>
          <w:color w:val="auto"/>
          <w:sz w:val="24"/>
          <w:highlight w:val="none"/>
        </w:rPr>
      </w:r>
      <w:r/>
    </w:p>
    <w:p>
      <w:pPr>
        <w:jc w:val="center"/>
        <w:rPr>
          <w:rFonts w:hAnsi="宋体"/>
          <w:color w:val="auto"/>
          <w:sz w:val="24"/>
          <w:highlight w:val="none"/>
        </w:rPr>
      </w:pPr>
      <w:r>
        <w:rPr>
          <w:rFonts w:hAnsi="宋体"/>
          <w:color w:val="auto"/>
          <w:sz w:val="24"/>
          <w:highlight w:val="none"/>
        </w:rPr>
      </w:r>
      <w:r/>
    </w:p>
    <w:p>
      <w:pPr>
        <w:jc w:val="center"/>
        <w:rPr>
          <w:rFonts w:hAnsi="宋体"/>
          <w:color w:val="auto"/>
          <w:sz w:val="24"/>
          <w:highlight w:val="none"/>
        </w:rPr>
      </w:pPr>
      <w:r>
        <w:rPr>
          <w:rFonts w:hint="eastAsia" w:hAnsi="宋体"/>
          <w:color w:val="auto"/>
          <w:sz w:val="24"/>
          <w:highlight w:val="none"/>
        </w:rPr>
        <w:t xml:space="preserve">（3）项目技术负责人简历表</w:t>
      </w:r>
      <w:r/>
    </w:p>
    <w:p>
      <w:pPr>
        <w:spacing w:line="360" w:lineRule="auto"/>
        <w:rPr>
          <w:color w:val="auto"/>
          <w:highlight w:val="none"/>
        </w:rPr>
      </w:pPr>
      <w:r>
        <w:rPr>
          <w:rFonts w:hint="eastAsia"/>
          <w:color w:val="auto"/>
          <w:sz w:val="24"/>
          <w:highlight w:val="none"/>
        </w:rPr>
        <w:t xml:space="preserve">项目 </w:t>
      </w:r>
      <w:r>
        <w:rPr>
          <w:rFonts w:hint="eastAsia"/>
          <w:color w:val="auto"/>
          <w:highlight w:val="none"/>
        </w:rPr>
        <w:t xml:space="preserve">                                                   表3</w:t>
      </w:r>
      <w:r/>
    </w:p>
    <w:tbl>
      <w:tblPr>
        <w:tblStyle w:val="838"/>
        <w:tblW w:w="955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姓名</w:t>
            </w:r>
            <w:r/>
          </w:p>
        </w:tc>
        <w:tc>
          <w:tcPr>
            <w:gridSpan w:val="4"/>
            <w:tcW w:w="261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4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性别</w:t>
            </w:r>
            <w:r/>
          </w:p>
        </w:tc>
        <w:tc>
          <w:tcPr>
            <w:gridSpan w:val="3"/>
            <w:tcW w:w="20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90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年龄</w:t>
            </w:r>
            <w:r/>
          </w:p>
        </w:tc>
        <w:tc>
          <w:tcPr>
            <w:gridSpan w:val="3"/>
            <w:tcW w:w="243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623"/>
        </w:trPr>
        <w:tc>
          <w:tcPr>
            <w:tcW w:w="73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职务</w:t>
            </w:r>
            <w:r/>
          </w:p>
        </w:tc>
        <w:tc>
          <w:tcPr>
            <w:gridSpan w:val="4"/>
            <w:tcW w:w="261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84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职称</w:t>
            </w:r>
            <w:r/>
          </w:p>
        </w:tc>
        <w:tc>
          <w:tcPr>
            <w:gridSpan w:val="3"/>
            <w:tcW w:w="204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90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学历</w:t>
            </w:r>
            <w:r/>
          </w:p>
        </w:tc>
        <w:tc>
          <w:tcPr>
            <w:gridSpan w:val="3"/>
            <w:tcW w:w="243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600"/>
        </w:trPr>
        <w:tc>
          <w:tcPr>
            <w:gridSpan w:val="3"/>
            <w:tcW w:w="241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参加工作时间</w:t>
            </w:r>
            <w:r/>
          </w:p>
        </w:tc>
        <w:tc>
          <w:tcPr>
            <w:gridSpan w:val="4"/>
            <w:tcW w:w="231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5"/>
            <w:tcW w:w="262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担任技术负责人年限</w:t>
            </w:r>
            <w:r/>
          </w:p>
        </w:tc>
        <w:tc>
          <w:tcPr>
            <w:gridSpan w:val="2"/>
            <w:tcW w:w="220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620"/>
        </w:trPr>
        <w:tc>
          <w:tcPr>
            <w:gridSpan w:val="14"/>
            <w:tcW w:w="955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在建和已完成项目情况</w:t>
            </w:r>
            <w:r/>
          </w:p>
        </w:tc>
      </w:tr>
      <w:tr>
        <w:trPr>
          <w:trHeight w:val="600"/>
        </w:trPr>
        <w:tc>
          <w:tcPr>
            <w:gridSpan w:val="2"/>
            <w:tcW w:w="148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建设单位</w:t>
            </w:r>
            <w:r/>
          </w:p>
        </w:tc>
        <w:tc>
          <w:tcPr>
            <w:gridSpan w:val="2"/>
            <w:tcW w:w="168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gridSpan w:val="4"/>
            <w:tcW w:w="158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建设规模</w:t>
            </w:r>
            <w:r/>
          </w:p>
        </w:tc>
        <w:tc>
          <w:tcPr>
            <w:gridSpan w:val="2"/>
            <w:tcW w:w="156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开、竣工</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日期</w:t>
            </w:r>
            <w:r/>
          </w:p>
        </w:tc>
        <w:tc>
          <w:tcPr>
            <w:gridSpan w:val="3"/>
            <w:tcW w:w="136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在建或</w:t>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已 完</w:t>
            </w:r>
            <w:r/>
          </w:p>
        </w:tc>
        <w:tc>
          <w:tcPr>
            <w:tcW w:w="189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项目质量</w:t>
            </w:r>
            <w:r/>
          </w:p>
        </w:tc>
      </w:tr>
      <w:tr>
        <w:trPr>
          <w:trHeight w:val="600"/>
        </w:trPr>
        <w:tc>
          <w:tcPr>
            <w:gridSpan w:val="2"/>
            <w:tcW w:w="148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168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4"/>
            <w:tcW w:w="158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156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3"/>
            <w:tcW w:w="13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89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rHeight w:val="600"/>
        </w:trPr>
        <w:tc>
          <w:tcPr>
            <w:gridSpan w:val="2"/>
            <w:tcW w:w="148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168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4"/>
            <w:tcW w:w="158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2"/>
            <w:tcW w:w="156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gridSpan w:val="3"/>
            <w:tcW w:w="13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89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jc w:val="center"/>
        <w:rPr>
          <w:rFonts w:hAnsi="宋体"/>
          <w:color w:val="auto"/>
          <w:sz w:val="24"/>
          <w:highlight w:val="none"/>
        </w:rPr>
      </w:pPr>
      <w:r>
        <w:rPr>
          <w:rFonts w:hint="eastAsia" w:hAnsi="宋体"/>
          <w:color w:val="auto"/>
          <w:sz w:val="24"/>
          <w:highlight w:val="none"/>
        </w:rPr>
        <w:t xml:space="preserve">（4） 项目管理机构配备情况辅助说明资料</w:t>
      </w:r>
      <w:r/>
    </w:p>
    <w:p>
      <w:pPr>
        <w:spacing w:line="360" w:lineRule="auto"/>
        <w:rPr>
          <w:rFonts w:ascii="宋体" w:hAnsi="宋体"/>
          <w:color w:val="auto"/>
          <w:sz w:val="24"/>
          <w:highlight w:val="none"/>
        </w:rPr>
      </w:pPr>
      <w:r>
        <w:rPr>
          <w:rFonts w:hint="eastAsia" w:ascii="宋体" w:hAnsi="宋体"/>
          <w:color w:val="auto"/>
          <w:sz w:val="24"/>
          <w:highlight w:val="none"/>
        </w:rPr>
        <w:t xml:space="preserve">项目                                            </w:t>
      </w:r>
      <w:r>
        <w:rPr>
          <w:rFonts w:hint="eastAsia" w:ascii="宋体" w:hAnsi="宋体"/>
          <w:color w:val="auto"/>
          <w:szCs w:val="21"/>
          <w:highlight w:val="none"/>
        </w:rPr>
        <w:t xml:space="preserve"> 表4</w:t>
      </w:r>
      <w:r/>
    </w:p>
    <w:tbl>
      <w:tblPr>
        <w:tblStyle w:val="838"/>
        <w:tblW w:w="87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0"/>
      </w:tblGrid>
      <w:tr>
        <w:trPr>
          <w:trHeight w:val="3661"/>
        </w:trPr>
        <w:tc>
          <w:tcPr>
            <w:tcW w:w="8720" w:type="dxa"/>
            <w:textDirection w:val="lrTb"/>
            <w:noWrap w:val="false"/>
          </w:tcPr>
          <w:p>
            <w:pPr>
              <w:ind w:right="-212"/>
              <w:spacing w:line="360" w:lineRule="auto"/>
              <w:tabs>
                <w:tab w:val="left" w:pos="0" w:leader="none"/>
              </w:tabs>
              <w:rPr>
                <w:rFonts w:ascii="宋体" w:hAnsi="宋体"/>
                <w:color w:val="auto"/>
                <w:highlight w:val="none"/>
              </w:rPr>
            </w:pPr>
            <w:r>
              <w:rPr>
                <w:rFonts w:ascii="宋体" w:hAnsi="宋体"/>
                <w:color w:val="auto"/>
                <w:highlight w:val="none"/>
              </w:rPr>
            </w:r>
            <w:r/>
          </w:p>
        </w:tc>
      </w:tr>
    </w:tbl>
    <w:p>
      <w:pPr>
        <w:pStyle w:val="1044"/>
        <w:ind w:right="34"/>
        <w:spacing w:after="0" w:line="240" w:lineRule="auto"/>
        <w:rPr>
          <w:rFonts w:hAnsi="宋体"/>
          <w:color w:val="auto"/>
          <w:highlight w:val="none"/>
        </w:rPr>
      </w:pPr>
      <w:r>
        <w:rPr>
          <w:rFonts w:hint="eastAsia" w:hAnsi="宋体"/>
          <w:color w:val="auto"/>
          <w:highlight w:val="none"/>
        </w:rPr>
        <w:t xml:space="preserve">注：1.辅助说明资料主要包括管理机构的机构设置、职责分工、有关复印证明资料以及供应商认为有必要提供的资料。辅助说明资料格式不作统一规定，由供应商自行设计。</w:t>
      </w:r>
      <w:r/>
    </w:p>
    <w:p>
      <w:pPr>
        <w:pStyle w:val="854"/>
        <w:numPr>
          <w:ilvl w:val="0"/>
          <w:numId w:val="0"/>
        </w:numPr>
        <w:spacing w:after="0" w:line="240" w:lineRule="auto"/>
        <w:rPr>
          <w:rFonts w:hAnsi="宋体"/>
          <w:color w:val="auto"/>
          <w:highlight w:val="none"/>
        </w:rPr>
      </w:pPr>
      <w:r>
        <w:rPr>
          <w:rFonts w:hint="eastAsia" w:hAnsi="宋体"/>
          <w:color w:val="auto"/>
          <w:highlight w:val="none"/>
        </w:rPr>
        <w:t xml:space="preserve">2.项目管理班子配备情况辅助说明资料另附（与本响应文件一起装订）。</w:t>
      </w:r>
      <w:r/>
    </w:p>
    <w:p>
      <w:pPr>
        <w:pStyle w:val="854"/>
        <w:numPr>
          <w:ilvl w:val="0"/>
          <w:numId w:val="0"/>
        </w:numPr>
        <w:spacing w:after="0" w:line="240" w:lineRule="auto"/>
        <w:rPr>
          <w:rFonts w:hAnsi="宋体"/>
          <w:color w:val="auto"/>
          <w:highlight w:val="none"/>
        </w:rPr>
      </w:pPr>
      <w:r>
        <w:rPr>
          <w:rFonts w:hAnsi="宋体"/>
          <w:color w:val="auto"/>
          <w:highlight w:val="none"/>
        </w:rPr>
      </w:r>
      <w:r/>
    </w:p>
    <w:p>
      <w:pPr>
        <w:pStyle w:val="854"/>
        <w:numPr>
          <w:ilvl w:val="0"/>
          <w:numId w:val="0"/>
        </w:numPr>
        <w:spacing w:after="0" w:line="240" w:lineRule="auto"/>
        <w:rPr>
          <w:rFonts w:hAnsi="宋体"/>
          <w:color w:val="auto"/>
          <w:highlight w:val="none"/>
        </w:rPr>
      </w:pPr>
      <w:r>
        <w:rPr>
          <w:rFonts w:hAnsi="宋体"/>
          <w:color w:val="auto"/>
          <w:highlight w:val="none"/>
        </w:rPr>
      </w:r>
      <w:r/>
    </w:p>
    <w:p>
      <w:pPr>
        <w:pStyle w:val="854"/>
        <w:numPr>
          <w:ilvl w:val="0"/>
          <w:numId w:val="0"/>
        </w:numPr>
        <w:spacing w:after="0" w:line="240" w:lineRule="auto"/>
        <w:rPr>
          <w:rFonts w:hAnsi="宋体"/>
          <w:color w:val="auto"/>
          <w:highlight w:val="none"/>
        </w:rPr>
      </w:pPr>
      <w:r>
        <w:rPr>
          <w:rFonts w:hAnsi="宋体"/>
          <w:color w:val="auto"/>
          <w:highlight w:val="none"/>
        </w:rPr>
      </w:r>
      <w:r/>
    </w:p>
    <w:p>
      <w:pPr>
        <w:pStyle w:val="854"/>
        <w:numPr>
          <w:ilvl w:val="0"/>
          <w:numId w:val="0"/>
        </w:numPr>
        <w:spacing w:after="0" w:line="240" w:lineRule="auto"/>
        <w:rPr>
          <w:rFonts w:hAnsi="宋体"/>
          <w:color w:val="auto"/>
          <w:highlight w:val="none"/>
        </w:rPr>
      </w:pPr>
      <w:r>
        <w:rPr>
          <w:rFonts w:hAnsi="宋体"/>
          <w:color w:val="auto"/>
          <w:highlight w:val="none"/>
        </w:rPr>
      </w:r>
      <w:r/>
    </w:p>
    <w:p>
      <w:pPr>
        <w:pageBreakBefore/>
        <w:spacing w:after="0"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（十）液压设备主要配件表（格式）：</w:t>
      </w:r>
      <w:r/>
    </w:p>
    <w:p>
      <w:pPr>
        <w:jc w:val="center"/>
        <w:rPr>
          <w:rFonts w:hint="eastAsia" w:ascii="宋体" w:hAnsi="宋体" w:eastAsia="宋体"/>
          <w:b/>
          <w:bCs/>
          <w:color w:val="auto"/>
          <w:sz w:val="32"/>
          <w:szCs w:val="32"/>
          <w:highlight w:val="none"/>
          <w:lang w:eastAsia="zh-CN"/>
        </w:rPr>
      </w:pPr>
      <w:r>
        <w:rPr>
          <w:rFonts w:hint="eastAsia" w:ascii="宋体" w:hAnsi="宋体" w:eastAsia="宋体"/>
          <w:b/>
          <w:bCs/>
          <w:color w:val="auto"/>
          <w:sz w:val="32"/>
          <w:szCs w:val="32"/>
          <w:highlight w:val="none"/>
        </w:rPr>
        <w:t xml:space="preserve">液压设备</w:t>
      </w:r>
      <w:r>
        <w:rPr>
          <w:rFonts w:hint="eastAsia" w:ascii="宋体" w:hAnsi="宋体" w:eastAsia="宋体"/>
          <w:b/>
          <w:bCs/>
          <w:color w:val="auto"/>
          <w:sz w:val="32"/>
          <w:szCs w:val="32"/>
          <w:highlight w:val="none"/>
          <w:lang w:val="en-US" w:eastAsia="zh-CN"/>
        </w:rPr>
        <w:t xml:space="preserve">主要</w:t>
      </w:r>
      <w:r>
        <w:rPr>
          <w:rFonts w:hint="eastAsia" w:ascii="宋体" w:hAnsi="宋体" w:eastAsia="宋体"/>
          <w:b/>
          <w:bCs/>
          <w:color w:val="auto"/>
          <w:sz w:val="32"/>
          <w:szCs w:val="32"/>
          <w:highlight w:val="none"/>
        </w:rPr>
        <w:t xml:space="preserve">配件</w:t>
      </w:r>
      <w:r>
        <w:rPr>
          <w:rFonts w:hint="eastAsia" w:ascii="宋体" w:hAnsi="宋体" w:eastAsia="宋体"/>
          <w:b/>
          <w:bCs/>
          <w:color w:val="auto"/>
          <w:sz w:val="32"/>
          <w:szCs w:val="32"/>
          <w:highlight w:val="none"/>
          <w:lang w:val="en-US" w:eastAsia="zh-CN"/>
        </w:rPr>
        <w:t xml:space="preserve">表</w:t>
      </w:r>
      <w:r/>
    </w:p>
    <w:tbl>
      <w:tblPr>
        <w:tblStyle w:val="863"/>
        <w:tblpPr w:horzAnchor="page" w:tblpX="1437" w:vertAnchor="text" w:tblpY="7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291"/>
        <w:gridCol w:w="1468"/>
        <w:gridCol w:w="1191"/>
        <w:gridCol w:w="1108"/>
        <w:gridCol w:w="883"/>
      </w:tblGrid>
      <w:tr>
        <w:trPr>
          <w:trHeight w:val="1062"/>
        </w:trPr>
        <w:tc>
          <w:tcPr>
            <w:tcW w:w="896" w:type="dxa"/>
            <w:vAlign w:val="center"/>
            <w:textDirection w:val="lrTb"/>
            <w:noWrap w:val="false"/>
          </w:tcPr>
          <w:p>
            <w:pPr>
              <w:jc w:val="center"/>
              <w:rPr>
                <w:rFonts w:hint="eastAsia" w:ascii="宋体" w:hAnsi="宋体" w:eastAsia="宋体"/>
                <w:b/>
                <w:bCs/>
                <w:color w:val="auto"/>
                <w:sz w:val="24"/>
                <w:szCs w:val="24"/>
                <w:highlight w:val="none"/>
                <w:vertAlign w:val="baseline"/>
                <w:lang w:val="en-US" w:eastAsia="zh-CN"/>
              </w:rPr>
            </w:pPr>
            <w:r>
              <w:rPr>
                <w:rFonts w:hint="eastAsia" w:ascii="宋体" w:hAnsi="宋体" w:eastAsia="宋体"/>
                <w:b/>
                <w:bCs/>
                <w:color w:val="auto"/>
                <w:sz w:val="24"/>
                <w:szCs w:val="24"/>
                <w:highlight w:val="none"/>
                <w:vertAlign w:val="baseline"/>
                <w:lang w:val="en-US" w:eastAsia="zh-CN"/>
              </w:rPr>
              <w:t xml:space="preserve">序号</w:t>
            </w:r>
            <w:r/>
          </w:p>
        </w:tc>
        <w:tc>
          <w:tcPr>
            <w:tcW w:w="3291" w:type="dxa"/>
            <w:vAlign w:val="center"/>
            <w:textDirection w:val="lrTb"/>
            <w:noWrap w:val="false"/>
          </w:tcPr>
          <w:p>
            <w:pPr>
              <w:jc w:val="center"/>
              <w:rPr>
                <w:rFonts w:hint="default" w:ascii="宋体" w:hAnsi="宋体" w:eastAsia="宋体"/>
                <w:b/>
                <w:bCs/>
                <w:color w:val="auto"/>
                <w:sz w:val="24"/>
                <w:szCs w:val="24"/>
                <w:highlight w:val="none"/>
                <w:vertAlign w:val="baseline"/>
                <w:lang w:val="en-US" w:eastAsia="zh-CN"/>
              </w:rPr>
            </w:pPr>
            <w:r>
              <w:rPr>
                <w:rFonts w:hint="eastAsia" w:ascii="宋体" w:hAnsi="宋体" w:eastAsia="宋体"/>
                <w:b/>
                <w:bCs/>
                <w:color w:val="auto"/>
                <w:sz w:val="24"/>
                <w:szCs w:val="24"/>
                <w:highlight w:val="none"/>
                <w:vertAlign w:val="baseline"/>
                <w:lang w:val="en-US" w:eastAsia="zh-CN"/>
              </w:rPr>
              <w:t xml:space="preserve">配件名称</w:t>
            </w:r>
            <w:r/>
          </w:p>
        </w:tc>
        <w:tc>
          <w:tcPr>
            <w:tcW w:w="1468" w:type="dxa"/>
            <w:vAlign w:val="center"/>
            <w:textDirection w:val="lrTb"/>
            <w:noWrap w:val="false"/>
          </w:tcPr>
          <w:p>
            <w:pPr>
              <w:jc w:val="center"/>
              <w:rPr>
                <w:rFonts w:hint="default" w:ascii="宋体" w:hAnsi="宋体" w:eastAsia="宋体"/>
                <w:b/>
                <w:bCs/>
                <w:color w:val="auto"/>
                <w:sz w:val="24"/>
                <w:szCs w:val="24"/>
                <w:highlight w:val="none"/>
                <w:vertAlign w:val="baseline"/>
                <w:lang w:val="en-US" w:eastAsia="zh-CN"/>
              </w:rPr>
            </w:pPr>
            <w:r>
              <w:rPr>
                <w:rFonts w:hint="eastAsia" w:ascii="宋体" w:hAnsi="宋体" w:eastAsia="宋体"/>
                <w:b/>
                <w:bCs/>
                <w:color w:val="auto"/>
                <w:sz w:val="24"/>
                <w:szCs w:val="24"/>
                <w:highlight w:val="none"/>
                <w:vertAlign w:val="baseline"/>
                <w:lang w:val="en-US" w:eastAsia="zh-CN"/>
              </w:rPr>
              <w:t xml:space="preserve">品牌</w:t>
            </w:r>
            <w:r/>
          </w:p>
        </w:tc>
        <w:tc>
          <w:tcPr>
            <w:tcW w:w="1191"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lang w:val="en-US" w:eastAsia="zh-CN"/>
              </w:rPr>
              <w:t xml:space="preserve">生产厂商</w:t>
            </w:r>
            <w:r/>
          </w:p>
        </w:tc>
        <w:tc>
          <w:tcPr>
            <w:tcW w:w="1108" w:type="dxa"/>
            <w:vAlign w:val="center"/>
            <w:textDirection w:val="lrTb"/>
            <w:noWrap w:val="false"/>
          </w:tcPr>
          <w:p>
            <w:pPr>
              <w:jc w:val="center"/>
              <w:rPr>
                <w:rFonts w:hint="eastAsia" w:ascii="宋体" w:hAnsi="宋体" w:eastAsia="宋体"/>
                <w:b/>
                <w:bCs/>
                <w:color w:val="auto"/>
                <w:sz w:val="24"/>
                <w:szCs w:val="24"/>
                <w:highlight w:val="none"/>
                <w:vertAlign w:val="baseline"/>
                <w:lang w:val="en-US" w:eastAsia="zh-CN"/>
              </w:rPr>
            </w:pPr>
            <w:r>
              <w:rPr>
                <w:rFonts w:hint="eastAsia" w:ascii="宋体" w:hAnsi="宋体" w:eastAsia="宋体"/>
                <w:b/>
                <w:bCs/>
                <w:color w:val="auto"/>
                <w:sz w:val="24"/>
                <w:szCs w:val="24"/>
                <w:highlight w:val="none"/>
                <w:vertAlign w:val="baseline"/>
                <w:lang w:val="en-US" w:eastAsia="zh-CN"/>
              </w:rPr>
              <w:t xml:space="preserve">原产地</w:t>
            </w:r>
            <w:r/>
          </w:p>
        </w:tc>
        <w:tc>
          <w:tcPr>
            <w:tcW w:w="883" w:type="dxa"/>
            <w:vAlign w:val="center"/>
            <w:textDirection w:val="lrTb"/>
            <w:noWrap w:val="false"/>
          </w:tcPr>
          <w:p>
            <w:pPr>
              <w:jc w:val="center"/>
              <w:rPr>
                <w:rFonts w:hint="default" w:ascii="宋体" w:hAnsi="宋体" w:eastAsia="宋体"/>
                <w:b/>
                <w:bCs/>
                <w:color w:val="auto"/>
                <w:sz w:val="24"/>
                <w:szCs w:val="24"/>
                <w:highlight w:val="none"/>
                <w:vertAlign w:val="baseline"/>
                <w:lang w:val="en-US" w:eastAsia="zh-CN"/>
              </w:rPr>
            </w:pPr>
            <w:r>
              <w:rPr>
                <w:rFonts w:hint="eastAsia" w:ascii="宋体" w:hAnsi="宋体" w:eastAsia="宋体"/>
                <w:b/>
                <w:bCs/>
                <w:color w:val="auto"/>
                <w:sz w:val="24"/>
                <w:szCs w:val="24"/>
                <w:highlight w:val="none"/>
                <w:vertAlign w:val="baseline"/>
                <w:lang w:val="en-US" w:eastAsia="zh-CN"/>
              </w:rPr>
              <w:t xml:space="preserve">备注</w:t>
            </w:r>
            <w:r/>
          </w:p>
        </w:tc>
      </w:tr>
      <w:tr>
        <w:trPr>
          <w:trHeight w:val="665"/>
        </w:trPr>
        <w:tc>
          <w:tcPr>
            <w:tcW w:w="896" w:type="dxa"/>
            <w:vAlign w:val="center"/>
            <w:textDirection w:val="lrTb"/>
            <w:noWrap w:val="false"/>
          </w:tcPr>
          <w:p>
            <w:pPr>
              <w:jc w:val="center"/>
              <w:rPr>
                <w:rFonts w:hint="eastAsia" w:ascii="宋体" w:hAnsi="宋体" w:eastAsia="宋体"/>
                <w:b w:val="0"/>
                <w:bCs w:val="0"/>
                <w:color w:val="auto"/>
                <w:sz w:val="24"/>
                <w:szCs w:val="24"/>
                <w:highlight w:val="none"/>
                <w:vertAlign w:val="baseline"/>
                <w:lang w:val="en-US" w:eastAsia="zh-CN"/>
              </w:rPr>
            </w:pPr>
            <w:r>
              <w:rPr>
                <w:rFonts w:hint="eastAsia" w:ascii="宋体" w:hAnsi="宋体" w:eastAsia="宋体"/>
                <w:b w:val="0"/>
                <w:bCs w:val="0"/>
                <w:color w:val="auto"/>
                <w:sz w:val="24"/>
                <w:szCs w:val="24"/>
                <w:highlight w:val="none"/>
                <w:vertAlign w:val="baseline"/>
                <w:lang w:val="en-US" w:eastAsia="zh-CN"/>
              </w:rPr>
              <w:t xml:space="preserve">1</w:t>
            </w:r>
            <w:r/>
          </w:p>
        </w:tc>
        <w:tc>
          <w:tcPr>
            <w:tcW w:w="3291" w:type="dxa"/>
            <w:vAlign w:val="center"/>
            <w:textDirection w:val="lrTb"/>
            <w:noWrap w:val="false"/>
          </w:tcPr>
          <w:p>
            <w:pPr>
              <w:jc w:val="both"/>
              <w:rPr>
                <w:rFonts w:hint="eastAsia" w:ascii="宋体" w:hAnsi="宋体" w:eastAsia="宋体"/>
                <w:b w:val="0"/>
                <w:bCs w:val="0"/>
                <w:color w:val="auto"/>
                <w:sz w:val="24"/>
                <w:szCs w:val="24"/>
                <w:highlight w:val="none"/>
                <w:vertAlign w:val="baseline"/>
              </w:rPr>
            </w:pPr>
            <w:r>
              <w:rPr>
                <w:rFonts w:hint="eastAsia" w:ascii="宋体" w:hAnsi="宋体" w:eastAsia="宋体"/>
                <w:b w:val="0"/>
                <w:bCs w:val="0"/>
                <w:color w:val="auto"/>
                <w:sz w:val="24"/>
                <w:szCs w:val="24"/>
                <w:highlight w:val="none"/>
                <w:vertAlign w:val="baseline"/>
              </w:rPr>
              <w:t xml:space="preserve">全部油缸密封件及导向带</w:t>
            </w:r>
            <w:r/>
          </w:p>
        </w:tc>
        <w:tc>
          <w:tcPr>
            <w:tcW w:w="146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91"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0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883"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r>
      <w:tr>
        <w:trPr>
          <w:trHeight w:val="665"/>
        </w:trPr>
        <w:tc>
          <w:tcPr>
            <w:tcW w:w="896" w:type="dxa"/>
            <w:vAlign w:val="center"/>
            <w:textDirection w:val="lrTb"/>
            <w:noWrap w:val="false"/>
          </w:tcPr>
          <w:p>
            <w:pPr>
              <w:jc w:val="center"/>
              <w:rPr>
                <w:rFonts w:hint="eastAsia" w:ascii="宋体" w:hAnsi="宋体" w:eastAsia="宋体"/>
                <w:b w:val="0"/>
                <w:bCs w:val="0"/>
                <w:color w:val="auto"/>
                <w:sz w:val="24"/>
                <w:szCs w:val="24"/>
                <w:highlight w:val="none"/>
                <w:vertAlign w:val="baseline"/>
                <w:lang w:val="en-US" w:eastAsia="zh-CN"/>
              </w:rPr>
            </w:pPr>
            <w:r>
              <w:rPr>
                <w:rFonts w:hint="eastAsia" w:ascii="宋体" w:hAnsi="宋体" w:eastAsia="宋体"/>
                <w:b w:val="0"/>
                <w:bCs w:val="0"/>
                <w:color w:val="auto"/>
                <w:sz w:val="24"/>
                <w:szCs w:val="24"/>
                <w:highlight w:val="none"/>
                <w:vertAlign w:val="baseline"/>
                <w:lang w:val="en-US" w:eastAsia="zh-CN"/>
              </w:rPr>
              <w:t xml:space="preserve">2</w:t>
            </w:r>
            <w:r/>
          </w:p>
        </w:tc>
        <w:tc>
          <w:tcPr>
            <w:tcW w:w="3291" w:type="dxa"/>
            <w:vAlign w:val="center"/>
            <w:textDirection w:val="lrTb"/>
            <w:noWrap w:val="false"/>
          </w:tcPr>
          <w:p>
            <w:pPr>
              <w:jc w:val="both"/>
              <w:rPr>
                <w:rFonts w:hint="eastAsia" w:ascii="宋体" w:hAnsi="宋体" w:eastAsia="宋体"/>
                <w:b w:val="0"/>
                <w:bCs w:val="0"/>
                <w:color w:val="auto"/>
                <w:sz w:val="24"/>
                <w:szCs w:val="24"/>
                <w:highlight w:val="none"/>
                <w:vertAlign w:val="baseline"/>
              </w:rPr>
            </w:pPr>
            <w:r>
              <w:rPr>
                <w:rFonts w:hint="eastAsia" w:ascii="宋体" w:hAnsi="宋体" w:eastAsia="宋体"/>
                <w:b w:val="0"/>
                <w:bCs w:val="0"/>
                <w:color w:val="auto"/>
                <w:sz w:val="24"/>
                <w:szCs w:val="24"/>
                <w:highlight w:val="none"/>
                <w:vertAlign w:val="baseline"/>
              </w:rPr>
              <w:t xml:space="preserve">主要阀件</w:t>
            </w:r>
            <w:r/>
          </w:p>
        </w:tc>
        <w:tc>
          <w:tcPr>
            <w:tcW w:w="146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91"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0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883"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r>
      <w:tr>
        <w:trPr>
          <w:trHeight w:val="1055"/>
        </w:trPr>
        <w:tc>
          <w:tcPr>
            <w:tcW w:w="896" w:type="dxa"/>
            <w:vAlign w:val="center"/>
            <w:textDirection w:val="lrTb"/>
            <w:noWrap w:val="false"/>
          </w:tcPr>
          <w:p>
            <w:pPr>
              <w:jc w:val="center"/>
              <w:rPr>
                <w:rFonts w:hint="eastAsia" w:ascii="宋体" w:hAnsi="宋体" w:eastAsia="宋体"/>
                <w:b w:val="0"/>
                <w:bCs w:val="0"/>
                <w:color w:val="auto"/>
                <w:sz w:val="24"/>
                <w:szCs w:val="24"/>
                <w:highlight w:val="none"/>
                <w:vertAlign w:val="baseline"/>
                <w:lang w:val="en-US" w:eastAsia="zh-CN"/>
              </w:rPr>
            </w:pPr>
            <w:r>
              <w:rPr>
                <w:rFonts w:hint="eastAsia" w:ascii="宋体" w:hAnsi="宋体" w:eastAsia="宋体"/>
                <w:b w:val="0"/>
                <w:bCs w:val="0"/>
                <w:color w:val="auto"/>
                <w:sz w:val="24"/>
                <w:szCs w:val="24"/>
                <w:highlight w:val="none"/>
                <w:vertAlign w:val="baseline"/>
                <w:lang w:val="en-US" w:eastAsia="zh-CN"/>
              </w:rPr>
              <w:t xml:space="preserve">3</w:t>
            </w:r>
            <w:r/>
          </w:p>
        </w:tc>
        <w:tc>
          <w:tcPr>
            <w:tcW w:w="3291" w:type="dxa"/>
            <w:vAlign w:val="center"/>
            <w:textDirection w:val="lrTb"/>
            <w:noWrap w:val="false"/>
          </w:tcPr>
          <w:p>
            <w:pPr>
              <w:jc w:val="both"/>
              <w:rPr>
                <w:rFonts w:hint="eastAsia" w:ascii="宋体" w:hAnsi="宋体" w:eastAsia="宋体"/>
                <w:b w:val="0"/>
                <w:bCs w:val="0"/>
                <w:color w:val="auto"/>
                <w:sz w:val="24"/>
                <w:szCs w:val="24"/>
                <w:highlight w:val="none"/>
                <w:vertAlign w:val="baseline"/>
              </w:rPr>
            </w:pPr>
            <w:r>
              <w:rPr>
                <w:rFonts w:hint="eastAsia" w:ascii="宋体" w:hAnsi="宋体" w:eastAsia="宋体"/>
                <w:b w:val="0"/>
                <w:bCs w:val="0"/>
                <w:color w:val="auto"/>
                <w:sz w:val="24"/>
                <w:szCs w:val="24"/>
                <w:highlight w:val="none"/>
                <w:vertAlign w:val="baseline"/>
              </w:rPr>
              <w:t xml:space="preserve">节制闸比例阀、缸旁闭锁阀及节制闸新制3套油泵</w:t>
            </w:r>
            <w:r/>
          </w:p>
        </w:tc>
        <w:tc>
          <w:tcPr>
            <w:tcW w:w="146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91"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0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883"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r>
      <w:tr>
        <w:trPr>
          <w:trHeight w:val="665"/>
        </w:trPr>
        <w:tc>
          <w:tcPr>
            <w:tcW w:w="896" w:type="dxa"/>
            <w:vAlign w:val="center"/>
            <w:textDirection w:val="lrTb"/>
            <w:noWrap w:val="false"/>
          </w:tcPr>
          <w:p>
            <w:pPr>
              <w:jc w:val="center"/>
              <w:rPr>
                <w:rFonts w:hint="eastAsia" w:ascii="宋体" w:hAnsi="宋体" w:eastAsia="宋体"/>
                <w:b w:val="0"/>
                <w:bCs w:val="0"/>
                <w:color w:val="auto"/>
                <w:sz w:val="24"/>
                <w:szCs w:val="24"/>
                <w:highlight w:val="none"/>
                <w:vertAlign w:val="baseline"/>
                <w:lang w:val="en-US" w:eastAsia="zh-CN"/>
              </w:rPr>
            </w:pPr>
            <w:r>
              <w:rPr>
                <w:rFonts w:hint="eastAsia" w:ascii="宋体" w:hAnsi="宋体" w:eastAsia="宋体"/>
                <w:b w:val="0"/>
                <w:bCs w:val="0"/>
                <w:color w:val="auto"/>
                <w:sz w:val="24"/>
                <w:szCs w:val="24"/>
                <w:highlight w:val="none"/>
                <w:vertAlign w:val="baseline"/>
                <w:lang w:val="en-US" w:eastAsia="zh-CN"/>
              </w:rPr>
              <w:t xml:space="preserve">4</w:t>
            </w:r>
            <w:r/>
          </w:p>
        </w:tc>
        <w:tc>
          <w:tcPr>
            <w:tcW w:w="3291" w:type="dxa"/>
            <w:vAlign w:val="center"/>
            <w:textDirection w:val="lrTb"/>
            <w:noWrap w:val="false"/>
          </w:tcPr>
          <w:p>
            <w:pPr>
              <w:jc w:val="both"/>
              <w:rPr>
                <w:rFonts w:hint="eastAsia" w:ascii="宋体" w:hAnsi="宋体" w:eastAsia="宋体"/>
                <w:b w:val="0"/>
                <w:bCs w:val="0"/>
                <w:color w:val="auto"/>
                <w:sz w:val="24"/>
                <w:szCs w:val="24"/>
                <w:highlight w:val="none"/>
                <w:vertAlign w:val="baseline"/>
              </w:rPr>
            </w:pPr>
            <w:r>
              <w:rPr>
                <w:rFonts w:hint="eastAsia" w:ascii="宋体" w:hAnsi="宋体" w:eastAsia="宋体"/>
                <w:b w:val="0"/>
                <w:bCs w:val="0"/>
                <w:color w:val="auto"/>
                <w:sz w:val="24"/>
                <w:szCs w:val="24"/>
                <w:highlight w:val="none"/>
                <w:vertAlign w:val="baseline"/>
              </w:rPr>
              <w:t xml:space="preserve">高压软管</w:t>
            </w:r>
            <w:r/>
          </w:p>
        </w:tc>
        <w:tc>
          <w:tcPr>
            <w:tcW w:w="146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91"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0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883"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r>
      <w:tr>
        <w:trPr>
          <w:trHeight w:val="665"/>
        </w:trPr>
        <w:tc>
          <w:tcPr>
            <w:tcW w:w="896" w:type="dxa"/>
            <w:vAlign w:val="center"/>
            <w:textDirection w:val="lrTb"/>
            <w:noWrap w:val="false"/>
          </w:tcPr>
          <w:p>
            <w:pPr>
              <w:jc w:val="center"/>
              <w:rPr>
                <w:rFonts w:hint="eastAsia" w:ascii="宋体" w:hAnsi="宋体" w:eastAsia="宋体"/>
                <w:b w:val="0"/>
                <w:bCs w:val="0"/>
                <w:color w:val="auto"/>
                <w:sz w:val="24"/>
                <w:szCs w:val="24"/>
                <w:highlight w:val="none"/>
                <w:vertAlign w:val="baseline"/>
                <w:lang w:val="en-US" w:eastAsia="zh-CN"/>
              </w:rPr>
            </w:pPr>
            <w:r>
              <w:rPr>
                <w:rFonts w:hint="eastAsia" w:ascii="宋体" w:hAnsi="宋体" w:eastAsia="宋体"/>
                <w:b w:val="0"/>
                <w:bCs w:val="0"/>
                <w:color w:val="auto"/>
                <w:sz w:val="24"/>
                <w:szCs w:val="24"/>
                <w:highlight w:val="none"/>
                <w:vertAlign w:val="baseline"/>
                <w:lang w:val="en-US" w:eastAsia="zh-CN"/>
              </w:rPr>
              <w:t xml:space="preserve">5</w:t>
            </w:r>
            <w:r/>
          </w:p>
        </w:tc>
        <w:tc>
          <w:tcPr>
            <w:tcW w:w="3291" w:type="dxa"/>
            <w:vAlign w:val="center"/>
            <w:textDirection w:val="lrTb"/>
            <w:noWrap w:val="false"/>
          </w:tcPr>
          <w:p>
            <w:pPr>
              <w:jc w:val="both"/>
              <w:rPr>
                <w:rFonts w:hint="eastAsia" w:ascii="宋体" w:hAnsi="宋体" w:eastAsia="宋体"/>
                <w:b w:val="0"/>
                <w:bCs w:val="0"/>
                <w:color w:val="auto"/>
                <w:sz w:val="24"/>
                <w:szCs w:val="24"/>
                <w:highlight w:val="none"/>
                <w:vertAlign w:val="baseline"/>
              </w:rPr>
            </w:pPr>
            <w:r>
              <w:rPr>
                <w:rFonts w:hint="eastAsia" w:ascii="宋体" w:hAnsi="宋体" w:eastAsia="宋体"/>
                <w:b w:val="0"/>
                <w:bCs w:val="0"/>
                <w:color w:val="auto"/>
                <w:sz w:val="24"/>
                <w:szCs w:val="24"/>
                <w:highlight w:val="none"/>
                <w:vertAlign w:val="baseline"/>
              </w:rPr>
              <w:t xml:space="preserve">油缸关节轴承、轴套</w:t>
            </w:r>
            <w:r/>
          </w:p>
        </w:tc>
        <w:tc>
          <w:tcPr>
            <w:tcW w:w="146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91"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0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883"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r>
      <w:tr>
        <w:trPr>
          <w:trHeight w:val="665"/>
        </w:trPr>
        <w:tc>
          <w:tcPr>
            <w:tcW w:w="896" w:type="dxa"/>
            <w:vAlign w:val="center"/>
            <w:textDirection w:val="lrTb"/>
            <w:noWrap w:val="false"/>
          </w:tcPr>
          <w:p>
            <w:pPr>
              <w:jc w:val="center"/>
              <w:rPr>
                <w:rFonts w:hint="eastAsia" w:ascii="宋体" w:hAnsi="宋体" w:eastAsia="宋体"/>
                <w:b w:val="0"/>
                <w:bCs w:val="0"/>
                <w:color w:val="auto"/>
                <w:sz w:val="24"/>
                <w:szCs w:val="24"/>
                <w:highlight w:val="none"/>
                <w:vertAlign w:val="baseline"/>
                <w:lang w:val="en-US" w:eastAsia="zh-CN"/>
              </w:rPr>
            </w:pPr>
            <w:r>
              <w:rPr>
                <w:rFonts w:hint="eastAsia" w:ascii="宋体" w:hAnsi="宋体" w:eastAsia="宋体"/>
                <w:b w:val="0"/>
                <w:bCs w:val="0"/>
                <w:color w:val="auto"/>
                <w:sz w:val="24"/>
                <w:szCs w:val="24"/>
                <w:highlight w:val="none"/>
                <w:vertAlign w:val="baseline"/>
                <w:lang w:val="en-US" w:eastAsia="zh-CN"/>
              </w:rPr>
              <w:t xml:space="preserve">6</w:t>
            </w:r>
            <w:r/>
          </w:p>
        </w:tc>
        <w:tc>
          <w:tcPr>
            <w:tcW w:w="3291" w:type="dxa"/>
            <w:vAlign w:val="center"/>
            <w:textDirection w:val="lrTb"/>
            <w:noWrap w:val="false"/>
          </w:tcPr>
          <w:p>
            <w:pPr>
              <w:jc w:val="both"/>
              <w:rPr>
                <w:rFonts w:hint="eastAsia" w:ascii="宋体" w:hAnsi="宋体" w:eastAsia="宋体"/>
                <w:b w:val="0"/>
                <w:bCs w:val="0"/>
                <w:color w:val="auto"/>
                <w:sz w:val="24"/>
                <w:szCs w:val="24"/>
                <w:highlight w:val="none"/>
                <w:vertAlign w:val="baseline"/>
              </w:rPr>
            </w:pPr>
            <w:r>
              <w:rPr>
                <w:rFonts w:hint="eastAsia" w:ascii="宋体" w:hAnsi="宋体" w:eastAsia="宋体"/>
                <w:b w:val="0"/>
                <w:bCs w:val="0"/>
                <w:color w:val="auto"/>
                <w:sz w:val="24"/>
                <w:szCs w:val="24"/>
                <w:highlight w:val="none"/>
                <w:vertAlign w:val="baseline"/>
              </w:rPr>
              <w:t xml:space="preserve">节制闸液压站3套电机</w:t>
            </w:r>
            <w:r/>
          </w:p>
        </w:tc>
        <w:tc>
          <w:tcPr>
            <w:tcW w:w="146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91"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0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883"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r>
      <w:tr>
        <w:trPr>
          <w:trHeight w:val="665"/>
        </w:trPr>
        <w:tc>
          <w:tcPr>
            <w:tcW w:w="896" w:type="dxa"/>
            <w:vAlign w:val="center"/>
            <w:textDirection w:val="lrTb"/>
            <w:noWrap w:val="false"/>
          </w:tcPr>
          <w:p>
            <w:pPr>
              <w:jc w:val="center"/>
              <w:rPr>
                <w:rFonts w:hint="default" w:ascii="宋体" w:hAnsi="宋体" w:eastAsia="宋体"/>
                <w:b w:val="0"/>
                <w:bCs w:val="0"/>
                <w:color w:val="auto"/>
                <w:sz w:val="24"/>
                <w:szCs w:val="24"/>
                <w:highlight w:val="none"/>
                <w:vertAlign w:val="baseline"/>
                <w:lang w:val="en-US" w:eastAsia="zh-CN"/>
              </w:rPr>
            </w:pPr>
            <w:r>
              <w:rPr>
                <w:rFonts w:hint="eastAsia" w:ascii="宋体" w:hAnsi="宋体" w:eastAsia="宋体"/>
                <w:b w:val="0"/>
                <w:bCs w:val="0"/>
                <w:color w:val="auto"/>
                <w:sz w:val="24"/>
                <w:szCs w:val="24"/>
                <w:highlight w:val="none"/>
                <w:vertAlign w:val="baseline"/>
                <w:lang w:val="en-US" w:eastAsia="zh-CN"/>
              </w:rPr>
              <w:t xml:space="preserve">7</w:t>
            </w:r>
            <w:r/>
          </w:p>
        </w:tc>
        <w:tc>
          <w:tcPr>
            <w:tcW w:w="3291" w:type="dxa"/>
            <w:vAlign w:val="center"/>
            <w:textDirection w:val="lrTb"/>
            <w:noWrap w:val="false"/>
          </w:tcPr>
          <w:p>
            <w:pPr>
              <w:jc w:val="both"/>
              <w:rPr>
                <w:rFonts w:hint="eastAsia" w:ascii="宋体" w:hAnsi="宋体" w:eastAsia="宋体"/>
                <w:b w:val="0"/>
                <w:bCs w:val="0"/>
                <w:color w:val="auto"/>
                <w:sz w:val="24"/>
                <w:szCs w:val="24"/>
                <w:highlight w:val="none"/>
                <w:vertAlign w:val="baseline"/>
              </w:rPr>
            </w:pPr>
            <w:r>
              <w:rPr>
                <w:rFonts w:hint="eastAsia" w:ascii="宋体" w:hAnsi="宋体" w:eastAsia="宋体"/>
                <w:b w:val="0"/>
                <w:bCs w:val="0"/>
                <w:color w:val="auto"/>
                <w:sz w:val="24"/>
                <w:szCs w:val="24"/>
                <w:highlight w:val="none"/>
                <w:vertAlign w:val="baseline"/>
              </w:rPr>
              <w:t xml:space="preserve">陶瓷活塞杆</w:t>
            </w:r>
            <w:r/>
          </w:p>
        </w:tc>
        <w:tc>
          <w:tcPr>
            <w:tcW w:w="146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91"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0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883"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r>
      <w:tr>
        <w:trPr>
          <w:trHeight w:val="665"/>
        </w:trPr>
        <w:tc>
          <w:tcPr>
            <w:shd w:val="clear" w:color="auto" w:fill="auto"/>
            <w:tcW w:w="896" w:type="dxa"/>
            <w:vAlign w:val="center"/>
            <w:textDirection w:val="lrTb"/>
            <w:noWrap w:val="false"/>
          </w:tcPr>
          <w:p>
            <w:pPr>
              <w:jc w:val="center"/>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b w:val="0"/>
                <w:bCs w:val="0"/>
                <w:color w:val="auto"/>
                <w:sz w:val="24"/>
                <w:szCs w:val="24"/>
                <w:highlight w:val="none"/>
                <w:vertAlign w:val="baseline"/>
                <w:lang w:val="en-US" w:eastAsia="zh-CN"/>
              </w:rPr>
              <w:t xml:space="preserve">8</w:t>
            </w:r>
            <w:r/>
          </w:p>
        </w:tc>
        <w:tc>
          <w:tcPr>
            <w:tcW w:w="3291" w:type="dxa"/>
            <w:vAlign w:val="center"/>
            <w:textDirection w:val="lrTb"/>
            <w:noWrap w:val="false"/>
          </w:tcPr>
          <w:p>
            <w:pPr>
              <w:jc w:val="both"/>
              <w:rPr>
                <w:rFonts w:hint="eastAsia" w:ascii="宋体" w:hAnsi="宋体" w:eastAsia="宋体"/>
                <w:b w:val="0"/>
                <w:bCs w:val="0"/>
                <w:color w:val="auto"/>
                <w:sz w:val="24"/>
                <w:szCs w:val="24"/>
                <w:highlight w:val="none"/>
                <w:vertAlign w:val="baseline"/>
              </w:rPr>
            </w:pPr>
            <w:r>
              <w:rPr>
                <w:rFonts w:hint="eastAsia" w:ascii="宋体" w:hAnsi="宋体" w:eastAsia="宋体"/>
                <w:b w:val="0"/>
                <w:bCs w:val="0"/>
                <w:color w:val="auto"/>
                <w:sz w:val="24"/>
                <w:szCs w:val="24"/>
                <w:highlight w:val="none"/>
                <w:vertAlign w:val="baseline"/>
              </w:rPr>
              <w:t xml:space="preserve">陶瓷杆专用行程检测装置</w:t>
            </w:r>
            <w:r/>
          </w:p>
        </w:tc>
        <w:tc>
          <w:tcPr>
            <w:tcW w:w="146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91"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0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883"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r>
      <w:tr>
        <w:trPr>
          <w:trHeight w:val="665"/>
        </w:trPr>
        <w:tc>
          <w:tcPr>
            <w:shd w:val="clear" w:color="auto" w:fill="auto"/>
            <w:tcW w:w="896" w:type="dxa"/>
            <w:vAlign w:val="center"/>
            <w:textDirection w:val="lrTb"/>
            <w:noWrap w:val="false"/>
          </w:tcPr>
          <w:p>
            <w:pPr>
              <w:jc w:val="center"/>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b w:val="0"/>
                <w:bCs w:val="0"/>
                <w:color w:val="auto"/>
                <w:sz w:val="24"/>
                <w:szCs w:val="24"/>
                <w:highlight w:val="none"/>
                <w:vertAlign w:val="baseline"/>
                <w:lang w:val="en-US" w:eastAsia="zh-CN"/>
              </w:rPr>
              <w:t xml:space="preserve">9</w:t>
            </w:r>
            <w:r/>
          </w:p>
        </w:tc>
        <w:tc>
          <w:tcPr>
            <w:tcW w:w="3291" w:type="dxa"/>
            <w:vAlign w:val="center"/>
            <w:textDirection w:val="lrTb"/>
            <w:noWrap w:val="false"/>
          </w:tcPr>
          <w:p>
            <w:pPr>
              <w:jc w:val="both"/>
              <w:rPr>
                <w:rFonts w:hint="eastAsia" w:ascii="宋体" w:hAnsi="宋体" w:eastAsia="宋体"/>
                <w:b w:val="0"/>
                <w:bCs w:val="0"/>
                <w:color w:val="auto"/>
                <w:sz w:val="24"/>
                <w:szCs w:val="24"/>
                <w:highlight w:val="none"/>
                <w:vertAlign w:val="baseline"/>
              </w:rPr>
            </w:pPr>
            <w:r>
              <w:rPr>
                <w:rFonts w:hint="eastAsia" w:ascii="宋体" w:hAnsi="宋体" w:eastAsia="宋体"/>
                <w:b w:val="0"/>
                <w:bCs w:val="0"/>
                <w:color w:val="auto"/>
                <w:sz w:val="24"/>
                <w:szCs w:val="24"/>
                <w:highlight w:val="none"/>
                <w:vertAlign w:val="baseline"/>
              </w:rPr>
              <w:t xml:space="preserve">静磁栅行程检测装置</w:t>
            </w:r>
            <w:r/>
          </w:p>
        </w:tc>
        <w:tc>
          <w:tcPr>
            <w:tcW w:w="146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91"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0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883"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r>
      <w:tr>
        <w:trPr>
          <w:trHeight w:val="665"/>
        </w:trPr>
        <w:tc>
          <w:tcPr>
            <w:shd w:val="clear" w:color="auto" w:fill="auto"/>
            <w:tcW w:w="896" w:type="dxa"/>
            <w:vAlign w:val="center"/>
            <w:textDirection w:val="lrTb"/>
            <w:noWrap w:val="false"/>
          </w:tcPr>
          <w:p>
            <w:pPr>
              <w:jc w:val="center"/>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eastAsia="宋体"/>
                <w:b w:val="0"/>
                <w:bCs w:val="0"/>
                <w:color w:val="auto"/>
                <w:sz w:val="24"/>
                <w:szCs w:val="24"/>
                <w:highlight w:val="none"/>
                <w:vertAlign w:val="baseline"/>
                <w:lang w:val="en-US" w:eastAsia="zh-CN"/>
              </w:rPr>
              <w:t xml:space="preserve">10</w:t>
            </w:r>
            <w:r/>
          </w:p>
        </w:tc>
        <w:tc>
          <w:tcPr>
            <w:shd w:val="clear" w:color="auto" w:fill="auto"/>
            <w:tcW w:w="3291" w:type="dxa"/>
            <w:vAlign w:val="center"/>
            <w:textDirection w:val="lrTb"/>
            <w:noWrap w:val="false"/>
          </w:tcPr>
          <w:p>
            <w:pPr>
              <w:jc w:val="both"/>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b w:val="0"/>
                <w:bCs w:val="0"/>
                <w:color w:val="auto"/>
                <w:sz w:val="24"/>
                <w:szCs w:val="24"/>
                <w:highlight w:val="none"/>
                <w:vertAlign w:val="baseline"/>
              </w:rPr>
              <w:t xml:space="preserve">压力传感器</w:t>
            </w:r>
            <w:r/>
          </w:p>
        </w:tc>
        <w:tc>
          <w:tcPr>
            <w:tcW w:w="146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91"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0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883"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r>
      <w:tr>
        <w:trPr>
          <w:trHeight w:val="665"/>
        </w:trPr>
        <w:tc>
          <w:tcPr>
            <w:shd w:val="clear" w:color="auto" w:fill="auto"/>
            <w:tcW w:w="896" w:type="dxa"/>
            <w:vAlign w:val="center"/>
            <w:textDirection w:val="lrTb"/>
            <w:noWrap w:val="false"/>
          </w:tcPr>
          <w:p>
            <w:pPr>
              <w:jc w:val="center"/>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eastAsia="宋体"/>
                <w:b w:val="0"/>
                <w:bCs w:val="0"/>
                <w:color w:val="auto"/>
                <w:sz w:val="24"/>
                <w:szCs w:val="24"/>
                <w:highlight w:val="none"/>
                <w:vertAlign w:val="baseline"/>
                <w:lang w:val="en-US" w:eastAsia="zh-CN"/>
              </w:rPr>
              <w:t xml:space="preserve">11</w:t>
            </w:r>
            <w:r/>
          </w:p>
        </w:tc>
        <w:tc>
          <w:tcPr>
            <w:shd w:val="clear" w:color="auto" w:fill="auto"/>
            <w:tcW w:w="3291" w:type="dxa"/>
            <w:vAlign w:val="center"/>
            <w:textDirection w:val="lrTb"/>
            <w:noWrap w:val="false"/>
          </w:tcPr>
          <w:p>
            <w:pPr>
              <w:jc w:val="both"/>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b w:val="0"/>
                <w:bCs w:val="0"/>
                <w:color w:val="auto"/>
                <w:sz w:val="24"/>
                <w:szCs w:val="24"/>
                <w:highlight w:val="none"/>
                <w:vertAlign w:val="baseline"/>
              </w:rPr>
              <w:t xml:space="preserve">仪表等附件</w:t>
            </w:r>
            <w:r/>
          </w:p>
        </w:tc>
        <w:tc>
          <w:tcPr>
            <w:tcW w:w="146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91"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0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883"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r>
      <w:tr>
        <w:trPr>
          <w:trHeight w:val="665"/>
        </w:trPr>
        <w:tc>
          <w:tcPr>
            <w:shd w:val="clear" w:color="auto" w:fill="auto"/>
            <w:tcW w:w="896" w:type="dxa"/>
            <w:vAlign w:val="center"/>
            <w:textDirection w:val="lrTb"/>
            <w:noWrap w:val="false"/>
          </w:tcPr>
          <w:p>
            <w:pPr>
              <w:jc w:val="center"/>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eastAsia="宋体"/>
                <w:b w:val="0"/>
                <w:bCs w:val="0"/>
                <w:color w:val="auto"/>
                <w:sz w:val="24"/>
                <w:szCs w:val="24"/>
                <w:highlight w:val="none"/>
                <w:vertAlign w:val="baseline"/>
                <w:lang w:val="en-US" w:eastAsia="zh-CN"/>
              </w:rPr>
              <w:t xml:space="preserve">12</w:t>
            </w:r>
            <w:r/>
          </w:p>
        </w:tc>
        <w:tc>
          <w:tcPr>
            <w:tcW w:w="3291" w:type="dxa"/>
            <w:vAlign w:val="center"/>
            <w:textDirection w:val="lrTb"/>
            <w:noWrap w:val="false"/>
          </w:tcPr>
          <w:p>
            <w:pPr>
              <w:jc w:val="both"/>
              <w:rPr>
                <w:rFonts w:hint="eastAsia" w:ascii="宋体" w:hAnsi="宋体" w:eastAsia="宋体"/>
                <w:b w:val="0"/>
                <w:bCs w:val="0"/>
                <w:color w:val="auto"/>
                <w:sz w:val="24"/>
                <w:szCs w:val="24"/>
                <w:highlight w:val="none"/>
                <w:vertAlign w:val="baseline"/>
              </w:rPr>
            </w:pPr>
            <w:r>
              <w:rPr>
                <w:rFonts w:hint="eastAsia" w:ascii="宋体" w:hAnsi="宋体" w:eastAsia="宋体"/>
                <w:b w:val="0"/>
                <w:bCs w:val="0"/>
                <w:color w:val="auto"/>
                <w:sz w:val="24"/>
                <w:szCs w:val="24"/>
                <w:highlight w:val="none"/>
                <w:vertAlign w:val="baseline"/>
              </w:rPr>
            </w:r>
            <w:r/>
          </w:p>
        </w:tc>
        <w:tc>
          <w:tcPr>
            <w:tcW w:w="146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91"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0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883"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r>
      <w:tr>
        <w:trPr>
          <w:trHeight w:val="677"/>
        </w:trPr>
        <w:tc>
          <w:tcPr>
            <w:shd w:val="clear" w:color="auto" w:fill="auto"/>
            <w:tcW w:w="896" w:type="dxa"/>
            <w:vAlign w:val="center"/>
            <w:textDirection w:val="lrTb"/>
            <w:noWrap w:val="false"/>
          </w:tcPr>
          <w:p>
            <w:pPr>
              <w:jc w:val="center"/>
              <w:rPr>
                <w:rFonts w:hint="default" w:ascii="宋体" w:hAnsi="宋体" w:eastAsia="宋体" w:cs="宋体"/>
                <w:b w:val="0"/>
                <w:bCs w:val="0"/>
                <w:color w:val="auto"/>
                <w:sz w:val="24"/>
                <w:szCs w:val="24"/>
                <w:highlight w:val="none"/>
                <w:vertAlign w:val="baseline"/>
                <w:lang w:val="en-US" w:eastAsia="zh-CN" w:bidi="ar-SA"/>
              </w:rPr>
            </w:pPr>
            <w:r>
              <w:rPr>
                <w:rFonts w:hint="eastAsia" w:ascii="宋体" w:hAnsi="宋体" w:eastAsia="宋体"/>
                <w:b w:val="0"/>
                <w:bCs w:val="0"/>
                <w:color w:val="auto"/>
                <w:sz w:val="24"/>
                <w:szCs w:val="24"/>
                <w:highlight w:val="none"/>
                <w:vertAlign w:val="baseline"/>
                <w:lang w:val="en-US" w:eastAsia="zh-CN"/>
              </w:rPr>
              <w:t xml:space="preserve">13</w:t>
            </w:r>
            <w:r/>
          </w:p>
        </w:tc>
        <w:tc>
          <w:tcPr>
            <w:tcW w:w="3291" w:type="dxa"/>
            <w:vAlign w:val="center"/>
            <w:textDirection w:val="lrTb"/>
            <w:noWrap w:val="false"/>
          </w:tcPr>
          <w:p>
            <w:pPr>
              <w:jc w:val="both"/>
              <w:rPr>
                <w:rFonts w:hint="eastAsia" w:ascii="宋体" w:hAnsi="宋体" w:eastAsia="宋体"/>
                <w:b w:val="0"/>
                <w:bCs w:val="0"/>
                <w:color w:val="auto"/>
                <w:sz w:val="24"/>
                <w:szCs w:val="24"/>
                <w:highlight w:val="none"/>
                <w:vertAlign w:val="baseline"/>
              </w:rPr>
            </w:pPr>
            <w:r>
              <w:rPr>
                <w:rFonts w:hint="eastAsia" w:ascii="宋体" w:hAnsi="宋体" w:eastAsia="宋体"/>
                <w:b w:val="0"/>
                <w:bCs w:val="0"/>
                <w:color w:val="auto"/>
                <w:sz w:val="24"/>
                <w:szCs w:val="24"/>
                <w:highlight w:val="none"/>
                <w:vertAlign w:val="baseline"/>
              </w:rPr>
            </w:r>
            <w:r/>
          </w:p>
        </w:tc>
        <w:tc>
          <w:tcPr>
            <w:tcW w:w="146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91"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1108"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c>
          <w:tcPr>
            <w:tcW w:w="883" w:type="dxa"/>
            <w:vAlign w:val="center"/>
            <w:textDirection w:val="lrTb"/>
            <w:noWrap w:val="false"/>
          </w:tcPr>
          <w:p>
            <w:pPr>
              <w:jc w:val="center"/>
              <w:rPr>
                <w:rFonts w:hint="eastAsia" w:ascii="宋体" w:hAnsi="宋体" w:eastAsia="宋体"/>
                <w:b/>
                <w:bCs/>
                <w:color w:val="auto"/>
                <w:sz w:val="24"/>
                <w:szCs w:val="24"/>
                <w:highlight w:val="none"/>
                <w:vertAlign w:val="baseline"/>
              </w:rPr>
            </w:pPr>
            <w:r>
              <w:rPr>
                <w:rFonts w:hint="eastAsia" w:ascii="宋体" w:hAnsi="宋体" w:eastAsia="宋体"/>
                <w:b/>
                <w:bCs/>
                <w:color w:val="auto"/>
                <w:sz w:val="24"/>
                <w:szCs w:val="24"/>
                <w:highlight w:val="none"/>
                <w:vertAlign w:val="baseline"/>
              </w:rPr>
            </w:r>
            <w:r/>
          </w:p>
        </w:tc>
      </w:tr>
    </w:tbl>
    <w:p>
      <w:pPr>
        <w:pStyle w:val="854"/>
        <w:numPr>
          <w:ilvl w:val="0"/>
          <w:numId w:val="0"/>
        </w:numPr>
        <w:spacing w:after="0" w:line="240" w:lineRule="auto"/>
        <w:rPr>
          <w:rFonts w:hAnsi="宋体"/>
          <w:color w:val="auto"/>
          <w:highlight w:val="none"/>
        </w:rPr>
      </w:pPr>
      <w:r>
        <w:rPr>
          <w:rFonts w:hAnsi="宋体"/>
          <w:color w:val="auto"/>
          <w:highlight w:val="none"/>
        </w:rPr>
      </w:r>
      <w:r/>
    </w:p>
    <w:p>
      <w:pPr>
        <w:jc w:val="center"/>
        <w:rPr>
          <w:rFonts w:hint="eastAsia" w:ascii="宋体" w:hAnsi="宋体" w:eastAsia="宋体"/>
          <w:b/>
          <w:bCs/>
          <w:color w:val="auto"/>
          <w:sz w:val="32"/>
          <w:szCs w:val="32"/>
          <w:highlight w:val="none"/>
          <w:lang w:val="en-US" w:eastAsia="zh-CN"/>
        </w:rPr>
      </w:pPr>
      <w:r>
        <w:rPr>
          <w:rFonts w:hint="eastAsia" w:ascii="宋体" w:hAnsi="宋体" w:eastAsia="宋体"/>
          <w:b/>
          <w:bCs/>
          <w:color w:val="auto"/>
          <w:sz w:val="32"/>
          <w:szCs w:val="32"/>
          <w:highlight w:val="none"/>
          <w:lang w:val="en-US" w:eastAsia="zh-CN"/>
        </w:rPr>
      </w:r>
      <w:r/>
    </w:p>
    <w:p>
      <w:pPr>
        <w:pStyle w:val="854"/>
        <w:numPr>
          <w:ilvl w:val="0"/>
          <w:numId w:val="0"/>
        </w:numPr>
        <w:spacing w:after="0" w:line="240" w:lineRule="auto"/>
        <w:rPr>
          <w:rFonts w:hAnsi="宋体"/>
          <w:color w:val="auto"/>
          <w:highlight w:val="none"/>
        </w:rPr>
        <w:sectPr>
          <w:footerReference w:type="default" r:id="rId11"/>
          <w:footnotePr/>
          <w:endnotePr/>
          <w:type w:val="nextPage"/>
          <w:pgSz w:w="11906" w:h="16838" w:orient="portrait"/>
          <w:pgMar w:top="1440" w:right="1417" w:bottom="1440" w:left="1417" w:header="850" w:footer="992" w:gutter="0"/>
          <w:cols w:num="1" w:sep="0" w:space="1701" w:equalWidth="1"/>
          <w:docGrid w:linePitch="360"/>
        </w:sectPr>
      </w:pPr>
      <w:r>
        <w:rPr>
          <w:rFonts w:hAnsi="宋体"/>
          <w:color w:val="auto"/>
          <w:highlight w:val="none"/>
        </w:rPr>
      </w:r>
      <w:r/>
    </w:p>
    <w:p>
      <w:pPr>
        <w:pageBreakBefore/>
        <w:spacing w:after="0" w:line="360" w:lineRule="auto"/>
        <w:rPr>
          <w:rFonts w:ascii="宋体" w:hAnsi="宋体"/>
          <w:b/>
          <w:bCs/>
          <w:color w:val="auto"/>
          <w:sz w:val="32"/>
          <w:szCs w:val="32"/>
          <w:highlight w:val="none"/>
        </w:rPr>
      </w:pPr>
      <w:r>
        <w:rPr>
          <w:rFonts w:hint="eastAsia" w:ascii="宋体" w:hAnsi="宋体"/>
          <w:b/>
          <w:color w:val="auto"/>
          <w:sz w:val="32"/>
          <w:szCs w:val="32"/>
          <w:highlight w:val="none"/>
        </w:rPr>
        <w:t xml:space="preserve">（十）投标偏离表（格式）：</w:t>
      </w:r>
      <w:r/>
    </w:p>
    <w:p>
      <w:pPr>
        <w:jc w:val="center"/>
        <w:spacing w:after="0"/>
        <w:rPr>
          <w:rFonts w:ascii="宋体" w:hAnsi="宋体"/>
          <w:b/>
          <w:color w:val="auto"/>
          <w:sz w:val="32"/>
          <w:szCs w:val="32"/>
          <w:highlight w:val="none"/>
        </w:rPr>
      </w:pPr>
      <w:r>
        <w:rPr>
          <w:rFonts w:ascii="宋体" w:hAnsi="宋体"/>
          <w:b/>
          <w:color w:val="auto"/>
          <w:sz w:val="32"/>
          <w:szCs w:val="32"/>
          <w:highlight w:val="none"/>
        </w:rPr>
      </w:r>
      <w:r/>
    </w:p>
    <w:p>
      <w:pPr>
        <w:jc w:val="center"/>
        <w:spacing w:after="0"/>
        <w:rPr>
          <w:rFonts w:ascii="宋体" w:hAnsi="宋体"/>
          <w:b/>
          <w:color w:val="auto"/>
          <w:sz w:val="32"/>
          <w:szCs w:val="32"/>
          <w:highlight w:val="none"/>
        </w:rPr>
      </w:pPr>
      <w:r>
        <w:rPr>
          <w:rFonts w:hint="eastAsia" w:ascii="宋体" w:hAnsi="宋体"/>
          <w:b/>
          <w:color w:val="auto"/>
          <w:sz w:val="32"/>
          <w:szCs w:val="32"/>
          <w:highlight w:val="none"/>
        </w:rPr>
        <w:t xml:space="preserve">投标偏离表</w:t>
      </w:r>
      <w:r/>
    </w:p>
    <w:p>
      <w:pPr>
        <w:spacing w:after="0" w:line="400" w:lineRule="exact"/>
        <w:rPr>
          <w:rFonts w:ascii="宋体" w:hAnsi="宋体"/>
          <w:bCs/>
          <w:color w:val="auto"/>
          <w:sz w:val="24"/>
          <w:szCs w:val="24"/>
          <w:highlight w:val="none"/>
        </w:rPr>
      </w:pPr>
      <w:r>
        <w:rPr>
          <w:rFonts w:ascii="宋体" w:hAnsi="宋体"/>
          <w:bCs/>
          <w:color w:val="auto"/>
          <w:sz w:val="24"/>
          <w:szCs w:val="24"/>
          <w:highlight w:val="none"/>
        </w:rPr>
      </w:r>
      <w:r/>
    </w:p>
    <w:p>
      <w:pPr>
        <w:spacing w:after="0" w:line="400" w:lineRule="exact"/>
        <w:rPr>
          <w:rFonts w:ascii="宋体" w:hAnsi="宋体"/>
          <w:bCs/>
          <w:color w:val="auto"/>
          <w:sz w:val="28"/>
          <w:szCs w:val="28"/>
          <w:highlight w:val="none"/>
        </w:rPr>
      </w:pPr>
      <w:r>
        <w:rPr>
          <w:rFonts w:hint="eastAsia" w:ascii="宋体" w:hAnsi="宋体"/>
          <w:bCs/>
          <w:color w:val="auto"/>
          <w:sz w:val="28"/>
          <w:szCs w:val="28"/>
          <w:highlight w:val="none"/>
        </w:rPr>
        <w:t xml:space="preserve">投标供应商名称（盖章）                                采购项目编号：</w:t>
      </w:r>
      <w:r>
        <w:rPr>
          <w:rFonts w:hint="eastAsia" w:ascii="宋体" w:hAnsi="宋体"/>
          <w:bCs/>
          <w:color w:val="auto"/>
          <w:sz w:val="28"/>
          <w:szCs w:val="28"/>
          <w:highlight w:val="none"/>
          <w:lang w:eastAsia="zh-CN"/>
        </w:rPr>
        <w:t xml:space="preserve">JSZC-320200-RHZH-G2026-0048</w:t>
      </w:r>
      <w:r>
        <w:rPr>
          <w:rFonts w:hint="eastAsia" w:ascii="宋体" w:hAnsi="宋体"/>
          <w:bCs/>
          <w:color w:val="auto"/>
          <w:sz w:val="28"/>
          <w:szCs w:val="28"/>
          <w:highlight w:val="none"/>
        </w:rPr>
        <w:t xml:space="preserve"> </w:t>
      </w:r>
      <w:r/>
    </w:p>
    <w:p>
      <w:pPr>
        <w:spacing w:after="0" w:line="400" w:lineRule="exact"/>
        <w:rPr>
          <w:rFonts w:ascii="宋体" w:hAnsi="宋体"/>
          <w:bCs/>
          <w:color w:val="auto"/>
          <w:sz w:val="24"/>
          <w:szCs w:val="24"/>
          <w:highlight w:val="none"/>
        </w:rPr>
      </w:pPr>
      <w:r>
        <w:rPr>
          <w:rFonts w:ascii="宋体" w:hAnsi="宋体"/>
          <w:bCs/>
          <w:color w:val="auto"/>
          <w:sz w:val="24"/>
          <w:szCs w:val="24"/>
          <w:highlight w:val="none"/>
        </w:rPr>
      </w:r>
      <w:r/>
    </w:p>
    <w:tbl>
      <w:tblPr>
        <w:tblStyle w:val="838"/>
        <w:tblW w:w="14458" w:type="dxa"/>
        <w:jc w:val="center"/>
        <w:tblLayout w:type="fixed"/>
        <w:tblCellMar>
          <w:left w:w="15" w:type="dxa"/>
          <w:top w:w="15" w:type="dxa"/>
          <w:right w:w="15" w:type="dxa"/>
          <w:bottom w:w="0" w:type="dxa"/>
        </w:tblCellMar>
        <w:tblLook w:val="04A0" w:firstRow="1" w:lastRow="0" w:firstColumn="1" w:lastColumn="0" w:noHBand="0" w:noVBand="1"/>
      </w:tblPr>
      <w:tblGrid>
        <w:gridCol w:w="1466"/>
        <w:gridCol w:w="7500"/>
        <w:gridCol w:w="4390"/>
        <w:gridCol w:w="1102"/>
      </w:tblGrid>
      <w:tr>
        <w:trPr>
          <w:cantSplit/>
          <w:jc w:val="center"/>
          <w:trHeight w:val="7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66" w:type="dxa"/>
            <w:vAlign w:val="center"/>
            <w:textDirection w:val="lrTb"/>
            <w:noWrap/>
          </w:tcPr>
          <w:p>
            <w:pPr>
              <w:jc w:val="center"/>
              <w:spacing w:after="0"/>
              <w:rPr>
                <w:rFonts w:ascii="宋体" w:hAns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7500" w:type="dxa"/>
            <w:vAlign w:val="center"/>
            <w:textDirection w:val="lrTb"/>
            <w:noWrap w:val="false"/>
          </w:tcPr>
          <w:p>
            <w:pPr>
              <w:jc w:val="center"/>
              <w:spacing w:after="0"/>
              <w:rPr>
                <w:rFonts w:ascii="宋体" w:hAns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spacing w:after="0"/>
              <w:rPr>
                <w:rFonts w:ascii="宋体" w:hAns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spacing w:after="0"/>
              <w:rPr>
                <w:rFonts w:ascii="宋体" w:hAns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10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66" w:type="dxa"/>
            <w:vAlign w:val="center"/>
            <w:textDirection w:val="lrTb"/>
            <w:noWrap/>
          </w:tcPr>
          <w:p>
            <w:pPr>
              <w:jc w:val="center"/>
              <w:spacing w:after="0"/>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液压启闭设备制造商</w:t>
            </w:r>
            <w:r/>
          </w:p>
        </w:tc>
        <w:tc>
          <w:tcPr>
            <w:tcBorders>
              <w:top w:val="single" w:color="000000" w:sz="4" w:space="0"/>
              <w:left w:val="single" w:color="000000" w:sz="4" w:space="0"/>
              <w:bottom w:val="single" w:color="000000" w:sz="4" w:space="0"/>
              <w:right w:val="single" w:color="000000" w:sz="4" w:space="0"/>
            </w:tcBorders>
            <w:tcW w:w="7500" w:type="dxa"/>
            <w:vAlign w:val="center"/>
            <w:textDirection w:val="lrTb"/>
            <w:noWrap w:val="false"/>
          </w:tcPr>
          <w:p>
            <w:pPr>
              <w:jc w:val="both"/>
              <w:spacing w:after="0"/>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液压启闭设备制造商须为具有独立法人资格的生产制造商，具有水利部产品质量监督总站核发的中型及以上液压启闭机设计能力认可（备案）证书，相关证书原件扫描件加盖公章上传至投标文件。★</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spacing w:after="0"/>
              <w:rPr>
                <w:rFonts w:hint="eastAsia" w:ascii="宋体" w:hAnsi="宋体"/>
                <w:b/>
                <w:bCs/>
                <w:color w:val="auto"/>
                <w:sz w:val="24"/>
                <w:szCs w:val="24"/>
                <w:highlight w:val="none"/>
              </w:rPr>
            </w:pPr>
            <w:r>
              <w:rPr>
                <w:rFonts w:hint="eastAsia" w:ascii="宋体" w:hAnsi="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spacing w:after="0"/>
              <w:rPr>
                <w:rFonts w:hint="eastAsia" w:ascii="宋体" w:hAnsi="宋体"/>
                <w:b/>
                <w:bCs/>
                <w:color w:val="auto"/>
                <w:sz w:val="24"/>
                <w:szCs w:val="24"/>
                <w:highlight w:val="none"/>
              </w:rPr>
            </w:pPr>
            <w:r>
              <w:rPr>
                <w:rFonts w:hint="eastAsia" w:ascii="宋体" w:hAnsi="宋体"/>
                <w:b/>
                <w:bCs/>
                <w:color w:val="auto"/>
                <w:sz w:val="24"/>
                <w:szCs w:val="24"/>
                <w:highlight w:val="none"/>
              </w:rPr>
            </w:r>
            <w:r/>
          </w:p>
        </w:tc>
      </w:tr>
      <w:tr>
        <w:trPr>
          <w:cantSplit/>
          <w:jc w:val="center"/>
          <w:trHeight w:val="44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66" w:type="dxa"/>
            <w:vAlign w:val="center"/>
            <w:textDirection w:val="lrTb"/>
            <w:noWrap/>
          </w:tcPr>
          <w:p>
            <w:pPr>
              <w:jc w:val="center"/>
              <w:spacing w:after="0"/>
              <w:rPr>
                <w:rFonts w:ascii="宋体" w:hAnsi="宋体"/>
                <w:bCs/>
                <w:color w:val="auto"/>
                <w:sz w:val="24"/>
                <w:szCs w:val="24"/>
                <w:highlight w:val="none"/>
              </w:rPr>
            </w:pPr>
            <w:r>
              <w:rPr>
                <w:rFonts w:hint="eastAsia" w:ascii="宋体" w:hAnsi="宋体"/>
                <w:bCs/>
                <w:color w:val="auto"/>
                <w:sz w:val="24"/>
                <w:szCs w:val="24"/>
                <w:highlight w:val="none"/>
              </w:rPr>
              <w:t xml:space="preserve">节制闸液压启闭机★</w:t>
            </w:r>
            <w:r/>
          </w:p>
        </w:tc>
        <w:tc>
          <w:tcPr>
            <w:tcBorders>
              <w:top w:val="single" w:color="000000" w:sz="4" w:space="0"/>
              <w:left w:val="single" w:color="000000" w:sz="4" w:space="0"/>
              <w:bottom w:val="single" w:color="000000" w:sz="4" w:space="0"/>
              <w:right w:val="single" w:color="000000" w:sz="4" w:space="0"/>
            </w:tcBorders>
            <w:tcW w:w="7500" w:type="dxa"/>
            <w:vAlign w:val="center"/>
            <w:textDirection w:val="lrTb"/>
            <w:noWrap w:val="false"/>
          </w:tcPr>
          <w:p>
            <w:pPr>
              <w:spacing w:after="0"/>
              <w:rPr>
                <w:rFonts w:ascii="宋体" w:hAnsi="宋体"/>
                <w:bCs/>
                <w:color w:val="auto"/>
                <w:sz w:val="24"/>
                <w:szCs w:val="24"/>
                <w:highlight w:val="none"/>
              </w:rPr>
            </w:pPr>
            <w:r>
              <w:rPr>
                <w:rFonts w:hint="eastAsia" w:ascii="宋体" w:hAnsi="宋体"/>
                <w:bCs/>
                <w:color w:val="auto"/>
                <w:sz w:val="24"/>
                <w:szCs w:val="24"/>
                <w:highlight w:val="none"/>
              </w:rPr>
              <w:t xml:space="preserve">启闭机型式：中部铰轴支承双作用（带刻度陶瓷杆）</w:t>
            </w:r>
            <w:r/>
          </w:p>
          <w:p>
            <w:pPr>
              <w:spacing w:after="0"/>
              <w:rPr>
                <w:rFonts w:ascii="宋体" w:hAnsi="宋体"/>
                <w:bCs/>
                <w:color w:val="auto"/>
                <w:sz w:val="24"/>
                <w:szCs w:val="24"/>
                <w:highlight w:val="none"/>
              </w:rPr>
            </w:pPr>
            <w:r>
              <w:rPr>
                <w:rFonts w:hint="eastAsia" w:ascii="宋体" w:hAnsi="宋体"/>
                <w:bCs/>
                <w:color w:val="auto"/>
                <w:sz w:val="24"/>
                <w:szCs w:val="24"/>
                <w:highlight w:val="none"/>
              </w:rPr>
              <w:t xml:space="preserve">液压启闭机数量：3套（6支油缸）</w:t>
            </w:r>
            <w:r/>
          </w:p>
          <w:p>
            <w:pPr>
              <w:spacing w:after="0"/>
              <w:rPr>
                <w:rFonts w:ascii="宋体" w:hAnsi="宋体"/>
                <w:bCs/>
                <w:color w:val="auto"/>
                <w:sz w:val="24"/>
                <w:szCs w:val="24"/>
                <w:highlight w:val="none"/>
              </w:rPr>
            </w:pPr>
            <w:r>
              <w:rPr>
                <w:rFonts w:hint="eastAsia" w:ascii="宋体" w:hAnsi="宋体"/>
                <w:bCs/>
                <w:color w:val="auto"/>
                <w:sz w:val="24"/>
                <w:szCs w:val="24"/>
                <w:highlight w:val="none"/>
              </w:rPr>
              <w:t xml:space="preserve">拉力及持住力：2×1250 kN；</w:t>
            </w:r>
            <w:r/>
          </w:p>
          <w:p>
            <w:pPr>
              <w:spacing w:after="0"/>
              <w:rPr>
                <w:rFonts w:ascii="宋体" w:hAnsi="宋体"/>
                <w:bCs/>
                <w:color w:val="auto"/>
                <w:sz w:val="24"/>
                <w:szCs w:val="24"/>
                <w:highlight w:val="none"/>
              </w:rPr>
            </w:pPr>
            <w:r>
              <w:rPr>
                <w:rFonts w:hint="eastAsia" w:ascii="宋体" w:hAnsi="宋体"/>
                <w:bCs/>
                <w:color w:val="auto"/>
                <w:sz w:val="24"/>
                <w:szCs w:val="24"/>
                <w:highlight w:val="none"/>
              </w:rPr>
              <w:t xml:space="preserve">推力：2×200 kN；</w:t>
            </w:r>
            <w:r/>
          </w:p>
          <w:p>
            <w:pPr>
              <w:spacing w:after="0"/>
              <w:rPr>
                <w:rFonts w:ascii="宋体" w:hAnsi="宋体"/>
                <w:bCs/>
                <w:color w:val="auto"/>
                <w:sz w:val="24"/>
                <w:szCs w:val="24"/>
                <w:highlight w:val="none"/>
              </w:rPr>
            </w:pPr>
            <w:r>
              <w:rPr>
                <w:rFonts w:hint="eastAsia" w:ascii="宋体" w:hAnsi="宋体"/>
                <w:bCs/>
                <w:color w:val="auto"/>
                <w:sz w:val="24"/>
                <w:szCs w:val="24"/>
                <w:highlight w:val="none"/>
              </w:rPr>
              <w:t xml:space="preserve">活塞杆：φ220mm，优质中碳钢锻件（不低于45#）并热处理；</w:t>
            </w:r>
            <w:r/>
          </w:p>
          <w:p>
            <w:pPr>
              <w:spacing w:after="0"/>
              <w:rPr>
                <w:rFonts w:ascii="宋体" w:hAnsi="宋体"/>
                <w:bCs/>
                <w:color w:val="auto"/>
                <w:sz w:val="24"/>
                <w:szCs w:val="24"/>
                <w:highlight w:val="none"/>
              </w:rPr>
            </w:pPr>
            <w:r>
              <w:rPr>
                <w:rFonts w:hint="eastAsia" w:ascii="宋体" w:hAnsi="宋体"/>
                <w:bCs/>
                <w:color w:val="auto"/>
                <w:sz w:val="24"/>
                <w:szCs w:val="24"/>
                <w:highlight w:val="none"/>
              </w:rPr>
              <w:t xml:space="preserve">油缸内径：400mm；</w:t>
            </w:r>
            <w:r/>
          </w:p>
          <w:p>
            <w:pPr>
              <w:spacing w:after="0"/>
              <w:rPr>
                <w:rFonts w:ascii="宋体" w:hAnsi="宋体"/>
                <w:bCs/>
                <w:color w:val="auto"/>
                <w:sz w:val="24"/>
                <w:szCs w:val="24"/>
                <w:highlight w:val="none"/>
              </w:rPr>
            </w:pPr>
            <w:r>
              <w:rPr>
                <w:rFonts w:hint="eastAsia" w:ascii="宋体" w:hAnsi="宋体"/>
                <w:bCs/>
                <w:color w:val="auto"/>
                <w:sz w:val="24"/>
                <w:szCs w:val="24"/>
                <w:highlight w:val="none"/>
              </w:rPr>
              <w:t xml:space="preserve">工作行程：≈7.92m；</w:t>
            </w:r>
            <w:r/>
          </w:p>
          <w:p>
            <w:pPr>
              <w:spacing w:after="0"/>
              <w:rPr>
                <w:rFonts w:ascii="宋体" w:hAnsi="宋体"/>
                <w:bCs/>
                <w:color w:val="auto"/>
                <w:sz w:val="24"/>
                <w:szCs w:val="24"/>
                <w:highlight w:val="none"/>
              </w:rPr>
            </w:pPr>
            <w:r>
              <w:rPr>
                <w:rFonts w:hint="eastAsia" w:ascii="宋体" w:hAnsi="宋体"/>
                <w:bCs/>
                <w:color w:val="auto"/>
                <w:sz w:val="24"/>
                <w:szCs w:val="24"/>
                <w:highlight w:val="none"/>
              </w:rPr>
              <w:t xml:space="preserve">最大行程：8.3m；</w:t>
            </w:r>
            <w:r/>
          </w:p>
          <w:p>
            <w:pPr>
              <w:spacing w:after="0"/>
              <w:rPr>
                <w:rFonts w:ascii="宋体" w:hAnsi="宋体"/>
                <w:bCs/>
                <w:color w:val="auto"/>
                <w:sz w:val="24"/>
                <w:szCs w:val="24"/>
                <w:highlight w:val="none"/>
              </w:rPr>
            </w:pPr>
            <w:r>
              <w:rPr>
                <w:rFonts w:hint="eastAsia" w:ascii="宋体" w:hAnsi="宋体"/>
                <w:bCs/>
                <w:color w:val="auto"/>
                <w:sz w:val="24"/>
                <w:szCs w:val="24"/>
                <w:highlight w:val="none"/>
              </w:rPr>
              <w:t xml:space="preserve">启闭速度：≈1.0m/min；</w:t>
            </w:r>
            <w:r/>
          </w:p>
          <w:p>
            <w:pPr>
              <w:spacing w:after="0"/>
              <w:rPr>
                <w:rFonts w:ascii="宋体" w:hAnsi="宋体"/>
                <w:bCs/>
                <w:color w:val="auto"/>
                <w:sz w:val="24"/>
                <w:szCs w:val="24"/>
                <w:highlight w:val="none"/>
              </w:rPr>
            </w:pPr>
            <w:r>
              <w:rPr>
                <w:rFonts w:hint="eastAsia" w:ascii="宋体" w:hAnsi="宋体"/>
                <w:bCs/>
                <w:color w:val="auto"/>
                <w:sz w:val="24"/>
                <w:szCs w:val="24"/>
                <w:highlight w:val="none"/>
              </w:rPr>
              <w:t xml:space="preserve">液压泵站数量：1套；</w:t>
            </w:r>
            <w:r/>
          </w:p>
          <w:p>
            <w:pPr>
              <w:spacing w:after="0"/>
              <w:rPr>
                <w:rFonts w:ascii="宋体" w:hAnsi="宋体"/>
                <w:bCs/>
                <w:color w:val="auto"/>
                <w:sz w:val="24"/>
                <w:szCs w:val="24"/>
                <w:highlight w:val="none"/>
              </w:rPr>
            </w:pPr>
            <w:r>
              <w:rPr>
                <w:rFonts w:hint="eastAsia" w:ascii="宋体" w:hAnsi="宋体"/>
                <w:bCs/>
                <w:color w:val="auto"/>
                <w:sz w:val="24"/>
                <w:szCs w:val="24"/>
                <w:highlight w:val="none"/>
              </w:rPr>
              <w:t xml:space="preserve">单套液压泵站电动机功率：3×55kW；</w:t>
            </w:r>
            <w:r/>
          </w:p>
          <w:p>
            <w:pPr>
              <w:spacing w:after="0"/>
              <w:rPr>
                <w:rFonts w:ascii="宋体" w:hAnsi="宋体"/>
                <w:bCs/>
                <w:color w:val="auto"/>
                <w:sz w:val="24"/>
                <w:szCs w:val="24"/>
                <w:highlight w:val="none"/>
              </w:rPr>
            </w:pPr>
            <w:r>
              <w:rPr>
                <w:rFonts w:hint="eastAsia" w:ascii="宋体" w:hAnsi="宋体"/>
                <w:bCs/>
                <w:color w:val="auto"/>
                <w:sz w:val="24"/>
                <w:szCs w:val="24"/>
                <w:highlight w:val="none"/>
              </w:rPr>
              <w:t xml:space="preserve">现地阀台：3套，方向控制阀组，每套均配置左右双比例调速阀。</w:t>
            </w:r>
            <w:r/>
          </w:p>
          <w:p>
            <w:pPr>
              <w:spacing w:after="0"/>
              <w:rPr>
                <w:rFonts w:ascii="宋体" w:hAnsi="宋体"/>
                <w:bCs/>
                <w:color w:val="auto"/>
                <w:sz w:val="24"/>
                <w:szCs w:val="24"/>
                <w:highlight w:val="none"/>
              </w:rPr>
            </w:pPr>
            <w:r>
              <w:rPr>
                <w:rFonts w:hint="eastAsia" w:ascii="宋体" w:hAnsi="宋体"/>
                <w:bCs/>
                <w:color w:val="auto"/>
                <w:sz w:val="24"/>
                <w:szCs w:val="24"/>
                <w:highlight w:val="none"/>
              </w:rPr>
              <w:t xml:space="preserve">（备注：行程为暂定值，现场拆解复测后最终确定；速度为推荐值，最终由设计联络会确定）</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66" w:type="dxa"/>
            <w:vAlign w:val="center"/>
            <w:textDirection w:val="lrTb"/>
            <w:noWrap/>
          </w:tcPr>
          <w:p>
            <w:pPr>
              <w:jc w:val="center"/>
              <w:spacing w:after="0"/>
              <w:rPr>
                <w:rFonts w:ascii="宋体" w:hAnsi="宋体"/>
                <w:bCs/>
                <w:color w:val="auto"/>
                <w:sz w:val="24"/>
                <w:szCs w:val="24"/>
                <w:highlight w:val="none"/>
              </w:rPr>
            </w:pPr>
            <w:r>
              <w:rPr>
                <w:rFonts w:hint="eastAsia" w:ascii="宋体" w:hAnsi="宋体"/>
                <w:bCs/>
                <w:color w:val="auto"/>
                <w:sz w:val="24"/>
                <w:szCs w:val="24"/>
                <w:highlight w:val="none"/>
              </w:rPr>
              <w:t xml:space="preserve">泵站液压启闭机★</w:t>
            </w:r>
            <w:r/>
          </w:p>
        </w:tc>
        <w:tc>
          <w:tcPr>
            <w:tcBorders>
              <w:top w:val="single" w:color="000000" w:sz="4" w:space="0"/>
              <w:left w:val="single" w:color="000000" w:sz="4" w:space="0"/>
              <w:bottom w:val="single" w:color="000000" w:sz="4" w:space="0"/>
              <w:right w:val="single" w:color="000000" w:sz="4" w:space="0"/>
            </w:tcBorders>
            <w:tcW w:w="7500" w:type="dxa"/>
            <w:vAlign w:val="center"/>
            <w:textDirection w:val="lrTb"/>
            <w:noWrap w:val="false"/>
          </w:tcPr>
          <w:p>
            <w:pPr>
              <w:spacing w:after="0" w:line="360" w:lineRule="atLeast"/>
              <w:rPr>
                <w:rFonts w:ascii="宋体" w:hAnsi="宋体"/>
                <w:bCs/>
                <w:color w:val="auto"/>
                <w:sz w:val="24"/>
                <w:szCs w:val="24"/>
                <w:highlight w:val="none"/>
              </w:rPr>
            </w:pPr>
            <w:r>
              <w:rPr>
                <w:rFonts w:hint="eastAsia" w:ascii="宋体" w:hAnsi="宋体"/>
                <w:bCs/>
                <w:color w:val="auto"/>
                <w:sz w:val="24"/>
                <w:szCs w:val="24"/>
                <w:highlight w:val="none"/>
              </w:rPr>
              <w:t xml:space="preserve">启闭机型式：QPKY-D-200kN-3.5m倒挂式快速液压启闭机（陶瓷杆，不带刻度）</w:t>
            </w:r>
            <w:r/>
          </w:p>
          <w:p>
            <w:pPr>
              <w:spacing w:after="0" w:line="360" w:lineRule="atLeast"/>
              <w:rPr>
                <w:rFonts w:ascii="宋体" w:hAnsi="宋体"/>
                <w:bCs/>
                <w:color w:val="auto"/>
                <w:sz w:val="24"/>
                <w:szCs w:val="24"/>
                <w:highlight w:val="none"/>
              </w:rPr>
            </w:pPr>
            <w:r>
              <w:rPr>
                <w:rFonts w:hint="eastAsia" w:ascii="宋体" w:hAnsi="宋体"/>
                <w:bCs/>
                <w:color w:val="auto"/>
                <w:sz w:val="24"/>
                <w:szCs w:val="24"/>
                <w:highlight w:val="none"/>
              </w:rPr>
              <w:t xml:space="preserve">液压启闭机数量：12套（12支油缸）</w:t>
            </w:r>
            <w:r/>
          </w:p>
          <w:p>
            <w:pPr>
              <w:spacing w:after="0" w:line="360" w:lineRule="atLeast"/>
              <w:rPr>
                <w:rFonts w:ascii="宋体" w:hAnsi="宋体"/>
                <w:bCs/>
                <w:color w:val="auto"/>
                <w:sz w:val="24"/>
                <w:szCs w:val="24"/>
                <w:highlight w:val="none"/>
              </w:rPr>
            </w:pPr>
            <w:r>
              <w:rPr>
                <w:rFonts w:hint="eastAsia" w:ascii="宋体" w:hAnsi="宋体"/>
                <w:bCs/>
                <w:color w:val="auto"/>
                <w:sz w:val="24"/>
                <w:szCs w:val="24"/>
                <w:highlight w:val="none"/>
              </w:rPr>
              <w:t xml:space="preserve">启门拉力及持住力：200 kN；</w:t>
            </w:r>
            <w:r/>
          </w:p>
          <w:p>
            <w:pPr>
              <w:spacing w:after="0" w:line="360" w:lineRule="atLeast"/>
              <w:rPr>
                <w:rFonts w:ascii="宋体" w:hAnsi="宋体"/>
                <w:bCs/>
                <w:color w:val="auto"/>
                <w:sz w:val="24"/>
                <w:szCs w:val="24"/>
                <w:highlight w:val="none"/>
              </w:rPr>
            </w:pPr>
            <w:r>
              <w:rPr>
                <w:rFonts w:hint="eastAsia" w:ascii="宋体" w:hAnsi="宋体"/>
                <w:bCs/>
                <w:color w:val="auto"/>
                <w:sz w:val="24"/>
                <w:szCs w:val="24"/>
                <w:highlight w:val="none"/>
              </w:rPr>
              <w:t xml:space="preserve">闭门力：自重闭门；</w:t>
            </w:r>
            <w:r/>
          </w:p>
          <w:p>
            <w:pPr>
              <w:spacing w:after="0" w:line="360" w:lineRule="atLeast"/>
              <w:rPr>
                <w:rFonts w:ascii="宋体" w:hAnsi="宋体"/>
                <w:bCs/>
                <w:color w:val="auto"/>
                <w:sz w:val="24"/>
                <w:szCs w:val="24"/>
                <w:highlight w:val="none"/>
              </w:rPr>
            </w:pPr>
            <w:r>
              <w:rPr>
                <w:rFonts w:hint="eastAsia" w:ascii="宋体" w:hAnsi="宋体"/>
                <w:bCs/>
                <w:color w:val="auto"/>
                <w:sz w:val="24"/>
                <w:szCs w:val="24"/>
                <w:highlight w:val="none"/>
              </w:rPr>
              <w:t xml:space="preserve">活塞杆：φ100mm，优质中碳钢锻件（不低于45#）并热处理；</w:t>
            </w:r>
            <w:r/>
          </w:p>
          <w:p>
            <w:pPr>
              <w:spacing w:after="0" w:line="360" w:lineRule="atLeast"/>
              <w:rPr>
                <w:rFonts w:ascii="宋体" w:hAnsi="宋体"/>
                <w:bCs/>
                <w:color w:val="auto"/>
                <w:sz w:val="24"/>
                <w:szCs w:val="24"/>
                <w:highlight w:val="none"/>
              </w:rPr>
            </w:pPr>
            <w:r>
              <w:rPr>
                <w:rFonts w:hint="eastAsia" w:ascii="宋体" w:hAnsi="宋体"/>
                <w:bCs/>
                <w:color w:val="auto"/>
                <w:sz w:val="24"/>
                <w:szCs w:val="24"/>
                <w:highlight w:val="none"/>
              </w:rPr>
              <w:t xml:space="preserve">工作行程：3.4m；</w:t>
            </w:r>
            <w:r/>
          </w:p>
          <w:p>
            <w:pPr>
              <w:spacing w:after="0" w:line="360" w:lineRule="atLeast"/>
              <w:rPr>
                <w:rFonts w:ascii="宋体" w:hAnsi="宋体"/>
                <w:bCs/>
                <w:color w:val="auto"/>
                <w:sz w:val="24"/>
                <w:szCs w:val="24"/>
                <w:highlight w:val="none"/>
              </w:rPr>
            </w:pPr>
            <w:r>
              <w:rPr>
                <w:rFonts w:hint="eastAsia" w:ascii="宋体" w:hAnsi="宋体"/>
                <w:bCs/>
                <w:color w:val="auto"/>
                <w:sz w:val="24"/>
                <w:szCs w:val="24"/>
                <w:highlight w:val="none"/>
              </w:rPr>
              <w:t xml:space="preserve">最大行程：3.5m。</w:t>
            </w:r>
            <w:r/>
          </w:p>
          <w:p>
            <w:pPr>
              <w:spacing w:after="0" w:line="360" w:lineRule="atLeast"/>
              <w:rPr>
                <w:rFonts w:ascii="宋体" w:hAnsi="宋体"/>
                <w:bCs/>
                <w:color w:val="auto"/>
                <w:sz w:val="24"/>
                <w:szCs w:val="24"/>
                <w:highlight w:val="none"/>
              </w:rPr>
            </w:pPr>
            <w:r>
              <w:rPr>
                <w:rFonts w:hint="eastAsia" w:ascii="宋体" w:hAnsi="宋体"/>
                <w:bCs/>
                <w:color w:val="auto"/>
                <w:sz w:val="24"/>
                <w:szCs w:val="24"/>
                <w:highlight w:val="none"/>
              </w:rPr>
              <w:t xml:space="preserve">启闭速度：≈4.0m/min；</w:t>
            </w:r>
            <w:r/>
          </w:p>
          <w:p>
            <w:pPr>
              <w:spacing w:after="0" w:line="360" w:lineRule="atLeast"/>
              <w:rPr>
                <w:rFonts w:ascii="宋体" w:hAnsi="宋体"/>
                <w:bCs/>
                <w:color w:val="auto"/>
                <w:sz w:val="24"/>
                <w:szCs w:val="24"/>
                <w:highlight w:val="none"/>
              </w:rPr>
            </w:pPr>
            <w:r>
              <w:rPr>
                <w:rFonts w:hint="eastAsia" w:ascii="宋体" w:hAnsi="宋体"/>
                <w:bCs/>
                <w:color w:val="auto"/>
                <w:sz w:val="24"/>
                <w:szCs w:val="24"/>
                <w:highlight w:val="none"/>
              </w:rPr>
              <w:t xml:space="preserve">液压泵站数量：1套。</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1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66" w:type="dxa"/>
            <w:vAlign w:val="center"/>
            <w:textDirection w:val="lrTb"/>
            <w:noWrap/>
          </w:tcPr>
          <w:p>
            <w:pPr>
              <w:jc w:val="center"/>
              <w:spacing w:after="0"/>
              <w:rPr>
                <w:rFonts w:ascii="宋体" w:hAnsi="宋体"/>
                <w:bCs/>
                <w:color w:val="auto"/>
                <w:sz w:val="24"/>
                <w:szCs w:val="24"/>
                <w:highlight w:val="none"/>
              </w:rPr>
            </w:pPr>
            <w:r>
              <w:rPr>
                <w:rFonts w:hint="eastAsia" w:ascii="宋体" w:hAnsi="宋体"/>
                <w:bCs/>
                <w:color w:val="auto"/>
                <w:sz w:val="24"/>
                <w:szCs w:val="24"/>
                <w:highlight w:val="none"/>
              </w:rPr>
              <w:t xml:space="preserve">油缸更换</w:t>
            </w:r>
            <w:r/>
          </w:p>
        </w:tc>
        <w:tc>
          <w:tcPr>
            <w:tcBorders>
              <w:top w:val="single" w:color="000000" w:sz="4" w:space="0"/>
              <w:left w:val="single" w:color="000000" w:sz="4" w:space="0"/>
              <w:bottom w:val="single" w:color="000000" w:sz="4" w:space="0"/>
              <w:right w:val="single" w:color="000000" w:sz="4" w:space="0"/>
            </w:tcBorders>
            <w:tcW w:w="7500" w:type="dxa"/>
            <w:vAlign w:val="center"/>
            <w:textDirection w:val="lrTb"/>
            <w:noWrap w:val="false"/>
          </w:tcPr>
          <w:p>
            <w:pPr>
              <w:spacing w:after="0" w:line="360" w:lineRule="atLeast"/>
              <w:rPr>
                <w:rFonts w:ascii="宋体" w:hAnsi="宋体"/>
                <w:bCs/>
                <w:color w:val="auto"/>
                <w:sz w:val="24"/>
                <w:szCs w:val="24"/>
                <w:highlight w:val="none"/>
              </w:rPr>
            </w:pPr>
            <w:r>
              <w:rPr>
                <w:rFonts w:hint="eastAsia" w:ascii="宋体" w:hAnsi="宋体"/>
                <w:bCs/>
                <w:color w:val="auto"/>
                <w:sz w:val="24"/>
                <w:szCs w:val="24"/>
                <w:highlight w:val="none"/>
              </w:rPr>
              <w:t xml:space="preserve">对全部6支原油缸现场安装尺寸及外尺寸复测，并每孔水闸抽取至少1支现场拆解复测内尺寸。★</w:t>
            </w:r>
            <w:r/>
          </w:p>
          <w:p>
            <w:pPr>
              <w:spacing w:after="0" w:line="360" w:lineRule="atLeast"/>
              <w:rPr>
                <w:rFonts w:ascii="宋体" w:hAnsi="宋体"/>
                <w:bCs/>
                <w:color w:val="auto"/>
                <w:sz w:val="24"/>
                <w:szCs w:val="24"/>
                <w:highlight w:val="none"/>
              </w:rPr>
            </w:pPr>
            <w:r>
              <w:rPr>
                <w:rFonts w:hint="eastAsia" w:ascii="宋体" w:hAnsi="宋体"/>
                <w:bCs/>
                <w:color w:val="auto"/>
                <w:sz w:val="24"/>
                <w:szCs w:val="24"/>
                <w:highlight w:val="none"/>
              </w:rPr>
              <w:t xml:space="preserve">新油缸全套设备包含活塞杆、缸体、整套密封组件、活塞、吊头、导向段、前后缸盖、有杆/无杆腔缸旁阀组及相应管路、轴承、连接件等核心零部件。每支油缸配3个专用轴承，其中吊头设1个关节轴承，中支铰处设2个轴套，轴承轴套均为铜基镶嵌自润滑材料。</w:t>
            </w:r>
            <w:r/>
          </w:p>
          <w:p>
            <w:pPr>
              <w:spacing w:after="0" w:line="360" w:lineRule="atLeast"/>
              <w:rPr>
                <w:rFonts w:ascii="宋体" w:hAnsi="宋体"/>
                <w:bCs/>
                <w:color w:val="auto"/>
                <w:sz w:val="24"/>
                <w:szCs w:val="24"/>
                <w:highlight w:val="none"/>
              </w:rPr>
            </w:pPr>
            <w:r>
              <w:rPr>
                <w:rFonts w:hint="eastAsia" w:ascii="宋体" w:hAnsi="宋体"/>
                <w:bCs/>
                <w:color w:val="auto"/>
                <w:sz w:val="24"/>
                <w:szCs w:val="24"/>
                <w:highlight w:val="none"/>
              </w:rPr>
              <w:t xml:space="preserve">保留原有油缸支铰座结构，对利旧构件进行除锈、打磨、防腐翻新处理后继续利用。</w:t>
            </w:r>
            <w:r/>
          </w:p>
          <w:p>
            <w:pPr>
              <w:spacing w:after="0" w:line="360" w:lineRule="atLeast"/>
              <w:rPr>
                <w:rFonts w:ascii="宋体" w:hAnsi="宋体"/>
                <w:bCs/>
                <w:color w:val="auto"/>
                <w:sz w:val="24"/>
                <w:szCs w:val="24"/>
                <w:highlight w:val="none"/>
              </w:rPr>
            </w:pPr>
            <w:r>
              <w:rPr>
                <w:rFonts w:hint="eastAsia" w:ascii="宋体" w:hAnsi="宋体"/>
                <w:bCs/>
                <w:color w:val="auto"/>
                <w:sz w:val="24"/>
                <w:szCs w:val="24"/>
                <w:highlight w:val="none"/>
              </w:rPr>
              <w:t xml:space="preserve">新活塞杆镀层采用带刻度镀陶瓷工艺，活塞杆配套集成CIMS传感器，原有6套静磁栅传感器拆除后返厂检测出新无误后重新安装，作为新制油缸备份行程检测装置。另新增1套静磁栅传感器作为备件。</w:t>
            </w:r>
            <w:r/>
          </w:p>
          <w:p>
            <w:pPr>
              <w:spacing w:after="0" w:line="360" w:lineRule="atLeast"/>
              <w:rPr>
                <w:rFonts w:ascii="宋体" w:hAnsi="宋体"/>
                <w:bCs/>
                <w:color w:val="auto"/>
                <w:sz w:val="24"/>
                <w:szCs w:val="24"/>
                <w:highlight w:val="none"/>
              </w:rPr>
            </w:pPr>
            <w:r>
              <w:rPr>
                <w:rFonts w:hint="eastAsia" w:ascii="宋体" w:hAnsi="宋体"/>
                <w:bCs/>
                <w:color w:val="auto"/>
                <w:sz w:val="24"/>
                <w:szCs w:val="24"/>
                <w:highlight w:val="none"/>
              </w:rPr>
              <w:t xml:space="preserve">静磁栅传感器自集成前、后极限位置接近开关，实现闸门启闭限位保护。</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84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66" w:type="dxa"/>
            <w:vAlign w:val="center"/>
            <w:textDirection w:val="lrTb"/>
            <w:noWrap/>
          </w:tcPr>
          <w:p>
            <w:pPr>
              <w:jc w:val="center"/>
              <w:spacing w:after="0"/>
              <w:rPr>
                <w:rFonts w:ascii="宋体" w:hAnsi="宋体"/>
                <w:bCs/>
                <w:color w:val="auto"/>
                <w:sz w:val="24"/>
                <w:szCs w:val="24"/>
                <w:highlight w:val="none"/>
              </w:rPr>
            </w:pPr>
            <w:r>
              <w:rPr>
                <w:rFonts w:hint="eastAsia" w:ascii="宋体" w:hAnsi="宋体"/>
                <w:bCs/>
                <w:color w:val="auto"/>
                <w:sz w:val="24"/>
                <w:szCs w:val="24"/>
                <w:highlight w:val="none"/>
              </w:rPr>
              <w:t xml:space="preserve">在线监测主要内容★</w:t>
            </w:r>
            <w:r/>
          </w:p>
        </w:tc>
        <w:tc>
          <w:tcPr>
            <w:tcBorders>
              <w:top w:val="single" w:color="000000" w:sz="4" w:space="0"/>
              <w:left w:val="single" w:color="000000" w:sz="4" w:space="0"/>
              <w:bottom w:val="single" w:color="000000" w:sz="4" w:space="0"/>
              <w:right w:val="single" w:color="000000" w:sz="4" w:space="0"/>
            </w:tcBorders>
            <w:tcW w:w="7500" w:type="dxa"/>
            <w:vAlign w:val="center"/>
            <w:textDirection w:val="lrTb"/>
            <w:noWrap w:val="false"/>
          </w:tcPr>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液压泵组振动监测（节制闸）：对油泵电机组进行振动监测，并实时进行时域和频域分析，用于评估启闭过程中油泵电机组的安全性。节制闸液压动力站3套油泵电机组各配置1套三轴加速度传感器，泵站液压动力站不配置（但现场采集箱预留接口）。</w:t>
            </w:r>
            <w:r/>
          </w:p>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启闭机油液品质监测：对液压启闭机液压油污染度、水分、粘度、清洁度、乳化等进行监测，实时掌握液压启闭机油液品质，用于指导启闭机油液的过滤和更换。节制闸、泵站液压动力站各配置1套油液品质传感器。</w:t>
            </w:r>
            <w:r/>
          </w:p>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（3）对启闭机的运行噪声进行监测，并分析工作过程中启闭机的运行噪声是否满足安全运行要求和提前判断故障。液压动力站配置2套噪声监测传感器。</w:t>
            </w:r>
            <w:r/>
          </w:p>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（4）节制闸、泵站的液压动力站附近各设置1台现场数据采集箱，用于数据归集并上传至在线监测系统专用上位机。</w:t>
            </w:r>
            <w:r/>
          </w:p>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通过读取现地PLC参数的方式将数据集成到在线监测系统。读取参数包括：节制闸油缸有杆/无杆腔压力、泵站油缸有杆腔压力、节制闸及泵站液压站的系统压力、高压滤油器状态、滤清器状态、油液温度、运行电流等。</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956"/>
        </w:trPr>
        <w:tc>
          <w:tcPr>
            <w:tcBorders>
              <w:top w:val="single" w:color="000000" w:sz="4" w:space="0"/>
              <w:left w:val="single" w:color="000000" w:sz="4" w:space="0"/>
              <w:right w:val="single" w:color="000000" w:sz="4" w:space="0"/>
            </w:tcBorders>
            <w:tcMar>
              <w:left w:w="15" w:type="dxa"/>
              <w:top w:w="15" w:type="dxa"/>
              <w:right w:w="15" w:type="dxa"/>
              <w:bottom w:w="0" w:type="dxa"/>
            </w:tcMar>
            <w:tcW w:w="1466" w:type="dxa"/>
            <w:vAlign w:val="center"/>
            <w:vMerge w:val="restart"/>
            <w:textDirection w:val="lrTb"/>
            <w:noWrap/>
          </w:tcPr>
          <w:p>
            <w:pPr>
              <w:jc w:val="center"/>
              <w:spacing w:after="0"/>
              <w:rPr>
                <w:rFonts w:ascii="宋体" w:hAnsi="宋体"/>
                <w:bCs/>
                <w:color w:val="auto"/>
                <w:sz w:val="24"/>
                <w:szCs w:val="24"/>
                <w:highlight w:val="none"/>
              </w:rPr>
            </w:pPr>
            <w:r>
              <w:rPr>
                <w:rFonts w:hint="eastAsia" w:ascii="宋体" w:hAnsi="宋体"/>
                <w:bCs/>
                <w:color w:val="auto"/>
                <w:sz w:val="24"/>
                <w:szCs w:val="24"/>
                <w:highlight w:val="none"/>
              </w:rPr>
              <w:t xml:space="preserve">节制闸液压启闭机控制与操作</w:t>
            </w:r>
            <w:r/>
          </w:p>
        </w:tc>
        <w:tc>
          <w:tcPr>
            <w:tcBorders>
              <w:top w:val="single" w:color="000000" w:sz="4" w:space="0"/>
              <w:left w:val="single" w:color="000000" w:sz="4" w:space="0"/>
              <w:bottom w:val="single" w:color="000000" w:sz="4" w:space="0"/>
              <w:right w:val="single" w:color="000000" w:sz="4" w:space="0"/>
            </w:tcBorders>
            <w:tcW w:w="7500" w:type="dxa"/>
            <w:vAlign w:val="center"/>
            <w:textDirection w:val="lrTb"/>
            <w:noWrap w:val="false"/>
          </w:tcPr>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液压启闭机应能在动水中启闭闸门；并能在行程范围内的任意位置锁定并可靠持住闸门；能在设定的任意位置自动停机。★</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2133"/>
        </w:trPr>
        <w:tc>
          <w:tcPr>
            <w:tcBorders>
              <w:left w:val="single" w:color="000000" w:sz="4" w:space="0"/>
              <w:right w:val="single" w:color="000000" w:sz="4" w:space="0"/>
            </w:tcBorders>
            <w:tcMar>
              <w:left w:w="15" w:type="dxa"/>
              <w:top w:w="15" w:type="dxa"/>
              <w:right w:w="15" w:type="dxa"/>
              <w:bottom w:w="0" w:type="dxa"/>
            </w:tcMar>
            <w:tcW w:w="1466" w:type="dxa"/>
            <w:vAlign w:val="center"/>
            <w:vMerge w:val="continue"/>
            <w:textDirection w:val="lrTb"/>
            <w:noWrap/>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0" w:type="dxa"/>
            <w:vAlign w:val="center"/>
            <w:textDirection w:val="lrTb"/>
            <w:noWrap w:val="false"/>
          </w:tcPr>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每套油缸左右两侧的有杆腔油路均设置电液比例调速阀，通过闭环控制自动纠偏实现双缸同步，双缸同步偏差控制在15mm（暂定值，根据现场调试确定实际值）范围内。当闸门启闭运行时，行程检测装置全程连续检测两只液压缸的行程偏差，当行程偏差≥15mm（暂定值，根据现场调试确定实际值）时，自动纠偏并发出报警信号，当行程偏差≥20mm（暂定值，根据现场调试确定实际值）时，液压系统自动停机保护并锁定。★</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1154"/>
        </w:trPr>
        <w:tc>
          <w:tcPr>
            <w:tcBorders>
              <w:left w:val="single" w:color="000000" w:sz="4" w:space="0"/>
              <w:right w:val="single" w:color="000000" w:sz="4" w:space="0"/>
            </w:tcBorders>
            <w:tcMar>
              <w:left w:w="15" w:type="dxa"/>
              <w:top w:w="15" w:type="dxa"/>
              <w:right w:w="15" w:type="dxa"/>
              <w:bottom w:w="0" w:type="dxa"/>
            </w:tcMar>
            <w:tcW w:w="1466" w:type="dxa"/>
            <w:vAlign w:val="center"/>
            <w:vMerge w:val="continue"/>
            <w:textDirection w:val="lrTb"/>
            <w:noWrap/>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0" w:type="dxa"/>
            <w:vAlign w:val="center"/>
            <w:textDirection w:val="lrTb"/>
            <w:noWrap w:val="false"/>
          </w:tcPr>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闸门运行时，液压启闭机的陶瓷活塞杆带有的行程检测装置全程连续检测液压缸的行程。正常工作时以陶瓷活塞杆的行程检测信号为主，当陶瓷活塞杆的行程检测信号异常，每只液压缸备用的静磁栅行程检测信号可自动切入。★</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665"/>
        </w:trPr>
        <w:tc>
          <w:tcPr>
            <w:tcBorders>
              <w:left w:val="single" w:color="000000" w:sz="4" w:space="0"/>
              <w:right w:val="single" w:color="000000" w:sz="4" w:space="0"/>
            </w:tcBorders>
            <w:tcMar>
              <w:left w:w="15" w:type="dxa"/>
              <w:top w:w="15" w:type="dxa"/>
              <w:right w:w="15" w:type="dxa"/>
              <w:bottom w:w="0" w:type="dxa"/>
            </w:tcMar>
            <w:tcW w:w="1466" w:type="dxa"/>
            <w:vAlign w:val="center"/>
            <w:vMerge w:val="continue"/>
            <w:textDirection w:val="lrTb"/>
            <w:noWrap/>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0" w:type="dxa"/>
            <w:vAlign w:val="center"/>
            <w:textDirection w:val="lrTb"/>
            <w:noWrap w:val="false"/>
          </w:tcPr>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油缸的有杆、无杆腔均设置缸旁闭锁阀。★</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1111"/>
        </w:trPr>
        <w:tc>
          <w:tcPr>
            <w:tcBorders>
              <w:left w:val="single" w:color="000000" w:sz="4" w:space="0"/>
              <w:right w:val="single" w:color="000000" w:sz="4" w:space="0"/>
            </w:tcBorders>
            <w:tcMar>
              <w:left w:w="15" w:type="dxa"/>
              <w:top w:w="15" w:type="dxa"/>
              <w:right w:w="15" w:type="dxa"/>
              <w:bottom w:w="0" w:type="dxa"/>
            </w:tcMar>
            <w:tcW w:w="1466" w:type="dxa"/>
            <w:vAlign w:val="center"/>
            <w:vMerge w:val="continue"/>
            <w:textDirection w:val="lrTb"/>
            <w:noWrap/>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0" w:type="dxa"/>
            <w:vAlign w:val="center"/>
            <w:textDirection w:val="lrTb"/>
            <w:noWrap w:val="false"/>
          </w:tcPr>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液压系统配有多个压力传感器对系统压力、液压缸有杆腔、无杆腔进行监控，还具备油温、液位、高压滤油器状态、滤清器状态的保护与报警。上述监测量均能以数字信号送达现地PLC控制柜，并通过柜内的交换机上传上位机。★</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719"/>
        </w:trPr>
        <w:tc>
          <w:tcPr>
            <w:tcBorders>
              <w:left w:val="single" w:color="000000" w:sz="4" w:space="0"/>
              <w:bottom w:val="single" w:color="000000" w:sz="4" w:space="0"/>
              <w:right w:val="single" w:color="000000" w:sz="4" w:space="0"/>
            </w:tcBorders>
            <w:tcMar>
              <w:left w:w="15" w:type="dxa"/>
              <w:top w:w="15" w:type="dxa"/>
              <w:right w:w="15" w:type="dxa"/>
              <w:bottom w:w="0" w:type="dxa"/>
            </w:tcMar>
            <w:tcW w:w="1466" w:type="dxa"/>
            <w:vAlign w:val="center"/>
            <w:vMerge w:val="continue"/>
            <w:textDirection w:val="lrTb"/>
            <w:noWrap/>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0" w:type="dxa"/>
            <w:vAlign w:val="center"/>
            <w:textDirection w:val="lrTb"/>
            <w:noWrap w:val="false"/>
          </w:tcPr>
          <w:p>
            <w:pPr>
              <w:spacing w:after="0"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液压系统主要阀组应具备阀芯位置信号反馈功能。★</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66" w:type="dxa"/>
            <w:vAlign w:val="center"/>
            <w:textDirection w:val="lrTb"/>
            <w:noWrap/>
          </w:tcPr>
          <w:p>
            <w:pPr>
              <w:jc w:val="center"/>
              <w:spacing w:after="0"/>
              <w:rPr>
                <w:rFonts w:ascii="宋体" w:hAnsi="宋体"/>
                <w:bCs/>
                <w:color w:val="auto"/>
                <w:sz w:val="24"/>
                <w:szCs w:val="24"/>
                <w:highlight w:val="none"/>
              </w:rPr>
            </w:pPr>
            <w:r>
              <w:rPr>
                <w:rFonts w:hint="eastAsia" w:ascii="宋体" w:hAnsi="宋体"/>
                <w:bCs/>
                <w:color w:val="auto"/>
                <w:sz w:val="24"/>
                <w:szCs w:val="24"/>
                <w:highlight w:val="none"/>
              </w:rPr>
              <w:t xml:space="preserve">液压设备关键配件性能及选型要求★</w:t>
            </w:r>
            <w:r/>
          </w:p>
        </w:tc>
        <w:tc>
          <w:tcPr>
            <w:tcBorders>
              <w:top w:val="single" w:color="000000" w:sz="4" w:space="0"/>
              <w:left w:val="single" w:color="000000" w:sz="4" w:space="0"/>
              <w:bottom w:val="single" w:color="000000" w:sz="4" w:space="0"/>
              <w:right w:val="single" w:color="000000" w:sz="4" w:space="0"/>
            </w:tcBorders>
            <w:tcW w:w="7500" w:type="dxa"/>
            <w:vAlign w:val="center"/>
            <w:textDirection w:val="lrTb"/>
            <w:noWrap w:val="false"/>
          </w:tcPr>
          <w:p>
            <w:pPr>
              <w:spacing w:after="0"/>
              <w:rPr>
                <w:rFonts w:ascii="宋体" w:hAnsi="宋体"/>
                <w:bCs/>
                <w:color w:val="auto"/>
                <w:sz w:val="24"/>
                <w:szCs w:val="24"/>
                <w:highlight w:val="none"/>
              </w:rPr>
            </w:pPr>
            <w:r>
              <w:rPr>
                <w:rFonts w:hint="eastAsia" w:ascii="宋体" w:hAnsi="宋体"/>
                <w:bCs/>
                <w:color w:val="auto"/>
                <w:sz w:val="24"/>
                <w:szCs w:val="24"/>
                <w:highlight w:val="none"/>
              </w:rPr>
              <w:t xml:space="preserve">详见采购需求“七、液压启闭设备技术细则”</w:t>
            </w:r>
            <w:r>
              <w:rPr>
                <w:rFonts w:hint="eastAsia" w:ascii="宋体" w:hAnsi="宋体"/>
                <w:b/>
                <w:color w:val="auto"/>
                <w:sz w:val="24"/>
                <w:szCs w:val="24"/>
                <w:highlight w:val="none"/>
              </w:rPr>
              <w:t xml:space="preserve">2.4液压设备关键配件性能及选型要求★</w:t>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66" w:type="dxa"/>
            <w:vAlign w:val="center"/>
            <w:textDirection w:val="lrTb"/>
            <w:noWrap/>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500" w:type="dxa"/>
            <w:vAlign w:val="center"/>
            <w:textDirection w:val="lrTb"/>
            <w:noWrap w:val="false"/>
          </w:tcPr>
          <w:p>
            <w:pP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66" w:type="dxa"/>
            <w:vAlign w:val="center"/>
            <w:textDirection w:val="lrTb"/>
            <w:noWrap/>
          </w:tcPr>
          <w:p>
            <w:pPr>
              <w:jc w:val="center"/>
              <w:spacing w:after="0"/>
              <w:rPr>
                <w:rFonts w:ascii="宋体" w:hAnsi="宋体"/>
                <w:bCs/>
                <w:color w:val="auto"/>
                <w:sz w:val="24"/>
                <w:szCs w:val="24"/>
                <w:highlight w:val="none"/>
              </w:rPr>
            </w:pPr>
            <w:r>
              <w:rPr>
                <w:rFonts w:hint="eastAsia" w:ascii="宋体" w:hAnsi="宋体"/>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500" w:type="dxa"/>
            <w:vAlign w:val="center"/>
            <w:textDirection w:val="lrTb"/>
            <w:noWrap w:val="false"/>
          </w:tcPr>
          <w:p>
            <w:pP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390"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center"/>
              <w:spacing w:after="0"/>
              <w:rPr>
                <w:rFonts w:ascii="宋体" w:hAnsi="宋体"/>
                <w:bCs/>
                <w:color w:val="auto"/>
                <w:sz w:val="24"/>
                <w:szCs w:val="24"/>
                <w:highlight w:val="none"/>
              </w:rPr>
            </w:pPr>
            <w:r>
              <w:rPr>
                <w:rFonts w:ascii="宋体" w:hAnsi="宋体"/>
                <w:bCs/>
                <w:color w:val="auto"/>
                <w:sz w:val="24"/>
                <w:szCs w:val="24"/>
                <w:highlight w:val="none"/>
              </w:rPr>
            </w:r>
            <w:r/>
          </w:p>
        </w:tc>
      </w:tr>
    </w:tbl>
    <w:p>
      <w:pPr>
        <w:spacing w:after="0"/>
        <w:rPr>
          <w:rFonts w:ascii="宋体" w:hAnsi="宋体"/>
          <w:b/>
          <w:color w:val="auto"/>
          <w:sz w:val="24"/>
          <w:szCs w:val="24"/>
          <w:highlight w:val="none"/>
        </w:rPr>
      </w:pPr>
      <w:r>
        <w:rPr>
          <w:rFonts w:ascii="宋体" w:hAnsi="宋体"/>
          <w:b/>
          <w:color w:val="auto"/>
          <w:sz w:val="24"/>
          <w:szCs w:val="24"/>
          <w:highlight w:val="none"/>
        </w:rPr>
      </w:r>
      <w:r/>
    </w:p>
    <w:p>
      <w:pPr>
        <w:spacing w:after="0"/>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after="0"/>
        <w:rPr>
          <w:rFonts w:ascii="宋体" w:hAnsi="宋体"/>
          <w:bCs/>
          <w:color w:val="auto"/>
          <w:sz w:val="30"/>
          <w:highlight w:val="none"/>
        </w:rPr>
      </w:pPr>
      <w:r>
        <w:rPr>
          <w:rFonts w:ascii="宋体" w:hAnsi="宋体"/>
          <w:bCs/>
          <w:color w:val="auto"/>
          <w:sz w:val="30"/>
          <w:highlight w:val="none"/>
        </w:rPr>
      </w:r>
      <w:r/>
    </w:p>
    <w:p>
      <w:pPr>
        <w:spacing w:after="0"/>
        <w:rPr>
          <w:rFonts w:ascii="宋体" w:hAnsi="宋体"/>
          <w:bCs/>
          <w:color w:val="auto"/>
          <w:sz w:val="24"/>
          <w:szCs w:val="24"/>
          <w:highlight w:val="none"/>
        </w:rPr>
      </w:pPr>
      <w:r>
        <w:rPr>
          <w:rFonts w:hint="eastAsia" w:ascii="宋体" w:hAnsi="宋体"/>
          <w:bCs/>
          <w:color w:val="auto"/>
          <w:sz w:val="24"/>
          <w:szCs w:val="24"/>
          <w:highlight w:val="none"/>
        </w:rPr>
        <w:t xml:space="preserve">注：（1）本表不得删除；</w:t>
      </w:r>
      <w:r/>
    </w:p>
    <w:p>
      <w:pPr>
        <w:ind w:firstLine="480"/>
        <w:spacing w:after="0"/>
        <w:rPr>
          <w:rFonts w:ascii="宋体" w:hAnsi="宋体"/>
          <w:bCs/>
          <w:color w:val="auto"/>
          <w:sz w:val="24"/>
          <w:szCs w:val="24"/>
          <w:highlight w:val="none"/>
        </w:rPr>
      </w:pPr>
      <w:r>
        <w:rPr>
          <w:rFonts w:hint="eastAsia" w:ascii="宋体" w:hAnsi="宋体"/>
          <w:bCs/>
          <w:color w:val="auto"/>
          <w:sz w:val="24"/>
          <w:szCs w:val="24"/>
          <w:highlight w:val="none"/>
        </w:rPr>
        <w:t xml:space="preserve">（2）如无任何服务偏离，请于本表 “偏离说明”中注明“无偏离”；</w:t>
      </w:r>
      <w:r/>
    </w:p>
    <w:p>
      <w:pPr>
        <w:ind w:firstLine="480"/>
        <w:spacing w:after="0"/>
        <w:rPr>
          <w:rFonts w:ascii="宋体" w:hAnsi="宋体"/>
          <w:bCs/>
          <w:color w:val="auto"/>
          <w:sz w:val="24"/>
          <w:szCs w:val="24"/>
          <w:highlight w:val="none"/>
        </w:rPr>
      </w:pPr>
      <w:r>
        <w:rPr>
          <w:rFonts w:hint="eastAsia" w:ascii="宋体" w:hAnsi="宋体"/>
          <w:bCs/>
          <w:color w:val="auto"/>
          <w:sz w:val="24"/>
          <w:szCs w:val="24"/>
          <w:highlight w:val="none"/>
        </w:rPr>
        <w:t xml:space="preserve">（3）如有服务偏离项，请于本表中列明偏离内容，如需要可自行延长，其余无偏离内容不须赘述。</w:t>
      </w:r>
      <w:r/>
    </w:p>
    <w:p>
      <w:pPr>
        <w:ind w:firstLine="480"/>
        <w:spacing w:after="0" w:line="400" w:lineRule="exact"/>
        <w:rPr>
          <w:rFonts w:ascii="宋体" w:hAnsi="宋体"/>
          <w:bCs/>
          <w:color w:val="auto"/>
          <w:sz w:val="24"/>
          <w:highlight w:val="none"/>
        </w:rPr>
        <w:outlineLvl w:val="2"/>
      </w:pPr>
      <w:r>
        <w:rPr>
          <w:rFonts w:hint="eastAsia" w:ascii="宋体" w:hAnsi="宋体"/>
          <w:bCs/>
          <w:color w:val="auto"/>
          <w:sz w:val="24"/>
          <w:highlight w:val="none"/>
        </w:rPr>
        <w:t xml:space="preserve">（4）投标供应商根据招标文件“三．采购需求中标注★”的内容进行响应，不得有负偏离，否则按无效标处理。</w:t>
      </w:r>
      <w:r/>
    </w:p>
    <w:p>
      <w:pPr>
        <w:pStyle w:val="854"/>
        <w:numPr>
          <w:ilvl w:val="0"/>
          <w:numId w:val="0"/>
        </w:numPr>
        <w:spacing w:after="0" w:line="240" w:lineRule="auto"/>
        <w:rPr>
          <w:rFonts w:hAnsi="宋体"/>
          <w:color w:val="auto"/>
          <w:highlight w:val="none"/>
        </w:rPr>
        <w:sectPr>
          <w:footnotePr/>
          <w:endnotePr/>
          <w:type w:val="nextPage"/>
          <w:pgSz w:w="16838" w:h="11906" w:orient="landscape"/>
          <w:pgMar w:top="1417" w:right="1440" w:bottom="1417" w:left="1440" w:header="850" w:footer="992" w:gutter="0"/>
          <w:cols w:num="1" w:sep="0" w:space="0" w:equalWidth="1"/>
          <w:docGrid w:linePitch="360"/>
        </w:sectPr>
      </w:pPr>
      <w:r>
        <w:rPr>
          <w:rFonts w:hAnsi="宋体"/>
          <w:color w:val="auto"/>
          <w:highlight w:val="none"/>
        </w:rPr>
      </w:r>
      <w:r/>
    </w:p>
    <w:p>
      <w:pPr>
        <w:spacing w:after="0" w:line="400" w:lineRule="exact"/>
        <w:rPr>
          <w:rFonts w:ascii="宋体" w:hAnsi="宋体"/>
          <w:b/>
          <w:color w:val="auto"/>
          <w:sz w:val="32"/>
          <w:szCs w:val="32"/>
          <w:highlight w:val="none"/>
        </w:rPr>
        <w:outlineLvl w:val="2"/>
      </w:pPr>
      <w:r>
        <w:rPr>
          <w:rFonts w:hint="eastAsia" w:ascii="宋体" w:hAnsi="宋体"/>
          <w:b/>
          <w:color w:val="auto"/>
          <w:sz w:val="32"/>
          <w:szCs w:val="32"/>
          <w:highlight w:val="none"/>
        </w:rPr>
        <w:t xml:space="preserve">（十一）投标供应商简介和经营情况说明（格式）</w:t>
      </w:r>
      <w:r/>
    </w:p>
    <w:p>
      <w:pPr>
        <w:pStyle w:val="1089"/>
        <w:ind w:firstLine="0"/>
        <w:jc w:val="center"/>
        <w:spacing w:after="0"/>
        <w:rPr>
          <w:rFonts w:ascii="宋体" w:hAnsi="宋体"/>
          <w:b/>
          <w:color w:val="auto"/>
          <w:sz w:val="32"/>
          <w:szCs w:val="32"/>
          <w:highlight w:val="none"/>
        </w:rPr>
      </w:pPr>
      <w:r>
        <w:rPr>
          <w:rFonts w:hint="eastAsia" w:ascii="宋体" w:hAnsi="宋体"/>
          <w:b/>
          <w:color w:val="auto"/>
          <w:sz w:val="32"/>
          <w:szCs w:val="32"/>
          <w:highlight w:val="none"/>
        </w:rPr>
        <w:t xml:space="preserve">供应商情况表</w:t>
      </w:r>
      <w:r/>
    </w:p>
    <w:p>
      <w:pPr>
        <w:pStyle w:val="1027"/>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838"/>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W w:w="2612"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w:t>
            </w:r>
            <w:r/>
          </w:p>
        </w:tc>
        <w:tc>
          <w:tcPr>
            <w:tcW w:w="2283" w:type="dxa"/>
            <w:textDirection w:val="lrTb"/>
            <w:noWrap w:val="false"/>
          </w:tcPr>
          <w:p>
            <w:pPr>
              <w:pStyle w:val="1027"/>
              <w:ind w:firstLine="48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983"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成立日期</w:t>
            </w:r>
            <w:r/>
          </w:p>
        </w:tc>
        <w:tc>
          <w:tcPr>
            <w:tcW w:w="2667" w:type="dxa"/>
            <w:textDirection w:val="lrTb"/>
            <w:noWrap w:val="false"/>
          </w:tcPr>
          <w:p>
            <w:pPr>
              <w:pStyle w:val="1027"/>
              <w:ind w:firstLine="48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tc>
          <w:tcPr>
            <w:tcW w:w="2612"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企业地址</w:t>
            </w:r>
            <w:r/>
          </w:p>
        </w:tc>
        <w:tc>
          <w:tcPr>
            <w:tcW w:w="2283" w:type="dxa"/>
            <w:textDirection w:val="lrTb"/>
            <w:noWrap w:val="false"/>
          </w:tcPr>
          <w:p>
            <w:pPr>
              <w:pStyle w:val="1027"/>
              <w:ind w:firstLine="48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1983"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注册资本</w:t>
            </w:r>
            <w:r/>
          </w:p>
        </w:tc>
        <w:tc>
          <w:tcPr>
            <w:tcW w:w="2667" w:type="dxa"/>
            <w:textDirection w:val="lrTb"/>
            <w:noWrap w:val="false"/>
          </w:tcPr>
          <w:p>
            <w:pPr>
              <w:pStyle w:val="1027"/>
              <w:ind w:firstLine="84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万元</w:t>
            </w:r>
            <w:r/>
          </w:p>
        </w:tc>
      </w:tr>
      <w:tr>
        <w:trPr/>
        <w:tc>
          <w:tcPr>
            <w:tcW w:w="2612"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经营范围</w:t>
            </w:r>
            <w:r/>
          </w:p>
        </w:tc>
        <w:tc>
          <w:tcPr>
            <w:gridSpan w:val="3"/>
            <w:tcW w:w="6933" w:type="dxa"/>
            <w:textDirection w:val="lrTb"/>
            <w:noWrap w:val="false"/>
          </w:tcPr>
          <w:p>
            <w:pPr>
              <w:pStyle w:val="1027"/>
              <w:ind w:firstLine="48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tc>
          <w:tcPr>
            <w:tcW w:w="2612"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职工人数</w:t>
            </w:r>
            <w:r/>
          </w:p>
        </w:tc>
        <w:tc>
          <w:tcPr>
            <w:tcW w:w="2283" w:type="dxa"/>
            <w:textDirection w:val="lrTb"/>
            <w:noWrap w:val="false"/>
          </w:tcPr>
          <w:p>
            <w:pPr>
              <w:pStyle w:val="1027"/>
              <w:ind w:firstLine="48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gridSpan w:val="2"/>
            <w:tcW w:w="4650"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其中：</w:t>
            </w:r>
            <w:r/>
          </w:p>
          <w:p>
            <w:pPr>
              <w:pStyle w:val="1027"/>
              <w:ind w:left="959" w:hanging="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中级职称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人数、</w:t>
            </w:r>
            <w:r/>
          </w:p>
          <w:p>
            <w:pPr>
              <w:pStyle w:val="1027"/>
              <w:ind w:left="959" w:hanging="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高级职称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人数</w:t>
            </w:r>
            <w:r/>
          </w:p>
        </w:tc>
      </w:tr>
      <w:tr>
        <w:trPr>
          <w:trHeight w:val="566"/>
        </w:trPr>
        <w:tc>
          <w:tcPr>
            <w:tcW w:w="2612" w:type="dxa"/>
            <w:textDirection w:val="lrTb"/>
            <w:noWrap w:val="false"/>
          </w:tcPr>
          <w:p>
            <w:pPr>
              <w:pStyle w:val="1027"/>
              <w:ind w:firstLine="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2025年12月资产总额</w:t>
            </w:r>
            <w:r/>
          </w:p>
        </w:tc>
        <w:tc>
          <w:tcPr>
            <w:tcW w:w="2283"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万元</w:t>
            </w:r>
            <w:r/>
          </w:p>
        </w:tc>
        <w:tc>
          <w:tcPr>
            <w:tcW w:w="1983" w:type="dxa"/>
            <w:textDirection w:val="lrTb"/>
            <w:noWrap w:val="false"/>
          </w:tcPr>
          <w:p>
            <w:pPr>
              <w:pStyle w:val="1027"/>
              <w:ind w:firstLine="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净资产</w:t>
            </w:r>
            <w:r/>
          </w:p>
        </w:tc>
        <w:tc>
          <w:tcPr>
            <w:tcW w:w="2667"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trHeight w:val="885"/>
        </w:trPr>
        <w:tc>
          <w:tcPr>
            <w:tcW w:w="2612" w:type="dxa"/>
            <w:textDirection w:val="lrTb"/>
            <w:noWrap w:val="false"/>
          </w:tcPr>
          <w:p>
            <w:pPr>
              <w:pStyle w:val="1027"/>
              <w:ind w:firstLine="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2025年12月股东权益</w:t>
            </w:r>
            <w:r/>
          </w:p>
        </w:tc>
        <w:tc>
          <w:tcPr>
            <w:tcW w:w="2283"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万元</w:t>
            </w:r>
            <w:r/>
          </w:p>
        </w:tc>
        <w:tc>
          <w:tcPr>
            <w:tcW w:w="1983" w:type="dxa"/>
            <w:textDirection w:val="lrTb"/>
            <w:noWrap w:val="false"/>
          </w:tcPr>
          <w:p>
            <w:pPr>
              <w:pStyle w:val="1027"/>
              <w:ind w:firstLine="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2025年业务收入</w:t>
            </w:r>
            <w:r/>
          </w:p>
        </w:tc>
        <w:tc>
          <w:tcPr>
            <w:tcW w:w="2667"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万元</w:t>
            </w:r>
            <w:r/>
          </w:p>
        </w:tc>
      </w:tr>
      <w:tr>
        <w:trPr/>
        <w:tc>
          <w:tcPr>
            <w:tcW w:w="2612" w:type="dxa"/>
            <w:textDirection w:val="lrTb"/>
            <w:noWrap w:val="false"/>
          </w:tcPr>
          <w:p>
            <w:pPr>
              <w:pStyle w:val="1027"/>
              <w:ind w:firstLine="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2025年实现利润</w:t>
            </w:r>
            <w:r/>
          </w:p>
        </w:tc>
        <w:tc>
          <w:tcPr>
            <w:tcW w:w="2283" w:type="dxa"/>
            <w:textDirection w:val="lrTb"/>
            <w:noWrap w:val="false"/>
          </w:tcPr>
          <w:p>
            <w:pPr>
              <w:pStyle w:val="1027"/>
              <w:ind w:firstLine="132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万元</w:t>
            </w:r>
            <w:r/>
          </w:p>
        </w:tc>
        <w:tc>
          <w:tcPr>
            <w:tcW w:w="1983" w:type="dxa"/>
            <w:textDirection w:val="lrTb"/>
            <w:noWrap w:val="false"/>
          </w:tcPr>
          <w:p>
            <w:pPr>
              <w:pStyle w:val="1027"/>
              <w:ind w:firstLine="48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2667" w:type="dxa"/>
            <w:textDirection w:val="lrTb"/>
            <w:noWrap w:val="false"/>
          </w:tcPr>
          <w:p>
            <w:pPr>
              <w:pStyle w:val="1027"/>
              <w:ind w:firstLine="48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tc>
          <w:tcPr>
            <w:tcW w:w="2612"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办公面积</w:t>
            </w:r>
            <w:r/>
          </w:p>
          <w:p>
            <w:pPr>
              <w:pStyle w:val="1027"/>
              <w:ind w:firstLine="480"/>
              <w:spacing w:after="0" w:line="360" w:lineRule="auto"/>
              <w:rPr>
                <w:rFonts w:ascii="宋体" w:hAnsi="宋体"/>
                <w:color w:val="auto"/>
                <w:sz w:val="24"/>
                <w:szCs w:val="24"/>
                <w:highlight w:val="none"/>
              </w:rPr>
            </w:pPr>
            <w:r>
              <w:rPr>
                <w:rFonts w:ascii="宋体" w:hAnsi="宋体"/>
                <w:color w:val="auto"/>
                <w:sz w:val="24"/>
                <w:szCs w:val="24"/>
                <w:highlight w:val="none"/>
              </w:rPr>
            </w:r>
            <w:r/>
          </w:p>
        </w:tc>
        <w:tc>
          <w:tcPr>
            <w:tcW w:w="2283"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平方米</w:t>
            </w:r>
            <w:r/>
          </w:p>
        </w:tc>
        <w:tc>
          <w:tcPr>
            <w:tcW w:w="1983"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其中：</w:t>
            </w:r>
            <w:r/>
          </w:p>
        </w:tc>
        <w:tc>
          <w:tcPr>
            <w:tcW w:w="2667" w:type="dxa"/>
            <w:textDirection w:val="lrTb"/>
            <w:noWrap w:val="false"/>
          </w:tcPr>
          <w:p>
            <w:pPr>
              <w:pStyle w:val="1027"/>
              <w:ind w:firstLine="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自有面积    平方米</w:t>
            </w:r>
            <w:r/>
          </w:p>
          <w:p>
            <w:pPr>
              <w:pStyle w:val="1027"/>
              <w:ind w:firstLine="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承租面积    平方米</w:t>
            </w:r>
            <w:r/>
          </w:p>
        </w:tc>
      </w:tr>
      <w:tr>
        <w:trPr/>
        <w:tc>
          <w:tcPr>
            <w:gridSpan w:val="2"/>
            <w:tcW w:w="4895"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单位简历及内设机构情况</w:t>
            </w:r>
            <w:r/>
          </w:p>
        </w:tc>
        <w:tc>
          <w:tcPr>
            <w:gridSpan w:val="2"/>
            <w:tcW w:w="4650" w:type="dxa"/>
            <w:textDirection w:val="lrTb"/>
            <w:noWrap w:val="false"/>
          </w:tcPr>
          <w:p>
            <w:pPr>
              <w:pStyle w:val="1027"/>
              <w:ind w:firstLine="48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tc>
          <w:tcPr>
            <w:gridSpan w:val="2"/>
            <w:tcW w:w="4895"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单位优势及特长</w:t>
            </w:r>
            <w:r/>
          </w:p>
        </w:tc>
        <w:tc>
          <w:tcPr>
            <w:gridSpan w:val="2"/>
            <w:tcW w:w="4650" w:type="dxa"/>
            <w:textDirection w:val="lrTb"/>
            <w:noWrap w:val="false"/>
          </w:tcPr>
          <w:p>
            <w:pPr>
              <w:pStyle w:val="1027"/>
              <w:ind w:firstLine="48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tc>
          <w:tcPr>
            <w:gridSpan w:val="2"/>
            <w:tcW w:w="4895"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近三年来完成或正在履行的重大合同情况</w:t>
            </w:r>
            <w:r/>
          </w:p>
        </w:tc>
        <w:tc>
          <w:tcPr>
            <w:gridSpan w:val="2"/>
            <w:tcW w:w="4650" w:type="dxa"/>
            <w:textDirection w:val="lrTb"/>
            <w:noWrap w:val="false"/>
          </w:tcPr>
          <w:p>
            <w:pPr>
              <w:pStyle w:val="1027"/>
              <w:ind w:firstLine="48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tc>
          <w:tcPr>
            <w:gridSpan w:val="2"/>
            <w:tcW w:w="4895"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bCs/>
                <w:color w:val="auto"/>
                <w:sz w:val="24"/>
                <w:szCs w:val="24"/>
                <w:highlight w:val="none"/>
              </w:rPr>
              <w:t xml:space="preserve">近三年来受行业主管部门考核评价及业主评价意见</w:t>
            </w:r>
            <w:r/>
          </w:p>
        </w:tc>
        <w:tc>
          <w:tcPr>
            <w:gridSpan w:val="2"/>
            <w:tcW w:w="4650" w:type="dxa"/>
            <w:textDirection w:val="lrTb"/>
            <w:noWrap w:val="false"/>
          </w:tcPr>
          <w:p>
            <w:pPr>
              <w:pStyle w:val="1027"/>
              <w:ind w:firstLine="48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tc>
          <w:tcPr>
            <w:gridSpan w:val="2"/>
            <w:tcW w:w="4895"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最近3年内有无因违纪或其他原因被投诉或起诉的情况及说明</w:t>
            </w:r>
            <w:r/>
          </w:p>
        </w:tc>
        <w:tc>
          <w:tcPr>
            <w:gridSpan w:val="2"/>
            <w:tcW w:w="4650"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（包括解决方式和结果）</w:t>
            </w:r>
            <w:r/>
          </w:p>
        </w:tc>
      </w:tr>
      <w:tr>
        <w:trPr/>
        <w:tc>
          <w:tcPr>
            <w:gridSpan w:val="2"/>
            <w:tcW w:w="4895"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最近3年内主要负责人有无因经济犯罪被司法机关追究的情况及说明</w:t>
            </w:r>
            <w:r/>
          </w:p>
        </w:tc>
        <w:tc>
          <w:tcPr>
            <w:gridSpan w:val="2"/>
            <w:tcW w:w="4650" w:type="dxa"/>
            <w:textDirection w:val="lrTb"/>
            <w:noWrap w:val="false"/>
          </w:tcPr>
          <w:p>
            <w:pPr>
              <w:ind w:firstLine="480"/>
              <w:spacing w:after="0" w:line="360" w:lineRule="auto"/>
              <w:rPr>
                <w:rFonts w:ascii="宋体" w:hAnsi="宋体"/>
                <w:color w:val="auto"/>
                <w:sz w:val="24"/>
                <w:highlight w:val="none"/>
              </w:rPr>
            </w:pPr>
            <w:r>
              <w:rPr>
                <w:rFonts w:ascii="宋体" w:hAnsi="宋体"/>
                <w:color w:val="auto"/>
                <w:sz w:val="24"/>
                <w:highlight w:val="none"/>
              </w:rPr>
            </w:r>
            <w:r/>
          </w:p>
        </w:tc>
      </w:tr>
      <w:tr>
        <w:trPr>
          <w:trHeight w:val="447"/>
        </w:trPr>
        <w:tc>
          <w:tcPr>
            <w:gridSpan w:val="2"/>
            <w:tcW w:w="4895" w:type="dxa"/>
            <w:textDirection w:val="lrTb"/>
            <w:noWrap w:val="false"/>
          </w:tcPr>
          <w:p>
            <w:pPr>
              <w:pStyle w:val="1027"/>
              <w:ind w:firstLine="48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其他需要说明的情况</w:t>
            </w:r>
            <w:r/>
          </w:p>
        </w:tc>
        <w:tc>
          <w:tcPr>
            <w:gridSpan w:val="2"/>
            <w:tcW w:w="4650" w:type="dxa"/>
            <w:textDirection w:val="lrTb"/>
            <w:noWrap w:val="false"/>
          </w:tcPr>
          <w:p>
            <w:pPr>
              <w:pStyle w:val="1027"/>
              <w:ind w:firstLine="480"/>
              <w:spacing w:after="0" w:line="360" w:lineRule="auto"/>
              <w:rPr>
                <w:rFonts w:ascii="宋体" w:hAnsi="宋体"/>
                <w:color w:val="auto"/>
                <w:sz w:val="24"/>
                <w:szCs w:val="24"/>
                <w:highlight w:val="none"/>
              </w:rPr>
            </w:pPr>
            <w:r>
              <w:rPr>
                <w:rFonts w:ascii="宋体" w:hAnsi="宋体"/>
                <w:color w:val="auto"/>
                <w:sz w:val="24"/>
                <w:szCs w:val="24"/>
                <w:highlight w:val="none"/>
              </w:rPr>
            </w:r>
            <w:r/>
          </w:p>
        </w:tc>
      </w:tr>
    </w:tbl>
    <w:p>
      <w:pPr>
        <w:spacing w:after="0" w:line="36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法定代表人或法定代表人授权委托人（签字或盖章）：</w:t>
      </w:r>
      <w:r/>
    </w:p>
    <w:p>
      <w:pPr>
        <w:pStyle w:val="1097"/>
        <w:ind w:left="0"/>
        <w:spacing w:after="0"/>
        <w:rPr>
          <w:rFonts w:ascii="宋体" w:hAnsi="宋体"/>
          <w:b/>
          <w:bCs/>
          <w:color w:val="auto"/>
          <w:sz w:val="32"/>
          <w:szCs w:val="32"/>
          <w:highlight w:val="none"/>
        </w:rPr>
        <w:outlineLvl w:val="2"/>
      </w:pPr>
      <w:r>
        <w:rPr>
          <w:rFonts w:ascii="宋体" w:hAnsi="宋体"/>
          <w:b/>
          <w:bCs/>
          <w:color w:val="auto"/>
          <w:sz w:val="32"/>
          <w:szCs w:val="32"/>
          <w:highlight w:val="none"/>
        </w:rPr>
      </w:r>
      <w:r/>
    </w:p>
    <w:p>
      <w:pPr>
        <w:pStyle w:val="1097"/>
        <w:ind w:left="0"/>
        <w:spacing w:after="0"/>
        <w:rPr>
          <w:rFonts w:ascii="宋体" w:hAnsi="宋体"/>
          <w:b/>
          <w:bCs/>
          <w:color w:val="auto"/>
          <w:sz w:val="32"/>
          <w:szCs w:val="32"/>
          <w:highlight w:val="none"/>
        </w:rPr>
        <w:outlineLvl w:val="2"/>
      </w:pPr>
      <w:r>
        <w:rPr>
          <w:rFonts w:ascii="宋体" w:hAnsi="宋体"/>
          <w:b/>
          <w:bCs/>
          <w:color w:val="auto"/>
          <w:sz w:val="32"/>
          <w:szCs w:val="32"/>
          <w:highlight w:val="none"/>
        </w:rPr>
      </w:r>
      <w:r/>
    </w:p>
    <w:p>
      <w:pPr>
        <w:rPr>
          <w:rFonts w:ascii="宋体" w:hAnsi="宋体"/>
          <w:b/>
          <w:bCs/>
          <w:color w:val="auto"/>
          <w:sz w:val="30"/>
          <w:szCs w:val="30"/>
          <w:highlight w:val="none"/>
        </w:rPr>
        <w:outlineLvl w:val="1"/>
      </w:pPr>
      <w:r>
        <w:rPr>
          <w:rFonts w:hint="eastAsia" w:ascii="宋体" w:hAnsi="宋体"/>
          <w:b/>
          <w:bCs/>
          <w:color w:val="auto"/>
          <w:sz w:val="32"/>
          <w:szCs w:val="32"/>
          <w:highlight w:val="none"/>
        </w:rPr>
        <w:t xml:space="preserve">（十二）</w:t>
      </w:r>
      <w:r>
        <w:rPr>
          <w:rFonts w:hint="eastAsia" w:ascii="宋体" w:hAnsi="宋体"/>
          <w:b/>
          <w:bCs/>
          <w:color w:val="auto"/>
          <w:sz w:val="30"/>
          <w:szCs w:val="30"/>
          <w:highlight w:val="none"/>
        </w:rPr>
        <w:t xml:space="preserve">报价部分格式</w:t>
      </w:r>
      <w:r/>
    </w:p>
    <w:p>
      <w:pPr>
        <w:rPr>
          <w:rFonts w:ascii="宋体" w:hAnsi="宋体"/>
          <w:b/>
          <w:color w:val="auto"/>
          <w:sz w:val="24"/>
          <w:highlight w:val="none"/>
        </w:rPr>
        <w:outlineLvl w:val="1"/>
      </w:pPr>
      <w:r>
        <w:rPr>
          <w:rFonts w:ascii="宋体" w:hAnsi="宋体"/>
          <w:b/>
          <w:color w:val="auto"/>
          <w:sz w:val="24"/>
          <w:highlight w:val="none"/>
        </w:rPr>
      </w:r>
      <w:r/>
    </w:p>
    <w:p>
      <w:pPr>
        <w:rPr>
          <w:rFonts w:ascii="宋体" w:hAnsi="宋体"/>
          <w:b/>
          <w:color w:val="auto"/>
          <w:sz w:val="24"/>
          <w:highlight w:val="none"/>
        </w:rPr>
        <w:outlineLvl w:val="1"/>
      </w:pPr>
      <w:r>
        <w:rPr>
          <w:rFonts w:ascii="宋体" w:hAnsi="宋体"/>
          <w:b/>
          <w:color w:val="auto"/>
          <w:sz w:val="24"/>
          <w:highlight w:val="none"/>
        </w:rPr>
      </w:r>
      <w:r/>
    </w:p>
    <w:p>
      <w:pPr>
        <w:spacing w:after="0"/>
        <w:widowControl w:val="off"/>
        <w:rPr>
          <w:rFonts w:ascii="宋体" w:hAnsi="宋体"/>
          <w:b/>
          <w:color w:val="auto"/>
          <w:sz w:val="24"/>
          <w:highlight w:val="none"/>
        </w:rPr>
        <w:outlineLvl w:val="2"/>
      </w:pPr>
      <w:r>
        <w:rPr>
          <w:rFonts w:hint="eastAsia" w:ascii="宋体" w:hAnsi="宋体"/>
          <w:b/>
          <w:color w:val="auto"/>
          <w:sz w:val="24"/>
          <w:highlight w:val="none"/>
        </w:rPr>
        <w:t xml:space="preserve">（如为工程项目且采购文件提供</w:t>
      </w:r>
      <w:r>
        <w:rPr>
          <w:rFonts w:hint="eastAsia" w:ascii="宋体" w:hAnsi="宋体"/>
          <w:b/>
          <w:color w:val="auto"/>
          <w:sz w:val="24"/>
          <w:highlight w:val="none"/>
          <w:lang w:val="en-US" w:eastAsia="zh-CN"/>
        </w:rPr>
        <w:t xml:space="preserve">招标</w:t>
      </w:r>
      <w:r>
        <w:rPr>
          <w:rFonts w:hint="eastAsia" w:ascii="宋体" w:hAnsi="宋体"/>
          <w:b/>
          <w:color w:val="auto"/>
          <w:sz w:val="24"/>
          <w:highlight w:val="none"/>
        </w:rPr>
        <w:t xml:space="preserve">清单的，供应商按最新</w:t>
      </w:r>
      <w:r>
        <w:rPr>
          <w:rFonts w:hint="eastAsia" w:ascii="宋体" w:hAnsi="宋体"/>
          <w:b/>
          <w:color w:val="auto"/>
          <w:sz w:val="24"/>
          <w:highlight w:val="none"/>
          <w:lang w:val="en-US" w:eastAsia="zh-CN"/>
        </w:rPr>
        <w:t xml:space="preserve">招标</w:t>
      </w:r>
      <w:r>
        <w:rPr>
          <w:rFonts w:hint="eastAsia" w:ascii="宋体" w:hAnsi="宋体"/>
          <w:b/>
          <w:color w:val="auto"/>
          <w:sz w:val="24"/>
          <w:highlight w:val="none"/>
        </w:rPr>
        <w:t xml:space="preserve">清单计价规范要求进行报价，要求表格齐全，数据详实。主要设备及主材的价格、品牌、型号规格必须体现在“承包人供应材料一览表”中，否则评委有权按无效处理。）</w:t>
      </w:r>
      <w:r/>
    </w:p>
    <w:p>
      <w:pPr>
        <w:spacing w:after="0"/>
        <w:widowControl w:val="off"/>
        <w:rPr>
          <w:rFonts w:ascii="宋体" w:hAnsi="宋体"/>
          <w:b/>
          <w:color w:val="auto"/>
          <w:sz w:val="32"/>
          <w:szCs w:val="32"/>
          <w:highlight w:val="none"/>
        </w:rPr>
        <w:outlineLvl w:val="2"/>
      </w:pPr>
      <w:r>
        <w:rPr>
          <w:rFonts w:hint="eastAsia" w:ascii="宋体" w:hAnsi="宋体"/>
          <w:b/>
          <w:color w:val="auto"/>
          <w:sz w:val="24"/>
          <w:highlight w:val="none"/>
        </w:rPr>
        <w:t xml:space="preserve"> </w:t>
      </w:r>
      <w:r>
        <w:rPr>
          <w:rFonts w:ascii="宋体" w:hAnsi="宋体"/>
          <w:b/>
          <w:color w:val="auto"/>
          <w:sz w:val="24"/>
          <w:highlight w:val="none"/>
        </w:rPr>
        <w:br w:type="page" w:clear="all"/>
      </w:r>
      <w:r/>
    </w:p>
    <w:p>
      <w:pPr>
        <w:spacing w:after="0"/>
        <w:widowControl w:val="off"/>
        <w:rPr>
          <w:rFonts w:ascii="宋体" w:hAnsi="宋体"/>
          <w:b/>
          <w:color w:val="auto"/>
          <w:sz w:val="32"/>
          <w:szCs w:val="32"/>
          <w:highlight w:val="none"/>
        </w:rPr>
        <w:outlineLvl w:val="2"/>
      </w:pPr>
      <w:r>
        <w:rPr>
          <w:rFonts w:hint="eastAsia" w:ascii="宋体" w:hAnsi="宋体"/>
          <w:b/>
          <w:color w:val="auto"/>
          <w:sz w:val="32"/>
          <w:szCs w:val="32"/>
          <w:highlight w:val="none"/>
        </w:rPr>
        <w:t xml:space="preserve">（十四）技术文件格式：</w:t>
      </w:r>
      <w:r/>
    </w:p>
    <w:p>
      <w:pPr>
        <w:pStyle w:val="1199"/>
        <w:spacing w:after="0"/>
        <w:rPr>
          <w:rFonts w:ascii="宋体" w:hAnsi="宋体"/>
          <w:bCs/>
          <w:color w:val="auto"/>
          <w:highlight w:val="none"/>
        </w:rPr>
      </w:pPr>
      <w:r>
        <w:rPr>
          <w:rFonts w:ascii="宋体" w:hAnsi="宋体"/>
          <w:bCs/>
          <w:color w:val="auto"/>
          <w:highlight w:val="none"/>
        </w:rPr>
      </w:r>
      <w:r/>
    </w:p>
    <w:p>
      <w:pPr>
        <w:jc w:val="center"/>
        <w:spacing w:after="0"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技术方案</w:t>
      </w:r>
      <w:r/>
    </w:p>
    <w:p>
      <w:pPr>
        <w:pStyle w:val="1096"/>
        <w:ind w:firstLine="0"/>
        <w:spacing w:after="0"/>
        <w:rPr>
          <w:color w:val="auto"/>
          <w:sz w:val="24"/>
          <w:highlight w:val="none"/>
        </w:rPr>
      </w:pPr>
      <w:r>
        <w:rPr>
          <w:color w:val="auto"/>
          <w:sz w:val="24"/>
          <w:highlight w:val="none"/>
        </w:rPr>
      </w:r>
      <w:r/>
    </w:p>
    <w:p>
      <w:pPr>
        <w:pStyle w:val="1096"/>
        <w:ind w:firstLine="0"/>
        <w:spacing w:after="0"/>
        <w:rPr>
          <w:color w:val="auto"/>
          <w:sz w:val="24"/>
          <w:highlight w:val="none"/>
        </w:rPr>
      </w:pPr>
      <w:r>
        <w:rPr>
          <w:rFonts w:hint="eastAsia"/>
          <w:color w:val="auto"/>
          <w:sz w:val="24"/>
          <w:highlight w:val="none"/>
        </w:rPr>
        <w:t xml:space="preserve">投标供应商应按评分点编制完整的技术方案，</w:t>
      </w:r>
      <w:r>
        <w:rPr>
          <w:color w:val="auto"/>
          <w:sz w:val="24"/>
          <w:highlight w:val="none"/>
        </w:rPr>
        <w:t xml:space="preserve">以便评审。</w:t>
      </w:r>
      <w:r/>
    </w:p>
    <w:p>
      <w:pPr>
        <w:pStyle w:val="1096"/>
        <w:ind w:firstLine="0"/>
        <w:spacing w:after="0"/>
        <w:rPr>
          <w:color w:val="auto"/>
          <w:sz w:val="24"/>
          <w:highlight w:val="none"/>
        </w:rPr>
      </w:pPr>
      <w:r>
        <w:rPr>
          <w:color w:val="auto"/>
          <w:sz w:val="24"/>
          <w:highlight w:val="none"/>
        </w:rPr>
      </w:r>
      <w:r/>
    </w:p>
    <w:p>
      <w:pPr>
        <w:pStyle w:val="1037"/>
        <w:spacing w:after="0"/>
        <w:rPr>
          <w:rFonts w:ascii="黑体" w:hAnsi="黑体" w:eastAsia="黑体"/>
          <w:b w:val="0"/>
          <w:bCs/>
          <w:color w:val="auto"/>
          <w:sz w:val="28"/>
          <w:szCs w:val="28"/>
          <w:highlight w:val="none"/>
        </w:rPr>
      </w:pPr>
      <w:r>
        <w:rPr>
          <w:rFonts w:ascii="黑体" w:hAnsi="黑体" w:eastAsia="黑体"/>
          <w:b w:val="0"/>
          <w:bCs/>
          <w:color w:val="auto"/>
          <w:sz w:val="28"/>
          <w:szCs w:val="28"/>
          <w:highlight w:val="none"/>
        </w:rPr>
      </w:r>
      <w:r/>
    </w:p>
    <w:p>
      <w:pPr>
        <w:ind w:firstLine="482"/>
        <w:spacing w:after="0" w:line="360" w:lineRule="auto"/>
        <w:widowControl w:val="off"/>
        <w:rPr>
          <w:color w:val="auto"/>
          <w:highlight w:val="none"/>
        </w:rPr>
      </w:pPr>
      <w:r>
        <w:rPr>
          <w:rFonts w:hint="eastAsia" w:ascii="宋体" w:hAnsi="宋体"/>
          <w:b/>
          <w:color w:val="auto"/>
          <w:sz w:val="24"/>
          <w:szCs w:val="21"/>
          <w:highlight w:val="none"/>
          <w:u w:val="single"/>
        </w:rPr>
        <w:t xml:space="preserve">特别注意：本项目采用暗标形式。投标供应商须参照评标办法的相关要求对商务部分和技术文件部分分别进行制作。其中技术文件部分属于暗标，投标供应商在制作技术文件部分相关内容时不得有体现投标供应商身份的内容，否则投标无效。</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排版要求：A4版面，黑色、四号宋体字，如有必要，可配以图片、表格辅助说明（图片内字体不作要求，表格中字体为宋体，字号不作限制），暗标文件中均不得体现投标供应商身份。除页码（页码居中，格式为阿拉伯数字小五号，页码应当连续，不得有空白页）外不得设置其他页眉页脚。</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不得有体现投标供应商身份的内容是指：</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①技术部分不得出现能够体现投标供应商身份、名称的相关描述、材料、文件等内容；</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②技术部分不得更改，不得在其中涂改、标注或做任何可以辨认投标供应商及所属人员身份的名称、印章、商标等标记；</w:t>
      </w:r>
      <w:r/>
    </w:p>
    <w:p>
      <w:pPr>
        <w:ind w:firstLine="482"/>
        <w:spacing w:after="0" w:line="360" w:lineRule="auto"/>
        <w:rPr>
          <w:rFonts w:ascii="宋体" w:hAnsi="宋体"/>
          <w:b/>
          <w:color w:val="auto"/>
          <w:sz w:val="24"/>
          <w:szCs w:val="21"/>
          <w:highlight w:val="none"/>
        </w:rPr>
      </w:pPr>
      <w:r>
        <w:rPr>
          <w:rFonts w:hint="eastAsia" w:ascii="宋体" w:hAnsi="宋体"/>
          <w:b/>
          <w:color w:val="auto"/>
          <w:sz w:val="24"/>
          <w:szCs w:val="21"/>
          <w:highlight w:val="none"/>
        </w:rPr>
        <w:t xml:space="preserve">③技术部分应当版面整洁、字迹清楚、不许批注或进行水印等特殊设置，不得采用任何不符合常规、有别于其他投标供应商的特殊做法。文本部分不得出现底纹、阴影等标记；</w:t>
      </w:r>
      <w:r/>
    </w:p>
    <w:p>
      <w:pPr>
        <w:pStyle w:val="1037"/>
        <w:spacing w:after="0"/>
        <w:rPr>
          <w:rFonts w:ascii="黑体" w:hAnsi="黑体" w:eastAsia="黑体"/>
          <w:b w:val="0"/>
          <w:bCs/>
          <w:color w:val="auto"/>
          <w:sz w:val="28"/>
          <w:szCs w:val="28"/>
          <w:highlight w:val="none"/>
        </w:rPr>
      </w:pPr>
      <w:r>
        <w:rPr>
          <w:rFonts w:hint="eastAsia" w:ascii="宋体" w:hAnsi="宋体"/>
          <w:color w:val="auto"/>
          <w:sz w:val="24"/>
          <w:szCs w:val="21"/>
          <w:highlight w:val="none"/>
        </w:rPr>
        <w:t xml:space="preserve">④不得有其他体现投标供应商身份的内容。</w:t>
      </w:r>
      <w:r/>
    </w:p>
    <w:p>
      <w:pPr>
        <w:pStyle w:val="1037"/>
        <w:spacing w:after="0"/>
        <w:rPr>
          <w:rFonts w:ascii="黑体" w:hAnsi="黑体" w:eastAsia="黑体"/>
          <w:b w:val="0"/>
          <w:bCs/>
          <w:color w:val="auto"/>
          <w:sz w:val="28"/>
          <w:szCs w:val="28"/>
          <w:highlight w:val="none"/>
        </w:rPr>
      </w:pPr>
      <w:r>
        <w:rPr>
          <w:rFonts w:ascii="黑体" w:hAnsi="黑体" w:eastAsia="黑体"/>
          <w:b w:val="0"/>
          <w:bCs/>
          <w:color w:val="auto"/>
          <w:sz w:val="28"/>
          <w:szCs w:val="28"/>
          <w:highlight w:val="none"/>
        </w:rPr>
      </w:r>
      <w:r/>
    </w:p>
    <w:p>
      <w:pPr>
        <w:pStyle w:val="1096"/>
        <w:ind w:firstLine="0"/>
        <w:spacing w:after="0"/>
        <w:rPr>
          <w:color w:val="auto"/>
          <w:sz w:val="24"/>
          <w:highlight w:val="none"/>
        </w:rPr>
      </w:pPr>
      <w:r>
        <w:rPr>
          <w:color w:val="auto"/>
          <w:sz w:val="24"/>
          <w:highlight w:val="none"/>
        </w:rPr>
      </w:r>
      <w:r/>
    </w:p>
    <w:p>
      <w:pPr>
        <w:pStyle w:val="1096"/>
        <w:ind w:firstLine="0"/>
        <w:spacing w:after="0"/>
        <w:rPr>
          <w:color w:val="auto"/>
          <w:sz w:val="24"/>
          <w:highlight w:val="none"/>
        </w:rPr>
      </w:pPr>
      <w:r>
        <w:rPr>
          <w:rFonts w:hint="eastAsia"/>
          <w:color w:val="auto"/>
          <w:sz w:val="24"/>
          <w:highlight w:val="none"/>
        </w:rPr>
        <w:t xml:space="preserve">（请按照以上所列顺序编制，有格式的按照提供的格式做，未提供格式的自拟格式）</w:t>
      </w:r>
      <w:r>
        <w:rPr>
          <w:color w:val="auto"/>
          <w:sz w:val="24"/>
          <w:highlight w:val="none"/>
        </w:rPr>
        <w:t xml:space="preserve">。</w:t>
      </w:r>
      <w:r/>
    </w:p>
    <w:p>
      <w:pPr>
        <w:pStyle w:val="1096"/>
        <w:ind w:firstLine="0"/>
        <w:spacing w:after="0"/>
        <w:rPr>
          <w:color w:val="auto"/>
          <w:sz w:val="24"/>
          <w:highlight w:val="none"/>
        </w:rPr>
      </w:pPr>
      <w:r>
        <w:rPr>
          <w:color w:val="auto"/>
          <w:sz w:val="24"/>
          <w:highlight w:val="none"/>
        </w:rPr>
      </w:r>
      <w:r/>
    </w:p>
    <w:p>
      <w:pPr>
        <w:pStyle w:val="1037"/>
        <w:spacing w:after="0"/>
        <w:rPr>
          <w:rFonts w:ascii="黑体" w:hAnsi="黑体" w:eastAsia="黑体"/>
          <w:b w:val="0"/>
          <w:bCs/>
          <w:color w:val="auto"/>
          <w:sz w:val="28"/>
          <w:szCs w:val="28"/>
          <w:highlight w:val="none"/>
        </w:rPr>
      </w:pPr>
      <w:r>
        <w:rPr>
          <w:rFonts w:ascii="黑体" w:hAnsi="黑体" w:eastAsia="黑体"/>
          <w:b w:val="0"/>
          <w:bCs/>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spacing w:line="360" w:lineRule="auto"/>
        <w:rPr>
          <w:color w:val="auto"/>
          <w:highlight w:val="none"/>
        </w:rPr>
      </w:pPr>
      <w:r>
        <w:rPr>
          <w:color w:val="auto"/>
          <w:highlight w:val="none"/>
        </w:rPr>
      </w:r>
      <w:r/>
    </w:p>
    <w:p>
      <w:pPr>
        <w:jc w:val="center"/>
        <w:rPr>
          <w:rFonts w:ascii="宋体" w:hAnsi="宋体"/>
          <w:color w:val="auto"/>
          <w:sz w:val="28"/>
          <w:szCs w:val="28"/>
          <w:highlight w:val="none"/>
        </w:rPr>
      </w:pPr>
      <w:r>
        <w:rPr>
          <w:rFonts w:hint="eastAsia" w:ascii="宋体" w:hAnsi="宋体"/>
          <w:color w:val="auto"/>
          <w:sz w:val="28"/>
          <w:szCs w:val="28"/>
          <w:highlight w:val="none"/>
        </w:rPr>
        <w:t xml:space="preserve">（1）施工总平面图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供应商应提交一份施工总平面图，绘出现场临时设施布置图表并附文字说明，说明临时设施、加工车间、现场办公、设备及仓储、供电、供水、卫生、生活等设施的情况和布置。</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jc w:val="center"/>
        <w:rPr>
          <w:rFonts w:ascii="宋体" w:hAnsi="宋体"/>
          <w:color w:val="auto"/>
          <w:sz w:val="28"/>
          <w:szCs w:val="28"/>
          <w:highlight w:val="none"/>
        </w:rPr>
      </w:pPr>
      <w:r>
        <w:rPr>
          <w:rFonts w:ascii="宋体" w:hAnsi="宋体"/>
          <w:color w:val="auto"/>
          <w:sz w:val="28"/>
          <w:szCs w:val="28"/>
          <w:highlight w:val="none"/>
        </w:rPr>
        <w:br w:type="page" w:clear="all"/>
      </w:r>
      <w:r>
        <w:rPr>
          <w:rFonts w:hint="eastAsia" w:ascii="宋体" w:hAnsi="宋体"/>
          <w:color w:val="auto"/>
          <w:sz w:val="28"/>
          <w:szCs w:val="28"/>
          <w:highlight w:val="none"/>
        </w:rPr>
        <w:t xml:space="preserve">（2）计划开、竣工日期和施工进度网络图</w:t>
      </w:r>
      <w:r/>
    </w:p>
    <w:p>
      <w:pPr>
        <w:ind w:left="-6" w:firstLine="420"/>
        <w:spacing w:line="360" w:lineRule="auto"/>
        <w:rPr>
          <w:rFonts w:ascii="宋体" w:hAnsi="宋体"/>
          <w:color w:val="auto"/>
          <w:sz w:val="24"/>
          <w:highlight w:val="none"/>
        </w:rPr>
      </w:pPr>
      <w:r>
        <w:rPr>
          <w:rFonts w:ascii="宋体" w:hAnsi="宋体"/>
          <w:color w:val="auto"/>
          <w:sz w:val="24"/>
          <w:highlight w:val="none"/>
        </w:rPr>
      </w:r>
      <w:r/>
    </w:p>
    <w:p>
      <w:pPr>
        <w:ind w:left="-6" w:firstLine="480"/>
        <w:spacing w:line="360" w:lineRule="auto"/>
        <w:rPr>
          <w:rFonts w:ascii="宋体" w:hAnsi="宋体"/>
          <w:color w:val="auto"/>
          <w:sz w:val="24"/>
          <w:highlight w:val="none"/>
        </w:rPr>
      </w:pPr>
      <w:r>
        <w:rPr>
          <w:rFonts w:hint="eastAsia" w:ascii="宋体" w:hAnsi="宋体"/>
          <w:color w:val="auto"/>
          <w:sz w:val="24"/>
          <w:highlight w:val="none"/>
        </w:rPr>
        <w:t xml:space="preserve">1.供应商应提交的施工进度网络图或施工进度表，说明按招标文件要求的工期进行施工的各个关键日期。中标的供应商还应按合同条件有关条款的要求提交详细的施工进度计划。</w:t>
      </w:r>
      <w:r/>
    </w:p>
    <w:p>
      <w:pPr>
        <w:ind w:left="-6" w:firstLine="480"/>
        <w:spacing w:line="360" w:lineRule="auto"/>
        <w:rPr>
          <w:rFonts w:ascii="宋体" w:hAnsi="宋体"/>
          <w:color w:val="auto"/>
          <w:sz w:val="24"/>
          <w:highlight w:val="none"/>
        </w:rPr>
      </w:pPr>
      <w:r>
        <w:rPr>
          <w:rFonts w:hint="eastAsia" w:ascii="宋体" w:hAnsi="宋体"/>
          <w:color w:val="auto"/>
          <w:sz w:val="24"/>
          <w:highlight w:val="none"/>
        </w:rPr>
        <w:t xml:space="preserve">2.施工进度表可采用网络图（或横道图）表示，说明计划开工日期和各分项工程各阶段的完工日期和分包合同签订的日期。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3.施工进度计划应与施工组织设计相适应。</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440" w:lineRule="exact"/>
        <w:tabs>
          <w:tab w:val="left" w:pos="360" w:leader="none"/>
          <w:tab w:val="left" w:pos="960" w:leader="none"/>
        </w:tabs>
        <w:rPr>
          <w:rFonts w:ascii="宋体" w:hAnsi="宋体"/>
          <w:color w:val="auto"/>
          <w:sz w:val="24"/>
          <w:highlight w:val="none"/>
        </w:rPr>
      </w:pPr>
      <w:r>
        <w:rPr>
          <w:rFonts w:ascii="宋体" w:hAnsi="宋体"/>
          <w:color w:val="auto"/>
          <w:sz w:val="24"/>
          <w:highlight w:val="none"/>
        </w:rPr>
        <w:br w:type="page" w:clear="all"/>
      </w:r>
      <w:r>
        <w:rPr>
          <w:rFonts w:hint="eastAsia" w:ascii="宋体" w:hAnsi="宋体"/>
          <w:b/>
          <w:color w:val="auto"/>
          <w:sz w:val="24"/>
          <w:highlight w:val="none"/>
        </w:rPr>
        <w:t xml:space="preserve">附件一</w:t>
      </w:r>
      <w:r>
        <w:rPr>
          <w:rFonts w:hint="eastAsia" w:ascii="宋体" w:hAnsi="宋体"/>
          <w:color w:val="auto"/>
          <w:sz w:val="24"/>
          <w:highlight w:val="none"/>
        </w:rPr>
        <w:t xml:space="preserve">：</w:t>
      </w:r>
      <w:r/>
    </w:p>
    <w:p>
      <w:pPr>
        <w:jc w:val="center"/>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政府采购履约担保函（项目用）</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编号：</w:t>
      </w:r>
      <w:r/>
    </w:p>
    <w:p>
      <w:pPr>
        <w:spacing w:line="440" w:lineRule="exact"/>
        <w:tabs>
          <w:tab w:val="left" w:pos="360" w:leader="none"/>
          <w:tab w:val="left" w:pos="960" w:leader="none"/>
        </w:tabs>
        <w:rPr>
          <w:rFonts w:ascii="宋体" w:hAnsi="宋体"/>
          <w:color w:val="auto"/>
          <w:sz w:val="24"/>
          <w:highlight w:val="none"/>
          <w:u w:val="single"/>
        </w:rPr>
      </w:pPr>
      <w:r>
        <w:rPr>
          <w:rFonts w:ascii="宋体" w:hAnsi="宋体"/>
          <w:color w:val="auto"/>
          <w:sz w:val="24"/>
          <w:highlight w:val="none"/>
          <w:u w:val="single"/>
        </w:rPr>
      </w:r>
      <w:r/>
    </w:p>
    <w:p>
      <w:pPr>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（采购人）： </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鉴于你方与（以下简称供应商）于年月日签订编号为 的《政府采购合同》（以下简称主合同），且依据该合同的约定，供应商应在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一、保证责任的情形及保证金额</w:t>
      </w:r>
      <w:r/>
    </w:p>
    <w:p>
      <w:pPr>
        <w:ind w:firstLine="36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（一）在供应商出现下列情形之一时，我方承担保证责任：</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1.将中标项目转让给他人，或者在投标文件中未说明，且未经采购招标机构同意，将中标项目分包给他人的；</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2.主合同约定的应当缴纳履约保证金的情形： </w:t>
      </w:r>
      <w:r/>
    </w:p>
    <w:p>
      <w:pPr>
        <w:ind w:firstLine="36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（1）未按主合同约定的质量、数量和期限供应货物/提供服务/完成工程的；</w:t>
      </w:r>
      <w:r/>
    </w:p>
    <w:p>
      <w:pPr>
        <w:ind w:firstLine="36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(2)           。</w:t>
      </w:r>
      <w:r/>
    </w:p>
    <w:p>
      <w:pPr>
        <w:ind w:firstLine="36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（二）我方的保证范围是主合同约定的合同价款总额的%数额为         元（大写），币种为。（即主合同履约保证金金额）</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二、保证的方式及保证期间</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我方保证的方式为：连带责任保证。</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我方保证的期间为：自本合同生效之日起至供应商按照主合同约定的供货/完工期限届满后日内。</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如果供应商未按主合同约定向贵方供应货物/提供服务/完成工程的，由我方在保证金额内向你方支付上述款项。</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三、承担保证责任的程序</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2. 我方收到你方的书面索赔通知及相应证明材料，在工作日内进行核定后按照本保函的承诺承担保证责任。</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四、保证责任的终止</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2.我方按照本保函向你方履行了保证责任后，自我方向你方支付款项（支付款项从我方账户划出）之日起，保证责任即终止。</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3.按照法律法规的规定或出现应终止我方保证责任的其他情形的，我方在本保函项下的保证责任亦终止。</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4.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五、免责条款</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1.因你方违反主合同约定致使供应商不能履行义务的，我方不承担保证责任。</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2.依照法律法规的规定或你方与供应商的另行约定，全部或者部分免除供应商应缴纳的保证金义务的，我方亦免除相应的保证责任。</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3.因不可抗力造成供应商不能履行供货义务的，我方不承担保证责任。</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六、争议的解决</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因本保函发生的纠纷，由你我双方协商解决，协商不成的，通过诉讼程序解决，诉讼管辖地法院为法院。</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七、保函的生效</w:t>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本保函自我方加盖公章之日起生效。</w:t>
      </w:r>
      <w:r/>
    </w:p>
    <w:p>
      <w:pPr>
        <w:spacing w:line="440" w:lineRule="exact"/>
        <w:tabs>
          <w:tab w:val="left" w:pos="360" w:leader="none"/>
          <w:tab w:val="left" w:pos="960" w:leader="none"/>
        </w:tabs>
        <w:rPr>
          <w:rFonts w:ascii="宋体" w:hAnsi="宋体"/>
          <w:color w:val="auto"/>
          <w:sz w:val="24"/>
          <w:highlight w:val="none"/>
        </w:rPr>
      </w:pPr>
      <w:r>
        <w:rPr>
          <w:rFonts w:ascii="宋体" w:hAnsi="宋体"/>
          <w:color w:val="auto"/>
          <w:sz w:val="24"/>
          <w:highlight w:val="none"/>
        </w:rPr>
      </w:r>
      <w:r/>
    </w:p>
    <w:p>
      <w:pPr>
        <w:ind w:firstLine="48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保证人：（公章）</w:t>
      </w:r>
      <w:r/>
    </w:p>
    <w:p>
      <w:pPr>
        <w:ind w:firstLine="360"/>
        <w:spacing w:line="440" w:lineRule="exact"/>
        <w:tabs>
          <w:tab w:val="left" w:pos="360" w:leader="none"/>
          <w:tab w:val="left" w:pos="960" w:leader="none"/>
        </w:tabs>
        <w:rPr>
          <w:rFonts w:ascii="宋体" w:hAnsi="宋体"/>
          <w:color w:val="auto"/>
          <w:sz w:val="24"/>
          <w:highlight w:val="none"/>
        </w:rPr>
      </w:pPr>
      <w:r>
        <w:rPr>
          <w:rFonts w:ascii="宋体" w:hAnsi="宋体"/>
          <w:color w:val="auto"/>
          <w:sz w:val="24"/>
          <w:highlight w:val="none"/>
        </w:rPr>
      </w:r>
      <w:r/>
    </w:p>
    <w:p>
      <w:pPr>
        <w:ind w:firstLine="960"/>
        <w:spacing w:line="440" w:lineRule="exact"/>
        <w:tabs>
          <w:tab w:val="left" w:pos="360" w:leader="none"/>
          <w:tab w:val="left" w:pos="960" w:leader="none"/>
        </w:tabs>
        <w:rPr>
          <w:rFonts w:ascii="宋体" w:hAnsi="宋体"/>
          <w:color w:val="auto"/>
          <w:sz w:val="24"/>
          <w:highlight w:val="none"/>
        </w:rPr>
      </w:pPr>
      <w:r>
        <w:rPr>
          <w:rFonts w:hint="eastAsia" w:ascii="宋体" w:hAnsi="宋体"/>
          <w:color w:val="auto"/>
          <w:sz w:val="24"/>
          <w:highlight w:val="none"/>
        </w:rPr>
        <w:t xml:space="preserve"> 年     月      日</w:t>
      </w:r>
      <w:r/>
    </w:p>
    <w:p>
      <w:pPr>
        <w:rPr>
          <w:rFonts w:ascii="宋体" w:hAnsi="宋体"/>
          <w:color w:val="auto"/>
          <w:sz w:val="24"/>
          <w:highlight w:val="none"/>
        </w:rPr>
      </w:pPr>
      <w:r>
        <w:rPr>
          <w:rFonts w:hint="eastAsia" w:ascii="宋体" w:hAnsi="宋体"/>
          <w:color w:val="auto"/>
          <w:sz w:val="24"/>
          <w:highlight w:val="none"/>
        </w:rPr>
        <w:br w:type="page" w:clear="all"/>
      </w:r>
      <w:r/>
    </w:p>
    <w:p>
      <w:pPr>
        <w:jc w:val="center"/>
        <w:spacing w:line="580" w:lineRule="exact"/>
        <w:rPr>
          <w:rFonts w:ascii="宋体" w:hAnsi="宋体"/>
          <w:b/>
          <w:bCs/>
          <w:color w:val="auto"/>
          <w:sz w:val="24"/>
          <w:highlight w:val="none"/>
        </w:rPr>
      </w:pPr>
      <w:r>
        <w:rPr>
          <w:rFonts w:hint="eastAsia" w:ascii="宋体" w:hAnsi="宋体"/>
          <w:b/>
          <w:bCs/>
          <w:color w:val="auto"/>
          <w:sz w:val="24"/>
          <w:highlight w:val="none"/>
        </w:rPr>
        <w:t xml:space="preserve">无锡市政府采购合同融资政策告知函</w:t>
      </w:r>
      <w:r/>
    </w:p>
    <w:p>
      <w:pPr>
        <w:spacing w:line="580" w:lineRule="exact"/>
        <w:rPr>
          <w:rFonts w:ascii="宋体" w:hAnsi="宋体"/>
          <w:color w:val="auto"/>
          <w:sz w:val="24"/>
          <w:highlight w:val="none"/>
        </w:rPr>
      </w:pPr>
      <w:r>
        <w:rPr>
          <w:rFonts w:hint="eastAsia" w:ascii="宋体" w:hAnsi="宋体"/>
          <w:color w:val="auto"/>
          <w:sz w:val="24"/>
          <w:highlight w:val="none"/>
        </w:rPr>
        <w:t xml:space="preserve">各供应商：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欢迎贵公司参与无锡市政府采购活动！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spacing w:line="440" w:lineRule="exact"/>
        <w:tabs>
          <w:tab w:val="left" w:pos="360" w:leader="none"/>
          <w:tab w:val="left" w:pos="960" w:leader="none"/>
        </w:tabs>
        <w:rPr>
          <w:rFonts w:ascii="宋体" w:hAnsi="宋体"/>
          <w:color w:val="auto"/>
          <w:sz w:val="24"/>
          <w:highlight w:val="none"/>
        </w:rPr>
      </w:pPr>
      <w:r>
        <w:rPr>
          <w:rFonts w:ascii="宋体" w:hAnsi="宋体"/>
          <w:color w:val="auto"/>
          <w:sz w:val="24"/>
          <w:highlight w:val="none"/>
        </w:rPr>
      </w:r>
      <w:r/>
    </w:p>
    <w:p>
      <w:pPr>
        <w:pStyle w:val="1037"/>
        <w:spacing w:after="0"/>
        <w:rPr>
          <w:rFonts w:ascii="黑体" w:hAnsi="黑体" w:eastAsia="黑体"/>
          <w:b w:val="0"/>
          <w:bCs/>
          <w:color w:val="auto"/>
          <w:sz w:val="28"/>
          <w:szCs w:val="28"/>
          <w:highlight w:val="none"/>
        </w:rPr>
      </w:pPr>
      <w:r>
        <w:rPr>
          <w:rFonts w:ascii="黑体" w:hAnsi="黑体" w:eastAsia="黑体"/>
          <w:b w:val="0"/>
          <w:bCs/>
          <w:color w:val="auto"/>
          <w:sz w:val="28"/>
          <w:szCs w:val="28"/>
          <w:highlight w:val="none"/>
        </w:rPr>
      </w:r>
      <w:r/>
    </w:p>
    <w:sectPr>
      <w:footnotePr/>
      <w:endnotePr/>
      <w:type w:val="nextPage"/>
      <w:pgSz w:w="11906" w:h="16838" w:orient="portrait"/>
      <w:pgMar w:top="1440" w:right="1417" w:bottom="144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iversalMath1 BT">
    <w:panose1 w:val="020B0503020202020204"/>
  </w:font>
  <w:font w:name="华文新魏">
    <w:panose1 w:val="02010800040101010101"/>
  </w:font>
  <w:font w:name="Symbol">
    <w:panose1 w:val="05050102010706020507"/>
  </w:font>
  <w:font w:name="Wingdings">
    <w:panose1 w:val="05000000000000000000"/>
  </w:font>
  <w:font w:name="Cambria">
    <w:panose1 w:val="02040503050406030204"/>
  </w:font>
  <w:font w:name="Tahoma">
    <w:panose1 w:val="020B0604030504040204"/>
  </w:font>
  <w:font w:name="等线">
    <w:panose1 w:val="02010600030101010101"/>
  </w:font>
  <w:font w:name="等线 Light">
    <w:panose1 w:val="02010600030101010101"/>
  </w:font>
  <w:font w:name="仿宋">
    <w:panose1 w:val="02010609060101010101"/>
  </w:font>
  <w:font w:name="黑体">
    <w:panose1 w:val="02010609060101010101"/>
  </w:font>
  <w:font w:name="幼圆">
    <w:panose1 w:val="02010509060101010101"/>
  </w:font>
  <w:font w:name="仿宋_GB2312">
    <w:panose1 w:val="02010609060101010101"/>
  </w:font>
  <w:font w:name="华文中宋">
    <w:panose1 w:val="02010600040101010101"/>
  </w:font>
  <w:font w:name="楷体_GB2312">
    <w:panose1 w:val="02010609060101010101"/>
  </w:font>
  <w:font w:name="Courier New">
    <w:panose1 w:val="02070309020205020404"/>
  </w:font>
  <w:font w:name="___WRD_EMBED_SUB_44">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24485" cy="1803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24485" cy="180340"/>
                      </a:xfrm>
                      <a:prstGeom prst="rect">
                        <a:avLst/>
                      </a:prstGeom>
                      <a:noFill/>
                      <a:ln>
                        <a:noFill/>
                        <a:miter/>
                      </a:ln>
                    </wps:spPr>
                    <wps:txbx>
                      <w:txbxContent>
                        <w:p>
                          <w:pPr>
                            <w:pStyle w:val="849"/>
                          </w:pPr>
                          <w:r>
                            <w:fldChar w:fldCharType="begin"/>
                          </w:r>
                          <w:r>
                            <w:instrText xml:space="preserve"> PAGE  \* MERGEFORMAT </w:instrText>
                          </w:r>
                          <w:r>
                            <w:fldChar w:fldCharType="separate"/>
                          </w:r>
                          <w:r>
                            <w:t xml:space="preserve">39</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5.5pt;height:14.2pt;mso-wrap-distance-left:9.0pt;mso-wrap-distance-top:0.0pt;mso-wrap-distance-right:9.0pt;mso-wrap-distance-bottom:0.0pt;visibility:visible;" filled="f" stroked="f">
              <v:textbox inset="0,0,0,0">
                <w:txbxContent>
                  <w:p>
                    <w:pPr>
                      <w:pStyle w:val="84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6380" cy="17081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46379" cy="170815"/>
                      </a:xfrm>
                      <a:prstGeom prst="rect">
                        <a:avLst/>
                      </a:prstGeom>
                      <a:noFill/>
                      <a:ln>
                        <a:noFill/>
                        <a:miter/>
                      </a:ln>
                    </wps:spPr>
                    <wps:txbx>
                      <w:txbxContent>
                        <w:p>
                          <w:pPr>
                            <w:pStyle w:val="849"/>
                          </w:pPr>
                          <w:r>
                            <w:fldChar w:fldCharType="begin"/>
                          </w:r>
                          <w:r>
                            <w:instrText xml:space="preserve"> PAGE  \* MERGEFORMAT </w:instrText>
                          </w:r>
                          <w:r>
                            <w:fldChar w:fldCharType="separate"/>
                          </w:r>
                          <w:r>
                            <w:t xml:space="preserve">122</w:t>
                          </w:r>
                          <w:r>
                            <w:fldChar w:fldCharType="end"/>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9.4pt;height:13.4pt;mso-wrap-distance-left:9.0pt;mso-wrap-distance-top:0.0pt;mso-wrap-distance-right:9.0pt;mso-wrap-distance-bottom:0.0pt;visibility:visible;" filled="f" stroked="f">
              <v:textbox inset="0,0,0,0">
                <w:txbxContent>
                  <w:p>
                    <w:pPr>
                      <w:pStyle w:val="849"/>
                    </w:pPr>
                    <w:r>
                      <w:fldChar w:fldCharType="begin"/>
                    </w:r>
                    <w:r>
                      <w:instrText xml:space="preserve"> PAGE  \* MERGEFORMAT </w:instrText>
                    </w:r>
                    <w:r>
                      <w:fldChar w:fldCharType="separate"/>
                    </w:r>
                    <w:r>
                      <w:t xml:space="preserve">122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40" w:lineRule="auto"/>
      </w:pPr>
      <w:r>
        <w:separator/>
      </w:r>
      <w:r/>
    </w:p>
  </w:footnote>
  <w:footnote w:type="continuationSeparator" w:id="0">
    <w:p>
      <w:pPr>
        <w:spacing w:before="0"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rPr>
        <w:rFonts w:hint="eastAsia" w:eastAsia="华文新魏"/>
        <w:sz w:val="21"/>
        <w:szCs w:val="21"/>
        <w:lang w:eastAsia="zh-CN"/>
      </w:rPr>
      <w:pBdr>
        <w:bottom w:val="single" w:color="000000" w:sz="8" w:space="0"/>
      </w:pBdr>
    </w:pPr>
    <w:r>
      <w:rPr>
        <w:rFonts w:hint="eastAsia" w:ascii="宋体" w:hAnsi="宋体" w:eastAsia="宋体" w:cs="宋体"/>
        <w:sz w:val="21"/>
        <w:szCs w:val="21"/>
        <w:lang w:eastAsia="zh-CN"/>
      </w:rPr>
      <w:t xml:space="preserve">无锡市水利工程管理中心江尖水利枢纽液压系统维修改造项目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lang w:val="en-US"/>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2">
    <w:multiLevelType w:val="hybridMultilevel"/>
    <w:lvl w:ilvl="0">
      <w:start w:val="1"/>
      <w:numFmt w:val="decimal"/>
      <w:isLgl w:val="false"/>
      <w:suff w:val="tab"/>
      <w:lvlText w:val="%1."/>
      <w:lvlJc w:val="left"/>
      <w:pPr>
        <w:ind w:left="840" w:hanging="420"/>
      </w:pPr>
      <w:rPr>
        <w:rFonts w:hint="eastAsia"/>
      </w:rPr>
    </w:lvl>
    <w:lvl w:ilvl="1">
      <w:start w:val="1"/>
      <w:numFmt w:val="lowerLetter"/>
      <w:isLgl w:val="false"/>
      <w:suff w:val="tab"/>
      <w:lvlText w:val="%2)"/>
      <w:lvlJc w:val="left"/>
      <w:pPr>
        <w:ind w:left="1260" w:hanging="420"/>
      </w:pPr>
    </w:lvl>
    <w:lvl w:ilvl="2">
      <w:start w:val="1"/>
      <w:numFmt w:val="lowerRoman"/>
      <w:pStyle w:val="1131"/>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4">
    <w:multiLevelType w:val="hybridMultilevel"/>
    <w:lvl w:ilvl="0">
      <w:start w:val="1"/>
      <w:numFmt w:val="decimal"/>
      <w:pStyle w:val="1112"/>
      <w:isLgl w:val="false"/>
      <w:suff w:val="tab"/>
      <w:lvlText w:val="%1、"/>
      <w:lvlJc w:val="left"/>
      <w:pPr>
        <w:ind w:left="1140" w:hanging="720"/>
        <w:tabs>
          <w:tab w:val="left" w:pos="1140" w:leader="none"/>
        </w:tabs>
      </w:pPr>
    </w:lvl>
    <w:lvl w:ilvl="1">
      <w:start w:val="1"/>
      <w:numFmt w:val="lowerLetter"/>
      <w:pStyle w:val="1103"/>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6">
    <w:multiLevelType w:val="hybridMultilevel"/>
    <w:lvl w:ilvl="0">
      <w:start w:val="1"/>
      <w:numFmt w:val="upperLetter"/>
      <w:pStyle w:val="1018"/>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9"/>
      <w:numFmt w:val="chineseCounting"/>
      <w:pStyle w:val="828"/>
      <w:isLgl w:val="false"/>
      <w:suff w:val="nothing"/>
      <w:lvlText w:val="%1、"/>
      <w:lvlJc w:val="left"/>
      <w:pPr>
        <w:ind w:left="0" w:firstLine="0"/>
        <w:tabs>
          <w:tab w:val="left" w:pos="0" w:leader="none"/>
        </w:tabs>
      </w:pPr>
      <w:rPr>
        <w:rFonts w:hint="eastAsia"/>
      </w:rPr>
    </w:lvl>
    <w:lvl w:ilvl="1">
      <w:start w:val="1"/>
      <w:numFmt w:val="chineseCounting"/>
      <w:pStyle w:val="829"/>
      <w:isLgl w:val="false"/>
      <w:suff w:val="nothing"/>
      <w:lvlText w:val="（%2）"/>
      <w:lvlJc w:val="left"/>
      <w:pPr>
        <w:ind w:left="0" w:firstLine="0"/>
      </w:pPr>
      <w:rPr>
        <w:rFonts w:hint="eastAsia"/>
      </w:rPr>
    </w:lvl>
    <w:lvl w:ilvl="2">
      <w:start w:val="1"/>
      <w:numFmt w:val="decimal"/>
      <w:pStyle w:val="830"/>
      <w:isLgl w:val="false"/>
      <w:suff w:val="nothing"/>
      <w:lvlText w:val="%3．"/>
      <w:lvlJc w:val="left"/>
      <w:pPr>
        <w:ind w:left="0" w:firstLine="400"/>
      </w:pPr>
      <w:rPr>
        <w:rFonts w:hint="eastAsia"/>
      </w:rPr>
    </w:lvl>
    <w:lvl w:ilvl="3">
      <w:start w:val="1"/>
      <w:numFmt w:val="decimal"/>
      <w:pStyle w:val="831"/>
      <w:isLgl w:val="false"/>
      <w:suff w:val="nothing"/>
      <w:lvlText w:val="（%4）"/>
      <w:lvlJc w:val="left"/>
      <w:pPr>
        <w:ind w:left="0" w:firstLine="402"/>
      </w:pPr>
      <w:rPr>
        <w:rFonts w:hint="eastAsia"/>
      </w:rPr>
    </w:lvl>
    <w:lvl w:ilvl="4">
      <w:start w:val="1"/>
      <w:numFmt w:val="decimalEnclosedCircleChinese"/>
      <w:pStyle w:val="832"/>
      <w:isLgl w:val="false"/>
      <w:suff w:val="nothing"/>
      <w:lvlText w:val="%5"/>
      <w:lvlJc w:val="left"/>
      <w:pPr>
        <w:ind w:left="0" w:firstLine="402"/>
      </w:pPr>
      <w:rPr>
        <w:rFonts w:hint="eastAsia"/>
      </w:rPr>
    </w:lvl>
    <w:lvl w:ilvl="5">
      <w:start w:val="1"/>
      <w:numFmt w:val="decimal"/>
      <w:pStyle w:val="833"/>
      <w:isLgl w:val="false"/>
      <w:suff w:val="nothing"/>
      <w:lvlText w:val="%6）"/>
      <w:lvlJc w:val="left"/>
      <w:pPr>
        <w:ind w:left="0" w:firstLine="402"/>
      </w:pPr>
      <w:rPr>
        <w:rFonts w:hint="eastAsia"/>
      </w:rPr>
    </w:lvl>
    <w:lvl w:ilvl="6">
      <w:start w:val="1"/>
      <w:numFmt w:val="lowerLetter"/>
      <w:pStyle w:val="834"/>
      <w:isLgl w:val="false"/>
      <w:suff w:val="nothing"/>
      <w:lvlText w:val="%7．"/>
      <w:lvlJc w:val="left"/>
      <w:pPr>
        <w:ind w:left="0" w:firstLine="402"/>
      </w:pPr>
      <w:rPr>
        <w:rFonts w:hint="eastAsia"/>
      </w:rPr>
    </w:lvl>
    <w:lvl w:ilvl="7">
      <w:start w:val="1"/>
      <w:numFmt w:val="lowerLetter"/>
      <w:pStyle w:val="835"/>
      <w:isLgl w:val="false"/>
      <w:suff w:val="nothing"/>
      <w:lvlText w:val="%8）"/>
      <w:lvlJc w:val="left"/>
      <w:pPr>
        <w:ind w:left="0" w:firstLine="402"/>
      </w:pPr>
      <w:rPr>
        <w:rFonts w:hint="eastAsia"/>
      </w:rPr>
    </w:lvl>
    <w:lvl w:ilvl="8">
      <w:start w:val="1"/>
      <w:numFmt w:val="lowerRoman"/>
      <w:pStyle w:val="836"/>
      <w:isLgl w:val="false"/>
      <w:suff w:val="nothing"/>
      <w:lvlText w:val="%9 "/>
      <w:lvlJc w:val="left"/>
      <w:pPr>
        <w:ind w:left="0" w:firstLine="402"/>
      </w:pPr>
      <w:rPr>
        <w:rFonts w:hint="eastAsia"/>
      </w:rPr>
    </w:lvl>
  </w:abstractNum>
  <w:abstractNum w:abstractNumId="8">
    <w:multiLevelType w:val="hybridMultilevel"/>
    <w:lvl w:ilvl="0">
      <w:start w:val="3"/>
      <w:numFmt w:val="decimal"/>
      <w:pStyle w:val="1219"/>
      <w:isLgl w:val="false"/>
      <w:suff w:val="tab"/>
      <w:lvlText w:val="%1"/>
      <w:lvlJc w:val="left"/>
      <w:pPr>
        <w:ind w:left="420" w:hanging="420"/>
      </w:pPr>
      <w:rPr>
        <w:rFonts w:hint="default"/>
      </w:rPr>
    </w:lvl>
    <w:lvl w:ilvl="1">
      <w:start w:val="1"/>
      <w:numFmt w:val="decimal"/>
      <w:pStyle w:val="1220"/>
      <w:isLgl w:val="false"/>
      <w:suff w:val="nothing"/>
      <w:lvlText w:val="%1.%2  "/>
      <w:lvlJc w:val="left"/>
      <w:pPr>
        <w:ind w:left="142"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rPr>
    </w:lvl>
    <w:lvl w:ilvl="2">
      <w:start w:val="1"/>
      <w:numFmt w:val="decimal"/>
      <w:pStyle w:val="1222"/>
      <w:isLgl w:val="false"/>
      <w:suff w:val="nothing"/>
      <w:lvlText w:val="%1.%2.%3  "/>
      <w:lvlJc w:val="left"/>
      <w:pPr>
        <w:ind w:left="426" w:firstLine="0"/>
      </w:pPr>
      <w:rPr>
        <w:rFonts w:ascii="Times New Roman" w:hAnsi="Times New Roman"/>
        <w:b w:val="0"/>
        <w:bCs w:val="0"/>
        <w:i w:val="0"/>
        <w:iCs w:val="0"/>
        <w:caps w:val="0"/>
        <w:smallCaps w:val="0"/>
        <w:strike w:val="0"/>
        <w:vanish w:val="0"/>
        <w:spacing w:val="0"/>
        <w:position w:val="0"/>
        <w:u w:val="none"/>
        <w:vertAlign w:val="baseline"/>
      </w:rPr>
    </w:lvl>
    <w:lvl w:ilvl="3">
      <w:start w:val="1"/>
      <w:numFmt w:val="decimal"/>
      <w:pStyle w:val="1225"/>
      <w:isLgl w:val="false"/>
      <w:suff w:val="nothing"/>
      <w:lvlText w:val="%1.%2.%3.%4"/>
      <w:lvlJc w:val="left"/>
      <w:pPr>
        <w:ind w:left="0" w:firstLine="0"/>
      </w:pPr>
      <w:rPr>
        <w:rFonts w:ascii="Times New Roman" w:hAnsi="Times New Roman"/>
        <w:b w:val="0"/>
        <w:bCs w:val="0"/>
        <w:i w:val="0"/>
        <w:iCs w:val="0"/>
        <w:caps w:val="0"/>
        <w:smallCaps w:val="0"/>
        <w:strike w:val="0"/>
        <w:vanish w:val="0"/>
        <w:spacing w:val="0"/>
        <w:position w:val="0"/>
        <w:u w:val="none"/>
        <w:vertAlign w:val="baseline"/>
      </w:rPr>
    </w:lvl>
    <w:lvl w:ilvl="4">
      <w:start w:val="1"/>
      <w:numFmt w:val="decimal"/>
      <w:isLgl w:val="false"/>
      <w:suff w:val="nothing"/>
      <w:lvlText w:val="%1.%2.%3.%4.%5"/>
      <w:lvlJc w:val="left"/>
      <w:pPr>
        <w:ind w:left="2126" w:hanging="2126"/>
      </w:pPr>
      <w:rPr>
        <w:rFonts w:hint="eastAsia"/>
      </w:rPr>
    </w:lvl>
    <w:lvl w:ilvl="5">
      <w:start w:val="1"/>
      <w:numFmt w:val="decimal"/>
      <w:isLgl w:val="false"/>
      <w:suff w:val="tab"/>
      <w:lvlText w:val="%1.%2.%3.%4.%5.%6"/>
      <w:lvlJc w:val="left"/>
      <w:pPr>
        <w:ind w:left="2550" w:hanging="425"/>
      </w:pPr>
      <w:rPr>
        <w:rFonts w:hint="eastAsia"/>
      </w:rPr>
    </w:lvl>
    <w:lvl w:ilvl="6">
      <w:start w:val="1"/>
      <w:numFmt w:val="decimal"/>
      <w:lvlRestart w:val="2"/>
      <w:pStyle w:val="1223"/>
      <w:isLgl w:val="false"/>
      <w:suff w:val="nothing"/>
      <w:lvlText w:val="表%1.%2-%7"/>
      <w:lvlJc w:val="left"/>
      <w:pPr>
        <w:ind w:left="5954" w:firstLine="0"/>
      </w:pPr>
      <w:rPr>
        <w:rFonts w:hint="eastAsia"/>
        <w:b/>
        <w:bCs w:val="0"/>
        <w:i w:val="0"/>
        <w:iCs w:val="0"/>
        <w:caps w:val="0"/>
        <w:smallCaps w:val="0"/>
        <w:strike w:val="0"/>
        <w:vanish w:val="0"/>
        <w:color w:val="000000"/>
        <w:spacing w:val="0"/>
        <w:position w:val="0"/>
        <w:u w:val="none"/>
        <w:vertAlign w:val="baseline"/>
      </w:rPr>
    </w:lvl>
    <w:lvl w:ilvl="7">
      <w:start w:val="1"/>
      <w:numFmt w:val="decimal"/>
      <w:lvlRestart w:val="2"/>
      <w:isLgl w:val="false"/>
      <w:suff w:val="nothing"/>
      <w:lvlText w:val="图%1.%2-%8"/>
      <w:lvlJc w:val="left"/>
      <w:pPr>
        <w:ind w:left="4253" w:firstLine="0"/>
      </w:pPr>
      <w:rPr>
        <w:rFonts w:hint="eastAsia"/>
        <w:b/>
        <w:bCs w:val="0"/>
        <w:i w:val="0"/>
        <w:iCs w:val="0"/>
        <w:caps w:val="0"/>
        <w:smallCaps w:val="0"/>
        <w:strike w:val="0"/>
        <w:vanish w:val="0"/>
        <w:color w:val="000000"/>
        <w:spacing w:val="0"/>
        <w:position w:val="0"/>
        <w:u w:val="none"/>
        <w:vertAlign w:val="baseline"/>
      </w:rPr>
    </w:lvl>
    <w:lvl w:ilvl="8">
      <w:start w:val="1"/>
      <w:numFmt w:val="decimal"/>
      <w:isLgl w:val="false"/>
      <w:suff w:val="tab"/>
      <w:lvlText w:val="%1.%2.%3.%4.%5.%6.%7.%8.%9"/>
      <w:lvlJc w:val="left"/>
      <w:pPr>
        <w:ind w:left="3825" w:hanging="425"/>
      </w:pPr>
      <w:rPr>
        <w:rFonts w:hint="eastAsia"/>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1">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2">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3">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4">
    <w:multiLevelType w:val="hybridMultilevel"/>
    <w:lvl w:ilvl="0">
      <w:start w:val="1"/>
      <w:numFmt w:val="bullet"/>
      <w:pStyle w:val="85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5">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lang w:val="en-US"/>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6">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lang w:val="en-US"/>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7">
    <w:multiLevelType w:val="hybridMultilevel"/>
    <w:lvl w:ilvl="0">
      <w:start w:val="1"/>
      <w:numFmt w:val="decimal"/>
      <w:isLgl w:val="false"/>
      <w:suff w:val="space"/>
      <w:lvlText w:val="%1"/>
      <w:lvlJc w:val="left"/>
      <w:pPr>
        <w:ind w:left="0" w:firstLine="0"/>
      </w:pPr>
      <w:rPr>
        <w:rFonts w:hint="eastAsia"/>
      </w:rPr>
    </w:lvl>
    <w:lvl w:ilvl="1">
      <w:start w:val="1"/>
      <w:numFmt w:val="decimal"/>
      <w:pStyle w:val="1138"/>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hint="eastAsia"/>
      </w:rPr>
    </w:lvl>
    <w:lvl w:ilvl="3">
      <w:start w:val="1"/>
      <w:numFmt w:val="decimal"/>
      <w:pStyle w:val="1155"/>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8">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lang w:val="en-US"/>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9">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lang w:val="en-US"/>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20">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21">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tab"/>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22">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23">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24">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25">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lang w:val="en-US"/>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26">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27">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28">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b w:val="0"/>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29">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lang w:val="en-US"/>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30">
    <w:multiLevelType w:val="hybridMultilevel"/>
    <w:lvl w:ilvl="0">
      <w:start w:val="1"/>
      <w:numFmt w:val="decimal"/>
      <w:pStyle w:val="1158"/>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32">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33">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34">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lang w:val="en-US"/>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35">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lang w:val="en-US"/>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36">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37">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38">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lang w:val="en-US"/>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39">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tab"/>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40">
    <w:multiLevelType w:val="hybridMultilevel"/>
    <w:lvl w:ilvl="0">
      <w:start w:val="1"/>
      <w:numFmt w:val="bullet"/>
      <w:pStyle w:val="103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1">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lang w:val="en-US"/>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42">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43">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44">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b w:val="0"/>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45">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lang w:val="en-US"/>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46">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218"/>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7">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b w:val="0"/>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48">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upp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num w:numId="1">
    <w:abstractNumId w:val="7"/>
  </w:num>
  <w:num w:numId="2">
    <w:abstractNumId w:val="14"/>
  </w:num>
  <w:num w:numId="3">
    <w:abstractNumId w:val="6"/>
  </w:num>
  <w:num w:numId="4">
    <w:abstractNumId w:val="40"/>
  </w:num>
  <w:num w:numId="5">
    <w:abstractNumId w:val="4"/>
  </w:num>
  <w:num w:numId="6">
    <w:abstractNumId w:val="2"/>
  </w:num>
  <w:num w:numId="7">
    <w:abstractNumId w:val="17"/>
  </w:num>
  <w:num w:numId="8">
    <w:abstractNumId w:val="30"/>
  </w:num>
  <w:num w:numId="9">
    <w:abstractNumId w:val="46"/>
  </w:num>
  <w:num w:numId="10">
    <w:abstractNumId w:val="8"/>
  </w:num>
  <w:num w:numId="11">
    <w:abstractNumId w:val="9"/>
  </w:num>
  <w:num w:numId="12">
    <w:abstractNumId w:val="21"/>
  </w:num>
  <w:num w:numId="13">
    <w:abstractNumId w:val="39"/>
  </w:num>
  <w:num w:numId="14">
    <w:abstractNumId w:val="1"/>
  </w:num>
  <w:num w:numId="15">
    <w:abstractNumId w:val="37"/>
  </w:num>
  <w:num w:numId="16">
    <w:abstractNumId w:val="29"/>
  </w:num>
  <w:num w:numId="17">
    <w:abstractNumId w:val="41"/>
  </w:num>
  <w:num w:numId="18">
    <w:abstractNumId w:val="19"/>
  </w:num>
  <w:num w:numId="19">
    <w:abstractNumId w:val="25"/>
  </w:num>
  <w:num w:numId="20">
    <w:abstractNumId w:val="16"/>
  </w:num>
  <w:num w:numId="21">
    <w:abstractNumId w:val="15"/>
  </w:num>
  <w:num w:numId="22">
    <w:abstractNumId w:val="12"/>
  </w:num>
  <w:num w:numId="23">
    <w:abstractNumId w:val="44"/>
  </w:num>
  <w:num w:numId="24">
    <w:abstractNumId w:val="28"/>
  </w:num>
  <w:num w:numId="25">
    <w:abstractNumId w:val="42"/>
  </w:num>
  <w:num w:numId="26">
    <w:abstractNumId w:val="47"/>
  </w:num>
  <w:num w:numId="27">
    <w:abstractNumId w:val="48"/>
  </w:num>
  <w:num w:numId="28">
    <w:abstractNumId w:val="3"/>
  </w:num>
  <w:num w:numId="29">
    <w:abstractNumId w:val="32"/>
  </w:num>
  <w:num w:numId="30">
    <w:abstractNumId w:val="13"/>
  </w:num>
  <w:num w:numId="31">
    <w:abstractNumId w:val="11"/>
  </w:num>
  <w:num w:numId="32">
    <w:abstractNumId w:val="43"/>
  </w:num>
  <w:num w:numId="33">
    <w:abstractNumId w:val="20"/>
  </w:num>
  <w:num w:numId="34">
    <w:abstractNumId w:val="26"/>
  </w:num>
  <w:num w:numId="35">
    <w:abstractNumId w:val="36"/>
  </w:num>
  <w:num w:numId="36">
    <w:abstractNumId w:val="5"/>
  </w:num>
  <w:num w:numId="37">
    <w:abstractNumId w:val="22"/>
  </w:num>
  <w:num w:numId="38">
    <w:abstractNumId w:val="0"/>
  </w:num>
  <w:num w:numId="39">
    <w:abstractNumId w:val="34"/>
  </w:num>
  <w:num w:numId="40">
    <w:abstractNumId w:val="45"/>
  </w:num>
  <w:num w:numId="41">
    <w:abstractNumId w:val="27"/>
  </w:num>
  <w:num w:numId="42">
    <w:abstractNumId w:val="38"/>
  </w:num>
  <w:num w:numId="43">
    <w:abstractNumId w:val="31"/>
  </w:num>
  <w:num w:numId="44">
    <w:abstractNumId w:val="33"/>
  </w:num>
  <w:num w:numId="45">
    <w:abstractNumId w:val="18"/>
  </w:num>
  <w:num w:numId="46">
    <w:abstractNumId w:val="10"/>
  </w:num>
  <w:num w:numId="47">
    <w:abstractNumId w:val="35"/>
  </w:num>
  <w:num w:numId="48">
    <w:abstractNumId w:val="23"/>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0">
    <w:name w:val="Heading 1 Char"/>
    <w:basedOn w:val="837"/>
    <w:link w:val="828"/>
    <w:uiPriority w:val="9"/>
    <w:rPr>
      <w:rFonts w:ascii="Arial" w:hAnsi="Arial" w:eastAsia="Arial" w:cs="Arial"/>
      <w:sz w:val="40"/>
      <w:szCs w:val="40"/>
    </w:rPr>
  </w:style>
  <w:style w:type="character" w:styleId="811">
    <w:name w:val="Heading 2 Char"/>
    <w:basedOn w:val="837"/>
    <w:link w:val="829"/>
    <w:uiPriority w:val="9"/>
    <w:rPr>
      <w:rFonts w:ascii="Arial" w:hAnsi="Arial" w:eastAsia="Arial" w:cs="Arial"/>
      <w:sz w:val="34"/>
    </w:rPr>
  </w:style>
  <w:style w:type="character" w:styleId="812">
    <w:name w:val="Heading 3 Char"/>
    <w:basedOn w:val="837"/>
    <w:link w:val="830"/>
    <w:uiPriority w:val="9"/>
    <w:rPr>
      <w:rFonts w:ascii="Arial" w:hAnsi="Arial" w:eastAsia="Arial" w:cs="Arial"/>
      <w:sz w:val="30"/>
      <w:szCs w:val="30"/>
    </w:rPr>
  </w:style>
  <w:style w:type="character" w:styleId="813">
    <w:name w:val="Heading 4 Char"/>
    <w:basedOn w:val="837"/>
    <w:link w:val="831"/>
    <w:uiPriority w:val="9"/>
    <w:rPr>
      <w:rFonts w:ascii="Arial" w:hAnsi="Arial" w:eastAsia="Arial" w:cs="Arial"/>
      <w:b/>
      <w:bCs/>
      <w:sz w:val="26"/>
      <w:szCs w:val="26"/>
    </w:rPr>
  </w:style>
  <w:style w:type="character" w:styleId="814">
    <w:name w:val="Heading 5 Char"/>
    <w:basedOn w:val="837"/>
    <w:link w:val="832"/>
    <w:uiPriority w:val="9"/>
    <w:rPr>
      <w:rFonts w:ascii="Arial" w:hAnsi="Arial" w:eastAsia="Arial" w:cs="Arial"/>
      <w:b/>
      <w:bCs/>
      <w:sz w:val="24"/>
      <w:szCs w:val="24"/>
    </w:rPr>
  </w:style>
  <w:style w:type="character" w:styleId="815">
    <w:name w:val="Heading 6 Char"/>
    <w:basedOn w:val="837"/>
    <w:link w:val="833"/>
    <w:uiPriority w:val="9"/>
    <w:rPr>
      <w:rFonts w:ascii="Arial" w:hAnsi="Arial" w:eastAsia="Arial" w:cs="Arial"/>
      <w:b/>
      <w:bCs/>
      <w:sz w:val="22"/>
      <w:szCs w:val="22"/>
    </w:rPr>
  </w:style>
  <w:style w:type="character" w:styleId="816">
    <w:name w:val="Heading 7 Char"/>
    <w:basedOn w:val="837"/>
    <w:link w:val="834"/>
    <w:uiPriority w:val="9"/>
    <w:rPr>
      <w:rFonts w:ascii="Arial" w:hAnsi="Arial" w:eastAsia="Arial" w:cs="Arial"/>
      <w:b/>
      <w:bCs/>
      <w:i/>
      <w:iCs/>
      <w:sz w:val="22"/>
      <w:szCs w:val="22"/>
    </w:rPr>
  </w:style>
  <w:style w:type="character" w:styleId="817">
    <w:name w:val="Heading 8 Char"/>
    <w:basedOn w:val="837"/>
    <w:link w:val="835"/>
    <w:uiPriority w:val="9"/>
    <w:rPr>
      <w:rFonts w:ascii="Arial" w:hAnsi="Arial" w:eastAsia="Arial" w:cs="Arial"/>
      <w:i/>
      <w:iCs/>
      <w:sz w:val="22"/>
      <w:szCs w:val="22"/>
    </w:rPr>
  </w:style>
  <w:style w:type="character" w:styleId="818">
    <w:name w:val="Heading 9 Char"/>
    <w:basedOn w:val="837"/>
    <w:link w:val="836"/>
    <w:uiPriority w:val="9"/>
    <w:rPr>
      <w:rFonts w:ascii="Arial" w:hAnsi="Arial" w:eastAsia="Arial" w:cs="Arial"/>
      <w:i/>
      <w:iCs/>
      <w:sz w:val="21"/>
      <w:szCs w:val="21"/>
    </w:rPr>
  </w:style>
  <w:style w:type="character" w:styleId="819">
    <w:name w:val="Title Char"/>
    <w:basedOn w:val="837"/>
    <w:link w:val="861"/>
    <w:uiPriority w:val="10"/>
    <w:rPr>
      <w:sz w:val="48"/>
      <w:szCs w:val="48"/>
    </w:rPr>
  </w:style>
  <w:style w:type="character" w:styleId="820">
    <w:name w:val="Subtitle Char"/>
    <w:basedOn w:val="837"/>
    <w:link w:val="853"/>
    <w:uiPriority w:val="11"/>
    <w:rPr>
      <w:sz w:val="24"/>
      <w:szCs w:val="24"/>
    </w:rPr>
  </w:style>
  <w:style w:type="character" w:styleId="821">
    <w:name w:val="Quote Char"/>
    <w:link w:val="880"/>
    <w:uiPriority w:val="29"/>
    <w:rPr>
      <w:i/>
    </w:rPr>
  </w:style>
  <w:style w:type="character" w:styleId="822">
    <w:name w:val="Header Char"/>
    <w:basedOn w:val="837"/>
    <w:link w:val="850"/>
    <w:uiPriority w:val="99"/>
  </w:style>
  <w:style w:type="character" w:styleId="823">
    <w:name w:val="Caption Char"/>
    <w:basedOn w:val="841"/>
    <w:link w:val="849"/>
    <w:uiPriority w:val="99"/>
  </w:style>
  <w:style w:type="character" w:styleId="824">
    <w:name w:val="Footnote Text Char"/>
    <w:link w:val="855"/>
    <w:uiPriority w:val="99"/>
    <w:rPr>
      <w:sz w:val="18"/>
    </w:rPr>
  </w:style>
  <w:style w:type="character" w:styleId="825">
    <w:name w:val="Endnote Text Char"/>
    <w:link w:val="848"/>
    <w:uiPriority w:val="99"/>
    <w:rPr>
      <w:sz w:val="20"/>
    </w:rPr>
  </w:style>
  <w:style w:type="paragraph" w:styleId="826">
    <w:name w:val="TOC Heading"/>
    <w:uiPriority w:val="39"/>
    <w:unhideWhenUsed/>
  </w:style>
  <w:style w:type="paragraph" w:styleId="827" w:default="1">
    <w:name w:val="Normal"/>
    <w:next w:val="839"/>
    <w:uiPriority w:val="0"/>
    <w:qFormat/>
    <w:pPr>
      <w:spacing w:after="200" w:line="300" w:lineRule="atLeast"/>
    </w:pPr>
    <w:rPr>
      <w:rFonts w:ascii="Calibri" w:hAnsi="Calibri" w:eastAsia="宋体" w:cs="宋体"/>
      <w:sz w:val="22"/>
      <w:szCs w:val="22"/>
      <w:lang w:val="en-US" w:eastAsia="zh-CN" w:bidi="ar-SA"/>
    </w:rPr>
  </w:style>
  <w:style w:type="paragraph" w:styleId="828">
    <w:name w:val="Heading 1"/>
    <w:basedOn w:val="827"/>
    <w:next w:val="827"/>
    <w:link w:val="868"/>
    <w:uiPriority w:val="9"/>
    <w:qFormat/>
    <w:pPr>
      <w:numPr>
        <w:ilvl w:val="0"/>
        <w:numId w:val="1"/>
      </w:numPr>
      <w:keepLines/>
      <w:keepNext/>
      <w:spacing w:before="480"/>
      <w:outlineLvl w:val="0"/>
    </w:pPr>
    <w:rPr>
      <w:rFonts w:ascii="Arial" w:hAnsi="Arial" w:eastAsia="Arial" w:cs="Arial"/>
      <w:sz w:val="40"/>
      <w:szCs w:val="40"/>
    </w:rPr>
  </w:style>
  <w:style w:type="paragraph" w:styleId="829">
    <w:name w:val="Heading 2"/>
    <w:basedOn w:val="827"/>
    <w:next w:val="827"/>
    <w:link w:val="869"/>
    <w:uiPriority w:val="9"/>
    <w:unhideWhenUsed/>
    <w:qFormat/>
    <w:pPr>
      <w:numPr>
        <w:ilvl w:val="1"/>
        <w:numId w:val="1"/>
      </w:numPr>
      <w:keepLines/>
      <w:keepNext/>
      <w:spacing w:before="360"/>
      <w:outlineLvl w:val="1"/>
    </w:pPr>
    <w:rPr>
      <w:rFonts w:ascii="Arial" w:hAnsi="Arial" w:eastAsia="Arial" w:cs="Arial"/>
      <w:sz w:val="34"/>
    </w:rPr>
  </w:style>
  <w:style w:type="paragraph" w:styleId="830">
    <w:name w:val="Heading 3"/>
    <w:basedOn w:val="827"/>
    <w:link w:val="870"/>
    <w:uiPriority w:val="9"/>
    <w:unhideWhenUsed/>
    <w:qFormat/>
    <w:pPr>
      <w:numPr>
        <w:ilvl w:val="2"/>
        <w:numId w:val="1"/>
      </w:numPr>
      <w:keepLines/>
      <w:keepNext/>
      <w:spacing w:before="320"/>
      <w:outlineLvl w:val="2"/>
    </w:pPr>
    <w:rPr>
      <w:rFonts w:ascii="Arial" w:hAnsi="Arial" w:eastAsia="Arial" w:cs="Arial"/>
      <w:sz w:val="30"/>
      <w:szCs w:val="30"/>
    </w:rPr>
  </w:style>
  <w:style w:type="paragraph" w:styleId="831">
    <w:name w:val="Heading 4"/>
    <w:basedOn w:val="827"/>
    <w:next w:val="827"/>
    <w:link w:val="871"/>
    <w:uiPriority w:val="9"/>
    <w:unhideWhenUsed/>
    <w:qFormat/>
    <w:pPr>
      <w:numPr>
        <w:ilvl w:val="3"/>
        <w:numId w:val="1"/>
      </w:numPr>
      <w:keepLines/>
      <w:keepNext/>
      <w:spacing w:before="320"/>
      <w:outlineLvl w:val="3"/>
    </w:pPr>
    <w:rPr>
      <w:rFonts w:ascii="Arial" w:hAnsi="Arial" w:eastAsia="Arial" w:cs="Arial"/>
      <w:b/>
      <w:bCs/>
      <w:sz w:val="26"/>
      <w:szCs w:val="26"/>
    </w:rPr>
  </w:style>
  <w:style w:type="paragraph" w:styleId="832">
    <w:name w:val="Heading 5"/>
    <w:basedOn w:val="827"/>
    <w:next w:val="827"/>
    <w:link w:val="872"/>
    <w:uiPriority w:val="9"/>
    <w:unhideWhenUsed/>
    <w:qFormat/>
    <w:pPr>
      <w:numPr>
        <w:ilvl w:val="4"/>
        <w:numId w:val="1"/>
      </w:numPr>
      <w:keepLines/>
      <w:keepNext/>
      <w:spacing w:before="320"/>
      <w:outlineLvl w:val="4"/>
    </w:pPr>
    <w:rPr>
      <w:rFonts w:ascii="Arial" w:hAnsi="Arial" w:eastAsia="Arial" w:cs="Arial"/>
      <w:b/>
      <w:bCs/>
      <w:sz w:val="24"/>
      <w:szCs w:val="24"/>
    </w:rPr>
  </w:style>
  <w:style w:type="paragraph" w:styleId="833">
    <w:name w:val="Heading 6"/>
    <w:basedOn w:val="827"/>
    <w:next w:val="827"/>
    <w:link w:val="873"/>
    <w:uiPriority w:val="9"/>
    <w:unhideWhenUsed/>
    <w:qFormat/>
    <w:pPr>
      <w:numPr>
        <w:ilvl w:val="5"/>
        <w:numId w:val="1"/>
      </w:numPr>
      <w:keepLines/>
      <w:keepNext/>
      <w:spacing w:before="320"/>
      <w:outlineLvl w:val="5"/>
    </w:pPr>
    <w:rPr>
      <w:rFonts w:ascii="Arial" w:hAnsi="Arial" w:eastAsia="Arial" w:cs="Arial"/>
      <w:b/>
      <w:bCs/>
    </w:rPr>
  </w:style>
  <w:style w:type="paragraph" w:styleId="834">
    <w:name w:val="Heading 7"/>
    <w:basedOn w:val="827"/>
    <w:next w:val="827"/>
    <w:link w:val="874"/>
    <w:uiPriority w:val="9"/>
    <w:unhideWhenUsed/>
    <w:qFormat/>
    <w:pPr>
      <w:numPr>
        <w:ilvl w:val="6"/>
        <w:numId w:val="1"/>
      </w:numPr>
      <w:keepLines/>
      <w:keepNext/>
      <w:spacing w:before="320"/>
      <w:outlineLvl w:val="6"/>
    </w:pPr>
    <w:rPr>
      <w:rFonts w:ascii="Arial" w:hAnsi="Arial" w:eastAsia="Arial" w:cs="Arial"/>
      <w:b/>
      <w:bCs/>
      <w:i/>
      <w:iCs/>
    </w:rPr>
  </w:style>
  <w:style w:type="paragraph" w:styleId="835">
    <w:name w:val="Heading 8"/>
    <w:basedOn w:val="827"/>
    <w:next w:val="827"/>
    <w:link w:val="875"/>
    <w:uiPriority w:val="9"/>
    <w:unhideWhenUsed/>
    <w:qFormat/>
    <w:pPr>
      <w:numPr>
        <w:ilvl w:val="7"/>
        <w:numId w:val="1"/>
      </w:numPr>
      <w:keepLines/>
      <w:keepNext/>
      <w:spacing w:before="320"/>
      <w:outlineLvl w:val="7"/>
    </w:pPr>
    <w:rPr>
      <w:rFonts w:ascii="Arial" w:hAnsi="Arial" w:eastAsia="Arial" w:cs="Arial"/>
      <w:i/>
      <w:iCs/>
    </w:rPr>
  </w:style>
  <w:style w:type="paragraph" w:styleId="836">
    <w:name w:val="Heading 9"/>
    <w:basedOn w:val="827"/>
    <w:next w:val="827"/>
    <w:link w:val="876"/>
    <w:uiPriority w:val="9"/>
    <w:unhideWhenUsed/>
    <w:qFormat/>
    <w:pPr>
      <w:numPr>
        <w:ilvl w:val="8"/>
        <w:numId w:val="1"/>
      </w:numPr>
      <w:keepLines/>
      <w:keepNext/>
      <w:spacing w:before="320"/>
      <w:outlineLvl w:val="8"/>
    </w:pPr>
    <w:rPr>
      <w:rFonts w:ascii="Arial" w:hAnsi="Arial" w:eastAsia="Arial" w:cs="Arial"/>
      <w:i/>
      <w:iCs/>
      <w:sz w:val="21"/>
      <w:szCs w:val="21"/>
    </w:r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Plain Text"/>
    <w:basedOn w:val="827"/>
    <w:uiPriority w:val="0"/>
    <w:qFormat/>
    <w:rPr>
      <w:rFonts w:ascii="宋体" w:hAnsi="Courier New" w:eastAsia="楷体_GB2312"/>
      <w:sz w:val="26"/>
    </w:rPr>
  </w:style>
  <w:style w:type="paragraph" w:styleId="840">
    <w:name w:val="toc 7"/>
    <w:basedOn w:val="827"/>
    <w:next w:val="827"/>
    <w:uiPriority w:val="39"/>
    <w:unhideWhenUsed/>
    <w:qFormat/>
    <w:pPr>
      <w:ind w:left="1701"/>
      <w:spacing w:after="57"/>
    </w:pPr>
  </w:style>
  <w:style w:type="paragraph" w:styleId="841">
    <w:name w:val="Caption"/>
    <w:basedOn w:val="827"/>
    <w:next w:val="827"/>
    <w:uiPriority w:val="35"/>
    <w:semiHidden/>
    <w:unhideWhenUsed/>
    <w:qFormat/>
    <w:pPr>
      <w:spacing w:line="276" w:lineRule="auto"/>
    </w:pPr>
    <w:rPr>
      <w:b/>
      <w:bCs/>
      <w:color w:val="4f81bd" w:themeColor="accent1"/>
      <w:sz w:val="18"/>
      <w:szCs w:val="18"/>
    </w:rPr>
  </w:style>
  <w:style w:type="paragraph" w:styleId="842">
    <w:name w:val="Document Map"/>
    <w:basedOn w:val="827"/>
    <w:link w:val="1226"/>
    <w:uiPriority w:val="99"/>
    <w:semiHidden/>
    <w:unhideWhenUsed/>
    <w:qFormat/>
    <w:rPr>
      <w:rFonts w:ascii="宋体"/>
      <w:sz w:val="18"/>
      <w:szCs w:val="18"/>
    </w:rPr>
  </w:style>
  <w:style w:type="paragraph" w:styleId="843">
    <w:name w:val="Body Text"/>
    <w:basedOn w:val="827"/>
    <w:next w:val="827"/>
    <w:uiPriority w:val="0"/>
    <w:qFormat/>
    <w:rPr>
      <w:rFonts w:ascii="仿宋_GB2312" w:eastAsia="仿宋_GB2312"/>
      <w:sz w:val="28"/>
      <w:szCs w:val="20"/>
    </w:rPr>
  </w:style>
  <w:style w:type="paragraph" w:styleId="844">
    <w:name w:val="index 4"/>
    <w:basedOn w:val="827"/>
    <w:next w:val="827"/>
    <w:uiPriority w:val="0"/>
    <w:qFormat/>
    <w:pPr>
      <w:ind w:left="600"/>
    </w:pPr>
    <w:rPr>
      <w:szCs w:val="20"/>
    </w:rPr>
  </w:style>
  <w:style w:type="paragraph" w:styleId="845">
    <w:name w:val="toc 5"/>
    <w:basedOn w:val="827"/>
    <w:next w:val="827"/>
    <w:uiPriority w:val="39"/>
    <w:unhideWhenUsed/>
    <w:qFormat/>
    <w:pPr>
      <w:ind w:left="1134"/>
      <w:spacing w:after="57"/>
    </w:pPr>
  </w:style>
  <w:style w:type="paragraph" w:styleId="846">
    <w:name w:val="toc 3"/>
    <w:basedOn w:val="827"/>
    <w:next w:val="827"/>
    <w:uiPriority w:val="39"/>
    <w:unhideWhenUsed/>
    <w:qFormat/>
    <w:pPr>
      <w:ind w:left="567"/>
      <w:spacing w:after="57"/>
    </w:pPr>
  </w:style>
  <w:style w:type="paragraph" w:styleId="847">
    <w:name w:val="toc 8"/>
    <w:basedOn w:val="827"/>
    <w:next w:val="827"/>
    <w:uiPriority w:val="39"/>
    <w:unhideWhenUsed/>
    <w:qFormat/>
    <w:pPr>
      <w:ind w:left="1984"/>
      <w:spacing w:after="57"/>
    </w:pPr>
  </w:style>
  <w:style w:type="paragraph" w:styleId="848">
    <w:name w:val="endnote text"/>
    <w:basedOn w:val="827"/>
    <w:link w:val="1012"/>
    <w:uiPriority w:val="99"/>
    <w:semiHidden/>
    <w:unhideWhenUsed/>
    <w:qFormat/>
    <w:pPr>
      <w:spacing w:after="0" w:line="240" w:lineRule="auto"/>
    </w:pPr>
    <w:rPr>
      <w:sz w:val="20"/>
    </w:rPr>
  </w:style>
  <w:style w:type="paragraph" w:styleId="849">
    <w:name w:val="Footer"/>
    <w:basedOn w:val="827"/>
    <w:link w:val="885"/>
    <w:uiPriority w:val="99"/>
    <w:unhideWhenUsed/>
    <w:qFormat/>
    <w:pPr>
      <w:spacing w:after="0" w:line="240" w:lineRule="auto"/>
      <w:tabs>
        <w:tab w:val="center" w:pos="7143" w:leader="none"/>
        <w:tab w:val="right" w:pos="14287" w:leader="none"/>
      </w:tabs>
    </w:pPr>
  </w:style>
  <w:style w:type="paragraph" w:styleId="850">
    <w:name w:val="Header"/>
    <w:basedOn w:val="827"/>
    <w:link w:val="883"/>
    <w:uiPriority w:val="99"/>
    <w:unhideWhenUsed/>
    <w:qFormat/>
    <w:pPr>
      <w:spacing w:after="0" w:line="240" w:lineRule="auto"/>
      <w:tabs>
        <w:tab w:val="center" w:pos="7143" w:leader="none"/>
        <w:tab w:val="right" w:pos="14287" w:leader="none"/>
      </w:tabs>
    </w:pPr>
  </w:style>
  <w:style w:type="paragraph" w:styleId="851">
    <w:name w:val="toc 1"/>
    <w:basedOn w:val="827"/>
    <w:next w:val="827"/>
    <w:uiPriority w:val="39"/>
    <w:unhideWhenUsed/>
    <w:qFormat/>
    <w:pPr>
      <w:spacing w:after="57"/>
    </w:pPr>
  </w:style>
  <w:style w:type="paragraph" w:styleId="852">
    <w:name w:val="toc 4"/>
    <w:basedOn w:val="827"/>
    <w:next w:val="827"/>
    <w:uiPriority w:val="39"/>
    <w:unhideWhenUsed/>
    <w:qFormat/>
    <w:pPr>
      <w:ind w:left="850"/>
      <w:spacing w:after="57"/>
    </w:pPr>
  </w:style>
  <w:style w:type="paragraph" w:styleId="853">
    <w:name w:val="Subtitle"/>
    <w:basedOn w:val="827"/>
    <w:next w:val="827"/>
    <w:link w:val="879"/>
    <w:uiPriority w:val="11"/>
    <w:qFormat/>
    <w:pPr>
      <w:spacing w:before="200"/>
    </w:pPr>
    <w:rPr>
      <w:sz w:val="24"/>
      <w:szCs w:val="24"/>
    </w:rPr>
  </w:style>
  <w:style w:type="paragraph" w:styleId="854">
    <w:name w:val="List"/>
    <w:basedOn w:val="827"/>
    <w:uiPriority w:val="0"/>
    <w:qFormat/>
    <w:pPr>
      <w:numPr>
        <w:ilvl w:val="0"/>
        <w:numId w:val="2"/>
      </w:numPr>
      <w:spacing w:after="20" w:line="288" w:lineRule="auto"/>
    </w:pPr>
    <w:rPr>
      <w:szCs w:val="20"/>
      <w:lang w:val="en-GB"/>
    </w:rPr>
  </w:style>
  <w:style w:type="paragraph" w:styleId="855">
    <w:name w:val="footnote text"/>
    <w:basedOn w:val="827"/>
    <w:link w:val="1011"/>
    <w:uiPriority w:val="99"/>
    <w:semiHidden/>
    <w:unhideWhenUsed/>
    <w:qFormat/>
    <w:pPr>
      <w:spacing w:after="40" w:line="240" w:lineRule="auto"/>
    </w:pPr>
    <w:rPr>
      <w:sz w:val="18"/>
    </w:rPr>
  </w:style>
  <w:style w:type="paragraph" w:styleId="856">
    <w:name w:val="toc 6"/>
    <w:basedOn w:val="827"/>
    <w:next w:val="827"/>
    <w:uiPriority w:val="39"/>
    <w:unhideWhenUsed/>
    <w:qFormat/>
    <w:pPr>
      <w:ind w:left="1417"/>
      <w:spacing w:after="57"/>
    </w:pPr>
  </w:style>
  <w:style w:type="paragraph" w:styleId="857">
    <w:name w:val="table of figures"/>
    <w:basedOn w:val="827"/>
    <w:next w:val="827"/>
    <w:uiPriority w:val="99"/>
    <w:unhideWhenUsed/>
    <w:qFormat/>
    <w:pPr>
      <w:spacing w:after="0"/>
    </w:pPr>
  </w:style>
  <w:style w:type="paragraph" w:styleId="858">
    <w:name w:val="toc 2"/>
    <w:basedOn w:val="827"/>
    <w:next w:val="827"/>
    <w:uiPriority w:val="39"/>
    <w:unhideWhenUsed/>
    <w:qFormat/>
    <w:pPr>
      <w:ind w:left="283"/>
      <w:spacing w:after="57"/>
    </w:pPr>
  </w:style>
  <w:style w:type="paragraph" w:styleId="859">
    <w:name w:val="toc 9"/>
    <w:basedOn w:val="827"/>
    <w:next w:val="827"/>
    <w:uiPriority w:val="39"/>
    <w:unhideWhenUsed/>
    <w:qFormat/>
    <w:pPr>
      <w:ind w:left="2268"/>
      <w:spacing w:after="57"/>
    </w:pPr>
  </w:style>
  <w:style w:type="paragraph" w:styleId="860">
    <w:name w:val="Normal (Web)"/>
    <w:basedOn w:val="827"/>
    <w:uiPriority w:val="99"/>
    <w:semiHidden/>
    <w:unhideWhenUsed/>
    <w:qFormat/>
    <w:pPr>
      <w:spacing w:beforeAutospacing="1" w:after="0" w:afterAutospacing="1"/>
    </w:pPr>
    <w:rPr>
      <w:rFonts w:cs="Times New Roman"/>
      <w:sz w:val="24"/>
    </w:rPr>
  </w:style>
  <w:style w:type="paragraph" w:styleId="861">
    <w:name w:val="Title"/>
    <w:basedOn w:val="827"/>
    <w:next w:val="827"/>
    <w:link w:val="878"/>
    <w:uiPriority w:val="10"/>
    <w:qFormat/>
    <w:pPr>
      <w:contextualSpacing/>
      <w:spacing w:before="300"/>
    </w:pPr>
    <w:rPr>
      <w:sz w:val="48"/>
      <w:szCs w:val="48"/>
    </w:rPr>
  </w:style>
  <w:style w:type="paragraph" w:styleId="862">
    <w:name w:val="Body Text First Indent"/>
    <w:basedOn w:val="843"/>
    <w:uiPriority w:val="0"/>
    <w:qFormat/>
    <w:pPr>
      <w:ind w:firstLine="420"/>
      <w:spacing w:after="120" w:line="440" w:lineRule="exact"/>
    </w:pPr>
    <w:rPr>
      <w:rFonts w:ascii="宋体"/>
      <w:sz w:val="24"/>
      <w:szCs w:val="28"/>
    </w:rPr>
  </w:style>
  <w:style w:type="table" w:styleId="8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endnote reference"/>
    <w:uiPriority w:val="99"/>
    <w:semiHidden/>
    <w:unhideWhenUsed/>
    <w:qFormat/>
    <w:rPr>
      <w:vertAlign w:val="superscript"/>
    </w:rPr>
  </w:style>
  <w:style w:type="character" w:styleId="865">
    <w:name w:val="Hyperlink"/>
    <w:uiPriority w:val="99"/>
    <w:unhideWhenUsed/>
    <w:qFormat/>
    <w:rPr>
      <w:color w:val="0000ff" w:themeColor="hyperlink"/>
      <w:u w:val="single"/>
    </w:rPr>
  </w:style>
  <w:style w:type="character" w:styleId="866">
    <w:name w:val="footnote reference"/>
    <w:uiPriority w:val="99"/>
    <w:unhideWhenUsed/>
    <w:qFormat/>
    <w:rPr>
      <w:vertAlign w:val="superscript"/>
    </w:rPr>
  </w:style>
  <w:style w:type="paragraph" w:styleId="867" w:customStyle="1">
    <w:name w:val="正文文本1"/>
    <w:basedOn w:val="827"/>
    <w:uiPriority w:val="99"/>
    <w:qFormat/>
    <w:rPr>
      <w:rFonts w:ascii="华文中宋" w:eastAsia="华文中宋"/>
      <w:bCs/>
      <w:sz w:val="28"/>
    </w:rPr>
  </w:style>
  <w:style w:type="character" w:styleId="868" w:customStyle="1">
    <w:name w:val="标题 1 Char"/>
    <w:link w:val="828"/>
    <w:uiPriority w:val="9"/>
    <w:qFormat/>
    <w:rPr>
      <w:rFonts w:ascii="Arial" w:hAnsi="Arial" w:eastAsia="Arial" w:cs="Arial"/>
      <w:sz w:val="40"/>
      <w:szCs w:val="40"/>
    </w:rPr>
  </w:style>
  <w:style w:type="character" w:styleId="869" w:customStyle="1">
    <w:name w:val="标题 2 Char"/>
    <w:link w:val="829"/>
    <w:uiPriority w:val="9"/>
    <w:qFormat/>
    <w:rPr>
      <w:rFonts w:ascii="Arial" w:hAnsi="Arial" w:eastAsia="Arial" w:cs="Arial"/>
      <w:sz w:val="34"/>
    </w:rPr>
  </w:style>
  <w:style w:type="character" w:styleId="870" w:customStyle="1">
    <w:name w:val="标题 3 Char"/>
    <w:link w:val="830"/>
    <w:uiPriority w:val="9"/>
    <w:qFormat/>
    <w:rPr>
      <w:rFonts w:ascii="Arial" w:hAnsi="Arial" w:eastAsia="Arial" w:cs="Arial"/>
      <w:sz w:val="30"/>
      <w:szCs w:val="30"/>
    </w:rPr>
  </w:style>
  <w:style w:type="character" w:styleId="871" w:customStyle="1">
    <w:name w:val="标题 4 Char"/>
    <w:link w:val="831"/>
    <w:uiPriority w:val="9"/>
    <w:qFormat/>
    <w:rPr>
      <w:rFonts w:ascii="Arial" w:hAnsi="Arial" w:eastAsia="Arial" w:cs="Arial"/>
      <w:b/>
      <w:bCs/>
      <w:sz w:val="26"/>
      <w:szCs w:val="26"/>
    </w:rPr>
  </w:style>
  <w:style w:type="character" w:styleId="872" w:customStyle="1">
    <w:name w:val="标题 5 Char"/>
    <w:link w:val="832"/>
    <w:uiPriority w:val="9"/>
    <w:qFormat/>
    <w:rPr>
      <w:rFonts w:ascii="Arial" w:hAnsi="Arial" w:eastAsia="Arial" w:cs="Arial"/>
      <w:b/>
      <w:bCs/>
      <w:sz w:val="24"/>
      <w:szCs w:val="24"/>
    </w:rPr>
  </w:style>
  <w:style w:type="character" w:styleId="873" w:customStyle="1">
    <w:name w:val="标题 6 Char"/>
    <w:link w:val="833"/>
    <w:uiPriority w:val="9"/>
    <w:qFormat/>
    <w:rPr>
      <w:rFonts w:ascii="Arial" w:hAnsi="Arial" w:eastAsia="Arial" w:cs="Arial"/>
      <w:b/>
      <w:bCs/>
      <w:sz w:val="22"/>
      <w:szCs w:val="22"/>
    </w:rPr>
  </w:style>
  <w:style w:type="character" w:styleId="874" w:customStyle="1">
    <w:name w:val="标题 7 Char"/>
    <w:link w:val="834"/>
    <w:uiPriority w:val="9"/>
    <w:qFormat/>
    <w:rPr>
      <w:rFonts w:ascii="Arial" w:hAnsi="Arial" w:eastAsia="Arial" w:cs="Arial"/>
      <w:b/>
      <w:bCs/>
      <w:i/>
      <w:iCs/>
      <w:sz w:val="22"/>
      <w:szCs w:val="22"/>
    </w:rPr>
  </w:style>
  <w:style w:type="character" w:styleId="875" w:customStyle="1">
    <w:name w:val="标题 8 Char1"/>
    <w:link w:val="835"/>
    <w:uiPriority w:val="9"/>
    <w:qFormat/>
    <w:rPr>
      <w:rFonts w:ascii="Arial" w:hAnsi="Arial" w:eastAsia="Arial" w:cs="Arial"/>
      <w:i/>
      <w:iCs/>
      <w:sz w:val="22"/>
      <w:szCs w:val="22"/>
    </w:rPr>
  </w:style>
  <w:style w:type="character" w:styleId="876" w:customStyle="1">
    <w:name w:val="标题 9 Char"/>
    <w:link w:val="836"/>
    <w:uiPriority w:val="9"/>
    <w:qFormat/>
    <w:rPr>
      <w:rFonts w:ascii="Arial" w:hAnsi="Arial" w:eastAsia="Arial" w:cs="Arial"/>
      <w:i/>
      <w:iCs/>
      <w:sz w:val="21"/>
      <w:szCs w:val="21"/>
    </w:rPr>
  </w:style>
  <w:style w:type="paragraph" w:styleId="877">
    <w:name w:val="No Spacing"/>
    <w:uiPriority w:val="1"/>
    <w:qFormat/>
    <w:rPr>
      <w:rFonts w:ascii="Times New Roman" w:hAnsi="Times New Roman" w:eastAsia="宋体" w:cs="Times New Roman"/>
      <w:lang w:val="en-US" w:eastAsia="zh-CN" w:bidi="ar-SA"/>
    </w:rPr>
  </w:style>
  <w:style w:type="character" w:styleId="878" w:customStyle="1">
    <w:name w:val="标题 Char"/>
    <w:link w:val="861"/>
    <w:uiPriority w:val="10"/>
    <w:qFormat/>
    <w:rPr>
      <w:sz w:val="48"/>
      <w:szCs w:val="48"/>
    </w:rPr>
  </w:style>
  <w:style w:type="character" w:styleId="879" w:customStyle="1">
    <w:name w:val="副标题 Char"/>
    <w:link w:val="853"/>
    <w:uiPriority w:val="11"/>
    <w:qFormat/>
    <w:rPr>
      <w:sz w:val="24"/>
      <w:szCs w:val="24"/>
    </w:rPr>
  </w:style>
  <w:style w:type="paragraph" w:styleId="880">
    <w:name w:val="Quote"/>
    <w:basedOn w:val="827"/>
    <w:next w:val="827"/>
    <w:link w:val="881"/>
    <w:uiPriority w:val="29"/>
    <w:qFormat/>
    <w:pPr>
      <w:ind w:left="720" w:right="720"/>
    </w:pPr>
    <w:rPr>
      <w:i/>
    </w:rPr>
  </w:style>
  <w:style w:type="character" w:styleId="881" w:customStyle="1">
    <w:name w:val="引用 Char"/>
    <w:link w:val="880"/>
    <w:uiPriority w:val="29"/>
    <w:qFormat/>
    <w:rPr>
      <w:i/>
    </w:rPr>
  </w:style>
  <w:style w:type="character" w:styleId="882" w:customStyle="1">
    <w:name w:val="Intense Quote Char"/>
    <w:uiPriority w:val="30"/>
    <w:qFormat/>
    <w:rPr>
      <w:i/>
    </w:rPr>
  </w:style>
  <w:style w:type="character" w:styleId="883" w:customStyle="1">
    <w:name w:val="页眉 Char"/>
    <w:link w:val="850"/>
    <w:uiPriority w:val="99"/>
    <w:qFormat/>
  </w:style>
  <w:style w:type="character" w:styleId="884" w:customStyle="1">
    <w:name w:val="Footer Char"/>
    <w:link w:val="849"/>
    <w:uiPriority w:val="99"/>
    <w:qFormat/>
  </w:style>
  <w:style w:type="character" w:styleId="885" w:customStyle="1">
    <w:name w:val="页脚 Char"/>
    <w:link w:val="849"/>
    <w:uiPriority w:val="99"/>
    <w:qFormat/>
  </w:style>
  <w:style w:type="table" w:styleId="8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8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脚注文本 Char"/>
    <w:link w:val="855"/>
    <w:uiPriority w:val="99"/>
    <w:qFormat/>
    <w:rPr>
      <w:sz w:val="18"/>
    </w:rPr>
  </w:style>
  <w:style w:type="character" w:styleId="1012" w:customStyle="1">
    <w:name w:val="尾注文本 Char"/>
    <w:link w:val="848"/>
    <w:uiPriority w:val="99"/>
    <w:qFormat/>
    <w:rPr>
      <w:sz w:val="20"/>
    </w:rPr>
  </w:style>
  <w:style w:type="paragraph" w:styleId="1013" w:customStyle="1">
    <w:name w:val="TOC 标题1"/>
    <w:uiPriority w:val="39"/>
    <w:unhideWhenUsed/>
    <w:qFormat/>
    <w:rPr>
      <w:rFonts w:ascii="Times New Roman" w:hAnsi="Times New Roman" w:eastAsia="宋体" w:cs="Times New Roman"/>
      <w:lang w:val="en-US" w:eastAsia="zh-CN" w:bidi="ar-SA"/>
    </w:rPr>
  </w:style>
  <w:style w:type="paragraph" w:styleId="1014" w:customStyle="1">
    <w:name w:val="标题 11"/>
    <w:basedOn w:val="827"/>
    <w:next w:val="827"/>
    <w:link w:val="1022"/>
    <w:uiPriority w:val="0"/>
    <w:qFormat/>
    <w:pPr>
      <w:jc w:val="center"/>
      <w:keepNext/>
      <w:outlineLvl w:val="0"/>
    </w:pPr>
    <w:rPr>
      <w:rFonts w:ascii="楷体_GB2312" w:eastAsia="楷体_GB2312"/>
      <w:b/>
      <w:sz w:val="28"/>
    </w:rPr>
  </w:style>
  <w:style w:type="paragraph" w:styleId="1015" w:customStyle="1">
    <w:name w:val="标题 21"/>
    <w:basedOn w:val="827"/>
    <w:next w:val="827"/>
    <w:link w:val="1023"/>
    <w:uiPriority w:val="0"/>
    <w:qFormat/>
    <w:pPr>
      <w:jc w:val="center"/>
      <w:keepNext/>
      <w:outlineLvl w:val="1"/>
    </w:pPr>
    <w:rPr>
      <w:rFonts w:ascii="楷体_GB2312" w:eastAsia="楷体_GB2312"/>
      <w:b/>
      <w:bCs/>
      <w:sz w:val="18"/>
    </w:rPr>
  </w:style>
  <w:style w:type="paragraph" w:styleId="1016" w:customStyle="1">
    <w:name w:val="标题 311"/>
    <w:basedOn w:val="827"/>
    <w:next w:val="827"/>
    <w:uiPriority w:val="0"/>
    <w:qFormat/>
    <w:pPr>
      <w:jc w:val="center"/>
      <w:keepNext/>
      <w:outlineLvl w:val="2"/>
    </w:pPr>
    <w:rPr>
      <w:rFonts w:eastAsia="楷体_GB2312"/>
      <w:b/>
      <w:bCs/>
      <w:sz w:val="15"/>
    </w:rPr>
  </w:style>
  <w:style w:type="paragraph" w:styleId="1017" w:customStyle="1">
    <w:name w:val="标题 411"/>
    <w:basedOn w:val="827"/>
    <w:next w:val="827"/>
    <w:uiPriority w:val="0"/>
    <w:qFormat/>
    <w:pPr>
      <w:jc w:val="center"/>
      <w:keepNext/>
      <w:outlineLvl w:val="3"/>
    </w:pPr>
    <w:rPr>
      <w:rFonts w:eastAsia="楷体_GB2312"/>
      <w:b/>
      <w:bCs/>
      <w:sz w:val="13"/>
    </w:rPr>
  </w:style>
  <w:style w:type="paragraph" w:styleId="1018" w:customStyle="1">
    <w:name w:val="标题 51"/>
    <w:basedOn w:val="827"/>
    <w:next w:val="827"/>
    <w:uiPriority w:val="0"/>
    <w:qFormat/>
    <w:pPr>
      <w:numPr>
        <w:ilvl w:val="0"/>
        <w:numId w:val="3"/>
      </w:numPr>
      <w:keepNext/>
      <w:outlineLvl w:val="4"/>
    </w:pPr>
    <w:rPr>
      <w:rFonts w:ascii="楷体_GB2312" w:eastAsia="楷体_GB2312"/>
      <w:bCs/>
      <w:sz w:val="28"/>
    </w:rPr>
  </w:style>
  <w:style w:type="paragraph" w:styleId="1019" w:customStyle="1">
    <w:name w:val="标题 81"/>
    <w:basedOn w:val="827"/>
    <w:next w:val="827"/>
    <w:link w:val="1024"/>
    <w:uiPriority w:val="0"/>
    <w:qFormat/>
    <w:pPr>
      <w:keepLines/>
      <w:keepNext/>
      <w:spacing w:before="240" w:after="64" w:line="320" w:lineRule="auto"/>
      <w:outlineLvl w:val="7"/>
    </w:pPr>
    <w:rPr>
      <w:rFonts w:ascii="等线 Light" w:hAnsi="等线 Light" w:eastAsia="等线 Light"/>
      <w:sz w:val="24"/>
      <w:szCs w:val="24"/>
    </w:rPr>
  </w:style>
  <w:style w:type="character" w:styleId="1020" w:customStyle="1">
    <w:name w:val="默认段落字体1"/>
    <w:uiPriority w:val="0"/>
    <w:semiHidden/>
    <w:qFormat/>
    <w:rPr>
      <w:rFonts w:ascii="Tahoma" w:hAnsi="Tahoma"/>
      <w:szCs w:val="24"/>
    </w:rPr>
  </w:style>
  <w:style w:type="table" w:styleId="1021" w:customStyle="1">
    <w:name w:val="普通表格1"/>
    <w:uiPriority w:val="0"/>
    <w:semiHidden/>
    <w:qFormat/>
    <w:rPr>
      <w:rFonts w:eastAsia="Times New Roman"/>
    </w:rPr>
    <w:tblPr>
      <w:tblCellMar>
        <w:left w:w="0" w:type="dxa"/>
        <w:top w:w="0" w:type="dxa"/>
        <w:right w:w="0" w:type="dxa"/>
        <w:bottom w:w="0" w:type="dxa"/>
      </w:tblCellMar>
    </w:tblPr>
  </w:style>
  <w:style w:type="character" w:styleId="1022" w:customStyle="1">
    <w:name w:val="标题 1 字符"/>
    <w:link w:val="1014"/>
    <w:uiPriority w:val="0"/>
    <w:qFormat/>
    <w:rPr>
      <w:rFonts w:ascii="楷体_GB2312" w:eastAsia="楷体_GB2312"/>
      <w:b/>
      <w:sz w:val="28"/>
    </w:rPr>
  </w:style>
  <w:style w:type="character" w:styleId="1023" w:customStyle="1">
    <w:name w:val="标题 2 字符"/>
    <w:link w:val="1015"/>
    <w:uiPriority w:val="0"/>
    <w:qFormat/>
    <w:rPr>
      <w:rFonts w:ascii="楷体_GB2312" w:eastAsia="楷体_GB2312"/>
      <w:b/>
      <w:bCs/>
      <w:sz w:val="18"/>
    </w:rPr>
  </w:style>
  <w:style w:type="character" w:styleId="1024" w:customStyle="1">
    <w:name w:val="标题 8 字符"/>
    <w:link w:val="1019"/>
    <w:uiPriority w:val="0"/>
    <w:semiHidden/>
    <w:qFormat/>
    <w:rPr>
      <w:rFonts w:ascii="等线 Light" w:hAnsi="等线 Light" w:eastAsia="等线 Light" w:cs="Times New Roman"/>
      <w:sz w:val="24"/>
      <w:szCs w:val="24"/>
    </w:rPr>
  </w:style>
  <w:style w:type="paragraph" w:styleId="1025" w:customStyle="1">
    <w:name w:val="目录 71"/>
    <w:basedOn w:val="827"/>
    <w:next w:val="827"/>
    <w:uiPriority w:val="0"/>
    <w:semiHidden/>
    <w:qFormat/>
    <w:pPr>
      <w:ind w:left="2520"/>
    </w:pPr>
    <w:rPr>
      <w:rFonts w:eastAsia="楷体_GB2312"/>
      <w:sz w:val="26"/>
    </w:rPr>
  </w:style>
  <w:style w:type="paragraph" w:styleId="1026" w:customStyle="1">
    <w:name w:val="索引 81"/>
    <w:basedOn w:val="827"/>
    <w:next w:val="827"/>
    <w:uiPriority w:val="0"/>
    <w:semiHidden/>
    <w:qFormat/>
    <w:pPr>
      <w:ind w:left="2940"/>
    </w:pPr>
    <w:rPr>
      <w:rFonts w:eastAsia="楷体_GB2312"/>
      <w:sz w:val="26"/>
    </w:rPr>
  </w:style>
  <w:style w:type="paragraph" w:styleId="1027" w:customStyle="1">
    <w:name w:val="正文缩进111"/>
    <w:basedOn w:val="827"/>
    <w:link w:val="1028"/>
    <w:uiPriority w:val="0"/>
    <w:qFormat/>
    <w:pPr>
      <w:ind w:firstLine="420"/>
    </w:pPr>
  </w:style>
  <w:style w:type="character" w:styleId="1028" w:customStyle="1">
    <w:name w:val="正文缩进 字符"/>
    <w:link w:val="1027"/>
    <w:uiPriority w:val="0"/>
    <w:qFormat/>
    <w:rPr>
      <w:sz w:val="21"/>
    </w:rPr>
  </w:style>
  <w:style w:type="paragraph" w:styleId="1029" w:customStyle="1">
    <w:name w:val="索引 51"/>
    <w:basedOn w:val="827"/>
    <w:next w:val="827"/>
    <w:uiPriority w:val="0"/>
    <w:semiHidden/>
    <w:qFormat/>
    <w:pPr>
      <w:ind w:left="1680"/>
    </w:pPr>
    <w:rPr>
      <w:rFonts w:eastAsia="楷体_GB2312"/>
      <w:sz w:val="26"/>
    </w:rPr>
  </w:style>
  <w:style w:type="paragraph" w:styleId="1030" w:customStyle="1">
    <w:name w:val="文档结构图1"/>
    <w:basedOn w:val="827"/>
    <w:uiPriority w:val="0"/>
    <w:semiHidden/>
    <w:qFormat/>
    <w:pPr>
      <w:shd w:val="clear" w:color="auto" w:fill="000080"/>
    </w:pPr>
  </w:style>
  <w:style w:type="paragraph" w:styleId="1031" w:customStyle="1">
    <w:name w:val="批注文字1"/>
    <w:basedOn w:val="827"/>
    <w:link w:val="1032"/>
    <w:uiPriority w:val="0"/>
    <w:qFormat/>
  </w:style>
  <w:style w:type="character" w:styleId="1032" w:customStyle="1">
    <w:name w:val="批注文字 字符"/>
    <w:link w:val="1031"/>
    <w:uiPriority w:val="0"/>
    <w:qFormat/>
    <w:rPr>
      <w:sz w:val="21"/>
    </w:rPr>
  </w:style>
  <w:style w:type="paragraph" w:styleId="1033" w:customStyle="1">
    <w:name w:val="索引 61"/>
    <w:basedOn w:val="827"/>
    <w:next w:val="827"/>
    <w:uiPriority w:val="0"/>
    <w:semiHidden/>
    <w:qFormat/>
    <w:pPr>
      <w:ind w:left="2100"/>
    </w:pPr>
    <w:rPr>
      <w:rFonts w:eastAsia="楷体_GB2312"/>
      <w:sz w:val="26"/>
    </w:rPr>
  </w:style>
  <w:style w:type="paragraph" w:styleId="1034" w:customStyle="1">
    <w:name w:val="正文文本111"/>
    <w:basedOn w:val="827"/>
    <w:next w:val="1035"/>
    <w:link w:val="1036"/>
    <w:uiPriority w:val="99"/>
    <w:qFormat/>
    <w:rPr>
      <w:rFonts w:ascii="华文中宋" w:eastAsia="华文中宋"/>
      <w:bCs/>
      <w:sz w:val="28"/>
    </w:rPr>
  </w:style>
  <w:style w:type="paragraph" w:styleId="1035" w:customStyle="1">
    <w:name w:val="列表11"/>
    <w:basedOn w:val="827"/>
    <w:uiPriority w:val="0"/>
    <w:qFormat/>
    <w:pPr>
      <w:numPr>
        <w:ilvl w:val="0"/>
        <w:numId w:val="4"/>
      </w:numPr>
      <w:spacing w:after="20" w:line="288" w:lineRule="auto"/>
    </w:pPr>
    <w:rPr>
      <w:sz w:val="24"/>
      <w:lang w:val="en-GB"/>
    </w:rPr>
  </w:style>
  <w:style w:type="character" w:styleId="1036" w:customStyle="1">
    <w:name w:val="正文文本 字符"/>
    <w:link w:val="1034"/>
    <w:uiPriority w:val="99"/>
    <w:qFormat/>
    <w:rPr>
      <w:rFonts w:ascii="华文中宋" w:eastAsia="华文中宋"/>
      <w:bCs/>
      <w:sz w:val="28"/>
    </w:rPr>
  </w:style>
  <w:style w:type="paragraph" w:styleId="1037" w:customStyle="1">
    <w:name w:val="正文文本缩进1"/>
    <w:basedOn w:val="827"/>
    <w:next w:val="1038"/>
    <w:link w:val="1039"/>
    <w:uiPriority w:val="99"/>
    <w:qFormat/>
    <w:pPr>
      <w:ind w:firstLine="576"/>
    </w:pPr>
    <w:rPr>
      <w:b/>
      <w:sz w:val="30"/>
    </w:rPr>
  </w:style>
  <w:style w:type="paragraph" w:styleId="1038" w:customStyle="1">
    <w:name w:val="寄信人地址1"/>
    <w:basedOn w:val="827"/>
    <w:uiPriority w:val="0"/>
    <w:qFormat/>
    <w:rPr>
      <w:rFonts w:cs="Times New Roman"/>
    </w:rPr>
  </w:style>
  <w:style w:type="character" w:styleId="1039" w:customStyle="1">
    <w:name w:val="正文文本缩进 字符"/>
    <w:link w:val="1037"/>
    <w:uiPriority w:val="99"/>
    <w:qFormat/>
    <w:rPr>
      <w:b/>
      <w:sz w:val="30"/>
    </w:rPr>
  </w:style>
  <w:style w:type="paragraph" w:styleId="1040" w:customStyle="1">
    <w:name w:val="文本块1"/>
    <w:basedOn w:val="827"/>
    <w:uiPriority w:val="0"/>
    <w:qFormat/>
    <w:pPr>
      <w:ind w:left="420" w:right="33"/>
      <w:spacing w:line="360" w:lineRule="auto"/>
    </w:pPr>
    <w:rPr>
      <w:rFonts w:ascii="宋体"/>
      <w:sz w:val="24"/>
    </w:rPr>
  </w:style>
  <w:style w:type="paragraph" w:styleId="1041" w:customStyle="1">
    <w:name w:val="索引 411"/>
    <w:basedOn w:val="827"/>
    <w:next w:val="827"/>
    <w:uiPriority w:val="0"/>
    <w:semiHidden/>
    <w:qFormat/>
    <w:pPr>
      <w:ind w:left="1260"/>
    </w:pPr>
    <w:rPr>
      <w:rFonts w:eastAsia="楷体_GB2312"/>
      <w:sz w:val="26"/>
    </w:rPr>
  </w:style>
  <w:style w:type="paragraph" w:styleId="1042" w:customStyle="1">
    <w:name w:val="目录 51"/>
    <w:basedOn w:val="827"/>
    <w:next w:val="827"/>
    <w:uiPriority w:val="0"/>
    <w:semiHidden/>
    <w:qFormat/>
    <w:pPr>
      <w:ind w:left="1680"/>
    </w:pPr>
    <w:rPr>
      <w:rFonts w:eastAsia="楷体_GB2312"/>
      <w:sz w:val="26"/>
    </w:rPr>
  </w:style>
  <w:style w:type="paragraph" w:styleId="1043" w:customStyle="1">
    <w:name w:val="目录 31"/>
    <w:basedOn w:val="827"/>
    <w:next w:val="827"/>
    <w:uiPriority w:val="0"/>
    <w:semiHidden/>
    <w:qFormat/>
    <w:pPr>
      <w:ind w:left="840"/>
    </w:pPr>
    <w:rPr>
      <w:rFonts w:eastAsia="楷体_GB2312"/>
      <w:sz w:val="26"/>
    </w:rPr>
  </w:style>
  <w:style w:type="paragraph" w:styleId="1044" w:customStyle="1">
    <w:name w:val="纯文本1"/>
    <w:basedOn w:val="827"/>
    <w:link w:val="1045"/>
    <w:uiPriority w:val="0"/>
    <w:qFormat/>
    <w:rPr>
      <w:rFonts w:ascii="宋体" w:hAnsi="Courier New" w:eastAsia="楷体_GB2312"/>
      <w:sz w:val="26"/>
    </w:rPr>
  </w:style>
  <w:style w:type="character" w:styleId="1045" w:customStyle="1">
    <w:name w:val="纯文本 字符"/>
    <w:link w:val="1044"/>
    <w:uiPriority w:val="0"/>
    <w:qFormat/>
    <w:rPr>
      <w:rFonts w:ascii="宋体" w:hAnsi="Courier New" w:eastAsia="楷体_GB2312"/>
      <w:sz w:val="26"/>
    </w:rPr>
  </w:style>
  <w:style w:type="paragraph" w:styleId="1046" w:customStyle="1">
    <w:name w:val="目录 81"/>
    <w:basedOn w:val="827"/>
    <w:next w:val="827"/>
    <w:uiPriority w:val="0"/>
    <w:semiHidden/>
    <w:qFormat/>
    <w:pPr>
      <w:ind w:left="2940"/>
    </w:pPr>
    <w:rPr>
      <w:rFonts w:eastAsia="楷体_GB2312"/>
      <w:sz w:val="26"/>
    </w:rPr>
  </w:style>
  <w:style w:type="paragraph" w:styleId="1047" w:customStyle="1">
    <w:name w:val="索引 31"/>
    <w:basedOn w:val="827"/>
    <w:next w:val="827"/>
    <w:uiPriority w:val="0"/>
    <w:semiHidden/>
    <w:qFormat/>
    <w:pPr>
      <w:ind w:left="840"/>
    </w:pPr>
    <w:rPr>
      <w:rFonts w:eastAsia="楷体_GB2312"/>
      <w:sz w:val="26"/>
    </w:rPr>
  </w:style>
  <w:style w:type="paragraph" w:styleId="1048" w:customStyle="1">
    <w:name w:val="日期1"/>
    <w:basedOn w:val="827"/>
    <w:next w:val="827"/>
    <w:link w:val="1049"/>
    <w:uiPriority w:val="99"/>
    <w:qFormat/>
    <w:rPr>
      <w:rFonts w:ascii="Tahoma" w:hAnsi="Tahoma" w:eastAsia="黑体"/>
      <w:b/>
      <w:sz w:val="36"/>
      <w:szCs w:val="24"/>
    </w:rPr>
  </w:style>
  <w:style w:type="character" w:styleId="1049" w:customStyle="1">
    <w:name w:val="日期 字符"/>
    <w:link w:val="1048"/>
    <w:uiPriority w:val="99"/>
    <w:qFormat/>
    <w:rPr>
      <w:rFonts w:ascii="Tahoma" w:hAnsi="Tahoma" w:eastAsia="黑体"/>
      <w:b/>
      <w:sz w:val="36"/>
      <w:szCs w:val="24"/>
    </w:rPr>
  </w:style>
  <w:style w:type="paragraph" w:styleId="1050" w:customStyle="1">
    <w:name w:val="正文文本缩进 21"/>
    <w:basedOn w:val="827"/>
    <w:uiPriority w:val="0"/>
    <w:qFormat/>
    <w:pPr>
      <w:ind w:left="900"/>
    </w:pPr>
    <w:rPr>
      <w:rFonts w:ascii="楷体_GB2312" w:eastAsia="楷体_GB2312"/>
      <w:b/>
      <w:sz w:val="28"/>
    </w:rPr>
  </w:style>
  <w:style w:type="paragraph" w:styleId="1051" w:customStyle="1">
    <w:name w:val="批注框文本1"/>
    <w:basedOn w:val="827"/>
    <w:link w:val="1052"/>
    <w:uiPriority w:val="99"/>
    <w:semiHidden/>
    <w:qFormat/>
    <w:rPr>
      <w:rFonts w:ascii="Tahoma" w:hAnsi="Tahoma"/>
      <w:sz w:val="18"/>
      <w:szCs w:val="18"/>
    </w:rPr>
  </w:style>
  <w:style w:type="character" w:styleId="1052" w:customStyle="1">
    <w:name w:val="批注框文本 字符"/>
    <w:link w:val="1051"/>
    <w:uiPriority w:val="99"/>
    <w:semiHidden/>
    <w:qFormat/>
    <w:rPr>
      <w:rFonts w:ascii="Tahoma" w:hAnsi="Tahoma"/>
      <w:sz w:val="18"/>
      <w:szCs w:val="18"/>
    </w:rPr>
  </w:style>
  <w:style w:type="paragraph" w:styleId="1053" w:customStyle="1">
    <w:name w:val="页脚11"/>
    <w:basedOn w:val="827"/>
    <w:link w:val="1054"/>
    <w:uiPriority w:val="99"/>
    <w:qFormat/>
    <w:pPr>
      <w:tabs>
        <w:tab w:val="center" w:pos="4153" w:leader="none"/>
        <w:tab w:val="right" w:pos="8306" w:leader="none"/>
      </w:tabs>
    </w:pPr>
    <w:rPr>
      <w:rFonts w:ascii="Tahoma" w:hAnsi="Tahoma"/>
      <w:sz w:val="18"/>
      <w:szCs w:val="24"/>
    </w:rPr>
  </w:style>
  <w:style w:type="character" w:styleId="1054" w:customStyle="1">
    <w:name w:val="页脚 字符"/>
    <w:link w:val="1053"/>
    <w:uiPriority w:val="99"/>
    <w:qFormat/>
    <w:rPr>
      <w:rFonts w:ascii="Tahoma" w:hAnsi="Tahoma"/>
      <w:sz w:val="18"/>
      <w:szCs w:val="24"/>
    </w:rPr>
  </w:style>
  <w:style w:type="paragraph" w:styleId="1055" w:customStyle="1">
    <w:name w:val="页眉1"/>
    <w:basedOn w:val="827"/>
    <w:link w:val="1056"/>
    <w:uiPriority w:val="99"/>
    <w:qFormat/>
    <w:pPr>
      <w:jc w:val="center"/>
      <w:tabs>
        <w:tab w:val="center" w:pos="4153" w:leader="none"/>
        <w:tab w:val="right" w:pos="8306" w:leader="none"/>
      </w:tabs>
      <w:pBdr>
        <w:bottom w:val="single" w:color="000000" w:sz="6" w:space="1"/>
      </w:pBdr>
    </w:pPr>
    <w:rPr>
      <w:rFonts w:ascii="Tahoma" w:hAnsi="Tahoma"/>
      <w:sz w:val="18"/>
      <w:szCs w:val="24"/>
    </w:rPr>
  </w:style>
  <w:style w:type="character" w:styleId="1056" w:customStyle="1">
    <w:name w:val="页眉 字符"/>
    <w:link w:val="1055"/>
    <w:uiPriority w:val="99"/>
    <w:qFormat/>
    <w:rPr>
      <w:rFonts w:ascii="Tahoma" w:hAnsi="Tahoma"/>
      <w:sz w:val="18"/>
      <w:szCs w:val="24"/>
    </w:rPr>
  </w:style>
  <w:style w:type="paragraph" w:styleId="1057" w:customStyle="1">
    <w:name w:val="目录 11"/>
    <w:basedOn w:val="827"/>
    <w:next w:val="827"/>
    <w:uiPriority w:val="0"/>
    <w:semiHidden/>
    <w:qFormat/>
    <w:rPr>
      <w:rFonts w:eastAsia="楷体_GB2312"/>
      <w:sz w:val="24"/>
    </w:rPr>
  </w:style>
  <w:style w:type="paragraph" w:styleId="1058" w:customStyle="1">
    <w:name w:val="目录 41"/>
    <w:basedOn w:val="827"/>
    <w:next w:val="827"/>
    <w:uiPriority w:val="0"/>
    <w:semiHidden/>
    <w:qFormat/>
    <w:pPr>
      <w:ind w:left="1260"/>
    </w:pPr>
    <w:rPr>
      <w:rFonts w:eastAsia="楷体_GB2312"/>
      <w:sz w:val="26"/>
    </w:rPr>
  </w:style>
  <w:style w:type="paragraph" w:styleId="1059" w:customStyle="1">
    <w:name w:val="索引标题1"/>
    <w:basedOn w:val="827"/>
    <w:next w:val="1060"/>
    <w:uiPriority w:val="0"/>
    <w:semiHidden/>
    <w:qFormat/>
    <w:rPr>
      <w:rFonts w:eastAsia="楷体_GB2312"/>
      <w:sz w:val="26"/>
    </w:rPr>
  </w:style>
  <w:style w:type="paragraph" w:styleId="1060" w:customStyle="1">
    <w:name w:val="索引 11"/>
    <w:basedOn w:val="827"/>
    <w:next w:val="827"/>
    <w:uiPriority w:val="0"/>
    <w:semiHidden/>
    <w:qFormat/>
    <w:rPr>
      <w:rFonts w:eastAsia="楷体_GB2312"/>
      <w:sz w:val="26"/>
    </w:rPr>
  </w:style>
  <w:style w:type="paragraph" w:styleId="1061" w:customStyle="1">
    <w:name w:val="脚注文本1"/>
    <w:basedOn w:val="827"/>
    <w:uiPriority w:val="0"/>
    <w:semiHidden/>
    <w:qFormat/>
    <w:rPr>
      <w:rFonts w:eastAsia="楷体_GB2312"/>
      <w:sz w:val="18"/>
    </w:rPr>
  </w:style>
  <w:style w:type="paragraph" w:styleId="1062" w:customStyle="1">
    <w:name w:val="目录 61"/>
    <w:basedOn w:val="827"/>
    <w:next w:val="827"/>
    <w:uiPriority w:val="0"/>
    <w:semiHidden/>
    <w:qFormat/>
    <w:pPr>
      <w:ind w:left="2100"/>
    </w:pPr>
    <w:rPr>
      <w:rFonts w:eastAsia="楷体_GB2312"/>
      <w:sz w:val="26"/>
    </w:rPr>
  </w:style>
  <w:style w:type="paragraph" w:styleId="1063" w:customStyle="1">
    <w:name w:val="正文文本缩进 311"/>
    <w:basedOn w:val="827"/>
    <w:uiPriority w:val="0"/>
    <w:qFormat/>
    <w:pPr>
      <w:ind w:left="359" w:firstLine="359"/>
    </w:pPr>
  </w:style>
  <w:style w:type="paragraph" w:styleId="1064" w:customStyle="1">
    <w:name w:val="索引 71"/>
    <w:basedOn w:val="827"/>
    <w:next w:val="827"/>
    <w:uiPriority w:val="0"/>
    <w:semiHidden/>
    <w:qFormat/>
    <w:pPr>
      <w:ind w:left="2520"/>
    </w:pPr>
    <w:rPr>
      <w:rFonts w:eastAsia="楷体_GB2312"/>
      <w:sz w:val="26"/>
    </w:rPr>
  </w:style>
  <w:style w:type="paragraph" w:styleId="1065" w:customStyle="1">
    <w:name w:val="索引 91"/>
    <w:basedOn w:val="827"/>
    <w:next w:val="827"/>
    <w:uiPriority w:val="0"/>
    <w:semiHidden/>
    <w:qFormat/>
    <w:pPr>
      <w:ind w:left="3360"/>
    </w:pPr>
    <w:rPr>
      <w:rFonts w:eastAsia="楷体_GB2312"/>
      <w:sz w:val="26"/>
    </w:rPr>
  </w:style>
  <w:style w:type="paragraph" w:styleId="1066" w:customStyle="1">
    <w:name w:val="图表目录1"/>
    <w:basedOn w:val="827"/>
    <w:next w:val="827"/>
    <w:uiPriority w:val="0"/>
    <w:semiHidden/>
    <w:qFormat/>
    <w:pPr>
      <w:ind w:left="420" w:hanging="420"/>
    </w:pPr>
    <w:rPr>
      <w:rFonts w:eastAsia="楷体_GB2312"/>
      <w:smallCaps/>
      <w:sz w:val="24"/>
    </w:rPr>
  </w:style>
  <w:style w:type="paragraph" w:styleId="1067" w:customStyle="1">
    <w:name w:val="目录 21"/>
    <w:basedOn w:val="827"/>
    <w:next w:val="827"/>
    <w:uiPriority w:val="0"/>
    <w:semiHidden/>
    <w:qFormat/>
    <w:pPr>
      <w:ind w:left="420"/>
    </w:pPr>
    <w:rPr>
      <w:rFonts w:eastAsia="楷体_GB2312"/>
      <w:sz w:val="26"/>
    </w:rPr>
  </w:style>
  <w:style w:type="paragraph" w:styleId="1068" w:customStyle="1">
    <w:name w:val="目录 91"/>
    <w:basedOn w:val="827"/>
    <w:next w:val="827"/>
    <w:uiPriority w:val="0"/>
    <w:semiHidden/>
    <w:qFormat/>
    <w:pPr>
      <w:ind w:left="3360"/>
    </w:pPr>
    <w:rPr>
      <w:rFonts w:eastAsia="楷体_GB2312"/>
      <w:sz w:val="26"/>
    </w:rPr>
  </w:style>
  <w:style w:type="paragraph" w:styleId="1069" w:customStyle="1">
    <w:name w:val="正文文本 21"/>
    <w:basedOn w:val="827"/>
    <w:uiPriority w:val="0"/>
    <w:qFormat/>
    <w:pPr>
      <w:spacing w:after="120" w:line="480" w:lineRule="auto"/>
    </w:pPr>
  </w:style>
  <w:style w:type="paragraph" w:styleId="1070" w:customStyle="1">
    <w:name w:val="HTML 预设格式1"/>
    <w:basedOn w:val="82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71" w:customStyle="1">
    <w:name w:val="普通(网站)11"/>
    <w:basedOn w:val="827"/>
    <w:link w:val="1072"/>
    <w:uiPriority w:val="0"/>
    <w:qFormat/>
    <w:pPr>
      <w:spacing w:before="100" w:beforeAutospacing="1" w:after="100" w:afterAutospacing="1"/>
    </w:pPr>
    <w:rPr>
      <w:rFonts w:ascii="宋体" w:hAnsi="宋体"/>
      <w:sz w:val="24"/>
      <w:szCs w:val="24"/>
    </w:rPr>
  </w:style>
  <w:style w:type="character" w:styleId="1072" w:customStyle="1">
    <w:name w:val="普通(网站) 字符"/>
    <w:link w:val="1071"/>
    <w:uiPriority w:val="0"/>
    <w:qFormat/>
    <w:rPr>
      <w:rFonts w:ascii="宋体" w:hAnsi="宋体" w:cs="宋体"/>
      <w:sz w:val="24"/>
      <w:szCs w:val="24"/>
    </w:rPr>
  </w:style>
  <w:style w:type="paragraph" w:styleId="1073" w:customStyle="1">
    <w:name w:val="索引 21"/>
    <w:basedOn w:val="827"/>
    <w:next w:val="827"/>
    <w:uiPriority w:val="0"/>
    <w:semiHidden/>
    <w:qFormat/>
    <w:pPr>
      <w:ind w:left="420"/>
    </w:pPr>
    <w:rPr>
      <w:rFonts w:eastAsia="楷体_GB2312"/>
      <w:sz w:val="26"/>
    </w:rPr>
  </w:style>
  <w:style w:type="paragraph" w:styleId="1074" w:customStyle="1">
    <w:name w:val="批注主题1"/>
    <w:basedOn w:val="1031"/>
    <w:next w:val="1031"/>
    <w:uiPriority w:val="0"/>
    <w:semiHidden/>
    <w:qFormat/>
    <w:rPr>
      <w:b/>
      <w:bCs/>
    </w:rPr>
  </w:style>
  <w:style w:type="paragraph" w:styleId="1075" w:customStyle="1">
    <w:name w:val="正文首行缩进11"/>
    <w:basedOn w:val="1034"/>
    <w:uiPriority w:val="0"/>
    <w:qFormat/>
    <w:pPr>
      <w:ind w:firstLine="420"/>
      <w:spacing w:after="120"/>
    </w:pPr>
    <w:rPr>
      <w:color w:val="000000"/>
      <w:spacing w:val="-8"/>
      <w:sz w:val="21"/>
    </w:rPr>
  </w:style>
  <w:style w:type="paragraph" w:styleId="1076" w:customStyle="1">
    <w:name w:val="正文首行缩进 21"/>
    <w:basedOn w:val="1037"/>
    <w:next w:val="827"/>
    <w:uiPriority w:val="0"/>
    <w:qFormat/>
    <w:pPr>
      <w:ind w:left="420" w:firstLine="200"/>
      <w:spacing w:after="120" w:line="420" w:lineRule="exact"/>
      <w:widowControl w:val="off"/>
    </w:pPr>
    <w:rPr>
      <w:rFonts w:ascii="Times New Roman"/>
      <w:sz w:val="24"/>
      <w:szCs w:val="24"/>
    </w:rPr>
  </w:style>
  <w:style w:type="table" w:styleId="1077" w:customStyle="1">
    <w:name w:val="网格型1"/>
    <w:basedOn w:val="1021"/>
    <w:uiPriority w:val="59"/>
    <w:qFormat/>
    <w:pPr>
      <w:jc w:val="both"/>
      <w:widowControl w:val="off"/>
    </w:pPr>
    <w:tblPr>
      <w:tblCellMar>
        <w:left w:w="0" w:type="dxa"/>
        <w:top w:w="0" w:type="dxa"/>
        <w:right w:w="0" w:type="dxa"/>
        <w:bottom w:w="0" w:type="dxa"/>
      </w:tblCellMar>
    </w:tblPr>
  </w:style>
  <w:style w:type="character" w:styleId="1078" w:customStyle="1">
    <w:name w:val="要点1"/>
    <w:uiPriority w:val="0"/>
    <w:qFormat/>
    <w:rPr>
      <w:rFonts w:ascii="Tahoma" w:hAnsi="Tahoma"/>
      <w:b/>
      <w:bCs/>
      <w:szCs w:val="24"/>
    </w:rPr>
  </w:style>
  <w:style w:type="character" w:styleId="1079" w:customStyle="1">
    <w:name w:val="页码11"/>
    <w:uiPriority w:val="0"/>
    <w:qFormat/>
  </w:style>
  <w:style w:type="character" w:styleId="1080" w:customStyle="1">
    <w:name w:val="已访问的超链接1"/>
    <w:uiPriority w:val="0"/>
    <w:qFormat/>
    <w:rPr>
      <w:rFonts w:ascii="Tahoma" w:hAnsi="Tahoma"/>
      <w:color w:val="000000"/>
      <w:szCs w:val="24"/>
      <w:u w:val="none"/>
    </w:rPr>
  </w:style>
  <w:style w:type="character" w:styleId="1081" w:customStyle="1">
    <w:name w:val="强调1"/>
    <w:uiPriority w:val="0"/>
    <w:qFormat/>
    <w:rPr>
      <w:rFonts w:ascii="Tahoma" w:hAnsi="Tahoma"/>
      <w:szCs w:val="24"/>
    </w:rPr>
  </w:style>
  <w:style w:type="character" w:styleId="1082" w:customStyle="1">
    <w:name w:val="HTML 打字机11"/>
    <w:uiPriority w:val="0"/>
    <w:qFormat/>
    <w:rPr>
      <w:rFonts w:ascii="宋体" w:hAnsi="宋体" w:eastAsia="宋体" w:cs="宋体"/>
      <w:sz w:val="24"/>
      <w:szCs w:val="24"/>
    </w:rPr>
  </w:style>
  <w:style w:type="character" w:styleId="1083" w:customStyle="1">
    <w:name w:val="超链接11"/>
    <w:uiPriority w:val="0"/>
    <w:qFormat/>
    <w:rPr>
      <w:rFonts w:ascii="Tahoma" w:hAnsi="Tahoma"/>
      <w:color w:val="000000"/>
      <w:szCs w:val="24"/>
      <w:u w:val="none"/>
    </w:rPr>
  </w:style>
  <w:style w:type="character" w:styleId="1084" w:customStyle="1">
    <w:name w:val="HTML 代码1"/>
    <w:uiPriority w:val="0"/>
    <w:qFormat/>
    <w:rPr>
      <w:rFonts w:ascii="Courier New" w:hAnsi="Courier New"/>
      <w:sz w:val="20"/>
      <w:szCs w:val="24"/>
    </w:rPr>
  </w:style>
  <w:style w:type="character" w:styleId="1085" w:customStyle="1">
    <w:name w:val="批注引用1"/>
    <w:uiPriority w:val="0"/>
    <w:semiHidden/>
    <w:qFormat/>
    <w:rPr>
      <w:rFonts w:ascii="Tahoma" w:hAnsi="Tahoma"/>
      <w:sz w:val="21"/>
      <w:szCs w:val="21"/>
    </w:rPr>
  </w:style>
  <w:style w:type="paragraph" w:styleId="1086">
    <w:name w:val="Intense Quote"/>
    <w:basedOn w:val="827"/>
    <w:next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7" w:customStyle="1">
    <w:name w:val="font01"/>
    <w:basedOn w:val="1088"/>
    <w:uiPriority w:val="0"/>
    <w:qFormat/>
    <w:rPr>
      <w:rFonts w:hint="eastAsia" w:ascii="幼圆" w:hAnsi="幼圆" w:eastAsia="幼圆" w:cs="幼圆"/>
      <w:color w:val="000000"/>
      <w:sz w:val="24"/>
      <w:szCs w:val="24"/>
      <w:u w:val="none"/>
    </w:rPr>
  </w:style>
  <w:style w:type="character" w:styleId="1088" w:customStyle="1">
    <w:name w:val="默认段落字体11"/>
    <w:uiPriority w:val="0"/>
    <w:qFormat/>
    <w:rPr>
      <w:sz w:val="24"/>
    </w:rPr>
  </w:style>
  <w:style w:type="paragraph" w:styleId="1089" w:customStyle="1">
    <w:name w:val="正文缩进1"/>
    <w:basedOn w:val="827"/>
    <w:uiPriority w:val="0"/>
    <w:unhideWhenUsed/>
    <w:qFormat/>
    <w:pPr>
      <w:ind w:firstLine="420"/>
    </w:pPr>
  </w:style>
  <w:style w:type="paragraph" w:styleId="1090" w:customStyle="1">
    <w:name w:val="样式 表格正文 + 两端对齐"/>
    <w:basedOn w:val="827"/>
    <w:next w:val="1091"/>
    <w:uiPriority w:val="99"/>
    <w:qFormat/>
    <w:pPr>
      <w:spacing w:line="300" w:lineRule="auto"/>
    </w:pPr>
  </w:style>
  <w:style w:type="paragraph" w:styleId="1091" w:customStyle="1">
    <w:name w:val="正文1"/>
    <w:basedOn w:val="1030"/>
    <w:next w:val="827"/>
    <w:uiPriority w:val="0"/>
    <w:qFormat/>
    <w:pPr>
      <w:ind w:firstLine="540"/>
    </w:pPr>
    <w:rPr>
      <w:sz w:val="24"/>
    </w:rPr>
  </w:style>
  <w:style w:type="paragraph" w:styleId="1092"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93" w:customStyle="1">
    <w:name w:val="Fließtext"/>
    <w:basedOn w:val="827"/>
    <w:uiPriority w:val="99"/>
    <w:qFormat/>
  </w:style>
  <w:style w:type="paragraph" w:styleId="1094" w:customStyle="1">
    <w:name w:val="正文首行缩进12"/>
    <w:basedOn w:val="1095"/>
    <w:uiPriority w:val="0"/>
    <w:qFormat/>
    <w:pPr>
      <w:ind w:firstLine="241"/>
      <w:spacing w:after="120" w:line="240" w:lineRule="auto"/>
    </w:pPr>
    <w:rPr>
      <w:rFonts w:ascii="宋体" w:hAnsi="宋体" w:eastAsia="宋体"/>
      <w:b/>
      <w:sz w:val="24"/>
      <w:lang w:eastAsia="en-US"/>
    </w:rPr>
  </w:style>
  <w:style w:type="paragraph" w:styleId="1095" w:customStyle="1">
    <w:name w:val="正文文本121"/>
    <w:basedOn w:val="827"/>
    <w:next w:val="827"/>
    <w:uiPriority w:val="0"/>
    <w:qFormat/>
    <w:pPr>
      <w:spacing w:line="360" w:lineRule="auto"/>
    </w:pPr>
    <w:rPr>
      <w:rFonts w:ascii="楷体_GB2312" w:eastAsia="楷体_GB2312"/>
      <w:bCs/>
      <w:sz w:val="28"/>
    </w:rPr>
  </w:style>
  <w:style w:type="paragraph" w:styleId="1096">
    <w:name w:val="List Paragraph"/>
    <w:basedOn w:val="827"/>
    <w:uiPriority w:val="0"/>
    <w:qFormat/>
    <w:pPr>
      <w:ind w:firstLine="420"/>
    </w:pPr>
  </w:style>
  <w:style w:type="paragraph" w:styleId="1097" w:customStyle="1">
    <w:name w:val="索引 41"/>
    <w:basedOn w:val="827"/>
    <w:next w:val="827"/>
    <w:uiPriority w:val="99"/>
    <w:qFormat/>
    <w:pPr>
      <w:ind w:left="600"/>
    </w:pPr>
    <w:rPr>
      <w:szCs w:val="24"/>
    </w:rPr>
  </w:style>
  <w:style w:type="character" w:styleId="1098" w:customStyle="1">
    <w:name w:val="页码1"/>
    <w:uiPriority w:val="0"/>
    <w:qFormat/>
    <w:rPr>
      <w:rFonts w:cs="Times New Roman"/>
    </w:rPr>
  </w:style>
  <w:style w:type="paragraph" w:styleId="1099" w:customStyle="1">
    <w:name w:val="_Style 1"/>
    <w:basedOn w:val="827"/>
    <w:uiPriority w:val="0"/>
    <w:qFormat/>
    <w:pPr>
      <w:ind w:firstLine="420"/>
      <w:spacing w:line="360" w:lineRule="auto"/>
    </w:pPr>
    <w:rPr>
      <w:sz w:val="24"/>
    </w:rPr>
  </w:style>
  <w:style w:type="character" w:styleId="1100" w:customStyle="1">
    <w:name w:val="文档-正文 Char"/>
    <w:link w:val="1101"/>
    <w:uiPriority w:val="0"/>
    <w:qFormat/>
    <w:rPr>
      <w:rFonts w:ascii="Arial" w:hAnsi="Arial" w:eastAsia="宋体" w:cs="Arial"/>
      <w:sz w:val="24"/>
      <w:szCs w:val="24"/>
      <w:lang w:val="en-US" w:eastAsia="zh-CN" w:bidi="ar-SA"/>
    </w:rPr>
  </w:style>
  <w:style w:type="paragraph" w:styleId="1101" w:customStyle="1">
    <w:name w:val="文档-正文"/>
    <w:basedOn w:val="827"/>
    <w:link w:val="1100"/>
    <w:uiPriority w:val="0"/>
    <w:qFormat/>
    <w:pPr>
      <w:ind w:firstLine="200"/>
      <w:spacing w:line="360" w:lineRule="auto"/>
    </w:pPr>
    <w:rPr>
      <w:rFonts w:ascii="Arial" w:hAnsi="Arial" w:cs="Arial"/>
      <w:sz w:val="24"/>
      <w:szCs w:val="24"/>
    </w:rPr>
  </w:style>
  <w:style w:type="character" w:styleId="1102" w:customStyle="1">
    <w:name w:val="标2 Char"/>
    <w:link w:val="1103"/>
    <w:uiPriority w:val="0"/>
    <w:qFormat/>
    <w:rPr>
      <w:rFonts w:ascii="Arial Narrow" w:hAnsi="Arial Narrow" w:eastAsia="仿宋"/>
      <w:b/>
      <w:sz w:val="21"/>
      <w:szCs w:val="21"/>
    </w:rPr>
  </w:style>
  <w:style w:type="paragraph" w:styleId="1103" w:customStyle="1">
    <w:name w:val="标2"/>
    <w:basedOn w:val="827"/>
    <w:link w:val="1102"/>
    <w:uiPriority w:val="0"/>
    <w:qFormat/>
    <w:pPr>
      <w:numPr>
        <w:ilvl w:val="1"/>
        <w:numId w:val="5"/>
      </w:numPr>
      <w:spacing w:after="100" w:afterAutospacing="1" w:line="240" w:lineRule="exact"/>
      <w:outlineLvl w:val="1"/>
    </w:pPr>
    <w:rPr>
      <w:rFonts w:ascii="Arial Narrow" w:hAnsi="Arial Narrow" w:eastAsia="仿宋"/>
      <w:b/>
      <w:szCs w:val="21"/>
    </w:rPr>
  </w:style>
  <w:style w:type="character" w:styleId="1104" w:customStyle="1">
    <w:name w:val="标题 8 Char"/>
    <w:uiPriority w:val="0"/>
    <w:qFormat/>
    <w:rPr>
      <w:rFonts w:ascii="Arial" w:hAnsi="Arial" w:eastAsia="黑体"/>
      <w:sz w:val="24"/>
      <w:szCs w:val="24"/>
    </w:rPr>
  </w:style>
  <w:style w:type="character" w:styleId="1105" w:customStyle="1">
    <w:name w:val="b"/>
    <w:uiPriority w:val="0"/>
    <w:qFormat/>
  </w:style>
  <w:style w:type="character" w:styleId="1106" w:customStyle="1">
    <w:name w:val="font41"/>
    <w:uiPriority w:val="0"/>
    <w:qFormat/>
    <w:rPr>
      <w:rFonts w:hint="eastAsia" w:ascii="宋体" w:hAnsi="宋体" w:eastAsia="宋体"/>
      <w:color w:val="ff0000"/>
      <w:sz w:val="22"/>
      <w:szCs w:val="22"/>
      <w:u w:val="none"/>
    </w:rPr>
  </w:style>
  <w:style w:type="character" w:styleId="1107" w:customStyle="1">
    <w:name w:val="tit12"/>
    <w:uiPriority w:val="0"/>
    <w:qFormat/>
    <w:rPr>
      <w:rFonts w:ascii="Tahoma" w:hAnsi="Tahoma"/>
      <w:color w:val="db2200"/>
      <w:szCs w:val="24"/>
    </w:rPr>
  </w:style>
  <w:style w:type="character" w:styleId="1108" w:customStyle="1">
    <w:name w:val="font71"/>
    <w:uiPriority w:val="0"/>
    <w:qFormat/>
    <w:rPr>
      <w:rFonts w:hint="eastAsia" w:ascii="宋体" w:hAnsi="宋体" w:eastAsia="宋体"/>
      <w:color w:val="000000"/>
      <w:sz w:val="22"/>
      <w:szCs w:val="22"/>
      <w:u w:val="none"/>
    </w:rPr>
  </w:style>
  <w:style w:type="character" w:styleId="1109" w:customStyle="1">
    <w:name w:val="more6"/>
    <w:uiPriority w:val="0"/>
    <w:qFormat/>
  </w:style>
  <w:style w:type="character" w:styleId="1110" w:customStyle="1">
    <w:name w:val="case31"/>
    <w:uiPriority w:val="0"/>
    <w:qFormat/>
    <w:rPr>
      <w:sz w:val="21"/>
      <w:szCs w:val="21"/>
    </w:rPr>
  </w:style>
  <w:style w:type="character" w:styleId="1111" w:customStyle="1">
    <w:name w:val="标1 Char Char"/>
    <w:link w:val="1112"/>
    <w:uiPriority w:val="0"/>
    <w:qFormat/>
    <w:rPr>
      <w:rFonts w:ascii="Arial Narrow" w:hAnsi="Arial Narrow" w:eastAsia="仿宋"/>
      <w:b/>
      <w:spacing w:val="20"/>
      <w:sz w:val="24"/>
      <w:szCs w:val="24"/>
    </w:rPr>
  </w:style>
  <w:style w:type="paragraph" w:styleId="1112" w:customStyle="1">
    <w:name w:val="标1"/>
    <w:basedOn w:val="827"/>
    <w:link w:val="1111"/>
    <w:uiPriority w:val="0"/>
    <w:qFormat/>
    <w:pPr>
      <w:numPr>
        <w:ilvl w:val="0"/>
        <w:numId w:val="5"/>
      </w:numPr>
      <w:spacing w:before="312" w:line="360" w:lineRule="auto"/>
      <w:outlineLvl w:val="0"/>
    </w:pPr>
    <w:rPr>
      <w:rFonts w:ascii="Arial Narrow" w:hAnsi="Arial Narrow" w:eastAsia="仿宋"/>
      <w:b/>
      <w:spacing w:val="20"/>
      <w:sz w:val="24"/>
      <w:szCs w:val="24"/>
    </w:rPr>
  </w:style>
  <w:style w:type="character" w:styleId="1113" w:customStyle="1">
    <w:name w:val="font61"/>
    <w:uiPriority w:val="0"/>
    <w:qFormat/>
    <w:rPr>
      <w:rFonts w:hint="eastAsia" w:ascii="幼圆" w:hAnsi="幼圆" w:eastAsia="幼圆" w:cs="幼圆"/>
      <w:b/>
      <w:color w:val="000000"/>
      <w:sz w:val="24"/>
      <w:szCs w:val="24"/>
      <w:u w:val="none"/>
    </w:rPr>
  </w:style>
  <w:style w:type="character" w:styleId="1114" w:customStyle="1">
    <w:name w:val="bold1"/>
    <w:uiPriority w:val="0"/>
    <w:qFormat/>
    <w:rPr>
      <w:b/>
      <w:bCs/>
    </w:rPr>
  </w:style>
  <w:style w:type="character" w:styleId="1115" w:customStyle="1">
    <w:name w:val="font31"/>
    <w:basedOn w:val="1088"/>
    <w:uiPriority w:val="0"/>
    <w:qFormat/>
    <w:rPr>
      <w:sz w:val="21"/>
      <w:lang w:val="en-US" w:eastAsia="zh-CN" w:bidi="ar-SA"/>
    </w:rPr>
  </w:style>
  <w:style w:type="character" w:styleId="1116" w:customStyle="1">
    <w:name w:val="font51"/>
    <w:uiPriority w:val="0"/>
    <w:qFormat/>
    <w:rPr>
      <w:rFonts w:hint="eastAsia" w:ascii="宋体" w:hAnsi="宋体" w:eastAsia="宋体"/>
      <w:color w:val="ff0000"/>
      <w:sz w:val="24"/>
      <w:szCs w:val="24"/>
      <w:u w:val="none"/>
    </w:rPr>
  </w:style>
  <w:style w:type="character" w:styleId="1117" w:customStyle="1">
    <w:name w:val="正文文本 Char1"/>
    <w:uiPriority w:val="0"/>
    <w:qFormat/>
    <w:rPr>
      <w:rFonts w:ascii="华文中宋" w:eastAsia="华文中宋"/>
      <w:bCs/>
      <w:sz w:val="28"/>
    </w:rPr>
  </w:style>
  <w:style w:type="character" w:styleId="1118" w:customStyle="1">
    <w:name w:val="Body text|1_"/>
    <w:link w:val="1119"/>
    <w:uiPriority w:val="0"/>
    <w:qFormat/>
    <w:rPr>
      <w:rFonts w:ascii="宋体" w:hAnsi="宋体" w:cs="宋体"/>
      <w:sz w:val="30"/>
      <w:szCs w:val="30"/>
      <w:lang w:val="zh-TW" w:eastAsia="zh-TW" w:bidi="zh-TW"/>
    </w:rPr>
  </w:style>
  <w:style w:type="paragraph" w:styleId="1119" w:customStyle="1">
    <w:name w:val="Body text|1"/>
    <w:basedOn w:val="827"/>
    <w:link w:val="1118"/>
    <w:uiPriority w:val="0"/>
    <w:qFormat/>
    <w:pPr>
      <w:ind w:firstLine="400"/>
      <w:spacing w:line="401" w:lineRule="auto"/>
    </w:pPr>
    <w:rPr>
      <w:rFonts w:ascii="宋体" w:hAnsi="宋体"/>
      <w:sz w:val="30"/>
      <w:szCs w:val="30"/>
      <w:lang w:val="zh-TW" w:eastAsia="zh-TW" w:bidi="zh-TW"/>
    </w:rPr>
  </w:style>
  <w:style w:type="character" w:styleId="1120" w:customStyle="1">
    <w:name w:val="Heading #2|1_"/>
    <w:link w:val="1121"/>
    <w:uiPriority w:val="0"/>
    <w:qFormat/>
    <w:rPr>
      <w:rFonts w:ascii="宋体" w:hAnsi="宋体" w:cs="宋体"/>
      <w:sz w:val="42"/>
      <w:szCs w:val="42"/>
      <w:lang w:val="zh-TW" w:eastAsia="zh-TW" w:bidi="zh-TW"/>
    </w:rPr>
  </w:style>
  <w:style w:type="paragraph" w:styleId="1121" w:customStyle="1">
    <w:name w:val="Heading #2|1"/>
    <w:basedOn w:val="827"/>
    <w:link w:val="1120"/>
    <w:uiPriority w:val="0"/>
    <w:qFormat/>
    <w:pPr>
      <w:ind w:firstLine="310"/>
      <w:jc w:val="center"/>
      <w:spacing w:after="720" w:line="648" w:lineRule="exact"/>
      <w:outlineLvl w:val="1"/>
    </w:pPr>
    <w:rPr>
      <w:rFonts w:ascii="宋体" w:hAnsi="宋体"/>
      <w:sz w:val="42"/>
      <w:szCs w:val="42"/>
      <w:lang w:val="zh-TW" w:eastAsia="zh-TW" w:bidi="zh-TW"/>
    </w:rPr>
  </w:style>
  <w:style w:type="paragraph" w:styleId="1122" w:customStyle="1">
    <w:name w:val="xl31"/>
    <w:basedOn w:val="82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1123" w:customStyle="1">
    <w:name w:val="xl50"/>
    <w:basedOn w:val="827"/>
    <w:uiPriority w:val="0"/>
    <w:qFormat/>
    <w:pPr>
      <w:jc w:val="center"/>
      <w:spacing w:before="100" w:beforeAutospacing="1" w:after="100" w:afterAutospacing="1"/>
      <w:pBdr>
        <w:left w:val="single" w:color="000000" w:sz="4" w:space="0"/>
        <w:bottom w:val="single" w:color="000000" w:sz="4" w:space="0"/>
        <w:right w:val="single" w:color="000000" w:sz="4" w:space="0"/>
      </w:pBdr>
    </w:pPr>
    <w:rPr>
      <w:b/>
      <w:bCs/>
      <w:sz w:val="20"/>
    </w:rPr>
  </w:style>
  <w:style w:type="paragraph" w:styleId="1124" w:customStyle="1">
    <w:name w:val="xl35"/>
    <w:basedOn w:val="8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25" w:customStyle="1">
    <w:name w:val="xl51"/>
    <w:basedOn w:val="827"/>
    <w:uiPriority w:val="0"/>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rPr>
  </w:style>
  <w:style w:type="paragraph" w:styleId="1126" w:customStyle="1">
    <w:name w:val="xl49"/>
    <w:basedOn w:val="827"/>
    <w:uiPriority w:val="0"/>
    <w:qFormat/>
    <w:pPr>
      <w:jc w:val="center"/>
      <w:spacing w:before="100" w:beforeAutospacing="1" w:after="100" w:afterAutospacing="1"/>
      <w:pBdr>
        <w:left w:val="single" w:color="000000" w:sz="4" w:space="0"/>
        <w:right w:val="single" w:color="000000" w:sz="4" w:space="0"/>
      </w:pBdr>
    </w:pPr>
    <w:rPr>
      <w:b/>
      <w:bCs/>
      <w:sz w:val="20"/>
    </w:rPr>
  </w:style>
  <w:style w:type="paragraph" w:styleId="1127" w:customStyle="1">
    <w:name w:val="xl30"/>
    <w:basedOn w:val="82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rPr>
  </w:style>
  <w:style w:type="paragraph" w:styleId="1128" w:customStyle="1">
    <w:name w:val="font7"/>
    <w:basedOn w:val="827"/>
    <w:uiPriority w:val="0"/>
    <w:qFormat/>
    <w:pPr>
      <w:spacing w:before="100" w:beforeAutospacing="1" w:after="100" w:afterAutospacing="1"/>
    </w:pPr>
    <w:rPr>
      <w:b/>
      <w:bCs/>
      <w:i/>
      <w:iCs/>
      <w:sz w:val="20"/>
    </w:rPr>
  </w:style>
  <w:style w:type="paragraph" w:styleId="1129" w:customStyle="1">
    <w:name w:val="p0"/>
    <w:basedOn w:val="827"/>
    <w:uiPriority w:val="0"/>
    <w:qFormat/>
    <w:pPr>
      <w:spacing w:line="276" w:lineRule="auto"/>
    </w:pPr>
  </w:style>
  <w:style w:type="paragraph" w:styleId="1130" w:customStyle="1">
    <w:name w:val="xl67"/>
    <w:basedOn w:val="8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rPr>
  </w:style>
  <w:style w:type="paragraph" w:styleId="1131" w:customStyle="1">
    <w:name w:val="标3"/>
    <w:basedOn w:val="827"/>
    <w:uiPriority w:val="0"/>
    <w:qFormat/>
    <w:pPr>
      <w:numPr>
        <w:ilvl w:val="2"/>
        <w:numId w:val="6"/>
      </w:numPr>
      <w:spacing w:before="50"/>
      <w:tabs>
        <w:tab w:val="left" w:pos="1740" w:leader="none"/>
      </w:tabs>
      <w:outlineLvl w:val="2"/>
    </w:pPr>
    <w:rPr>
      <w:rFonts w:ascii="Arial Narrow" w:hAnsi="Arial Narrow" w:eastAsia="仿宋_GB2312"/>
      <w:sz w:val="28"/>
    </w:rPr>
  </w:style>
  <w:style w:type="paragraph" w:styleId="1132" w:customStyle="1">
    <w:name w:val="font10"/>
    <w:basedOn w:val="827"/>
    <w:uiPriority w:val="0"/>
    <w:qFormat/>
    <w:pPr>
      <w:spacing w:before="100" w:beforeAutospacing="1" w:after="100" w:afterAutospacing="1"/>
    </w:pPr>
    <w:rPr>
      <w:rFonts w:hint="eastAsia" w:ascii="楷体_GB2312" w:hAnsi="宋体" w:eastAsia="楷体_GB2312"/>
      <w:b/>
      <w:bCs/>
      <w:sz w:val="18"/>
      <w:szCs w:val="18"/>
    </w:rPr>
  </w:style>
  <w:style w:type="paragraph" w:styleId="1133" w:customStyle="1">
    <w:name w:val="xl45"/>
    <w:basedOn w:val="827"/>
    <w:uiPriority w:val="0"/>
    <w:qFormat/>
    <w:pPr>
      <w:jc w:val="center"/>
      <w:spacing w:before="100" w:beforeAutospacing="1" w:after="100" w:afterAutospacing="1"/>
      <w:pBdr>
        <w:left w:val="single" w:color="000000" w:sz="4" w:space="0"/>
        <w:right w:val="single" w:color="000000" w:sz="4" w:space="0"/>
      </w:pBdr>
    </w:pPr>
    <w:rPr>
      <w:rFonts w:ascii="宋体" w:hAnsi="宋体"/>
      <w:b/>
      <w:bCs/>
      <w:sz w:val="20"/>
    </w:rPr>
  </w:style>
  <w:style w:type="paragraph" w:styleId="1134" w:customStyle="1">
    <w:name w:val="Char"/>
    <w:basedOn w:val="827"/>
    <w:uiPriority w:val="0"/>
    <w:qFormat/>
    <w:rPr>
      <w:rFonts w:ascii="Tahoma" w:hAnsi="Tahoma"/>
      <w:sz w:val="24"/>
    </w:rPr>
  </w:style>
  <w:style w:type="paragraph" w:styleId="1135" w:customStyle="1">
    <w:name w:val="xl39"/>
    <w:basedOn w:val="8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36" w:customStyle="1">
    <w:name w:val="Char Char Char Char"/>
    <w:basedOn w:val="1030"/>
    <w:uiPriority w:val="0"/>
    <w:qFormat/>
    <w:pPr>
      <w:spacing w:line="360" w:lineRule="auto"/>
    </w:pPr>
    <w:rPr>
      <w:rFonts w:ascii="Tahoma" w:hAnsi="Tahoma"/>
      <w:sz w:val="24"/>
      <w:szCs w:val="24"/>
    </w:rPr>
  </w:style>
  <w:style w:type="paragraph" w:styleId="1137" w:customStyle="1">
    <w:name w:val="xl62"/>
    <w:basedOn w:val="827"/>
    <w:uiPriority w:val="0"/>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rPr>
  </w:style>
  <w:style w:type="paragraph" w:styleId="1138" w:customStyle="1">
    <w:name w:val="文档-标题2"/>
    <w:basedOn w:val="827"/>
    <w:next w:val="827"/>
    <w:uiPriority w:val="0"/>
    <w:qFormat/>
    <w:pPr>
      <w:numPr>
        <w:ilvl w:val="1"/>
        <w:numId w:val="7"/>
      </w:numPr>
      <w:keepLines/>
      <w:keepNext/>
      <w:spacing w:before="260" w:after="260" w:line="416" w:lineRule="auto"/>
      <w:outlineLvl w:val="1"/>
    </w:pPr>
    <w:rPr>
      <w:rFonts w:ascii="Cambria" w:hAnsi="Cambria"/>
      <w:b/>
      <w:bCs/>
      <w:color w:val="7030a0"/>
      <w:sz w:val="32"/>
      <w:szCs w:val="32"/>
    </w:rPr>
  </w:style>
  <w:style w:type="paragraph" w:styleId="1139" w:customStyle="1">
    <w:name w:val="xl46"/>
    <w:basedOn w:val="827"/>
    <w:uiPriority w:val="0"/>
    <w:qFormat/>
    <w:pPr>
      <w:jc w:val="center"/>
      <w:spacing w:before="100" w:beforeAutospacing="1" w:after="100" w:afterAutospacing="1"/>
      <w:pBdr>
        <w:left w:val="single" w:color="000000" w:sz="4" w:space="0"/>
        <w:right w:val="single" w:color="000000" w:sz="4" w:space="0"/>
      </w:pBdr>
    </w:pPr>
    <w:rPr>
      <w:rFonts w:ascii="宋体" w:hAnsi="宋体"/>
      <w:sz w:val="24"/>
      <w:szCs w:val="24"/>
    </w:rPr>
  </w:style>
  <w:style w:type="paragraph" w:styleId="1140" w:customStyle="1">
    <w:name w:val="xl57"/>
    <w:basedOn w:val="827"/>
    <w:uiPriority w:val="0"/>
    <w:qFormat/>
    <w:pPr>
      <w:jc w:val="center"/>
      <w:spacing w:before="100" w:beforeAutospacing="1" w:after="100" w:afterAutospacing="1"/>
      <w:pBdr>
        <w:top w:val="single" w:color="000000" w:sz="4" w:space="0"/>
        <w:left w:val="single" w:color="000000" w:sz="4" w:space="0"/>
        <w:right w:val="single" w:color="000000" w:sz="4" w:space="0"/>
      </w:pBdr>
    </w:pPr>
    <w:rPr>
      <w:b/>
      <w:bCs/>
      <w:i/>
      <w:iCs/>
      <w:sz w:val="20"/>
    </w:rPr>
  </w:style>
  <w:style w:type="paragraph" w:styleId="1141" w:customStyle="1">
    <w:name w:val="xl33"/>
    <w:basedOn w:val="82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42" w:customStyle="1">
    <w:name w:val="xl34"/>
    <w:basedOn w:val="8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rPr>
  </w:style>
  <w:style w:type="paragraph" w:styleId="1143" w:customStyle="1">
    <w:name w:val="xl60"/>
    <w:basedOn w:val="827"/>
    <w:uiPriority w:val="0"/>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rPr>
  </w:style>
  <w:style w:type="paragraph" w:styleId="1144" w:customStyle="1">
    <w:name w:val="xl55"/>
    <w:basedOn w:val="827"/>
    <w:uiPriority w:val="0"/>
    <w:qFormat/>
    <w:pPr>
      <w:jc w:val="center"/>
      <w:spacing w:before="100" w:beforeAutospacing="1" w:after="100" w:afterAutospacing="1"/>
      <w:shd w:val="clear" w:color="auto" w:fill="969696"/>
      <w:pBdr>
        <w:top w:val="single" w:color="000000" w:sz="4" w:space="0"/>
        <w:bottom w:val="single" w:color="000000" w:sz="4" w:space="0"/>
      </w:pBdr>
    </w:pPr>
    <w:rPr>
      <w:b/>
      <w:bCs/>
      <w:sz w:val="20"/>
    </w:rPr>
  </w:style>
  <w:style w:type="paragraph" w:styleId="1145" w:customStyle="1">
    <w:name w:val="font13"/>
    <w:basedOn w:val="827"/>
    <w:uiPriority w:val="0"/>
    <w:qFormat/>
    <w:pPr>
      <w:spacing w:before="100" w:beforeAutospacing="1" w:after="100" w:afterAutospacing="1"/>
    </w:pPr>
    <w:rPr>
      <w:i/>
      <w:iCs/>
      <w:sz w:val="36"/>
      <w:szCs w:val="36"/>
    </w:rPr>
  </w:style>
  <w:style w:type="paragraph" w:styleId="1146" w:customStyle="1">
    <w:name w:val="彩色列表 - 强调文字颜色 11"/>
    <w:basedOn w:val="827"/>
    <w:uiPriority w:val="34"/>
    <w:qFormat/>
    <w:pPr>
      <w:ind w:firstLine="420"/>
    </w:pPr>
    <w:rPr>
      <w:rFonts w:cs="Times New Roman"/>
    </w:rPr>
  </w:style>
  <w:style w:type="paragraph" w:styleId="1147" w:customStyle="1">
    <w:name w:val="xl24"/>
    <w:basedOn w:val="82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48" w:customStyle="1">
    <w:name w:val="xl25"/>
    <w:basedOn w:val="8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rPr>
  </w:style>
  <w:style w:type="paragraph" w:styleId="1149" w:customStyle="1">
    <w:name w:val="样式 小四 段前: 5 磅 段后: 5 磅 首行缩进:  2 字符"/>
    <w:basedOn w:val="827"/>
    <w:uiPriority w:val="0"/>
    <w:qFormat/>
    <w:pPr>
      <w:spacing w:line="360" w:lineRule="auto"/>
    </w:pPr>
    <w:rPr>
      <w:rFonts w:ascii="宋体" w:hAnsi="宋体"/>
      <w:szCs w:val="21"/>
    </w:rPr>
  </w:style>
  <w:style w:type="paragraph" w:styleId="1150" w:customStyle="1">
    <w:name w:val="font6"/>
    <w:basedOn w:val="827"/>
    <w:uiPriority w:val="0"/>
    <w:qFormat/>
    <w:pPr>
      <w:spacing w:before="100" w:beforeAutospacing="1" w:after="100" w:afterAutospacing="1"/>
    </w:pPr>
    <w:rPr>
      <w:rFonts w:hint="eastAsia" w:ascii="宋体" w:hAnsi="宋体"/>
      <w:b/>
      <w:bCs/>
      <w:sz w:val="20"/>
    </w:rPr>
  </w:style>
  <w:style w:type="paragraph" w:styleId="1151" w:customStyle="1">
    <w:name w:val="xl27"/>
    <w:basedOn w:val="82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rPr>
  </w:style>
  <w:style w:type="paragraph" w:styleId="1152" w:customStyle="1">
    <w:name w:val="xl37"/>
    <w:basedOn w:val="8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53" w:customStyle="1">
    <w:name w:val="xl48"/>
    <w:basedOn w:val="827"/>
    <w:uiPriority w:val="0"/>
    <w:qFormat/>
    <w:pPr>
      <w:jc w:val="center"/>
      <w:spacing w:before="100" w:beforeAutospacing="1" w:after="100" w:afterAutospacing="1"/>
      <w:pBdr>
        <w:top w:val="single" w:color="000000" w:sz="4" w:space="0"/>
        <w:left w:val="single" w:color="000000" w:sz="4" w:space="0"/>
        <w:right w:val="single" w:color="000000" w:sz="4" w:space="0"/>
      </w:pBdr>
    </w:pPr>
    <w:rPr>
      <w:b/>
      <w:bCs/>
      <w:sz w:val="20"/>
    </w:rPr>
  </w:style>
  <w:style w:type="paragraph" w:styleId="1154" w:customStyle="1">
    <w:name w:val="普通文字"/>
    <w:basedOn w:val="827"/>
    <w:next w:val="827"/>
    <w:uiPriority w:val="0"/>
    <w:qFormat/>
    <w:rPr>
      <w:rFonts w:ascii="宋体"/>
      <w:sz w:val="24"/>
    </w:rPr>
  </w:style>
  <w:style w:type="paragraph" w:styleId="1155" w:customStyle="1">
    <w:name w:val="文档-标题3"/>
    <w:basedOn w:val="827"/>
    <w:next w:val="827"/>
    <w:uiPriority w:val="0"/>
    <w:qFormat/>
    <w:pPr>
      <w:numPr>
        <w:ilvl w:val="3"/>
        <w:numId w:val="7"/>
      </w:numPr>
      <w:keepLines/>
      <w:keepNext/>
      <w:spacing w:before="260" w:after="260" w:line="416" w:lineRule="auto"/>
      <w:outlineLvl w:val="2"/>
    </w:pPr>
    <w:rPr>
      <w:b/>
      <w:bCs/>
      <w:color w:val="7030a0"/>
      <w:sz w:val="32"/>
      <w:szCs w:val="32"/>
    </w:rPr>
  </w:style>
  <w:style w:type="paragraph" w:styleId="1156" w:customStyle="1">
    <w:name w:val="xl40"/>
    <w:basedOn w:val="8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rPr>
  </w:style>
  <w:style w:type="paragraph" w:styleId="1157" w:customStyle="1">
    <w:name w:val="font11"/>
    <w:basedOn w:val="827"/>
    <w:uiPriority w:val="0"/>
    <w:qFormat/>
    <w:pPr>
      <w:spacing w:before="100" w:beforeAutospacing="1" w:after="100" w:afterAutospacing="1"/>
    </w:pPr>
    <w:rPr>
      <w:b/>
      <w:bCs/>
      <w:sz w:val="18"/>
      <w:szCs w:val="18"/>
    </w:rPr>
  </w:style>
  <w:style w:type="paragraph" w:styleId="1158" w:customStyle="1">
    <w:name w:val="默认段落字体 Para Char"/>
    <w:basedOn w:val="827"/>
    <w:uiPriority w:val="0"/>
    <w:qFormat/>
    <w:pPr>
      <w:numPr>
        <w:ilvl w:val="0"/>
        <w:numId w:val="8"/>
      </w:numPr>
    </w:pPr>
    <w:rPr>
      <w:sz w:val="24"/>
      <w:szCs w:val="24"/>
    </w:rPr>
  </w:style>
  <w:style w:type="paragraph" w:styleId="1159" w:customStyle="1">
    <w:name w:val="xl44"/>
    <w:basedOn w:val="827"/>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b/>
      <w:bCs/>
      <w:sz w:val="20"/>
    </w:rPr>
  </w:style>
  <w:style w:type="paragraph" w:styleId="1160" w:customStyle="1">
    <w:name w:val="xl58"/>
    <w:basedOn w:val="827"/>
    <w:uiPriority w:val="0"/>
    <w:qFormat/>
    <w:pPr>
      <w:jc w:val="center"/>
      <w:spacing w:before="100" w:beforeAutospacing="1" w:after="100" w:afterAutospacing="1"/>
      <w:pBdr>
        <w:left w:val="single" w:color="000000" w:sz="4" w:space="0"/>
        <w:right w:val="single" w:color="000000" w:sz="4" w:space="0"/>
      </w:pBdr>
    </w:pPr>
    <w:rPr>
      <w:b/>
      <w:bCs/>
      <w:i/>
      <w:iCs/>
      <w:sz w:val="20"/>
    </w:rPr>
  </w:style>
  <w:style w:type="paragraph" w:styleId="1161" w:customStyle="1">
    <w:name w:val="font9"/>
    <w:basedOn w:val="827"/>
    <w:uiPriority w:val="0"/>
    <w:qFormat/>
    <w:pPr>
      <w:spacing w:before="100" w:beforeAutospacing="1" w:after="100" w:afterAutospacing="1"/>
    </w:pPr>
    <w:rPr>
      <w:b/>
      <w:bCs/>
      <w:sz w:val="20"/>
    </w:rPr>
  </w:style>
  <w:style w:type="paragraph" w:styleId="1162" w:customStyle="1">
    <w:name w:val="xl59"/>
    <w:basedOn w:val="827"/>
    <w:uiPriority w:val="0"/>
    <w:qFormat/>
    <w:pPr>
      <w:jc w:val="center"/>
      <w:spacing w:before="100" w:beforeAutospacing="1" w:after="100" w:afterAutospacing="1"/>
      <w:pBdr>
        <w:left w:val="single" w:color="000000" w:sz="4" w:space="0"/>
        <w:bottom w:val="single" w:color="000000" w:sz="4" w:space="0"/>
        <w:right w:val="single" w:color="000000" w:sz="4" w:space="0"/>
      </w:pBdr>
    </w:pPr>
    <w:rPr>
      <w:b/>
      <w:bCs/>
      <w:i/>
      <w:iCs/>
      <w:sz w:val="20"/>
    </w:rPr>
  </w:style>
  <w:style w:type="paragraph" w:styleId="1163" w:customStyle="1">
    <w:name w:val="xl47"/>
    <w:basedOn w:val="827"/>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1164" w:customStyle="1">
    <w:name w:val="font5"/>
    <w:basedOn w:val="827"/>
    <w:uiPriority w:val="0"/>
    <w:qFormat/>
    <w:pPr>
      <w:spacing w:before="100" w:beforeAutospacing="1" w:after="100" w:afterAutospacing="1"/>
    </w:pPr>
    <w:rPr>
      <w:rFonts w:hint="eastAsia" w:ascii="宋体" w:hAnsi="宋体"/>
      <w:sz w:val="18"/>
      <w:szCs w:val="18"/>
    </w:rPr>
  </w:style>
  <w:style w:type="paragraph" w:styleId="1165" w:customStyle="1">
    <w:name w:val="xl26"/>
    <w:basedOn w:val="82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rPr>
  </w:style>
  <w:style w:type="paragraph" w:styleId="1166" w:customStyle="1">
    <w:name w:val="xl53"/>
    <w:basedOn w:val="827"/>
    <w:uiPriority w:val="0"/>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rPr>
  </w:style>
  <w:style w:type="paragraph" w:styleId="1167" w:customStyle="1">
    <w:name w:val="xl36"/>
    <w:basedOn w:val="8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68" w:customStyle="1">
    <w:name w:val="xl41"/>
    <w:basedOn w:val="8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69" w:customStyle="1">
    <w:name w:val="xl61"/>
    <w:basedOn w:val="827"/>
    <w:uiPriority w:val="0"/>
    <w:qFormat/>
    <w:pPr>
      <w:jc w:val="center"/>
      <w:spacing w:before="100" w:beforeAutospacing="1" w:after="100" w:afterAutospacing="1"/>
      <w:shd w:val="clear" w:color="auto" w:fill="969696"/>
      <w:pBdr>
        <w:top w:val="single" w:color="000000" w:sz="4" w:space="0"/>
        <w:bottom w:val="single" w:color="000000" w:sz="4" w:space="0"/>
      </w:pBdr>
    </w:pPr>
    <w:rPr>
      <w:b/>
      <w:bCs/>
      <w:i/>
      <w:iCs/>
      <w:sz w:val="20"/>
    </w:rPr>
  </w:style>
  <w:style w:type="paragraph" w:styleId="1170" w:customStyle="1">
    <w:name w:val="xl54"/>
    <w:basedOn w:val="827"/>
    <w:uiPriority w:val="0"/>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rFonts w:ascii="宋体" w:hAnsi="宋体"/>
      <w:b/>
      <w:bCs/>
      <w:sz w:val="20"/>
    </w:rPr>
  </w:style>
  <w:style w:type="paragraph" w:styleId="1171" w:customStyle="1">
    <w:name w:val="Char Char Char Char Char Char Char Char Char Char Char Char Char Char Char Char"/>
    <w:basedOn w:val="827"/>
    <w:uiPriority w:val="0"/>
    <w:qFormat/>
    <w:rPr>
      <w:rFonts w:ascii="Tahoma" w:hAnsi="Tahoma"/>
      <w:szCs w:val="24"/>
    </w:rPr>
  </w:style>
  <w:style w:type="paragraph" w:styleId="1172" w:customStyle="1">
    <w:name w:val="xl42"/>
    <w:basedOn w:val="82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73" w:customStyle="1">
    <w:name w:val="xl29"/>
    <w:basedOn w:val="82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rPr>
  </w:style>
  <w:style w:type="paragraph" w:styleId="1174" w:customStyle="1">
    <w:name w:val="font12"/>
    <w:basedOn w:val="827"/>
    <w:uiPriority w:val="0"/>
    <w:qFormat/>
    <w:pPr>
      <w:spacing w:before="100" w:beforeAutospacing="1" w:after="100" w:afterAutospacing="1"/>
    </w:pPr>
    <w:rPr>
      <w:rFonts w:hint="eastAsia" w:ascii="宋体" w:hAnsi="宋体"/>
      <w:sz w:val="36"/>
      <w:szCs w:val="36"/>
    </w:rPr>
  </w:style>
  <w:style w:type="paragraph" w:styleId="1175" w:customStyle="1">
    <w:name w:val="xl38"/>
    <w:basedOn w:val="8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76" w:customStyle="1">
    <w:name w:val="xl56"/>
    <w:basedOn w:val="827"/>
    <w:uiPriority w:val="0"/>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sz w:val="20"/>
    </w:rPr>
  </w:style>
  <w:style w:type="paragraph" w:styleId="1177" w:customStyle="1">
    <w:name w:val="font14"/>
    <w:basedOn w:val="827"/>
    <w:uiPriority w:val="0"/>
    <w:qFormat/>
    <w:pPr>
      <w:spacing w:before="100" w:beforeAutospacing="1" w:after="100" w:afterAutospacing="1"/>
    </w:pPr>
    <w:rPr>
      <w:sz w:val="36"/>
      <w:szCs w:val="36"/>
    </w:rPr>
  </w:style>
  <w:style w:type="paragraph" w:styleId="1178" w:customStyle="1">
    <w:name w:val="xl32"/>
    <w:basedOn w:val="8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rPr>
  </w:style>
  <w:style w:type="paragraph" w:styleId="1179" w:customStyle="1">
    <w:name w:val="xl28"/>
    <w:basedOn w:val="82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rPr>
  </w:style>
  <w:style w:type="paragraph" w:styleId="1180" w:customStyle="1">
    <w:name w:val="xl52"/>
    <w:basedOn w:val="827"/>
    <w:uiPriority w:val="0"/>
    <w:qFormat/>
    <w:pPr>
      <w:jc w:val="center"/>
      <w:spacing w:before="100" w:beforeAutospacing="1" w:after="100" w:afterAutospacing="1"/>
      <w:shd w:val="clear" w:color="auto" w:fill="969696"/>
      <w:pBdr>
        <w:top w:val="single" w:color="000000" w:sz="4" w:space="0"/>
        <w:bottom w:val="single" w:color="000000" w:sz="4" w:space="0"/>
      </w:pBdr>
    </w:pPr>
    <w:rPr>
      <w:b/>
      <w:bCs/>
      <w:i/>
      <w:iCs/>
      <w:sz w:val="20"/>
    </w:rPr>
  </w:style>
  <w:style w:type="paragraph" w:styleId="1181" w:customStyle="1">
    <w:name w:val="xl63"/>
    <w:basedOn w:val="827"/>
    <w:uiPriority w:val="0"/>
    <w:qFormat/>
    <w:pPr>
      <w:jc w:val="center"/>
      <w:spacing w:before="100" w:beforeAutospacing="1" w:after="100" w:afterAutospacing="1"/>
      <w:pBdr>
        <w:top w:val="single" w:color="000000" w:sz="4" w:space="0"/>
        <w:left w:val="single" w:color="000000" w:sz="4" w:space="0"/>
        <w:bottom w:val="single" w:color="000000" w:sz="4" w:space="0"/>
      </w:pBdr>
    </w:pPr>
    <w:rPr>
      <w:b/>
      <w:bCs/>
      <w:sz w:val="20"/>
    </w:rPr>
  </w:style>
  <w:style w:type="paragraph" w:styleId="1182" w:customStyle="1">
    <w:name w:val="xl43"/>
    <w:basedOn w:val="827"/>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b/>
      <w:bCs/>
      <w:sz w:val="20"/>
    </w:rPr>
  </w:style>
  <w:style w:type="paragraph" w:styleId="1183" w:customStyle="1">
    <w:name w:val="font8"/>
    <w:basedOn w:val="827"/>
    <w:uiPriority w:val="0"/>
    <w:qFormat/>
    <w:pPr>
      <w:spacing w:before="100" w:beforeAutospacing="1" w:after="100" w:afterAutospacing="1"/>
    </w:pPr>
    <w:rPr>
      <w:rFonts w:hint="eastAsia" w:ascii="宋体" w:hAnsi="宋体"/>
      <w:b/>
      <w:bCs/>
      <w:i/>
      <w:iCs/>
      <w:sz w:val="20"/>
    </w:rPr>
  </w:style>
  <w:style w:type="paragraph" w:styleId="1184" w:customStyle="1">
    <w:name w:val="默认段落字体 Para Char Char Char"/>
    <w:basedOn w:val="827"/>
    <w:uiPriority w:val="0"/>
    <w:qFormat/>
    <w:pPr>
      <w:ind w:firstLine="200"/>
      <w:spacing w:line="360" w:lineRule="auto"/>
    </w:pPr>
    <w:rPr>
      <w:sz w:val="24"/>
      <w:szCs w:val="24"/>
    </w:rPr>
  </w:style>
  <w:style w:type="paragraph" w:styleId="1185" w:customStyle="1">
    <w:name w:val="msonormal"/>
    <w:basedOn w:val="827"/>
    <w:uiPriority w:val="0"/>
    <w:qFormat/>
    <w:pPr>
      <w:spacing w:before="100" w:beforeAutospacing="1" w:after="100" w:afterAutospacing="1"/>
    </w:pPr>
    <w:rPr>
      <w:rFonts w:ascii="宋体" w:hAnsi="宋体"/>
      <w:sz w:val="24"/>
      <w:szCs w:val="24"/>
    </w:rPr>
  </w:style>
  <w:style w:type="paragraph" w:styleId="1186" w:customStyle="1">
    <w:name w:val="段"/>
    <w:basedOn w:val="827"/>
    <w:next w:val="827"/>
    <w:uiPriority w:val="0"/>
    <w:qFormat/>
    <w:pPr>
      <w:ind w:firstLine="200"/>
    </w:pPr>
    <w:rPr>
      <w:rFonts w:ascii="宋体" w:eastAsia="Times New Roman"/>
      <w:szCs w:val="21"/>
    </w:rPr>
  </w:style>
  <w:style w:type="paragraph" w:styleId="1187" w:customStyle="1">
    <w:name w:val="txt"/>
    <w:basedOn w:val="827"/>
    <w:uiPriority w:val="0"/>
    <w:qFormat/>
    <w:pPr>
      <w:spacing w:before="100" w:beforeAutospacing="1" w:after="100" w:afterAutospacing="1"/>
    </w:pPr>
    <w:rPr>
      <w:rFonts w:ascii="宋体" w:hAnsi="宋体"/>
      <w:sz w:val="34"/>
      <w:szCs w:val="34"/>
    </w:rPr>
  </w:style>
  <w:style w:type="paragraph" w:styleId="1188" w:customStyle="1">
    <w:name w:val="列出段落1"/>
    <w:basedOn w:val="827"/>
    <w:uiPriority w:val="34"/>
    <w:qFormat/>
    <w:pPr>
      <w:ind w:firstLine="420"/>
    </w:pPr>
  </w:style>
  <w:style w:type="paragraph" w:styleId="1189" w:customStyle="1">
    <w:name w:val="04-正文"/>
    <w:basedOn w:val="827"/>
    <w:uiPriority w:val="0"/>
    <w:qFormat/>
    <w:pPr>
      <w:ind w:firstLine="482"/>
      <w:spacing w:line="360" w:lineRule="auto"/>
    </w:pPr>
    <w:rPr>
      <w:rFonts w:ascii="宋体" w:hAnsi="宋体"/>
      <w:sz w:val="24"/>
      <w:szCs w:val="24"/>
    </w:rPr>
  </w:style>
  <w:style w:type="paragraph" w:styleId="1190" w:customStyle="1">
    <w:name w:val="列出段落3"/>
    <w:basedOn w:val="827"/>
    <w:uiPriority w:val="0"/>
    <w:unhideWhenUsed/>
    <w:qFormat/>
    <w:pPr>
      <w:ind w:firstLine="420"/>
    </w:pPr>
    <w:rPr>
      <w:rFonts w:cs="Times New Roman"/>
    </w:rPr>
  </w:style>
  <w:style w:type="character" w:styleId="1191" w:customStyle="1">
    <w:name w:val="font81"/>
    <w:basedOn w:val="1020"/>
    <w:uiPriority w:val="0"/>
    <w:qFormat/>
    <w:rPr>
      <w:rFonts w:ascii="Times New Roman" w:hAnsi="Times New Roman" w:cs="Times New Roman"/>
      <w:color w:val="000000"/>
      <w:sz w:val="18"/>
      <w:szCs w:val="18"/>
      <w:u w:val="none"/>
    </w:rPr>
  </w:style>
  <w:style w:type="character" w:styleId="1192" w:customStyle="1">
    <w:name w:val="font91"/>
    <w:basedOn w:val="1020"/>
    <w:uiPriority w:val="0"/>
    <w:qFormat/>
    <w:rPr>
      <w:rFonts w:hint="eastAsia" w:ascii="宋体" w:hAnsi="宋体" w:eastAsia="宋体" w:cs="宋体"/>
      <w:color w:val="33cccc"/>
      <w:sz w:val="18"/>
      <w:szCs w:val="18"/>
      <w:u w:val="none"/>
    </w:rPr>
  </w:style>
  <w:style w:type="character" w:styleId="1193" w:customStyle="1">
    <w:name w:val="font101"/>
    <w:basedOn w:val="1020"/>
    <w:uiPriority w:val="0"/>
    <w:qFormat/>
    <w:rPr>
      <w:rFonts w:ascii="Calibri" w:hAnsi="Calibri" w:cs="Calibri"/>
      <w:color w:val="000000"/>
      <w:sz w:val="18"/>
      <w:szCs w:val="18"/>
      <w:u w:val="none"/>
    </w:rPr>
  </w:style>
  <w:style w:type="character" w:styleId="1194" w:customStyle="1">
    <w:name w:val="font21"/>
    <w:basedOn w:val="1020"/>
    <w:uiPriority w:val="0"/>
    <w:qFormat/>
    <w:rPr>
      <w:rFonts w:hint="eastAsia" w:ascii="宋体" w:hAnsi="宋体" w:eastAsia="宋体" w:cs="宋体"/>
      <w:color w:val="000000"/>
      <w:sz w:val="18"/>
      <w:szCs w:val="18"/>
      <w:u w:val="none"/>
    </w:rPr>
  </w:style>
  <w:style w:type="character" w:styleId="1195" w:customStyle="1">
    <w:name w:val="HTML 打字机1"/>
    <w:uiPriority w:val="99"/>
    <w:qFormat/>
    <w:rPr>
      <w:sz w:val="21"/>
      <w:lang w:val="en-US" w:eastAsia="zh-CN" w:bidi="ar-SA"/>
    </w:rPr>
  </w:style>
  <w:style w:type="character" w:styleId="1196" w:customStyle="1">
    <w:name w:val="超链接1"/>
    <w:uiPriority w:val="0"/>
    <w:qFormat/>
    <w:rPr>
      <w:color w:val="000000"/>
      <w:u w:val="none"/>
    </w:rPr>
  </w:style>
  <w:style w:type="paragraph" w:styleId="1197" w:customStyle="1">
    <w:name w:val="标题 31"/>
    <w:basedOn w:val="827"/>
    <w:next w:val="827"/>
    <w:uiPriority w:val="0"/>
    <w:qFormat/>
    <w:pPr>
      <w:jc w:val="center"/>
      <w:keepNext/>
      <w:outlineLvl w:val="2"/>
    </w:pPr>
    <w:rPr>
      <w:rFonts w:eastAsia="楷体_GB2312"/>
      <w:b/>
      <w:bCs/>
      <w:sz w:val="15"/>
    </w:rPr>
  </w:style>
  <w:style w:type="paragraph" w:styleId="1198" w:customStyle="1">
    <w:name w:val="Table Paragraph"/>
    <w:basedOn w:val="827"/>
    <w:uiPriority w:val="0"/>
    <w:qFormat/>
    <w:rPr>
      <w:lang w:eastAsia="en-US"/>
    </w:rPr>
  </w:style>
  <w:style w:type="paragraph" w:styleId="1199" w:customStyle="1">
    <w:name w:val="List Paragraph1"/>
    <w:basedOn w:val="827"/>
    <w:uiPriority w:val="0"/>
    <w:qFormat/>
    <w:pPr>
      <w:ind w:firstLine="420"/>
    </w:pPr>
    <w:rPr>
      <w:szCs w:val="21"/>
    </w:rPr>
  </w:style>
  <w:style w:type="paragraph" w:styleId="1200" w:customStyle="1">
    <w:name w:val="页脚1"/>
    <w:basedOn w:val="827"/>
    <w:next w:val="827"/>
    <w:uiPriority w:val="0"/>
    <w:unhideWhenUsed/>
    <w:qFormat/>
    <w:pPr>
      <w:tabs>
        <w:tab w:val="center" w:pos="4153" w:leader="none"/>
        <w:tab w:val="right" w:pos="8306" w:leader="none"/>
      </w:tabs>
    </w:pPr>
    <w:rPr>
      <w:sz w:val="18"/>
      <w:szCs w:val="18"/>
    </w:rPr>
  </w:style>
  <w:style w:type="paragraph" w:styleId="1201" w:customStyle="1">
    <w:name w:val="明显引用1"/>
    <w:next w:val="827"/>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1202" w:customStyle="1">
    <w:name w:val="列出段落11"/>
    <w:basedOn w:val="827"/>
    <w:uiPriority w:val="0"/>
    <w:qFormat/>
    <w:pPr>
      <w:ind w:firstLine="420"/>
      <w:spacing w:line="240" w:lineRule="auto"/>
    </w:pPr>
    <w:rPr>
      <w:sz w:val="21"/>
    </w:rPr>
  </w:style>
  <w:style w:type="paragraph" w:styleId="1203" w:customStyle="1">
    <w:name w:val="Table Text"/>
    <w:basedOn w:val="827"/>
    <w:uiPriority w:val="0"/>
    <w:semiHidden/>
    <w:qFormat/>
    <w:rPr>
      <w:rFonts w:ascii="宋体" w:hAnsi="宋体"/>
      <w:sz w:val="24"/>
      <w:szCs w:val="24"/>
      <w:lang w:eastAsia="en-US"/>
    </w:rPr>
  </w:style>
  <w:style w:type="table" w:styleId="1204" w:customStyle="1">
    <w:name w:val="Table Normal"/>
    <w:uiPriority w:val="0"/>
    <w:unhideWhenUsed/>
    <w:qFormat/>
    <w:tblPr>
      <w:tblCellMar>
        <w:left w:w="0" w:type="dxa"/>
        <w:top w:w="0" w:type="dxa"/>
        <w:right w:w="0" w:type="dxa"/>
        <w:bottom w:w="0" w:type="dxa"/>
      </w:tblCellMar>
    </w:tblPr>
  </w:style>
  <w:style w:type="paragraph" w:styleId="1205" w:customStyle="1">
    <w:name w:val="普通(网站)1"/>
    <w:basedOn w:val="827"/>
    <w:uiPriority w:val="99"/>
    <w:qFormat/>
    <w:pPr>
      <w:spacing w:before="100" w:beforeAutospacing="1" w:after="100" w:afterAutospacing="1"/>
    </w:pPr>
    <w:rPr>
      <w:rFonts w:ascii="宋体" w:hAnsi="宋体"/>
      <w:sz w:val="24"/>
      <w:szCs w:val="24"/>
    </w:rPr>
  </w:style>
  <w:style w:type="character" w:styleId="1206" w:customStyle="1">
    <w:name w:val="NormalCharacter1"/>
    <w:link w:val="1207"/>
    <w:uiPriority w:val="99"/>
    <w:qFormat/>
  </w:style>
  <w:style w:type="paragraph" w:styleId="1207" w:customStyle="1">
    <w:name w:val="UserStyle_4"/>
    <w:basedOn w:val="827"/>
    <w:link w:val="1206"/>
    <w:uiPriority w:val="99"/>
    <w:qFormat/>
  </w:style>
  <w:style w:type="paragraph" w:styleId="1208" w:customStyle="1">
    <w:name w:val="正文文本11"/>
    <w:basedOn w:val="827"/>
    <w:next w:val="1209"/>
    <w:uiPriority w:val="0"/>
    <w:qFormat/>
    <w:rPr>
      <w:rFonts w:ascii="仿宋_GB2312" w:eastAsia="仿宋_GB2312"/>
      <w:sz w:val="28"/>
      <w:szCs w:val="20"/>
      <w:lang w:eastAsia="en-US"/>
    </w:rPr>
  </w:style>
  <w:style w:type="paragraph" w:styleId="1209" w:customStyle="1">
    <w:name w:val="列表1"/>
    <w:basedOn w:val="827"/>
    <w:uiPriority w:val="0"/>
    <w:qFormat/>
    <w:pPr>
      <w:ind w:left="420" w:hanging="420"/>
      <w:spacing w:after="20" w:line="288" w:lineRule="auto"/>
      <w:tabs>
        <w:tab w:val="left" w:pos="420" w:leader="none"/>
      </w:tabs>
    </w:pPr>
    <w:rPr>
      <w:szCs w:val="20"/>
    </w:rPr>
  </w:style>
  <w:style w:type="paragraph" w:styleId="1210" w:customStyle="1">
    <w:name w:val="正文缩进11"/>
    <w:basedOn w:val="827"/>
    <w:uiPriority w:val="0"/>
    <w:unhideWhenUsed/>
    <w:qFormat/>
    <w:pPr>
      <w:ind w:firstLine="420"/>
    </w:pPr>
    <w:rPr>
      <w:szCs w:val="24"/>
    </w:rPr>
  </w:style>
  <w:style w:type="paragraph" w:styleId="1211" w:customStyle="1">
    <w:name w:val="页眉11"/>
    <w:basedOn w:val="82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12" w:customStyle="1">
    <w:name w:val="列出段落2"/>
    <w:basedOn w:val="827"/>
    <w:uiPriority w:val="0"/>
    <w:qFormat/>
    <w:pPr>
      <w:ind w:firstLine="420"/>
    </w:pPr>
    <w:rPr>
      <w:rFonts w:cs="Calibri"/>
      <w:szCs w:val="21"/>
    </w:rPr>
  </w:style>
  <w:style w:type="paragraph" w:styleId="1213" w:customStyle="1">
    <w:name w:val="页脚12"/>
    <w:basedOn w:val="827"/>
    <w:uiPriority w:val="0"/>
    <w:qFormat/>
    <w:pPr>
      <w:tabs>
        <w:tab w:val="center" w:pos="4153" w:leader="none"/>
        <w:tab w:val="right" w:pos="8306" w:leader="none"/>
      </w:tabs>
    </w:pPr>
    <w:rPr>
      <w:sz w:val="18"/>
      <w:szCs w:val="18"/>
      <w:lang w:eastAsia="en-US"/>
    </w:rPr>
  </w:style>
  <w:style w:type="paragraph" w:styleId="1214" w:customStyle="1">
    <w:name w:val="标题 61"/>
    <w:basedOn w:val="827"/>
    <w:next w:val="827"/>
    <w:uiPriority w:val="0"/>
    <w:qFormat/>
    <w:pPr>
      <w:ind w:left="102"/>
      <w:outlineLvl w:val="5"/>
    </w:pPr>
    <w:rPr>
      <w:rFonts w:ascii="黑体" w:hAnsi="黑体" w:eastAsia="黑体"/>
      <w:sz w:val="28"/>
      <w:szCs w:val="28"/>
      <w:lang w:eastAsia="en-US"/>
    </w:rPr>
  </w:style>
  <w:style w:type="paragraph" w:styleId="1215" w:customStyle="1">
    <w:name w:val="List Paragraph2"/>
    <w:basedOn w:val="827"/>
    <w:uiPriority w:val="0"/>
    <w:qFormat/>
    <w:pPr>
      <w:ind w:firstLine="420"/>
    </w:pPr>
    <w:rPr>
      <w:szCs w:val="21"/>
    </w:rPr>
  </w:style>
  <w:style w:type="paragraph" w:styleId="1216" w:customStyle="1">
    <w:name w:val="正文首行缩进1"/>
    <w:basedOn w:val="827"/>
    <w:uiPriority w:val="0"/>
    <w:unhideWhenUsed/>
    <w:qFormat/>
    <w:pPr>
      <w:ind w:firstLine="420"/>
      <w:spacing w:after="120"/>
    </w:pPr>
    <w:rPr>
      <w:rFonts w:eastAsia="华文中宋"/>
    </w:rPr>
  </w:style>
  <w:style w:type="paragraph" w:styleId="1217" w:customStyle="1">
    <w:name w:val="正文文本缩进 31"/>
    <w:basedOn w:val="827"/>
    <w:uiPriority w:val="0"/>
    <w:qFormat/>
    <w:pPr>
      <w:ind w:firstLine="698"/>
      <w:spacing w:line="360" w:lineRule="auto"/>
    </w:pPr>
    <w:rPr>
      <w:rFonts w:ascii="仿宋_GB2312" w:eastAsia="仿宋_GB2312"/>
      <w:sz w:val="32"/>
      <w:szCs w:val="20"/>
    </w:rPr>
  </w:style>
  <w:style w:type="paragraph" w:styleId="1218" w:customStyle="1">
    <w:name w:val="标题 41"/>
    <w:basedOn w:val="827"/>
    <w:next w:val="827"/>
    <w:uiPriority w:val="0"/>
    <w:qFormat/>
    <w:pPr>
      <w:numPr>
        <w:ilvl w:val="4"/>
        <w:numId w:val="9"/>
      </w:numPr>
      <w:keepLines/>
      <w:keepNext/>
      <w:spacing w:before="280" w:after="290" w:line="376" w:lineRule="auto"/>
      <w:outlineLvl w:val="3"/>
    </w:pPr>
    <w:rPr>
      <w:rFonts w:ascii="Arial" w:hAnsi="Arial" w:eastAsia="黑体"/>
      <w:b/>
      <w:bCs/>
      <w:sz w:val="28"/>
      <w:szCs w:val="28"/>
    </w:rPr>
  </w:style>
  <w:style w:type="paragraph" w:styleId="1219" w:customStyle="1">
    <w:name w:val="01标题社坪"/>
    <w:next w:val="827"/>
    <w:uiPriority w:val="0"/>
    <w:qFormat/>
    <w:pPr>
      <w:numPr>
        <w:ilvl w:val="0"/>
        <w:numId w:val="10"/>
      </w:numPr>
      <w:pageBreakBefore/>
      <w:tabs>
        <w:tab w:val="left" w:pos="420" w:leader="none"/>
      </w:tabs>
      <w:outlineLvl w:val="0"/>
    </w:pPr>
    <w:rPr>
      <w:rFonts w:ascii="Times New Roman" w:hAnsi="Times New Roman" w:eastAsia="黑体" w:cstheme="minorBidi"/>
      <w:b/>
      <w:bCs/>
      <w:sz w:val="32"/>
      <w:szCs w:val="28"/>
      <w:lang w:val="en-US" w:eastAsia="zh-CN" w:bidi="ar-SA"/>
    </w:rPr>
  </w:style>
  <w:style w:type="paragraph" w:styleId="1220" w:customStyle="1">
    <w:name w:val="02标题社坪"/>
    <w:next w:val="827"/>
    <w:uiPriority w:val="0"/>
    <w:qFormat/>
    <w:pPr>
      <w:numPr>
        <w:ilvl w:val="1"/>
        <w:numId w:val="10"/>
      </w:numPr>
      <w:outlineLvl w:val="1"/>
    </w:pPr>
    <w:rPr>
      <w:rFonts w:ascii="Times New Roman" w:hAnsi="Times New Roman" w:eastAsia="黑体" w:cs="Times New Roman"/>
      <w:b/>
      <w:bCs/>
      <w:sz w:val="30"/>
      <w:szCs w:val="32"/>
      <w:lang w:val="en-US" w:eastAsia="zh-CN" w:bidi="ar-SA"/>
    </w:rPr>
  </w:style>
  <w:style w:type="paragraph" w:styleId="1221" w:customStyle="1">
    <w:name w:val="00正文社坪"/>
    <w:basedOn w:val="827"/>
    <w:uiPriority w:val="0"/>
    <w:qFormat/>
    <w:pPr>
      <w:ind w:firstLine="478"/>
    </w:pPr>
    <w:rPr>
      <w:spacing w:val="-1"/>
      <w:sz w:val="24"/>
    </w:rPr>
  </w:style>
  <w:style w:type="paragraph" w:styleId="1222" w:customStyle="1">
    <w:name w:val="03标题社坪"/>
    <w:next w:val="827"/>
    <w:uiPriority w:val="0"/>
    <w:qFormat/>
    <w:pPr>
      <w:numPr>
        <w:ilvl w:val="2"/>
        <w:numId w:val="10"/>
      </w:numPr>
      <w:widowControl w:val="off"/>
      <w:outlineLvl w:val="2"/>
    </w:pPr>
    <w:rPr>
      <w:rFonts w:ascii="Times New Roman" w:hAnsi="Times New Roman" w:eastAsia="宋体" w:cs="Times New Roman"/>
      <w:bCs/>
      <w:sz w:val="24"/>
      <w:szCs w:val="32"/>
      <w:lang w:val="en-US" w:eastAsia="zh-CN" w:bidi="ar-SA"/>
    </w:rPr>
  </w:style>
  <w:style w:type="paragraph" w:styleId="1223" w:customStyle="1">
    <w:name w:val="07表名社坪"/>
    <w:next w:val="827"/>
    <w:uiPriority w:val="0"/>
    <w:qFormat/>
    <w:pPr>
      <w:numPr>
        <w:ilvl w:val="6"/>
        <w:numId w:val="10"/>
      </w:numPr>
      <w:jc w:val="center"/>
      <w:keepNext/>
      <w:tabs>
        <w:tab w:val="center" w:pos="4394" w:leader="none"/>
        <w:tab w:val="right" w:pos="8647" w:leader="none"/>
      </w:tabs>
      <w:outlineLvl w:val="5"/>
    </w:pPr>
    <w:rPr>
      <w:rFonts w:ascii="Times New Roman" w:hAnsi="Times New Roman" w:eastAsia="宋体" w:cs="Times New Roman"/>
      <w:b/>
      <w:sz w:val="24"/>
      <w:szCs w:val="28"/>
      <w:lang w:val="en-US" w:eastAsia="zh-CN" w:bidi="ar-SA"/>
    </w:rPr>
  </w:style>
  <w:style w:type="paragraph" w:styleId="1224" w:customStyle="1">
    <w:name w:val="06表内文字社坪"/>
    <w:basedOn w:val="827"/>
    <w:uiPriority w:val="0"/>
    <w:qFormat/>
    <w:pPr>
      <w:jc w:val="center"/>
    </w:pPr>
    <w:rPr>
      <w:sz w:val="21"/>
    </w:rPr>
  </w:style>
  <w:style w:type="paragraph" w:styleId="1225" w:customStyle="1">
    <w:name w:val="04标题社坪"/>
    <w:next w:val="1221"/>
    <w:uiPriority w:val="0"/>
    <w:qFormat/>
    <w:pPr>
      <w:numPr>
        <w:ilvl w:val="3"/>
        <w:numId w:val="10"/>
      </w:numPr>
      <w:widowControl w:val="off"/>
      <w:outlineLvl w:val="3"/>
    </w:pPr>
    <w:rPr>
      <w:rFonts w:ascii="Times New Roman" w:hAnsi="Times New Roman" w:eastAsia="宋体" w:cs="Times New Roman"/>
      <w:sz w:val="24"/>
      <w:szCs w:val="28"/>
      <w:lang w:val="en-GB" w:eastAsia="zh-CN" w:bidi="ar-SA"/>
    </w:rPr>
  </w:style>
  <w:style w:type="character" w:styleId="1226" w:customStyle="1">
    <w:name w:val="文档结构图 Char"/>
    <w:basedOn w:val="837"/>
    <w:link w:val="842"/>
    <w:uiPriority w:val="99"/>
    <w:semiHidden/>
    <w:qFormat/>
    <w:rPr>
      <w:rFonts w:ascii="宋体" w:hAnsi="Calibri" w:cs="宋体"/>
      <w:sz w:val="18"/>
      <w:szCs w:val="18"/>
    </w:rPr>
  </w:style>
  <w:style w:type="numbering" w:styleId="1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0f45363c-c0a3-478b-9db9-a49dd70f02ed</errorID>
      <errorWord>如是</errorWord>
      <group>L1_Word</group>
      <groupName>字词问题</groupName>
      <ability>L2_Typo</ability>
      <abilityName>字词错误</abilityName>
      <candidateList>
        <item>如</item>
      </candidateList>
      <explain/>
      <paraID>7EEDEEDC</paraID>
      <start>46</start>
      <end>48</end>
      <status>unmodified</status>
      <modifiedWord/>
      <trackRevisions>false</trackRevisions>
    </reviewItem>
    <reviewItem>
      <errorID>52f4b0a7-6bfe-4bf1-a6a9-8148a07650d4</errorID>
      <errorWord>险</errorWord>
      <group>L1_Word</group>
      <groupName>字词问题</groupName>
      <ability>L2_Typo</ability>
      <abilityName>字词错误</abilityName>
      <candidateList>
        <item>险由</item>
      </candidateList>
      <explain/>
      <paraID>7D8B0662</paraID>
      <start>25</start>
      <end>26</end>
      <status>unmodified</status>
      <modifiedWord/>
      <trackRevisions>false</trackRevisions>
    </reviewItem>
    <reviewItem>
      <errorID>44d60c2f-dc46-4b50-81c3-60e0b24013ed</errorID>
      <errorWord>如是</errorWord>
      <group>L1_Word</group>
      <groupName>字词问题</groupName>
      <ability>L2_Typo</ability>
      <abilityName>字词错误</abilityName>
      <candidateList>
        <item>如</item>
      </candidateList>
      <explain/>
      <paraID>3F6BD066</paraID>
      <start>46</start>
      <end>48</end>
      <status>unmodified</status>
      <modifiedWord/>
      <trackRevisions>false</trackRevisions>
    </reviewItem>
    <reviewItem>
      <errorID>44ce2876-c9f8-431e-8719-2b8271300661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51E0E525</paraID>
      <start>48</start>
      <end>49</end>
      <status>unmodified</status>
      <modifiedWord/>
      <trackRevisions>false</trackRevisions>
    </reviewItem>
    <reviewItem>
      <errorID>a61887de-bec5-4d49-97b1-288612fbd43d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934D235</paraID>
      <start>48</start>
      <end>49</end>
      <status>unmodified</status>
      <modifiedWord/>
      <trackRevisions>false</trackRevisions>
    </reviewItem>
    <reviewItem>
      <errorID>c3a9a40f-e08f-4dfc-9c95-5b230a1fb034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11D22336</paraID>
      <start>33</start>
      <end>34</end>
      <status>unmodified</status>
      <modifiedWord/>
      <trackRevisions>false</trackRevisions>
    </reviewItem>
    <reviewItem>
      <errorID>c3ae98fb-16d9-4d66-a2c6-cde4e7392ec0</errorID>
      <errorWord>，</errorWord>
      <group>L1_Word</group>
      <groupName>字词问题</groupName>
      <ability>L2_Typo</ability>
      <abilityName>字词错误</abilityName>
      <candidateList>
        <item>，并</item>
      </candidateList>
      <explain/>
      <paraID>741E67FA</paraID>
      <start>72</start>
      <end>73</end>
      <status>unmodified</status>
      <modifiedWord/>
      <trackRevisions>false</trackRevisions>
    </reviewItem>
    <reviewItem>
      <errorID>227da206-2652-4773-a043-340f900d5f13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6906A0CF</paraID>
      <start>116</start>
      <end>119</end>
      <status>unmodified</status>
      <modifiedWord/>
      <trackRevisions>false</trackRevisions>
    </reviewItem>
    <reviewItem>
      <errorID>0efb318f-40d9-4959-bdc5-b93b9cd262e8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6906A0CF</paraID>
      <start>121</start>
      <end>124</end>
      <status>unmodified</status>
      <modifiedWord/>
      <trackRevisions>false</trackRevisions>
    </reviewItem>
    <reviewItem>
      <errorID>d065c5f0-5cde-476e-80ea-ebdcaed23b5b</errorID>
      <errorWord>》</errorWord>
      <group>L1_Word</group>
      <groupName>字词问题</groupName>
      <ability>L2_Typo</ability>
      <abilityName>字词错误</abilityName>
      <candidateList>
        <item>》和</item>
      </candidateList>
      <explain/>
      <paraID>2BDEC2D0</paraID>
      <start>128</start>
      <end>129</end>
      <status>unmodified</status>
      <modifiedWord/>
      <trackRevisions>false</trackRevisions>
    </reviewItem>
    <reviewItem>
      <errorID>f1579ba4-221f-4eaa-9810-2c5e96afa943</errorID>
      <errorWord>》</errorWord>
      <group>L1_Word</group>
      <groupName>字词问题</groupName>
      <ability>L2_Typo</ability>
      <abilityName>字词错误</abilityName>
      <candidateList>
        <item>》等</item>
      </candidateList>
      <explain/>
      <paraID>2BDEC2D0</paraID>
      <start>155</start>
      <end>156</end>
      <status>unmodified</status>
      <modifiedWord/>
      <trackRevisions>false</trackRevisions>
    </reviewItem>
    <reviewItem>
      <errorID>639b55ba-6da3-4e71-8794-52346f965f95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7A194E8D</paraID>
      <start>0</start>
      <end>2</end>
      <status>unmodified</status>
      <modifiedWord/>
      <trackRevisions>false</trackRevisions>
    </reviewItem>
    <reviewItem>
      <errorID>929a3485-0bfe-457c-aae9-035c711f3ba4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684F7E58</paraID>
      <start>0</start>
      <end>2</end>
      <status>unmodified</status>
      <modifiedWord/>
      <trackRevisions>false</trackRevisions>
    </reviewItem>
    <reviewItem>
      <errorID>b8a25da2-240a-410c-8a6e-c81ca7d3a83a</errorID>
      <errorWord>,</errorWord>
      <group>L1_Format</group>
      <groupName>格式问题</groupName>
      <ability>L2_HalfPunc_CN</ability>
      <abilityName>全半角问题</abilityName>
      <candidateList>
        <item>，</item>
      </candidateList>
      <explain>文本全半角错误。</explain>
      <paraID>49555F2C</paraID>
      <start>17</start>
      <end>18</end>
      <status>unmodified</status>
      <modifiedWord/>
      <trackRevisions>false</trackRevisions>
    </reviewItem>
    <reviewItem>
      <errorID>6f1654cb-546d-4c70-9277-917fd1e6a5a8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6A2F8CE9</paraID>
      <start>0</start>
      <end>2</end>
      <status>unmodified</status>
      <modifiedWord/>
      <trackRevisions>false</trackRevisions>
    </reviewItem>
    <reviewItem>
      <errorID>80f5c026-68d2-44c4-a234-4388dd9ca0ab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8C93FEC</paraID>
      <start>0</start>
      <end>2</end>
      <status>unmodified</status>
      <modifiedWord/>
      <trackRevisions>false</trackRevisions>
    </reviewItem>
    <reviewItem>
      <errorID>6f43b04b-6b2b-4c46-989d-2d96c9dd0bd8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1B9D72FE</paraID>
      <start>0</start>
      <end>2</end>
      <status>unmodified</status>
      <modifiedWord/>
      <trackRevisions>false</trackRevisions>
    </reviewItem>
    <reviewItem>
      <errorID>eedd6d52-3614-44e2-a4a2-f0a222edf620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2BB28C45</paraID>
      <start>0</start>
      <end>2</end>
      <status>unmodified</status>
      <modifiedWord/>
      <trackRevisions>false</trackRevisions>
    </reviewItem>
    <reviewItem>
      <errorID>2d414882-c800-46ca-8015-fd3e0afcaa5c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C19C37F</paraID>
      <start>0</start>
      <end>2</end>
      <status>unmodified</status>
      <modifiedWord/>
      <trackRevisions>false</trackRevisions>
    </reviewItem>
    <reviewItem>
      <errorID>731d158d-b0fa-4717-80e4-7eb96c239148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271A59C4</paraID>
      <start>0</start>
      <end>2</end>
      <status>unmodified</status>
      <modifiedWord/>
      <trackRevisions>false</trackRevisions>
    </reviewItem>
    <reviewItem>
      <errorID>a10d09cc-5641-48b4-a0ef-fac709d57734</errorID>
      <errorWord>,</errorWord>
      <group>L1_Format</group>
      <groupName>格式问题</groupName>
      <ability>L2_HalfPunc_CN</ability>
      <abilityName>全半角问题</abilityName>
      <candidateList>
        <item>，</item>
      </candidateList>
      <explain>文本全半角错误。</explain>
      <paraID>2C41E86F</paraID>
      <start>22</start>
      <end>23</end>
      <status>unmodified</status>
      <modifiedWord/>
      <trackRevisions>false</trackRevisions>
    </reviewItem>
    <reviewItem>
      <errorID>a6004acf-2bfc-41e3-be13-264e730a57cb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2365E881</paraID>
      <start>0</start>
      <end>2</end>
      <status>unmodified</status>
      <modifiedWord/>
      <trackRevisions>false</trackRevisions>
    </reviewItem>
    <reviewItem>
      <errorID>34837961-bcbb-44f1-8b08-bb5e6f5928cc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5ABB34F</paraID>
      <start>0</start>
      <end>2</end>
      <status>unmodified</status>
      <modifiedWord/>
      <trackRevisions>false</trackRevisions>
    </reviewItem>
    <reviewItem>
      <errorID>60c5f88a-2dea-4d3b-a8a0-5bdd22b9c886</errorID>
      <errorWord>[2004]483号</errorWord>
      <group>L1_Knowledge</group>
      <groupName>知识性问题</groupName>
      <ability>L2_Knowledge</ability>
      <abilityName>其他知识</abilityName>
      <candidateList>
        <item>〔2004〕483号</item>
      </candidateList>
      <explain>发文字号格式错误。</explain>
      <paraID> 5ABB34F</paraID>
      <start>13</start>
      <end>23</end>
      <status>unmodified</status>
      <modifiedWord/>
      <trackRevisions>false</trackRevisions>
    </reviewItem>
    <reviewItem>
      <errorID>014fc583-9f51-4a02-974f-b1dfd628d45f</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 5CAC996</paraID>
      <start>54</start>
      <end>82</end>
      <status>unmodified</status>
      <modifiedWord/>
      <trackRevisions>false</trackRevisions>
    </reviewItem>
    <reviewItem>
      <errorID>9fe66357-be78-4bba-ab49-1623f45b8c1a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7C6E93CF</paraID>
      <start>0</start>
      <end>2</end>
      <status>unmodified</status>
      <modifiedWord/>
      <trackRevisions>false</trackRevisions>
    </reviewItem>
    <reviewItem>
      <errorID>864c5950-fa04-4ddf-89f5-e4e0434116a2</errorID>
      <errorWord>项</errorWord>
      <group>L1_Word</group>
      <groupName>字词问题</groupName>
      <ability>L2_Typo</ability>
      <abilityName>字词错误</abilityName>
      <candidateList>
        <item>项目</item>
      </candidateList>
      <explain/>
      <paraID>7C6E93CF</paraID>
      <start>15</start>
      <end>16</end>
      <status>unmodified</status>
      <modifiedWord/>
      <trackRevisions>false</trackRevisions>
    </reviewItem>
    <reviewItem>
      <errorID>548143d3-8c49-48da-9bca-3771d0b90441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13326081</paraID>
      <start>0</start>
      <end>2</end>
      <status>unmodified</status>
      <modifiedWord/>
      <trackRevisions>false</trackRevisions>
    </reviewItem>
    <reviewItem>
      <errorID>35391ec4-1e95-4313-8859-5a3243ad1172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40866F63</paraID>
      <start>0</start>
      <end>2</end>
      <status>unmodified</status>
      <modifiedWord/>
      <trackRevisions>false</trackRevisions>
    </reviewItem>
    <reviewItem>
      <errorID>5b8f1cdb-6a2d-4380-b3a4-efad68debdc4</errorID>
      <errorWord>临近</errorWord>
      <group>L1_Word</group>
      <groupName>字词问题</groupName>
      <ability>L2_Typo</ability>
      <abilityName>字词错误</abilityName>
      <candidateList>
        <item>邻近</item>
      </candidateList>
      <explain>存在发音相同字词的误用。</explain>
      <paraID> D1C5F2E</paraID>
      <start>30</start>
      <end>32</end>
      <status>unmodified</status>
      <modifiedWord/>
      <trackRevisions>false</trackRevisions>
    </reviewItem>
    <reviewItem>
      <errorID>1d610adb-bae1-4e8e-beef-8bbc97d60d52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38E85CDF</paraID>
      <start>0</start>
      <end>2</end>
      <status>unmodified</status>
      <modifiedWord/>
      <trackRevisions>false</trackRevisions>
    </reviewItem>
    <reviewItem>
      <errorID>304806b2-f7c7-4c1e-bf06-600923d01cef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549655FA</paraID>
      <start>0</start>
      <end>2</end>
      <status>unmodified</status>
      <modifiedWord/>
      <trackRevisions>false</trackRevisions>
    </reviewItem>
    <reviewItem>
      <errorID>236ba93c-108a-43d9-9cc2-313d15e6e16b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5A2EBB68</paraID>
      <start>0</start>
      <end>2</end>
      <status>unmodified</status>
      <modifiedWord/>
      <trackRevisions>false</trackRevisions>
    </reviewItem>
    <reviewItem>
      <errorID>b40583ce-80cb-4285-adaa-a0db47b7bf6e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5E1A47FE</paraID>
      <start>0</start>
      <end>2</end>
      <status>unmodified</status>
      <modifiedWord/>
      <trackRevisions>false</trackRevisions>
    </reviewItem>
    <reviewItem>
      <errorID>cbe41102-1f24-412c-9545-7ef02002e71c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78612578</paraID>
      <start>0</start>
      <end>2</end>
      <status>unmodified</status>
      <modifiedWord/>
      <trackRevisions>false</trackRevisions>
    </reviewItem>
    <reviewItem>
      <errorID>a281330c-189b-418b-b933-5e0309fa2426</errorID>
      <errorWord>项</errorWord>
      <group>L1_Word</group>
      <groupName>字词问题</groupName>
      <ability>L2_Typo</ability>
      <abilityName>字词错误</abilityName>
      <candidateList>
        <item>项目</item>
      </candidateList>
      <explain/>
      <paraID>78612578</paraID>
      <start>8</start>
      <end>9</end>
      <status>unmodified</status>
      <modifiedWord/>
      <trackRevisions>false</trackRevisions>
    </reviewItem>
    <reviewItem>
      <errorID>b7980d1c-92c7-414c-8c5d-3e699722906f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21816963</paraID>
      <start>0</start>
      <end>2</end>
      <status>unmodified</status>
      <modifiedWord/>
      <trackRevisions>false</trackRevisions>
    </reviewItem>
    <reviewItem>
      <errorID>dfeaf030-fb25-4929-8521-4588a2397b6c</errorID>
      <errorWord>日</errorWord>
      <group>L1_Word</group>
      <groupName>字词问题</groupName>
      <ability>L2_Typo</ability>
      <abilityName>字词错误</abilityName>
      <candidateList>
        <item>日内</item>
      </candidateList>
      <explain/>
      <paraID>5D4FCC6C</paraID>
      <start>26</start>
      <end>27</end>
      <status>unmodified</status>
      <modifiedWord/>
      <trackRevisions>false</trackRevisions>
    </reviewItem>
    <reviewItem>
      <errorID>99454856-6ec8-4c84-981d-26b2b6180821</errorID>
      <errorWord>JB</errorWord>
      <group>L1_Sensitive</group>
      <groupName>敏感问题</groupName>
      <ability>L2_Abuse</ability>
      <abilityName>侮辱言辞</abilityName>
      <candidateList/>
      <explain>【侮辱言辞】句中涉及侮辱性的敏感内容，请注意甄别。</explain>
      <paraID>4A3A0DCB</paraID>
      <start>0</start>
      <end>2</end>
      <status>unmodified</status>
      <modifiedWord/>
      <trackRevisions>false</trackRevisions>
    </reviewItem>
    <reviewItem>
      <errorID>89adab6a-2b18-4007-9b2c-1ce8deed2e48</errorID>
      <errorWord>JB</errorWord>
      <group>L1_Sensitive</group>
      <groupName>敏感问题</groupName>
      <ability>L2_Abuse</ability>
      <abilityName>侮辱言辞</abilityName>
      <candidateList/>
      <explain>【侮辱言辞】句中涉及侮辱性的敏感内容，请注意甄别。</explain>
      <paraID>1E763856</paraID>
      <start>0</start>
      <end>2</end>
      <status>unmodified</status>
      <modifiedWord/>
      <trackRevisions>false</trackRevisions>
    </reviewItem>
    <reviewItem>
      <errorID>6b4c06c0-65ae-452b-98a5-12ab89c41521</errorID>
      <errorWord>JB</errorWord>
      <group>L1_Sensitive</group>
      <groupName>敏感问题</groupName>
      <ability>L2_Abuse</ability>
      <abilityName>侮辱言辞</abilityName>
      <candidateList/>
      <explain>【侮辱言辞】句中涉及侮辱性的敏感内容，请注意甄别。</explain>
      <paraID>6AB779F6</paraID>
      <start>0</start>
      <end>2</end>
      <status>unmodified</status>
      <modifiedWord/>
      <trackRevisions>false</trackRevisions>
    </reviewItem>
    <reviewItem>
      <errorID>9cb27f50-83c4-4023-9755-798605308df5</errorID>
      <errorWord>JB</errorWord>
      <group>L1_Sensitive</group>
      <groupName>敏感问题</groupName>
      <ability>L2_Abuse</ability>
      <abilityName>侮辱言辞</abilityName>
      <candidateList/>
      <explain>【侮辱言辞】句中涉及侮辱性的敏感内容，请注意甄别。</explain>
      <paraID>6707D773</paraID>
      <start>0</start>
      <end>2</end>
      <status>unmodified</status>
      <modifiedWord/>
      <trackRevisions>false</trackRevisions>
    </reviewItem>
    <reviewItem>
      <errorID>a6a8ac16-d1db-4af9-bdb6-a53f68354af9</errorID>
      <errorWord>（</errorWord>
      <group>L1_Punc</group>
      <groupName>标点问题</groupName>
      <ability>L2_Punc_CN</ability>
      <abilityName>标点符号问题</abilityName>
      <candidateList/>
      <explain>同一形式括号套用。</explain>
      <paraID>15E918A3</paraID>
      <start>54</start>
      <end>55</end>
      <status>unmodified</status>
      <modifiedWord/>
      <trackRevisions>false</trackRevisions>
    </reviewItem>
    <reviewItem>
      <errorID>15ffbd21-6f4d-492a-8439-eb9a0b051325</errorID>
      <errorWord>）</errorWord>
      <group>L1_Punc</group>
      <groupName>标点问题</groupName>
      <ability>L2_Punc_CN</ability>
      <abilityName>标点符号问题</abilityName>
      <candidateList/>
      <explain>同一形式括号套用。</explain>
      <paraID>15E918A3</paraID>
      <start>58</start>
      <end>59</end>
      <status>unmodified</status>
      <modifiedWord/>
      <trackRevisions>false</trackRevisions>
    </reviewItem>
    <reviewItem>
      <errorID>e6c6ab10-f602-4dfc-b693-a0e594b50212</errorID>
      <errorWord>噪音</errorWord>
      <group>L1_Word</group>
      <groupName>字词问题</groupName>
      <ability>L2_Alias</ability>
      <abilityName>也作/曾用词</abilityName>
      <candidateList>
        <item>噪声</item>
      </candidateList>
      <explain>词汇[噪音]为不规范表述或旧称，其规范书面表述为[噪声]。</explain>
      <paraID>68B6301E</paraID>
      <start>8</start>
      <end>10</end>
      <status>unmodified</status>
      <modifiedWord/>
      <trackRevisions>false</trackRevisions>
    </reviewItem>
    <reviewItem>
      <errorID>8e04b219-c9a9-4b50-a371-45169d505a36</errorID>
      <errorWord>~</errorWord>
      <group>L1_Format</group>
      <groupName>格式问题</groupName>
      <ability>L2_HalfPunc_CN</ability>
      <abilityName>全半角问题</abilityName>
      <candidateList>
        <item>～</item>
      </candidateList>
      <explain>文本全半角错误。</explain>
      <paraID>5B3A2D9D</paraID>
      <start>11</start>
      <end>12</end>
      <status>unmodified</status>
      <modifiedWord/>
      <trackRevisions>false</trackRevisions>
    </reviewItem>
    <reviewItem>
      <errorID>83dfa79a-30b4-40de-b810-c838b875253c</errorID>
      <errorWord>噪音</errorWord>
      <group>L1_Word</group>
      <groupName>字词问题</groupName>
      <ability>L2_Alias</ability>
      <abilityName>也作/曾用词</abilityName>
      <candidateList>
        <item>噪声</item>
      </candidateList>
      <explain>词汇[噪音]为不规范表述或旧称，其规范书面表述为[噪声]。</explain>
      <paraID>2108524E</paraID>
      <start>98</start>
      <end>100</end>
      <status>unmodified</status>
      <modifiedWord/>
      <trackRevisions>false</trackRevisions>
    </reviewItem>
    <reviewItem>
      <errorID>7b7e97cb-c134-400e-ba0c-d2d16cb054d8</errorID>
      <errorWord>噪音</errorWord>
      <group>L1_Word</group>
      <groupName>字词问题</groupName>
      <ability>L2_Alias</ability>
      <abilityName>也作/曾用词</abilityName>
      <candidateList>
        <item>噪声</item>
      </candidateList>
      <explain>词汇[噪音]为不规范表述或旧称，其规范书面表述为[噪声]。</explain>
      <paraID>67C90035</paraID>
      <start>0</start>
      <end>2</end>
      <status>unmodified</status>
      <modifiedWord/>
      <trackRevisions>false</trackRevisions>
    </reviewItem>
    <reviewItem>
      <errorID>e424344c-cd49-47f0-b744-f0ef0133f6bf</errorID>
      <errorWord>~</errorWord>
      <group>L1_Format</group>
      <groupName>格式问题</groupName>
      <ability>L2_HalfPunc_CN</ability>
      <abilityName>全半角问题</abilityName>
      <candidateList>
        <item>～</item>
      </candidateList>
      <explain>文本全半角错误。</explain>
      <paraID>1B31880D</paraID>
      <start>50</start>
      <end>51</end>
      <status>unmodified</status>
      <modifiedWord/>
      <trackRevisions>false</trackRevisions>
    </reviewItem>
    <reviewItem>
      <errorID>7923982e-91b1-43f5-a2d3-91f9054683d9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1B31880D</paraID>
      <start>60</start>
      <end>61</end>
      <status>unmodified</status>
      <modifiedWord/>
      <trackRevisions>false</trackRevisions>
    </reviewItem>
    <reviewItem>
      <errorID>1c6e3d37-7f0b-4a44-83a1-997a16b76ac5</errorID>
      <errorWord>II级</errorWord>
      <group>L1_Knowledge</group>
      <groupName>知识性问题</groupName>
      <ability>L2_Knowledge</ability>
      <abilityName>其他知识</abilityName>
      <candidateList>
        <item>Ⅱ级</item>
      </candidateList>
      <explain>中文环境下罗马数字格式错误。</explain>
      <paraID> F8562D6</paraID>
      <start>105</start>
      <end>108</end>
      <status>unmodified</status>
      <modifiedWord/>
      <trackRevisions>false</trackRevisions>
    </reviewItem>
    <reviewItem>
      <errorID>8ed07fdb-a866-4649-b832-ea88d14e1a1e</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2E5A6A9D</paraID>
      <start>64</start>
      <end>68</end>
      <status>unmodified</status>
      <modifiedWord/>
      <trackRevisions>false</trackRevisions>
    </reviewItem>
    <reviewItem>
      <errorID>fb5bcf06-9a2c-4740-b403-813972c5e8ed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344100D4</paraID>
      <start>27</start>
      <end>30</end>
      <status>unmodified</status>
      <modifiedWord/>
      <trackRevisions>false</trackRevisions>
    </reviewItem>
    <reviewItem>
      <errorID>b49ac021-2c68-4917-bd99-8fe4765e07f7</errorID>
      <errorWord>准</errorWord>
      <group>L1_Word</group>
      <groupName>字词问题</groupName>
      <ability>L2_Typo</ability>
      <abilityName>字词错误</abilityName>
      <candidateList>
        <item>准和</item>
      </candidateList>
      <explain/>
      <paraID>52FEFD02</paraID>
      <start>29</start>
      <end>30</end>
      <status>unmodified</status>
      <modifiedWord/>
      <trackRevisions>false</trackRevisions>
    </reviewItem>
    <reviewItem>
      <errorID>71b81141-3beb-42fe-92ad-ef101c592436</errorID>
      <errorWord>接受</errorWord>
      <group>L1_Word</group>
      <groupName>字词问题</groupName>
      <ability>L2_Typo</ability>
      <abilityName>字词错误</abilityName>
      <candidateList>
        <item>接收</item>
      </candidateList>
      <explain>存在发音相同字词的误用。</explain>
      <paraID>4EADE4EB</paraID>
      <start>43</start>
      <end>45</end>
      <status>unmodified</status>
      <modifiedWord/>
      <trackRevisions>false</trackRevisions>
    </reviewItem>
    <reviewItem>
      <errorID>bf9d3630-f840-41ad-9b82-a6d44d767d42</errorID>
      <errorWord>处</errorWord>
      <group>L1_Word</group>
      <groupName>字词问题</groupName>
      <ability>L2_Typo</ability>
      <abilityName>字词错误</abilityName>
      <candidateList>
        <item>处于</item>
      </candidateList>
      <explain/>
      <paraID>62030617</paraID>
      <start>13</start>
      <end>14</end>
      <status>unmodified</status>
      <modifiedWord/>
      <trackRevisions>false</trackRevisions>
    </reviewItem>
    <reviewItem>
      <errorID>88359a82-98af-4fcf-85c8-8b1e24dfc0a5</errorID>
      <errorWord>一</errorWord>
      <group>L1_Word</group>
      <groupName>字词问题</groupName>
      <ability>L2_Typo</ability>
      <abilityName>字词错误</abilityName>
      <candidateList>
        <item>一项</item>
      </candidateList>
      <explain/>
      <paraID>4C7CAA6F</paraID>
      <start>2</start>
      <end>3</end>
      <status>unmodified</status>
      <modifiedWord/>
      <trackRevisions>false</trackRevisions>
    </reviewItem>
    <reviewItem>
      <errorID>89fd2aaa-84e5-4e4f-96ce-c7c19ea45a9e</errorID>
      <errorWord>作</errorWord>
      <group>L1_Word</group>
      <groupName>字词问题</groupName>
      <ability>L2_Typo</ability>
      <abilityName>字词错误</abilityName>
      <candidateList>
        <item>做</item>
      </candidateList>
      <explain>存在发音相同字词的误用。</explain>
      <paraID>17C47001</paraID>
      <start>10</start>
      <end>11</end>
      <status>unmodified</status>
      <modifiedWord/>
      <trackRevisions>false</trackRevisions>
    </reviewItem>
    <reviewItem>
      <errorID>60112703-e2d8-4710-8991-dda193401c93</errorID>
      <errorWord>以下的</errorWord>
      <group>L1_Word</group>
      <groupName>字词问题</groupName>
      <ability>L2_Typo</ability>
      <abilityName>字词错误</abilityName>
      <candidateList>
        <item>以下</item>
      </candidateList>
      <explain/>
      <paraID>4CCD3024</paraID>
      <start>11</start>
      <end>14</end>
      <status>unmodified</status>
      <modifiedWord/>
      <trackRevisions>false</trackRevisions>
    </reviewItem>
    <reviewItem>
      <errorID>702a9104-70fc-4cd4-b920-56fc867e8f57</errorID>
      <errorWord>粘度</errorWord>
      <group>L1_Word</group>
      <groupName>字词问题</groupName>
      <ability>L2_Alias</ability>
      <abilityName>也作/曾用词</abilityName>
      <candidateList>
        <item>黏度</item>
      </candidateList>
      <explain>词汇[粘度]为不规范表述或旧称，其规范书面表述为[黏度]。</explain>
      <paraID>6D8EF9B9</paraID>
      <start>38</start>
      <end>40</end>
      <status>unmodified</status>
      <modifiedWord/>
      <trackRevisions>false</trackRevisions>
    </reviewItem>
    <reviewItem>
      <errorID>cc636ca5-880c-4031-b48b-07c1c23f34e7</errorID>
      <errorWord>-</errorWord>
      <group>L1_Format</group>
      <groupName>格式问题</groupName>
      <ability>L2_HalfPunc_CN</ability>
      <abilityName>全半角问题</abilityName>
      <candidateList>
        <item>－</item>
      </candidateList>
      <explain>文本全半角错误。</explain>
      <paraID>6D8EF9B9</paraID>
      <start>118</start>
      <end>119</end>
      <status>unmodified</status>
      <modifiedWord/>
      <trackRevisions>false</trackRevisions>
    </reviewItem>
    <reviewItem>
      <errorID>a36e2f97-260e-410f-a23b-6924aec5f9f2</errorID>
      <errorWord>噪音</errorWord>
      <group>L1_Word</group>
      <groupName>字词问题</groupName>
      <ability>L2_Alias</ability>
      <abilityName>也作/曾用词</abilityName>
      <candidateList>
        <item>噪声</item>
      </candidateList>
      <explain>词汇[噪音]为不规范表述或旧称，其规范书面表述为[噪声]。</explain>
      <paraID>3094CC87</paraID>
      <start>66</start>
      <end>68</end>
      <status>unmodified</status>
      <modifiedWord/>
      <trackRevisions>false</trackRevisions>
    </reviewItem>
    <reviewItem>
      <errorID>acbd190c-cd1e-43a0-b85f-279bc6b11e60</errorID>
      <errorWord>,</errorWord>
      <group>L1_Format</group>
      <groupName>格式问题</groupName>
      <ability>L2_HalfPunc_CN</ability>
      <abilityName>全半角问题</abilityName>
      <candidateList>
        <item>，</item>
      </candidateList>
      <explain>文本全半角错误。</explain>
      <paraID>4A9B3107</paraID>
      <start>36</start>
      <end>37</end>
      <status>unmodified</status>
      <modifiedWord/>
      <trackRevisions>false</trackRevisions>
    </reviewItem>
    <reviewItem>
      <errorID>389a48b6-fc23-4604-bea0-7824f4ea5ab6</errorID>
      <errorWord>-</errorWord>
      <group>L1_Format</group>
      <groupName>格式问题</groupName>
      <ability>L2_HalfPunc_CN</ability>
      <abilityName>全半角问题</abilityName>
      <candidateList>
        <item>－</item>
      </candidateList>
      <explain>文本全半角错误。</explain>
      <paraID>1B07DABA</paraID>
      <start>33</start>
      <end>34</end>
      <status>unmodified</status>
      <modifiedWord/>
      <trackRevisions>false</trackRevisions>
    </reviewItem>
    <reviewItem>
      <errorID>ea8b3a18-4f21-4b82-8287-fdc418e02a57</errorID>
      <errorWord>粘着</errorWord>
      <group>L1_Word</group>
      <groupName>字词问题</groupName>
      <ability>L2_Typo</ability>
      <abilityName>字词错误</abilityName>
      <candidateList>
        <item>黏着</item>
      </candidateList>
      <explain>存在发音相同字词的误用。</explain>
      <paraID>7D30A27D</paraID>
      <start>31</start>
      <end>33</end>
      <status>unmodified</status>
      <modifiedWord/>
      <trackRevisions>false</trackRevisions>
    </reviewItem>
    <reviewItem>
      <errorID>8df3ad74-645c-4ba7-a040-e7845a4e7ef3</errorID>
      <errorWord>启动压力</errorWord>
      <group>L1_Knowledge</group>
      <groupName>知识性问题</groupName>
      <ability>L2_Term</ability>
      <abilityName>专业术语</abilityName>
      <candidateList>
        <item>起动压力</item>
      </candidateList>
      <explain/>
      <paraID>4E9D4D79</paraID>
      <start>43</start>
      <end>47</end>
      <status>unmodified</status>
      <modifiedWord/>
      <trackRevisions>false</trackRevisions>
    </reviewItem>
    <reviewItem>
      <errorID>b6b29404-a19f-4071-b177-eed534cca603</errorID>
      <errorWord>其它缺陷</errorWord>
      <group>L1_Word</group>
      <groupName>字词问题</groupName>
      <ability>L2_Alias</ability>
      <abilityName>也作/曾用词</abilityName>
      <candidateList>
        <item>其他缺陷</item>
      </candidateList>
      <explain>词汇[其它缺陷]为不规范表述或旧称，其规范书面表述为[其他缺陷]。</explain>
      <paraID>32C11426</paraID>
      <start>55</start>
      <end>59</end>
      <status>unmodified</status>
      <modifiedWord/>
      <trackRevisions>false</trackRevisions>
    </reviewItem>
    <reviewItem>
      <errorID>c143d901-2732-4150-8fe1-398015f04ebb</errorID>
      <errorWord>震动和噪音</errorWord>
      <group>L1_Word</group>
      <groupName>字词问题</groupName>
      <ability>L2_Typo</ability>
      <abilityName>字词错误</abilityName>
      <candidateList>
        <item>振动和噪音</item>
      </candidateList>
      <explain/>
      <paraID>1D719492</paraID>
      <start>35</start>
      <end>40</end>
      <status>unmodified</status>
      <modifiedWord/>
      <trackRevisions>false</trackRevisions>
    </reviewItem>
    <reviewItem>
      <errorID>45c34693-7495-4d84-b404-71836ce7acaf</errorID>
      <errorWord>II级</errorWord>
      <group>L1_Knowledge</group>
      <groupName>知识性问题</groupName>
      <ability>L2_Knowledge</ability>
      <abilityName>其他知识</abilityName>
      <candidateList>
        <item>Ⅱ级</item>
      </candidateList>
      <explain>中文环境下罗马数字格式错误。</explain>
      <paraID> 31EF3BE</paraID>
      <start>100</start>
      <end>103</end>
      <status>unmodified</status>
      <modifiedWord/>
      <trackRevisions>false</trackRevisions>
    </reviewItem>
    <reviewItem>
      <errorID>3020220b-d1e3-4e47-90a3-8b5b3c541981</errorID>
      <errorWord>震动</errorWord>
      <group>L1_Word</group>
      <groupName>字词问题</groupName>
      <ability>L2_Typo</ability>
      <abilityName>字词错误</abilityName>
      <candidateList>
        <item>振动</item>
      </candidateList>
      <explain>存在发音相同字词的误用。</explain>
      <paraID>2E13222F</paraID>
      <start>12</start>
      <end>14</end>
      <status>unmodified</status>
      <modifiedWord/>
      <trackRevisions>false</trackRevisions>
    </reviewItem>
    <reviewItem>
      <errorID>17130682-ef96-4d4f-ac1b-f18f60f8bb61</errorID>
      <errorWord>不绣钢</errorWord>
      <group>L1_Word</group>
      <groupName>字词问题</groupName>
      <ability>L2_Typo</ability>
      <abilityName>字词错误</abilityName>
      <candidateList>
        <item>不锈钢</item>
      </candidateList>
      <explain/>
      <paraID>622832FF</paraID>
      <start>5</start>
      <end>8</end>
      <status>unmodified</status>
      <modifiedWord/>
      <trackRevisions>false</trackRevisions>
    </reviewItem>
    <reviewItem>
      <errorID>b2a1a695-544d-4fe3-8031-a5f8791affc1</errorID>
      <errorWord>化学成份</errorWord>
      <group>L1_Word</group>
      <groupName>字词问题</groupName>
      <ability>L2_Variant</ability>
      <abilityName>异形词</abilityName>
      <candidateList>
        <item>化学成分</item>
      </candidateList>
      <explain>词汇[化学成份]的规范词形写作[化学成分]。</explain>
      <paraID>286B5D59</paraID>
      <start>44</start>
      <end>48</end>
      <status>unmodified</status>
      <modifiedWord/>
      <trackRevisions>false</trackRevisions>
    </reviewItem>
    <reviewItem>
      <errorID>783cb915-5f1d-4a49-99cc-5a35e8919da3</errorID>
      <errorWord>化学成份</errorWord>
      <group>L1_Word</group>
      <groupName>字词问题</groupName>
      <ability>L2_Variant</ability>
      <abilityName>异形词</abilityName>
      <candidateList>
        <item>化学成分</item>
      </candidateList>
      <explain>词汇[化学成份]的规范词形写作[化学成分]。</explain>
      <paraID>612A237F</paraID>
      <start>4</start>
      <end>8</end>
      <status>unmodified</status>
      <modifiedWord/>
      <trackRevisions>false</trackRevisions>
    </reviewItem>
    <reviewItem>
      <errorID>9328358d-ac43-4454-9860-5bef65762609</errorID>
      <errorWord>作好</errorWord>
      <group>L1_Word</group>
      <groupName>字词问题</groupName>
      <ability>L2_Typo</ability>
      <abilityName>字词错误</abilityName>
      <candidateList>
        <item>做好</item>
      </candidateList>
      <explain/>
      <paraID>7AA3EB28</paraID>
      <start>59</start>
      <end>61</end>
      <status>unmodified</status>
      <modifiedWord/>
      <trackRevisions>false</trackRevisions>
    </reviewItem>
    <reviewItem>
      <errorID>fdc5081f-2825-4d89-ac79-614a6215852c</errorID>
      <errorWord>，</errorWord>
      <group>L1_Word</group>
      <groupName>字词问题</groupName>
      <ability>L2_Typo</ability>
      <abilityName>字词错误</abilityName>
      <candidateList>
        <item>，经</item>
      </candidateList>
      <explain/>
      <paraID>3B3D292E</paraID>
      <start>27</start>
      <end>28</end>
      <status>unmodified</status>
      <modifiedWord/>
      <trackRevisions>false</trackRevisions>
    </reviewItem>
    <reviewItem>
      <errorID>3081a569-d9e9-4c08-853e-3b1c76598444</errorID>
      <errorWord>碰损</errorWord>
      <group>L1_Word</group>
      <groupName>字词问题</groupName>
      <ability>L2_Typo</ability>
      <abilityName>字词错误</abilityName>
      <candidateList>
        <item>破损</item>
      </candidateList>
      <explain/>
      <paraID>65596833</paraID>
      <start>15</start>
      <end>17</end>
      <status>unmodified</status>
      <modifiedWord/>
      <trackRevisions>false</trackRevisions>
    </reviewItem>
    <reviewItem>
      <errorID>55c286fb-f76b-445a-ba41-d9b04d7b0319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7ABC88C8</paraID>
      <start>153</start>
      <end>154</end>
      <status>unmodified</status>
      <modifiedWord/>
      <trackRevisions>false</trackRevisions>
    </reviewItem>
    <reviewItem>
      <errorID>044a2339-8d7f-4d45-a5b1-931c530ec3c0</errorID>
      <errorWord>按表</errorWord>
      <group>L1_Word</group>
      <groupName>字词问题</groupName>
      <ability>L2_Typo</ability>
      <abilityName>字词错误</abilityName>
      <candidateList>
        <item>按</item>
      </candidateList>
      <explain/>
      <paraID>6E9BA645</paraID>
      <start>15</start>
      <end>17</end>
      <status>unmodified</status>
      <modifiedWord/>
      <trackRevisions>false</trackRevisions>
    </reviewItem>
    <reviewItem>
      <errorID>de5a42fe-470a-4726-bce3-87ff2191c1f6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77341B90</paraID>
      <start>4</start>
      <end>5</end>
      <status>unmodified</status>
      <modifiedWord/>
      <trackRevisions>false</trackRevisions>
    </reviewItem>
    <reviewItem>
      <errorID>d0225c66-9d9b-45cf-9be6-4d148b5f771c</errorID>
      <errorWord>如其它</errorWord>
      <group>L1_Word</group>
      <groupName>字词问题</groupName>
      <ability>L2_Alias</ability>
      <abilityName>也作/曾用词</abilityName>
      <candidateList>
        <item>如其他</item>
      </candidateList>
      <explain>词汇[如其它]为不规范表述或旧称，其规范书面表述为[如其他]。</explain>
      <paraID>7651FCD8</paraID>
      <start>47</start>
      <end>50</end>
      <status>unmodified</status>
      <modifiedWord/>
      <trackRevisions>false</trackRevisions>
    </reviewItem>
    <reviewItem>
      <errorID>89a2d7fe-ffdb-4fe1-8725-e069e17d2406</errorID>
      <errorWord>会议纪录</errorWord>
      <group>L1_Word</group>
      <groupName>字词问题</groupName>
      <ability>L2_Alias</ability>
      <abilityName>也作/曾用词</abilityName>
      <candidateList>
        <item>会议记录</item>
      </candidateList>
      <explain>词汇[会议纪录]为不规范表述或旧称，其规范书面表述为[会议记录]。</explain>
      <paraID>6CD84B81</paraID>
      <start>12</start>
      <end>16</end>
      <status>unmodified</status>
      <modifiedWord/>
      <trackRevisions>false</trackRevisions>
    </reviewItem>
    <reviewItem>
      <errorID>1cd8d16a-c8ec-4afb-8c4e-4430051f5363</errorID>
      <errorWord>纪录</errorWord>
      <group>L1_Word</group>
      <groupName>字词问题</groupName>
      <ability>L2_Typo</ability>
      <abilityName>字词错误</abilityName>
      <candidateList>
        <item>记录</item>
      </candidateList>
      <explain/>
      <paraID>7A98D6CB</paraID>
      <start>9</start>
      <end>11</end>
      <status>unmodified</status>
      <modifiedWord/>
      <trackRevisions>false</trackRevisions>
    </reviewItem>
    <reviewItem>
      <errorID>af8ed7ec-24e3-4c12-b923-5c3de98b642c</errorID>
      <errorWord>将其它</errorWord>
      <group>L1_Word</group>
      <groupName>字词问题</groupName>
      <ability>L2_Alias</ability>
      <abilityName>也作/曾用词</abilityName>
      <candidateList>
        <item>将其他</item>
      </candidateList>
      <explain>词汇[将其它]为不规范表述或旧称，其规范书面表述为[将其他]。</explain>
      <paraID>622F234E</paraID>
      <start>18</start>
      <end>21</end>
      <status>unmodified</status>
      <modifiedWord/>
      <trackRevisions>false</trackRevisions>
    </reviewItem>
    <reviewItem>
      <errorID>99d74f4b-7fc3-4fd6-9023-9bd4f98f9e43</errorID>
      <errorWord>须</errorWord>
      <group>L1_Word</group>
      <groupName>字词问题</groupName>
      <ability>L2_Typo</ability>
      <abilityName>字词错误</abilityName>
      <candidateList>
        <item>须在</item>
      </candidateList>
      <explain/>
      <paraID>6AB6EEEC</paraID>
      <start>17</start>
      <end>18</end>
      <status>unmodified</status>
      <modifiedWord/>
      <trackRevisions>false</trackRevisions>
    </reviewItem>
    <reviewItem>
      <errorID>77a8a2be-8be3-4512-9a70-36d4c78c12e5</errorID>
      <errorWord>最低启动压力试验</errorWord>
      <group>L1_Knowledge</group>
      <groupName>知识性问题</groupName>
      <ability>L2_Term</ability>
      <abilityName>专业术语</abilityName>
      <candidateList>
        <item>最低起动压力试验</item>
      </candidateList>
      <explain/>
      <paraID>262BCFE6</paraID>
      <start>46</start>
      <end>54</end>
      <status>unmodified</status>
      <modifiedWord/>
      <trackRevisions>false</trackRevisions>
    </reviewItem>
    <reviewItem>
      <errorID>b4c63b61-feb0-4c4e-9b59-0b4e4e466770</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31F3FEC3</paraID>
      <start>73</start>
      <end>77</end>
      <status>unmodified</status>
      <modifiedWord/>
      <trackRevisions>false</trackRevisions>
    </reviewItem>
    <reviewItem>
      <errorID>014ecb86-905b-4b31-a52b-a64996e7331d</errorID>
      <errorWord>联接的</errorWord>
      <group>L1_Word</group>
      <groupName>字词问题</groupName>
      <ability>L2_Variant</ability>
      <abilityName>异形词</abilityName>
      <candidateList>
        <item>连接的</item>
      </candidateList>
      <explain>词汇[联接的]的规范词形写作[连接的]。</explain>
      <paraID>23008462</paraID>
      <start>15</start>
      <end>18</end>
      <status>unmodified</status>
      <modifiedWord/>
      <trackRevisions>false</trackRevisions>
    </reviewItem>
    <reviewItem>
      <errorID>1e39560d-30ad-467a-a6b1-9ceb4490acf9</errorID>
      <errorWord>系统联接</errorWord>
      <group>L1_Word</group>
      <groupName>字词问题</groupName>
      <ability>L2_Variant</ability>
      <abilityName>异形词</abilityName>
      <candidateList>
        <item>系统连接</item>
      </candidateList>
      <explain>词汇[系统联接]的规范词形写作[系统连接]。</explain>
      <paraID>2880936F</paraID>
      <start>19</start>
      <end>23</end>
      <status>unmodified</status>
      <modifiedWord/>
      <trackRevisions>false</trackRevisions>
    </reviewItem>
    <reviewItem>
      <errorID>9d7148e8-1a8f-4585-85dc-ae7dde015ead</errorID>
      <errorWord>.</errorWord>
      <group>L1_Format</group>
      <groupName>格式问题</groupName>
      <ability>L2_HalfPunc_CN</ability>
      <abilityName>全半角问题</abilityName>
      <candidateList>
        <item>。</item>
      </candidateList>
      <explain>文本全半角错误。</explain>
      <paraID>31A78AAD</paraID>
      <start>2</start>
      <end>3</end>
      <status>unmodified</status>
      <modifiedWord/>
      <trackRevisions>false</trackRevisions>
    </reviewItem>
    <reviewItem>
      <errorID>440cabf3-e1df-498e-84dc-928a4288aae9</errorID>
      <errorWord>人力不可抗</errorWord>
      <group>L1_Word</group>
      <groupName>字词问题</groupName>
      <ability>L2_Typo</ability>
      <abilityName>字词错误</abilityName>
      <candidateList>
        <item>人力不可抗力</item>
      </candidateList>
      <explain/>
      <paraID>38536FAF</paraID>
      <start>5</start>
      <end>10</end>
      <status>unmodified</status>
      <modifiedWord/>
      <trackRevisions>false</trackRevisions>
    </reviewItem>
    <reviewItem>
      <errorID>ad51d77d-f98e-4c30-9162-433418f66d8f</errorID>
      <errorWord>费</errorWord>
      <group>L1_Word</group>
      <groupName>字词问题</groupName>
      <ability>L2_Typo</ability>
      <abilityName>字词错误</abilityName>
      <candidateList>
        <item>费和</item>
      </candidateList>
      <explain/>
      <paraID>6878256C</paraID>
      <start>125</start>
      <end>126</end>
      <status>unmodified</status>
      <modifiedWord/>
      <trackRevisions>false</trackRevisions>
    </reviewItem>
    <reviewItem>
      <errorID>1db580ab-92e3-4e40-a28d-b6038cafec2c</errorID>
      <errorWord>约</errorWord>
      <group>L1_Word</group>
      <groupName>字词问题</groupName>
      <ability>L2_Typo</ability>
      <abilityName>字词错误</abilityName>
      <candidateList>
        <item>约定</item>
      </candidateList>
      <explain/>
      <paraID>50B84C26</paraID>
      <start>80</start>
      <end>81</end>
      <status>unmodified</status>
      <modifiedWord/>
      <trackRevisions>false</trackRevisions>
    </reviewItem>
    <reviewItem>
      <errorID>a155d28f-3be6-4aa9-a9db-892e3fc170d6</errorID>
      <errorWord>，为</errorWord>
      <group>L1_Word</group>
      <groupName>字词问题</groupName>
      <ability>L2_Typo</ability>
      <abilityName>字词错误</abilityName>
      <candidateList>
        <item>，</item>
      </candidateList>
      <explain/>
      <paraID>278C53D0</paraID>
      <start>47</start>
      <end>49</end>
      <status>unmodified</status>
      <modifiedWord/>
      <trackRevisions>false</trackRevisions>
    </reviewItem>
    <reviewItem>
      <errorID>34ad2733-ba05-40f7-827a-d50606a230da</errorID>
      <errorWord>法律、法规</errorWord>
      <group>L1_Word</group>
      <groupName>字词问题</groupName>
      <ability>L2_Typo</ability>
      <abilityName>字词错误</abilityName>
      <candidateList>
        <item>法律法规</item>
      </candidateList>
      <explain/>
      <paraID>7FBE5460</paraID>
      <start>25</start>
      <end>30</end>
      <status>unmodified</status>
      <modifiedWord/>
      <trackRevisions>false</trackRevisions>
    </reviewItem>
    <reviewItem>
      <errorID>3458b284-3e1a-4c6b-bbd7-e5cb2cb0471b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5C59DA1D</paraID>
      <start>0</start>
      <end>2</end>
      <status>unmodified</status>
      <modifiedWord/>
      <trackRevisions>false</trackRevisions>
    </reviewItem>
    <reviewItem>
      <errorID>7cc7b4f6-7c78-4669-9f8e-f9a675edd178</errorID>
      <errorWord>其它</errorWord>
      <group>L1_Word</group>
      <groupName>字词问题</groupName>
      <ability>L2_Alias</ability>
      <abilityName>也作/曾用词</abilityName>
      <candidateList>
        <item>其他</item>
      </candidateList>
      <explain>词汇[其它]为不规范表述或旧称，其规范书面表述为[其他]。</explain>
      <paraID>51403251</paraID>
      <start>4</start>
      <end>6</end>
      <status>unmodified</status>
      <modifiedWord/>
      <trackRevisions>false</trackRevisions>
    </reviewItem>
    <reviewItem>
      <errorID>c551ba2b-13e5-4f57-882e-b0c030b9d3e9</errorID>
      <errorWord>法律、法规</errorWord>
      <group>L1_Word</group>
      <groupName>字词问题</groupName>
      <ability>L2_Typo</ability>
      <abilityName>字词错误</abilityName>
      <candidateList>
        <item>法律法规</item>
      </candidateList>
      <explain/>
      <paraID>31CB01A6</paraID>
      <start>15</start>
      <end>20</end>
      <status>unmodified</status>
      <modifiedWord/>
      <trackRevisions>false</trackRevisions>
    </reviewItem>
    <reviewItem>
      <errorID>ec0cbd15-a9df-42fa-b0be-8cdd9c5cc727</errorID>
      <errorWord>的</errorWord>
      <group>L1_Word</group>
      <groupName>字词问题</groupName>
      <ability>L2_Typo</ability>
      <abilityName>字词错误</abilityName>
      <candidateList>
        <item/>
      </candidateList>
      <explain/>
      <paraID>737E51D2</paraID>
      <start>22</start>
      <end>23</end>
      <status>unmodified</status>
      <modifiedWord/>
      <trackRevisions>false</trackRevisions>
    </reviewItem>
    <reviewItem>
      <errorID>9075bf7a-4fa9-4bca-8e59-c4790de374ba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7D62474B</paraID>
      <start>66</start>
      <end>67</end>
      <status>unmodified</status>
      <modifiedWord/>
      <trackRevisions>false</trackRevisions>
    </reviewItem>
    <reviewItem>
      <errorID>d882e7fb-7be2-4024-be80-f32034bd53ef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7D62474B</paraID>
      <start>100</start>
      <end>101</end>
      <status>unmodified</status>
      <modifiedWord/>
      <trackRevisions>false</trackRevisions>
    </reviewItem>
    <reviewItem>
      <errorID>151f2bc1-5253-4748-a328-16ee75b84820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7D62474B</paraID>
      <start>107</start>
      <end>108</end>
      <status>unmodified</status>
      <modifiedWord/>
      <trackRevisions>false</trackRevisions>
    </reviewItem>
    <reviewItem>
      <errorID>b40e4e4f-de4c-4658-8071-505c2bc8bdb7</errorID>
      <errorWord>〔2017〕 141号</errorWord>
      <group>L1_Knowledge</group>
      <groupName>知识性问题</groupName>
      <ability>L2_Knowledge</ability>
      <abilityName>其他知识</abilityName>
      <candidateList>
        <item>〔2017〕141号</item>
      </candidateList>
      <explain>发文字号格式错误。</explain>
      <paraID> FB885BD</paraID>
      <start>49</start>
      <end>60</end>
      <status>unmodified</status>
      <modifiedWord/>
      <trackRevisions>false</trackRevisions>
    </reviewItem>
    <reviewItem>
      <errorID>6d1b32f8-16c4-4a0e-aa77-8842728ef3e1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3EC81EE6</paraID>
      <start>0</start>
      <end>2</end>
      <status>unmodified</status>
      <modifiedWord/>
      <trackRevisions>false</trackRevisions>
    </reviewItem>
    <reviewItem>
      <errorID>c2cbe11e-3e3d-4a90-a363-8a164a08db0a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817A055</paraID>
      <start>0</start>
      <end>2</end>
      <status>unmodified</status>
      <modifiedWord/>
      <trackRevisions>false</trackRevisions>
    </reviewItem>
    <reviewItem>
      <errorID>f6b5c3bb-39ed-489c-b3c2-66e54cf88dec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7B26C257</paraID>
      <start>0</start>
      <end>2</end>
      <status>unmodified</status>
      <modifiedWord/>
      <trackRevisions>false</trackRevisions>
    </reviewItem>
    <reviewItem>
      <errorID>202b8683-1870-450a-9665-6d86f60a752d</errorID>
      <errorWord>，</errorWord>
      <group>L1_Word</group>
      <groupName>字词问题</groupName>
      <ability>L2_Typo</ability>
      <abilityName>字词错误</abilityName>
      <candidateList>
        <item>，自</item>
      </candidateList>
      <explain/>
      <paraID>2AE7A6EC</paraID>
      <start>9</start>
      <end>10</end>
      <status>unmodified</status>
      <modifiedWord/>
      <trackRevisions>false</trackRevisions>
    </reviewItem>
    <reviewItem>
      <errorID>5171d3de-3b1e-4faf-90ef-da4644de6ab0</errorID>
      <errorWord>、也</errorWord>
      <group>L1_Punc</group>
      <groupName>标点问题</groupName>
      <ability>L2_Punc_CN</ability>
      <abilityName>标点符号问题</abilityName>
      <candidateList>
        <item>，也</item>
      </candidateList>
      <explain>连接词前后不宜使用顿号，建议使用逗号。</explain>
      <paraID>78D315E3</paraID>
      <start>61</start>
      <end>63</end>
      <status>unmodified</status>
      <modifiedWord/>
      <trackRevisions>false</trackRevisions>
    </reviewItem>
    <reviewItem>
      <errorID>623ad706-1c54-428d-ada1-fcd966f31335</errorID>
      <errorWord>详实</errorWord>
      <group>L1_Word</group>
      <groupName>字词问题</groupName>
      <ability>L2_Typo</ability>
      <abilityName>字词错误</abilityName>
      <candidateList>
        <item>翔实</item>
      </candidateList>
      <explain/>
      <paraID>1EA988C3</paraID>
      <start>52</start>
      <end>54</end>
      <status>unmodified</status>
      <modifiedWord/>
      <trackRevisions>false</trackRevisions>
    </reviewItem>
    <reviewItem>
      <errorID>2a97bc0a-4460-4c57-9b6e-76860549f729</errorID>
      <errorWord>《政府采购合同》（以下简称主合同）</errorWord>
      <group>L1_Knowledge</group>
      <groupName>知识性问题</groupName>
      <ability>L2_Knowledge</ability>
      <abilityName>其他知识</abilityName>
      <candidateList>
        <item>《政府采购合同》（以下简称“主合同”）</item>
      </candidateList>
      <explain>疑似政策文件、法律法规名称等书写不规范，请注意检查。</explain>
      <paraID>2CA43CCA</paraID>
      <start>25</start>
      <end>42</end>
      <status>unmodified</status>
      <modifiedWord/>
      <trackRevisions>false</trackRevisions>
    </reviewItem>
    <reviewItem>
      <errorID>8bd4aeee-9e7c-4165-8db4-74d1f21f7bc3</errorID>
      <errorWord>。</errorWord>
      <group>L1_Format</group>
      <groupName>格式问题</groupName>
      <ability>L2_HalfPunc_CN</ability>
      <abilityName>全半角问题</abilityName>
      <candidateList>
        <item>.</item>
      </candidateList>
      <explain>文本全半角错误。</explain>
      <paraID>71B10958</paraID>
      <start>14</start>
      <end>15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5A9D1DDE-2126-4D66-B807-B806C3A4B6E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张强</cp:lastModifiedBy>
  <cp:revision>11</cp:revision>
  <dcterms:created xsi:type="dcterms:W3CDTF">2018-04-26T03:04:00Z</dcterms:created>
  <dcterms:modified xsi:type="dcterms:W3CDTF">2026-10-09T02:52:29Z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eyJoZGlkIjoiYzlmNzY0YzM4MDdlMzQ3NWViZjJjNzk1NjA3ZmVjMjUiLCJ1c2VySWQiOiI3MTQzMDg0MjgifQ==</vt:lpwstr>
  </property>
  <property fmtid="{D5CDD505-2E9C-101B-9397-08002B2CF9AE}" pid="3" name="KSOProductBuildVer">
    <vt:lpwstr>2052-12.1.0.28505</vt:lpwstr>
  </property>
  <property fmtid="{D5CDD505-2E9C-101B-9397-08002B2CF9AE}" pid="4" name="ICV">
    <vt:lpwstr>57C2921982334A75AEF6920C28BF40AE_13</vt:lpwstr>
  </property>
</Properties>
</file>