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000000" w:themeColor="text1"/>
          <w:sz w:val="32"/>
          <w:szCs w:val="32"/>
          <w:highlight w:val="none"/>
          <w14:textFill>
            <w14:solidFill>
              <w14:schemeClr w14:val="tx1"/>
            </w14:solidFill>
          </w14:textFill>
        </w:rPr>
      </w:pPr>
      <w:r>
        <w:rPr>
          <w:rFonts w:hint="eastAsia" w:ascii="宋体" w:hAnsi="宋体" w:cs="CESI黑体-GB2312"/>
          <w:color w:val="000000" w:themeColor="text1"/>
          <w:sz w:val="32"/>
          <w:szCs w:val="32"/>
          <w:highlight w:val="none"/>
          <w14:textFill>
            <w14:solidFill>
              <w14:schemeClr w14:val="tx1"/>
            </w14:solidFill>
          </w14:textFill>
        </w:rPr>
        <w:t xml:space="preserve"> </w:t>
      </w:r>
      <w:r/>
    </w:p>
    <w:p>
      <w:pPr>
        <w:ind w:firstLine="160"/>
        <w:spacing w:line="360" w:lineRule="auto"/>
        <w:rPr>
          <w:rFonts w:hint="eastAsia" w:ascii="宋体" w:hAnsi="宋体" w:cs="CESI黑体-GB2312"/>
          <w:color w:val="000000" w:themeColor="text1"/>
          <w:sz w:val="32"/>
          <w:szCs w:val="32"/>
          <w:highlight w:val="none"/>
          <w14:textFill>
            <w14:solidFill>
              <w14:schemeClr w14:val="tx1"/>
            </w14:solidFill>
          </w14:textFill>
        </w:rPr>
      </w:pPr>
      <w:r>
        <w:rPr>
          <w:rFonts w:hint="eastAsia" w:ascii="宋体" w:hAnsi="宋体" w:cs="CESI黑体-GB2312"/>
          <w:color w:val="000000" w:themeColor="text1"/>
          <w:sz w:val="32"/>
          <w:szCs w:val="32"/>
          <w:highlight w:val="none"/>
          <w14:textFill>
            <w14:solidFill>
              <w14:schemeClr w14:val="tx1"/>
            </w14:solidFill>
          </w14:textFill>
        </w:rPr>
      </w:r>
      <w:r/>
    </w:p>
    <w:p>
      <w:pPr>
        <w:ind w:firstLine="160"/>
        <w:spacing w:line="360" w:lineRule="auto"/>
        <w:rPr>
          <w:rFonts w:hint="eastAsia" w:ascii="宋体" w:hAnsi="宋体" w:cs="CESI黑体-GB2312"/>
          <w:color w:val="000000" w:themeColor="text1"/>
          <w:sz w:val="32"/>
          <w:szCs w:val="32"/>
          <w:highlight w:val="none"/>
          <w14:textFill>
            <w14:solidFill>
              <w14:schemeClr w14:val="tx1"/>
            </w14:solidFill>
          </w14:textFill>
        </w:rPr>
      </w:pPr>
      <w:r>
        <w:rPr>
          <w:rFonts w:hint="eastAsia" w:ascii="宋体" w:hAnsi="宋体" w:cs="CESI黑体-GB2312"/>
          <w:color w:val="000000" w:themeColor="text1"/>
          <w:sz w:val="32"/>
          <w:szCs w:val="32"/>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t xml:space="preserve">竞</w:t>
      </w:r>
      <w:r>
        <w:rPr>
          <w:rFonts w:ascii="宋体" w:hAnsi="宋体"/>
          <w:b/>
          <w:bCs/>
          <w:color w:val="000000" w:themeColor="text1"/>
          <w:sz w:val="60"/>
          <w:szCs w:val="60"/>
          <w:highlight w:val="none"/>
          <w14:textFill>
            <w14:solidFill>
              <w14:schemeClr w14:val="tx1"/>
            </w14:solidFill>
          </w14:textFill>
        </w:rPr>
        <w:t xml:space="preserve">争性磋商文件</w:t>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ind w:left="2220" w:hanging="1800"/>
        <w:jc w:val="left"/>
        <w:spacing w:line="36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项目名称：</w:t>
      </w:r>
      <w:r>
        <w:rPr>
          <w:rFonts w:hint="eastAsia" w:ascii="宋体" w:hAnsi="宋体"/>
          <w:bCs/>
          <w:color w:val="000000" w:themeColor="text1"/>
          <w:sz w:val="36"/>
          <w:szCs w:val="36"/>
          <w:highlight w:val="none"/>
          <w14:textFill>
            <w14:solidFill>
              <w14:schemeClr w14:val="tx1"/>
            </w14:solidFill>
          </w14:textFill>
        </w:rPr>
        <w:t xml:space="preserve">嘉新社区消防设施维修与维护保养服务项目(三年期)</w:t>
      </w:r>
      <w:r/>
    </w:p>
    <w:p>
      <w:pPr>
        <w:ind w:left="420"/>
        <w:jc w:val="left"/>
        <w:spacing w:line="36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项目编号：JSZC-320412-GRGL-C2026-0001</w:t>
      </w:r>
      <w:r/>
    </w:p>
    <w:p>
      <w:pPr>
        <w:ind w:left="420"/>
        <w:jc w:val="left"/>
        <w:spacing w:line="36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采 购 人：</w:t>
      </w:r>
      <w:r>
        <w:rPr>
          <w:rFonts w:hint="eastAsia" w:ascii="宋体" w:hAnsi="宋体"/>
          <w:bCs/>
          <w:color w:val="000000" w:themeColor="text1"/>
          <w:sz w:val="36"/>
          <w:szCs w:val="36"/>
          <w:highlight w:val="none"/>
          <w14:textFill>
            <w14:solidFill>
              <w14:schemeClr w14:val="tx1"/>
            </w14:solidFill>
          </w14:textFill>
        </w:rPr>
        <w:t xml:space="preserve">常州市武进区嘉泽镇人民政府</w:t>
      </w:r>
      <w:r/>
    </w:p>
    <w:p>
      <w:pPr>
        <w:ind w:left="420"/>
        <w:jc w:val="left"/>
        <w:spacing w:line="36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t xml:space="preserve">采购</w:t>
      </w:r>
      <w:r>
        <w:rPr>
          <w:rFonts w:ascii="宋体" w:hAnsi="宋体"/>
          <w:bCs/>
          <w:color w:val="000000" w:themeColor="text1"/>
          <w:sz w:val="36"/>
          <w:szCs w:val="36"/>
          <w:highlight w:val="none"/>
          <w14:textFill>
            <w14:solidFill>
              <w14:schemeClr w14:val="tx1"/>
            </w14:solidFill>
          </w14:textFill>
        </w:rPr>
        <w:t xml:space="preserve">代理机构：</w:t>
      </w:r>
      <w:r>
        <w:rPr>
          <w:rFonts w:hint="eastAsia" w:ascii="宋体" w:hAnsi="宋体"/>
          <w:bCs/>
          <w:color w:val="000000" w:themeColor="text1"/>
          <w:sz w:val="36"/>
          <w:szCs w:val="36"/>
          <w:highlight w:val="none"/>
          <w14:textFill>
            <w14:solidFill>
              <w14:schemeClr w14:val="tx1"/>
            </w14:solidFill>
          </w14:textFill>
        </w:rPr>
        <w:t xml:space="preserve">江苏格睿工程项目管理有限公司</w:t>
      </w:r>
      <w:r/>
    </w:p>
    <w:p>
      <w:pPr>
        <w:ind w:firstLine="883"/>
        <w:jc w:val="center"/>
        <w:spacing w:before="100" w:after="240" w:line="500" w:lineRule="exact"/>
        <w:rPr>
          <w:rFonts w:hint="eastAsia" w:ascii="宋体" w:hAnsi="宋体"/>
          <w:b/>
          <w:bCs/>
          <w:color w:val="000000" w:themeColor="text1"/>
          <w:sz w:val="44"/>
          <w:highlight w:val="none"/>
          <w14:textFill>
            <w14:solidFill>
              <w14:schemeClr w14:val="tx1"/>
            </w14:solidFill>
          </w14:textFill>
        </w:rPr>
      </w:pPr>
      <w:r>
        <w:rPr>
          <w:rFonts w:ascii="宋体" w:hAnsi="宋体"/>
          <w:b/>
          <w:bCs/>
          <w:color w:val="000000" w:themeColor="text1"/>
          <w:sz w:val="44"/>
          <w:highlight w:val="none"/>
          <w14:textFill>
            <w14:solidFill>
              <w14:schemeClr w14:val="tx1"/>
            </w14:solidFill>
          </w14:textFill>
        </w:rPr>
        <w:br w:type="page" w:clear="all"/>
      </w:r>
      <w:bookmarkStart w:id="0" w:name="_Toc104818924"/>
      <w:r/>
      <w:r/>
    </w:p>
    <w:p>
      <w:pPr>
        <w:jc w:val="center"/>
        <w:spacing w:before="100" w:after="240" w:line="50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bookmarkEnd w:id="0"/>
      <w:r/>
      <w:r/>
    </w:p>
    <w:p>
      <w:pP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rStyle w:val="800"/>
          <w:rFonts w:hint="eastAsia" w:cs="宋体"/>
          <w:color w:val="000000" w:themeColor="text1"/>
          <w:sz w:val="32"/>
          <w:szCs w:val="32"/>
          <w:highlight w:val="none"/>
          <w14:textFill>
            <w14:solidFill>
              <w14:schemeClr w14:val="tx1"/>
            </w14:solidFill>
          </w14:textFill>
        </w:rPr>
        <w:fldChar w:fldCharType="begin"/>
      </w:r>
      <w:r>
        <w:rPr>
          <w:rStyle w:val="800"/>
          <w:rFonts w:hint="eastAsia" w:cs="宋体"/>
          <w:color w:val="000000" w:themeColor="text1"/>
          <w:sz w:val="32"/>
          <w:szCs w:val="32"/>
          <w:highlight w:val="none"/>
          <w14:textFill>
            <w14:solidFill>
              <w14:schemeClr w14:val="tx1"/>
            </w14:solidFill>
          </w14:textFill>
        </w:rPr>
        <w:instrText xml:space="preserve">TOC \o "1-1" \h \u </w:instrText>
      </w:r>
      <w:r>
        <w:rPr>
          <w:rStyle w:val="800"/>
          <w:rFonts w:hint="eastAsia" w:cs="宋体"/>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"_Toc8614"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第一章   采购邀请</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fldChar w:fldCharType="begin"/>
      </w:r>
      <w:r>
        <w:rPr>
          <w:rStyle w:val="800"/>
          <w:rFonts w:hint="eastAsia" w:cs="宋体"/>
          <w:color w:val="000000" w:themeColor="text1"/>
          <w:sz w:val="32"/>
          <w:szCs w:val="32"/>
          <w:highlight w:val="none"/>
          <w:u w:val="none"/>
          <w14:textFill>
            <w14:solidFill>
              <w14:schemeClr w14:val="tx1"/>
            </w14:solidFill>
          </w14:textFill>
        </w:rPr>
        <w:instrText xml:space="preserve"> PAGEREF _Toc8614 \h </w:instrText>
      </w:r>
      <w:r>
        <w:rPr>
          <w:rStyle w:val="800"/>
          <w:rFonts w:hint="eastAsia" w:cs="宋体"/>
          <w:color w:val="000000" w:themeColor="text1"/>
          <w:sz w:val="32"/>
          <w:szCs w:val="32"/>
          <w:highlight w:val="none"/>
          <w:u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1</w:t>
      </w:r>
      <w:r>
        <w:rPr>
          <w:rStyle w:val="800"/>
          <w:rFonts w:hint="eastAsia" w:cs="宋体"/>
          <w:color w:val="000000" w:themeColor="text1"/>
          <w:sz w:val="32"/>
          <w:szCs w:val="32"/>
          <w:highlight w:val="none"/>
          <w:u w:val="none"/>
          <w14:textFill>
            <w14:solidFill>
              <w14:schemeClr w14:val="tx1"/>
            </w14:solidFill>
          </w14:textFill>
        </w:rPr>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fldChar w:fldCharType="end"/>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"_Toc5724"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第二章   供应商须知</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fldChar w:fldCharType="begin"/>
      </w:r>
      <w:r>
        <w:rPr>
          <w:rStyle w:val="800"/>
          <w:rFonts w:hint="eastAsia" w:cs="宋体"/>
          <w:color w:val="000000" w:themeColor="text1"/>
          <w:sz w:val="32"/>
          <w:szCs w:val="32"/>
          <w:highlight w:val="none"/>
          <w:u w:val="none"/>
          <w14:textFill>
            <w14:solidFill>
              <w14:schemeClr w14:val="tx1"/>
            </w14:solidFill>
          </w14:textFill>
        </w:rPr>
        <w:instrText xml:space="preserve"> PAGEREF _Toc5724 \h </w:instrText>
      </w:r>
      <w:r>
        <w:rPr>
          <w:rStyle w:val="800"/>
          <w:rFonts w:hint="eastAsia" w:cs="宋体"/>
          <w:color w:val="000000" w:themeColor="text1"/>
          <w:sz w:val="32"/>
          <w:szCs w:val="32"/>
          <w:highlight w:val="none"/>
          <w:u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5</w:t>
      </w:r>
      <w:r>
        <w:rPr>
          <w:rStyle w:val="800"/>
          <w:rFonts w:hint="eastAsia" w:cs="宋体"/>
          <w:color w:val="000000" w:themeColor="text1"/>
          <w:sz w:val="32"/>
          <w:szCs w:val="32"/>
          <w:highlight w:val="none"/>
          <w:u w:val="none"/>
          <w14:textFill>
            <w14:solidFill>
              <w14:schemeClr w14:val="tx1"/>
            </w14:solidFill>
          </w14:textFill>
        </w:rPr>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fldChar w:fldCharType="end"/>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"_Toc2600"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第三章   评审程序、评审方法和评审标准</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t xml:space="preserve">2</w:t>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t xml:space="preserve">1</w:t>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"_Toc8874"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第四章   采购需求</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fldChar w:fldCharType="begin"/>
      </w:r>
      <w:r>
        <w:rPr>
          <w:rStyle w:val="800"/>
          <w:rFonts w:hint="eastAsia" w:cs="宋体"/>
          <w:color w:val="000000" w:themeColor="text1"/>
          <w:sz w:val="32"/>
          <w:szCs w:val="32"/>
          <w:highlight w:val="none"/>
          <w:u w:val="none"/>
          <w14:textFill>
            <w14:solidFill>
              <w14:schemeClr w14:val="tx1"/>
            </w14:solidFill>
          </w14:textFill>
        </w:rPr>
        <w:instrText xml:space="preserve"> PAGEREF _Toc8874 \h </w:instrText>
      </w:r>
      <w:r>
        <w:rPr>
          <w:rStyle w:val="800"/>
          <w:rFonts w:hint="eastAsia" w:cs="宋体"/>
          <w:color w:val="000000" w:themeColor="text1"/>
          <w:sz w:val="32"/>
          <w:szCs w:val="32"/>
          <w:highlight w:val="none"/>
          <w:u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32</w:t>
      </w:r>
      <w:r>
        <w:rPr>
          <w:rStyle w:val="800"/>
          <w:rFonts w:hint="eastAsia" w:cs="宋体"/>
          <w:color w:val="000000" w:themeColor="text1"/>
          <w:sz w:val="32"/>
          <w:szCs w:val="32"/>
          <w:highlight w:val="none"/>
          <w:u w:val="none"/>
          <w14:textFill>
            <w14:solidFill>
              <w14:schemeClr w14:val="tx1"/>
            </w14:solidFill>
          </w14:textFill>
        </w:rPr>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fldChar w:fldCharType="end"/>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第五章   合同草案条款</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t xml:space="preserve">3</w:t>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t xml:space="preserve">3</w:t>
      </w:r>
      <w:r/>
    </w:p>
    <w:p>
      <w:pPr>
        <w:pStyle w:val="781"/>
        <w:spacing w:line="360" w:lineRule="auto"/>
        <w:rPr>
          <w:rStyle w:val="800"/>
          <w:rFonts w:hint="eastAsia" w:cs="宋体"/>
          <w:color w:val="000000" w:themeColor="text1"/>
          <w:sz w:val="32"/>
          <w:szCs w:val="32"/>
          <w:highlight w:val="none"/>
          <w:u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"_Toc10386" </w:instrText>
      </w:r>
      <w:r>
        <w:rPr>
          <w:color w:val="000000" w:themeColor="text1"/>
          <w:highlight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第六章   响应文件格式</w:t>
      </w:r>
      <w:r>
        <w:rPr>
          <w:rStyle w:val="800"/>
          <w:rFonts w:hint="eastAsia" w:cs="宋体"/>
          <w:color w:val="000000" w:themeColor="text1"/>
          <w:sz w:val="32"/>
          <w:szCs w:val="32"/>
          <w:highlight w:val="none"/>
          <w:u w:val="none"/>
          <w14:textFill>
            <w14:solidFill>
              <w14:schemeClr w14:val="tx1"/>
            </w14:solidFill>
          </w14:textFill>
        </w:rPr>
        <w:tab/>
      </w:r>
      <w:r>
        <w:rPr>
          <w:rStyle w:val="800"/>
          <w:rFonts w:hint="eastAsia" w:cs="宋体"/>
          <w:color w:val="000000" w:themeColor="text1"/>
          <w:sz w:val="32"/>
          <w:szCs w:val="32"/>
          <w:highlight w:val="none"/>
          <w:u w:val="none"/>
          <w14:textFill>
            <w14:solidFill>
              <w14:schemeClr w14:val="tx1"/>
            </w14:solidFill>
          </w14:textFill>
        </w:rPr>
        <w:fldChar w:fldCharType="begin"/>
      </w:r>
      <w:r>
        <w:rPr>
          <w:rStyle w:val="800"/>
          <w:rFonts w:hint="eastAsia" w:cs="宋体"/>
          <w:color w:val="000000" w:themeColor="text1"/>
          <w:sz w:val="32"/>
          <w:szCs w:val="32"/>
          <w:highlight w:val="none"/>
          <w:u w:val="none"/>
          <w14:textFill>
            <w14:solidFill>
              <w14:schemeClr w14:val="tx1"/>
            </w14:solidFill>
          </w14:textFill>
        </w:rPr>
        <w:instrText xml:space="preserve"> PAGEREF _Toc10386 \h </w:instrText>
      </w:r>
      <w:r>
        <w:rPr>
          <w:rStyle w:val="800"/>
          <w:rFonts w:hint="eastAsia" w:cs="宋体"/>
          <w:color w:val="000000" w:themeColor="text1"/>
          <w:sz w:val="32"/>
          <w:szCs w:val="32"/>
          <w:highlight w:val="none"/>
          <w:u w:val="none"/>
          <w14:textFill>
            <w14:solidFill>
              <w14:schemeClr w14:val="tx1"/>
            </w14:solidFill>
          </w14:textFill>
        </w:rPr>
        <w:fldChar w:fldCharType="separate"/>
      </w:r>
      <w:r>
        <w:rPr>
          <w:rStyle w:val="800"/>
          <w:rFonts w:hint="eastAsia" w:cs="宋体"/>
          <w:color w:val="000000" w:themeColor="text1"/>
          <w:sz w:val="32"/>
          <w:szCs w:val="32"/>
          <w:highlight w:val="none"/>
          <w:u w:val="none"/>
          <w14:textFill>
            <w14:solidFill>
              <w14:schemeClr w14:val="tx1"/>
            </w14:solidFill>
          </w14:textFill>
        </w:rPr>
        <w:t xml:space="preserve">48</w:t>
      </w:r>
      <w:r>
        <w:rPr>
          <w:rStyle w:val="800"/>
          <w:rFonts w:hint="eastAsia" w:cs="宋体"/>
          <w:color w:val="000000" w:themeColor="text1"/>
          <w:sz w:val="32"/>
          <w:szCs w:val="32"/>
          <w:highlight w:val="none"/>
          <w:u w:val="none"/>
          <w14:textFill>
            <w14:solidFill>
              <w14:schemeClr w14:val="tx1"/>
            </w14:solidFill>
          </w14:textFill>
        </w:rPr>
      </w:r>
      <w:r>
        <w:rPr>
          <w:rStyle w:val="800"/>
          <w:rFonts w:hint="eastAsia" w:cs="宋体"/>
          <w:color w:val="000000" w:themeColor="text1"/>
          <w:sz w:val="32"/>
          <w:szCs w:val="32"/>
          <w:highlight w:val="none"/>
          <w:u w:val="none"/>
          <w14:textFill>
            <w14:solidFill>
              <w14:schemeClr w14:val="tx1"/>
            </w14:solidFill>
          </w14:textFill>
        </w:rPr>
        <w:fldChar w:fldCharType="end"/>
      </w:r>
      <w:r>
        <w:rPr>
          <w:rStyle w:val="800"/>
          <w:rFonts w:hint="eastAsia" w:cs="宋体"/>
          <w:color w:val="000000" w:themeColor="text1"/>
          <w:sz w:val="32"/>
          <w:szCs w:val="32"/>
          <w:highlight w:val="none"/>
          <w:u w:val="none"/>
          <w14:textFill>
            <w14:solidFill>
              <w14:schemeClr w14:val="tx1"/>
            </w14:solidFill>
          </w14:textFill>
        </w:rPr>
        <w:fldChar w:fldCharType="end"/>
      </w:r>
      <w:r/>
    </w:p>
    <w:p>
      <w:pPr>
        <w:pStyle w:val="781"/>
        <w:spacing w:line="360" w:lineRule="auto"/>
        <w:rPr>
          <w:rFonts w:hint="eastAsia" w:cs="宋体"/>
          <w:b w:val="0"/>
          <w:color w:val="000000" w:themeColor="text1"/>
          <w:sz w:val="32"/>
          <w:szCs w:val="32"/>
          <w:highlight w:val="none"/>
          <w14:textFill>
            <w14:solidFill>
              <w14:schemeClr w14:val="tx1"/>
            </w14:solidFill>
          </w14:textFill>
        </w:rPr>
      </w:pPr>
      <w:r>
        <w:rPr>
          <w:rStyle w:val="800"/>
          <w:rFonts w:hint="eastAsia" w:cs="宋体"/>
          <w:color w:val="000000" w:themeColor="text1"/>
          <w:sz w:val="32"/>
          <w:szCs w:val="32"/>
          <w:highlight w:val="none"/>
          <w14:textFill>
            <w14:solidFill>
              <w14:schemeClr w14:val="tx1"/>
            </w14:solidFill>
          </w14:textFill>
        </w:rPr>
        <w:fldChar w:fldCharType="end"/>
      </w:r>
      <w:r/>
    </w:p>
    <w:p>
      <w:pPr>
        <w:pStyle w:val="781"/>
        <w:ind w:firstLine="640"/>
        <w:spacing w:line="360" w:lineRule="auto"/>
        <w:rPr>
          <w:rFonts w:hint="eastAsia" w:cs="宋体"/>
          <w:b w:val="0"/>
          <w:color w:val="000000" w:themeColor="text1"/>
          <w:sz w:val="32"/>
          <w:szCs w:val="32"/>
          <w:highlight w:val="none"/>
          <w14:textFill>
            <w14:solidFill>
              <w14:schemeClr w14:val="tx1"/>
            </w14:solidFill>
          </w14:textFill>
        </w:rPr>
      </w:pPr>
      <w:r>
        <w:rPr>
          <w:rFonts w:hint="eastAsia" w:cs="宋体"/>
          <w:b w:val="0"/>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sect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bookmarkStart w:id="1" w:name="_Toc104818925"/>
      <w:r/>
      <w:bookmarkStart w:id="2" w:name="_Toc8614"/>
      <w:r>
        <w:rPr>
          <w:rFonts w:ascii="宋体" w:hAnsi="宋体"/>
          <w:b/>
          <w:color w:val="000000" w:themeColor="text1"/>
          <w:sz w:val="36"/>
          <w:szCs w:val="36"/>
          <w:highlight w:val="none"/>
          <w14:textFill>
            <w14:solidFill>
              <w14:schemeClr w14:val="tx1"/>
            </w14:solidFill>
          </w14:textFill>
        </w:rPr>
        <w:t xml:space="preserve">第一章   采购邀请</w:t>
      </w:r>
      <w:bookmarkEnd w:id="1"/>
      <w:r/>
      <w:bookmarkEnd w:id="2"/>
      <w:r/>
      <w:bookmarkStart w:id="3" w:name="_Toc28359079"/>
      <w:r/>
      <w:bookmarkStart w:id="4" w:name="_Toc28359002"/>
      <w:r/>
      <w:bookmarkStart w:id="5" w:name="_Toc35393621"/>
      <w:r/>
      <w:bookmarkStart w:id="6" w:name="_Toc35393790"/>
      <w:r/>
      <w:bookmarkStart w:id="7" w:name="_Hlk24379207"/>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一、项目基本情况</w:t>
      </w:r>
      <w:bookmarkEnd w:id="3"/>
      <w:r/>
      <w:bookmarkEnd w:id="4"/>
      <w:r/>
      <w:bookmarkEnd w:id="5"/>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ascii="宋体" w:hAnsi="宋体" w:cs="宋体"/>
          <w:color w:val="000000" w:themeColor="text1"/>
          <w:sz w:val="24"/>
          <w:highlight w:val="none"/>
          <w14:textFill>
            <w14:solidFill>
              <w14:schemeClr w14:val="tx1"/>
            </w14:solidFill>
          </w14:textFill>
        </w:rPr>
        <w:t xml:space="preserve">JSZC-320412-GRGL-C2026-0001</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u w:val="single"/>
          <w14:textFill>
            <w14:solidFill>
              <w14:schemeClr w14:val="tx1"/>
            </w14:solidFill>
          </w14:textFill>
        </w:rPr>
        <w:t xml:space="preserve">嘉新社区消防设施维修与维护保养服务项目(三年期)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bookmarkEnd w:id="7"/>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4.项目预算金额：</w:t>
      </w:r>
      <w:r>
        <w:rPr>
          <w:rFonts w:hint="eastAsia" w:ascii="宋体" w:hAnsi="宋体" w:cs="宋体"/>
          <w:color w:val="000000" w:themeColor="text1"/>
          <w:sz w:val="24"/>
          <w:highlight w:val="none"/>
          <w:u w:val="single"/>
          <w14:textFill>
            <w14:solidFill>
              <w14:schemeClr w14:val="tx1"/>
            </w14:solidFill>
          </w14:textFill>
        </w:rPr>
        <w:t xml:space="preserve">135万</w:t>
      </w:r>
      <w:r>
        <w:rPr>
          <w:rFonts w:hint="eastAsia" w:ascii="宋体" w:hAnsi="宋体" w:cs="宋体"/>
          <w:color w:val="000000" w:themeColor="text1"/>
          <w:sz w:val="24"/>
          <w:highlight w:val="none"/>
          <w14:textFill>
            <w14:solidFill>
              <w14:schemeClr w14:val="tx1"/>
            </w14:solidFill>
          </w14:textFill>
        </w:rPr>
        <w:t xml:space="preserve">元</w:t>
      </w:r>
      <w:r>
        <w:rPr>
          <w:rFonts w:ascii="宋体" w:hAnsi="宋体" w:cs="宋体"/>
          <w:color w:val="000000" w:themeColor="text1"/>
          <w:sz w:val="24"/>
          <w:highlight w:val="none"/>
          <w14:textFill>
            <w14:solidFill>
              <w14:schemeClr w14:val="tx1"/>
            </w14:solidFill>
          </w14:textFill>
        </w:rPr>
        <w:t xml:space="preserve">（即</w:t>
      </w:r>
      <w:r>
        <w:rPr>
          <w:rFonts w:hint="eastAsia" w:ascii="宋体" w:hAnsi="宋体" w:cs="宋体"/>
          <w:color w:val="000000" w:themeColor="text1"/>
          <w:sz w:val="24"/>
          <w:highlight w:val="none"/>
          <w14:textFill>
            <w14:solidFill>
              <w14:schemeClr w14:val="tx1"/>
            </w14:solidFill>
          </w14:textFill>
        </w:rPr>
        <w:t xml:space="preserve">45</w:t>
      </w:r>
      <w:r>
        <w:rPr>
          <w:rFonts w:ascii="宋体" w:hAnsi="宋体" w:cs="宋体"/>
          <w:color w:val="000000" w:themeColor="text1"/>
          <w:sz w:val="24"/>
          <w:highlight w:val="none"/>
          <w14:textFill>
            <w14:solidFill>
              <w14:schemeClr w14:val="tx1"/>
            </w14:solidFill>
          </w14:textFill>
        </w:rPr>
        <w:t xml:space="preserve">万元/年）</w:t>
      </w:r>
      <w:r>
        <w:rPr>
          <w:rFonts w:hint="eastAsia" w:ascii="宋体" w:hAnsi="宋体" w:cs="宋体"/>
          <w:color w:val="000000" w:themeColor="text1"/>
          <w:sz w:val="24"/>
          <w:highlight w:val="none"/>
          <w14:textFill>
            <w14:solidFill>
              <w14:schemeClr w14:val="tx1"/>
            </w14:solidFill>
          </w14:textFill>
        </w:rPr>
        <w:t xml:space="preserve">、项目最高限价：</w:t>
      </w:r>
      <w:r>
        <w:rPr>
          <w:rFonts w:hint="eastAsia" w:ascii="宋体" w:hAnsi="宋体" w:cs="宋体"/>
          <w:color w:val="000000" w:themeColor="text1"/>
          <w:sz w:val="24"/>
          <w:highlight w:val="none"/>
          <w:u w:val="single"/>
          <w14:textFill>
            <w14:solidFill>
              <w14:schemeClr w14:val="tx1"/>
            </w14:solidFill>
          </w14:textFill>
        </w:rPr>
        <w:t xml:space="preserve">本项目最</w:t>
      </w:r>
      <w:r>
        <w:rPr>
          <w:rFonts w:hint="eastAsia" w:ascii="宋体" w:hAnsi="宋体" w:cs="宋体"/>
          <w:color w:val="000000" w:themeColor="text1"/>
          <w:sz w:val="24"/>
          <w:highlight w:val="none"/>
          <w:u w:val="single"/>
          <w:lang w:val="en-US" w:eastAsia="zh-CN"/>
          <w14:textFill>
            <w14:solidFill>
              <w14:schemeClr w14:val="tx1"/>
            </w14:solidFill>
          </w14:textFill>
        </w:rPr>
        <w:t xml:space="preserve">低优惠</w:t>
      </w:r>
      <w:r>
        <w:rPr>
          <w:rFonts w:hint="eastAsia" w:ascii="宋体" w:hAnsi="宋体" w:cs="宋体"/>
          <w:color w:val="000000" w:themeColor="text1"/>
          <w:sz w:val="24"/>
          <w:highlight w:val="none"/>
          <w:u w:val="single"/>
          <w14:textFill>
            <w14:solidFill>
              <w14:schemeClr w14:val="tx1"/>
            </w14:solidFill>
          </w14:textFill>
        </w:rPr>
        <w:t xml:space="preserve">率为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5.采购需求：</w:t>
      </w:r>
      <w:r>
        <w:rPr>
          <w:rFonts w:ascii="宋体" w:hAnsi="宋体" w:cs="宋体"/>
          <w:color w:val="000000" w:themeColor="text1"/>
          <w:sz w:val="24"/>
          <w:highlight w:val="none"/>
          <w14:textFill>
            <w14:solidFill>
              <w14:schemeClr w14:val="tx1"/>
            </w14:solidFill>
          </w14:textFill>
        </w:rPr>
        <w:t xml:space="preserve">为确保小区消防安全，依据《中华人民共和国消防法》及相关法规要求，保障本社区消防设施全年完好有效，消除安全隐患，结合本社区消防系统现状，选择专业消防维保单位提供全周期消防维修、保养、故障抢修等一体化服务，确保所有消防设备时刻处于正常可用状态。</w:t>
      </w:r>
      <w:r>
        <w:rPr>
          <w:rFonts w:hint="eastAsia" w:ascii="宋体" w:hAnsi="宋体" w:cs="宋体"/>
          <w:bCs/>
          <w:color w:val="000000" w:themeColor="text1"/>
          <w:sz w:val="24"/>
          <w:highlight w:val="none"/>
          <w14:textFill>
            <w14:solidFill>
              <w14:schemeClr w14:val="tx1"/>
            </w14:solidFill>
          </w14:textFill>
        </w:rPr>
        <w:t xml:space="preserve">具体内容详见采购需求。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6.合同履行期限：</w:t>
      </w:r>
      <w:r>
        <w:rPr>
          <w:rFonts w:ascii="宋体" w:hAnsi="宋体" w:cs="宋体"/>
          <w:color w:val="000000" w:themeColor="text1"/>
          <w:sz w:val="24"/>
          <w:highlight w:val="none"/>
          <w14:textFill>
            <w14:solidFill>
              <w14:schemeClr w14:val="tx1"/>
            </w14:solidFill>
          </w14:textFill>
        </w:rPr>
        <w:t xml:space="preserve">叁年，合同一年一签，每年考核合格后续签下一年合同</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考核不合格的，甲方有权终止合同。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7.本项目是否接受联合体：□是  ■否。</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bookmarkStart w:id="8" w:name="_Toc35393622"/>
      <w:r/>
      <w:bookmarkStart w:id="9" w:name="_Toc35393791"/>
      <w:r/>
      <w:bookmarkStart w:id="10" w:name="_Toc28359080"/>
      <w:r/>
      <w:bookmarkStart w:id="11" w:name="_Toc28359003"/>
      <w:r>
        <w:rPr>
          <w:rFonts w:hint="eastAsia" w:ascii="宋体" w:hAnsi="宋体"/>
          <w:b/>
          <w:bCs/>
          <w:color w:val="000000" w:themeColor="text1"/>
          <w:sz w:val="24"/>
          <w:highlight w:val="none"/>
          <w14:textFill>
            <w14:solidFill>
              <w14:schemeClr w14:val="tx1"/>
            </w14:solidFill>
          </w14:textFill>
        </w:rPr>
        <w:t xml:space="preserve">二、申请人的资格要求（须同时满足）</w:t>
      </w:r>
      <w:bookmarkEnd w:id="8"/>
      <w:r/>
      <w:bookmarkEnd w:id="9"/>
      <w:r/>
      <w:bookmarkEnd w:id="10"/>
      <w:r/>
      <w:bookmarkEnd w:id="11"/>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2" w:name="_Toc28359081"/>
      <w:r/>
      <w:bookmarkStart w:id="13" w:name="_Toc28359004"/>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1.满足《中华人民共和国政府采购法》第二十二条规定以及下列情形：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中小企业政策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■本项目专门面向  ■中小 □小微企业  采购。即：提供的服务全部由符合政策要求的中小企业承接。</w:t>
      </w:r>
      <w:r>
        <w:rPr>
          <w:rFonts w:ascii="宋体" w:hAnsi="宋体" w:cs="宋体"/>
          <w:color w:val="000000" w:themeColor="text1"/>
          <w:sz w:val="24"/>
          <w:highlight w:val="none"/>
          <w14:textFill>
            <w14:solidFill>
              <w14:schemeClr w14:val="tx1"/>
            </w14:solidFill>
          </w14:textFill>
        </w:rPr>
        <w:t xml:space="preserve">（说明：中小企业包含中型、小型、微型企业，残疾人福利性单位和监狱企业视同小微企业）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其它落实政府采购政策的资格要求：</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i/>
          <w:i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本项目是否属于政府购买服务：</w:t>
      </w:r>
      <w:r/>
    </w:p>
    <w:p>
      <w:pPr>
        <w:ind w:left="991"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ind w:left="991"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3.3其他特定资格要求：无</w:t>
      </w:r>
      <w:bookmarkEnd w:id="12"/>
      <w:bookmarkEnd w:id="13"/>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bookmarkStart w:id="14" w:name="_Toc35393792"/>
      <w:r/>
      <w:bookmarkStart w:id="15" w:name="_Toc35393623"/>
      <w:r>
        <w:rPr>
          <w:rFonts w:hint="eastAsia" w:ascii="宋体" w:hAnsi="宋体"/>
          <w:b/>
          <w:bCs/>
          <w:color w:val="000000" w:themeColor="text1"/>
          <w:sz w:val="24"/>
          <w:highlight w:val="none"/>
          <w14:textFill>
            <w14:solidFill>
              <w14:schemeClr w14:val="tx1"/>
            </w14:solidFill>
          </w14:textFill>
        </w:rPr>
        <w:t xml:space="preserve">三、获取采购文件</w:t>
      </w:r>
      <w:bookmarkEnd w:id="14"/>
      <w:r/>
      <w:bookmarkEnd w:id="15"/>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1.时间：</w:t>
      </w:r>
      <w:r>
        <w:rPr>
          <w:rFonts w:ascii="宋体" w:hAnsi="宋体" w:cs="宋体"/>
          <w:color w:val="000000" w:themeColor="text1"/>
          <w:sz w:val="24"/>
          <w:highlight w:val="none"/>
          <w:u w:val="single"/>
          <w14:textFill>
            <w14:solidFill>
              <w14:schemeClr w14:val="tx1"/>
            </w14:solidFill>
          </w14:textFill>
        </w:rPr>
        <w:t xml:space="preserve">自磋商文件公告发布之日起5个工作日</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2.地点：政府采购一体化平台“苏采云”。</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3.方式：在“苏采云”平台自行免费下载磋商文件。</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4.售价：</w:t>
      </w:r>
      <w:r>
        <w:rPr>
          <w:rFonts w:hint="eastAsia" w:ascii="宋体" w:hAnsi="宋体" w:cs="宋体"/>
          <w:color w:val="000000" w:themeColor="text1"/>
          <w:sz w:val="24"/>
          <w:highlight w:val="none"/>
          <w:u w:val="single"/>
          <w:lang w:bidi="ar"/>
          <w14:textFill>
            <w14:solidFill>
              <w14:schemeClr w14:val="tx1"/>
            </w14:solidFill>
          </w14:textFill>
        </w:rPr>
        <w:t xml:space="preserve"> 0 </w:t>
      </w:r>
      <w:r>
        <w:rPr>
          <w:rFonts w:hint="eastAsia" w:ascii="宋体" w:hAnsi="宋体" w:cs="宋体"/>
          <w:color w:val="000000" w:themeColor="text1"/>
          <w:sz w:val="24"/>
          <w:highlight w:val="none"/>
          <w:lang w:bidi="ar"/>
          <w14:textFill>
            <w14:solidFill>
              <w14:schemeClr w14:val="tx1"/>
            </w14:solidFill>
          </w14:textFill>
        </w:rPr>
        <w:t xml:space="preserve">元。</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bookmarkStart w:id="16" w:name="_Toc28359082"/>
      <w:r/>
      <w:bookmarkStart w:id="17" w:name="_Toc28359005"/>
      <w:r/>
      <w:bookmarkStart w:id="18" w:name="_Toc35393624"/>
      <w:r/>
      <w:bookmarkStart w:id="19" w:name="_Toc35393793"/>
      <w:r>
        <w:rPr>
          <w:rFonts w:hint="eastAsia" w:ascii="宋体" w:hAnsi="宋体"/>
          <w:b/>
          <w:bCs/>
          <w:color w:val="000000" w:themeColor="text1"/>
          <w:sz w:val="24"/>
          <w:highlight w:val="none"/>
          <w14:textFill>
            <w14:solidFill>
              <w14:schemeClr w14:val="tx1"/>
            </w14:solidFill>
          </w14:textFill>
        </w:rPr>
        <w:t xml:space="preserve">四、</w:t>
      </w:r>
      <w:bookmarkEnd w:id="16"/>
      <w:r/>
      <w:bookmarkEnd w:id="17"/>
      <w:r/>
      <w:bookmarkEnd w:id="18"/>
      <w:r/>
      <w:bookmarkEnd w:id="19"/>
      <w:r>
        <w:rPr>
          <w:rFonts w:hint="eastAsia" w:ascii="宋体" w:hAnsi="宋体"/>
          <w:b/>
          <w:bCs/>
          <w:color w:val="000000" w:themeColor="text1"/>
          <w:sz w:val="24"/>
          <w:highlight w:val="none"/>
          <w14:textFill>
            <w14:solidFill>
              <w14:schemeClr w14:val="tx1"/>
            </w14:solidFill>
          </w14:textFill>
        </w:rPr>
        <w:t xml:space="preserve">响应文件提交</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截止时间：</w:t>
      </w:r>
      <w:r>
        <w:rPr>
          <w:rFonts w:ascii="宋体" w:hAnsi="宋体" w:cs="宋体"/>
          <w:color w:val="000000" w:themeColor="text1"/>
          <w:sz w:val="24"/>
          <w:highlight w:val="none"/>
          <w:u w:val="single"/>
          <w14:textFill>
            <w14:solidFill>
              <w14:schemeClr w14:val="tx1"/>
            </w14:solidFill>
          </w14:textFill>
        </w:rPr>
        <w:t xml:space="preserve">2026年</w:t>
      </w:r>
      <w:r>
        <w:rPr>
          <w:rFonts w:hint="eastAsia" w:ascii="宋体" w:hAnsi="宋体" w:cs="宋体"/>
          <w:color w:val="000000" w:themeColor="text1"/>
          <w:sz w:val="24"/>
          <w:highlight w:val="none"/>
          <w:u w:val="single"/>
          <w14:textFill>
            <w14:solidFill>
              <w14:schemeClr w14:val="tx1"/>
            </w14:solidFill>
          </w14:textFill>
        </w:rPr>
        <w:t xml:space="preserve">11</w:t>
      </w:r>
      <w:r>
        <w:rPr>
          <w:rFonts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9</w:t>
      </w:r>
      <w:r>
        <w:rPr>
          <w:rFonts w:ascii="宋体" w:hAnsi="宋体" w:cs="宋体"/>
          <w:color w:val="000000" w:themeColor="text1"/>
          <w:sz w:val="24"/>
          <w:highlight w:val="none"/>
          <w:u w:val="single"/>
          <w14:textFill>
            <w14:solidFill>
              <w14:schemeClr w14:val="tx1"/>
            </w14:solidFill>
          </w14:textFill>
        </w:rPr>
        <w:t xml:space="preserve">日1</w:t>
      </w:r>
      <w:r>
        <w:rPr>
          <w:rFonts w:hint="eastAsia" w:ascii="宋体" w:hAnsi="宋体" w:cs="宋体"/>
          <w:color w:val="000000" w:themeColor="text1"/>
          <w:sz w:val="24"/>
          <w:highlight w:val="none"/>
          <w:u w:val="single"/>
          <w14:textFill>
            <w14:solidFill>
              <w14:schemeClr w14:val="tx1"/>
            </w14:solidFill>
          </w14:textFill>
        </w:rPr>
        <w:t xml:space="preserve">4</w:t>
      </w:r>
      <w:r>
        <w:rPr>
          <w:rFonts w:ascii="宋体" w:hAnsi="宋体" w:cs="宋体"/>
          <w:color w:val="000000" w:themeColor="text1"/>
          <w:sz w:val="24"/>
          <w:highlight w:val="none"/>
          <w:u w:val="single"/>
          <w14:textFill>
            <w14:solidFill>
              <w14:schemeClr w14:val="tx1"/>
            </w14:solidFill>
          </w14:textFill>
        </w:rPr>
        <w:t xml:space="preserve">点00分</w:t>
      </w:r>
      <w:r>
        <w:rPr>
          <w:rFonts w:hint="eastAsia" w:ascii="宋体" w:hAnsi="宋体" w:cs="宋体"/>
          <w:bCs/>
          <w:color w:val="000000" w:themeColor="text1"/>
          <w:sz w:val="24"/>
          <w:highlight w:val="none"/>
          <w:lang w:bidi="ar"/>
          <w14:textFill>
            <w14:solidFill>
              <w14:schemeClr w14:val="tx1"/>
            </w14:solidFill>
          </w14:textFill>
        </w:rPr>
        <w:t xml:space="preserve">（北京时间）</w:t>
      </w:r>
      <w:r>
        <w:rPr>
          <w:rFonts w:hint="eastAsia" w:ascii="宋体" w:hAnsi="宋体" w:cs="宋体"/>
          <w:iCs/>
          <w:color w:val="000000" w:themeColor="text1"/>
          <w:sz w:val="24"/>
          <w:highlight w:val="none"/>
          <w:lang w:bidi="ar"/>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地点：</w:t>
      </w:r>
      <w:r>
        <w:rPr>
          <w:rFonts w:hint="eastAsia" w:ascii="宋体" w:hAnsi="宋体" w:cs="宋体"/>
          <w:color w:val="000000" w:themeColor="text1"/>
          <w:sz w:val="24"/>
          <w:highlight w:val="none"/>
          <w:u w:val="single"/>
          <w:lang w:bidi="ar"/>
          <w14:textFill>
            <w14:solidFill>
              <w14:schemeClr w14:val="tx1"/>
            </w14:solidFill>
          </w14:textFill>
        </w:rPr>
        <w:t xml:space="preserve">本项目采用不见面交易方式，无需到现场提交，供应商登录“苏采云”系统供应商端，通过系统在线提交电子响应文件</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五、开启</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时间：</w:t>
      </w:r>
      <w:r>
        <w:rPr>
          <w:rFonts w:ascii="宋体" w:hAnsi="宋体" w:cs="宋体"/>
          <w:color w:val="000000" w:themeColor="text1"/>
          <w:sz w:val="24"/>
          <w:highlight w:val="none"/>
          <w:u w:val="single"/>
          <w14:textFill>
            <w14:solidFill>
              <w14:schemeClr w14:val="tx1"/>
            </w14:solidFill>
          </w14:textFill>
        </w:rPr>
        <w:t xml:space="preserve">2026年</w:t>
      </w:r>
      <w:r>
        <w:rPr>
          <w:rFonts w:hint="eastAsia" w:ascii="宋体" w:hAnsi="宋体" w:cs="宋体"/>
          <w:color w:val="000000" w:themeColor="text1"/>
          <w:sz w:val="24"/>
          <w:highlight w:val="none"/>
          <w:u w:val="single"/>
          <w14:textFill>
            <w14:solidFill>
              <w14:schemeClr w14:val="tx1"/>
            </w14:solidFill>
          </w14:textFill>
        </w:rPr>
        <w:t xml:space="preserve">11</w:t>
      </w:r>
      <w:r>
        <w:rPr>
          <w:rFonts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9</w:t>
      </w:r>
      <w:r>
        <w:rPr>
          <w:rFonts w:ascii="宋体" w:hAnsi="宋体" w:cs="宋体"/>
          <w:color w:val="000000" w:themeColor="text1"/>
          <w:sz w:val="24"/>
          <w:highlight w:val="none"/>
          <w:u w:val="single"/>
          <w14:textFill>
            <w14:solidFill>
              <w14:schemeClr w14:val="tx1"/>
            </w14:solidFill>
          </w14:textFill>
        </w:rPr>
        <w:t xml:space="preserve">日1</w:t>
      </w:r>
      <w:r>
        <w:rPr>
          <w:rFonts w:hint="eastAsia" w:ascii="宋体" w:hAnsi="宋体" w:cs="宋体"/>
          <w:color w:val="000000" w:themeColor="text1"/>
          <w:sz w:val="24"/>
          <w:highlight w:val="none"/>
          <w:u w:val="single"/>
          <w14:textFill>
            <w14:solidFill>
              <w14:schemeClr w14:val="tx1"/>
            </w14:solidFill>
          </w14:textFill>
        </w:rPr>
        <w:t xml:space="preserve">4</w:t>
      </w:r>
      <w:r>
        <w:rPr>
          <w:rFonts w:ascii="宋体" w:hAnsi="宋体" w:cs="宋体"/>
          <w:color w:val="000000" w:themeColor="text1"/>
          <w:sz w:val="24"/>
          <w:highlight w:val="none"/>
          <w:u w:val="single"/>
          <w14:textFill>
            <w14:solidFill>
              <w14:schemeClr w14:val="tx1"/>
            </w14:solidFill>
          </w14:textFill>
        </w:rPr>
        <w:t xml:space="preserve">点00分</w:t>
      </w:r>
      <w:r>
        <w:rPr>
          <w:rFonts w:hint="eastAsia" w:ascii="宋体" w:hAnsi="宋体" w:cs="宋体"/>
          <w:bCs/>
          <w:color w:val="000000" w:themeColor="text1"/>
          <w:sz w:val="24"/>
          <w:highlight w:val="none"/>
          <w:lang w:bidi="ar"/>
          <w14:textFill>
            <w14:solidFill>
              <w14:schemeClr w14:val="tx1"/>
            </w14:solidFill>
          </w14:textFill>
        </w:rPr>
        <w:t xml:space="preserve">（北京时间）</w:t>
      </w:r>
      <w:r>
        <w:rPr>
          <w:rFonts w:hint="eastAsia" w:ascii="宋体" w:hAnsi="宋体" w:cs="宋体"/>
          <w:iCs/>
          <w:color w:val="000000" w:themeColor="text1"/>
          <w:sz w:val="24"/>
          <w:highlight w:val="none"/>
          <w:lang w:bidi="ar"/>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bookmarkStart w:id="20" w:name="_Toc28359084"/>
      <w:r/>
      <w:bookmarkStart w:id="21" w:name="_Toc28359007"/>
      <w:r/>
      <w:bookmarkStart w:id="22" w:name="_Toc35393625"/>
      <w:r/>
      <w:bookmarkStart w:id="23" w:name="_Toc35393794"/>
      <w:r>
        <w:rPr>
          <w:rFonts w:hint="eastAsia" w:ascii="宋体" w:hAnsi="宋体" w:cs="宋体"/>
          <w:color w:val="000000" w:themeColor="text1"/>
          <w:sz w:val="24"/>
          <w:highlight w:val="none"/>
          <w:lang w:bidi="ar"/>
          <w14:textFill>
            <w14:solidFill>
              <w14:schemeClr w14:val="tx1"/>
            </w14:solidFill>
          </w14:textFill>
        </w:rPr>
        <w:t xml:space="preserve">地点：</w:t>
      </w:r>
      <w:r>
        <w:rPr>
          <w:rFonts w:hint="eastAsia" w:ascii="宋体" w:hAnsi="宋体" w:cs="宋体"/>
          <w:color w:val="000000" w:themeColor="text1"/>
          <w:sz w:val="24"/>
          <w:highlight w:val="none"/>
          <w:u w:val="single"/>
          <w:lang w:bidi="ar"/>
          <w14:textFill>
            <w14:solidFill>
              <w14:schemeClr w14:val="tx1"/>
            </w14:solidFill>
          </w14:textFill>
        </w:rPr>
        <w:t xml:space="preserve">本项目采用不见面交易方式，无需到现场提交，供应商登录“苏采云”系统供应商端，通过系统在线提交电子响应文件</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六、公告期限</w:t>
      </w:r>
      <w:bookmarkEnd w:id="20"/>
      <w:r/>
      <w:bookmarkEnd w:id="21"/>
      <w:r/>
      <w:bookmarkEnd w:id="22"/>
      <w:r/>
      <w:bookmarkEnd w:id="23"/>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自本公告发布之日起3个工作日。</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bookmarkStart w:id="24" w:name="_Toc35393795"/>
      <w:r/>
      <w:bookmarkStart w:id="25" w:name="_Toc35393626"/>
      <w:r>
        <w:rPr>
          <w:rFonts w:hint="eastAsia" w:ascii="宋体" w:hAnsi="宋体"/>
          <w:b/>
          <w:bCs/>
          <w:color w:val="000000" w:themeColor="text1"/>
          <w:sz w:val="24"/>
          <w:highlight w:val="none"/>
          <w14:textFill>
            <w14:solidFill>
              <w14:schemeClr w14:val="tx1"/>
            </w14:solidFill>
          </w14:textFill>
        </w:rPr>
        <w:t xml:space="preserve">七、其他补充事宜</w:t>
      </w:r>
      <w:bookmarkEnd w:id="24"/>
      <w:r/>
      <w:bookmarkEnd w:id="25"/>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1.本项目需要落实的政府采购政策：</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技术支持服务热线    0519-85588210  0519-85588163</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CA认证证书办理（可邮寄）联系电话   0519-85588120</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2.1办理CA认证证书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供应商登录常州市政府采购网“下载中心”下载并查阅 “苏采云”系统（供应商）政务CA证书办理指南，按照程序要求办理。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2.2注册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2.3控件、客户端下载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供应商登录常州市政府采购网“下载中心”-政府采购管理交易系统（苏采云）CA及签章控件驱动下载相关控件及客户端。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获取电子磋商文件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供应商持CA数字认证证书登录“苏采云”系统获取电子磋商文件。未在规定期限内通过“苏采云”系统获取磋商文件的响应无效。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2.5编制电子响应文件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2.6提交电子响应文件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供应商应于响应截止时间前在“苏采云”系统提交电子响应文件，上传电子响应文件过程中请保持与互联网的连接畅通。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2.7电子开标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供应商使用CA认证证书登录“苏采云”系统进行电子化不见面开标。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2.8注意事项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TW" w:bidi="ar"/>
          <w14:textFill>
            <w14:solidFill>
              <w14:schemeClr w14:val="tx1"/>
            </w14:solidFill>
          </w14:textFill>
        </w:rPr>
        <w:t xml:space="preserve">关于常州市中小企业政府采购信用融资：</w:t>
      </w:r>
      <w:r/>
    </w:p>
    <w:p>
      <w:pPr>
        <w:ind w:firstLine="480"/>
        <w:jc w:val="left"/>
        <w:spacing w:line="360" w:lineRule="auto"/>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bookmarkStart w:id="26" w:name="_Toc35393796"/>
      <w:r/>
      <w:bookmarkStart w:id="27" w:name="_Toc28359085"/>
      <w:r/>
      <w:bookmarkStart w:id="28" w:name="_Toc35393627"/>
      <w:r/>
      <w:bookmarkStart w:id="29" w:name="_Toc28359008"/>
      <w:r>
        <w:rPr>
          <w:rFonts w:hint="eastAsia" w:ascii="宋体" w:hAnsi="宋体"/>
          <w:b/>
          <w:bCs/>
          <w:color w:val="000000" w:themeColor="text1"/>
          <w:sz w:val="24"/>
          <w:highlight w:val="none"/>
          <w14:textFill>
            <w14:solidFill>
              <w14:schemeClr w14:val="tx1"/>
            </w14:solidFill>
          </w14:textFill>
        </w:rPr>
        <w:t xml:space="preserve">八、对本项目提出询问，请按以下方式联系。</w:t>
      </w:r>
      <w:bookmarkEnd w:id="26"/>
      <w:r/>
      <w:bookmarkEnd w:id="27"/>
      <w:r/>
      <w:bookmarkEnd w:id="28"/>
      <w:r/>
      <w:bookmarkEnd w:id="29"/>
      <w:r/>
      <w:r/>
    </w:p>
    <w:p>
      <w:pPr>
        <w:ind w:firstLine="482"/>
        <w:jc w:val="left"/>
        <w:spacing w:line="360" w:lineRule="auto"/>
        <w:widowControl/>
        <w:rPr>
          <w:rFonts w:hint="eastAsia" w:ascii="宋体" w:hAnsi="宋体" w:cs="宋体"/>
          <w:b/>
          <w:bCs/>
          <w:color w:val="000000" w:themeColor="text1"/>
          <w:sz w:val="24"/>
          <w:highlight w:val="none"/>
          <w:lang w:val="zh-TW" w:bidi="ar"/>
          <w14:textFill>
            <w14:solidFill>
              <w14:schemeClr w14:val="tx1"/>
            </w14:solidFill>
          </w14:textFill>
        </w:rPr>
      </w:pPr>
      <w:r>
        <w:rPr>
          <w:rFonts w:hint="eastAsia" w:ascii="宋体" w:hAnsi="宋体" w:cs="宋体"/>
          <w:b/>
          <w:bCs/>
          <w:color w:val="000000" w:themeColor="text1"/>
          <w:sz w:val="24"/>
          <w:highlight w:val="none"/>
          <w:lang w:val="zh-TW" w:bidi="ar"/>
          <w14:textFill>
            <w14:solidFill>
              <w14:schemeClr w14:val="tx1"/>
            </w14:solidFill>
          </w14:textFill>
        </w:rPr>
        <w:t xml:space="preserve">1.采购人信息</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名    称：</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hint="eastAsia" w:ascii="宋体" w:hAnsi="宋体" w:cs="宋体"/>
          <w:color w:val="000000" w:themeColor="text1"/>
          <w:sz w:val="24"/>
          <w:highlight w:val="none"/>
          <w:u w:val="single"/>
          <w:lang w:bidi="ar"/>
          <w14:textFill>
            <w14:solidFill>
              <w14:schemeClr w14:val="tx1"/>
            </w14:solidFill>
          </w14:textFill>
        </w:rPr>
        <w:t xml:space="preserve">常州市武进区嘉泽镇人民政府 </w:t>
      </w:r>
      <w:r/>
    </w:p>
    <w:p>
      <w:pPr>
        <w:ind w:firstLine="480"/>
        <w:jc w:val="left"/>
        <w:spacing w:line="360" w:lineRule="auto"/>
        <w:widowControl/>
        <w:rPr>
          <w:rFonts w:hint="eastAsia" w:ascii="宋体" w:hAnsi="宋体" w:cs="宋体"/>
          <w:color w:val="000000" w:themeColor="text1"/>
          <w:sz w:val="24"/>
          <w:highlight w:val="none"/>
          <w:u w:val="single"/>
          <w:lang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地    址：</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常州市武进区嘉泽镇人民路46号</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联系方式：</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蒋先生</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13776835159</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2"/>
        <w:jc w:val="left"/>
        <w:spacing w:line="360" w:lineRule="auto"/>
        <w:widowControl/>
        <w:rPr>
          <w:rFonts w:hint="eastAsia" w:ascii="宋体" w:hAnsi="宋体" w:cs="宋体"/>
          <w:b/>
          <w:bCs/>
          <w:color w:val="000000" w:themeColor="text1"/>
          <w:sz w:val="24"/>
          <w:highlight w:val="none"/>
          <w:lang w:val="zh-TW" w:bidi="ar"/>
          <w14:textFill>
            <w14:solidFill>
              <w14:schemeClr w14:val="tx1"/>
            </w14:solidFill>
          </w14:textFill>
        </w:rPr>
      </w:pPr>
      <w:r>
        <w:rPr>
          <w:rFonts w:hint="eastAsia" w:ascii="宋体" w:hAnsi="宋体" w:cs="宋体"/>
          <w:b/>
          <w:bCs/>
          <w:color w:val="000000" w:themeColor="text1"/>
          <w:sz w:val="24"/>
          <w:highlight w:val="none"/>
          <w:lang w:val="zh-TW" w:bidi="ar"/>
          <w14:textFill>
            <w14:solidFill>
              <w14:schemeClr w14:val="tx1"/>
            </w14:solidFill>
          </w14:textFill>
        </w:rPr>
        <w:t xml:space="preserve">2.采购代理机构信息</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名    称：</w:t>
      </w:r>
      <w:r>
        <w:rPr>
          <w:rFonts w:hint="eastAsia" w:ascii="宋体" w:hAnsi="宋体" w:cs="宋体"/>
          <w:color w:val="000000" w:themeColor="text1"/>
          <w:sz w:val="24"/>
          <w:highlight w:val="none"/>
          <w:u w:val="single"/>
          <w:lang w:val="zh-TW" w:bidi="ar"/>
          <w14:textFill>
            <w14:solidFill>
              <w14:schemeClr w14:val="tx1"/>
            </w14:solidFill>
          </w14:textFill>
        </w:rPr>
        <w:t xml:space="preserve"> 江苏格睿工程项目管理有限公司</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地    址：</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江苏省常州市天宁区世纪华城商品16-11号二楼</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联系方式：</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范工 15861158101</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2"/>
        <w:jc w:val="left"/>
        <w:spacing w:line="360" w:lineRule="auto"/>
        <w:widowControl/>
        <w:rPr>
          <w:rFonts w:hint="eastAsia" w:ascii="宋体" w:hAnsi="宋体" w:cs="宋体"/>
          <w:b/>
          <w:bCs/>
          <w:color w:val="000000" w:themeColor="text1"/>
          <w:sz w:val="24"/>
          <w:highlight w:val="none"/>
          <w:lang w:val="zh-TW" w:bidi="ar"/>
          <w14:textFill>
            <w14:solidFill>
              <w14:schemeClr w14:val="tx1"/>
            </w14:solidFill>
          </w14:textFill>
        </w:rPr>
      </w:pPr>
      <w:r>
        <w:rPr>
          <w:rFonts w:hint="eastAsia" w:ascii="宋体" w:hAnsi="宋体" w:cs="宋体"/>
          <w:b/>
          <w:bCs/>
          <w:color w:val="000000" w:themeColor="text1"/>
          <w:sz w:val="24"/>
          <w:highlight w:val="none"/>
          <w:lang w:val="zh-TW" w:bidi="ar"/>
          <w14:textFill>
            <w14:solidFill>
              <w14:schemeClr w14:val="tx1"/>
            </w14:solidFill>
          </w14:textFill>
        </w:rPr>
        <w:t xml:space="preserve">3.项目联系方式</w:t>
      </w:r>
      <w:r/>
    </w:p>
    <w:p>
      <w:pPr>
        <w:ind w:firstLine="480"/>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项目联系人：</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范工</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0"/>
        <w:jc w:val="left"/>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电      话：</w:t>
      </w:r>
      <w:r>
        <w:rPr>
          <w:rFonts w:hint="eastAsia" w:ascii="宋体" w:hAnsi="宋体" w:cs="宋体"/>
          <w:color w:val="000000" w:themeColor="text1"/>
          <w:sz w:val="24"/>
          <w:highlight w:val="none"/>
          <w:u w:val="single"/>
          <w:lang w:val="zh-TW" w:bidi="ar"/>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15861158101</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pStyle w:val="749"/>
        <w:ind w:firstLine="480"/>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注：以上信息由于工作需要经本人或机构同意对外公布</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bookmarkStart w:id="30" w:name="_Toc512937850"/>
      <w:r/>
      <w:bookmarkStart w:id="31" w:name="_Toc353873938"/>
      <w:r/>
      <w:bookmarkStart w:id="32" w:name="_Toc305158928"/>
      <w:r/>
      <w:bookmarkStart w:id="33" w:name="_Toc305158854"/>
      <w:r/>
      <w:bookmarkStart w:id="34" w:name="_Toc127161488"/>
      <w:r/>
      <w:bookmarkStart w:id="35" w:name="_Toc353825548"/>
      <w:r/>
      <w:bookmarkStart w:id="36" w:name="_Toc264969275"/>
      <w:r/>
      <w:bookmarkStart w:id="37" w:name="_Toc5724"/>
      <w:r/>
      <w:bookmarkStart w:id="38" w:name="_Toc127151777"/>
      <w:r/>
      <w:bookmarkStart w:id="39" w:name="_Toc104818926"/>
      <w:r/>
      <w:bookmarkStart w:id="40" w:name="_Toc265228423"/>
      <w:r/>
      <w:bookmarkStart w:id="41" w:name="_Toc150774783"/>
      <w:r/>
      <w:bookmarkStart w:id="42" w:name="_Toc195842950"/>
      <w:r/>
      <w:bookmarkStart w:id="43" w:name="_Toc226965856"/>
      <w:r>
        <w:rPr>
          <w:rFonts w:ascii="宋体" w:hAnsi="宋体"/>
          <w:b/>
          <w:color w:val="000000" w:themeColor="text1"/>
          <w:sz w:val="36"/>
          <w:szCs w:val="36"/>
          <w:highlight w:val="none"/>
          <w14:textFill>
            <w14:solidFill>
              <w14:schemeClr w14:val="tx1"/>
            </w14:solidFill>
          </w14:textFill>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44" w:name="_Toc151193907"/>
      <w:r/>
      <w:bookmarkStart w:id="45" w:name="_Toc150774724"/>
      <w:r/>
      <w:bookmarkStart w:id="46" w:name="_Toc149720812"/>
      <w:r/>
      <w:bookmarkStart w:id="47" w:name="_Toc226309763"/>
      <w:r/>
      <w:bookmarkStart w:id="48" w:name="_Toc151193761"/>
      <w:r/>
      <w:bookmarkStart w:id="49" w:name="_Toc150509270"/>
      <w:r/>
      <w:bookmarkStart w:id="50" w:name="_Toc151193617"/>
      <w:r/>
      <w:bookmarkStart w:id="51" w:name="_Toc520356144"/>
      <w:r/>
      <w:bookmarkStart w:id="52" w:name="_Toc127151519"/>
      <w:r/>
      <w:bookmarkStart w:id="53" w:name="_Toc127151720"/>
      <w:r/>
      <w:bookmarkStart w:id="54" w:name="_Toc151193833"/>
      <w:r/>
      <w:bookmarkStart w:id="55" w:name="_Toc151193689"/>
      <w:r/>
      <w:bookmarkStart w:id="56" w:name="_Toc164229214"/>
      <w:r/>
      <w:bookmarkStart w:id="57" w:name="_Toc151190146"/>
      <w:r/>
      <w:bookmarkStart w:id="58" w:name="_Toc164608633"/>
      <w:r/>
      <w:bookmarkStart w:id="59" w:name="_Toc226965792"/>
      <w:r/>
      <w:bookmarkStart w:id="60" w:name="_Toc127161433"/>
      <w:r/>
      <w:bookmarkStart w:id="61" w:name="_Toc164229360"/>
      <w:r/>
      <w:bookmarkStart w:id="62" w:name="_Toc164351613"/>
      <w:r/>
      <w:bookmarkStart w:id="63" w:name="_Toc150480757"/>
      <w:r/>
      <w:bookmarkStart w:id="64" w:name="_Toc195842884"/>
      <w:r/>
      <w:bookmarkStart w:id="65" w:name="_Toc150774619"/>
      <w:r/>
      <w:bookmarkStart w:id="66" w:name="_Toc226337215"/>
      <w:r/>
      <w:bookmarkStart w:id="67" w:name="_Toc142311021"/>
      <w:r/>
      <w:bookmarkStart w:id="68" w:name="_Toc164608788"/>
      <w:r/>
      <w:bookmarkStart w:id="69" w:name="_Toc226965709"/>
      <w:r>
        <w:rPr>
          <w:rFonts w:hint="eastAsia" w:ascii="宋体" w:hAnsi="宋体"/>
          <w:b/>
          <w:bCs/>
          <w:color w:val="000000" w:themeColor="text1"/>
          <w:sz w:val="28"/>
          <w:szCs w:val="28"/>
          <w:highlight w:val="none"/>
          <w14:textFill>
            <w14:solidFill>
              <w14:schemeClr w14:val="tx1"/>
            </w14:solidFill>
          </w14:textFill>
        </w:rPr>
        <w:t xml:space="preserve">供应商须知资料表</w:t>
      </w:r>
      <w:r/>
    </w:p>
    <w:p>
      <w:pPr>
        <w:jc w:val="cente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left"/>
        <w:spacing w:line="360" w:lineRule="auto"/>
        <w:widowControl/>
        <w:rPr>
          <w:rFonts w:hint="eastAsia" w:ascii="宋体" w:hAnsi="宋体" w:cs="宋体"/>
          <w:color w:val="000000" w:themeColor="text1"/>
          <w:sz w:val="24"/>
          <w:highlight w:val="none"/>
          <w:lang w:val="zh-TW" w:bidi="ar"/>
          <w14:textFill>
            <w14:solidFill>
              <w14:schemeClr w14:val="tx1"/>
            </w14:solidFill>
          </w14:textFill>
        </w:rPr>
      </w:pPr>
      <w:r>
        <w:rPr>
          <w:rFonts w:hint="eastAsia" w:ascii="宋体" w:hAnsi="宋体" w:cs="宋体"/>
          <w:color w:val="000000" w:themeColor="text1"/>
          <w:sz w:val="24"/>
          <w:highlight w:val="none"/>
          <w:lang w:val="zh-TW" w:bidi="ar"/>
          <w14:textFill>
            <w14:solidFill>
              <w14:schemeClr w14:val="tx1"/>
            </w14:solidFill>
          </w14:textFill>
        </w:rPr>
        <w:t xml:space="preserve">本表是对供应商须知的具体补充和修改，如有矛盾，均以本资料表为准。标记“■”的选项意为适用于本项目，标记“□”的选项意为不适用于本项目。</w:t>
      </w:r>
      <w:r/>
    </w:p>
    <w:tbl>
      <w:tblPr>
        <w:tblStyle w:val="75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条目</w:t>
            </w:r>
            <w:r/>
          </w:p>
        </w:tc>
        <w:tc>
          <w:tcPr>
            <w:tcW w:w="7253"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内容</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w:t>
            </w:r>
            <w:r/>
          </w:p>
          <w:p>
            <w:pPr>
              <w:jc w:val="lef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服务</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w:t>
            </w:r>
            <w:r/>
          </w:p>
          <w:p>
            <w:pPr>
              <w:jc w:val="left"/>
              <w:rPr>
                <w:rFonts w:hint="eastAsia"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工程</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科研仪器设备</w:t>
            </w:r>
            <w:r/>
          </w:p>
        </w:tc>
        <w:tc>
          <w:tcPr>
            <w:tcW w:w="7253"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是否属于科研仪器设备采购项目：</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是</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vMerge w:val="restart"/>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现场考察</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■不组织</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□组织，考察时间：</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日</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点</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分</w:t>
            </w:r>
            <w:r/>
          </w:p>
          <w:p>
            <w:pPr>
              <w:pStyle w:val="773"/>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考察地点：</w:t>
            </w:r>
            <w:r>
              <w:rPr>
                <w:rFonts w:hAnsi="宋体" w:cs="宋体"/>
                <w:color w:val="000000" w:themeColor="text1"/>
                <w:sz w:val="24"/>
                <w:szCs w:val="24"/>
                <w:highlight w:val="none"/>
                <w:u w:val="single"/>
                <w14:textFill>
                  <w14:solidFill>
                    <w14:schemeClr w14:val="tx1"/>
                  </w14:solidFill>
                </w14:textFill>
              </w:rPr>
              <w:t xml:space="preserve">  /  </w:t>
            </w:r>
            <w:r>
              <w:rPr>
                <w:rFonts w:hAnsi="宋体" w:cs="宋体"/>
                <w:color w:val="000000" w:themeColor="text1"/>
                <w:sz w:val="24"/>
                <w:szCs w:val="24"/>
                <w:highlight w:val="none"/>
                <w14:textFill>
                  <w14:solidFill>
                    <w14:schemeClr w14:val="tx1"/>
                  </w14:solidFill>
                </w14:textFill>
              </w:rPr>
              <w:t xml:space="preserve">。</w:t>
            </w:r>
            <w:r/>
          </w:p>
        </w:tc>
      </w:tr>
      <w:tr>
        <w:trPr>
          <w:jc w:val="center"/>
          <w:trHeight w:val="20"/>
        </w:trPr>
        <w:tc>
          <w:tcPr>
            <w:tcW w:w="988" w:type="dxa"/>
            <w:vAlign w:val="center"/>
            <w:vMerge w:val="continue"/>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磋商前答疑会</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■不召开</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□召开，召开时间：</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日</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点</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lang w:bidi="ar"/>
                <w14:textFill>
                  <w14:solidFill>
                    <w14:schemeClr w14:val="tx1"/>
                  </w14:solidFill>
                </w14:textFill>
              </w:rPr>
              <w:t xml:space="preserve">分</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召开地点：</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555"/>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4.2.5</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标的所属行业</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本项目采购标的对应的中小企业划分标准所属行业：</w:t>
            </w:r>
            <w:r>
              <w:rPr>
                <w:rFonts w:ascii="宋体" w:hAnsi="宋体"/>
                <w:color w:val="000000" w:themeColor="text1"/>
                <w:sz w:val="24"/>
                <w:highlight w:val="none"/>
                <w:u w:val="single"/>
                <w14:textFill>
                  <w14:solidFill>
                    <w14:schemeClr w14:val="tx1"/>
                  </w14:solidFill>
                </w14:textFill>
              </w:rPr>
              <w:t xml:space="preserve">其他未列明行业</w:t>
            </w:r>
            <w:r>
              <w:rPr>
                <w:rFonts w:ascii="宋体" w:hAnsi="宋体"/>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55"/>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5.9</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本国产品政策支持</w:t>
            </w:r>
            <w:r/>
          </w:p>
        </w:tc>
        <w:tc>
          <w:tcPr>
            <w:tcW w:w="725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w:t>
            </w:r>
            <w:r>
              <w:rPr>
                <w:rFonts w:hint="eastAsia"/>
                <w:color w:val="000000" w:themeColor="text1"/>
                <w:sz w:val="24"/>
                <w:highlight w:val="none"/>
                <w14:textFill>
                  <w14:solidFill>
                    <w14:schemeClr w14:val="tx1"/>
                  </w14:solidFill>
                </w14:textFill>
              </w:rPr>
              <w:t xml:space="preserve">对采购本国产品给予政策支持，</w:t>
            </w:r>
            <w:r>
              <w:rPr>
                <w:rFonts w:hint="eastAsia"/>
                <w:b/>
                <w:color w:val="000000" w:themeColor="text1"/>
                <w:sz w:val="24"/>
                <w:highlight w:val="none"/>
                <w14:textFill>
                  <w14:solidFill>
                    <w14:schemeClr w14:val="tx1"/>
                  </w14:solidFill>
                </w14:textFill>
              </w:rPr>
              <w:t xml:space="preserve">本项目：不适用。</w:t>
            </w:r>
            <w:r/>
          </w:p>
          <w:p>
            <w:pPr>
              <w:jc w:val="lef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如适用，在填写《关于符合本国产品标准的声明函》时，如未提供声明函、信息填写错误、未完整填报或不符合《关于在政府采购中实施本国产品标准及相关政策的通知》要求的，则会导致报价不作相应扣除。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10.2</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报价的特殊规定：</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■有，具体情形：</w:t>
            </w:r>
            <w:r>
              <w:rPr>
                <w:rFonts w:hint="eastAsia" w:ascii="宋体" w:hAnsi="宋体" w:cs="宋体"/>
                <w:b/>
                <w:bCs/>
                <w:color w:val="000000" w:themeColor="text1"/>
                <w:sz w:val="24"/>
                <w:highlight w:val="none"/>
                <w14:textFill>
                  <w14:solidFill>
                    <w14:schemeClr w14:val="tx1"/>
                  </w14:solidFill>
                </w14:textFill>
              </w:rPr>
              <w:t xml:space="preserve">本项目采用两次报价，</w:t>
            </w:r>
            <w:r>
              <w:rPr>
                <w:rFonts w:hint="eastAsia" w:ascii="宋体" w:hAnsi="宋体" w:cs="宋体"/>
                <w:color w:val="000000" w:themeColor="text1"/>
                <w:sz w:val="24"/>
                <w:highlight w:val="none"/>
                <w:u w:val="single"/>
                <w14:textFill>
                  <w14:solidFill>
                    <w14:schemeClr w14:val="tx1"/>
                  </w14:solidFill>
                </w14:textFill>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11.1</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免收</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12.1</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响应有效期</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自提交响应文件的截止之日起算</w:t>
            </w:r>
            <w:r>
              <w:rPr>
                <w:rFonts w:hint="eastAsia" w:ascii="宋体" w:hAnsi="宋体" w:cs="宋体"/>
                <w:color w:val="000000" w:themeColor="text1"/>
                <w:sz w:val="24"/>
                <w:highlight w:val="none"/>
                <w:u w:val="single"/>
                <w14:textFill>
                  <w14:solidFill>
                    <w14:schemeClr w14:val="tx1"/>
                  </w14:solidFill>
                </w14:textFill>
              </w:rPr>
              <w:t xml:space="preserve"> 60 </w:t>
            </w:r>
            <w:r>
              <w:rPr>
                <w:rFonts w:hint="eastAsia" w:ascii="宋体" w:hAnsi="宋体" w:cs="宋体"/>
                <w:color w:val="000000" w:themeColor="text1"/>
                <w:sz w:val="24"/>
                <w:highlight w:val="none"/>
                <w14:textFill>
                  <w14:solidFill>
                    <w14:schemeClr w14:val="tx1"/>
                  </w14:solidFill>
                </w14:textFill>
              </w:rPr>
              <w:t xml:space="preserve">日历天。</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23.5</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分包</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本项目是否允许分包： </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■不允许</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□允许，具体要求：</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（1）可以分包履行的具体内容：</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（2）允许分包的金额或者比例：</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（3）其他要求：</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24.1.1</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询问</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询问送达形式：</w:t>
            </w:r>
            <w:r>
              <w:rPr>
                <w:rFonts w:hint="eastAsia" w:ascii="宋体" w:hAnsi="宋体" w:cs="宋体"/>
                <w:color w:val="000000" w:themeColor="text1"/>
                <w:sz w:val="24"/>
                <w:highlight w:val="none"/>
                <w:u w:val="single"/>
                <w14:textFill>
                  <w14:solidFill>
                    <w14:schemeClr w14:val="tx1"/>
                  </w14:solidFill>
                </w14:textFill>
              </w:rPr>
              <w:t xml:space="preserve"> 于2026年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11</w:t>
            </w:r>
            <w:r>
              <w:rPr>
                <w:rFonts w:hint="eastAsia" w:ascii="宋体" w:hAnsi="宋体" w:cs="宋体"/>
                <w:color w:val="000000" w:themeColor="text1"/>
                <w:sz w:val="24"/>
                <w:highlight w:val="none"/>
                <w:u w:val="single"/>
                <w14:textFill>
                  <w14:solidFill>
                    <w14:schemeClr w14:val="tx1"/>
                  </w14:solidFill>
                </w14:textFill>
              </w:rPr>
              <w:t xml:space="preserve">月</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日17：00（北京时间）前以书面形式递交至江苏格睿工程项目管理有限公司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24.3</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p>
        </w:tc>
        <w:tc>
          <w:tcPr>
            <w:tcW w:w="7253"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接收询问和质疑的联系方式</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江苏格睿工程项目管理有限公司</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15861158101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lang w:val="zh-TW" w:bidi="ar"/>
                <w14:textFill>
                  <w14:solidFill>
                    <w14:schemeClr w14:val="tx1"/>
                  </w14:solidFill>
                </w14:textFill>
              </w:rPr>
              <w:t xml:space="preserve">江苏省常州市天宁区世纪华城商品16-11号二楼</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25</w:t>
            </w:r>
            <w:r/>
          </w:p>
        </w:tc>
        <w:tc>
          <w:tcPr>
            <w:tcW w:w="170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代理费</w:t>
            </w:r>
            <w:r/>
          </w:p>
        </w:tc>
        <w:tc>
          <w:tcPr>
            <w:tcW w:w="7253"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收费对象：</w:t>
            </w:r>
            <w:r/>
          </w:p>
          <w:p>
            <w:pPr>
              <w:jc w:val="left"/>
              <w:rPr>
                <w:rFonts w:hint="eastAsia" w:ascii="宋体" w:hAnsi="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采购人</w:t>
            </w:r>
            <w:r/>
          </w:p>
          <w:p>
            <w:pPr>
              <w:jc w:val="left"/>
              <w:rPr>
                <w:rFonts w:hint="eastAsia" w:ascii="宋体" w:hAnsi="宋体"/>
                <w:color w:val="000000" w:themeColor="text1"/>
                <w:sz w:val="24"/>
                <w:highlight w:val="none"/>
                <w14:textFill>
                  <w14:solidFill>
                    <w14:schemeClr w14:val="tx1"/>
                  </w14:solidFill>
                </w14:textFill>
              </w:rPr>
            </w:pPr>
            <w:r>
              <w:rPr>
                <w:rFonts w:ascii="Wingdings 2" w:hAnsi="Wingdings 2" w:eastAsia="Wingdings 2" w:cs="Wingdings 2"/>
                <w:color w:val="000000" w:themeColor="text1"/>
                <w:highlight w:val="none"/>
                <w14:textFill>
                  <w14:solidFill>
                    <w14:schemeClr w14:val="tx1"/>
                  </w14:solidFill>
                </w14:textFill>
              </w:rPr>
              <w:t xml:space="preserve">R</w:t>
            </w:r>
            <w:r>
              <w:rPr>
                <w:rFonts w:ascii="宋体" w:hAnsi="宋体"/>
                <w:color w:val="000000" w:themeColor="text1"/>
                <w:sz w:val="24"/>
                <w:highlight w:val="none"/>
                <w14:textFill>
                  <w14:solidFill>
                    <w14:schemeClr w14:val="tx1"/>
                  </w14:solidFill>
                </w14:textFill>
              </w:rPr>
              <w:t xml:space="preserve">成交供应商</w:t>
            </w:r>
            <w:r/>
          </w:p>
          <w:p>
            <w:pPr>
              <w:jc w:val="lef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收费标准：</w:t>
            </w:r>
            <w:r>
              <w:rPr>
                <w:rFonts w:hint="eastAsia" w:ascii="宋体" w:hAnsi="宋体"/>
                <w:color w:val="000000" w:themeColor="text1"/>
                <w:sz w:val="24"/>
                <w:highlight w:val="none"/>
                <w:u w:val="single"/>
                <w14:textFill>
                  <w14:solidFill>
                    <w14:schemeClr w14:val="tx1"/>
                  </w14:solidFill>
                </w14:textFill>
              </w:rPr>
              <w:t xml:space="preserve">招标代理费</w:t>
            </w:r>
            <w:r>
              <w:rPr>
                <w:rFonts w:ascii="宋体" w:hAnsi="宋体"/>
                <w:color w:val="000000" w:themeColor="text1"/>
                <w:sz w:val="24"/>
                <w:highlight w:val="none"/>
                <w:u w:val="single"/>
                <w14:textFill>
                  <w14:solidFill>
                    <w14:schemeClr w14:val="tx1"/>
                  </w14:solidFill>
                </w14:textFill>
              </w:rPr>
              <w:t xml:space="preserve">收费比例按差额定率累进法计算，100万</w:t>
            </w:r>
            <w:r>
              <w:rPr>
                <w:rFonts w:hint="eastAsia" w:ascii="宋体" w:hAnsi="宋体"/>
                <w:color w:val="000000" w:themeColor="text1"/>
                <w:sz w:val="24"/>
                <w:highlight w:val="none"/>
                <w:u w:val="single"/>
                <w14:textFill>
                  <w14:solidFill>
                    <w14:schemeClr w14:val="tx1"/>
                  </w14:solidFill>
                </w14:textFill>
              </w:rPr>
              <w:t xml:space="preserve">元</w:t>
            </w:r>
            <w:r>
              <w:rPr>
                <w:rFonts w:ascii="宋体" w:hAnsi="宋体"/>
                <w:color w:val="000000" w:themeColor="text1"/>
                <w:sz w:val="24"/>
                <w:highlight w:val="none"/>
                <w:u w:val="single"/>
                <w14:textFill>
                  <w14:solidFill>
                    <w14:schemeClr w14:val="tx1"/>
                  </w14:solidFill>
                </w14:textFill>
              </w:rPr>
              <w:t xml:space="preserve">以下</w:t>
            </w:r>
            <w:r>
              <w:rPr>
                <w:rFonts w:hint="eastAsia" w:ascii="宋体" w:hAnsi="宋体"/>
                <w:color w:val="000000" w:themeColor="text1"/>
                <w:sz w:val="24"/>
                <w:highlight w:val="none"/>
                <w:u w:val="single"/>
                <w14:textFill>
                  <w14:solidFill>
                    <w14:schemeClr w14:val="tx1"/>
                  </w14:solidFill>
                </w14:textFill>
              </w:rPr>
              <w:t xml:space="preserve">部分</w:t>
            </w:r>
            <w:r>
              <w:rPr>
                <w:rFonts w:ascii="宋体" w:hAnsi="宋体"/>
                <w:color w:val="000000" w:themeColor="text1"/>
                <w:sz w:val="24"/>
                <w:highlight w:val="none"/>
                <w:u w:val="single"/>
                <w14:textFill>
                  <w14:solidFill>
                    <w14:schemeClr w14:val="tx1"/>
                  </w14:solidFill>
                </w14:textFill>
              </w:rPr>
              <w:t xml:space="preserve">为</w:t>
            </w:r>
            <w:r>
              <w:rPr>
                <w:rFonts w:hint="eastAsia" w:ascii="宋体" w:hAnsi="宋体"/>
                <w:color w:val="000000" w:themeColor="text1"/>
                <w:sz w:val="24"/>
                <w:highlight w:val="none"/>
                <w:u w:val="single"/>
                <w14:textFill>
                  <w14:solidFill>
                    <w14:schemeClr w14:val="tx1"/>
                  </w14:solidFill>
                </w14:textFill>
              </w:rPr>
              <w:t xml:space="preserve">1.05%</w:t>
            </w:r>
            <w:r>
              <w:rPr>
                <w:rFonts w:ascii="宋体" w:hAnsi="宋体"/>
                <w:color w:val="000000" w:themeColor="text1"/>
                <w:sz w:val="24"/>
                <w:highlight w:val="none"/>
                <w:u w:val="single"/>
                <w14:textFill>
                  <w14:solidFill>
                    <w14:schemeClr w14:val="tx1"/>
                  </w14:solidFill>
                </w14:textFill>
              </w:rPr>
              <w:t xml:space="preserve">，100万（含）-500万（不含）</w:t>
            </w:r>
            <w:r>
              <w:rPr>
                <w:rFonts w:hint="eastAsia" w:ascii="宋体" w:hAnsi="宋体"/>
                <w:color w:val="000000" w:themeColor="text1"/>
                <w:sz w:val="24"/>
                <w:highlight w:val="none"/>
                <w:u w:val="single"/>
                <w14:textFill>
                  <w14:solidFill>
                    <w14:schemeClr w14:val="tx1"/>
                  </w14:solidFill>
                </w14:textFill>
              </w:rPr>
              <w:t xml:space="preserve">部分</w:t>
            </w:r>
            <w:r>
              <w:rPr>
                <w:rFonts w:ascii="宋体" w:hAnsi="宋体"/>
                <w:color w:val="000000" w:themeColor="text1"/>
                <w:sz w:val="24"/>
                <w:highlight w:val="none"/>
                <w:u w:val="single"/>
                <w14:textFill>
                  <w14:solidFill>
                    <w14:schemeClr w14:val="tx1"/>
                  </w14:solidFill>
                </w14:textFill>
              </w:rPr>
              <w:t xml:space="preserve">为</w:t>
            </w:r>
            <w:r>
              <w:rPr>
                <w:rFonts w:hint="eastAsia" w:ascii="宋体" w:hAnsi="宋体"/>
                <w:color w:val="000000" w:themeColor="text1"/>
                <w:sz w:val="24"/>
                <w:highlight w:val="none"/>
                <w:u w:val="single"/>
                <w14:textFill>
                  <w14:solidFill>
                    <w14:schemeClr w14:val="tx1"/>
                  </w14:solidFill>
                </w14:textFill>
              </w:rPr>
              <w:t xml:space="preserve">0.</w:t>
            </w:r>
            <w:r>
              <w:rPr>
                <w:rFonts w:hint="eastAsia" w:ascii="宋体" w:hAnsi="宋体"/>
                <w:color w:val="000000" w:themeColor="text1"/>
                <w:sz w:val="24"/>
                <w:highlight w:val="none"/>
                <w:u w:val="single"/>
                <w:lang w:val="en-US" w:eastAsia="zh-CN"/>
                <w14:textFill>
                  <w14:solidFill>
                    <w14:schemeClr w14:val="tx1"/>
                  </w14:solidFill>
                </w14:textFill>
              </w:rPr>
              <w:t xml:space="preserve">56</w:t>
            </w:r>
            <w:r>
              <w:rPr>
                <w:rFonts w:ascii="宋体" w:hAnsi="宋体"/>
                <w:color w:val="000000" w:themeColor="text1"/>
                <w:sz w:val="24"/>
                <w:highlight w:val="none"/>
                <w:u w:val="single"/>
                <w14:textFill>
                  <w14:solidFill>
                    <w14:schemeClr w14:val="tx1"/>
                  </w14:solidFill>
                </w14:textFill>
              </w:rPr>
              <w:t xml:space="preserve">%。本项目采购代理服务费收费以中标金额为基数计算</w:t>
            </w:r>
            <w:r>
              <w:rPr>
                <w:rFonts w:hint="eastAsia" w:ascii="宋体" w:hAnsi="宋体"/>
                <w:color w:val="000000" w:themeColor="text1"/>
                <w:sz w:val="24"/>
                <w:highlight w:val="none"/>
                <w:u w:val="single"/>
                <w14:textFill>
                  <w14:solidFill>
                    <w14:schemeClr w14:val="tx1"/>
                  </w14:solidFill>
                </w14:textFill>
              </w:rPr>
              <w:t xml:space="preserve">。</w:t>
            </w:r>
            <w:r/>
          </w:p>
          <w:p>
            <w:pPr>
              <w:jc w:val="lef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代理服务费支付相关说明：</w:t>
            </w:r>
            <w:r>
              <w:rPr>
                <w:rFonts w:hint="eastAsia" w:ascii="宋体" w:hAnsi="宋体"/>
                <w:color w:val="000000" w:themeColor="text1"/>
                <w:sz w:val="24"/>
                <w:highlight w:val="none"/>
                <w:u w:val="single"/>
                <w14:textFill>
                  <w14:solidFill>
                    <w14:schemeClr w14:val="tx1"/>
                  </w14:solidFill>
                </w14:textFill>
              </w:rPr>
              <w:t xml:space="preserve">采购人在前期预算编制时，已经将采购代理费考虑在预算金额内。供应商在编制响应报价时，应当将</w:t>
            </w:r>
            <w:bookmarkStart w:id="672" w:name="_GoBack"/>
            <w:r/>
            <w:bookmarkEnd w:id="672"/>
            <w:r>
              <w:rPr>
                <w:rFonts w:hint="eastAsia" w:ascii="宋体" w:hAnsi="宋体"/>
                <w:color w:val="000000" w:themeColor="text1"/>
                <w:sz w:val="24"/>
                <w:highlight w:val="none"/>
                <w:u w:val="single"/>
                <w14:textFill>
                  <w14:solidFill>
                    <w14:schemeClr w14:val="tx1"/>
                  </w14:solidFill>
                </w14:textFill>
              </w:rPr>
              <w:t xml:space="preserve">代理服务费综合考虑在在总报价中。</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缴纳时间：</w:t>
            </w:r>
            <w:r>
              <w:rPr>
                <w:rFonts w:ascii="宋体" w:hAnsi="宋体"/>
                <w:color w:val="000000" w:themeColor="text1"/>
                <w:sz w:val="24"/>
                <w:highlight w:val="none"/>
                <w:u w:val="single"/>
                <w14:textFill>
                  <w14:solidFill>
                    <w14:schemeClr w14:val="tx1"/>
                  </w14:solidFill>
                </w14:textFill>
              </w:rPr>
              <w:t xml:space="preserve">成交供应商应在领取成交通知书前将代理服务费付至采购代理机构</w:t>
            </w:r>
            <w:r>
              <w:rPr>
                <w:rFonts w:hint="eastAsia" w:ascii="宋体" w:hAnsi="宋体"/>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773"/>
              <w:jc w:val="center"/>
              <w:rPr>
                <w:rFonts w:hAnsi="宋体" w:cs="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default" w:hAnsi="宋体"/>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纸质中标</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文件</w:t>
            </w:r>
            <w:r/>
          </w:p>
        </w:tc>
        <w:tc>
          <w:tcPr>
            <w:tcW w:w="7253" w:type="dxa"/>
            <w:vAlign w:val="center"/>
            <w:textDirection w:val="lrTb"/>
            <w:noWrap w:val="false"/>
          </w:tcPr>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人在签订合同前需递交与电子响应文件内容一致的纸质响应文件叁份（需打印清晰，标注目录及页码），作为项目归档使用。（递交方式可采用邮寄或现场送达至江苏格睿工程项目管理有限公司，联系方式见《第一章 投标邀请》）</w:t>
            </w:r>
            <w:r/>
          </w:p>
        </w:tc>
      </w:tr>
    </w:tbl>
    <w:p>
      <w:pPr>
        <w:ind w:firstLine="480"/>
        <w:jc w:val="both"/>
        <w:spacing w:line="360" w:lineRule="auto"/>
        <w:tabs>
          <w:tab w:val="left" w:pos="5580" w:leader="none"/>
        </w:tabs>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titlePg/>
        </w:sectPr>
      </w:pPr>
      <w:r>
        <w:rPr>
          <w:rFonts w:hint="eastAsia" w:ascii="宋体" w:hAnsi="宋体"/>
          <w:color w:val="000000" w:themeColor="text1"/>
          <w:sz w:val="24"/>
          <w:highlight w:val="none"/>
          <w14:textFill>
            <w14:solidFill>
              <w14:schemeClr w14:val="tx1"/>
            </w14:solidFill>
          </w14:textFill>
        </w:rPr>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供应商须知</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70" w:name="_Toc226337214"/>
      <w:r/>
      <w:bookmarkStart w:id="71" w:name="_Toc151193832"/>
      <w:r/>
      <w:bookmarkStart w:id="72" w:name="_Toc142311020"/>
      <w:r/>
      <w:bookmarkStart w:id="73" w:name="_Toc150509269"/>
      <w:r/>
      <w:bookmarkStart w:id="74" w:name="_Toc151190145"/>
      <w:r/>
      <w:bookmarkStart w:id="75" w:name="_Toc151193616"/>
      <w:r/>
      <w:bookmarkStart w:id="76" w:name="_Toc265228356"/>
      <w:r/>
      <w:bookmarkStart w:id="77" w:name="_Toc150774618"/>
      <w:r/>
      <w:bookmarkStart w:id="78" w:name="_Toc150480756"/>
      <w:r/>
      <w:bookmarkStart w:id="79" w:name="_Toc127151518"/>
      <w:r/>
      <w:bookmarkStart w:id="80" w:name="_Toc305158860"/>
      <w:r/>
      <w:bookmarkStart w:id="81" w:name="_Toc226965708"/>
      <w:r/>
      <w:bookmarkStart w:id="82" w:name="_Toc264969208"/>
      <w:r/>
      <w:bookmarkStart w:id="83" w:name="_Toc305158786"/>
      <w:r/>
      <w:bookmarkStart w:id="84" w:name="_Toc151193688"/>
      <w:r/>
      <w:bookmarkStart w:id="85" w:name="_Toc150774723"/>
      <w:r/>
      <w:bookmarkStart w:id="86" w:name="_Toc226965791"/>
      <w:r/>
      <w:bookmarkStart w:id="87" w:name="_Toc151193906"/>
      <w:r/>
      <w:bookmarkStart w:id="88" w:name="_Toc226309762"/>
      <w:r/>
      <w:bookmarkStart w:id="89" w:name="_Toc151193760"/>
      <w:r/>
      <w:bookmarkStart w:id="90" w:name="_Toc195842883"/>
      <w:r/>
      <w:bookmarkStart w:id="91" w:name="_Toc520356143"/>
      <w:r>
        <w:rPr>
          <w:rFonts w:hint="eastAsia" w:ascii="宋体" w:hAnsi="宋体"/>
          <w:b/>
          <w:bCs/>
          <w:color w:val="000000" w:themeColor="text1"/>
          <w:sz w:val="28"/>
          <w:szCs w:val="28"/>
          <w:highlight w:val="none"/>
          <w14:textFill>
            <w14:solidFill>
              <w14:schemeClr w14:val="tx1"/>
            </w14:solidFill>
          </w14:textFill>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2"/>
        </w:numPr>
        <w:ind w:left="0" w:firstLine="480"/>
        <w:spacing w:line="360" w:lineRule="auto"/>
        <w:tabs>
          <w:tab w:val="left" w:pos="360" w:leader="none"/>
          <w:tab w:val="clear" w:pos="900" w:leader="none"/>
        </w:tabs>
        <w:rPr>
          <w:rFonts w:hint="eastAsia" w:ascii="宋体" w:hAnsi="宋体" w:cs="宋体"/>
          <w:color w:val="000000" w:themeColor="text1"/>
          <w:sz w:val="24"/>
          <w:highlight w:val="none"/>
          <w14:textFill>
            <w14:solidFill>
              <w14:schemeClr w14:val="tx1"/>
            </w14:solidFill>
          </w14:textFill>
        </w:rPr>
      </w:pPr>
      <w:r/>
      <w:bookmarkStart w:id="92" w:name="_Toc305158787"/>
      <w:r/>
      <w:bookmarkStart w:id="93" w:name="_Toc265228357"/>
      <w:r/>
      <w:bookmarkStart w:id="94" w:name="_Toc305158861"/>
      <w:r/>
      <w:bookmarkStart w:id="95" w:name="_Toc264969209"/>
      <w:r/>
      <w:bookmarkStart w:id="96" w:name="_Toc127151554"/>
      <w:r/>
      <w:bookmarkStart w:id="97" w:name="_Toc265228392"/>
      <w:r/>
      <w:bookmarkStart w:id="98" w:name="_Toc305158896"/>
      <w:r/>
      <w:bookmarkStart w:id="99" w:name="_Toc353825544"/>
      <w:r/>
      <w:bookmarkStart w:id="100" w:name="_Toc264969244"/>
      <w:r/>
      <w:bookmarkStart w:id="101" w:name="_Toc226337250"/>
      <w:r/>
      <w:bookmarkStart w:id="102" w:name="_Toc353873664"/>
      <w:r/>
      <w:bookmarkStart w:id="103" w:name="_Toc305158822"/>
      <w:r/>
      <w:bookmarkStart w:id="104" w:name="_Toc150480792"/>
      <w:r/>
      <w:bookmarkStart w:id="105" w:name="_Toc142311056"/>
      <w:r/>
      <w:bookmarkStart w:id="106" w:name="_Toc226965827"/>
      <w:r/>
      <w:bookmarkStart w:id="107" w:name="_Toc150774759"/>
      <w:r/>
      <w:bookmarkStart w:id="108" w:name="_Toc353873934"/>
      <w:r/>
      <w:bookmarkStart w:id="109" w:name="_Toc104818927"/>
      <w:r/>
      <w:bookmarkStart w:id="110" w:name="_Toc2600"/>
      <w:r>
        <w:rPr>
          <w:rFonts w:hint="eastAsia" w:ascii="宋体" w:hAnsi="宋体" w:cs="宋体"/>
          <w:color w:val="000000" w:themeColor="text1"/>
          <w:sz w:val="24"/>
          <w:highlight w:val="none"/>
          <w14:textFill>
            <w14:solidFill>
              <w14:schemeClr w14:val="tx1"/>
            </w14:solidFill>
          </w14:textFill>
        </w:rPr>
        <w:t xml:space="preserve">采购人、采购代理机构、供应商</w:t>
      </w:r>
      <w:bookmarkEnd w:id="92"/>
      <w:r/>
      <w:bookmarkEnd w:id="93"/>
      <w:r/>
      <w:bookmarkEnd w:id="94"/>
      <w:r/>
      <w:bookmarkEnd w:id="95"/>
      <w:r>
        <w:rPr>
          <w:rFonts w:hint="eastAsia" w:ascii="宋体" w:hAnsi="宋体" w:cs="宋体"/>
          <w:color w:val="000000" w:themeColor="text1"/>
          <w:sz w:val="24"/>
          <w:highlight w:val="none"/>
          <w14:textFill>
            <w14:solidFill>
              <w14:schemeClr w14:val="tx1"/>
            </w14:solidFill>
          </w14:textFill>
        </w:rPr>
        <w:t xml:space="preserve">、联合体</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2"/>
        </w:numPr>
        <w:ind w:left="0" w:firstLine="480"/>
        <w:spacing w:line="360" w:lineRule="auto"/>
        <w:tabs>
          <w:tab w:val="left" w:pos="360" w:leader="none"/>
          <w:tab w:val="clear" w:pos="900" w:leader="none"/>
        </w:tabs>
        <w:rPr>
          <w:rFonts w:hint="eastAsia" w:ascii="宋体" w:hAnsi="宋体" w:cs="宋体"/>
          <w:color w:val="000000" w:themeColor="text1"/>
          <w:sz w:val="24"/>
          <w:highlight w:val="none"/>
          <w14:textFill>
            <w14:solidFill>
              <w14:schemeClr w14:val="tx1"/>
            </w14:solidFill>
          </w14:textFill>
        </w:rPr>
      </w:pPr>
      <w:r/>
      <w:bookmarkStart w:id="111" w:name="_Toc150774620"/>
      <w:r/>
      <w:bookmarkStart w:id="112" w:name="_Toc149720813"/>
      <w:r/>
      <w:bookmarkStart w:id="113" w:name="_Toc164608789"/>
      <w:r/>
      <w:bookmarkStart w:id="114" w:name="_Toc150509271"/>
      <w:r/>
      <w:bookmarkStart w:id="115" w:name="_Toc305158862"/>
      <w:r/>
      <w:bookmarkStart w:id="116" w:name="_Toc265228358"/>
      <w:r/>
      <w:bookmarkStart w:id="117" w:name="_Toc142311022"/>
      <w:r/>
      <w:bookmarkStart w:id="118" w:name="_Toc151190147"/>
      <w:r/>
      <w:bookmarkStart w:id="119" w:name="_Toc127151721"/>
      <w:r/>
      <w:bookmarkStart w:id="120" w:name="_Toc164229361"/>
      <w:r/>
      <w:bookmarkStart w:id="121" w:name="_Toc150480758"/>
      <w:r/>
      <w:bookmarkStart w:id="122" w:name="_Toc164608634"/>
      <w:r/>
      <w:bookmarkStart w:id="123" w:name="_Toc226337216"/>
      <w:r/>
      <w:bookmarkStart w:id="124" w:name="_Toc151193834"/>
      <w:r/>
      <w:bookmarkStart w:id="125" w:name="_Toc164229215"/>
      <w:r/>
      <w:bookmarkStart w:id="126" w:name="_Toc226965793"/>
      <w:r/>
      <w:bookmarkStart w:id="127" w:name="_Toc226965710"/>
      <w:r/>
      <w:bookmarkStart w:id="128" w:name="_Toc151193618"/>
      <w:r/>
      <w:bookmarkStart w:id="129" w:name="_Toc150774725"/>
      <w:r/>
      <w:bookmarkStart w:id="130" w:name="_Toc226309764"/>
      <w:r/>
      <w:bookmarkStart w:id="131" w:name="_Toc195842885"/>
      <w:r/>
      <w:bookmarkStart w:id="132" w:name="_Toc164351614"/>
      <w:r/>
      <w:bookmarkStart w:id="133" w:name="_Toc151193690"/>
      <w:r/>
      <w:bookmarkStart w:id="134" w:name="_Toc127161434"/>
      <w:r/>
      <w:bookmarkStart w:id="135" w:name="_Toc127151520"/>
      <w:r/>
      <w:bookmarkStart w:id="136" w:name="_Toc264969210"/>
      <w:r/>
      <w:bookmarkStart w:id="137" w:name="_Toc151193908"/>
      <w:r/>
      <w:bookmarkStart w:id="138" w:name="_Toc151193762"/>
      <w:r/>
      <w:bookmarkStart w:id="139" w:name="_Toc305158788"/>
      <w:r>
        <w:rPr>
          <w:rFonts w:hint="eastAsia" w:ascii="宋体" w:hAnsi="宋体" w:cs="宋体"/>
          <w:color w:val="000000" w:themeColor="text1"/>
          <w:sz w:val="24"/>
          <w:highlight w:val="none"/>
          <w14:textFill>
            <w14:solidFill>
              <w14:schemeClr w14:val="tx1"/>
            </w14:solidFill>
          </w14:textFill>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color w:val="000000" w:themeColor="text1"/>
          <w:sz w:val="24"/>
          <w:highlight w:val="none"/>
          <w14:textFill>
            <w14:solidFill>
              <w14:schemeClr w14:val="tx1"/>
            </w14:solidFill>
          </w14:textFill>
        </w:rPr>
        <w:t xml:space="preserve">、项目属性、科研仪器设备采购</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项目属性见《供应商须知资料表》。</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是否属于科研仪器设备采购见《供应商须知资料表》。</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现场考察、磋商前答疑会</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0" w:name="_Toc226965795"/>
      <w:r/>
      <w:bookmarkStart w:id="141" w:name="_Toc142311024"/>
      <w:r/>
      <w:bookmarkStart w:id="142" w:name="_Toc195842887"/>
      <w:r/>
      <w:bookmarkStart w:id="143" w:name="_Toc150774622"/>
      <w:r/>
      <w:bookmarkStart w:id="144" w:name="_Toc520356146"/>
      <w:r/>
      <w:bookmarkStart w:id="145" w:name="_Toc305158864"/>
      <w:r/>
      <w:bookmarkStart w:id="146" w:name="_Toc151193836"/>
      <w:r/>
      <w:bookmarkStart w:id="147" w:name="_Toc226337218"/>
      <w:r/>
      <w:bookmarkStart w:id="148" w:name="_Toc226965712"/>
      <w:r/>
      <w:bookmarkStart w:id="149" w:name="_Toc151193764"/>
      <w:r/>
      <w:bookmarkStart w:id="150" w:name="_Toc151190149"/>
      <w:r/>
      <w:bookmarkStart w:id="151" w:name="_Toc151193620"/>
      <w:r/>
      <w:bookmarkStart w:id="152" w:name="_Toc150509273"/>
      <w:r/>
      <w:bookmarkStart w:id="153" w:name="_Toc151193692"/>
      <w:r/>
      <w:bookmarkStart w:id="154" w:name="_Toc150774727"/>
      <w:r/>
      <w:bookmarkStart w:id="155" w:name="_Toc305158790"/>
      <w:r/>
      <w:bookmarkStart w:id="156" w:name="_Toc127151522"/>
      <w:r/>
      <w:bookmarkStart w:id="157" w:name="_Toc151193910"/>
      <w:r/>
      <w:bookmarkStart w:id="158" w:name="_Toc265228360"/>
      <w:r/>
      <w:bookmarkStart w:id="159" w:name="_Toc226309766"/>
      <w:r/>
      <w:bookmarkStart w:id="160" w:name="_Toc150480760"/>
      <w:r/>
      <w:bookmarkStart w:id="161" w:name="_Toc264969212"/>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0" w:firstLine="480"/>
        <w:spacing w:line="360" w:lineRule="auto"/>
        <w:tabs>
          <w:tab w:val="left" w:pos="360" w:leader="none"/>
          <w:tab w:val="clear"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政府采购政策（包括但不限于下列具体政策要求）</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进口产品（本项目不涉及）</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中小企业、监狱企业及残疾人福利性单位</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中小企业定义：</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4.2.1.1中小企业是</w:t>
      </w:r>
      <w:r>
        <w:rPr>
          <w:rFonts w:hint="eastAsia" w:ascii="宋体" w:hAnsi="宋体" w:cs="宋体"/>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4.2.1.2供应商提供的货物、工程或者服务符合下列情形的，享受中小企业扶持政策：</w:t>
      </w:r>
      <w:r/>
    </w:p>
    <w:p>
      <w:pPr>
        <w:ind w:firstLine="480"/>
        <w:spacing w:line="360" w:lineRule="auto"/>
        <w:tabs>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（2）在工程采购项目中，工程由中小企业承建，即工程施工单位为中小企业；</w:t>
      </w:r>
      <w:r/>
    </w:p>
    <w:p>
      <w:pPr>
        <w:ind w:firstLine="480"/>
        <w:spacing w:line="360" w:lineRule="auto"/>
        <w:tabs>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4.2.1.4以联合体形式参加政府采购活动，联合体各方均为中小企业的，联合体视同中小企业。其中，联合体各方均为小微企业的，联合体视同小微企业。</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政府采购节能产品、环境标志产品（本项目不涉及）</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sz w:val="24"/>
          <w:highlight w:val="none"/>
          <w14:textFill>
            <w14:solidFill>
              <w14:schemeClr w14:val="tx1"/>
            </w14:solidFill>
          </w14:textFill>
        </w:rPr>
        <w:t xml:space="preserve">否则</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支持乡村产业振兴管理（本项目不涉及）</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正版软件（本项目不涉及）</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themeColor="text1"/>
          <w:sz w:val="24"/>
          <w:highlight w:val="none"/>
          <w14:textFill>
            <w14:solidFill>
              <w14:schemeClr w14:val="tx1"/>
            </w14:solidFill>
          </w14:textFill>
        </w:rPr>
        <w:t xml:space="preserve">否则</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政府采购创新产品政策（本项目不涉及）</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绿色采购政策</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绿色数据中心政策：依据《绿色数据中心政府采购需求标准（试行）》（财办库〔2023〕7 号）文件精神，采购</w:t>
      </w:r>
      <w:r>
        <w:rPr>
          <w:rFonts w:hint="eastAsia" w:ascii="宋体" w:hAnsi="宋体" w:cs="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ind w:left="0" w:firstLine="480"/>
        <w:spacing w:line="360" w:lineRule="auto"/>
        <w:tabs>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
        </w:numPr>
        <w:ind w:left="0" w:firstLine="480"/>
        <w:spacing w:line="360" w:lineRule="auto"/>
        <w:tabs>
          <w:tab w:val="left" w:pos="2014" w:leader="none"/>
        </w:tabs>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themeColor="text1"/>
          <w:sz w:val="24"/>
          <w:highlight w:val="none"/>
          <w14:textFill>
            <w14:solidFill>
              <w14:schemeClr w14:val="tx1"/>
            </w14:solidFill>
          </w14:textFill>
        </w:rPr>
        <w:t xml:space="preserve"> </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响应费用</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162" w:name="_1.8_计量单位"/>
      <w:r/>
      <w:bookmarkEnd w:id="162"/>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163" w:name="_Toc164608792"/>
      <w:r/>
      <w:bookmarkStart w:id="164" w:name="_Toc151193693"/>
      <w:r/>
      <w:bookmarkStart w:id="165" w:name="_Toc150509274"/>
      <w:r/>
      <w:bookmarkStart w:id="166" w:name="_Toc164608637"/>
      <w:r/>
      <w:bookmarkStart w:id="167" w:name="_Toc195842888"/>
      <w:r/>
      <w:bookmarkStart w:id="168" w:name="_Toc151193911"/>
      <w:r/>
      <w:bookmarkStart w:id="169" w:name="_Toc305158791"/>
      <w:r/>
      <w:bookmarkStart w:id="170" w:name="_Toc127151724"/>
      <w:r/>
      <w:bookmarkStart w:id="171" w:name="_Toc149720816"/>
      <w:r/>
      <w:bookmarkStart w:id="172" w:name="_Toc264969213"/>
      <w:r/>
      <w:bookmarkStart w:id="173" w:name="_Toc226309767"/>
      <w:r/>
      <w:bookmarkStart w:id="174" w:name="_Toc226337219"/>
      <w:r/>
      <w:bookmarkStart w:id="175" w:name="_Toc226965796"/>
      <w:r/>
      <w:bookmarkStart w:id="176" w:name="_Toc151193765"/>
      <w:r/>
      <w:bookmarkStart w:id="177" w:name="_Toc127161437"/>
      <w:r/>
      <w:bookmarkStart w:id="178" w:name="_Toc150774623"/>
      <w:r/>
      <w:bookmarkStart w:id="179" w:name="_Toc265228361"/>
      <w:r/>
      <w:bookmarkStart w:id="180" w:name="_Toc520356147"/>
      <w:r/>
      <w:bookmarkStart w:id="181" w:name="_Toc151190150"/>
      <w:r/>
      <w:bookmarkStart w:id="182" w:name="_Toc164229364"/>
      <w:r/>
      <w:bookmarkStart w:id="183" w:name="_Toc164351617"/>
      <w:r/>
      <w:bookmarkStart w:id="184" w:name="_Toc150480761"/>
      <w:r/>
      <w:bookmarkStart w:id="185" w:name="_Toc226965713"/>
      <w:r/>
      <w:bookmarkStart w:id="186" w:name="_Toc127151523"/>
      <w:r/>
      <w:bookmarkStart w:id="187" w:name="_Toc142311025"/>
      <w:r/>
      <w:bookmarkStart w:id="188" w:name="_Toc150774728"/>
      <w:r/>
      <w:bookmarkStart w:id="189" w:name="_Toc151193621"/>
      <w:r/>
      <w:bookmarkStart w:id="190" w:name="_Toc305158865"/>
      <w:r/>
      <w:bookmarkStart w:id="191" w:name="_Toc164229218"/>
      <w:r/>
      <w:bookmarkStart w:id="192" w:name="_Toc151193837"/>
      <w:r>
        <w:rPr>
          <w:rFonts w:hint="eastAsia" w:ascii="宋体" w:hAnsi="宋体" w:cs="宋体"/>
          <w:color w:val="000000" w:themeColor="text1"/>
          <w:sz w:val="24"/>
          <w:highlight w:val="none"/>
          <w14:textFill>
            <w14:solidFill>
              <w14:schemeClr w14:val="tx1"/>
            </w14:solidFill>
          </w14:textFill>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color w:val="000000" w:themeColor="text1"/>
          <w:sz w:val="24"/>
          <w:highlight w:val="none"/>
          <w14:textFill>
            <w14:solidFill>
              <w14:schemeClr w14:val="tx1"/>
            </w14:solidFill>
          </w14:textFill>
        </w:rPr>
        <w:t xml:space="preserve">成</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竞争性磋商文件包括以下部分：</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采购邀请</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供应商须知</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评审程序、评审方法和评审标准</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合同草案条款</w:t>
      </w:r>
      <w:r/>
    </w:p>
    <w:p>
      <w:pPr>
        <w:numPr>
          <w:ilvl w:val="0"/>
          <w:numId w:val="3"/>
        </w:numPr>
        <w:ind w:left="0" w:firstLine="480"/>
        <w:spacing w:line="360" w:lineRule="auto"/>
        <w:tabs>
          <w:tab w:val="left" w:pos="1980" w:leader="none"/>
          <w:tab w:val="left" w:pos="252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响应文件格式</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对竞争性磋商文件的澄清或修改</w:t>
      </w:r>
      <w:r/>
    </w:p>
    <w:p>
      <w:pPr>
        <w:numPr>
          <w:ilvl w:val="1"/>
          <w:numId w:val="2"/>
        </w:numPr>
        <w:ind w:left="0" w:firstLine="480"/>
        <w:spacing w:line="360" w:lineRule="auto"/>
        <w:tabs>
          <w:tab w:val="left" w:pos="1080" w:leader="none"/>
          <w:tab w:val="left" w:pos="1561"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0" w:firstLine="480"/>
        <w:spacing w:line="360" w:lineRule="auto"/>
        <w:tabs>
          <w:tab w:val="left" w:pos="1080" w:leader="none"/>
          <w:tab w:val="left" w:pos="1561"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193" w:name="_Toc516367020"/>
      <w:r/>
      <w:bookmarkStart w:id="194" w:name="_Toc226337222"/>
      <w:r/>
      <w:bookmarkStart w:id="195" w:name="_Toc151193624"/>
      <w:r/>
      <w:bookmarkStart w:id="196" w:name="_Toc151193696"/>
      <w:r/>
      <w:bookmarkStart w:id="197" w:name="_Toc226309770"/>
      <w:r/>
      <w:bookmarkStart w:id="198" w:name="_Toc226965799"/>
      <w:r/>
      <w:bookmarkStart w:id="199" w:name="_Toc142311028"/>
      <w:r/>
      <w:bookmarkStart w:id="200" w:name="_Toc226965716"/>
      <w:r/>
      <w:bookmarkStart w:id="201" w:name="_Toc151193768"/>
      <w:r/>
      <w:bookmarkStart w:id="202" w:name="_Toc150774731"/>
      <w:r/>
      <w:bookmarkStart w:id="203" w:name="_Toc150774626"/>
      <w:r/>
      <w:bookmarkStart w:id="204" w:name="_Toc150480764"/>
      <w:r/>
      <w:bookmarkStart w:id="205" w:name="_Toc127151526"/>
      <w:r/>
      <w:bookmarkStart w:id="206" w:name="_Toc305158794"/>
      <w:r/>
      <w:bookmarkStart w:id="207" w:name="_Toc150509277"/>
      <w:r/>
      <w:bookmarkStart w:id="208" w:name="_Toc151190153"/>
      <w:r/>
      <w:bookmarkStart w:id="209" w:name="_Toc151193914"/>
      <w:r/>
      <w:bookmarkStart w:id="210" w:name="_Toc151193840"/>
      <w:r/>
      <w:bookmarkStart w:id="211" w:name="_Toc265228364"/>
      <w:r/>
      <w:bookmarkStart w:id="212" w:name="_Toc305158868"/>
      <w:r/>
      <w:bookmarkStart w:id="213" w:name="_Toc520356150"/>
      <w:r/>
      <w:bookmarkStart w:id="214" w:name="_Toc264969216"/>
      <w:r/>
      <w:bookmarkStart w:id="215" w:name="_Toc195842891"/>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三   响应文件</w:t>
      </w:r>
      <w:bookmarkEnd w:id="193"/>
      <w:r>
        <w:rPr>
          <w:rFonts w:hint="eastAsia" w:ascii="宋体" w:hAnsi="宋体"/>
          <w:b/>
          <w:bCs/>
          <w:color w:val="000000" w:themeColor="text1"/>
          <w:sz w:val="28"/>
          <w:szCs w:val="28"/>
          <w:highlight w:val="none"/>
          <w14:textFill>
            <w14:solidFill>
              <w14:schemeClr w14:val="tx1"/>
            </w14:solidFill>
          </w14:textFill>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216" w:name="_Toc142311029"/>
      <w:r/>
      <w:bookmarkStart w:id="217" w:name="_Toc164351621"/>
      <w:r/>
      <w:bookmarkStart w:id="218" w:name="_Toc264969217"/>
      <w:r/>
      <w:bookmarkStart w:id="219" w:name="_Toc226965800"/>
      <w:r/>
      <w:bookmarkStart w:id="220" w:name="_Toc265228365"/>
      <w:r/>
      <w:bookmarkStart w:id="221" w:name="_Toc226309771"/>
      <w:r/>
      <w:bookmarkStart w:id="222" w:name="_Toc195842892"/>
      <w:r/>
      <w:bookmarkStart w:id="223" w:name="_Toc164229222"/>
      <w:r/>
      <w:bookmarkStart w:id="224" w:name="_Toc305158795"/>
      <w:r/>
      <w:bookmarkStart w:id="225" w:name="_Toc151190154"/>
      <w:r/>
      <w:bookmarkStart w:id="226" w:name="_Toc127151728"/>
      <w:r/>
      <w:bookmarkStart w:id="227" w:name="_Toc127161441"/>
      <w:r/>
      <w:bookmarkStart w:id="228" w:name="_Toc151193697"/>
      <w:r/>
      <w:bookmarkStart w:id="229" w:name="_Toc151193841"/>
      <w:r/>
      <w:bookmarkStart w:id="230" w:name="_Toc151193625"/>
      <w:r/>
      <w:bookmarkStart w:id="231" w:name="_Toc305158869"/>
      <w:r/>
      <w:bookmarkStart w:id="232" w:name="_Toc516367021"/>
      <w:r/>
      <w:bookmarkStart w:id="233" w:name="_Toc127151527"/>
      <w:r/>
      <w:bookmarkStart w:id="234" w:name="_Toc226337223"/>
      <w:r/>
      <w:bookmarkStart w:id="235" w:name="_Toc150774732"/>
      <w:r/>
      <w:bookmarkStart w:id="236" w:name="_Toc151193769"/>
      <w:r/>
      <w:bookmarkStart w:id="237" w:name="_Toc150480765"/>
      <w:r/>
      <w:bookmarkStart w:id="238" w:name="_Toc150774627"/>
      <w:r/>
      <w:bookmarkStart w:id="239" w:name="_Toc164608796"/>
      <w:r/>
      <w:bookmarkStart w:id="240" w:name="_Toc151193915"/>
      <w:r/>
      <w:bookmarkStart w:id="241" w:name="_Toc520356151"/>
      <w:r/>
      <w:bookmarkStart w:id="242" w:name="_Toc164608641"/>
      <w:r/>
      <w:bookmarkStart w:id="243" w:name="_Toc226965717"/>
      <w:r/>
      <w:bookmarkStart w:id="244" w:name="_Toc164229368"/>
      <w:r/>
      <w:bookmarkStart w:id="245" w:name="_Toc149720820"/>
      <w:r/>
      <w:bookmarkStart w:id="246" w:name="_Toc150509278"/>
      <w:r>
        <w:rPr>
          <w:rFonts w:hint="eastAsia" w:ascii="宋体" w:hAnsi="宋体" w:cs="宋体"/>
          <w:color w:val="000000" w:themeColor="text1"/>
          <w:sz w:val="24"/>
          <w:highlight w:val="none"/>
          <w14:textFill>
            <w14:solidFill>
              <w14:schemeClr w14:val="tx1"/>
            </w14:solidFill>
          </w14:textFill>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color w:val="000000" w:themeColor="text1"/>
          <w:sz w:val="24"/>
          <w:highlight w:val="none"/>
          <w14:textFill>
            <w14:solidFill>
              <w14:schemeClr w14:val="tx1"/>
            </w14:solidFill>
          </w14:textFill>
        </w:rPr>
        <w:t xml:space="preserve">及磋商语言</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247" w:name="_Ref467306676"/>
      <w:r/>
      <w:bookmarkStart w:id="248" w:name="_Ref467306195"/>
      <w:r/>
      <w:bookmarkStart w:id="249" w:name="_Toc516367022"/>
      <w:r/>
      <w:bookmarkStart w:id="250" w:name="_Toc164351622"/>
      <w:r/>
      <w:bookmarkStart w:id="251" w:name="_Toc127151528"/>
      <w:r/>
      <w:bookmarkStart w:id="252" w:name="_Toc164229223"/>
      <w:r/>
      <w:bookmarkStart w:id="253" w:name="_Toc265228366"/>
      <w:r/>
      <w:bookmarkStart w:id="254" w:name="_Toc520356152"/>
      <w:r/>
      <w:bookmarkStart w:id="255" w:name="_Toc151193698"/>
      <w:r/>
      <w:bookmarkStart w:id="256" w:name="_Toc164608642"/>
      <w:r/>
      <w:bookmarkStart w:id="257" w:name="_Toc264969218"/>
      <w:r/>
      <w:bookmarkStart w:id="258" w:name="_Toc151193770"/>
      <w:r/>
      <w:bookmarkStart w:id="259" w:name="_Toc305158796"/>
      <w:r/>
      <w:bookmarkStart w:id="260" w:name="_Toc226337224"/>
      <w:r/>
      <w:bookmarkStart w:id="261" w:name="_Toc127161442"/>
      <w:r/>
      <w:bookmarkStart w:id="262" w:name="_Toc164229369"/>
      <w:r/>
      <w:bookmarkStart w:id="263" w:name="_Toc164608797"/>
      <w:r/>
      <w:bookmarkStart w:id="264" w:name="_Toc142311030"/>
      <w:r/>
      <w:bookmarkStart w:id="265" w:name="_Toc151190155"/>
      <w:r/>
      <w:bookmarkStart w:id="266" w:name="_Toc226309772"/>
      <w:r/>
      <w:bookmarkStart w:id="267" w:name="_Toc127151729"/>
      <w:r/>
      <w:bookmarkStart w:id="268" w:name="_Toc226965801"/>
      <w:r/>
      <w:bookmarkStart w:id="269" w:name="_Toc151193626"/>
      <w:r/>
      <w:bookmarkStart w:id="270" w:name="_Toc150480766"/>
      <w:r/>
      <w:bookmarkStart w:id="271" w:name="_Toc195842893"/>
      <w:r/>
      <w:bookmarkStart w:id="272" w:name="_Toc151193842"/>
      <w:r/>
      <w:bookmarkStart w:id="273" w:name="_Toc305158870"/>
      <w:r/>
      <w:bookmarkStart w:id="274" w:name="_Toc150509279"/>
      <w:r/>
      <w:bookmarkStart w:id="275" w:name="_Toc150774628"/>
      <w:r/>
      <w:bookmarkStart w:id="276" w:name="_Toc150774733"/>
      <w:r/>
      <w:bookmarkStart w:id="277" w:name="_Toc226965718"/>
      <w:r/>
      <w:bookmarkStart w:id="278" w:name="_Toc151193916"/>
      <w:r/>
      <w:bookmarkStart w:id="279" w:name="_Toc149720821"/>
      <w:r>
        <w:rPr>
          <w:rFonts w:hint="eastAsia" w:ascii="宋体" w:hAnsi="宋体" w:cs="宋体"/>
          <w:color w:val="000000" w:themeColor="text1"/>
          <w:sz w:val="24"/>
          <w:highlight w:val="none"/>
          <w14:textFill>
            <w14:solidFill>
              <w14:schemeClr w14:val="tx1"/>
            </w14:solidFill>
          </w14:textFill>
        </w:rPr>
        <w:t xml:space="preserve">响应文件</w:t>
      </w:r>
      <w:bookmarkEnd w:id="247"/>
      <w:r/>
      <w:bookmarkEnd w:id="248"/>
      <w:r/>
      <w:bookmarkEnd w:id="249"/>
      <w:r>
        <w:rPr>
          <w:rFonts w:hint="eastAsia" w:ascii="宋体" w:hAnsi="宋体" w:cs="宋体"/>
          <w:color w:val="000000" w:themeColor="text1"/>
          <w:sz w:val="24"/>
          <w:highlight w:val="none"/>
          <w14:textFill>
            <w14:solidFill>
              <w14:schemeClr w14:val="tx1"/>
            </w14:solidFill>
          </w14:textFill>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bookmarkStart w:id="280" w:name="_Ref467052588"/>
      <w:r>
        <w:rPr>
          <w:rFonts w:hint="eastAsia" w:ascii="宋体" w:hAnsi="宋体" w:cs="宋体"/>
          <w:color w:val="000000" w:themeColor="text1"/>
          <w:sz w:val="24"/>
          <w:highlight w:val="none"/>
          <w14:textFill>
            <w14:solidFill>
              <w14:schemeClr w14:val="tx1"/>
            </w14:solidFill>
          </w14:textFill>
        </w:rPr>
        <w:t xml:space="preserve">供应商应当按照竞争性磋商文件的要求编制响应文件，</w:t>
      </w:r>
      <w:r>
        <w:rPr>
          <w:rFonts w:hint="eastAsia" w:ascii="宋体" w:hAnsi="宋体" w:cs="宋体"/>
          <w:color w:val="000000" w:themeColor="text1"/>
          <w:sz w:val="24"/>
          <w:highlight w:val="none"/>
          <w14:textFill>
            <w14:solidFill>
              <w14:schemeClr w14:val="tx1"/>
            </w14:solidFill>
          </w14:textFill>
        </w:rPr>
        <w:t xml:space="preserve">并对其提交的响应文件的真实性、合法性承担法律责任</w:t>
      </w:r>
      <w:r>
        <w:rPr>
          <w:rFonts w:hint="eastAsia" w:ascii="宋体" w:hAnsi="宋体" w:cs="宋体"/>
          <w:color w:val="000000" w:themeColor="text1"/>
          <w:sz w:val="24"/>
          <w:highlight w:val="none"/>
          <w14:textFill>
            <w14:solidFill>
              <w14:schemeClr w14:val="tx1"/>
            </w14:solidFill>
          </w14:textFill>
        </w:rPr>
        <w:t xml:space="preserve">。响应文件的部分格式要求，见第六章《响应文件格式》。</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对于竞争性磋商文件中标记了“实质性格式”文件的，</w:t>
      </w:r>
      <w:r>
        <w:rPr>
          <w:rFonts w:hint="eastAsia" w:ascii="宋体" w:hAnsi="宋体" w:cs="宋体"/>
          <w:color w:val="000000" w:themeColor="text1"/>
          <w:sz w:val="24"/>
          <w:highlight w:val="none"/>
          <w14:textFill>
            <w14:solidFill>
              <w14:schemeClr w14:val="tx1"/>
            </w14:solidFill>
          </w14:textFill>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highlight w:val="none"/>
          <w14:textFill>
            <w14:solidFill>
              <w14:schemeClr w14:val="tx1"/>
            </w14:solidFill>
          </w14:textFill>
        </w:rPr>
        <w:t xml:space="preserve">否则响应无效</w:t>
      </w:r>
      <w:r>
        <w:rPr>
          <w:rFonts w:hint="eastAsia" w:ascii="宋体" w:hAnsi="宋体" w:cs="宋体"/>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第三章《评审方法和评审标准》中涉及的证明文件。</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供应商认为应附的其他材料。</w:t>
      </w:r>
      <w:bookmarkEnd w:id="280"/>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281" w:name="_Toc520356155"/>
      <w:r/>
      <w:bookmarkStart w:id="282" w:name="_Toc164608799"/>
      <w:r/>
      <w:bookmarkStart w:id="283" w:name="_Toc195842895"/>
      <w:r/>
      <w:bookmarkStart w:id="284" w:name="_Toc127161444"/>
      <w:r/>
      <w:bookmarkStart w:id="285" w:name="_Toc151193772"/>
      <w:r/>
      <w:bookmarkStart w:id="286" w:name="_Toc150774630"/>
      <w:r/>
      <w:bookmarkStart w:id="287" w:name="_Toc151190157"/>
      <w:r/>
      <w:bookmarkStart w:id="288" w:name="_Toc142311032"/>
      <w:r/>
      <w:bookmarkStart w:id="289" w:name="_Toc151193628"/>
      <w:r/>
      <w:bookmarkStart w:id="290" w:name="_Toc164229225"/>
      <w:r/>
      <w:bookmarkStart w:id="291" w:name="_Toc127151731"/>
      <w:r/>
      <w:bookmarkStart w:id="292" w:name="_Toc149720823"/>
      <w:r/>
      <w:bookmarkStart w:id="293" w:name="_Toc164229371"/>
      <w:r/>
      <w:bookmarkStart w:id="294" w:name="_Toc150480768"/>
      <w:r/>
      <w:bookmarkStart w:id="295" w:name="_Toc151193844"/>
      <w:r/>
      <w:bookmarkStart w:id="296" w:name="_Toc127151530"/>
      <w:r/>
      <w:bookmarkStart w:id="297" w:name="_Toc164351624"/>
      <w:r/>
      <w:bookmarkStart w:id="298" w:name="_Toc150509281"/>
      <w:r/>
      <w:bookmarkStart w:id="299" w:name="_Toc151193700"/>
      <w:r/>
      <w:bookmarkStart w:id="300" w:name="_Toc164608644"/>
      <w:r/>
      <w:bookmarkStart w:id="301" w:name="_Toc150774735"/>
      <w:r/>
      <w:bookmarkStart w:id="302" w:name="_Toc151193918"/>
      <w:r>
        <w:rPr>
          <w:rFonts w:hint="eastAsia" w:ascii="宋体" w:hAnsi="宋体" w:cs="宋体"/>
          <w:color w:val="000000" w:themeColor="text1"/>
          <w:sz w:val="24"/>
          <w:highlight w:val="none"/>
          <w14:textFill>
            <w14:solidFill>
              <w14:schemeClr w14:val="tx1"/>
            </w14:solidFill>
          </w14:textFill>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所有响应均以人民币报价。</w:t>
      </w:r>
      <w:r/>
    </w:p>
    <w:p>
      <w:pPr>
        <w:numPr>
          <w:ilvl w:val="1"/>
          <w:numId w:val="2"/>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按照竞争性磋商文件要求完成本项目的全部相关服务费用。</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供应商不能提供任何有选择性或可调整的最终报价（</w:t>
      </w:r>
      <w:r>
        <w:rPr>
          <w:rFonts w:hint="eastAsia" w:ascii="宋体" w:hAnsi="宋体" w:cs="宋体"/>
          <w:color w:val="000000" w:themeColor="text1"/>
          <w:sz w:val="24"/>
          <w:highlight w:val="none"/>
          <w14:textFill>
            <w14:solidFill>
              <w14:schemeClr w14:val="tx1"/>
            </w14:solidFill>
          </w14:textFill>
        </w:rPr>
        <w:t xml:space="preserve">竞争性磋商文件</w:t>
      </w:r>
      <w:r>
        <w:rPr>
          <w:rFonts w:hint="eastAsia" w:ascii="宋体" w:hAnsi="宋体" w:cs="宋体"/>
          <w:color w:val="000000" w:themeColor="text1"/>
          <w:sz w:val="24"/>
          <w:highlight w:val="none"/>
          <w14:textFill>
            <w14:solidFill>
              <w14:schemeClr w14:val="tx1"/>
            </w14:solidFill>
          </w14:textFill>
        </w:rPr>
        <w:t xml:space="preserve">另有规定的除外），否则其</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p>
      <w:pPr>
        <w:ind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根据江苏省和常州市的相关文件规定，免收保证金。</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响应有效期</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303" w:name="_Toc150509284"/>
      <w:r/>
      <w:bookmarkStart w:id="304" w:name="_Toc151193631"/>
      <w:r/>
      <w:bookmarkStart w:id="305" w:name="_Toc127151734"/>
      <w:r/>
      <w:bookmarkStart w:id="306" w:name="_Toc150774738"/>
      <w:r/>
      <w:bookmarkStart w:id="307" w:name="_Toc195842898"/>
      <w:r/>
      <w:bookmarkStart w:id="308" w:name="_Toc164608802"/>
      <w:r/>
      <w:bookmarkStart w:id="309" w:name="_Toc142311035"/>
      <w:r/>
      <w:bookmarkStart w:id="310" w:name="_Toc226337229"/>
      <w:r/>
      <w:bookmarkStart w:id="311" w:name="_Toc164608647"/>
      <w:r/>
      <w:bookmarkStart w:id="312" w:name="_Toc264969223"/>
      <w:r/>
      <w:bookmarkStart w:id="313" w:name="_Toc164229374"/>
      <w:r/>
      <w:bookmarkStart w:id="314" w:name="_Toc164351627"/>
      <w:r/>
      <w:bookmarkStart w:id="315" w:name="_Toc151190160"/>
      <w:r/>
      <w:bookmarkStart w:id="316" w:name="_Toc151193703"/>
      <w:r/>
      <w:bookmarkStart w:id="317" w:name="_Toc305158875"/>
      <w:r/>
      <w:bookmarkStart w:id="318" w:name="_Toc226965723"/>
      <w:r/>
      <w:bookmarkStart w:id="319" w:name="_Toc127161447"/>
      <w:r/>
      <w:bookmarkStart w:id="320" w:name="_Toc265228371"/>
      <w:r/>
      <w:bookmarkStart w:id="321" w:name="_Toc226309777"/>
      <w:r/>
      <w:bookmarkStart w:id="322" w:name="_Toc164229228"/>
      <w:r/>
      <w:bookmarkStart w:id="323" w:name="_Toc150774633"/>
      <w:r/>
      <w:bookmarkStart w:id="324" w:name="_Toc151193921"/>
      <w:r/>
      <w:bookmarkStart w:id="325" w:name="_Toc305158801"/>
      <w:r/>
      <w:bookmarkStart w:id="326" w:name="_Toc520356158"/>
      <w:r/>
      <w:bookmarkStart w:id="327" w:name="_Toc151193847"/>
      <w:r/>
      <w:bookmarkStart w:id="328" w:name="_Toc226965806"/>
      <w:r/>
      <w:bookmarkStart w:id="329" w:name="_Toc150480771"/>
      <w:r/>
      <w:bookmarkStart w:id="330" w:name="_Toc127151533"/>
      <w:r/>
      <w:bookmarkStart w:id="331" w:name="_Toc149720826"/>
      <w:r/>
      <w:bookmarkStart w:id="332" w:name="_Toc151193775"/>
      <w:r>
        <w:rPr>
          <w:rFonts w:hint="eastAsia" w:ascii="宋体" w:hAnsi="宋体" w:cs="宋体"/>
          <w:color w:val="000000" w:themeColor="text1"/>
          <w:sz w:val="24"/>
          <w:highlight w:val="none"/>
          <w14:textFill>
            <w14:solidFill>
              <w14:schemeClr w14:val="tx1"/>
            </w14:solidFill>
          </w14:textFill>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cs="宋体"/>
          <w:color w:val="000000" w:themeColor="text1"/>
          <w:sz w:val="24"/>
          <w:highlight w:val="none"/>
          <w14:textFill>
            <w14:solidFill>
              <w14:schemeClr w14:val="tx1"/>
            </w14:solidFill>
          </w14:textFill>
        </w:rPr>
        <w:t xml:space="preserve">、盖章</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竞争性磋商文件要求盖章的内容，一般通过磋商响应文件编制工具加盖电子签章。</w:t>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333" w:name="_Toc226337230"/>
      <w:r/>
      <w:bookmarkStart w:id="334" w:name="_Toc150480772"/>
      <w:r/>
      <w:bookmarkStart w:id="335" w:name="_Toc150774739"/>
      <w:r/>
      <w:bookmarkStart w:id="336" w:name="_Toc150509285"/>
      <w:r/>
      <w:bookmarkStart w:id="337" w:name="_Toc305158802"/>
      <w:r/>
      <w:bookmarkStart w:id="338" w:name="_Toc151193632"/>
      <w:r/>
      <w:bookmarkStart w:id="339" w:name="_Toc151193704"/>
      <w:r/>
      <w:bookmarkStart w:id="340" w:name="_Toc265228372"/>
      <w:r/>
      <w:bookmarkStart w:id="341" w:name="_Toc142311036"/>
      <w:r/>
      <w:bookmarkStart w:id="342" w:name="_Toc151193922"/>
      <w:r/>
      <w:bookmarkStart w:id="343" w:name="_Toc520356159"/>
      <w:r/>
      <w:bookmarkStart w:id="344" w:name="_Toc151193776"/>
      <w:r/>
      <w:bookmarkStart w:id="345" w:name="_Toc226965724"/>
      <w:r/>
      <w:bookmarkStart w:id="346" w:name="_Toc151193848"/>
      <w:r/>
      <w:bookmarkStart w:id="347" w:name="_Toc264969224"/>
      <w:r/>
      <w:bookmarkStart w:id="348" w:name="_Toc195842899"/>
      <w:r/>
      <w:bookmarkStart w:id="349" w:name="_Toc305158876"/>
      <w:r/>
      <w:bookmarkStart w:id="350" w:name="_Toc226965807"/>
      <w:r/>
      <w:bookmarkStart w:id="351" w:name="_Toc151190161"/>
      <w:r/>
      <w:bookmarkStart w:id="352" w:name="_Toc150774634"/>
      <w:r/>
      <w:bookmarkStart w:id="353" w:name="_Toc127151534"/>
      <w:r/>
      <w:bookmarkStart w:id="354" w:name="_Toc226309778"/>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355" w:name="_Toc195842900"/>
      <w:r/>
      <w:bookmarkStart w:id="356" w:name="_Toc127151535"/>
      <w:r/>
      <w:bookmarkStart w:id="357" w:name="_Toc127161449"/>
      <w:r/>
      <w:bookmarkStart w:id="358" w:name="_Toc150774740"/>
      <w:r/>
      <w:bookmarkStart w:id="359" w:name="_Toc151193923"/>
      <w:r/>
      <w:bookmarkStart w:id="360" w:name="_Toc150480773"/>
      <w:r/>
      <w:bookmarkStart w:id="361" w:name="_Toc164608649"/>
      <w:r/>
      <w:bookmarkStart w:id="362" w:name="_Toc226337231"/>
      <w:r/>
      <w:bookmarkStart w:id="363" w:name="_Toc150774635"/>
      <w:r/>
      <w:bookmarkStart w:id="364" w:name="_Toc164608804"/>
      <w:r/>
      <w:bookmarkStart w:id="365" w:name="_Toc265228373"/>
      <w:r/>
      <w:bookmarkStart w:id="366" w:name="_Toc151193705"/>
      <w:r/>
      <w:bookmarkStart w:id="367" w:name="_Toc150509286"/>
      <w:r/>
      <w:bookmarkStart w:id="368" w:name="_Toc127151736"/>
      <w:r/>
      <w:bookmarkStart w:id="369" w:name="_Toc305158877"/>
      <w:r/>
      <w:bookmarkStart w:id="370" w:name="_Toc142311037"/>
      <w:r/>
      <w:bookmarkStart w:id="371" w:name="_Toc151193849"/>
      <w:r/>
      <w:bookmarkStart w:id="372" w:name="_Toc151193633"/>
      <w:r/>
      <w:bookmarkStart w:id="373" w:name="_Toc226309779"/>
      <w:r/>
      <w:bookmarkStart w:id="374" w:name="_Toc164229230"/>
      <w:r/>
      <w:bookmarkStart w:id="375" w:name="_Toc164229376"/>
      <w:r/>
      <w:bookmarkStart w:id="376" w:name="_Toc226965725"/>
      <w:r/>
      <w:bookmarkStart w:id="377" w:name="_Toc151190162"/>
      <w:r/>
      <w:bookmarkStart w:id="378" w:name="_Toc149720828"/>
      <w:r/>
      <w:bookmarkStart w:id="379" w:name="_Toc226965808"/>
      <w:r/>
      <w:bookmarkStart w:id="380" w:name="_Toc520356160"/>
      <w:r/>
      <w:bookmarkStart w:id="381" w:name="_Toc151193777"/>
      <w:r/>
      <w:bookmarkStart w:id="382" w:name="_Toc264969225"/>
      <w:r/>
      <w:bookmarkStart w:id="383" w:name="_Toc164351629"/>
      <w:r/>
      <w:bookmarkStart w:id="384" w:name="_Toc305158803"/>
      <w:r>
        <w:rPr>
          <w:rFonts w:hint="eastAsia" w:ascii="宋体" w:hAnsi="宋体" w:cs="宋体"/>
          <w:color w:val="000000" w:themeColor="text1"/>
          <w:sz w:val="24"/>
          <w:highlight w:val="none"/>
          <w14:textFill>
            <w14:solidFill>
              <w14:schemeClr w14:val="tx1"/>
            </w14:solidFill>
          </w14:textFill>
        </w:rPr>
        <w:t xml:space="preserve">响应文件的提交</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本项目使用“苏采云”政府采购一体化平台。供应商根据竞争性磋商文件及“苏采云”政府采购一体化平台供应商操作手册要求编制、生成并提交电子响应文件。</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采购人及采购代理机构拒绝接受通过“苏采云”政府采购一体化平台以外任何形式提交的响应文件，磋商保证金（如有）除外。</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响应文件截止时间</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供应商应在竞争性磋商文件要求提交响应文件截止时间前，将电子响应文件提交至“苏采云”政府采购一体化平台。</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响应文件的修改与撤回</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w:t>
      </w:r>
      <w:r>
        <w:rPr>
          <w:rFonts w:ascii="宋体" w:hAnsi="宋体"/>
          <w:color w:val="000000" w:themeColor="text1"/>
          <w:sz w:val="24"/>
          <w:highlight w:val="none"/>
          <w14:textFill>
            <w14:solidFill>
              <w14:schemeClr w14:val="tx1"/>
            </w14:solidFill>
          </w14:textFill>
        </w:rPr>
        <w:t xml:space="preserve">充、修改的内容为准。</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385" w:name="_Toc151190165"/>
      <w:r/>
      <w:bookmarkStart w:id="386" w:name="_Toc127151538"/>
      <w:r/>
      <w:bookmarkStart w:id="387" w:name="_Toc151193780"/>
      <w:r/>
      <w:bookmarkStart w:id="388" w:name="_Toc151193708"/>
      <w:r/>
      <w:bookmarkStart w:id="389" w:name="_Toc305158806"/>
      <w:r/>
      <w:bookmarkStart w:id="390" w:name="_Toc150774743"/>
      <w:r/>
      <w:bookmarkStart w:id="391" w:name="_Toc226337234"/>
      <w:r/>
      <w:bookmarkStart w:id="392" w:name="_Toc151193636"/>
      <w:r/>
      <w:bookmarkStart w:id="393" w:name="_Toc264969228"/>
      <w:r/>
      <w:bookmarkStart w:id="394" w:name="_Toc226965811"/>
      <w:r/>
      <w:bookmarkStart w:id="395" w:name="_Toc195842903"/>
      <w:r/>
      <w:bookmarkStart w:id="396" w:name="_Toc226309782"/>
      <w:r/>
      <w:bookmarkStart w:id="397" w:name="_Toc150509289"/>
      <w:r/>
      <w:bookmarkStart w:id="398" w:name="_Toc151193926"/>
      <w:r/>
      <w:bookmarkStart w:id="399" w:name="_Toc150774638"/>
      <w:r/>
      <w:bookmarkStart w:id="400" w:name="_Toc150480776"/>
      <w:r/>
      <w:bookmarkStart w:id="401" w:name="_Toc226965728"/>
      <w:r/>
      <w:bookmarkStart w:id="402" w:name="_Toc520356163"/>
      <w:r/>
      <w:bookmarkStart w:id="403" w:name="_Toc265228376"/>
      <w:r/>
      <w:bookmarkStart w:id="404" w:name="_Toc151193852"/>
      <w:r/>
      <w:bookmarkStart w:id="405" w:name="_Toc305158880"/>
      <w:r/>
      <w:bookmarkStart w:id="406" w:name="_Toc142311040"/>
      <w:r>
        <w:rPr>
          <w:rFonts w:hint="eastAsia" w:ascii="宋体" w:hAnsi="宋体"/>
          <w:b/>
          <w:bCs/>
          <w:color w:val="000000" w:themeColor="text1"/>
          <w:sz w:val="28"/>
          <w:szCs w:val="28"/>
          <w:highlight w:val="none"/>
          <w14:textFill>
            <w14:solidFill>
              <w14:schemeClr w14:val="tx1"/>
            </w14:solidFill>
          </w14:textFill>
        </w:rPr>
        <w:t xml:space="preserve">五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b/>
          <w:bCs/>
          <w:color w:val="000000" w:themeColor="text1"/>
          <w:sz w:val="28"/>
          <w:szCs w:val="28"/>
          <w:highlight w:val="none"/>
          <w14:textFill>
            <w14:solidFill>
              <w14:schemeClr w14:val="tx1"/>
            </w14:solidFill>
          </w14:textFill>
        </w:rPr>
        <w:t xml:space="preserve">评审</w:t>
      </w:r>
      <w:r/>
    </w:p>
    <w:p>
      <w:pPr>
        <w:numPr>
          <w:ilvl w:val="0"/>
          <w:numId w:val="2"/>
        </w:numPr>
        <w:ind w:left="0"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outlineLvl w:val="1"/>
      </w:pPr>
      <w:r/>
      <w:bookmarkStart w:id="407" w:name="_Toc520356169"/>
      <w:r>
        <w:rPr>
          <w:rFonts w:ascii="宋体" w:hAnsi="宋体"/>
          <w:color w:val="000000" w:themeColor="text1"/>
          <w:sz w:val="24"/>
          <w:highlight w:val="none"/>
          <w14:textFill>
            <w14:solidFill>
              <w14:schemeClr w14:val="tx1"/>
            </w14:solidFill>
          </w14:textFill>
        </w:rPr>
        <w:t xml:space="preserve">响应文件的</w:t>
      </w:r>
      <w:r>
        <w:rPr>
          <w:rFonts w:hint="eastAsia" w:ascii="宋体" w:hAnsi="宋体"/>
          <w:color w:val="000000" w:themeColor="text1"/>
          <w:sz w:val="24"/>
          <w:highlight w:val="none"/>
          <w14:textFill>
            <w14:solidFill>
              <w14:schemeClr w14:val="tx1"/>
            </w14:solidFill>
          </w14:textFill>
        </w:rPr>
        <w:t xml:space="preserve">解密与</w:t>
      </w:r>
      <w:r>
        <w:rPr>
          <w:rFonts w:ascii="宋体" w:hAnsi="宋体"/>
          <w:color w:val="000000" w:themeColor="text1"/>
          <w:sz w:val="24"/>
          <w:highlight w:val="none"/>
          <w14:textFill>
            <w14:solidFill>
              <w14:schemeClr w14:val="tx1"/>
            </w14:solidFill>
          </w14:textFill>
        </w:rPr>
        <w:t xml:space="preserve">开启</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本项目采用不见面交易模式，使用“苏采云”政府采购一体化平台在线进行解密。</w:t>
      </w:r>
      <w:r>
        <w:rPr>
          <w:rFonts w:ascii="宋体" w:hAnsi="宋体"/>
          <w:color w:val="000000" w:themeColor="text1"/>
          <w:sz w:val="24"/>
          <w:highlight w:val="none"/>
          <w14:textFill>
            <w14:solidFill>
              <w14:schemeClr w14:val="tx1"/>
            </w14:solidFill>
          </w14:textFill>
        </w:rPr>
        <w:t xml:space="preserve">供应商应在规定的时间内对</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文件进行解密，因非系统原因导致的解密失败，视为</w:t>
      </w:r>
      <w:r>
        <w:rPr>
          <w:rFonts w:ascii="宋体" w:hAnsi="宋体"/>
          <w:b/>
          <w:color w:val="000000" w:themeColor="text1"/>
          <w:sz w:val="24"/>
          <w:highlight w:val="none"/>
          <w14:textFill>
            <w14:solidFill>
              <w14:schemeClr w14:val="tx1"/>
            </w14:solidFill>
          </w14:textFill>
        </w:rPr>
        <w:t xml:space="preserve">响应无效</w:t>
      </w:r>
      <w:r>
        <w:rPr>
          <w:rFonts w:ascii="宋体" w:hAnsi="宋体"/>
          <w:color w:val="000000" w:themeColor="text1"/>
          <w:sz w:val="24"/>
          <w:highlight w:val="none"/>
          <w14:textFill>
            <w14:solidFill>
              <w14:schemeClr w14:val="tx1"/>
            </w14:solidFill>
          </w14:textFill>
        </w:rPr>
        <w:t xml:space="preserve">。</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供应商不足3家的，不予解密。</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bookmarkStart w:id="408" w:name="_Toc520356165"/>
      <w:r>
        <w:rPr>
          <w:rFonts w:ascii="宋体" w:hAnsi="宋体"/>
          <w:color w:val="000000" w:themeColor="text1"/>
          <w:sz w:val="24"/>
          <w:highlight w:val="none"/>
          <w14:textFill>
            <w14:solidFill>
              <w14:schemeClr w14:val="tx1"/>
            </w14:solidFill>
          </w14:textFill>
        </w:rPr>
        <w:t xml:space="preserve">本项目不公开报价。</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ascii="宋体" w:hAnsi="宋体"/>
          <w:color w:val="000000" w:themeColor="text1"/>
          <w:sz w:val="24"/>
          <w:highlight w:val="none"/>
          <w14:textFill>
            <w14:solidFill>
              <w14:schemeClr w14:val="tx1"/>
            </w14:solidFill>
          </w14:textFill>
        </w:rPr>
        <w:t xml:space="preserve">解密、评审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ascii="宋体" w:hAnsi="宋体"/>
          <w:color w:val="000000" w:themeColor="text1"/>
          <w:sz w:val="24"/>
          <w:highlight w:val="none"/>
          <w14:textFill>
            <w14:solidFill>
              <w14:schemeClr w14:val="tx1"/>
            </w14:solidFill>
          </w14:textFill>
        </w:rPr>
        <w:t xml:space="preserve">要求安装摄像头、麦克风和音箱，保持网络通畅。</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因本项目</w:t>
      </w:r>
      <w:r>
        <w:rPr>
          <w:rFonts w:ascii="宋体" w:hAnsi="宋体"/>
          <w:color w:val="000000" w:themeColor="text1"/>
          <w:sz w:val="24"/>
          <w:highlight w:val="none"/>
          <w14:textFill>
            <w14:solidFill>
              <w14:schemeClr w14:val="tx1"/>
            </w14:solidFill>
          </w14:textFill>
        </w:rPr>
        <w:t xml:space="preserve">采用不见面交易的</w:t>
      </w:r>
      <w:r>
        <w:rPr>
          <w:rFonts w:hint="eastAsia" w:ascii="宋体" w:hAnsi="宋体"/>
          <w:color w:val="000000" w:themeColor="text1"/>
          <w:sz w:val="24"/>
          <w:highlight w:val="none"/>
          <w14:textFill>
            <w14:solidFill>
              <w14:schemeClr w14:val="tx1"/>
            </w14:solidFill>
          </w14:textFill>
        </w:rPr>
        <w:t xml:space="preserve">方式</w:t>
      </w:r>
      <w:r>
        <w:rPr>
          <w:rFonts w:ascii="宋体" w:hAnsi="宋体"/>
          <w:color w:val="000000" w:themeColor="text1"/>
          <w:sz w:val="24"/>
          <w:highlight w:val="none"/>
          <w14:textFill>
            <w14:solidFill>
              <w14:schemeClr w14:val="tx1"/>
            </w14:solidFill>
          </w14:textFill>
        </w:rPr>
        <w:t xml:space="preserve">，在</w:t>
      </w:r>
      <w:r>
        <w:rPr>
          <w:rFonts w:hint="eastAsia" w:ascii="宋体" w:hAnsi="宋体"/>
          <w:color w:val="000000" w:themeColor="text1"/>
          <w:sz w:val="24"/>
          <w:highlight w:val="none"/>
          <w14:textFill>
            <w14:solidFill>
              <w14:schemeClr w14:val="tx1"/>
            </w14:solidFill>
          </w14:textFill>
        </w:rPr>
        <w:t xml:space="preserve">解密、评审</w:t>
      </w:r>
      <w:r>
        <w:rPr>
          <w:rFonts w:ascii="宋体" w:hAnsi="宋体"/>
          <w:color w:val="000000" w:themeColor="text1"/>
          <w:sz w:val="24"/>
          <w:highlight w:val="none"/>
          <w14:textFill>
            <w14:solidFill>
              <w14:schemeClr w14:val="tx1"/>
            </w14:solidFill>
          </w14:textFill>
        </w:rPr>
        <w:t xml:space="preserve">过程中，</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要</w:t>
      </w:r>
      <w:r>
        <w:rPr>
          <w:rFonts w:ascii="宋体" w:hAnsi="宋体"/>
          <w:color w:val="000000" w:themeColor="text1"/>
          <w:sz w:val="24"/>
          <w:highlight w:val="none"/>
          <w14:textFill>
            <w14:solidFill>
              <w14:schemeClr w14:val="tx1"/>
            </w14:solidFill>
          </w14:textFill>
        </w:rPr>
        <w:t xml:space="preserve">保持操作计算机前有相关责任人</w:t>
      </w:r>
      <w:r>
        <w:rPr>
          <w:rFonts w:hint="eastAsia" w:ascii="宋体" w:hAnsi="宋体"/>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olor w:val="000000" w:themeColor="text1"/>
          <w:sz w:val="24"/>
          <w:highlight w:val="none"/>
          <w14:textFill>
            <w14:solidFill>
              <w14:schemeClr w14:val="tx1"/>
            </w14:solidFill>
          </w14:textFill>
        </w:rPr>
        <w:t xml:space="preserve">。</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平台</w:t>
      </w:r>
      <w:r>
        <w:rPr>
          <w:rFonts w:hint="eastAsia" w:ascii="宋体" w:hAnsi="宋体"/>
          <w:color w:val="000000" w:themeColor="text1"/>
          <w:sz w:val="24"/>
          <w:highlight w:val="none"/>
          <w14:textFill>
            <w14:solidFill>
              <w14:schemeClr w14:val="tx1"/>
            </w14:solidFill>
          </w14:textFill>
        </w:rPr>
        <w:t xml:space="preserve">系统</w:t>
      </w:r>
      <w:r>
        <w:rPr>
          <w:rFonts w:ascii="宋体" w:hAnsi="宋体"/>
          <w:color w:val="000000" w:themeColor="text1"/>
          <w:sz w:val="24"/>
          <w:highlight w:val="none"/>
          <w14:textFill>
            <w14:solidFill>
              <w14:schemeClr w14:val="tx1"/>
            </w14:solidFill>
          </w14:textFill>
        </w:rPr>
        <w:t xml:space="preserve">发生故障而无法登录访问的；</w:t>
      </w:r>
      <w:r/>
    </w:p>
    <w:p>
      <w:pPr>
        <w:ind w:firstLine="480"/>
        <w:spacing w:line="360" w:lineRule="auto"/>
        <w:tabs>
          <w:tab w:val="left" w:pos="1080" w:leader="none"/>
          <w:tab w:val="left" w:pos="1589"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平台</w:t>
      </w:r>
      <w:r>
        <w:rPr>
          <w:rFonts w:hint="eastAsia" w:ascii="宋体" w:hAnsi="宋体"/>
          <w:color w:val="000000" w:themeColor="text1"/>
          <w:sz w:val="24"/>
          <w:highlight w:val="none"/>
          <w14:textFill>
            <w14:solidFill>
              <w14:schemeClr w14:val="tx1"/>
            </w14:solidFill>
          </w14:textFill>
        </w:rPr>
        <w:t xml:space="preserve">系统</w:t>
      </w:r>
      <w:r>
        <w:rPr>
          <w:rFonts w:ascii="宋体" w:hAnsi="宋体"/>
          <w:color w:val="000000" w:themeColor="text1"/>
          <w:sz w:val="24"/>
          <w:highlight w:val="none"/>
          <w14:textFill>
            <w14:solidFill>
              <w14:schemeClr w14:val="tx1"/>
            </w14:solidFill>
          </w14:textFill>
        </w:rPr>
        <w:t xml:space="preserve">应用或数据库出现错误，不能进行正常操作的；</w:t>
      </w:r>
      <w:r/>
    </w:p>
    <w:p>
      <w:pPr>
        <w:ind w:firstLine="480"/>
        <w:spacing w:line="360" w:lineRule="auto"/>
        <w:tabs>
          <w:tab w:val="left" w:pos="1080" w:leader="none"/>
          <w:tab w:val="left" w:pos="1589"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平台</w:t>
      </w:r>
      <w:r>
        <w:rPr>
          <w:rFonts w:hint="eastAsia" w:ascii="宋体" w:hAnsi="宋体"/>
          <w:color w:val="000000" w:themeColor="text1"/>
          <w:sz w:val="24"/>
          <w:highlight w:val="none"/>
          <w14:textFill>
            <w14:solidFill>
              <w14:schemeClr w14:val="tx1"/>
            </w14:solidFill>
          </w14:textFill>
        </w:rPr>
        <w:t xml:space="preserve">系统</w:t>
      </w:r>
      <w:r>
        <w:rPr>
          <w:rFonts w:ascii="宋体" w:hAnsi="宋体"/>
          <w:color w:val="000000" w:themeColor="text1"/>
          <w:sz w:val="24"/>
          <w:highlight w:val="none"/>
          <w14:textFill>
            <w14:solidFill>
              <w14:schemeClr w14:val="tx1"/>
            </w14:solidFill>
          </w14:textFill>
        </w:rPr>
        <w:t xml:space="preserve">发现严重安全漏洞，有潜在泄密危险的；</w:t>
      </w:r>
      <w:r/>
    </w:p>
    <w:p>
      <w:pPr>
        <w:ind w:firstLine="480"/>
        <w:spacing w:line="360" w:lineRule="auto"/>
        <w:tabs>
          <w:tab w:val="left" w:pos="1080" w:leader="none"/>
          <w:tab w:val="left" w:pos="1589"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病毒发作导致平台</w:t>
      </w:r>
      <w:r>
        <w:rPr>
          <w:rFonts w:hint="eastAsia" w:ascii="宋体" w:hAnsi="宋体"/>
          <w:color w:val="000000" w:themeColor="text1"/>
          <w:sz w:val="24"/>
          <w:highlight w:val="none"/>
          <w14:textFill>
            <w14:solidFill>
              <w14:schemeClr w14:val="tx1"/>
            </w14:solidFill>
          </w14:textFill>
        </w:rPr>
        <w:t xml:space="preserve">系统</w:t>
      </w:r>
      <w:r>
        <w:rPr>
          <w:rFonts w:ascii="宋体" w:hAnsi="宋体"/>
          <w:color w:val="000000" w:themeColor="text1"/>
          <w:sz w:val="24"/>
          <w:highlight w:val="none"/>
          <w14:textFill>
            <w14:solidFill>
              <w14:schemeClr w14:val="tx1"/>
            </w14:solidFill>
          </w14:textFill>
        </w:rPr>
        <w:t xml:space="preserve">不能进行正常操作的；</w:t>
      </w:r>
      <w:r/>
    </w:p>
    <w:p>
      <w:pPr>
        <w:ind w:firstLine="480"/>
        <w:spacing w:line="360" w:lineRule="auto"/>
        <w:tabs>
          <w:tab w:val="left" w:pos="1080" w:leader="none"/>
          <w:tab w:val="left" w:pos="1589" w:leader="none"/>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其他无法保证</w:t>
      </w:r>
      <w:r>
        <w:rPr>
          <w:rFonts w:hint="eastAsia" w:ascii="宋体" w:hAnsi="宋体"/>
          <w:color w:val="000000" w:themeColor="text1"/>
          <w:sz w:val="24"/>
          <w:highlight w:val="none"/>
          <w14:textFill>
            <w14:solidFill>
              <w14:schemeClr w14:val="tx1"/>
            </w14:solidFill>
          </w14:textFill>
        </w:rPr>
        <w:t xml:space="preserve">本次采购活动</w:t>
      </w:r>
      <w:r>
        <w:rPr>
          <w:rFonts w:ascii="宋体" w:hAnsi="宋体"/>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上述</w:t>
      </w:r>
      <w:r>
        <w:rPr>
          <w:rFonts w:ascii="宋体" w:hAnsi="宋体"/>
          <w:color w:val="000000" w:themeColor="text1"/>
          <w:sz w:val="24"/>
          <w:highlight w:val="none"/>
          <w14:textFill>
            <w14:solidFill>
              <w14:schemeClr w14:val="tx1"/>
            </w14:solidFill>
          </w14:textFill>
        </w:rPr>
        <w:t xml:space="preserve">情形，不影响采购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代理机构</w:t>
      </w:r>
      <w:r>
        <w:rPr>
          <w:rFonts w:ascii="宋体" w:hAnsi="宋体"/>
          <w:color w:val="000000" w:themeColor="text1"/>
          <w:sz w:val="24"/>
          <w:highlight w:val="none"/>
          <w14:textFill>
            <w14:solidFill>
              <w14:schemeClr w14:val="tx1"/>
            </w14:solidFill>
          </w14:textFill>
        </w:rPr>
        <w:t xml:space="preserve">可以待上述情形消除后继续组织</w:t>
      </w:r>
      <w:r>
        <w:rPr>
          <w:rFonts w:hint="eastAsia" w:ascii="宋体" w:hAnsi="宋体"/>
          <w:color w:val="000000" w:themeColor="text1"/>
          <w:sz w:val="24"/>
          <w:highlight w:val="none"/>
          <w14:textFill>
            <w14:solidFill>
              <w14:schemeClr w14:val="tx1"/>
            </w14:solidFill>
          </w14:textFill>
        </w:rPr>
        <w:t xml:space="preserve">不见面</w:t>
      </w:r>
      <w:r>
        <w:rPr>
          <w:rFonts w:ascii="宋体" w:hAnsi="宋体"/>
          <w:color w:val="000000" w:themeColor="text1"/>
          <w:sz w:val="24"/>
          <w:highlight w:val="none"/>
          <w14:textFill>
            <w14:solidFill>
              <w14:schemeClr w14:val="tx1"/>
            </w14:solidFill>
          </w14:textFill>
        </w:rPr>
        <w:t xml:space="preserve">交易</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公平、公正性的，应当</w:t>
      </w:r>
      <w:r>
        <w:rPr>
          <w:rFonts w:hint="eastAsia" w:ascii="宋体" w:hAnsi="宋体"/>
          <w:color w:val="000000" w:themeColor="text1"/>
          <w:sz w:val="24"/>
          <w:highlight w:val="none"/>
          <w14:textFill>
            <w14:solidFill>
              <w14:schemeClr w14:val="tx1"/>
            </w14:solidFill>
          </w14:textFill>
        </w:rPr>
        <w:t xml:space="preserve">终止本次项目，</w:t>
      </w:r>
      <w:r>
        <w:rPr>
          <w:rFonts w:ascii="宋体" w:hAnsi="宋体"/>
          <w:color w:val="000000" w:themeColor="text1"/>
          <w:sz w:val="24"/>
          <w:highlight w:val="none"/>
          <w14:textFill>
            <w14:solidFill>
              <w14:schemeClr w14:val="tx1"/>
            </w14:solidFill>
          </w14:textFill>
        </w:rPr>
        <w:t xml:space="preserve">重新</w:t>
      </w:r>
      <w:r>
        <w:rPr>
          <w:rFonts w:hint="eastAsia" w:ascii="宋体" w:hAnsi="宋体"/>
          <w:color w:val="000000" w:themeColor="text1"/>
          <w:sz w:val="24"/>
          <w:highlight w:val="none"/>
          <w14:textFill>
            <w14:solidFill>
              <w14:schemeClr w14:val="tx1"/>
            </w14:solidFill>
          </w14:textFill>
        </w:rPr>
        <w:t xml:space="preserve">组织</w:t>
      </w:r>
      <w:r>
        <w:rPr>
          <w:rFonts w:ascii="宋体" w:hAnsi="宋体"/>
          <w:color w:val="000000" w:themeColor="text1"/>
          <w:sz w:val="24"/>
          <w:highlight w:val="none"/>
          <w14:textFill>
            <w14:solidFill>
              <w14:schemeClr w14:val="tx1"/>
            </w14:solidFill>
          </w14:textFill>
        </w:rPr>
        <w:t xml:space="preserve">采购。</w:t>
      </w:r>
      <w:bookmarkEnd w:id="408"/>
      <w:r/>
    </w:p>
    <w:p>
      <w:pPr>
        <w:numPr>
          <w:ilvl w:val="0"/>
          <w:numId w:val="2"/>
        </w:numPr>
        <w:ind w:left="0"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磋商小组</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09" w:name="_Toc520356166"/>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评审专家须符合</w:t>
      </w:r>
      <w:r>
        <w:rPr>
          <w:rFonts w:hint="eastAsia" w:ascii="宋体" w:hAnsi="宋体"/>
          <w:color w:val="000000" w:themeColor="text1"/>
          <w:sz w:val="24"/>
          <w:highlight w:val="none"/>
          <w14:textFill>
            <w14:solidFill>
              <w14:schemeClr w14:val="tx1"/>
            </w14:solidFill>
          </w14:textFill>
        </w:rPr>
        <w:t xml:space="preserve">相关</w:t>
      </w:r>
      <w:r>
        <w:rPr>
          <w:rFonts w:ascii="宋体" w:hAnsi="宋体"/>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09"/>
      <w:r/>
      <w:r/>
    </w:p>
    <w:p>
      <w:pPr>
        <w:numPr>
          <w:ilvl w:val="0"/>
          <w:numId w:val="2"/>
        </w:numPr>
        <w:ind w:left="0"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评审方法和评审标准</w:t>
      </w:r>
      <w:r/>
    </w:p>
    <w:p>
      <w:pPr>
        <w:numPr>
          <w:ilvl w:val="1"/>
          <w:numId w:val="2"/>
        </w:numPr>
        <w:ind w:left="0" w:firstLine="480"/>
        <w:spacing w:line="360" w:lineRule="auto"/>
        <w:tabs>
          <w:tab w:val="left" w:pos="1080" w:leader="none"/>
          <w:tab w:val="left" w:pos="20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见第三章《评审方法和评审标准》。</w:t>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bookmarkStart w:id="410" w:name="_Toc151193859"/>
      <w:r/>
      <w:bookmarkStart w:id="411" w:name="_Toc226337241"/>
      <w:r/>
      <w:bookmarkStart w:id="412" w:name="_Toc150774645"/>
      <w:r/>
      <w:bookmarkStart w:id="413" w:name="_Toc150774750"/>
      <w:r/>
      <w:bookmarkStart w:id="414" w:name="_Toc127151545"/>
      <w:r/>
      <w:bookmarkStart w:id="415" w:name="_Toc305158813"/>
      <w:r/>
      <w:bookmarkStart w:id="416" w:name="_Toc226309789"/>
      <w:r/>
      <w:bookmarkStart w:id="417" w:name="_Toc151193933"/>
      <w:r/>
      <w:bookmarkStart w:id="418" w:name="_Toc226965735"/>
      <w:r/>
      <w:bookmarkStart w:id="419" w:name="_Toc195842910"/>
      <w:r/>
      <w:bookmarkStart w:id="420" w:name="_Toc151193643"/>
      <w:r/>
      <w:bookmarkStart w:id="421" w:name="_Toc264969235"/>
      <w:r/>
      <w:bookmarkStart w:id="422" w:name="_Toc226965818"/>
      <w:r/>
      <w:bookmarkStart w:id="423" w:name="_Toc305158887"/>
      <w:r/>
      <w:bookmarkStart w:id="424" w:name="_Toc151193787"/>
      <w:r/>
      <w:bookmarkStart w:id="425" w:name="_Toc142311047"/>
      <w:r/>
      <w:bookmarkStart w:id="426" w:name="_Toc265228383"/>
      <w:r/>
      <w:bookmarkStart w:id="427" w:name="_Toc151193715"/>
      <w:r/>
      <w:bookmarkStart w:id="428" w:name="_Toc150480783"/>
      <w:r/>
      <w:bookmarkStart w:id="429" w:name="_Toc151190172"/>
      <w:r/>
      <w:bookmarkStart w:id="430" w:name="_Toc150509296"/>
      <w:r>
        <w:rPr>
          <w:rFonts w:hint="eastAsia" w:ascii="宋体" w:hAnsi="宋体"/>
          <w:b/>
          <w:bCs/>
          <w:color w:val="000000" w:themeColor="text1"/>
          <w:sz w:val="28"/>
          <w:szCs w:val="28"/>
          <w:highlight w:val="none"/>
          <w14:textFill>
            <w14:solidFill>
              <w14:schemeClr w14:val="tx1"/>
            </w14:solidFill>
          </w14:textFill>
        </w:rPr>
        <w:t xml:space="preserve">六   </w:t>
      </w:r>
      <w:bookmarkEnd w:id="407"/>
      <w:r>
        <w:rPr>
          <w:rFonts w:hint="eastAsia" w:ascii="宋体" w:hAnsi="宋体"/>
          <w:b/>
          <w:bCs/>
          <w:color w:val="000000" w:themeColor="text1"/>
          <w:sz w:val="28"/>
          <w:szCs w:val="28"/>
          <w:highlight w:val="none"/>
          <w14:textFill>
            <w14:solidFill>
              <w14:schemeClr w14:val="tx1"/>
            </w14:solidFill>
          </w14:textFill>
        </w:rPr>
        <w:t xml:space="preserve">确定</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b/>
          <w:bCs/>
          <w:color w:val="000000" w:themeColor="text1"/>
          <w:sz w:val="28"/>
          <w:szCs w:val="28"/>
          <w:highlight w:val="none"/>
          <w14:textFill>
            <w14:solidFill>
              <w14:schemeClr w14:val="tx1"/>
            </w14:solidFill>
          </w14:textFill>
        </w:rPr>
        <w:t xml:space="preserve">成交</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431" w:name="_Toc305158815"/>
      <w:r/>
      <w:bookmarkStart w:id="432" w:name="_Toc164608816"/>
      <w:r/>
      <w:bookmarkStart w:id="433" w:name="_Toc264969237"/>
      <w:r/>
      <w:bookmarkStart w:id="434" w:name="_Toc164229242"/>
      <w:r/>
      <w:bookmarkStart w:id="435" w:name="_Toc151193717"/>
      <w:r/>
      <w:bookmarkStart w:id="436" w:name="_Toc151193935"/>
      <w:r/>
      <w:bookmarkStart w:id="437" w:name="_Toc150509298"/>
      <w:r/>
      <w:bookmarkStart w:id="438" w:name="_Toc305158889"/>
      <w:r/>
      <w:bookmarkStart w:id="439" w:name="_Toc226337243"/>
      <w:r/>
      <w:bookmarkStart w:id="440" w:name="_Toc127151748"/>
      <w:r/>
      <w:bookmarkStart w:id="441" w:name="_Toc226309791"/>
      <w:r/>
      <w:bookmarkStart w:id="442" w:name="_Toc265228385"/>
      <w:r/>
      <w:bookmarkStart w:id="443" w:name="_Toc151193861"/>
      <w:r/>
      <w:bookmarkStart w:id="444" w:name="_Toc127161461"/>
      <w:r/>
      <w:bookmarkStart w:id="445" w:name="_Toc195842912"/>
      <w:r/>
      <w:bookmarkStart w:id="446" w:name="_Toc164608661"/>
      <w:r/>
      <w:bookmarkStart w:id="447" w:name="_Toc149720840"/>
      <w:r/>
      <w:bookmarkStart w:id="448" w:name="_Toc151190174"/>
      <w:r/>
      <w:bookmarkStart w:id="449" w:name="_Toc164351641"/>
      <w:r/>
      <w:bookmarkStart w:id="450" w:name="_Toc164229388"/>
      <w:r/>
      <w:bookmarkStart w:id="451" w:name="_Toc150774647"/>
      <w:r/>
      <w:bookmarkStart w:id="452" w:name="_Toc127151547"/>
      <w:r/>
      <w:bookmarkStart w:id="453" w:name="_Toc226965820"/>
      <w:r/>
      <w:bookmarkStart w:id="454" w:name="_Toc150774752"/>
      <w:r/>
      <w:bookmarkStart w:id="455" w:name="_Toc151193645"/>
      <w:r/>
      <w:bookmarkStart w:id="456" w:name="_Toc150480785"/>
      <w:r/>
      <w:bookmarkStart w:id="457" w:name="_Toc151193789"/>
      <w:r/>
      <w:bookmarkStart w:id="458" w:name="_Toc142311049"/>
      <w:r/>
      <w:bookmarkStart w:id="459" w:name="_Toc226965737"/>
      <w:r>
        <w:rPr>
          <w:rFonts w:hint="eastAsia" w:ascii="宋体" w:hAnsi="宋体" w:cs="宋体"/>
          <w:color w:val="000000" w:themeColor="text1"/>
          <w:sz w:val="24"/>
          <w:highlight w:val="none"/>
          <w14:textFill>
            <w14:solidFill>
              <w14:schemeClr w14:val="tx1"/>
            </w14:solidFill>
          </w14:textFill>
        </w:rPr>
        <w:t xml:space="preserve">确定成交供应商</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460" w:name="_Toc305158817"/>
      <w:r/>
      <w:bookmarkStart w:id="461" w:name="_Toc305158891"/>
      <w:r/>
      <w:bookmarkStart w:id="462" w:name="_Toc226965822"/>
      <w:r/>
      <w:bookmarkStart w:id="463" w:name="_Toc150774649"/>
      <w:r/>
      <w:bookmarkStart w:id="464" w:name="_Toc127161463"/>
      <w:r/>
      <w:bookmarkStart w:id="465" w:name="_Toc151193937"/>
      <w:r/>
      <w:bookmarkStart w:id="466" w:name="_Toc127151549"/>
      <w:r/>
      <w:bookmarkStart w:id="467" w:name="_Toc150774754"/>
      <w:r/>
      <w:bookmarkStart w:id="468" w:name="_Toc150509300"/>
      <w:r/>
      <w:bookmarkStart w:id="469" w:name="_Toc151193719"/>
      <w:r/>
      <w:bookmarkStart w:id="470" w:name="_Toc164351643"/>
      <w:r/>
      <w:bookmarkStart w:id="471" w:name="_Toc151193863"/>
      <w:r/>
      <w:bookmarkStart w:id="472" w:name="_Toc164229390"/>
      <w:r/>
      <w:bookmarkStart w:id="473" w:name="_Toc226309793"/>
      <w:r/>
      <w:bookmarkStart w:id="474" w:name="_Toc151190176"/>
      <w:r/>
      <w:bookmarkStart w:id="475" w:name="_Toc151193647"/>
      <w:r/>
      <w:bookmarkStart w:id="476" w:name="_Toc127151750"/>
      <w:r/>
      <w:bookmarkStart w:id="477" w:name="_Toc195842914"/>
      <w:r/>
      <w:bookmarkStart w:id="478" w:name="_Toc149720842"/>
      <w:r/>
      <w:bookmarkStart w:id="479" w:name="_Toc164608663"/>
      <w:r/>
      <w:bookmarkStart w:id="480" w:name="_Toc151193791"/>
      <w:r/>
      <w:bookmarkStart w:id="481" w:name="_Toc264969239"/>
      <w:r/>
      <w:bookmarkStart w:id="482" w:name="_Toc150480787"/>
      <w:r/>
      <w:bookmarkStart w:id="483" w:name="_Toc226965739"/>
      <w:r/>
      <w:bookmarkStart w:id="484" w:name="_Toc164229244"/>
      <w:r/>
      <w:bookmarkStart w:id="485" w:name="_Toc226337245"/>
      <w:r/>
      <w:bookmarkStart w:id="486" w:name="_Toc164608818"/>
      <w:r/>
      <w:bookmarkStart w:id="487" w:name="_Toc265228387"/>
      <w:r/>
      <w:bookmarkStart w:id="488" w:name="_Toc142311051"/>
      <w:r/>
      <w:bookmarkStart w:id="489" w:name="_Toc520356176"/>
      <w:r/>
      <w:bookmarkStart w:id="490" w:name="_Ref467307090"/>
      <w:r/>
      <w:bookmarkStart w:id="491" w:name="_Ref467306425"/>
      <w:r>
        <w:rPr>
          <w:rFonts w:hint="eastAsia" w:ascii="宋体" w:hAnsi="宋体" w:cs="宋体"/>
          <w:color w:val="000000" w:themeColor="text1"/>
          <w:sz w:val="24"/>
          <w:highlight w:val="none"/>
          <w14:textFill>
            <w14:solidFill>
              <w14:schemeClr w14:val="tx1"/>
            </w14:solidFill>
          </w14:textFill>
        </w:rPr>
        <w:t xml:space="preserve">成交公告与成交通知书</w:t>
      </w:r>
      <w:bookmarkEnd w:id="460"/>
      <w:r/>
      <w:bookmarkEnd w:id="461"/>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采购人或采购代理机构将</w:t>
      </w:r>
      <w:r>
        <w:rPr>
          <w:rFonts w:hint="eastAsia" w:ascii="宋体" w:hAnsi="宋体" w:cs="宋体"/>
          <w:color w:val="000000" w:themeColor="text1"/>
          <w:sz w:val="24"/>
          <w:highlight w:val="none"/>
          <w14:textFill>
            <w14:solidFill>
              <w14:schemeClr w14:val="tx1"/>
            </w14:solidFill>
          </w14:textFill>
        </w:rPr>
        <w:t xml:space="preserve">在成交供应商确定后2个工作日内，在</w:t>
      </w:r>
      <w:r>
        <w:rPr>
          <w:rFonts w:hint="eastAsia" w:ascii="宋体" w:hAnsi="宋体" w:cs="宋体"/>
          <w:color w:val="000000" w:themeColor="text1"/>
          <w:sz w:val="24"/>
          <w:highlight w:val="none"/>
          <w14:textFill>
            <w14:solidFill>
              <w14:schemeClr w14:val="tx1"/>
            </w14:solidFill>
          </w14:textFill>
        </w:rPr>
        <w:t xml:space="preserve">常州市政府采购网和江苏格睿工程项目管理有限公司网</w:t>
      </w:r>
      <w:r>
        <w:rPr>
          <w:rFonts w:hint="eastAsia" w:ascii="宋体" w:hAnsi="宋体" w:cs="宋体"/>
          <w:color w:val="000000" w:themeColor="text1"/>
          <w:sz w:val="24"/>
          <w:highlight w:val="none"/>
          <w14:textFill>
            <w14:solidFill>
              <w14:schemeClr w14:val="tx1"/>
            </w14:solidFill>
          </w14:textFill>
        </w:rPr>
        <w:t xml:space="preserve">公告成交结果，同时向成交供应商发出成交通知书，</w:t>
      </w:r>
      <w:r>
        <w:rPr>
          <w:rFonts w:hint="eastAsia" w:ascii="宋体" w:hAnsi="宋体" w:cs="宋体"/>
          <w:color w:val="000000" w:themeColor="text1"/>
          <w:sz w:val="24"/>
          <w:highlight w:val="none"/>
          <w14:textFill>
            <w14:solidFill>
              <w14:schemeClr w14:val="tx1"/>
            </w14:solidFill>
          </w14:textFill>
        </w:rPr>
        <w:t xml:space="preserve">成交公告期限为1个工作日。</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终止</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出现影响采购公正的违法、违规行为的；</w:t>
      </w:r>
      <w:r/>
    </w:p>
    <w:p>
      <w:pPr>
        <w:numPr>
          <w:ilvl w:val="2"/>
          <w:numId w:val="2"/>
        </w:numPr>
        <w:ind w:left="0"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ind w:left="0" w:firstLine="48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492" w:name="_Toc149720843"/>
      <w:r/>
      <w:bookmarkStart w:id="493" w:name="_Toc226965740"/>
      <w:r/>
      <w:bookmarkStart w:id="494" w:name="_Toc151190177"/>
      <w:r/>
      <w:bookmarkStart w:id="495" w:name="_Toc142311052"/>
      <w:r/>
      <w:bookmarkStart w:id="496" w:name="_Toc164608819"/>
      <w:r/>
      <w:bookmarkStart w:id="497" w:name="_Ref467306978"/>
      <w:r/>
      <w:bookmarkStart w:id="498" w:name="_Ref467307062"/>
      <w:r/>
      <w:bookmarkStart w:id="499" w:name="_Toc520356175"/>
      <w:r/>
      <w:bookmarkStart w:id="500" w:name="_Toc164608664"/>
      <w:r/>
      <w:bookmarkStart w:id="501" w:name="_Toc127161464"/>
      <w:r/>
      <w:bookmarkStart w:id="502" w:name="_Toc151193648"/>
      <w:r/>
      <w:bookmarkStart w:id="503" w:name="_Toc150480788"/>
      <w:r/>
      <w:bookmarkStart w:id="504" w:name="_Toc164229245"/>
      <w:r/>
      <w:bookmarkStart w:id="505" w:name="_Toc195842915"/>
      <w:r/>
      <w:bookmarkStart w:id="506" w:name="_Toc305158818"/>
      <w:r/>
      <w:bookmarkStart w:id="507" w:name="_Toc164351644"/>
      <w:r/>
      <w:bookmarkStart w:id="508" w:name="_Toc151193792"/>
      <w:r/>
      <w:bookmarkStart w:id="509" w:name="_Toc226309794"/>
      <w:r/>
      <w:bookmarkStart w:id="510" w:name="_Toc265228388"/>
      <w:r/>
      <w:bookmarkStart w:id="511" w:name="_Ref467306377"/>
      <w:r/>
      <w:bookmarkStart w:id="512" w:name="_Toc226337246"/>
      <w:r/>
      <w:bookmarkStart w:id="513" w:name="_Toc151193864"/>
      <w:r/>
      <w:bookmarkStart w:id="514" w:name="_Toc151193720"/>
      <w:r/>
      <w:bookmarkStart w:id="515" w:name="_Toc150774755"/>
      <w:r/>
      <w:bookmarkStart w:id="516" w:name="_Toc150509301"/>
      <w:r/>
      <w:bookmarkStart w:id="517" w:name="_Toc127151751"/>
      <w:r/>
      <w:bookmarkStart w:id="518" w:name="_Toc150774650"/>
      <w:r/>
      <w:bookmarkStart w:id="519" w:name="_Toc127151550"/>
      <w:r/>
      <w:bookmarkStart w:id="520" w:name="_Toc151193938"/>
      <w:r/>
      <w:bookmarkStart w:id="521" w:name="_Toc264969240"/>
      <w:r/>
      <w:bookmarkStart w:id="522" w:name="_Ref467307204"/>
      <w:r/>
      <w:bookmarkStart w:id="523" w:name="_Toc305158892"/>
      <w:r/>
      <w:bookmarkStart w:id="524" w:name="_Toc164229391"/>
      <w:r/>
      <w:bookmarkStart w:id="525" w:name="_Toc226965823"/>
      <w:r>
        <w:rPr>
          <w:rFonts w:hint="eastAsia" w:ascii="宋体" w:hAnsi="宋体" w:cs="宋体"/>
          <w:color w:val="000000" w:themeColor="text1"/>
          <w:sz w:val="24"/>
          <w:highlight w:val="none"/>
          <w14:textFill>
            <w14:solidFill>
              <w14:schemeClr w14:val="tx1"/>
            </w14:solidFill>
          </w14:textFill>
        </w:rPr>
        <w:t xml:space="preserve">签订合同</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政府采购合同不能转包。</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本项目是否允许分包，见《供应商须知资料表》。</w:t>
      </w:r>
      <w:bookmarkEnd w:id="489"/>
      <w:bookmarkEnd w:id="490"/>
      <w:bookmarkEnd w:id="491"/>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询问与质疑</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询问</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ind w:left="0"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质疑函须使用财政部制定的范本文件。（下载网址：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"http://gks.mof.gov.cn/ztztz/zhengfucaigouguanli/201802/t20180201_2804589.htm"</w:instrText>
      </w:r>
      <w:r>
        <w:rPr>
          <w:color w:val="000000" w:themeColor="text1"/>
          <w:highlight w:val="none"/>
          <w14:textFill>
            <w14:solidFill>
              <w14:schemeClr w14:val="tx1"/>
            </w14:solidFill>
          </w14:textFill>
        </w:rPr>
        <w:fldChar w:fldCharType="separate"/>
      </w:r>
      <w:r>
        <w:rPr>
          <w:rStyle w:val="800"/>
          <w:rFonts w:hint="eastAsia" w:ascii="宋体" w:hAnsi="宋体" w:cs="宋体"/>
          <w:color w:val="000000" w:themeColor="text1"/>
          <w:sz w:val="24"/>
          <w:highlight w:val="none"/>
          <w14:textFill>
            <w14:solidFill>
              <w14:schemeClr w14:val="tx1"/>
            </w14:solidFill>
          </w14:textFill>
        </w:rPr>
        <w:t xml:space="preserve">http：//gk</w:t>
      </w:r>
      <w:bookmarkStart w:id="526" w:name="_Hlt100654014"/>
      <w:r>
        <w:rPr>
          <w:rStyle w:val="800"/>
          <w:rFonts w:hint="eastAsia" w:ascii="宋体" w:hAnsi="宋体" w:cs="宋体"/>
          <w:color w:val="000000" w:themeColor="text1"/>
          <w:sz w:val="24"/>
          <w:highlight w:val="none"/>
          <w14:textFill>
            <w14:solidFill>
              <w14:schemeClr w14:val="tx1"/>
            </w14:solidFill>
          </w14:textFill>
        </w:rPr>
        <w:t xml:space="preserve">s</w:t>
      </w:r>
      <w:bookmarkEnd w:id="526"/>
      <w:r>
        <w:rPr>
          <w:rStyle w:val="800"/>
          <w:rFonts w:hint="eastAsia" w:ascii="宋体" w:hAnsi="宋体" w:cs="宋体"/>
          <w:color w:val="000000" w:themeColor="text1"/>
          <w:sz w:val="24"/>
          <w:highlight w:val="none"/>
          <w14:textFill>
            <w14:solidFill>
              <w14:schemeClr w14:val="tx1"/>
            </w14:solidFill>
          </w14:textFill>
        </w:rPr>
        <w:t xml:space="preserve">.m</w:t>
      </w:r>
      <w:bookmarkStart w:id="527" w:name="_Hlt100653993"/>
      <w:r/>
      <w:bookmarkStart w:id="528" w:name="_Hlt100653994"/>
      <w:r>
        <w:rPr>
          <w:rStyle w:val="800"/>
          <w:rFonts w:hint="eastAsia" w:ascii="宋体" w:hAnsi="宋体" w:cs="宋体"/>
          <w:color w:val="000000" w:themeColor="text1"/>
          <w:sz w:val="24"/>
          <w:highlight w:val="none"/>
          <w14:textFill>
            <w14:solidFill>
              <w14:schemeClr w14:val="tx1"/>
            </w14:solidFill>
          </w14:textFill>
        </w:rPr>
        <w:t xml:space="preserve">o</w:t>
      </w:r>
      <w:bookmarkEnd w:id="527"/>
      <w:r/>
      <w:bookmarkEnd w:id="528"/>
      <w:r/>
      <w:bookmarkStart w:id="529" w:name="_Hlt101169156"/>
      <w:r>
        <w:rPr>
          <w:rStyle w:val="800"/>
          <w:rFonts w:hint="eastAsia" w:ascii="宋体" w:hAnsi="宋体" w:cs="宋体"/>
          <w:color w:val="000000" w:themeColor="text1"/>
          <w:sz w:val="24"/>
          <w:highlight w:val="none"/>
          <w14:textFill>
            <w14:solidFill>
              <w14:schemeClr w14:val="tx1"/>
            </w14:solidFill>
          </w14:textFill>
        </w:rPr>
        <w:t xml:space="preserve">f</w:t>
      </w:r>
      <w:bookmarkEnd w:id="529"/>
      <w:r>
        <w:rPr>
          <w:rStyle w:val="800"/>
          <w:rFonts w:hint="eastAsia" w:ascii="宋体" w:hAnsi="宋体" w:cs="宋体"/>
          <w:color w:val="000000" w:themeColor="text1"/>
          <w:sz w:val="24"/>
          <w:highlight w:val="none"/>
          <w14:textFill>
            <w14:solidFill>
              <w14:schemeClr w14:val="tx1"/>
            </w14:solidFill>
          </w14:textFill>
        </w:rPr>
        <w:t xml:space="preserve">.gov.cn/ztztz/zhengfucaigouguanli/201802/t20180201_2804589.htm</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2"/>
        </w:numPr>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接收询问和质疑的联系部门、联系电话和通讯地址见《供应商须知资料表》。</w:t>
      </w:r>
      <w:r/>
    </w:p>
    <w:p>
      <w:pPr>
        <w:numPr>
          <w:ilvl w:val="0"/>
          <w:numId w:val="2"/>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代理费</w:t>
      </w:r>
      <w:r/>
    </w:p>
    <w:p>
      <w:pPr>
        <w:numPr>
          <w:ilvl w:val="1"/>
          <w:numId w:val="2"/>
        </w:numPr>
        <w:ind w:left="0" w:firstLine="480"/>
        <w:spacing w:line="360" w:lineRule="auto"/>
        <w:tabs>
          <w:tab w:val="left" w:pos="1080"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rPr>
          <w:rFonts w:hint="eastAsia"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第三章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b/>
          <w:color w:val="000000" w:themeColor="text1"/>
          <w:sz w:val="36"/>
          <w:szCs w:val="36"/>
          <w:highlight w:val="none"/>
          <w14:textFill>
            <w14:solidFill>
              <w14:schemeClr w14:val="tx1"/>
            </w14:solidFill>
          </w14:textFill>
        </w:rPr>
        <w:t xml:space="preserve">评审</w:t>
      </w:r>
      <w:r>
        <w:rPr>
          <w:rFonts w:hint="eastAsia" w:ascii="宋体" w:hAnsi="宋体"/>
          <w:b/>
          <w:color w:val="000000" w:themeColor="text1"/>
          <w:sz w:val="36"/>
          <w:szCs w:val="36"/>
          <w:highlight w:val="none"/>
          <w14:textFill>
            <w14:solidFill>
              <w14:schemeClr w14:val="tx1"/>
            </w14:solidFill>
          </w14:textFill>
        </w:rPr>
        <w:t xml:space="preserve">程序、评审</w:t>
      </w:r>
      <w:r>
        <w:rPr>
          <w:rFonts w:ascii="宋体" w:hAnsi="宋体"/>
          <w:b/>
          <w:color w:val="000000" w:themeColor="text1"/>
          <w:sz w:val="36"/>
          <w:szCs w:val="36"/>
          <w:highlight w:val="none"/>
          <w14:textFill>
            <w14:solidFill>
              <w14:schemeClr w14:val="tx1"/>
            </w14:solidFill>
          </w14:textFill>
        </w:rPr>
        <w:t xml:space="preserve">方法和评审标准</w:t>
      </w:r>
      <w:bookmarkEnd w:id="109"/>
      <w:r/>
      <w:bookmarkEnd w:id="110"/>
      <w:r/>
      <w:bookmarkStart w:id="530" w:name="_Toc487900382"/>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一、评审程序</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r/>
    </w:p>
    <w:p>
      <w:pPr>
        <w:numPr>
          <w:ilvl w:val="0"/>
          <w:numId w:val="4"/>
        </w:numPr>
        <w:ind w:left="0" w:firstLine="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bookmarkStart w:id="531" w:name="_Toc164608810"/>
      <w:r/>
      <w:bookmarkStart w:id="532" w:name="_Toc305158809"/>
      <w:r/>
      <w:bookmarkStart w:id="533" w:name="_Toc149720834"/>
      <w:r/>
      <w:bookmarkStart w:id="534" w:name="_Toc127151541"/>
      <w:r/>
      <w:bookmarkStart w:id="535" w:name="_Toc151193639"/>
      <w:r/>
      <w:bookmarkStart w:id="536" w:name="_Toc264969231"/>
      <w:r/>
      <w:bookmarkStart w:id="537" w:name="_Toc150509292"/>
      <w:r/>
      <w:bookmarkStart w:id="538" w:name="_Toc164608655"/>
      <w:r/>
      <w:bookmarkStart w:id="539" w:name="_Toc226309785"/>
      <w:r/>
      <w:bookmarkStart w:id="540" w:name="_Toc226965814"/>
      <w:r/>
      <w:bookmarkStart w:id="541" w:name="_Toc151193855"/>
      <w:r/>
      <w:bookmarkStart w:id="542" w:name="_Toc226965731"/>
      <w:r/>
      <w:bookmarkStart w:id="543" w:name="_Toc265228379"/>
      <w:r/>
      <w:bookmarkStart w:id="544" w:name="_Toc150774641"/>
      <w:r/>
      <w:bookmarkStart w:id="545" w:name="_Toc164229236"/>
      <w:r/>
      <w:bookmarkStart w:id="546" w:name="_Toc150774746"/>
      <w:r/>
      <w:bookmarkStart w:id="547" w:name="_Toc151193711"/>
      <w:r/>
      <w:bookmarkStart w:id="548" w:name="_Toc151193929"/>
      <w:r/>
      <w:bookmarkStart w:id="549" w:name="_Toc150480779"/>
      <w:r/>
      <w:bookmarkStart w:id="550" w:name="_Toc164229382"/>
      <w:r/>
      <w:bookmarkStart w:id="551" w:name="_Toc142311043"/>
      <w:r/>
      <w:bookmarkStart w:id="552" w:name="_Toc305158883"/>
      <w:r/>
      <w:bookmarkStart w:id="553" w:name="_Toc127151742"/>
      <w:r/>
      <w:bookmarkStart w:id="554" w:name="_Toc151193783"/>
      <w:r/>
      <w:bookmarkStart w:id="555" w:name="_Toc226337237"/>
      <w:r/>
      <w:bookmarkStart w:id="556" w:name="_Toc127161455"/>
      <w:r/>
      <w:bookmarkStart w:id="557" w:name="_Toc164351635"/>
      <w:r/>
      <w:bookmarkStart w:id="558" w:name="_Toc195842906"/>
      <w:r/>
      <w:bookmarkStart w:id="559" w:name="_Toc151190168"/>
      <w:r/>
      <w:bookmarkStart w:id="560" w:name="_Toc353825551"/>
      <w:r/>
      <w:bookmarkStart w:id="561" w:name="_Toc353873941"/>
      <w:r/>
      <w:bookmarkStart w:id="562" w:name="_Toc150774760"/>
      <w:r/>
      <w:bookmarkStart w:id="563" w:name="_Toc226337251"/>
      <w:r/>
      <w:bookmarkStart w:id="564" w:name="_Toc150480793"/>
      <w:r/>
      <w:bookmarkStart w:id="565" w:name="_Toc353825545"/>
      <w:r/>
      <w:bookmarkStart w:id="566" w:name="_Toc305158823"/>
      <w:r/>
      <w:bookmarkStart w:id="567" w:name="_Toc265228393"/>
      <w:r/>
      <w:bookmarkStart w:id="568" w:name="_Toc195842920"/>
      <w:r/>
      <w:bookmarkStart w:id="569" w:name="_Toc353873935"/>
      <w:r/>
      <w:bookmarkStart w:id="570" w:name="_Toc127151555"/>
      <w:r/>
      <w:bookmarkStart w:id="571" w:name="_Toc353873665"/>
      <w:r/>
      <w:bookmarkStart w:id="572" w:name="_Toc142311057"/>
      <w:r/>
      <w:bookmarkStart w:id="573" w:name="_Toc226965828"/>
      <w:r/>
      <w:bookmarkStart w:id="574" w:name="_Toc305158897"/>
      <w:r/>
      <w:bookmarkStart w:id="575" w:name="_Toc264969245"/>
      <w:r>
        <w:rPr>
          <w:rFonts w:hint="eastAsia" w:ascii="宋体" w:hAnsi="宋体" w:cs="宋体"/>
          <w:color w:val="000000" w:themeColor="text1"/>
          <w:sz w:val="24"/>
          <w:highlight w:val="none"/>
          <w14:textFill>
            <w14:solidFill>
              <w14:schemeClr w14:val="tx1"/>
            </w14:solidFill>
          </w14:textFill>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color w:val="000000" w:themeColor="text1"/>
          <w:sz w:val="24"/>
          <w:highlight w:val="none"/>
          <w14:textFill>
            <w14:solidFill>
              <w14:schemeClr w14:val="tx1"/>
            </w14:solidFill>
          </w14:textFill>
        </w:rPr>
        <w:t xml:space="preserve">资格性检查和符合性审查</w:t>
      </w:r>
      <w:r/>
    </w:p>
    <w:p>
      <w:pPr>
        <w:numPr>
          <w:ilvl w:val="1"/>
          <w:numId w:val="4"/>
        </w:numPr>
        <w:ind w:left="0" w:firstLine="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highlight w:val="none"/>
          <w14:textFill>
            <w14:solidFill>
              <w14:schemeClr w14:val="tx1"/>
            </w14:solidFill>
          </w14:textFill>
        </w:rPr>
        <w:t xml:space="preserve">无效响应</w:t>
      </w:r>
      <w:r>
        <w:rPr>
          <w:rFonts w:hint="eastAsia" w:ascii="宋体" w:hAnsi="宋体" w:cs="宋体"/>
          <w:color w:val="000000" w:themeColor="text1"/>
          <w:sz w:val="24"/>
          <w:highlight w:val="none"/>
          <w14:textFill>
            <w14:solidFill>
              <w14:schemeClr w14:val="tx1"/>
            </w14:solidFill>
          </w14:textFill>
        </w:rPr>
        <w:t xml:space="preserve">处理，磋商小组应当告知提交响应文件的供应商。</w:t>
      </w:r>
      <w:r/>
    </w:p>
    <w:p>
      <w:pPr>
        <w:numPr>
          <w:ilvl w:val="1"/>
          <w:numId w:val="4"/>
        </w:numPr>
        <w:ind w:left="0" w:firstLine="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4"/>
        </w:numPr>
        <w:ind w:left="0" w:firstLine="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《资格性检查要求》见下表：</w:t>
      </w:r>
      <w:r/>
    </w:p>
    <w:p>
      <w:pPr>
        <w:jc w:val="center"/>
        <w:spacing w:line="360" w:lineRule="auto"/>
        <w:tabs>
          <w:tab w:val="left" w:pos="900" w:leader="none"/>
          <w:tab w:val="left" w:pos="1080" w:leader="none"/>
          <w:tab w:val="left" w:pos="1447"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资格性检查要求</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tabs>
                <w:tab w:val="left" w:pos="1080" w:leader="none"/>
              </w:tabs>
              <w:rPr>
                <w:rFonts w:hint="eastAsia" w:ascii="宋体" w:hAnsi="宋体" w:cs="宋体"/>
                <w:b/>
                <w:color w:val="000000" w:themeColor="text1"/>
                <w:sz w:val="24"/>
                <w:highlight w:val="none"/>
                <w14:textFill>
                  <w14:solidFill>
                    <w14:schemeClr w14:val="tx1"/>
                  </w14:solidFill>
                </w14:textFill>
              </w:rPr>
            </w:pPr>
            <w:r/>
            <w:bookmarkStart w:id="576" w:name="_Hlt487972895"/>
            <w:r/>
            <w:bookmarkEnd w:id="576"/>
            <w:r>
              <w:rPr>
                <w:rFonts w:hint="eastAsia" w:ascii="宋体" w:hAnsi="宋体" w:cs="宋体"/>
                <w:b/>
                <w:color w:val="000000" w:themeColor="text1"/>
                <w:sz w:val="24"/>
                <w:highlight w:val="none"/>
                <w14:textFill>
                  <w14:solidFill>
                    <w14:schemeClr w14:val="tx1"/>
                  </w14:solidFill>
                </w14:textFill>
              </w:rPr>
              <w:t xml:space="preserve">序号</w:t>
            </w:r>
            <w:r/>
          </w:p>
        </w:tc>
        <w:tc>
          <w:tcPr>
            <w:tcW w:w="1728" w:type="dxa"/>
            <w:vAlign w:val="center"/>
            <w:textDirection w:val="lrTb"/>
            <w:noWrap w:val="false"/>
          </w:tcPr>
          <w:p>
            <w:pPr>
              <w:jc w:val="center"/>
              <w:tabs>
                <w:tab w:val="left" w:pos="108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审查因素</w:t>
            </w:r>
            <w:r/>
          </w:p>
        </w:tc>
        <w:tc>
          <w:tcPr>
            <w:tcW w:w="4494" w:type="dxa"/>
            <w:vAlign w:val="center"/>
            <w:textDirection w:val="lrTb"/>
            <w:noWrap w:val="false"/>
          </w:tcPr>
          <w:p>
            <w:pPr>
              <w:jc w:val="center"/>
              <w:tabs>
                <w:tab w:val="left" w:pos="108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审查内容</w:t>
            </w:r>
            <w:r/>
          </w:p>
        </w:tc>
        <w:tc>
          <w:tcPr>
            <w:tcW w:w="1660" w:type="dxa"/>
            <w:vAlign w:val="center"/>
            <w:textDirection w:val="lrTb"/>
            <w:noWrap w:val="false"/>
          </w:tcPr>
          <w:p>
            <w:pPr>
              <w:jc w:val="center"/>
              <w:tabs>
                <w:tab w:val="left" w:pos="1080"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格式要求</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728"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具体规定见第一章《采购邀请》</w:t>
            </w:r>
            <w:r/>
          </w:p>
        </w:tc>
        <w:tc>
          <w:tcPr>
            <w:tcW w:w="1660"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1728"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营业执照副本（事业单位法人证书）</w:t>
            </w:r>
            <w:r/>
          </w:p>
        </w:tc>
        <w:tc>
          <w:tcPr>
            <w:tcW w:w="4494"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1660"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1728"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供应商资格声明函</w:t>
            </w:r>
            <w:r/>
          </w:p>
        </w:tc>
        <w:tc>
          <w:tcPr>
            <w:tcW w:w="4494"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提供了符合采购文件要求的《供应商资格声明函》。</w:t>
            </w:r>
            <w:r/>
          </w:p>
        </w:tc>
        <w:tc>
          <w:tcPr>
            <w:tcW w:w="1660"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1728"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供应商信用记录</w:t>
            </w:r>
            <w:r/>
          </w:p>
        </w:tc>
        <w:tc>
          <w:tcPr>
            <w:tcW w:w="4494" w:type="dxa"/>
            <w:vAlign w:val="center"/>
            <w:textDirection w:val="lrTb"/>
            <w:noWrap w:val="false"/>
          </w:tcPr>
          <w:p>
            <w:pPr>
              <w:tabs>
                <w:tab w:val="left" w:pos="900" w:leader="none"/>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tc>
        <w:tc>
          <w:tcPr>
            <w:tcW w:w="1660"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无须供应商提供，由采购人或采购代理机构查询。</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728"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p>
        </w:tc>
        <w:tc>
          <w:tcPr>
            <w:tcW w:w="4494"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具体要求见第一章《采购邀请》</w:t>
            </w:r>
            <w:r/>
          </w:p>
        </w:tc>
        <w:tc>
          <w:tcPr>
            <w:tcW w:w="1660" w:type="dxa"/>
            <w:vAlign w:val="center"/>
            <w:textDirection w:val="lrTb"/>
            <w:noWrap w:val="false"/>
          </w:tcPr>
          <w:p>
            <w:pP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p>
        </w:tc>
        <w:tc>
          <w:tcPr>
            <w:tcW w:w="1728" w:type="dxa"/>
            <w:vAlign w:val="center"/>
            <w:textDirection w:val="lrTb"/>
            <w:noWrap w:val="false"/>
          </w:tcPr>
          <w:p>
            <w:pPr>
              <w:jc w:val="center"/>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中小企业声明函</w:t>
            </w:r>
            <w:r/>
          </w:p>
        </w:tc>
        <w:tc>
          <w:tcPr>
            <w:tcW w:w="4494" w:type="dxa"/>
            <w:vAlign w:val="center"/>
            <w:textDirection w:val="lrTb"/>
            <w:noWrap w:val="false"/>
          </w:tcPr>
          <w:p>
            <w:pPr>
              <w:jc w:val="left"/>
              <w:tabs>
                <w:tab w:val="left" w:pos="1080" w:leader="none"/>
              </w:tabs>
              <w:rPr>
                <w:rFonts w:hint="eastAsia" w:ascii="宋体" w:hAnsi="宋体" w:cstheme="minorEastAsia"/>
                <w:b/>
                <w:bCs/>
                <w:color w:val="000000" w:themeColor="text1"/>
                <w:sz w:val="24"/>
                <w:highlight w:val="none"/>
                <w14:textFill>
                  <w14:solidFill>
                    <w14:schemeClr w14:val="tx1"/>
                  </w14:solidFill>
                </w14:textFill>
              </w:rPr>
            </w:pPr>
            <w:r>
              <w:rPr>
                <w:rFonts w:hint="eastAsia" w:ascii="宋体" w:hAnsi="宋体" w:cstheme="minorEastAsia"/>
                <w:b/>
                <w:bCs/>
                <w:color w:val="000000" w:themeColor="text1"/>
                <w:sz w:val="24"/>
                <w:highlight w:val="none"/>
                <w14:textFill>
                  <w14:solidFill>
                    <w14:schemeClr w14:val="tx1"/>
                  </w14:solidFill>
                </w14:textFill>
              </w:rPr>
              <w:t xml:space="preserve">本项目专门面向中小企业采购，必须提供</w:t>
            </w:r>
            <w:r/>
          </w:p>
          <w:p>
            <w:pPr>
              <w:jc w:val="left"/>
              <w:tabs>
                <w:tab w:val="left" w:pos="1080" w:leader="none"/>
              </w:tabs>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w:t>
            </w:r>
            <w:r/>
          </w:p>
        </w:tc>
        <w:tc>
          <w:tcPr>
            <w:tcW w:w="1728"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其它落实政府采购政策的资格要求</w:t>
            </w:r>
            <w:r/>
          </w:p>
        </w:tc>
        <w:tc>
          <w:tcPr>
            <w:tcW w:w="4494"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如有，见第一章《采购邀请》</w:t>
            </w:r>
            <w:r/>
          </w:p>
        </w:tc>
        <w:tc>
          <w:tcPr>
            <w:tcW w:w="1660"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提供证明文件的电子件或电子证照</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728"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本项目的特定资格要求</w:t>
            </w:r>
            <w:r/>
          </w:p>
        </w:tc>
        <w:tc>
          <w:tcPr>
            <w:tcW w:w="4494"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如有，见第一章《采购邀请》</w:t>
            </w:r>
            <w:r/>
          </w:p>
        </w:tc>
        <w:tc>
          <w:tcPr>
            <w:tcW w:w="1660"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w:t>
            </w:r>
            <w:r/>
          </w:p>
        </w:tc>
        <w:tc>
          <w:tcPr>
            <w:tcW w:w="1728"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其他特定资格要求</w:t>
            </w:r>
            <w:r/>
          </w:p>
        </w:tc>
        <w:tc>
          <w:tcPr>
            <w:tcW w:w="4494"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如有，见第一章《采购邀请》</w:t>
            </w:r>
            <w:r/>
          </w:p>
        </w:tc>
        <w:tc>
          <w:tcPr>
            <w:tcW w:w="1660" w:type="dxa"/>
            <w:vAlign w:val="center"/>
            <w:textDirection w:val="lrTb"/>
            <w:noWrap w:val="false"/>
          </w:tcPr>
          <w:p>
            <w:pPr>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提供证明文件的电子件或电子证照</w:t>
            </w:r>
            <w:r/>
          </w:p>
        </w:tc>
      </w:tr>
    </w:tbl>
    <w:p>
      <w:pPr>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numPr>
          <w:ilvl w:val="1"/>
          <w:numId w:val="4"/>
        </w:numPr>
        <w:ind w:left="1077" w:firstLine="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《符合性审查要求》见下表：</w:t>
      </w:r>
      <w:r/>
    </w:p>
    <w:p>
      <w:pPr>
        <w:jc w:val="center"/>
        <w:spacing w:line="360" w:lineRule="auto"/>
        <w:tabs>
          <w:tab w:val="left" w:pos="900" w:leader="none"/>
          <w:tab w:val="left" w:pos="1080" w:leader="none"/>
          <w:tab w:val="left" w:pos="1447"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符合性审查要求</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664" w:type="dxa"/>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审查因素</w:t>
            </w:r>
            <w:r/>
          </w:p>
        </w:tc>
        <w:tc>
          <w:tcPr>
            <w:tcW w:w="6170" w:type="dxa"/>
            <w:vAlign w:val="center"/>
            <w:textDirection w:val="lrTb"/>
            <w:noWrap w:val="false"/>
          </w:tcPr>
          <w:p>
            <w:pPr>
              <w:jc w:val="center"/>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审查内容</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响应函、</w:t>
            </w:r>
            <w:r>
              <w:rPr>
                <w:rFonts w:hint="eastAsia" w:ascii="宋体" w:hAnsi="宋体" w:cs="宋体"/>
                <w:color w:val="000000" w:themeColor="text1"/>
                <w:sz w:val="24"/>
                <w:highlight w:val="none"/>
                <w14:textFill>
                  <w14:solidFill>
                    <w14:schemeClr w14:val="tx1"/>
                  </w14:solidFill>
                </w14:textFill>
              </w:rPr>
              <w:t xml:space="preserve">法定代表人资格证明书和政府采购供应商信用承诺书</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按磋商文件要求提供响应函、</w:t>
            </w:r>
            <w:r>
              <w:rPr>
                <w:rFonts w:hint="eastAsia" w:ascii="宋体" w:hAnsi="宋体" w:cs="宋体"/>
                <w:color w:val="000000" w:themeColor="text1"/>
                <w:sz w:val="24"/>
                <w:highlight w:val="none"/>
                <w14:textFill>
                  <w14:solidFill>
                    <w14:schemeClr w14:val="tx1"/>
                  </w14:solidFill>
                </w14:textFill>
              </w:rPr>
              <w:t xml:space="preserve">法定代表人资格证明书和政府采购供应商信用承诺书</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响应完整性</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未将一个项目/采购包中的内容拆开响应；</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响应报价</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响应报价未</w:t>
            </w:r>
            <w:r>
              <w:rPr>
                <w:rFonts w:hint="eastAsia" w:ascii="宋体" w:hAnsi="宋体" w:cs="宋体"/>
                <w:color w:val="000000" w:themeColor="text1"/>
                <w:sz w:val="24"/>
                <w:highlight w:val="none"/>
                <w14:textFill>
                  <w14:solidFill>
                    <w14:schemeClr w14:val="tx1"/>
                  </w14:solidFill>
                </w14:textFill>
              </w:rPr>
              <w:t xml:space="preserve">超过磋商文件中规定的项目/采购包预算金额或者项目/采购包最高限价</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报价唯一性</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响应文件未</w:t>
            </w:r>
            <w:r>
              <w:rPr>
                <w:rFonts w:hint="eastAsia" w:ascii="宋体" w:hAnsi="宋体" w:cs="宋体"/>
                <w:color w:val="000000" w:themeColor="text1"/>
                <w:sz w:val="24"/>
                <w:highlight w:val="none"/>
                <w14:textFill>
                  <w14:solidFill>
                    <w14:schemeClr w14:val="tx1"/>
                  </w14:solidFill>
                </w14:textFill>
              </w:rPr>
              <w:t xml:space="preserve">出现可选择性或可调整的报价（磋商文件另有规定的除外）</w:t>
            </w:r>
            <w:r>
              <w:rPr>
                <w:rFonts w:hint="eastAsia" w:ascii="宋体" w:hAnsi="宋体" w:cs="宋体"/>
                <w:color w:val="000000" w:themeColor="text1"/>
                <w:sz w:val="24"/>
                <w:highlight w:val="none"/>
                <w14:textFill>
                  <w14:solidFill>
                    <w14:schemeClr w14:val="tx1"/>
                  </w14:solidFill>
                </w14:textFill>
              </w:rPr>
              <w:t xml:space="preserve">；提供</w:t>
            </w:r>
            <w:r>
              <w:rPr>
                <w:rFonts w:hint="eastAsia" w:ascii="宋体" w:hAnsi="宋体" w:cs="宋体"/>
                <w:b/>
                <w:bCs/>
                <w:color w:val="000000" w:themeColor="text1"/>
                <w:sz w:val="24"/>
                <w:highlight w:val="none"/>
                <w14:textFill>
                  <w14:solidFill>
                    <w14:schemeClr w14:val="tx1"/>
                  </w14:solidFill>
                </w14:textFill>
              </w:rPr>
              <w:t xml:space="preserve">《分项报价表》</w:t>
            </w:r>
            <w:r>
              <w:rPr>
                <w:rFonts w:hint="eastAsia" w:ascii="宋体" w:hAnsi="宋体" w:cs="宋体"/>
                <w:color w:val="000000" w:themeColor="text1"/>
                <w:sz w:val="24"/>
                <w:highlight w:val="none"/>
                <w14:textFill>
                  <w14:solidFill>
                    <w14:schemeClr w14:val="tx1"/>
                  </w14:solidFill>
                </w14:textFill>
              </w:rPr>
              <w:t xml:space="preserve">。（格式见《投标（响应）文件格式》）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响应有效期</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签署、加盖公章</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实质性格式</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标记为“实质性格式”的文件均按磋商文件要求提供；</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664" w:type="dxa"/>
            <w:vAlign w:val="center"/>
            <w:textDirection w:val="lrTb"/>
            <w:noWrap w:val="false"/>
          </w:tcPr>
          <w:p>
            <w:pPr>
              <w:jc w:val="center"/>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★号条款响应</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响应文件满足磋商文件第四章《采购需求》中★号条款要求的；</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报价的修正（如有）</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664" w:type="dxa"/>
            <w:vAlign w:val="center"/>
            <w:textDirection w:val="lrTb"/>
            <w:noWrap w:val="false"/>
          </w:tcPr>
          <w:p>
            <w:pPr>
              <w:jc w:val="center"/>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报价合理性</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按照财库〔2026〕2号《关于推动解决政府采购异常低价问题的通知》要求：</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（一）政府采购评审中出现下列情形之一的，评审委员会应当启动异常低价响应审查程序：</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1.响应报价低于全部通过符合性审查供应商响应报价平均值50%的，即响应报价&lt;全部通过符合性审查供应商响应报价平均值×50%；</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2.响应报价低于通过符合性审查的次低报价供应商响应报价50%的，即响应报价&lt;通过符合性审查的次低报价供应商响应报价×50%；</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3.响应报价低于采购项目最高限价45%的，即响应报价&lt;采购项目最高限价×45%；</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公平竞争</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90"/>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串通响应</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附加条件</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1664"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其他无效情形</w:t>
            </w:r>
            <w:r/>
          </w:p>
        </w:tc>
        <w:tc>
          <w:tcPr>
            <w:tcW w:w="6170"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供应商、响应文件不存在不符合法律、法规和磋商文件规定的其他无效情形。</w:t>
            </w:r>
            <w:r/>
          </w:p>
        </w:tc>
      </w:tr>
    </w:tbl>
    <w:p>
      <w:pPr>
        <w:numPr>
          <w:ilvl w:val="0"/>
          <w:numId w:val="4"/>
        </w:numPr>
        <w:ind w:left="0"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4"/>
        </w:numPr>
        <w:ind w:left="0" w:firstLine="48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对磋商文件作出的实质性变动是磋商文件的有效组成部分，</w:t>
      </w:r>
      <w:r>
        <w:rPr>
          <w:rFonts w:hint="eastAsia" w:ascii="宋体" w:hAnsi="宋体"/>
          <w:color w:val="000000" w:themeColor="text1"/>
          <w:sz w:val="24"/>
          <w:highlight w:val="none"/>
          <w14:textFill>
            <w14:solidFill>
              <w14:schemeClr w14:val="tx1"/>
            </w14:solidFill>
          </w14:textFill>
        </w:rPr>
        <w:t xml:space="preserve">磋商小组应当及时通过“苏采云”政府采购一体化平台以书面形式同时通知所有参加磋商的供应商</w:t>
      </w:r>
      <w:r>
        <w:rPr>
          <w:rFonts w:ascii="宋体" w:hAnsi="宋体"/>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响应文件的澄清、说明或者更正</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w:t>
      </w:r>
      <w:r>
        <w:rPr>
          <w:rFonts w:hint="eastAsia" w:ascii="宋体" w:hAnsi="宋体"/>
          <w:color w:val="000000" w:themeColor="text1"/>
          <w:sz w:val="24"/>
          <w:highlight w:val="none"/>
          <w14:textFill>
            <w14:solidFill>
              <w14:schemeClr w14:val="tx1"/>
            </w14:solidFill>
          </w14:textFill>
        </w:rPr>
        <w:t xml:space="preserve">磋商小组会将通过“苏采云”政府采购一体化平台以书面形式要求供应商对其响应文件中含义不明确</w:t>
      </w:r>
      <w:r>
        <w:rPr>
          <w:rFonts w:ascii="宋体" w:hAnsi="宋体"/>
          <w:color w:val="000000" w:themeColor="text1"/>
          <w:sz w:val="24"/>
          <w:highlight w:val="none"/>
          <w14:textFill>
            <w14:solidFill>
              <w14:schemeClr w14:val="tx1"/>
            </w14:solidFill>
          </w14:textFill>
        </w:rPr>
        <w:t xml:space="preserve">、同类问题表述不一致或者有明显文字和计算错误的内容，作出必要的澄清、说明或者补正。</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的澄清、说明或者补正应当采用书面形式，并加盖</w:t>
      </w:r>
      <w:r>
        <w:rPr>
          <w:rFonts w:hint="eastAsia" w:ascii="宋体" w:hAnsi="宋体"/>
          <w:color w:val="000000" w:themeColor="text1"/>
          <w:sz w:val="24"/>
          <w:highlight w:val="none"/>
          <w14:textFill>
            <w14:solidFill>
              <w14:schemeClr w14:val="tx1"/>
            </w14:solidFill>
          </w14:textFill>
        </w:rPr>
        <w:t xml:space="preserve">电子</w:t>
      </w:r>
      <w:r>
        <w:rPr>
          <w:rFonts w:ascii="宋体" w:hAnsi="宋体"/>
          <w:color w:val="000000" w:themeColor="text1"/>
          <w:sz w:val="24"/>
          <w:highlight w:val="none"/>
          <w14:textFill>
            <w14:solidFill>
              <w14:schemeClr w14:val="tx1"/>
            </w14:solidFill>
          </w14:textFill>
        </w:rPr>
        <w:t xml:space="preserve">公章。</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的澄清、说明或者补正不得超出</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文件的范围或者改变</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文件的实质性内容。澄清文件将作为</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文件内容的一部分。</w:t>
      </w:r>
      <w:r/>
    </w:p>
    <w:p>
      <w:pPr>
        <w:numPr>
          <w:ilvl w:val="1"/>
          <w:numId w:val="4"/>
        </w:numPr>
        <w:ind w:left="0" w:firstLine="482"/>
        <w:spacing w:line="360" w:lineRule="auto"/>
        <w:tabs>
          <w:tab w:val="left" w:pos="1080" w:leader="none"/>
          <w:tab w:val="left" w:pos="1872"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磋商结束后，</w:t>
      </w:r>
      <w:r>
        <w:rPr>
          <w:rFonts w:hint="eastAsia" w:ascii="宋体" w:hAnsi="宋体"/>
          <w:b/>
          <w:color w:val="000000" w:themeColor="text1"/>
          <w:sz w:val="24"/>
          <w:highlight w:val="none"/>
          <w14:textFill>
            <w14:solidFill>
              <w14:schemeClr w14:val="tx1"/>
            </w14:solidFill>
          </w14:textFill>
        </w:rPr>
        <w:t xml:space="preserve">磋商小组将要求所有实质性响应的供应商在规定时间内通过“苏采云”政府采购交易系统网上开标大厅</w:t>
      </w:r>
      <w:r>
        <w:rPr>
          <w:rFonts w:ascii="宋体" w:hAnsi="宋体"/>
          <w:b/>
          <w:color w:val="000000" w:themeColor="text1"/>
          <w:sz w:val="24"/>
          <w:highlight w:val="none"/>
          <w14:textFill>
            <w14:solidFill>
              <w14:schemeClr w14:val="tx1"/>
            </w14:solidFill>
          </w14:textFill>
        </w:rPr>
        <w:t xml:space="preserve">提交最</w:t>
      </w:r>
      <w:r>
        <w:rPr>
          <w:rFonts w:hint="eastAsia" w:ascii="宋体" w:hAnsi="宋体"/>
          <w:b/>
          <w:color w:val="000000" w:themeColor="text1"/>
          <w:sz w:val="24"/>
          <w:highlight w:val="none"/>
          <w14:textFill>
            <w14:solidFill>
              <w14:schemeClr w14:val="tx1"/>
            </w14:solidFill>
          </w14:textFill>
        </w:rPr>
        <w:t xml:space="preserve">终</w:t>
      </w:r>
      <w:r>
        <w:rPr>
          <w:rFonts w:ascii="宋体" w:hAnsi="宋体"/>
          <w:b/>
          <w:color w:val="000000" w:themeColor="text1"/>
          <w:sz w:val="24"/>
          <w:highlight w:val="none"/>
          <w14:textFill>
            <w14:solidFill>
              <w14:schemeClr w14:val="tx1"/>
            </w14:solidFill>
          </w14:textFill>
        </w:rPr>
        <w:t xml:space="preserve">报价</w:t>
      </w:r>
      <w:r>
        <w:rPr>
          <w:rFonts w:hint="eastAsia" w:ascii="宋体" w:hAnsi="宋体"/>
          <w:b/>
          <w:color w:val="000000" w:themeColor="text1"/>
          <w:sz w:val="24"/>
          <w:highlight w:val="none"/>
          <w14:textFill>
            <w14:solidFill>
              <w14:schemeClr w14:val="tx1"/>
            </w14:solidFill>
          </w14:textFill>
        </w:rPr>
        <w:t xml:space="preserve">。供应商未在磋商小组规定的时间内在苏采云系统中提交最后报价的视为放弃磋商，其响应文件按无效响应处理。如需提交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color w:val="000000" w:themeColor="text1"/>
          <w:sz w:val="24"/>
          <w:highlight w:val="none"/>
          <w14:textFill>
            <w14:solidFill>
              <w14:schemeClr w14:val="tx1"/>
            </w14:solidFill>
          </w14:textFill>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最终报价是供应商响应文件的有效组成部分。</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4"/>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最终报价的算术修正及政策调整</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color w:val="000000" w:themeColor="text1"/>
          <w:sz w:val="24"/>
          <w:highlight w:val="none"/>
          <w14:textFill>
            <w14:solidFill>
              <w14:schemeClr w14:val="tx1"/>
            </w14:solidFill>
          </w14:textFill>
        </w:rPr>
        <w:t xml:space="preserve">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最终报价出现前后不一致的，按照下列规定修正：</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□有，具体规定为：</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■无，按下述3.2.2-3.2.5项规定修正。</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大写金额和小写金额不一致的，以大写金额为准；</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highlight w:val="none"/>
          <w14:textFill>
            <w14:solidFill>
              <w14:schemeClr w14:val="tx1"/>
            </w14:solidFill>
          </w14:textFill>
        </w:rPr>
        <w:t xml:space="preserve">其响应无效</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1080" w:leader="none"/>
          <w:tab w:val="left" w:pos="1872"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落实政府采购政策的价格调整：</w:t>
      </w:r>
      <w:r>
        <w:rPr>
          <w:rFonts w:ascii="宋体" w:hAnsi="宋体"/>
          <w:color w:val="000000" w:themeColor="text1"/>
          <w:sz w:val="24"/>
          <w:highlight w:val="none"/>
          <w14:textFill>
            <w14:solidFill>
              <w14:schemeClr w14:val="tx1"/>
            </w14:solidFill>
          </w14:textFill>
        </w:rPr>
        <w:t xml:space="preserve">只有符合第二章《供应商须知》4.2条规定情形的，可以享受中小企业扶持政策，用扣除后的价格参加评审；否则，评审时价格不予扣除。</w:t>
      </w:r>
      <w:r/>
    </w:p>
    <w:p>
      <w:pPr>
        <w:numPr>
          <w:ilvl w:val="2"/>
          <w:numId w:val="4"/>
        </w:numPr>
        <w:ind w:left="0"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rFonts w:ascii="宋体" w:hAnsi="宋体"/>
          <w:b/>
          <w:color w:val="000000" w:themeColor="text1"/>
          <w:sz w:val="24"/>
          <w:highlight w:val="none"/>
          <w14:textFill>
            <w14:solidFill>
              <w14:schemeClr w14:val="tx1"/>
            </w14:solidFill>
          </w14:textFill>
        </w:rPr>
        <w:t xml:space="preserve">小微企业</w:t>
      </w:r>
      <w:r>
        <w:rPr>
          <w:rFonts w:ascii="宋体" w:hAnsi="宋体"/>
          <w:color w:val="000000" w:themeColor="text1"/>
          <w:sz w:val="24"/>
          <w:highlight w:val="none"/>
          <w14:textFill>
            <w14:solidFill>
              <w14:schemeClr w14:val="tx1"/>
            </w14:solidFill>
          </w14:textFill>
        </w:rPr>
        <w:t xml:space="preserve">报价给予</w:t>
      </w:r>
      <w:r>
        <w:rPr>
          <w:rFonts w:hint="eastAsia" w:ascii="宋体" w:hAnsi="宋体"/>
          <w:color w:val="000000" w:themeColor="text1"/>
          <w:sz w:val="24"/>
          <w:highlight w:val="none"/>
          <w14:textFill>
            <w14:solidFill>
              <w14:schemeClr w14:val="tx1"/>
            </w14:solidFill>
          </w14:textFill>
        </w:rPr>
        <w:t xml:space="preserve">20</w:t>
      </w:r>
      <w:r>
        <w:rPr>
          <w:rFonts w:ascii="宋体" w:hAnsi="宋体"/>
          <w:color w:val="000000" w:themeColor="text1"/>
          <w:sz w:val="24"/>
          <w:highlight w:val="none"/>
          <w14:textFill>
            <w14:solidFill>
              <w14:schemeClr w14:val="tx1"/>
            </w14:solidFill>
          </w14:textFill>
        </w:rPr>
        <w:t xml:space="preserve">%的扣除，用扣除后的价格参加评审。</w:t>
      </w:r>
      <w:r/>
    </w:p>
    <w:p>
      <w:pPr>
        <w:numPr>
          <w:ilvl w:val="2"/>
          <w:numId w:val="4"/>
        </w:numPr>
        <w:ind w:left="0"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rFonts w:ascii="宋体" w:hAnsi="宋体"/>
          <w:b/>
          <w:color w:val="000000" w:themeColor="text1"/>
          <w:sz w:val="24"/>
          <w:highlight w:val="none"/>
          <w14:textFill>
            <w14:solidFill>
              <w14:schemeClr w14:val="tx1"/>
            </w14:solidFill>
          </w14:textFill>
        </w:rPr>
        <w:t xml:space="preserve">小微企业</w:t>
      </w:r>
      <w:r>
        <w:rPr>
          <w:rFonts w:ascii="宋体" w:hAnsi="宋体"/>
          <w:color w:val="000000" w:themeColor="text1"/>
          <w:sz w:val="24"/>
          <w:highlight w:val="none"/>
          <w14:textFill>
            <w14:solidFill>
              <w14:schemeClr w14:val="tx1"/>
            </w14:solidFill>
          </w14:textFill>
        </w:rPr>
        <w:t xml:space="preserve">组成联合体或者允许大中型企业向一家或者多家</w:t>
      </w:r>
      <w:r>
        <w:rPr>
          <w:rFonts w:ascii="宋体" w:hAnsi="宋体"/>
          <w:b/>
          <w:color w:val="000000" w:themeColor="text1"/>
          <w:sz w:val="24"/>
          <w:highlight w:val="none"/>
          <w14:textFill>
            <w14:solidFill>
              <w14:schemeClr w14:val="tx1"/>
            </w14:solidFill>
          </w14:textFill>
        </w:rPr>
        <w:t xml:space="preserve">小微企业</w:t>
      </w:r>
      <w:r>
        <w:rPr>
          <w:rFonts w:ascii="宋体" w:hAnsi="宋体"/>
          <w:color w:val="000000" w:themeColor="text1"/>
          <w:sz w:val="24"/>
          <w:highlight w:val="none"/>
          <w14:textFill>
            <w14:solidFill>
              <w14:schemeClr w14:val="tx1"/>
            </w14:solidFill>
          </w14:textFill>
        </w:rPr>
        <w:t xml:space="preserve">分包的采购项目，对于联合协议或者分包意向协议约定</w:t>
      </w:r>
      <w:r>
        <w:rPr>
          <w:rFonts w:ascii="宋体" w:hAnsi="宋体"/>
          <w:b/>
          <w:color w:val="000000" w:themeColor="text1"/>
          <w:sz w:val="24"/>
          <w:highlight w:val="none"/>
          <w14:textFill>
            <w14:solidFill>
              <w14:schemeClr w14:val="tx1"/>
            </w14:solidFill>
          </w14:textFill>
        </w:rPr>
        <w:t xml:space="preserve">小微企业</w:t>
      </w:r>
      <w:r>
        <w:rPr>
          <w:rFonts w:ascii="宋体" w:hAnsi="宋体"/>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%的扣除，用扣除后的价格参加评审。</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4"/>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1"/>
          <w:numId w:val="4"/>
        </w:numPr>
        <w:ind w:left="0" w:firstLine="480"/>
        <w:spacing w:line="360" w:lineRule="auto"/>
        <w:tabs>
          <w:tab w:val="left" w:pos="1080" w:leader="none"/>
        </w:tabs>
        <w:rPr>
          <w:rFonts w:hint="eastAsia"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其他为落实政府采购政策实施的优先采购：______。</w:t>
      </w:r>
      <w:r/>
    </w:p>
    <w:p>
      <w:pPr>
        <w:numPr>
          <w:ilvl w:val="1"/>
          <w:numId w:val="4"/>
        </w:numPr>
        <w:ind w:left="0" w:firstLine="480"/>
        <w:spacing w:line="360" w:lineRule="auto"/>
        <w:tabs>
          <w:tab w:val="left" w:pos="1080"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采购本国产品的支持政策（本项目不适用）</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投标人需按照招标文件的要求提供《关于符合本国产品标准的声明函》（以下简称《声明函》），如不提供将不享受本国产品价格评审优惠。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磋商环节及提交最终报价后如出现以下情况的，供应商的</w:t>
      </w:r>
      <w:r>
        <w:rPr>
          <w:rFonts w:hint="eastAsia" w:ascii="宋体" w:hAnsi="宋体" w:cs="宋体"/>
          <w:b/>
          <w:color w:val="000000" w:themeColor="text1"/>
          <w:sz w:val="24"/>
          <w:highlight w:val="none"/>
          <w14:textFill>
            <w14:solidFill>
              <w14:schemeClr w14:val="tx1"/>
            </w14:solidFill>
          </w14:textFill>
        </w:rPr>
        <w:t xml:space="preserve">响应文件无效</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供应商对实质性变动不予确认的；</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未按照磋商小组规定的时间、逾期提交最终报价的；</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4"/>
        </w:numPr>
        <w:ind w:left="0" w:firstLine="480"/>
        <w:spacing w:line="360" w:lineRule="auto"/>
        <w:tabs>
          <w:tab w:val="left" w:pos="108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bookmarkEnd w:id="560"/>
      <w:bookmarkEnd w:id="561"/>
      <w:r/>
    </w:p>
    <w:p>
      <w:pPr>
        <w:numPr>
          <w:ilvl w:val="0"/>
          <w:numId w:val="4"/>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评审方法和评审标准</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关于无线局域网认证产品政府采购清单中的产品，优先采购的具体规定</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4"/>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w:t>
      </w:r>
      <w:bookmarkStart w:id="577" w:name="_Toc265228384"/>
      <w:r/>
      <w:bookmarkStart w:id="578" w:name="_Toc151190173"/>
      <w:r/>
      <w:bookmarkStart w:id="579" w:name="_Toc151193644"/>
      <w:r/>
      <w:bookmarkStart w:id="580" w:name="_Toc164608660"/>
      <w:r/>
      <w:bookmarkStart w:id="581" w:name="_Toc127151747"/>
      <w:r/>
      <w:bookmarkStart w:id="582" w:name="_Toc149720839"/>
      <w:r/>
      <w:bookmarkStart w:id="583" w:name="_Toc127161460"/>
      <w:r/>
      <w:bookmarkStart w:id="584" w:name="_Ref467307010"/>
      <w:r/>
      <w:bookmarkStart w:id="585" w:name="_Toc164229241"/>
      <w:r/>
      <w:bookmarkStart w:id="586" w:name="_Toc151193934"/>
      <w:r/>
      <w:bookmarkStart w:id="587" w:name="_Toc164608815"/>
      <w:r/>
      <w:bookmarkStart w:id="588" w:name="_Toc142311048"/>
      <w:r/>
      <w:bookmarkStart w:id="589" w:name="_Toc151193860"/>
      <w:r/>
      <w:bookmarkStart w:id="590" w:name="_Toc150774646"/>
      <w:r/>
      <w:bookmarkStart w:id="591" w:name="_Toc264969236"/>
      <w:r/>
      <w:bookmarkStart w:id="592" w:name="_Toc226965819"/>
      <w:r/>
      <w:bookmarkStart w:id="593" w:name="_Toc150509297"/>
      <w:r/>
      <w:bookmarkStart w:id="594" w:name="_Toc226337242"/>
      <w:r/>
      <w:bookmarkStart w:id="595" w:name="_Toc150774751"/>
      <w:r/>
      <w:bookmarkStart w:id="596" w:name="_Toc305158888"/>
      <w:r/>
      <w:bookmarkStart w:id="597" w:name="_Toc164229387"/>
      <w:r/>
      <w:bookmarkStart w:id="598" w:name="_Toc226965736"/>
      <w:r/>
      <w:bookmarkStart w:id="599" w:name="_Toc150480784"/>
      <w:r/>
      <w:bookmarkStart w:id="600" w:name="_Toc305158814"/>
      <w:r/>
      <w:bookmarkStart w:id="601" w:name="_Toc151193788"/>
      <w:r/>
      <w:bookmarkStart w:id="602" w:name="_Toc151193716"/>
      <w:r/>
      <w:bookmarkStart w:id="603" w:name="_Toc164351640"/>
      <w:r/>
      <w:bookmarkStart w:id="604" w:name="_Toc127151546"/>
      <w:r/>
      <w:bookmarkStart w:id="605" w:name="_Toc520356170"/>
      <w:r/>
      <w:bookmarkStart w:id="606" w:name="_Toc226309790"/>
      <w:r/>
      <w:bookmarkStart w:id="607" w:name="_Toc195842911"/>
      <w:r>
        <w:rPr>
          <w:rFonts w:hint="eastAsia" w:ascii="宋体" w:hAnsi="宋体" w:cs="宋体"/>
          <w:color w:val="000000" w:themeColor="text1"/>
          <w:sz w:val="24"/>
          <w:highlight w:val="none"/>
          <w14:textFill>
            <w14:solidFill>
              <w14:schemeClr w14:val="tx1"/>
            </w14:solidFill>
          </w14:textFill>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磋商小组根据上述供应商排序，依次推荐排序前</w:t>
      </w:r>
      <w:r>
        <w:rPr>
          <w:rFonts w:hint="eastAsia" w:ascii="宋体" w:hAnsi="宋体" w:cs="宋体"/>
          <w:color w:val="000000" w:themeColor="text1"/>
          <w:sz w:val="24"/>
          <w:highlight w:val="none"/>
          <w14:textFill>
            <w14:solidFill>
              <w14:schemeClr w14:val="tx1"/>
            </w14:solidFill>
          </w14:textFill>
        </w:rPr>
        <w:t xml:space="preserve">3名</w:t>
      </w:r>
      <w:r>
        <w:rPr>
          <w:rFonts w:hint="eastAsia" w:ascii="宋体" w:hAnsi="宋体" w:cs="宋体"/>
          <w:color w:val="000000" w:themeColor="text1"/>
          <w:sz w:val="24"/>
          <w:szCs w:val="20"/>
          <w:highlight w:val="none"/>
          <w14:textFill>
            <w14:solidFill>
              <w14:schemeClr w14:val="tx1"/>
            </w14:solidFill>
          </w14:textFill>
        </w:rPr>
        <w:t xml:space="preserve">的供应商为</w:t>
      </w:r>
      <w:r>
        <w:rPr>
          <w:rFonts w:hint="eastAsia" w:ascii="宋体" w:hAnsi="宋体" w:cs="宋体"/>
          <w:color w:val="000000" w:themeColor="text1"/>
          <w:sz w:val="24"/>
          <w:szCs w:val="21"/>
          <w:highlight w:val="none"/>
          <w14:textFill>
            <w14:solidFill>
              <w14:schemeClr w14:val="tx1"/>
            </w14:solidFill>
          </w14:textFill>
        </w:rPr>
        <w:t xml:space="preserve">成交候选供应商</w:t>
      </w:r>
      <w:r>
        <w:rPr>
          <w:rFonts w:hint="eastAsia" w:ascii="宋体" w:hAnsi="宋体" w:cs="宋体"/>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4"/>
        </w:numPr>
        <w:ind w:left="0" w:firstLine="480"/>
        <w:spacing w:line="360" w:lineRule="auto"/>
        <w:tabs>
          <w:tab w:val="left" w:pos="1080" w:leader="none"/>
          <w:tab w:val="left" w:pos="1872"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4"/>
        </w:numPr>
        <w:ind w:left="0" w:firstLine="480"/>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报告违法行为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p>
    <w:p>
      <w:pPr>
        <w:ind w:firstLine="480"/>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8"/>
          <w:szCs w:val="28"/>
          <w:highlight w:val="none"/>
          <w14:textFill>
            <w14:solidFill>
              <w14:schemeClr w14:val="tx1"/>
            </w14:solidFill>
          </w14:textFill>
        </w:rPr>
        <w:t xml:space="preserve">二、评审标准</w:t>
      </w:r>
      <w:r/>
    </w:p>
    <w:tbl>
      <w:tblPr>
        <w:tblStyle w:val="757"/>
        <w:tblW w:w="10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134"/>
        <w:gridCol w:w="709"/>
        <w:gridCol w:w="4961"/>
        <w:gridCol w:w="2552"/>
      </w:tblGrid>
      <w:tr>
        <w:trPr>
          <w:jc w:val="center"/>
          <w:trHeight w:val="20"/>
        </w:trPr>
        <w:tc>
          <w:tcPr>
            <w:tcW w:w="766"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序号</w:t>
            </w:r>
            <w:r/>
          </w:p>
        </w:tc>
        <w:tc>
          <w:tcPr>
            <w:tcW w:w="1134"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评分因素</w:t>
            </w:r>
            <w:r/>
          </w:p>
        </w:tc>
        <w:tc>
          <w:tcPr>
            <w:tcW w:w="709"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分值</w:t>
            </w:r>
            <w:r/>
          </w:p>
        </w:tc>
        <w:tc>
          <w:tcPr>
            <w:tcW w:w="4961"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评分标准</w:t>
            </w:r>
            <w:r/>
          </w:p>
        </w:tc>
        <w:tc>
          <w:tcPr>
            <w:tcW w:w="25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说明</w:t>
            </w:r>
            <w:r/>
          </w:p>
        </w:tc>
      </w:tr>
      <w:tr>
        <w:trPr>
          <w:jc w:val="center"/>
          <w:trHeight w:val="20"/>
        </w:trPr>
        <w:tc>
          <w:tcPr>
            <w:tcW w:w="766"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w:t>
            </w:r>
            <w:r/>
          </w:p>
        </w:tc>
        <w:tc>
          <w:tcPr>
            <w:tcW w:w="1134"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价格分</w:t>
            </w:r>
            <w:r/>
          </w:p>
        </w:tc>
        <w:tc>
          <w:tcPr>
            <w:tcW w:w="709"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30</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满足磋商文件要求且磋商报价最低的磋商报价为磋商基准价，其</w:t>
            </w:r>
            <w:r>
              <w:rPr>
                <w:rFonts w:ascii="宋体" w:hAnsi="宋体" w:cs="宋体"/>
                <w:color w:val="000000" w:themeColor="text1"/>
                <w:szCs w:val="21"/>
                <w:highlight w:val="none"/>
                <w14:textFill>
                  <w14:solidFill>
                    <w14:schemeClr w14:val="tx1"/>
                  </w14:solidFill>
                </w14:textFill>
              </w:rPr>
              <w:t xml:space="preserve">价格为满分。其他供应商的价格分按照下列公式计算：磋商报价得分＝（磋商基准价/磋商报价）×</w:t>
            </w:r>
            <w:r>
              <w:rPr>
                <w:rFonts w:hint="eastAsia" w:ascii="宋体" w:hAnsi="宋体" w:cs="宋体"/>
                <w:color w:val="000000" w:themeColor="text1"/>
                <w:szCs w:val="21"/>
                <w:highlight w:val="none"/>
                <w14:textFill>
                  <w14:solidFill>
                    <w14:schemeClr w14:val="tx1"/>
                  </w14:solidFill>
                </w14:textFill>
              </w:rPr>
              <w:t xml:space="preserve">分值</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此处最终报价指经过报价修正，及</w:t>
            </w:r>
            <w:r>
              <w:rPr>
                <w:rFonts w:ascii="宋体" w:hAnsi="宋体"/>
                <w:color w:val="000000" w:themeColor="text1"/>
                <w:szCs w:val="21"/>
                <w:highlight w:val="none"/>
                <w14:textFill>
                  <w14:solidFill>
                    <w14:schemeClr w14:val="tx1"/>
                  </w14:solidFill>
                </w14:textFill>
              </w:rPr>
              <w:t xml:space="preserve">因落实政府采购政策进行价格调整</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最终报价</w:t>
            </w:r>
            <w:r>
              <w:rPr>
                <w:rFonts w:ascii="宋体" w:hAnsi="宋体"/>
                <w:color w:val="000000" w:themeColor="text1"/>
                <w:szCs w:val="21"/>
                <w:highlight w:val="none"/>
                <w14:textFill>
                  <w14:solidFill>
                    <w14:schemeClr w14:val="tx1"/>
                  </w14:solidFill>
                </w14:textFill>
              </w:rPr>
              <w:t xml:space="preserve">，详见第</w:t>
            </w:r>
            <w:r>
              <w:rPr>
                <w:rFonts w:hint="eastAsia" w:ascii="宋体" w:hAnsi="宋体"/>
                <w:color w:val="000000" w:themeColor="text1"/>
                <w:szCs w:val="21"/>
                <w:highlight w:val="none"/>
                <w14:textFill>
                  <w14:solidFill>
                    <w14:schemeClr w14:val="tx1"/>
                  </w14:solidFill>
                </w14:textFill>
              </w:rPr>
              <w:t xml:space="preserve">三</w:t>
            </w:r>
            <w:r>
              <w:rPr>
                <w:rFonts w:ascii="宋体" w:hAnsi="宋体"/>
                <w:color w:val="000000" w:themeColor="text1"/>
                <w:szCs w:val="21"/>
                <w:highlight w:val="none"/>
                <w14:textFill>
                  <w14:solidFill>
                    <w14:schemeClr w14:val="tx1"/>
                  </w14:solidFill>
                </w14:textFill>
              </w:rPr>
              <w:t xml:space="preserve">章《评标方法和评标标准》</w:t>
            </w: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w:t>
            </w:r>
            <w:r/>
          </w:p>
        </w:tc>
      </w:tr>
      <w:tr>
        <w:trPr>
          <w:jc w:val="center"/>
          <w:trHeight w:val="20"/>
        </w:trPr>
        <w:tc>
          <w:tcPr>
            <w:tcW w:w="766"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w:t>
            </w:r>
            <w:r/>
          </w:p>
        </w:tc>
        <w:tc>
          <w:tcPr>
            <w:tcW w:w="1134"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主观分</w:t>
            </w:r>
            <w:r/>
          </w:p>
        </w:tc>
        <w:tc>
          <w:tcPr>
            <w:tcW w:w="709" w:type="dxa"/>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40</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1134" w:type="dxa"/>
            <w:vAlign w:val="center"/>
            <w:textDirection w:val="lrTb"/>
            <w:noWrap w:val="false"/>
          </w:tcPr>
          <w:p>
            <w:pPr>
              <w:jc w:val="center"/>
              <w:widowControl/>
              <w:tabs>
                <w:tab w:val="left" w:pos="1200" w:leader="none"/>
              </w:tabs>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总体概述</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W w:w="4961" w:type="dxa"/>
            <w:vAlign w:val="center"/>
            <w:textDirection w:val="lrTb"/>
            <w:noWrap w:val="false"/>
          </w:tcPr>
          <w:p>
            <w:pPr>
              <w:pStyle w:val="767"/>
              <w:spacing w:before="0" w:line="240" w:lineRule="auto"/>
              <w:rPr>
                <w:rFonts w:hint="eastAsia" w:cs="宋体"/>
                <w:color w:val="000000" w:themeColor="text1"/>
                <w:sz w:val="21"/>
                <w:szCs w:val="21"/>
                <w:highlight w:val="none"/>
                <w14:textFill>
                  <w14:solidFill>
                    <w14:schemeClr w14:val="tx1"/>
                  </w14:solidFill>
                </w14:textFill>
              </w:rPr>
            </w:pPr>
            <w:r>
              <w:rPr>
                <w:color w:val="000000" w:themeColor="text1"/>
                <w:sz w:val="21"/>
                <w:highlight w:val="none"/>
                <w14:textFill>
                  <w14:solidFill>
                    <w14:schemeClr w14:val="tx1"/>
                  </w14:solidFill>
                </w14:textFill>
              </w:rPr>
              <w:t xml:space="preserve">包括但不限于工程概况、施工组织总体设想、方案的针对性及施工段的划分：（1）方案先进、完整、可行，主导工程内容、施工方法明确、详尽、合理，能完全满足项目实施要求，得8分；（2）方案较先进、完整、可行，主导工程内容、施工方法较明确、详尽、合理，能基本满足项目实施要求，得6分；（3）方案内容较简单，对项目实施要求响应一般，得4分；（4）方案内容较差、无针对性或可行性较差得2分；（5）未提供本项不得分。</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113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维护保养及计划方案</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W w:w="4961"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供应商根据本项目编制符合需求的维护保养及计划方案，根据方案计划安排的科学性、合理性、可行性等进行评分。（1）维护保养及计划方案非常严谨、全面、详细，得8分；（2）维护保养及计划方案比较严谨、全面、详细的，得6分；（3）维护保养及计划方案内容较简单，对项目实施要求响应一般，得4分；（4）维护保养及计划方案内容较差、无针对性或可行性较差得2分；（5）未提供不得分。</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113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应急预案</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W w:w="4961" w:type="dxa"/>
            <w:vAlign w:val="center"/>
            <w:textDirection w:val="lrTb"/>
            <w:noWrap w:val="false"/>
          </w:tcPr>
          <w:p>
            <w:pPr>
              <w:pStyle w:val="767"/>
              <w:spacing w:before="0" w:line="240" w:lineRule="auto"/>
              <w:rPr>
                <w:rFonts w:hint="eastAsia" w:cs="宋体"/>
                <w:color w:val="000000" w:themeColor="text1"/>
                <w:sz w:val="21"/>
                <w:szCs w:val="21"/>
                <w:highlight w:val="none"/>
                <w14:textFill>
                  <w14:solidFill>
                    <w14:schemeClr w14:val="tx1"/>
                  </w14:solidFill>
                </w14:textFill>
              </w:rPr>
            </w:pPr>
            <w:r>
              <w:rPr>
                <w:color w:val="000000" w:themeColor="text1"/>
                <w:sz w:val="21"/>
                <w:highlight w:val="none"/>
                <w14:textFill>
                  <w14:solidFill>
                    <w14:schemeClr w14:val="tx1"/>
                  </w14:solidFill>
                </w14:textFill>
              </w:rPr>
              <w:t xml:space="preserve">供应商需提供项目应急预案措施，评审可根据预案措施是否得当、全面、可行来进行评分。（1）应急预案完善、合理且可操作性强的得8分；（2）应急预案较为完善、较合理且可操作性一般的得6分；（3）应急预案不完善、不太合理且可操作性差的得4分；（4）应急预案内容较差无针对性或可行性较差的得2分；（5）未提供不得分。</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1134" w:type="dxa"/>
            <w:vAlign w:val="center"/>
            <w:textDirection w:val="lrTb"/>
            <w:noWrap w:val="false"/>
          </w:tcPr>
          <w:p>
            <w:pPr>
              <w:jc w:val="center"/>
              <w:tabs>
                <w:tab w:val="left" w:pos="426" w:leader="none"/>
              </w:tabs>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技术培训</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W w:w="4961" w:type="dxa"/>
            <w:vAlign w:val="center"/>
            <w:textDirection w:val="lrTb"/>
            <w:noWrap w:val="false"/>
          </w:tcPr>
          <w:p>
            <w:pPr>
              <w:tabs>
                <w:tab w:val="left" w:pos="426" w:leader="none"/>
              </w:tabs>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根据供应商提供的培训方案内容设计思路切合培训需求，评审专家组可根据方案的重点突出，实践性、针对性是否细致完善合理打分。（1）培训方案设计思路内容非常完整细致、合理、完全可行的得8分；（2）培训方案设计思路内容完整细致、合理但仍需优化、可行性高的得6分；（3）培训方案设计思路内容有缺陷、不太合理、可行性一般的得4分；（4）培训方案设计思路内容较差无针对性或可行性较差的得2分；（5）未提供不得分。</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1134" w:type="dxa"/>
            <w:vAlign w:val="center"/>
            <w:textDirection w:val="lrTb"/>
            <w:noWrap w:val="false"/>
          </w:tcPr>
          <w:p>
            <w:pPr>
              <w:jc w:val="center"/>
              <w:tabs>
                <w:tab w:val="left" w:pos="426" w:leader="none"/>
              </w:tabs>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售后服务</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w:t>
            </w:r>
            <w:r/>
          </w:p>
        </w:tc>
        <w:tc>
          <w:tcPr>
            <w:tcW w:w="4961" w:type="dxa"/>
            <w:vAlign w:val="center"/>
            <w:textDirection w:val="lrTb"/>
            <w:noWrap w:val="false"/>
          </w:tcPr>
          <w:p>
            <w:pPr>
              <w:tabs>
                <w:tab w:val="left" w:pos="426" w:leader="none"/>
              </w:tabs>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供应商需提供售后服务方案，方案内容应包括技术支持和维修服务，维保队伍，质保期限，质保期外维修服务，故障响应时间等。（1）方案详细、完善，故障响应及时的得8分；（2）方案较完整，故障响应满足需求的得6分；（3）方案不完整，故障响应基本满足需求的得4分；（4）方案较差无针对性或故障响应较差的得2分；（5）未提供不得分。</w:t>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p>
        </w:tc>
        <w:tc>
          <w:tcPr>
            <w:tcW w:w="1134"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客观分</w:t>
            </w:r>
            <w:r/>
          </w:p>
        </w:tc>
        <w:tc>
          <w:tcPr>
            <w:tcW w:w="709"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30</w:t>
            </w:r>
            <w:r/>
          </w:p>
        </w:tc>
        <w:tc>
          <w:tcPr>
            <w:tcW w:w="4961" w:type="dxa"/>
            <w:vAlign w:val="center"/>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25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W w:w="1134" w:type="dxa"/>
            <w:vAlign w:val="center"/>
            <w:vMerge w:val="restart"/>
            <w:textDirection w:val="lrTb"/>
            <w:noWrap w:val="false"/>
          </w:tcPr>
          <w:p>
            <w:pPr>
              <w:jc w:val="center"/>
              <w:rPr>
                <w:rFonts w:hint="eastAsia" w:ascii="宋体" w:hAnsi="宋体" w:cs="宋体"/>
                <w:color w:val="000000" w:themeColor="text1"/>
                <w:szCs w:val="21"/>
                <w:highlight w:val="none"/>
                <w:shd w:val="clear" w:color="auto" w:fill="ffffff"/>
                <w14:textFill>
                  <w14:solidFill>
                    <w14:schemeClr w14:val="tx1"/>
                  </w14:solidFill>
                </w14:textFill>
              </w:rPr>
            </w:pPr>
            <w:r>
              <w:rPr>
                <w:rFonts w:ascii="宋体" w:hAnsi="宋体" w:cs="宋体"/>
                <w:color w:val="000000" w:themeColor="text1"/>
                <w:szCs w:val="21"/>
                <w:highlight w:val="none"/>
                <w:shd w:val="clear" w:color="auto" w:fill="ffffff"/>
                <w14:textFill>
                  <w14:solidFill>
                    <w14:schemeClr w14:val="tx1"/>
                  </w14:solidFill>
                </w14:textFill>
              </w:rPr>
              <w:t xml:space="preserve">供应商综合实力</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供应商具备消防设施工程专业承包</w:t>
            </w:r>
            <w:r>
              <w:rPr>
                <w:rFonts w:hint="eastAsia" w:ascii="宋体" w:hAnsi="宋体" w:cs="宋体"/>
                <w:color w:val="000000" w:themeColor="text1"/>
                <w:szCs w:val="21"/>
                <w:highlight w:val="none"/>
                <w14:textFill>
                  <w14:solidFill>
                    <w14:schemeClr w14:val="tx1"/>
                  </w14:solidFill>
                </w14:textFill>
              </w:rPr>
              <w:t xml:space="preserve">一</w:t>
            </w:r>
            <w:r>
              <w:rPr>
                <w:rFonts w:ascii="宋体" w:hAnsi="宋体" w:cs="宋体"/>
                <w:color w:val="000000" w:themeColor="text1"/>
                <w:szCs w:val="21"/>
                <w:highlight w:val="none"/>
                <w14:textFill>
                  <w14:solidFill>
                    <w14:schemeClr w14:val="tx1"/>
                  </w14:solidFill>
                </w14:textFill>
              </w:rPr>
              <w:t xml:space="preserve">级资质证书的，得2分；供应商具备消防设施工程专业承包</w:t>
            </w:r>
            <w:r>
              <w:rPr>
                <w:rFonts w:hint="eastAsia" w:ascii="宋体" w:hAnsi="宋体" w:cs="宋体"/>
                <w:color w:val="000000" w:themeColor="text1"/>
                <w:szCs w:val="21"/>
                <w:highlight w:val="none"/>
                <w14:textFill>
                  <w14:solidFill>
                    <w14:schemeClr w14:val="tx1"/>
                  </w14:solidFill>
                </w14:textFill>
              </w:rPr>
              <w:t xml:space="preserve">二</w:t>
            </w:r>
            <w:r>
              <w:rPr>
                <w:rFonts w:ascii="宋体" w:hAnsi="宋体" w:cs="宋体"/>
                <w:color w:val="000000" w:themeColor="text1"/>
                <w:szCs w:val="21"/>
                <w:highlight w:val="none"/>
                <w14:textFill>
                  <w14:solidFill>
                    <w14:schemeClr w14:val="tx1"/>
                  </w14:solidFill>
                </w14:textFill>
              </w:rPr>
              <w:t xml:space="preserve">级资质证书的，得1分；</w:t>
            </w:r>
            <w:r/>
          </w:p>
        </w:tc>
        <w:tc>
          <w:tcPr>
            <w:tcW w:w="255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响应文件内需提供有效期内的资质证书及安全生产许可证复印件加盖</w:t>
            </w: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公章</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未提供或提供不全均不得分。</w:t>
            </w:r>
            <w:r/>
          </w:p>
        </w:tc>
      </w:tr>
      <w:tr>
        <w:trPr>
          <w:jc w:val="center"/>
          <w:trHeight w:val="20"/>
        </w:trPr>
        <w:tc>
          <w:tcPr>
            <w:tcW w:w="766"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34" w:type="dxa"/>
            <w:vAlign w:val="center"/>
            <w:vMerge w:val="continue"/>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供应商具备</w:t>
            </w:r>
            <w:r>
              <w:rPr>
                <w:rFonts w:hint="eastAsia" w:ascii="宋体" w:hAnsi="宋体" w:cs="宋体"/>
                <w:color w:val="000000" w:themeColor="text1"/>
                <w:szCs w:val="21"/>
                <w:highlight w:val="none"/>
                <w14:textFill>
                  <w14:solidFill>
                    <w14:schemeClr w14:val="tx1"/>
                  </w14:solidFill>
                </w14:textFill>
              </w:rPr>
              <w:t xml:space="preserve">有效期内的</w:t>
            </w:r>
            <w:r>
              <w:rPr>
                <w:rFonts w:ascii="宋体" w:hAnsi="宋体" w:cs="宋体"/>
                <w:color w:val="000000" w:themeColor="text1"/>
                <w:szCs w:val="21"/>
                <w:highlight w:val="none"/>
                <w14:textFill>
                  <w14:solidFill>
                    <w14:schemeClr w14:val="tx1"/>
                  </w14:solidFill>
                </w14:textFill>
              </w:rPr>
              <w:t xml:space="preserve">质量管理体系认证证书</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环境管理体系认证证书</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职业健康管理体系认证证书的</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每提供1项得2分，最高得6分。</w:t>
            </w:r>
            <w:r/>
          </w:p>
        </w:tc>
        <w:tc>
          <w:tcPr>
            <w:tcW w:w="255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响应文件内需提供证书复印件及在国家认监委官网查询状态为“有效”的截图，加盖</w:t>
            </w: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公章。未提供或提供不全均不得分。</w:t>
            </w:r>
            <w:r/>
          </w:p>
        </w:tc>
      </w:tr>
      <w:tr>
        <w:trPr>
          <w:jc w:val="center"/>
          <w:trHeight w:val="1229"/>
        </w:trPr>
        <w:tc>
          <w:tcPr>
            <w:tcW w:w="766"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W w:w="1134" w:type="dxa"/>
            <w:vAlign w:val="center"/>
            <w:vMerge w:val="restart"/>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项目负责人</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w:t>
            </w:r>
            <w:r>
              <w:rPr>
                <w:rFonts w:ascii="宋体" w:hAnsi="宋体" w:cs="宋体"/>
                <w:color w:val="000000" w:themeColor="text1"/>
                <w:szCs w:val="21"/>
                <w:highlight w:val="none"/>
                <w14:textFill>
                  <w14:solidFill>
                    <w14:schemeClr w14:val="tx1"/>
                  </w14:solidFill>
                </w14:textFill>
              </w:rPr>
              <w:t xml:space="preserve">为本项目配备的项目负责人具有机电专业一级注册建造师注册证书的</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得2分，</w:t>
            </w:r>
            <w:r>
              <w:rPr>
                <w:rFonts w:hint="eastAsia" w:ascii="宋体" w:hAnsi="宋体" w:cs="宋体"/>
                <w:color w:val="000000" w:themeColor="text1"/>
                <w:szCs w:val="21"/>
                <w:highlight w:val="none"/>
                <w14:textFill>
                  <w14:solidFill>
                    <w14:schemeClr w14:val="tx1"/>
                  </w14:solidFill>
                </w14:textFill>
              </w:rPr>
              <w:t xml:space="preserve">具有</w:t>
            </w:r>
            <w:r>
              <w:rPr>
                <w:rFonts w:ascii="宋体" w:hAnsi="宋体" w:cs="宋体"/>
                <w:color w:val="000000" w:themeColor="text1"/>
                <w:szCs w:val="21"/>
                <w:highlight w:val="none"/>
                <w14:textFill>
                  <w14:solidFill>
                    <w14:schemeClr w14:val="tx1"/>
                  </w14:solidFill>
                </w14:textFill>
              </w:rPr>
              <w:t xml:space="preserve">机电专业二级注册建造师注册证书的，得1分。本项最高得2分。</w:t>
            </w:r>
            <w:r/>
          </w:p>
        </w:tc>
        <w:tc>
          <w:tcPr>
            <w:tcW w:w="2552"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响应文件内需提供人员证书原件扫描件及供应商为本项目人员缴纳的近三个月内任意一个月（自开标之日起往前推算）社保证明材料并加盖公章。未提供或提供不全均不得分。</w:t>
            </w:r>
            <w:r/>
          </w:p>
        </w:tc>
      </w:tr>
      <w:tr>
        <w:trPr>
          <w:jc w:val="center"/>
          <w:trHeight w:val="80"/>
        </w:trPr>
        <w:tc>
          <w:tcPr>
            <w:tcW w:w="766"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34" w:type="dxa"/>
            <w:vAlign w:val="center"/>
            <w:vMerge w:val="continue"/>
            <w:textDirection w:val="lrTb"/>
            <w:noWrap w:val="false"/>
          </w:tcPr>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供应商为本项目配备的项目负责人具有</w:t>
            </w:r>
            <w:r>
              <w:rPr>
                <w:rFonts w:hint="eastAsia" w:ascii="宋体" w:hAnsi="宋体" w:cs="宋体"/>
                <w:color w:val="000000" w:themeColor="text1"/>
                <w:szCs w:val="21"/>
                <w:highlight w:val="none"/>
                <w14:textFill>
                  <w14:solidFill>
                    <w14:schemeClr w14:val="tx1"/>
                  </w14:solidFill>
                </w14:textFill>
              </w:rPr>
              <w:t xml:space="preserve">一</w:t>
            </w:r>
            <w:r>
              <w:rPr>
                <w:rFonts w:ascii="宋体" w:hAnsi="宋体" w:cs="宋体"/>
                <w:color w:val="000000" w:themeColor="text1"/>
                <w:szCs w:val="21"/>
                <w:highlight w:val="none"/>
                <w14:textFill>
                  <w14:solidFill>
                    <w14:schemeClr w14:val="tx1"/>
                  </w14:solidFill>
                </w14:textFill>
              </w:rPr>
              <w:t xml:space="preserve">级注册消防工程师证书的</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得2分，</w:t>
            </w:r>
            <w:r>
              <w:rPr>
                <w:rFonts w:hint="eastAsia" w:ascii="宋体" w:hAnsi="宋体" w:cs="宋体"/>
                <w:color w:val="000000" w:themeColor="text1"/>
                <w:szCs w:val="21"/>
                <w:highlight w:val="none"/>
                <w14:textFill>
                  <w14:solidFill>
                    <w14:schemeClr w14:val="tx1"/>
                  </w14:solidFill>
                </w14:textFill>
              </w:rPr>
              <w:t xml:space="preserve">具有二</w:t>
            </w:r>
            <w:r>
              <w:rPr>
                <w:rFonts w:ascii="宋体" w:hAnsi="宋体" w:cs="宋体"/>
                <w:color w:val="000000" w:themeColor="text1"/>
                <w:szCs w:val="21"/>
                <w:highlight w:val="none"/>
                <w14:textFill>
                  <w14:solidFill>
                    <w14:schemeClr w14:val="tx1"/>
                  </w14:solidFill>
                </w14:textFill>
              </w:rPr>
              <w:t xml:space="preserve">级注册消防工程师证书的，得1分。本项最高得2分。</w:t>
            </w:r>
            <w:r/>
          </w:p>
        </w:tc>
        <w:tc>
          <w:tcPr>
            <w:tcW w:w="2552"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80"/>
        </w:trPr>
        <w:tc>
          <w:tcPr>
            <w:tcW w:w="766"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34" w:type="dxa"/>
            <w:vAlign w:val="center"/>
            <w:vMerge w:val="continue"/>
            <w:textDirection w:val="lrTb"/>
            <w:noWrap w:val="false"/>
          </w:tcPr>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供应商为本项目配备的项目负责人具有工程类高级工程师职称证书的</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得2分，</w:t>
            </w:r>
            <w:r>
              <w:rPr>
                <w:rFonts w:hint="eastAsia" w:ascii="宋体" w:hAnsi="宋体" w:cs="宋体"/>
                <w:color w:val="000000" w:themeColor="text1"/>
                <w:szCs w:val="21"/>
                <w:highlight w:val="none"/>
                <w14:textFill>
                  <w14:solidFill>
                    <w14:schemeClr w14:val="tx1"/>
                  </w14:solidFill>
                </w14:textFill>
              </w:rPr>
              <w:t xml:space="preserve">具有</w:t>
            </w:r>
            <w:r>
              <w:rPr>
                <w:rFonts w:ascii="宋体" w:hAnsi="宋体" w:cs="宋体"/>
                <w:color w:val="000000" w:themeColor="text1"/>
                <w:szCs w:val="21"/>
                <w:highlight w:val="none"/>
                <w14:textFill>
                  <w14:solidFill>
                    <w14:schemeClr w14:val="tx1"/>
                  </w14:solidFill>
                </w14:textFill>
              </w:rPr>
              <w:t xml:space="preserve">工程类工程师职称证书的</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得1分。本项最高得2分。</w:t>
            </w:r>
            <w:r/>
          </w:p>
        </w:tc>
        <w:tc>
          <w:tcPr>
            <w:tcW w:w="2552"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121"/>
        </w:trPr>
        <w:tc>
          <w:tcPr>
            <w:tcW w:w="766"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W w:w="1134"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技术负责人</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供应商为本项目配备的技术负责人具有机电专业一级注册建造师注册证书的</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得2分，</w:t>
            </w:r>
            <w:r>
              <w:rPr>
                <w:rFonts w:hint="eastAsia" w:ascii="宋体" w:hAnsi="宋体"/>
                <w:color w:val="000000" w:themeColor="text1"/>
                <w:highlight w:val="none"/>
                <w14:textFill>
                  <w14:solidFill>
                    <w14:schemeClr w14:val="tx1"/>
                  </w14:solidFill>
                </w14:textFill>
              </w:rPr>
              <w:t xml:space="preserve">具有</w:t>
            </w:r>
            <w:r>
              <w:rPr>
                <w:rFonts w:ascii="宋体" w:hAnsi="宋体"/>
                <w:color w:val="000000" w:themeColor="text1"/>
                <w:highlight w:val="none"/>
                <w14:textFill>
                  <w14:solidFill>
                    <w14:schemeClr w14:val="tx1"/>
                  </w14:solidFill>
                </w14:textFill>
              </w:rPr>
              <w:t xml:space="preserve">机电专业二级注册建造师注册证书的，得1分。本项最高得2分。</w:t>
            </w:r>
            <w:r/>
          </w:p>
        </w:tc>
        <w:tc>
          <w:tcPr>
            <w:tcW w:w="2552"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121"/>
        </w:trPr>
        <w:tc>
          <w:tcPr>
            <w:tcW w:w="766"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34"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4961"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供应商为本项目配备的技术负责人具有</w:t>
            </w: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级注册消防工程师证书的</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得2分，</w:t>
            </w:r>
            <w:r>
              <w:rPr>
                <w:rFonts w:hint="eastAsia" w:ascii="宋体" w:hAnsi="宋体"/>
                <w:color w:val="000000" w:themeColor="text1"/>
                <w:highlight w:val="none"/>
                <w14:textFill>
                  <w14:solidFill>
                    <w14:schemeClr w14:val="tx1"/>
                  </w14:solidFill>
                </w14:textFill>
              </w:rPr>
              <w:t xml:space="preserve">具有二</w:t>
            </w:r>
            <w:r>
              <w:rPr>
                <w:rFonts w:ascii="宋体" w:hAnsi="宋体"/>
                <w:color w:val="000000" w:themeColor="text1"/>
                <w:highlight w:val="none"/>
                <w14:textFill>
                  <w14:solidFill>
                    <w14:schemeClr w14:val="tx1"/>
                  </w14:solidFill>
                </w14:textFill>
              </w:rPr>
              <w:t xml:space="preserve">级注册消防工程师证书的，得1分。本项最高得2分。</w:t>
            </w:r>
            <w:r/>
          </w:p>
        </w:tc>
        <w:tc>
          <w:tcPr>
            <w:tcW w:w="2552"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35"/>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W w:w="113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项目组其他人员</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4961"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供应商为本项目配备的项目组其他</w:t>
            </w:r>
            <w:r>
              <w:rPr>
                <w:rFonts w:ascii="宋体" w:hAnsi="宋体" w:cs="宋体"/>
                <w:b w:val="0"/>
                <w:bCs w:val="0"/>
                <w:color w:val="000000" w:themeColor="text1"/>
                <w:szCs w:val="21"/>
                <w:highlight w:val="none"/>
                <w14:textFill>
                  <w14:solidFill>
                    <w14:schemeClr w14:val="tx1"/>
                  </w14:solidFill>
                </w14:textFill>
              </w:rPr>
              <w:t xml:space="preserve">人员(不含项目负责人、技术负责人)具有中级及以上消防设施操作员的，有一人得1分，本项最高得6分。</w:t>
            </w:r>
            <w:r/>
          </w:p>
        </w:tc>
        <w:tc>
          <w:tcPr>
            <w:tcW w:w="2552"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0"/>
        </w:trPr>
        <w:tc>
          <w:tcPr>
            <w:tcW w:w="76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W w:w="113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类似业绩</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4961"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供应商自202</w:t>
            </w: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月1日至今在实施或完成的消防维保服务业绩，每有一个得2分，本项最高得6分。</w:t>
            </w:r>
            <w:r/>
          </w:p>
        </w:tc>
        <w:tc>
          <w:tcPr>
            <w:tcW w:w="255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时间以合同签订时间为准。响应文件内提供合同原件扫描件并加盖供应商公章。未提供或提供不全均不得分。</w:t>
            </w:r>
            <w:r/>
          </w:p>
        </w:tc>
      </w:tr>
      <w:tr>
        <w:trPr>
          <w:jc w:val="center"/>
          <w:trHeight w:val="20"/>
        </w:trPr>
        <w:tc>
          <w:tcPr>
            <w:gridSpan w:val="2"/>
            <w:tcW w:w="190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W w:w="70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gridSpan w:val="2"/>
            <w:tcW w:w="751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firstLine="488"/>
        <w:spacing w:line="360" w:lineRule="auto"/>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r>
      <w:r/>
    </w:p>
    <w:p>
      <w:pPr>
        <w:ind w:firstLine="488"/>
        <w:spacing w:line="360" w:lineRule="auto"/>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注：1.评分细则中要求提供的证明文件及资料等在磋商响应文件中提供并加盖公章，否则不得分。</w:t>
      </w:r>
      <w:r/>
    </w:p>
    <w:p>
      <w:pPr>
        <w:numPr>
          <w:ilvl w:val="0"/>
          <w:numId w:val="6"/>
        </w:numPr>
        <w:ind w:firstLine="488"/>
        <w:spacing w:line="360" w:lineRule="auto"/>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评审时，未能按以上要求提供相应证明的，不作为评审依据，不得分。</w:t>
      </w:r>
      <w:r/>
    </w:p>
    <w:p>
      <w:pPr>
        <w:numPr>
          <w:ilvl w:val="0"/>
          <w:numId w:val="6"/>
        </w:numPr>
        <w:ind w:firstLine="488"/>
        <w:spacing w:line="360" w:lineRule="auto"/>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color w:val="000000" w:themeColor="text1"/>
          <w:spacing w:val="2"/>
          <w:sz w:val="24"/>
          <w:highlight w:val="none"/>
          <w14:textFill>
            <w14:solidFill>
              <w14:schemeClr w14:val="tx1"/>
            </w14:solidFill>
          </w14:textFill>
        </w:rPr>
        <w:t xml:space="preserve">以上所需资料均应真实、有效，如发现投标供应商涉嫌资料造假等，采购人将有权取消其成交资格，并保留进一步追究其法律责任的权利。</w:t>
      </w:r>
      <w:r/>
    </w:p>
    <w:p>
      <w:pPr>
        <w:contextualSpacing/>
        <w:ind w:firstLine="480"/>
        <w:spacing w:line="360" w:lineRule="auto"/>
        <w:rPr>
          <w:rFonts w:hint="eastAsia" w:ascii="宋体" w:hAnsi="宋体" w:cs="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000000" w:themeColor="text1"/>
          <w:sz w:val="24"/>
          <w:highlight w:val="none"/>
          <w14:textFill>
            <w14:solidFill>
              <w14:schemeClr w14:val="tx1"/>
            </w14:solidFill>
          </w14:textFill>
        </w:rPr>
      </w:r>
      <w:r/>
    </w:p>
    <w:p>
      <w:pPr>
        <w:contextualSpacing/>
        <w:ind w:firstLine="723"/>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bookmarkStart w:id="608" w:name="_Toc8874"/>
      <w:r/>
      <w:bookmarkStart w:id="609" w:name="_Toc104818928"/>
      <w:r>
        <w:rPr>
          <w:rFonts w:ascii="宋体" w:hAnsi="宋体"/>
          <w:b/>
          <w:color w:val="000000" w:themeColor="text1"/>
          <w:sz w:val="36"/>
          <w:szCs w:val="36"/>
          <w:highlight w:val="none"/>
          <w14:textFill>
            <w14:solidFill>
              <w14:schemeClr w14:val="tx1"/>
            </w14:solidFill>
          </w14:textFill>
        </w:rPr>
        <w:t xml:space="preserve">第四章   采购需求</w:t>
      </w:r>
      <w:bookmarkEnd w:id="608"/>
      <w:r/>
      <w:bookmarkEnd w:id="609"/>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一、项目概况</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1、项目地点：武进区嘉泽镇嘉新社区，具体根据招标人指定地点。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嘉新社区作为嘉泽镇镇区集中居住点，辖区占地面积430亩，总建筑面积达47.4万平方米，包含嘉泽新苑57幢、大名嘉园33幢、大名北苑8幢，合计98幢公寓房，目前，入住人数7000多人。此外，社区拥有医疗卫生机构1家、学校2所、商铺158家，社区办公及服务用房面积达1000多平方米。</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3、质量要求：符合国家相关质量标准，一次性验收合格。</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4、质量保证及其期限：按国家现行规范。</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5、服务期限：叁年，合同一年一签，每年考核合格后续签下一年合同，考核不合格的，甲方有权终止合同。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6、服务内容：社区内日常消防维护与消防零星维修，具体维修内容及完成时间根据招标人派单执行。</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二、日常消防维护服务内容及要求</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（一）维护服务基本内容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包括但不限于：火灾自动报警及联动控制系统及相关消防设施；电气火灾监控</w:t>
      </w:r>
      <w:r>
        <w:rPr>
          <w:rFonts w:ascii="宋体" w:hAnsi="宋体"/>
          <w:color w:val="000000" w:themeColor="text1"/>
          <w:szCs w:val="21"/>
          <w:highlight w:val="none"/>
          <w14:textFill>
            <w14:solidFill>
              <w14:schemeClr w14:val="tx1"/>
            </w14:solidFill>
          </w14:textFill>
        </w:rPr>
        <w:t xml:space="preserve">系统；可燃气体探测报警系统；消防供水设施；消火栓给水系统及相关消防设施；自动喷水灭火系统及相关消防设施；泡沫灭火系统；气体灭火系统；防排烟系统及相关消防设施；火灾应急照明、疏散指示系统及相关消防设施；应急广播系统；消防专用电话；防火分区系统及相关消防设施；防火门和防火卷帘系统；消防电梯；细水雾灭火系统；干粉灭火系统；灭火器；漏电报警系统；消防供配电设施；其他消防系统及设施等的维护保养。投标人需确保消防设施运转正常，按招标人要求进行消防设施、电气防火技术检测，出具检测报告，并保证所有消防系统通过消防部门检验。</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（二）基本要求：</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1、投标人提供的消防设施维保服务必须能够满足相关规范、规定、省、市消防部门的要求，通过维保服务必须确保消防设施处于正常的工作状态。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本文件技术要求中提出的是最低限度的要求，并未对一切技术细节作出规定，也未充分引述有关标准和规范的条文，投标人提供的服务应符合招标时已颁布的现行中国国家标准和省、市、地方相关标准、规定的有关条文。</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如投标人没有在投标文件的“偏离表”中说明投标服务与本招标文件的技术要求存在差异，则意味投标投标人提供的服务完全符合本招标文件中技术条件的要求；如有差异，都应在投标文件的“偏离表”中说明。</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4、消防维保单位必须保证本项目的消防设备时刻处于良好的工作状态，如发生火灾，消防设备因故障而不能发挥报警、灭火功能，消防维保单位应负全部责任；</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5、消防维保单位的项目负责人要具有丰富的火灾报警系统、气体灭火系统、消防水系统、防排烟系统的安装和调试的工作经验，其他为具有丰富经验的熟练技术工人；</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6、消防维保单位需按照有关规定对本项目的消防设施和设备进行定期和不定期检测，每月书面向采购方提交检测报告和相关检测数据表格，对于发现的问题及时书面提出整改意见，并积极配合采购方进行整改。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7、消防维保单位需积极配合参与定期组织的小区消防演习，积极配合采购方宣传本项目的消防安全守则，不断增加小区居民的消防意识和消防知识。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8、维修人员要服从物业管理公司有关部门的指挥和管理；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9、维修工具、图纸及技术资料的复印费由维保单位支付；</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10、按消防局的要求填写设备检测记录。</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（三）消防维保单位的职责：</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1.具备消防设施维修保养的相应资质、资格，依照法律法规、技术标准和执业准则，开展建筑消防设施保养技术服务活动，对维修保养质量负责。</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2.根据维修保养对象的具体情况，拟定具体的维修保养方案，明确项目负责人，至少指定2名以上执业人员负责实施。执业人员维修保养时应当认真如实填写维修保养记录。</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3、按照《建筑消防设施的维护管理》（GB 25201）等消防技术标准规定的内容、程序、周期等要求，对合同约定范围内的建筑消防设施开展检查、维修、保养、测试等技术服务。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4、每年对承担维修保养的建筑消防设施按招标要求进行全面检查测试。年度检查测试报告应当按规定送达采购方。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5、在巡查、巡检中发现建筑消防设施存在问题、故障，或接到采购方通知要求维修的，能够当场修复的应当立即修复解决；没有条件立即修复解决的，应当在24小时内组织维修，尽快排除故障。</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6、对故障零部件提供临时备件，保障消防设施能够在紧急状态下发挥作用；对故障零部件确需更换的，向采购方提出建议，并出示更换部件报废证明。</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7、对采购方值班或者管理人员进行专业技术指导。</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（四）服务主要内容：</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火灾自动报警及联动控制系统及相关消防设施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1、对火灾报警系统作定期检查和试验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（1）每月检查火灾报警控制器自检功能、消音复位功能、故障报警功能、火灾记忆功能和主备电源自动转换功能。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（2）每月检查消防控制室或消防值班室工作环境以及火灾报警控制器、联动控制器、层显（或区域控制器）、探测器、手动报警按钮等是否处于正常完好状态。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（3）每月检查本系统的值班记录，做好维护保养的记录。</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（4）每月检查下列功能：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a、采用检测设备分期分批实验探测器的工作情况，检测数量不少于总数的10%。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b、实验手动报警按钮报警功能，抽检数量不少于总数的10%。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c、自动或手动实验相关联动控制设备控制和显示功能，抽检数量不少于总数的10%。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d、对水流指示器，通过自动喷水灭火系统管道末端放水试验，测试其报警功能，抽检数量不少于总数的20%。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e、对消防电话插孔和对讲电话，按实际安装数量的30%进行通话试验。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f、结合上述各分项试验，测试消防主控屏的报警、故障显示、消音、复位、火灾记忆功能，并进行消防主电源和备用电源的自动切换模拟试验和充放电实验，对非消防电源切换、紧急广播、消防泵等设备的联动进行模拟试验。每年对备用电源进行1-2次充放电试验，1-3次主电源和备用电源自动切换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2、对消防系统联动设备作定期检查和试验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a.每年对防排烟设备、防火卷帘门等控制设备做消防联动试验两次。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b.每年对火灾事故广播进行消防联动试验两次。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c.每年对电梯进行强制停于首层消防联动试验两次。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d.每年对消防通讯设备在消防控制室进行对讲通话试验两次。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e.每年进行强制切断非消防电源消防联动试验两次。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3、对火灾自动报警系统控制线路及联动线路的故障进行维修。</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4、对火灾自动报警系统的故障进行维修。</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5、对火灾自动报警系统的消防通讯线路、消防主机电源检查及消防主机接地线路的故障的检查及维修。</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消火栓灭火系统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1、每月检查消防泵房工作环境及消防泵、稳压设备、蝶阀、闸阀、止回阀、水泵接合器、储水设备等是否处于正常完好状态。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2、每季度检查功能：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a、启动消防泵，当消防水泵为自动控制启动时，应模拟自动控制的条件进行启动，测试管网阀门的严密性能。有主备泵时，应同时实验主、备泵的供水情况。</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b、实验远距离启泵按钮启动消防泵，抽检数量不少于总数的20%。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c、屋顶消火栓出水，检查管网压力和水质。</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对于系统日常运行过程中损坏、短缺的本系统的控制部件，以及在系统功能测试过程中确定为不合要求的控制部件，由本公司负责向业主提出书面报告，能维修的本公司将负责维修，需要更换的则在得到业主确认购买的前提下予以更换。</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自动喷水灭火系统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1、每月对水源控制阀、报警阀组进行检查，保证系统各种阀门处于工作状态。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2、每月对喷淋水泵进行启动运转试验一次。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3、每月对电磁阀作启动试验一次，动作失常时马上通知甲方并及时更换。</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4、每月对喷头进行外观检查，发现有不正常的喷头及时更换，当喷头上有异物时及时清除。</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5、每季度对湿式报警阀旁的放水试验阀进行泄水试验，验证湿式报警阀的供水能力。</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6、每半年利用末端试水装置对水流指示器进行试验。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7、每年对水泵接合器的接口及附件进行检查并进行维保。</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8、每年对消防水池，消防水箱及消防气压给水设备的消防储水位及消防气压给水设备的压力进行检查，发现问题及时处理。</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防火分隔系统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1、每周检查木质防火门、防火卷帘门、电动防火门等的完好情况，发现问题及时维保并通报甲方。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2、每季度手动或自动启停防火卷帘门、电动防火门试验并检查其性能，发现问题及时维保并通报甲方。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a、试验自动方式启动防火门、防火卷帘门。抽检数量不少于总数的30%。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b、用手动按钮启动防火卷帘门，抽检数不少于总数的30%。</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消火栓给水系统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1、每月对消防泵进行启动运转试验，并对消防泵进行消火栓按钮联动启泵试验。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2、每月对系统上所有的控制阀门进行检查，保证控制阀门处于正常工作状态。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3、每月对消火栓进行检查，发现问题及时处理。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4、每季度对最不利点消火栓进行静压压力试验。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5、每半年对室内消火栓箱内的水枪、水带等设备进行检查，发现问题及时处理并通报甲方。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6、每年对水泵接合器的接口及附件进行检查。</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7、每年抽查消火栓的出水情况对重点部位的消火栓每年进行出水检查。</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火灾应急照明、疏散指示系统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1、每周检查安全出口、疏散通道、重要场所的应急照明和疏散指示标志是否处于正常完好使用状态。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2、每月试验应急照明灯和疏散指示灯切断电源后是否能正常工作，抽检数量不少于总数的20%。</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消防通讯事故广播系统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1、每月检查电话插孔、重要场所的对讲电话、播音设备、扬声器等是否处于正常完好状态。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2、每年度检查下列功能：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a、试验电话插孔和对讲电话的通话质量，抽检数量不少于总数的30%。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b、试验选层广播、抽检数量不少于总数的30%。</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c、试验从背景音乐状态下强切至事故应急广播状态的功能。</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防排烟系统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1、每周检查送风、排烟机房工作环境以及送风机、排烟机、电源控制柜、送风阀、排烟阀等是否处于正常完好状态。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2、每半年手动或自动打开排烟阀、启/停送风机、排烟机查看其性能。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3、每半年手动或自动方式关闭空调通风系统、电动防火阀试验，检查其性能。</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其它消防设施系统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1、每季度检查干粉灭火器的压力、重量、有效期等。必要时做喷射试验。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2、每月检查集水坑排设备、自救逃生设备，消防电源及自动切换设备是否处于正常完好状态。</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3、每季度试验消防电源末端的切换功能。</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（五）服务要求：</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1、投标人的所有人员，必须服从采购方指定的管理部门合理正确的管理和指示，并对采购方设备管理人员进行设备日常运行使用维护的知识进行指导。</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（1）维修人员须服从采购方指定的监管人员的调度、监督。如不服从，采购方可以酌情罚款并延期支付维保费。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（2）采购方的消防管理员参与投标人对维修人员的考核。</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（3）做好消防维修记录，由报修部门验收签字后交相关部门。</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投标人应保证消防维保服务人员持证上岗，应保证采购方全部消防报警、火灾联动系统等消防设施设备能正常运行，全部消防设施均达到要求消防部门要求。一旦系统发生故障，投标人应在接到采购方通知后2个小时内派人修理，如有特殊情况不能及时进行修理的，需得到采购方同意。</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投标人每个月安排一至二天，对消防报警系统进行全面巡检、维保一次，并书面将巡检、维保等记录递交给采购方签字，以利于采购方对投标人的维保质量进行监督。节假日前投标人应配合采购方安排一次安全检查。</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4、采购方需小范围拆、装、移消防系统的某些部位时，投标人负责管线安装和拆除工作，并做好书面记录交采购方。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在合同期内发现设施设备损坏，投标人应及时修复，如需要换设施设备，投标人应提供故障设施设备清单，报采购方审核后更换。维保过程中，所有耗材或设施设备的更换费用不超出年底合同价10%的设施设备更换费用由投标人承担。即投标人免费承担合同价10%（含10%）以内的消防维保耗材和消防设施设备更换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6、所有维保设备完好率要通过采购方考核，涉及更换配件的设备应有一定质保期，在该更换配件质保期内再次发生故障由投标人免费修复或更换。</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检修时产生的任何垃圾、废料由投标人负责清理至采购方指定的区域以及投标人的施工工具、器具由投标人负责整理。维修过程中高空作业有一定的危险性，投标人在标书中应参照《中华人民共和国公共安全行业标准》制定详细的安全施工计划书和岗位职责，做好相应防护措施，在施工中应严格按相关规定执行，如有施工安全问题，由此引发的损失及责任全部由投标人自行承担。投标人维修人员在工作过程中，某种观点若产生歧义，达不成一致意见的，应及时向领导报告，不可激化矛盾。</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8、投标人若在服务过程对原建筑或原成品产生破坏，该投标人要负责修补复原。</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9、在发生火灾时，由于消防设施设备或线路不能工作，投标人应承担相应责任。</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10、烟温感探头按照国家规范“烟温感探头投入使用一年后应每隔两年清洗一次”的要求清洗，清洗费用由投标人承担。</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11、每年投标人应对采购方全部消防设施进行一次全面检测，并出具年检合格报告给采购方，检测费用由投标人承担。如投标人出具的年检合格报告弄虚作假，一切后果及相关责任由投标人承担。</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12、双方共同遵守不向第三方透露与本合同有关的资料及文档的承诺。</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13、投标人应严格遵守采购方的规章制度，并严格遵守施工现场的安全管理规定。</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14、投标人在维保过程中的所有安全责任由投标人承担。</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15、其他明确事项：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投标人必须根据招标文件提供各项管理标准，岗位职责及工作程序，自查考核和服务承诺；必须遵守GB25201《建筑消防设施的维护管理》和常州消防支队发布的《建筑消防设施维护保养服务规程》，嘉泽镇人民政府各项制度和管理规定，并服从常州市武进区嘉泽镇人民政府的管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投标人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（3）投标人根据采购方考核细则要与消防维保服务费结算挂钩。</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（4）投标人要根据考核细则开展经常性自查，并主动接受嘉泽镇人民政府职能部门的日常管理检查和考核。</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（5）检查中发现轻微差错限期整改，严重差错将与服务费用结算挂钩。</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投标人提供给采购方具有合理人员配置组织机构；要明确说明工作人员数量、工作内容和标准等，提供项目配置人员表、拟委派的消防维保服务项目负责人的情况简介及项目经历，其他骨干人员工作简历及项目经历、消防维保从业人员的数量、专业分工、专业配备、专业技能要求、年龄构成、培训计划及内容、上岗标准等，表格自制。</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16、投标人应在开标前到采购人处实地勘察，以充分了解设备的安装环境。</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17、投标价格含消防年检费、消防维保人工费、维修费、保养费、安装费、利润、税金、及按合同应承担的合同价10%（含10%）以内消防维保耗材和消防设施设备更换费等所有消防维保费用。</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（六）消防维保考核标准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为了规范消防维修保养工作，提高消防维保的工作质量，防止消防安全事故的发生，根据《消防维保合同》及其它相关规定，制定本方法。</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1、考核时间：每月考核一次</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2、考核标准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（1）消防维保考核由维保完成情况（70分）、对突发故障的处理（20分）、遵守各项管理规定情况（10）三部分组成，总分100分。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（2）根据考核细则每扣一分相应扣除维保金的1%，考核分值低于80分（含80分）时采购方有权解除维保合同。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3、考核细则</w:t>
      </w:r>
      <w:r/>
    </w:p>
    <w:p>
      <w:pPr>
        <w:ind w:firstLine="422"/>
        <w:jc w:val="center"/>
        <w:spacing w:line="360" w:lineRule="auto"/>
        <w:widowControl/>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消防维保单位考核细则</w:t>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考核时间：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日</w:t>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考核人：</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2194"/>
        <w:gridCol w:w="731"/>
        <w:gridCol w:w="3396"/>
        <w:gridCol w:w="527"/>
      </w:tblGrid>
      <w:tr>
        <w:trPr>
          <w:jc w:val="center"/>
        </w:trPr>
        <w:tc>
          <w:tcPr>
            <w:tcW w:w="1463"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b/>
                <w:color w:val="000000" w:themeColor="text1"/>
                <w:szCs w:val="21"/>
                <w:highlight w:val="none"/>
                <w:lang w:eastAsia="en-US"/>
                <w14:textFill>
                  <w14:solidFill>
                    <w14:schemeClr w14:val="tx1"/>
                  </w14:solidFill>
                </w14:textFill>
              </w:rPr>
              <w:t xml:space="preserve">名称类型</w:t>
            </w:r>
            <w:r/>
          </w:p>
        </w:tc>
        <w:tc>
          <w:tcPr>
            <w:tcW w:w="2194"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b/>
                <w:color w:val="000000" w:themeColor="text1"/>
                <w:szCs w:val="21"/>
                <w:highlight w:val="none"/>
                <w:lang w:eastAsia="en-US"/>
                <w14:textFill>
                  <w14:solidFill>
                    <w14:schemeClr w14:val="tx1"/>
                  </w14:solidFill>
                </w14:textFill>
              </w:rPr>
              <w:t xml:space="preserve">考核项目</w:t>
            </w:r>
            <w:r/>
          </w:p>
        </w:tc>
        <w:tc>
          <w:tcPr>
            <w:tcW w:w="731"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b/>
                <w:color w:val="000000" w:themeColor="text1"/>
                <w:szCs w:val="21"/>
                <w:highlight w:val="none"/>
                <w:lang w:eastAsia="en-US"/>
                <w14:textFill>
                  <w14:solidFill>
                    <w14:schemeClr w14:val="tx1"/>
                  </w14:solidFill>
                </w14:textFill>
              </w:rPr>
              <w:t xml:space="preserve">分值</w:t>
            </w:r>
            <w:r/>
          </w:p>
        </w:tc>
        <w:tc>
          <w:tcPr>
            <w:tcW w:w="3396"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b/>
                <w:color w:val="000000" w:themeColor="text1"/>
                <w:szCs w:val="21"/>
                <w:highlight w:val="none"/>
                <w:lang w:eastAsia="en-US"/>
                <w14:textFill>
                  <w14:solidFill>
                    <w14:schemeClr w14:val="tx1"/>
                  </w14:solidFill>
                </w14:textFill>
              </w:rPr>
              <w:t xml:space="preserve">考核标准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b/>
                <w:color w:val="000000" w:themeColor="text1"/>
                <w:szCs w:val="21"/>
                <w:highlight w:val="none"/>
                <w:lang w:eastAsia="en-US"/>
                <w14:textFill>
                  <w14:solidFill>
                    <w14:schemeClr w14:val="tx1"/>
                  </w14:solidFill>
                </w14:textFill>
              </w:rPr>
              <w:t xml:space="preserve">备注</w:t>
            </w:r>
            <w:r/>
          </w:p>
        </w:tc>
      </w:tr>
      <w:tr>
        <w:trPr>
          <w:jc w:val="center"/>
        </w:trPr>
        <w:tc>
          <w:tcPr>
            <w:tcW w:w="1463"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一、维保项目完成情况</w:t>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1、是否按照工作计划完成日常、周、月、季度、年度维护保养</w:t>
            </w:r>
            <w:r/>
          </w:p>
        </w:tc>
        <w:tc>
          <w:tcPr>
            <w:tcW w:w="731"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70</w:t>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1、应按照维保工作计划定时完成维保项目；2、漏检每一大项扣5—10分，漏检每一小项扣0.5—1分；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2、维护保养完成的质量</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1、设备运行是否良好，因维保不到位致使设备出现故障的，乙方承担形影费用和责任，并扣2—5分；2、电器类设备是否符合卫生标准和要求，不达标的扣1分；3、设备无锈蚀，不达标扣2分；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3、维护保养记录登记备案</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1、是否按要求每次维修完毕和维保完毕出具维修、维保工作报告，报告应一式二分，中控室和乙方单位各一份，工作报告应由消防经理签字。</w:t>
            </w:r>
            <w:r>
              <w:rPr>
                <w:rFonts w:ascii="宋体" w:hAnsi="宋体" w:eastAsia="宋体"/>
                <w:color w:val="000000" w:themeColor="text1"/>
                <w:szCs w:val="21"/>
                <w:highlight w:val="none"/>
                <w:lang w:eastAsia="en-US"/>
                <w14:textFill>
                  <w14:solidFill>
                    <w14:schemeClr w14:val="tx1"/>
                  </w14:solidFill>
                </w14:textFill>
              </w:rPr>
              <w:t xml:space="preserve">不符合标准扣1分。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r>
      <w:tr>
        <w:trPr>
          <w:jc w:val="center"/>
        </w:trPr>
        <w:tc>
          <w:tcPr>
            <w:tcW w:w="1463"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二、对突发事件的处理</w:t>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1、接到报修电话2小时内到达现场进行维修，并提出解决方案</w:t>
            </w:r>
            <w:r/>
          </w:p>
        </w:tc>
        <w:tc>
          <w:tcPr>
            <w:tcW w:w="731"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20</w:t>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未按要求时间进入现场维修的扣5分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2、采取相应的措施，确保消防安全和减少故障造成的相应损失</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未能采取安全措施致使发生消防安全事故的和严重造成财产损失的乙方应承担相应的责任并扣10—20分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3、不能及时解决的故障，是否采取相应的措施，并在三日内恢复设备正常运行</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未能及时排除故障，消防设备无法长时间正常运行的扣10—20分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三、遵守小区各项管理规定</w:t>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1、维保作业人员应取得相应的作业资格证</w:t>
            </w:r>
            <w:r/>
          </w:p>
        </w:tc>
        <w:tc>
          <w:tcPr>
            <w:tcW w:w="731" w:type="dxa"/>
            <w:vAlign w:val="center"/>
            <w:vMerge w:val="restart"/>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10</w:t>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无证作业一次扣5分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2、维修、维保作业严格执行操作规范</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不按规范进行作业的扣5分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3、按规定着装及其他相关规定</w:t>
            </w:r>
            <w:r/>
          </w:p>
        </w:tc>
        <w:tc>
          <w:tcPr>
            <w:tcW w:w="731" w:type="dxa"/>
            <w:vAlign w:val="center"/>
            <w:vMerge w:val="continue"/>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不按规定着装及不遵守其他相关规定的扣2分</w:t>
            </w:r>
            <w:r/>
          </w:p>
        </w:tc>
        <w:tc>
          <w:tcPr>
            <w:tcW w:w="527" w:type="dxa"/>
            <w:vAlign w:val="center"/>
            <w:textDirection w:val="lrTb"/>
            <w:noWrap w:val="false"/>
          </w:tcPr>
          <w:p>
            <w:pPr>
              <w:jc w:val="center"/>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bl>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三、消防维修部分服务内容</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（一）维修部分基本内容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包括但不限于：火灾自动报警及联动控制系统及相关消防设施；电气火灾监控系统；可燃气体探测报警系统；消防供水设施；消火栓给水系统及相关消防设施；自动喷水灭火系统及相关消防设施；泡沫灭火系统；气体灭火系统；防排烟系统及相关消防设施；火灾应急照明、疏散指示系统及相关消防设施；应急广播系统；消防专用电话；防火分区系统及相关消防设施；防火门和防火卷帘系统；消防电梯；细水雾灭火系统；干粉灭火系统；灭火器；漏电报警系统；消防供配电设施；其他消防系统及设施等零星工程进行维修。</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（二）服务要求</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1、在合同期间，招标人有权根据维修任务量大小、质量维修情况的及时性、特殊情况来进行相应调整，中标人必须无条件接受。</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2、在合同期间，招标人认为维修材料需要更换的，中标人须无条件接受更换。</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3、施工现场需要放置警示措施的，应放置警示措施；如由于中标人原因在施工过程中造成施工区域、行人发生损害的，由中标人自行负责。</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4、中标人须配备3</w:t>
      </w:r>
      <w:r>
        <w:rPr>
          <w:rFonts w:hint="eastAsia" w:ascii="宋体" w:hAnsi="宋体"/>
          <w:color w:val="000000" w:themeColor="text1"/>
          <w:szCs w:val="21"/>
          <w:highlight w:val="none"/>
          <w14:textFill>
            <w14:solidFill>
              <w14:schemeClr w14:val="tx1"/>
            </w14:solidFill>
          </w14:textFill>
        </w:rPr>
        <w:t xml:space="preserve">到</w:t>
      </w:r>
      <w:r>
        <w:rPr>
          <w:rFonts w:ascii="宋体" w:hAnsi="宋体"/>
          <w:color w:val="000000" w:themeColor="text1"/>
          <w:szCs w:val="21"/>
          <w:highlight w:val="none"/>
          <w14:textFill>
            <w14:solidFill>
              <w14:schemeClr w14:val="tx1"/>
            </w14:solidFill>
          </w14:textFill>
        </w:rPr>
        <w:t xml:space="preserve">4人随时待命。</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（三）维修时限要求</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1、招标人安排维修计划均需在要求时间内完成。如果中标人在服务过程连续三次未按派单要求时间内完成，招标人有权解除合同，并不免除中标人应支付的违约金。</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2、招标人发出的派单中标人必须按要求及时全面的执行，否则按500元/次向招标人支付违约金。在接到招标人通知后半小时内响应，4小时内需到场进行维修。由于施工单位原因引起延误，每延误24小时罚500元/天。</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若由施工造成的维修质量问题，采购方应书面通知中标人并约定时间进行整改。中标人未按时间及时维修，采购方有权扣除维修费1000-2000元/次作为中标人向采购方支付的违约金。如果中标人在服务过程连续三次未按要求整改，采购方有权解除合同，并不免除中标人应支付的违约金。</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4、招标人下达的抢修任务，中标人均需在规定时限内进行安排实施。</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5、招标人安排的突击整治等工作，均需按要求时限完成。</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6、招标人有权根据上级要求适时调整维修期限，中标人必须无条件服从。</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中标人不按招标人关于工程质量、工程维修进度等要求施工维修的，在经过招标人一次书面警告后，仍不能按招标人要求进行维修施工时，招标人有权终止中标人的维修施工权，并有权安排其他施工维修单位接手中标人的施工维修工程，中标人按中止施工前的工程量进行结算。</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（四）安全、文明施工</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1、执行国家有关安全施工的规定，建立健全安全保证体系。</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2、对施工操作人员进行安全教育，使施工人员对所使用的材料性能及安全措施有较全面的了解，并在操作中严格执行劳动保护制度。</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3、高空作业时，必须佩带安全帽，系好安全绳，禁止酒后作业。</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4、施工范围应做到工完、料尽、场地清。</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5、建立完善的施工现场安全组织结构，明确岗位、职责，在施工中出现的一切安全事故，由中标人自行解决，并承担由此产生的一切责任。</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（五）采用的主要技术规范</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本项目依据《建设工程工程量清</w:t>
      </w:r>
      <w:r>
        <w:rPr>
          <w:rFonts w:hint="eastAsia" w:ascii="宋体" w:hAnsi="宋体"/>
          <w:color w:val="000000" w:themeColor="text1"/>
          <w:szCs w:val="21"/>
          <w:highlight w:val="none"/>
          <w14:textFill>
            <w14:solidFill>
              <w14:schemeClr w14:val="tx1"/>
            </w14:solidFill>
          </w14:textFill>
        </w:rPr>
        <w:t xml:space="preserve">单计价标准》（GB/T50500-2024）及《房屋建筑与装饰工程工程量计算标准》（GB/T50854-2024）、《仿古建筑工程工程量计算标准》（GB/T50855-2024）、《通用安装工程工程量计算标准》（GB/T50856-2024）、《市政工程工程量计算标准》（GB/T50857-2024）、《园林绿化工程工程量计算标准》（GB/T50858-2024）等9本工程量计算标准，《江苏省建筑与装饰工程消耗量》《江苏省市政工程消耗量》《江苏省通用安装工程消耗量》《江苏省建设工程费用参考》及《江苏建设工程</w:t>
      </w:r>
      <w:r>
        <w:rPr>
          <w:rFonts w:hint="eastAsia" w:ascii="宋体" w:hAnsi="宋体"/>
          <w:color w:val="000000" w:themeColor="text1"/>
          <w:szCs w:val="21"/>
          <w:highlight w:val="none"/>
          <w14:textFill>
            <w14:solidFill>
              <w14:schemeClr w14:val="tx1"/>
            </w14:solidFill>
          </w14:textFill>
        </w:rPr>
        <w:t xml:space="preserve">施工机具台班费用参考表》（苏建价〔2026〕76号），《江苏省建设工程费用组成规则》（省住房和城乡建设厅公告〔2025〕第12号），省住房和城乡建设厅《关于实施〈建设工程工程量清单计价标准〉（GB/T50500-2024）及9本工程量计算标准有关事宜的公告》（省厅公告〔2025〕第12号），《省住房城乡建设厅关于建筑业实施营改增后江苏省建设工程计价依据调整的通知》（苏建价〔2016〕154号），《省住房城乡建设厅关于建筑业增值税计价政策调整的通知》（苏建函价〔2018〕298号）等规范、文件和要求进行计价。</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用于本工程的所有材料、设备必须符合有关规范、规定的质量要求。且所有材料及设备的品牌、规格型号、色号、产地、生产产家、参数、性能、价格等均须征求采购单位同意。即中标人对用于本工程的所有材料及设备的品牌、规格型号、色号、产地、生产产家、参数、性能、价格等负责。</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以上相关法规规范，若有更新，均以最新版为准。</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2、对材料的质量、试验及施工工艺的要求</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按国家、省、市现行文件和标准规定。</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3、市现行文件和标准规定。</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四、消防维保维护验收</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1、验收依据：《建筑消防设施的维护管理》（GB25201-2010）、《建筑消防设施维护保养规程》（DB32/T 4696-2024）、常州消防支队发布的《建筑消防设施维护保养服务规程》。</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2、合格依据：乙方出具消防年检合格报告并通过甲方所在地消防主管部门消防检查验收。</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五、报价方式</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投标报价为固定折扣率，投标总价应包括但不限于招标文件及其准备(包括现场踏勘、技术核对等)、按招标人要求实施和完成本工程所需人工费、材料费、机械费、企业管理费、利润、措施项目费、规费及税金、质保期及维保服务和招标文件所要求的相关服务等全部内容等，同时应考虑承担合同所示责任、义务和一般风险，以及可能因工程量的调整及实施项目的变更而引起的价格调整风险。招标文件未列明，而供应商认为必需的费用也需列入报价，后期不再调整，招标人不再支付其他任何费用。</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2、本项目</w:t>
      </w:r>
      <w:r>
        <w:rPr>
          <w:rFonts w:hint="eastAsia" w:ascii="宋体" w:hAnsi="宋体"/>
          <w:color w:val="000000" w:themeColor="text1"/>
          <w:szCs w:val="21"/>
          <w:highlight w:val="none"/>
          <w:lang w:val="en-US" w:eastAsia="zh-CN"/>
          <w14:textFill>
            <w14:solidFill>
              <w14:schemeClr w14:val="tx1"/>
            </w14:solidFill>
          </w14:textFill>
        </w:rPr>
        <w:t xml:space="preserve">优惠</w:t>
      </w:r>
      <w:r>
        <w:rPr>
          <w:rFonts w:ascii="宋体" w:hAnsi="宋体"/>
          <w:color w:val="000000" w:themeColor="text1"/>
          <w:szCs w:val="21"/>
          <w:highlight w:val="none"/>
          <w14:textFill>
            <w14:solidFill>
              <w14:schemeClr w14:val="tx1"/>
            </w14:solidFill>
          </w14:textFill>
        </w:rPr>
        <w:t xml:space="preserve">率最</w:t>
      </w:r>
      <w:r>
        <w:rPr>
          <w:rFonts w:hint="eastAsia" w:ascii="宋体" w:hAnsi="宋体"/>
          <w:color w:val="000000" w:themeColor="text1"/>
          <w:szCs w:val="21"/>
          <w:highlight w:val="none"/>
          <w:lang w:val="en-US" w:eastAsia="zh-CN"/>
          <w14:textFill>
            <w14:solidFill>
              <w14:schemeClr w14:val="tx1"/>
            </w14:solidFill>
          </w14:textFill>
        </w:rPr>
        <w:t xml:space="preserve">低</w:t>
      </w:r>
      <w:r>
        <w:rPr>
          <w:rFonts w:ascii="宋体" w:hAnsi="宋体"/>
          <w:color w:val="000000" w:themeColor="text1"/>
          <w:szCs w:val="21"/>
          <w:highlight w:val="none"/>
          <w14:textFill>
            <w14:solidFill>
              <w14:schemeClr w14:val="tx1"/>
            </w14:solidFill>
          </w14:textFill>
        </w:rPr>
        <w:t xml:space="preserve">为</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en-US" w:eastAsia="zh-CN"/>
          <w14:textFill>
            <w14:solidFill>
              <w14:schemeClr w14:val="tx1"/>
            </w14:solidFill>
          </w14:textFill>
        </w:rPr>
        <w:t xml:space="preserve">优惠</w:t>
      </w:r>
      <w:r>
        <w:rPr>
          <w:rFonts w:ascii="宋体" w:hAnsi="宋体"/>
          <w:color w:val="000000" w:themeColor="text1"/>
          <w:szCs w:val="21"/>
          <w:highlight w:val="none"/>
          <w14:textFill>
            <w14:solidFill>
              <w14:schemeClr w14:val="tx1"/>
            </w14:solidFill>
          </w14:textFill>
        </w:rPr>
        <w:t xml:space="preserve">率</w:t>
      </w:r>
      <w:r>
        <w:rPr>
          <w:rFonts w:hint="eastAsia" w:ascii="宋体" w:hAnsi="宋体"/>
          <w:color w:val="000000" w:themeColor="text1"/>
          <w:szCs w:val="21"/>
          <w:highlight w:val="none"/>
          <w:lang w:val="en-US" w:eastAsia="zh-CN"/>
          <w14:textFill>
            <w14:solidFill>
              <w14:schemeClr w14:val="tx1"/>
            </w14:solidFill>
          </w14:textFill>
        </w:rPr>
        <w:t xml:space="preserve">低</w:t>
      </w:r>
      <w:r>
        <w:rPr>
          <w:rFonts w:ascii="宋体" w:hAnsi="宋体"/>
          <w:color w:val="000000" w:themeColor="text1"/>
          <w:szCs w:val="21"/>
          <w:highlight w:val="none"/>
          <w14:textFill>
            <w14:solidFill>
              <w14:schemeClr w14:val="tx1"/>
            </w14:solidFill>
          </w14:textFill>
        </w:rPr>
        <w:t xml:space="preserve">于最</w:t>
      </w:r>
      <w:r>
        <w:rPr>
          <w:rFonts w:hint="eastAsia" w:ascii="宋体" w:hAnsi="宋体"/>
          <w:color w:val="000000" w:themeColor="text1"/>
          <w:szCs w:val="21"/>
          <w:highlight w:val="none"/>
          <w:lang w:val="en-US" w:eastAsia="zh-CN"/>
          <w14:textFill>
            <w14:solidFill>
              <w14:schemeClr w14:val="tx1"/>
            </w14:solidFill>
          </w14:textFill>
        </w:rPr>
        <w:t xml:space="preserve">低优惠</w:t>
      </w:r>
      <w:r>
        <w:rPr>
          <w:rFonts w:ascii="宋体" w:hAnsi="宋体"/>
          <w:color w:val="000000" w:themeColor="text1"/>
          <w:szCs w:val="21"/>
          <w:highlight w:val="none"/>
          <w14:textFill>
            <w14:solidFill>
              <w14:schemeClr w14:val="tx1"/>
            </w14:solidFill>
          </w14:textFill>
        </w:rPr>
        <w:t xml:space="preserve">率的作为无效投</w:t>
      </w:r>
      <w:r>
        <w:rPr>
          <w:rFonts w:hint="eastAsia" w:ascii="宋体" w:hAnsi="宋体"/>
          <w:color w:val="000000" w:themeColor="text1"/>
          <w:szCs w:val="21"/>
          <w:highlight w:val="none"/>
          <w:lang w:val="en-US" w:eastAsia="zh-CN"/>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处理。</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六、结算原则</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1、本项目费用由消防维护费与消防零星工程维修费两部分组成，其中消防维护费为总价包干价，基准价为9万元/年；消防零星工程维修费为按实计取经审计后确定。</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消防维护费=9万元/年×中标折扣率，此费用为总价包干，含消防年检费、消防维保人工费、维修费、保养费、安装费、利润、税金、及按合同应承担的合同价10%（含10%）以内消防维保耗材和消防设施设备更换费等所有消防维保费用。</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3、消防零星工程维修费结算原则：</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（1）工程量：根据派单内容，建设单位、监理、跟踪审计、施工方等签字确认的签证单计量，最终以审计确认的工程量进行结算；</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（2）定额套用优选顺序：</w:t>
      </w:r>
      <w:r>
        <w:rPr>
          <w:rFonts w:ascii="宋体" w:hAnsi="宋体"/>
          <w:color w:val="000000" w:themeColor="text1"/>
          <w:szCs w:val="21"/>
          <w:highlight w:val="none"/>
          <w14:textFill>
            <w14:solidFill>
              <w14:schemeClr w14:val="tx1"/>
            </w14:solidFill>
          </w14:textFill>
        </w:rPr>
        <w:t xml:space="preserve">《建设工程工程量清单计价标准》(GB/T505</w:t>
      </w:r>
      <w:r>
        <w:rPr>
          <w:rFonts w:ascii="宋体" w:hAnsi="宋体"/>
          <w:color w:val="000000" w:themeColor="text1"/>
          <w:szCs w:val="21"/>
          <w:highlight w:val="none"/>
          <w14:textFill>
            <w14:solidFill>
              <w14:schemeClr w14:val="tx1"/>
            </w14:solidFill>
          </w14:textFill>
        </w:rPr>
        <w:t xml:space="preserve">00-2024)、《江苏省建设工程费用组成规则》、《江苏省建设工程费用参考》（苏建价〔2026〕76 号）、《江苏省市政工程消耗量（2026）》、《江苏省建筑与装饰工程消耗量（2026）》、《江苏省通用安装工程消耗量（2026）》；配套国标工程量计算标准：《房屋建筑与装饰工程工程量计算标准》（GB/T50854-2024）、《通用安装工程工程量计算标准》（GB/T50856-2024）、《市政工程工程量计算标准》（GB/T50857-2024）、《园林绿化工程工程量计算标准》（GB/T50858-2024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《江苏省园林绿化工程计价表（2007）》及相关配套文件等规范</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（3）人工费（包括点工）计取：按施工期间江苏省住房和城乡建设厅发布的建设工程人工价格指数（苏建价〔2025〕57号）及市场价格执行；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（4）材料价格：按年度服务期内每季度《常州市工程造价信息》建筑工程材料除税信息价算术平均价计取(有缺项的材料由建设单位、监理、跟踪审计、施工单位市场询价后确定，定价后的材料价格不下浮）；</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安全文件施工费：安全生产费用作为不可竞争费列入措施项目费，按《企业安全生产费用提取和使用管理办法》（财资〔2022〕136号）及有关文件规定足额计取；安全文明施工费需经建设单位考核合格后才能计取基本费；</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（6）工程类别：按《江苏省建设工程费用组成规则》及《江苏省建设工程费用参考》规定的工程类别执行；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（7）规费计取：按现行省、市相关文件规定执行；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（8）本工程计税方法为增值税一般计税法，具体按工程实施期间相关文件执行。</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（9）按上述计价方法计算并经审计后的造价*折扣率作为本项目的最终审定价。</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4、消防维护费与消防零星工程维修费最终审定价的总和不得超过：45万元/年。</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5、结算审核：年度服务期内，每季度后的第一个月内对上季度的服务工程按照上述要求进行审核，审定金额计入该年度服务期内应得服务费。</w:t>
      </w:r>
      <w:r/>
    </w:p>
    <w:p>
      <w:pPr>
        <w:ind w:firstLine="422"/>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七、付款方式</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1、消防维护费付款方式：签订合同服务期满6个月后支付当年合同消防维护费金额的50%，余款在当年合同期满后消防设施年度检测合格并提交年度检测报告后付清</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2、消防零星工程维修费付款方式：本项目每年度服务期满后，经审计结束，招标人确认无误后支付该年度维修服务款。</w:t>
      </w:r>
      <w:r/>
    </w:p>
    <w:p>
      <w:pPr>
        <w:ind w:firstLine="420"/>
        <w:spacing w:line="360" w:lineRule="auto"/>
        <w:widowControl/>
        <w:rPr>
          <w:rFonts w:hint="eastAsia" w:ascii="宋体" w:hAnsi="宋体"/>
          <w:b/>
          <w:color w:val="000000" w:themeColor="text1"/>
          <w:sz w:val="36"/>
          <w:szCs w:val="36"/>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3、中标人应实事求是地递交工程结算资料。工程项目审计核减率5%以内，审计费由招标人承担；核减率5%—15%内，审计费由招标人和中标人各半承担；核减率15%以上的审计费全由中标人承担。</w:t>
      </w:r>
      <w:bookmarkStart w:id="610" w:name="_Toc104"/>
      <w:r/>
      <w:bookmarkStart w:id="611" w:name="_Toc104818929"/>
      <w:r>
        <w:rPr>
          <w:rFonts w:ascii="宋体" w:hAnsi="宋体"/>
          <w:b/>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第五章   合同草案条款</w:t>
      </w:r>
      <w:bookmarkEnd w:id="610"/>
      <w:r/>
      <w:bookmarkEnd w:id="611"/>
      <w:r/>
      <w:r/>
    </w:p>
    <w:p>
      <w:pPr>
        <w:jc w:val="center"/>
        <w:spacing w:line="360" w:lineRule="auto"/>
        <w:widowControl/>
        <w:rPr>
          <w:rFonts w:hint="eastAsia" w:ascii="宋体" w:hAnsi="宋体"/>
          <w:color w:val="000000" w:themeColor="text1"/>
          <w:sz w:val="32"/>
          <w:szCs w:val="32"/>
          <w:highlight w:val="none"/>
          <w14:textFill>
            <w14:solidFill>
              <w14:schemeClr w14:val="tx1"/>
            </w14:solidFill>
          </w14:textFill>
        </w:rPr>
      </w:pPr>
      <w:r/>
      <w:bookmarkStart w:id="612" w:name="_Hlk75944811"/>
      <w:r/>
      <w:bookmarkStart w:id="613" w:name="_Toc104818930"/>
      <w:r>
        <w:rPr>
          <w:rFonts w:ascii="宋体" w:hAnsi="宋体"/>
          <w:b/>
          <w:color w:val="000000" w:themeColor="text1"/>
          <w:sz w:val="32"/>
          <w:szCs w:val="32"/>
          <w:highlight w:val="none"/>
          <w14:textFill>
            <w14:solidFill>
              <w14:schemeClr w14:val="tx1"/>
            </w14:solidFill>
          </w14:textFill>
        </w:rPr>
        <w:t xml:space="preserve">嘉新社区消防维修维护项目</w:t>
      </w:r>
      <w:r/>
    </w:p>
    <w:p>
      <w:pPr>
        <w:jc w:val="center"/>
        <w:spacing w:line="360" w:lineRule="auto"/>
        <w:widowControl/>
        <w:rPr>
          <w:rFonts w:hint="eastAsia" w:ascii="宋体" w:hAnsi="宋体"/>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t xml:space="preserve">采购合同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采购人（甲方）：____________________</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中标人（乙方）：____________________</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参照《中华人民共和国政府采购法》、《中华人民共和国民法典》等法律法规的规定，甲乙双方按照招标结果签订本合同。</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第一条 采购内容</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1、项目名称（项目编号）：____________________________</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2、采购内容：货物或服务名称、规格、型号、数量、价格</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3、服务范围：____________________________</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4、服务期限：____________________________</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5、其他：____________________________</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第二条 合同总价款</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本合同总价款为固定折扣率</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%（小写），百分之</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（大写）。</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1、本项目费用由消防维护费与消防零星工程维修费两部分组成，其中消防维护费为总价包干价，基准价为9万元/年；消防零星工程维修费为按实计取经审计后确定。</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消防维护费=9万元/年×中标折扣率，此费用为总价包干，含消防年检费、消防维保人工费、维修费、保养费、安装费、利润、税金、及按合同应承担的合同价10%（含10%）以内消防维保耗材和消防设施设备更换费等所有消防维保费用。</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3、消防零星工程维修费结算原则：</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（1）工程量：根据派单内容，建设单位、监理、跟踪审计、施工方等签字确认的签证单计量，最终以审计确认的工程量进行结算；</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（2）定额套用优选顺序：《建设工程工程量清单计价标准》(GB/T50500-2024)、《江苏省建设工程费用组成规则》、《江苏省建设</w:t>
      </w:r>
      <w:r>
        <w:rPr>
          <w:rFonts w:ascii="宋体" w:hAnsi="宋体"/>
          <w:color w:val="000000" w:themeColor="text1"/>
          <w:szCs w:val="21"/>
          <w:highlight w:val="none"/>
          <w14:textFill>
            <w14:solidFill>
              <w14:schemeClr w14:val="tx1"/>
            </w14:solidFill>
          </w14:textFill>
        </w:rPr>
        <w:t xml:space="preserve">工程费用参考》（苏建价〔2026〕76 号）、《江苏省市政工程消耗量（2026）》、《江苏省建筑与装饰工程消耗量（2026）》、《江苏省通用安装工程消耗量（2026）》；配套国标工程量计算标准：《房屋建筑与装饰工程工程量计算标准》（GB/T50854-2024）、《通用安装工程工程量计算标准》（GB/T50856-2024）、《市政工程工程量计算标准》（GB/T50857-2024）、《园林绿化工程工程量计算标准》（GB/T50858-2024）、《江苏省园林绿化工程计价表（2007）》及相关配套文件等规范</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（3）人工费（包括点工）计取：按施工期间江苏省住房和城乡建设厅发布的建设工程人工工资指导价文件执行；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（4）材料价格：按年度服务期内每季度《常州市工程造价信息》建筑工程材料除税信息价算术平均价计取（有缺项的材料由建设单位、监理、跟踪审计、施工单位市场询价后确定，定价后的材料价格不下浮）；</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（5）安全文件施工费：需经建设单位考核合格后才能计取基本费；</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（6）工程类别：按《江苏省建设工程费用组成规则》及《江苏省建设工程费用参考》规定的工程类别执行；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（7）规费计取：按现行省、市相关文件规定执行；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（8）本工程计税方法为增值税一般计税法，具体按工程实施期间相关文件执行。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（9）按上述计价方法计算并经审计后的造价*折扣率作为本项目的最终审定价。</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4、消防维护费与消防零星工程维修费最终审定价的总和不得超过：45万元/年。</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5、结算审核：年度服务期内，每季度后的第一个月内对上季度的服务工程按照上述要求进行审核，审定金额计入该年度服务期内应得服务费。</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第三条 组成本合同的有关文件</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（1）公开招标文件；</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（2）投标文件；</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（3）中标通知书；</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（4）中标人在评标过程中所作其它有关承诺、声明、书面澄清；</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（5）甲乙双方商定的其他文件等。</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第四条 权利保证</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乙方应保证甲方在合同履行期限内不受第三方提出侵犯其专利权、版权、商标权或其他权利的起诉。一旦出现侵权，乙方应承担全部责任。</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第五条 质量保证和售后服务</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1、乙方应按招标文件规定的服务要求、技术要求、质量标准向甲方提供服务。</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2、质量保证：质保期不少于壹年。</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3、售后服务：如遇突发紧急性事件，乙方将在半小时内赶到现场进行维修。如未做到，乙方将无条件的接受甲方的所有处罚（包括解除合同）。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公开招标文件、投标文件、合同条款及中标通知书，中标人在评标过程中所作其它有关承诺、声明、书面澄清等均为合同不可分割的部分，与主合同具有同等法律效力。</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第六条 验收</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验收标准：按招标文件所规定的服务标准和乙方投标文件的承诺。</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第七条 考核及付款</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考核：</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1、采购人安排维修计划均需在要求时间内完成。</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人发出的指令单中标人必须按要求及时全面的执行，否则按500元/次向采购人支付违约金（在服务费中扣除）。在接到采购人通知后半小时内响应，4小时内需到场进行维修。由于中标人原因引起延误，每延误24小时罚500元/天。</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若由施工造成的维修质量问题，采购方应书面通知中标人并约定时间进行整改。中标人未按时间及时维修，采购方有权扣除维修费1000-2000元/次作为中标人向采购方支付的违约金（在服务费中扣除）。如果中标人在服务过程连续三次未按要求整改，采购方有权解除合同，并不免除中标人应支付的违约金。</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4、采购人下达的抢修任务，中标人均需在规定时限内（以采购人下达的维修通知单中明确的时限为准）进行安排实施。</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5、采购人安排的突击整治等工作，均需按要求时限完成。</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6、采购人有权根据上级要求适时调整维修期限，中标人必须无条件服从。</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8、消防维保考核由维保完成情况（70分）、对突发故障的处理（20分）、遵守各项管理规定情况（10）三部分组成，总分100分。</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9、根据考核细则每扣一分相应扣除维保金的1%，考核分值低于80分（含80分）时采购方有权解除维保合同。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10、考核细则</w:t>
      </w:r>
      <w:r/>
    </w:p>
    <w:p>
      <w:pPr>
        <w:jc w:val="center"/>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消防维保单位考核细则</w:t>
      </w:r>
      <w:r/>
    </w:p>
    <w:p>
      <w:pPr>
        <w:ind w:firstLine="420"/>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考核时间：  年  月  日</w:t>
      </w:r>
      <w:r/>
    </w:p>
    <w:p>
      <w:pPr>
        <w:ind w:firstLine="420"/>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考核人：</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2194"/>
        <w:gridCol w:w="731"/>
        <w:gridCol w:w="3396"/>
        <w:gridCol w:w="527"/>
      </w:tblGrid>
      <w:tr>
        <w:trPr>
          <w:jc w:val="center"/>
        </w:trPr>
        <w:tc>
          <w:tcPr>
            <w:tcW w:w="1463"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名称类型</w:t>
            </w:r>
            <w:r/>
          </w:p>
        </w:tc>
        <w:tc>
          <w:tcPr>
            <w:tcW w:w="2194"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考核项目</w:t>
            </w:r>
            <w:r/>
          </w:p>
        </w:tc>
        <w:tc>
          <w:tcPr>
            <w:tcW w:w="731"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分值</w:t>
            </w:r>
            <w:r/>
          </w:p>
        </w:tc>
        <w:tc>
          <w:tcPr>
            <w:tcW w:w="3396"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考核标准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备注</w:t>
            </w:r>
            <w:r/>
          </w:p>
        </w:tc>
      </w:tr>
      <w:tr>
        <w:trPr>
          <w:jc w:val="center"/>
        </w:trPr>
        <w:tc>
          <w:tcPr>
            <w:tcW w:w="1463"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一、维保项目完成情况</w:t>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1、是否按照工作计划完成日常、周、月、季度、年度维护保养</w:t>
            </w:r>
            <w:r/>
          </w:p>
        </w:tc>
        <w:tc>
          <w:tcPr>
            <w:tcW w:w="731"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70</w:t>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1、应按照维保工作计划定时完成维保项目；2、漏检每一大项扣5—10分，漏检每一小项扣0.5—1分；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2、维护保养完成的质量</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1、设备运行是否良好，因维保不到位致使设备出现故障的，乙方承担形影费用和责任，并扣2—5分；2、电器类设备是否符合卫生标准和要求，不达标的扣1分；3、设备无锈蚀，不达标扣2分；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3、维护保养记录登记备案</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1、是否按要求每次维修完毕和维保完毕出具维修、维保工作报告，报告应一式二分，中控室和乙方单位各一份，工作报告应由消防经理签字。</w:t>
            </w:r>
            <w:r>
              <w:rPr>
                <w:rFonts w:ascii="宋体" w:hAnsi="宋体" w:eastAsia="宋体"/>
                <w:color w:val="000000" w:themeColor="text1"/>
                <w:szCs w:val="21"/>
                <w:highlight w:val="none"/>
                <w:lang w:eastAsia="en-US"/>
                <w14:textFill>
                  <w14:solidFill>
                    <w14:schemeClr w14:val="tx1"/>
                  </w14:solidFill>
                </w14:textFill>
              </w:rPr>
              <w:t xml:space="preserve">不符合标准扣1分。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r>
      <w:tr>
        <w:trPr>
          <w:jc w:val="center"/>
        </w:trPr>
        <w:tc>
          <w:tcPr>
            <w:tcW w:w="1463"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二、对突发事件的处理</w:t>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1、接到报修电话2小时内到达现场进行维修，并提出解决方案</w:t>
            </w:r>
            <w:r/>
          </w:p>
        </w:tc>
        <w:tc>
          <w:tcPr>
            <w:tcW w:w="731"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20</w:t>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未按要求时间进入现场维修的扣5分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2、采取相应的措施，确保消防安全和减少故障造成的相应损失</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未能采取安全措施致使发生消防安全事故的和严重造成财产损失的乙方应承担相应的责任并扣10—20分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3、不能及时解决的故障，是否采取相应的措施，并在三日内恢复设备正常运行</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未能及时排除故障，消防设备无法长时间正常运行的扣10—20分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三、遵守小区各项管理规定</w:t>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1、维保作业人员应取得相应的作业资格证</w:t>
            </w:r>
            <w:r/>
          </w:p>
        </w:tc>
        <w:tc>
          <w:tcPr>
            <w:tcW w:w="731" w:type="dxa"/>
            <w:vAlign w:val="center"/>
            <w:vMerge w:val="restart"/>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10</w:t>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ascii="宋体" w:hAnsi="宋体" w:eastAsia="宋体"/>
                <w:color w:val="000000" w:themeColor="text1"/>
                <w:szCs w:val="21"/>
                <w:highlight w:val="none"/>
                <w:lang w:eastAsia="en-US"/>
                <w14:textFill>
                  <w14:solidFill>
                    <w14:schemeClr w14:val="tx1"/>
                  </w14:solidFill>
                </w14:textFill>
              </w:rPr>
              <w:t xml:space="preserve">无证作业一次扣5分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en-US"/>
                <w14:textFill>
                  <w14:solidFill>
                    <w14:schemeClr w14:val="tx1"/>
                  </w14:solidFill>
                </w14:textFill>
              </w:rPr>
            </w:pPr>
            <w:r>
              <w:rPr>
                <w:rFonts w:hint="eastAsia" w:ascii="宋体" w:hAnsi="宋体" w:eastAsia="宋体"/>
                <w:color w:val="000000" w:themeColor="text1"/>
                <w:szCs w:val="21"/>
                <w:highlight w:val="none"/>
                <w:lang w:eastAsia="en-US"/>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2、维修、维保作业严格执行操作规范</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不按规范进行作业的扣5分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r>
        <w:trPr>
          <w:jc w:val="center"/>
        </w:trPr>
        <w:tc>
          <w:tcPr>
            <w:tcW w:w="1463" w:type="dxa"/>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2194"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3、按规定着装及其他相关规定</w:t>
            </w:r>
            <w:r/>
          </w:p>
        </w:tc>
        <w:tc>
          <w:tcPr>
            <w:tcW w:w="731" w:type="dxa"/>
            <w:vAlign w:val="center"/>
            <w:vMerge w:val="continue"/>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c>
          <w:tcPr>
            <w:tcW w:w="3396" w:type="dxa"/>
            <w:vAlign w:val="center"/>
            <w:textDirection w:val="lrTb"/>
            <w:noWrap w:val="false"/>
          </w:tcPr>
          <w:p>
            <w:pPr>
              <w:jc w:val="left"/>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eastAsia="宋体"/>
                <w:color w:val="000000" w:themeColor="text1"/>
                <w:szCs w:val="21"/>
                <w:highlight w:val="none"/>
                <w:lang w:eastAsia="zh-CN"/>
                <w14:textFill>
                  <w14:solidFill>
                    <w14:schemeClr w14:val="tx1"/>
                  </w14:solidFill>
                </w14:textFill>
              </w:rPr>
              <w:t xml:space="preserve">不按规定着装及不遵守其他相关规定的扣2分</w:t>
            </w:r>
            <w:r/>
          </w:p>
        </w:tc>
        <w:tc>
          <w:tcPr>
            <w:tcW w:w="527" w:type="dxa"/>
            <w:vAlign w:val="center"/>
            <w:textDirection w:val="lrTb"/>
            <w:noWrap w:val="false"/>
          </w:tcPr>
          <w:p>
            <w:pPr>
              <w:jc w:val="center"/>
              <w:spacing w:line="276" w:lineRule="auto"/>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tc>
      </w:tr>
    </w:tbl>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付款：</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1、消防维护费付款方式：签订合同服务期满6个月后支付当年合同消防维护费金额的50%，余款在当年合同期满后消防设施年度检测合格并提交年度检测报告后付清</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2、消防零星工程维修费付款方式：本项目每年度服务期满后，经审计结束，招标人确认无误后支付该年度维修服务款。</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3、中标人应实事求是地递交工程结算资料。工程项目审计核减率5%以内，审计费由招标人承担；核减率5%—15%内，审计费由招标人和中标人各半承担；核减率15%以上的审计费全由中标人承担。</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第八条 违约责任</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1、甲方无正当理由拒绝验收或拒付合同款项的，应向乙方偿付合同总价10%的违约金。</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2、甲方逾期支付合同款项的，每逾期1天应向乙方偿付欠款总额0.5%的滞纳金，且滞纳金总额累计不得超过欠款总额的5%；一旦滞纳金总额累计达到欠款总额的5%，乙方有权解除合同。财政因素除外。</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3、乙方无法完成项目的，应向甲方支付合同总价10%的违约金，同时甲方有权解除合同。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5、乙方完成的项目不符合要求的，应按照甲方选择的下列一种或多种方式承担赔偿责任：</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(2)在甲方规定时间内，修正有缺陷的部分以达到合同规定的要求并承担一切费用和风险，同时承担甲方因此所遭受的全部损失；</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(3)按合同规定同种货币退还甲方已付款项，同时承担由此发生的一切损失和费用，包括但不限于利息、银行手续费及所需的其他必要费用。</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6、乙方未按规定和承诺提供伴随服务、售后服务的，应向甲方支付合同总价5%的违约金。</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7、违约方承担违约责任并不影响其合同项下的义务(合同解除的除外)。</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8、其他：</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第九条 不可抗力</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1、不可抗力，是指不能预见、不能避免并不能克服的客观情况，如战争、动乱、瘟疫、严重火灾、洪水、地震、风暴或其他自然灾害等。</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4、合同各方应根据不可抗力对本合同履行的影响程度，协商确定是否终止本合同或是继续履行本合同。</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第十条 合同的变更和终止</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1、除《政府采购法》第五十条规定的情形外，本合同一经签订，甲乙双方不得擅自变更、中止或终止合同。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2、除发生法律规定的不能预见、不能避免并不能克服的客观情况外，甲乙双方不得放弃或拒绝履行合同。</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第十一条 合同的终止</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本合同因下列原因而终止：</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(1)本合同正常履行完毕；</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(2)因不可抗力导致本合同无法履行或履行不必要；</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(3)任何一方行使解除权解除本合同；</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(4)合同的继续履行将损害国家利益和社会公共利益。</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除上述情形外，甲乙双方不得擅自终止合同。</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第十二条 争议的解决</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（1）向甲方所在地有管辖权的人民法院提起诉讼；</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（2）向甲方所在地仲裁委员会按其仲裁规则申请仲裁。</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2、在仲裁期间，本合同应继续履行。</w:t>
      </w:r>
      <w:r/>
    </w:p>
    <w:p>
      <w:pPr>
        <w:ind w:firstLine="422"/>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第十三条 合同生效及其他</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1、本合同由甲乙双方签字、盖章后生效。</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2、本合同一式陆份，甲乙双方各执贰份、代理单位执贰份。</w:t>
      </w:r>
      <w:r/>
    </w:p>
    <w:p>
      <w:pPr>
        <w:ind w:firstLine="420"/>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3、本合同应按照中华人民共和国的现行法律进行解释。</w:t>
      </w:r>
      <w:r/>
    </w:p>
    <w:tbl>
      <w:tblPr>
        <w:tblStyle w:val="757"/>
        <w:tblW w:w="9331" w:type="dxa"/>
        <w:jc w:val="center"/>
        <w:tblLayout w:type="fixed"/>
        <w:tblCellMar>
          <w:left w:w="108" w:type="dxa"/>
          <w:top w:w="0" w:type="dxa"/>
          <w:right w:w="108" w:type="dxa"/>
          <w:bottom w:w="0" w:type="dxa"/>
        </w:tblCellMar>
        <w:tblLook w:val="04A0" w:firstRow="1" w:lastRow="0" w:firstColumn="1" w:lastColumn="0" w:noHBand="0" w:noVBand="1"/>
      </w:tblPr>
      <w:tblGrid>
        <w:gridCol w:w="4653"/>
        <w:gridCol w:w="4678"/>
      </w:tblGrid>
      <w:tr>
        <w:trPr>
          <w:jc w:val="center"/>
          <w:trHeight w:val="1634"/>
        </w:trPr>
        <w:tc>
          <w:tcPr>
            <w:tcW w:w="4653" w:type="dxa"/>
            <w:textDirection w:val="lrTb"/>
            <w:noWrap w:val="false"/>
          </w:tcPr>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招标人（甲方）：（盖章）</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法定（授权）代表人：</w:t>
            </w:r>
            <w:r/>
          </w:p>
          <w:p>
            <w:pPr>
              <w:ind w:firstLine="63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eastAsia="en-US"/>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lang w:eastAsia="en-US"/>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lang w:eastAsia="en-US"/>
                <w14:textFill>
                  <w14:solidFill>
                    <w14:schemeClr w14:val="tx1"/>
                  </w14:solidFill>
                </w14:textFill>
              </w:rPr>
              <w:t xml:space="preserve">日</w:t>
            </w:r>
            <w:r/>
          </w:p>
        </w:tc>
        <w:tc>
          <w:tcPr>
            <w:tcW w:w="4678" w:type="dxa"/>
            <w:textDirection w:val="lrTb"/>
            <w:noWrap w:val="false"/>
          </w:tcPr>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中标人（乙方）：（盖章）</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法定（授权）代表人：</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中标人户名：</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中标人开户银行：</w:t>
            </w:r>
            <w:r/>
          </w:p>
          <w:p>
            <w:pPr>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中标人帐号：</w:t>
            </w:r>
            <w:r/>
          </w:p>
          <w:p>
            <w:pPr>
              <w:ind w:firstLine="63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年   月   日</w:t>
            </w:r>
            <w:r/>
          </w:p>
        </w:tc>
      </w:tr>
    </w:tbl>
    <w:p>
      <w:pPr>
        <w:ind w:firstLine="422"/>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2"/>
        <w:jc w:val="center"/>
        <w:spacing w:line="360"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（以采购人提供的合同为准）</w:t>
      </w:r>
      <w:r/>
    </w:p>
    <w:p>
      <w:pPr>
        <w:ind w:firstLine="422"/>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422"/>
        <w:spacing w:line="400" w:lineRule="exac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ind w:firstLine="422"/>
        <w:spacing w:line="400" w:lineRule="exac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ind w:firstLine="422"/>
        <w:spacing w:line="400" w:lineRule="exac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pStyle w:val="749"/>
        <w:ind w:firstLine="643"/>
        <w:rPr>
          <w:rFonts w:hint="eastAsia" w:ascii="宋体" w:hAnsi="宋体"/>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highlight w:val="none"/>
          <w14:textFill>
            <w14:solidFill>
              <w14:schemeClr w14:val="tx1"/>
            </w14:solidFill>
          </w14:textFill>
        </w:rPr>
      </w:r>
      <w:bookmarkEnd w:id="612"/>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bookmarkStart w:id="614" w:name="_Toc10386"/>
      <w:r>
        <w:rPr>
          <w:rFonts w:ascii="宋体" w:hAnsi="宋体"/>
          <w:b/>
          <w:color w:val="000000" w:themeColor="text1"/>
          <w:sz w:val="36"/>
          <w:szCs w:val="36"/>
          <w:highlight w:val="none"/>
          <w14:textFill>
            <w14:solidFill>
              <w14:schemeClr w14:val="tx1"/>
            </w14:solidFill>
          </w14:textFill>
        </w:rPr>
        <w:t xml:space="preserve">第六章   响应文件格式</w:t>
      </w:r>
      <w:bookmarkEnd w:id="613"/>
      <w:r/>
      <w:bookmarkEnd w:id="614"/>
      <w:r/>
      <w:r/>
    </w:p>
    <w:p>
      <w:pPr>
        <w:ind w:firstLine="482"/>
        <w:jc w:val="left"/>
        <w:spacing w:line="360" w:lineRule="auto"/>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482"/>
        <w:jc w:val="left"/>
        <w:spacing w:line="360" w:lineRule="auto"/>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left="142" w:firstLine="482"/>
        <w:spacing w:line="360" w:lineRule="auto"/>
        <w:tabs>
          <w:tab w:val="left" w:pos="900" w:leader="none"/>
          <w:tab w:val="left" w:pos="19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供应商编制文件须知</w:t>
      </w:r>
      <w:r/>
    </w:p>
    <w:p>
      <w:pPr>
        <w:ind w:left="142" w:firstLine="480"/>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对于竞争性磋商文件中标记了“实质性格式”文件的，供应商</w:t>
      </w:r>
      <w:r>
        <w:rPr>
          <w:rFonts w:ascii="宋体" w:hAnsi="宋体"/>
          <w:color w:val="000000" w:themeColor="text1"/>
          <w:sz w:val="24"/>
          <w:highlight w:val="none"/>
          <w14:textFill>
            <w14:solidFill>
              <w14:schemeClr w14:val="tx1"/>
            </w14:solidFill>
          </w14:textFill>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themeColor="text1"/>
          <w:sz w:val="24"/>
          <w:highlight w:val="none"/>
          <w14:textFill>
            <w14:solidFill>
              <w14:schemeClr w14:val="tx1"/>
            </w14:solidFill>
          </w14:textFill>
        </w:rPr>
        <w:t xml:space="preserve">否则响应无效</w:t>
      </w:r>
      <w:r>
        <w:rPr>
          <w:rFonts w:ascii="宋体" w:hAnsi="宋体"/>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4、实行电子化不见面交易方式的，加盖公章、签名等均通过响应文件编制工具加盖电子公章、签字、签章或印鉴。</w:t>
      </w:r>
      <w:r/>
    </w:p>
    <w:p>
      <w:pPr>
        <w:ind w:left="142" w:firstLine="480"/>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rPr>
          <w:rFonts w:hint="eastAsia" w:ascii="宋体" w:hAnsi="宋体"/>
          <w:b/>
          <w:color w:val="000000" w:themeColor="text1"/>
          <w:spacing w:val="20"/>
          <w:szCs w:val="21"/>
          <w:highlight w:val="none"/>
          <w14:textFill>
            <w14:solidFill>
              <w14:schemeClr w14:val="tx1"/>
            </w14:solidFill>
          </w14:textFill>
        </w:rPr>
      </w:pPr>
      <w:r>
        <w:rPr>
          <w:rFonts w:hint="eastAsia" w:ascii="宋体" w:hAnsi="宋体"/>
          <w:b/>
          <w:color w:val="000000" w:themeColor="text1"/>
          <w:spacing w:val="20"/>
          <w:szCs w:val="21"/>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pacing w:val="20"/>
          <w:sz w:val="24"/>
          <w:highlight w:val="none"/>
          <w14:textFill>
            <w14:solidFill>
              <w14:schemeClr w14:val="tx1"/>
            </w14:solidFill>
          </w14:textFill>
        </w:rPr>
        <w:t xml:space="preserve">响应文件</w:t>
      </w:r>
      <w:r>
        <w:rPr>
          <w:rFonts w:ascii="宋体" w:hAnsi="宋体"/>
          <w:b/>
          <w:color w:val="000000" w:themeColor="text1"/>
          <w:sz w:val="24"/>
          <w:highlight w:val="none"/>
          <w14:textFill>
            <w14:solidFill>
              <w14:schemeClr w14:val="tx1"/>
            </w14:solidFill>
          </w14:textFill>
        </w:rPr>
        <w:t xml:space="preserve">封面（非实质性格式）</w:t>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 xml:space="preserve">响 应 文 件</w:t>
      </w:r>
      <w:r/>
    </w:p>
    <w:p>
      <w:pPr>
        <w:jc w:val="center"/>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rPr>
          <w:rFonts w:hint="eastAsia" w:ascii="宋体" w:hAnsi="宋体"/>
          <w:color w:val="000000" w:themeColor="text1"/>
          <w:sz w:val="24"/>
          <w:szCs w:val="20"/>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br w:type="page" w:clear="all"/>
      </w:r>
      <w:r>
        <w:rPr>
          <w:rFonts w:ascii="宋体" w:hAnsi="宋体"/>
          <w:color w:val="000000" w:themeColor="text1"/>
          <w:sz w:val="24"/>
          <w:szCs w:val="20"/>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 xml:space="preserve">满足《中华人民共和国政府采购法》第二十二条规定及法律法规的其他规定</w:t>
      </w:r>
      <w:r/>
    </w:p>
    <w:p>
      <w:pPr>
        <w:rPr>
          <w:rFonts w:hint="eastAsia" w:ascii="宋体" w:hAnsi="宋体"/>
          <w:b/>
          <w:bCs/>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1-</w:t>
      </w:r>
      <w:r>
        <w:rPr>
          <w:rFonts w:hint="eastAsia" w:ascii="宋体" w:hAnsi="宋体"/>
          <w:b/>
          <w:color w:val="000000" w:themeColor="text1"/>
          <w:highlight w:val="none"/>
          <w14:textFill>
            <w14:solidFill>
              <w14:schemeClr w14:val="tx1"/>
            </w14:solidFill>
          </w14:textFill>
        </w:rPr>
        <w:t xml:space="preserve">1</w:t>
      </w:r>
      <w:r>
        <w:rPr>
          <w:rFonts w:ascii="宋体" w:hAnsi="宋体"/>
          <w:b/>
          <w:color w:val="000000" w:themeColor="text1"/>
          <w:highlight w:val="none"/>
          <w14:textFill>
            <w14:solidFill>
              <w14:schemeClr w14:val="tx1"/>
            </w14:solidFill>
          </w14:textFill>
        </w:rPr>
        <w:t xml:space="preserve"> 供应商资格声明</w:t>
      </w:r>
      <w:r>
        <w:rPr>
          <w:rFonts w:hint="eastAsia" w:ascii="宋体" w:hAnsi="宋体"/>
          <w:b/>
          <w:color w:val="000000" w:themeColor="text1"/>
          <w:highlight w:val="none"/>
          <w14:textFill>
            <w14:solidFill>
              <w14:schemeClr w14:val="tx1"/>
            </w14:solidFill>
          </w14:textFill>
        </w:rPr>
        <w:t xml:space="preserve">函</w:t>
      </w:r>
      <w:r>
        <w:rPr>
          <w:rFonts w:ascii="宋体" w:hAnsi="宋体"/>
          <w:b/>
          <w:color w:val="000000" w:themeColor="text1"/>
          <w:highlight w:val="none"/>
          <w14:textFill>
            <w14:solidFill>
              <w14:schemeClr w14:val="tx1"/>
            </w14:solidFill>
          </w14:textFill>
        </w:rPr>
        <w:t xml:space="preserve">（实质性格式）</w:t>
      </w:r>
      <w:r/>
    </w:p>
    <w:p>
      <w:pPr>
        <w:jc w:val="center"/>
        <w:spacing w:before="120" w:line="360" w:lineRule="auto"/>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center"/>
        <w:spacing w:before="120"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供应商资格声明函</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致：江苏格睿工程项目管理有限公司</w:t>
      </w:r>
      <w:r/>
    </w:p>
    <w:p>
      <w:pPr>
        <w:pStyle w:val="758"/>
        <w:ind w:firstLine="480"/>
        <w:spacing w:line="460" w:lineRule="exact"/>
        <w:rPr>
          <w:rFonts w:hint="eastAsia" w:hAnsi="宋体"/>
          <w:color w:val="000000" w:themeColor="text1"/>
          <w:highlight w:val="none"/>
          <w:u w:val="single"/>
          <w14:textFill>
            <w14:solidFill>
              <w14:schemeClr w14:val="tx1"/>
            </w14:solidFill>
          </w14:textFill>
        </w:rPr>
      </w:pPr>
      <w:r>
        <w:rPr>
          <w:rFonts w:hint="eastAsia" w:hAnsi="宋体"/>
          <w:color w:val="000000" w:themeColor="text1"/>
          <w:highlight w:val="none"/>
          <w:u w:val="single"/>
          <w14:textFill>
            <w14:solidFill>
              <w14:schemeClr w14:val="tx1"/>
            </w14:solidFill>
          </w14:textFill>
        </w:rPr>
        <w:t xml:space="preserve">（采购人名称）</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按照《中华人民共和国政府采购法》第二十二条和磋商文件的规定，我单位郑重声明如下：</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一、我单位是按照中华人民共和国法律规定登记注册的，注册地点为</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，全称为</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，统一社会信用代码为</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 ，法定代表人（单位负责人）为</w:t>
      </w:r>
      <w:r>
        <w:rPr>
          <w:rFonts w:hint="eastAsia"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 xml:space="preserve">，具有独立承担民事责任的能力</w:t>
      </w:r>
      <w:r>
        <w:rPr>
          <w:rFonts w:hint="eastAsia" w:hAnsi="宋体"/>
          <w:b/>
          <w:color w:val="000000" w:themeColor="text1"/>
          <w:highlight w:val="none"/>
          <w14:textFill>
            <w14:solidFill>
              <w14:schemeClr w14:val="tx1"/>
            </w14:solidFill>
          </w14:textFill>
        </w:rPr>
        <w:t xml:space="preserve">（如属于分公司经总公司授权参与项目，由总公司承担民事责任的，需提供总公司项目授权书）</w:t>
      </w:r>
      <w:r>
        <w:rPr>
          <w:rFonts w:hint="eastAsia" w:hAnsi="宋体"/>
          <w:color w:val="000000" w:themeColor="text1"/>
          <w:highlight w:val="none"/>
          <w14:textFill>
            <w14:solidFill>
              <w14:schemeClr w14:val="tx1"/>
            </w14:solidFill>
          </w14:textFill>
        </w:rPr>
        <w:t xml:space="preserve">。</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二、我单位未被“国家企业信用信息系统”列入经营异常名录或者严重违法企业名单。</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三、我单位具有良好的商业信誉（指供应商经营状况良好，无本资格声明第十条情形）和健全的财务会计制度。</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四、我单位依法进行纳税和社会保险申报并实际履行了义务。</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五、我单位具有履行本项目采购合同所必需的设备和专业技术能力，并具有履行合同的良好</w:t>
      </w:r>
      <w:r>
        <w:rPr>
          <w:rFonts w:hAnsi="宋体"/>
          <w:color w:val="000000" w:themeColor="text1"/>
          <w:highlight w:val="none"/>
          <w14:textFill>
            <w14:solidFill>
              <w14:schemeClr w14:val="tx1"/>
            </w14:solidFill>
          </w14:textFill>
        </w:rPr>
        <w:t xml:space="preserve">记录</w:t>
      </w:r>
      <w:r>
        <w:rPr>
          <w:rFonts w:hint="eastAsia" w:hAnsi="宋体"/>
          <w:color w:val="000000" w:themeColor="text1"/>
          <w:highlight w:val="none"/>
          <w14:textFill>
            <w14:solidFill>
              <w14:schemeClr w14:val="tx1"/>
            </w14:solidFill>
          </w14:textFill>
        </w:rPr>
        <w:t xml:space="preserve">。为履行本项采购合同我单位具备如下主要设备和主要专业技术能力：</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主要设备有：</w:t>
      </w:r>
      <w:r>
        <w:rPr>
          <w:rFonts w:hAnsi="宋体"/>
          <w:color w:val="000000" w:themeColor="text1"/>
          <w:highlight w:val="none"/>
          <w:u w:val="single"/>
          <w14:textFill>
            <w14:solidFill>
              <w14:schemeClr w14:val="tx1"/>
            </w14:solidFill>
          </w14:textFill>
        </w:rPr>
        <w:t xml:space="preserve">            </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主要专业技术能力有</w:t>
      </w:r>
      <w:r>
        <w:rPr>
          <w:rFonts w:hint="eastAsia" w:hAnsi="宋体"/>
          <w:color w:val="000000" w:themeColor="text1"/>
          <w:highlight w:val="none"/>
          <w:u w:val="single"/>
          <w14:textFill>
            <w14:solidFill>
              <w14:schemeClr w14:val="tx1"/>
            </w14:solidFill>
          </w14:textFill>
        </w:rPr>
        <w:t xml:space="preserve">                 </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七、我单位具备法律、行政法规规定的其他条件。</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八、与我单位存在“单位负责人为同一人或者存在直接控股、管理关系”的其他单位信息如下（如无此情形的，填写“无”）：</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1、与我单位的法定代表人（单位负责人）为同一人的其他单位如下：</w:t>
      </w:r>
      <w:r>
        <w:rPr>
          <w:rFonts w:hint="eastAsia" w:hAnsi="宋体"/>
          <w:color w:val="000000" w:themeColor="text1"/>
          <w:highlight w:val="none"/>
          <w:u w:val="single"/>
          <w14:textFill>
            <w14:solidFill>
              <w14:schemeClr w14:val="tx1"/>
            </w14:solidFill>
          </w14:textFill>
        </w:rPr>
        <w:t xml:space="preserve">     </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2、我单位直接控股的其他单位如下：</w:t>
      </w:r>
      <w:r>
        <w:rPr>
          <w:rFonts w:hint="eastAsia" w:hAnsi="宋体"/>
          <w:color w:val="000000" w:themeColor="text1"/>
          <w:highlight w:val="none"/>
          <w:u w:val="single"/>
          <w14:textFill>
            <w14:solidFill>
              <w14:schemeClr w14:val="tx1"/>
            </w14:solidFill>
          </w14:textFill>
        </w:rPr>
        <w:t xml:space="preserve">                    </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3、与我单位存在管理关系的其他单位如下：</w:t>
      </w:r>
      <w:r>
        <w:rPr>
          <w:rFonts w:hint="eastAsia" w:hAnsi="宋体"/>
          <w:color w:val="000000" w:themeColor="text1"/>
          <w:highlight w:val="none"/>
          <w:u w:val="single"/>
          <w14:textFill>
            <w14:solidFill>
              <w14:schemeClr w14:val="tx1"/>
            </w14:solidFill>
          </w14:textFill>
        </w:rPr>
        <w:t xml:space="preserve">              </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九、</w:t>
      </w:r>
      <w:r>
        <w:rPr>
          <w:rFonts w:hAnsi="宋体"/>
          <w:color w:val="000000" w:themeColor="text1"/>
          <w:highlight w:val="none"/>
          <w14:textFill>
            <w14:solidFill>
              <w14:schemeClr w14:val="tx1"/>
            </w14:solidFill>
          </w14:textFill>
        </w:rPr>
        <w:t xml:space="preserve">我</w:t>
      </w:r>
      <w:r>
        <w:rPr>
          <w:rFonts w:hint="eastAsia" w:hAnsi="宋体"/>
          <w:color w:val="000000" w:themeColor="text1"/>
          <w:highlight w:val="none"/>
          <w14:textFill>
            <w14:solidFill>
              <w14:schemeClr w14:val="tx1"/>
            </w14:solidFill>
          </w14:textFill>
        </w:rPr>
        <w:t xml:space="preserve">单位</w:t>
      </w:r>
      <w:r>
        <w:rPr>
          <w:rFonts w:hAnsi="宋体"/>
          <w:color w:val="000000" w:themeColor="text1"/>
          <w:highlight w:val="none"/>
          <w14:textFill>
            <w14:solidFill>
              <w14:schemeClr w14:val="tx1"/>
            </w14:solidFill>
          </w14:textFill>
        </w:rPr>
        <w:t xml:space="preserve">不属于为本项目提供整体设计、规范编制或者项目管理、监理、检测等服务的供应商。</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十、</w:t>
      </w:r>
      <w:r>
        <w:rPr>
          <w:rFonts w:hAnsi="宋体"/>
          <w:color w:val="000000" w:themeColor="text1"/>
          <w:highlight w:val="none"/>
          <w14:textFill>
            <w14:solidFill>
              <w14:schemeClr w14:val="tx1"/>
            </w14:solidFill>
          </w14:textFill>
        </w:rPr>
        <w:t xml:space="preserve">我单位无以下不良信用记录情形：</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、在“信用中国”网站被列入失信被执行人和重大税收违法案件当事人名单；</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、在“中国政府采购网”网站被列入政府采购严重违法失信行为记录名单；</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w:t>
      </w:r>
      <w:r>
        <w:rPr>
          <w:rFonts w:hAnsi="宋体"/>
          <w:color w:val="000000" w:themeColor="text1"/>
          <w:highlight w:val="none"/>
          <w14:textFill>
            <w14:solidFill>
              <w14:schemeClr w14:val="tx1"/>
            </w14:solidFill>
          </w14:textFill>
        </w:rPr>
        <w:t xml:space="preserve">不符合《政府采购法》第二十二条规定的条件。</w:t>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pStyle w:val="758"/>
        <w:ind w:firstLine="48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758"/>
        <w:ind w:firstLine="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pStyle w:val="758"/>
        <w:ind w:firstLine="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pStyle w:val="758"/>
        <w:ind w:firstLine="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                      供应商：（加盖公章）</w:t>
      </w:r>
      <w:r/>
    </w:p>
    <w:p>
      <w:pPr>
        <w:pStyle w:val="758"/>
        <w:ind w:firstLine="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                       法定代表人（或单位负责人）签字或盖章：</w:t>
      </w:r>
      <w:r/>
    </w:p>
    <w:p>
      <w:pPr>
        <w:pStyle w:val="758"/>
        <w:ind w:firstLine="4320"/>
        <w:spacing w:line="460" w:lineRule="exact"/>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日期：    年    月    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rPr>
          <w:rFonts w:hint="eastAsia" w:ascii="宋体" w:hAnsi="宋体"/>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2 落实政府采购政策需满足的资格要求</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2-1中小企业声明函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（1）如本项目（包）不专门面向中小企业预留采购份额，</w:t>
      </w:r>
      <w:r>
        <w:rPr>
          <w:rFonts w:hint="eastAsia" w:ascii="宋体" w:hAnsi="宋体"/>
          <w:color w:val="000000" w:themeColor="text1"/>
          <w:sz w:val="24"/>
          <w:highlight w:val="none"/>
          <w14:textFill>
            <w14:solidFill>
              <w14:schemeClr w14:val="tx1"/>
            </w14:solidFill>
          </w14:textFill>
        </w:rPr>
        <w:t xml:space="preserve">资格证明文件部分</w:t>
      </w:r>
      <w:r>
        <w:rPr>
          <w:rFonts w:ascii="宋体" w:hAnsi="宋体"/>
          <w:color w:val="000000" w:themeColor="text1"/>
          <w:sz w:val="24"/>
          <w:highlight w:val="none"/>
          <w14:textFill>
            <w14:solidFill>
              <w14:schemeClr w14:val="tx1"/>
            </w14:solidFill>
          </w14:textFill>
        </w:rPr>
        <w:t xml:space="preserve">无需提供《中小企业声明函》。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（2）如本项目（包）专门面向中小/小微企业采购，须提供《中小企业声明函》</w:t>
      </w:r>
      <w:r>
        <w:rPr>
          <w:rFonts w:ascii="宋体" w:hAnsi="宋体"/>
          <w:color w:val="000000" w:themeColor="text1"/>
          <w:sz w:val="24"/>
          <w:szCs w:val="20"/>
          <w:highlight w:val="none"/>
          <w14:textFill>
            <w14:solidFill>
              <w14:schemeClr w14:val="tx1"/>
            </w14:solidFill>
          </w14:textFill>
        </w:rPr>
        <w:t xml:space="preserve">（实质性格式）</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（4）其他</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spacing w:before="240" w:after="240"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中小企业声明函</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1.</w:t>
      </w:r>
      <w:r>
        <w:rPr>
          <w:rFonts w:ascii="宋体" w:hAnsi="宋体"/>
          <w:color w:val="000000" w:themeColor="text1"/>
          <w:spacing w:val="6"/>
          <w:sz w:val="24"/>
          <w:highlight w:val="none"/>
          <w:u w:val="single"/>
          <w14:textFill>
            <w14:solidFill>
              <w14:schemeClr w14:val="tx1"/>
            </w14:solidFill>
          </w14:textFill>
        </w:rPr>
        <w:t xml:space="preserve">（标的名称）</w:t>
      </w:r>
      <w:r>
        <w:rPr>
          <w:rFonts w:ascii="宋体" w:hAnsi="宋体"/>
          <w:color w:val="000000" w:themeColor="text1"/>
          <w:spacing w:val="6"/>
          <w:sz w:val="24"/>
          <w:highlight w:val="none"/>
          <w14:textFill>
            <w14:solidFill>
              <w14:schemeClr w14:val="tx1"/>
            </w14:solidFill>
          </w14:textFill>
        </w:rPr>
        <w:t xml:space="preserve">，属于</w:t>
      </w:r>
      <w:r>
        <w:rPr>
          <w:rFonts w:ascii="宋体" w:hAnsi="宋体"/>
          <w:color w:val="000000" w:themeColor="text1"/>
          <w:spacing w:val="6"/>
          <w:sz w:val="24"/>
          <w:highlight w:val="none"/>
          <w:u w:val="single"/>
          <w14:textFill>
            <w14:solidFill>
              <w14:schemeClr w14:val="tx1"/>
            </w14:solidFill>
          </w14:textFill>
        </w:rPr>
        <w:t xml:space="preserve">（采购文件中明确的所属行业）</w:t>
      </w:r>
      <w:r>
        <w:rPr>
          <w:rFonts w:ascii="宋体" w:hAnsi="宋体"/>
          <w:color w:val="000000" w:themeColor="text1"/>
          <w:spacing w:val="6"/>
          <w:sz w:val="24"/>
          <w:highlight w:val="none"/>
          <w14:textFill>
            <w14:solidFill>
              <w14:schemeClr w14:val="tx1"/>
            </w14:solidFill>
          </w14:textFill>
        </w:rPr>
        <w:t xml:space="preserve">行业；承建（承接）企业为</w:t>
      </w:r>
      <w:r>
        <w:rPr>
          <w:rFonts w:ascii="宋体" w:hAnsi="宋体"/>
          <w:color w:val="000000" w:themeColor="text1"/>
          <w:spacing w:val="6"/>
          <w:sz w:val="24"/>
          <w:highlight w:val="none"/>
          <w:u w:val="single"/>
          <w14:textFill>
            <w14:solidFill>
              <w14:schemeClr w14:val="tx1"/>
            </w14:solidFill>
          </w14:textFill>
        </w:rPr>
        <w:t xml:space="preserve">（企业名称）</w:t>
      </w:r>
      <w:r>
        <w:rPr>
          <w:rFonts w:ascii="宋体" w:hAnsi="宋体"/>
          <w:color w:val="000000" w:themeColor="text1"/>
          <w:spacing w:val="6"/>
          <w:sz w:val="24"/>
          <w:highlight w:val="none"/>
          <w14:textFill>
            <w14:solidFill>
              <w14:schemeClr w14:val="tx1"/>
            </w14:solidFill>
          </w14:textFill>
        </w:rPr>
        <w:t xml:space="preserve">，从业人员______人，营业收入为______万元，资产总额为______万元</w:t>
      </w:r>
      <w:r>
        <w:rPr>
          <w:rFonts w:ascii="宋体" w:hAnsi="宋体"/>
          <w:color w:val="000000" w:themeColor="text1"/>
          <w:spacing w:val="6"/>
          <w:sz w:val="24"/>
          <w:highlight w:val="none"/>
          <w:vertAlign w:val="superscript"/>
          <w14:textFill>
            <w14:solidFill>
              <w14:schemeClr w14:val="tx1"/>
            </w14:solidFill>
          </w14:textFill>
        </w:rPr>
        <w:t xml:space="preserve">1</w:t>
      </w:r>
      <w:r>
        <w:rPr>
          <w:rFonts w:ascii="宋体" w:hAnsi="宋体"/>
          <w:color w:val="000000" w:themeColor="text1"/>
          <w:spacing w:val="6"/>
          <w:sz w:val="24"/>
          <w:highlight w:val="none"/>
          <w14:textFill>
            <w14:solidFill>
              <w14:schemeClr w14:val="tx1"/>
            </w14:solidFill>
          </w14:textFill>
        </w:rPr>
        <w:t xml:space="preserve">，属于（中型企业、小型企业、微型企业）；</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2.</w:t>
      </w:r>
      <w:r>
        <w:rPr>
          <w:rFonts w:ascii="宋体" w:hAnsi="宋体"/>
          <w:color w:val="000000" w:themeColor="text1"/>
          <w:spacing w:val="6"/>
          <w:sz w:val="24"/>
          <w:highlight w:val="none"/>
          <w:u w:val="single"/>
          <w14:textFill>
            <w14:solidFill>
              <w14:schemeClr w14:val="tx1"/>
            </w14:solidFill>
          </w14:textFill>
        </w:rPr>
        <w:t xml:space="preserve">（标的名称）</w:t>
      </w:r>
      <w:r>
        <w:rPr>
          <w:rFonts w:ascii="宋体" w:hAnsi="宋体"/>
          <w:color w:val="000000" w:themeColor="text1"/>
          <w:spacing w:val="6"/>
          <w:sz w:val="24"/>
          <w:highlight w:val="none"/>
          <w14:textFill>
            <w14:solidFill>
              <w14:schemeClr w14:val="tx1"/>
            </w14:solidFill>
          </w14:textFill>
        </w:rPr>
        <w:t xml:space="preserve">，属于</w:t>
      </w:r>
      <w:r>
        <w:rPr>
          <w:rFonts w:ascii="宋体" w:hAnsi="宋体"/>
          <w:color w:val="000000" w:themeColor="text1"/>
          <w:spacing w:val="6"/>
          <w:sz w:val="24"/>
          <w:highlight w:val="none"/>
          <w:u w:val="single"/>
          <w14:textFill>
            <w14:solidFill>
              <w14:schemeClr w14:val="tx1"/>
            </w14:solidFill>
          </w14:textFill>
        </w:rPr>
        <w:t xml:space="preserve">（采购文件中明确的所属行业）</w:t>
      </w:r>
      <w:r>
        <w:rPr>
          <w:rFonts w:ascii="宋体" w:hAnsi="宋体"/>
          <w:color w:val="000000" w:themeColor="text1"/>
          <w:spacing w:val="6"/>
          <w:sz w:val="24"/>
          <w:highlight w:val="none"/>
          <w14:textFill>
            <w14:solidFill>
              <w14:schemeClr w14:val="tx1"/>
            </w14:solidFill>
          </w14:textFill>
        </w:rPr>
        <w:t xml:space="preserve">行业；承建（承接）企业为</w:t>
      </w:r>
      <w:r>
        <w:rPr>
          <w:rFonts w:ascii="宋体" w:hAnsi="宋体"/>
          <w:color w:val="000000" w:themeColor="text1"/>
          <w:spacing w:val="6"/>
          <w:sz w:val="24"/>
          <w:highlight w:val="none"/>
          <w:u w:val="single"/>
          <w14:textFill>
            <w14:solidFill>
              <w14:schemeClr w14:val="tx1"/>
            </w14:solidFill>
          </w14:textFill>
        </w:rPr>
        <w:t xml:space="preserve">（企业名称）</w:t>
      </w:r>
      <w:r>
        <w:rPr>
          <w:rFonts w:ascii="宋体" w:hAnsi="宋体"/>
          <w:color w:val="000000" w:themeColor="text1"/>
          <w:spacing w:val="6"/>
          <w:sz w:val="24"/>
          <w:highlight w:val="none"/>
          <w14:textFill>
            <w14:solidFill>
              <w14:schemeClr w14:val="tx1"/>
            </w14:solidFill>
          </w14:textFill>
        </w:rPr>
        <w:t xml:space="preserve">，从业人员______人，营业收入为______万元，资产总额为______万元，属于</w:t>
      </w:r>
      <w:r>
        <w:rPr>
          <w:rFonts w:ascii="宋体" w:hAnsi="宋体"/>
          <w:color w:val="000000" w:themeColor="text1"/>
          <w:spacing w:val="6"/>
          <w:sz w:val="24"/>
          <w:highlight w:val="none"/>
          <w:u w:val="single"/>
          <w14:textFill>
            <w14:solidFill>
              <w14:schemeClr w14:val="tx1"/>
            </w14:solidFill>
          </w14:textFill>
        </w:rPr>
        <w:t xml:space="preserve">（中型企业、小型企业、微型企业）</w:t>
      </w:r>
      <w:r>
        <w:rPr>
          <w:rFonts w:ascii="宋体" w:hAnsi="宋体"/>
          <w:color w:val="000000" w:themeColor="text1"/>
          <w:spacing w:val="6"/>
          <w:sz w:val="24"/>
          <w:highlight w:val="none"/>
          <w14:textFill>
            <w14:solidFill>
              <w14:schemeClr w14:val="tx1"/>
            </w14:solidFill>
          </w14:textFill>
        </w:rPr>
        <w:t xml:space="preserve">；</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本企业对上述声明内容的真实性负责。如有虚假，将依法承担相应责任。</w:t>
      </w:r>
      <w:r/>
    </w:p>
    <w:p>
      <w:pPr>
        <w:ind w:right="36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360"/>
        <w:jc w:val="righ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jc w:val="righ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jc w:val="lef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tbl>
      <w:tblPr>
        <w:tblStyle w:val="75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vertAlign w:val="superscript"/>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spacing w:before="240" w:after="240" w:line="360" w:lineRule="auto"/>
        <w:rPr>
          <w:rFonts w:hint="eastAsia" w:ascii="宋体" w:hAnsi="宋体"/>
          <w:b/>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残疾人福利性单位声明函格式</w:t>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right="1560"/>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spacing w:line="360" w:lineRule="auto"/>
        <w:tabs>
          <w:tab w:val="left" w:pos="5580" w:leader="none"/>
        </w:tabs>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2-2其它落实政府采购政策的资格要求（如有，见第一章《采购邀请》）</w:t>
      </w:r>
      <w:r/>
    </w:p>
    <w:p>
      <w:pPr>
        <w:spacing w:line="360" w:lineRule="auto"/>
        <w:rPr>
          <w:rFonts w:hint="eastAsia"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szCs w:val="20"/>
          <w:highlight w:val="none"/>
          <w14:textFill>
            <w14:solidFill>
              <w14:schemeClr w14:val="tx1"/>
            </w14:solidFill>
          </w14:textFill>
        </w:rPr>
        <w:br w:type="page" w:clear="all"/>
      </w:r>
      <w:bookmarkStart w:id="615" w:name="_Toc305158899"/>
      <w:r/>
      <w:bookmarkStart w:id="616" w:name="_Toc265228395"/>
      <w:r/>
      <w:bookmarkStart w:id="617" w:name="_Toc305158825"/>
      <w:r/>
      <w:bookmarkStart w:id="618" w:name="_Ref467988705"/>
      <w:r/>
      <w:bookmarkStart w:id="619" w:name="_Toc150480795"/>
      <w:r/>
      <w:bookmarkStart w:id="620" w:name="_Toc480942350"/>
      <w:r/>
      <w:bookmarkStart w:id="621" w:name="_Toc226309801"/>
      <w:r/>
      <w:bookmarkStart w:id="622" w:name="_Toc195842922"/>
      <w:r/>
      <w:bookmarkStart w:id="623" w:name="_Toc226337253"/>
      <w:r/>
      <w:bookmarkStart w:id="624" w:name="_Toc520356218"/>
      <w:r/>
      <w:bookmarkStart w:id="625" w:name="_Toc264969247"/>
      <w:r/>
      <w:bookmarkStart w:id="626" w:name="_Toc127151557"/>
      <w:r/>
      <w:bookmarkStart w:id="627" w:name="_Toc142311059"/>
      <w:r/>
      <w:bookmarkStart w:id="628" w:name="_Toc226965747"/>
      <w:r/>
      <w:bookmarkStart w:id="629" w:name="_Toc150774762"/>
      <w:r/>
      <w:bookmarkStart w:id="630" w:name="_Toc226965830"/>
      <w:r>
        <w:rPr>
          <w:rFonts w:ascii="宋体" w:hAnsi="宋体"/>
          <w:color w:val="000000" w:themeColor="text1"/>
          <w:sz w:val="24"/>
          <w:szCs w:val="20"/>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 xml:space="preserve">本项目的特定资格要求</w:t>
      </w:r>
      <w:r>
        <w:rPr>
          <w:rFonts w:hint="eastAsia" w:ascii="宋体" w:hAnsi="宋体"/>
          <w:color w:val="000000" w:themeColor="text1"/>
          <w:sz w:val="24"/>
          <w:highlight w:val="none"/>
          <w14:textFill>
            <w14:solidFill>
              <w14:schemeClr w14:val="tx1"/>
            </w14:solidFill>
          </w14:textFill>
        </w:rPr>
        <w:t xml:space="preserve">（如有）</w:t>
      </w:r>
      <w:r/>
    </w:p>
    <w:p>
      <w:pPr>
        <w:jc w:val="left"/>
        <w:spacing w:line="360" w:lineRule="auto"/>
        <w:widowControl/>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1</w:t>
      </w:r>
      <w:r>
        <w:rPr>
          <w:rFonts w:ascii="宋体" w:hAnsi="宋体"/>
          <w:color w:val="000000" w:themeColor="text1"/>
          <w:sz w:val="24"/>
          <w:szCs w:val="20"/>
          <w:highlight w:val="none"/>
          <w14:textFill>
            <w14:solidFill>
              <w14:schemeClr w14:val="tx1"/>
            </w14:solidFill>
          </w14:textFill>
        </w:rPr>
        <w:t xml:space="preserve">其他特定资格要求</w:t>
      </w:r>
      <w:r>
        <w:rPr>
          <w:rFonts w:hint="eastAsia"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如有，见第一章《采购邀请》</w:t>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函</w:t>
      </w:r>
      <w:r>
        <w:rPr>
          <w:rFonts w:ascii="宋体" w:hAnsi="宋体"/>
          <w:color w:val="000000" w:themeColor="text1"/>
          <w:sz w:val="24"/>
          <w:szCs w:val="20"/>
          <w:highlight w:val="none"/>
          <w14:textFill>
            <w14:solidFill>
              <w14:schemeClr w14:val="tx1"/>
            </w14:solidFill>
          </w14:textFill>
        </w:rPr>
        <w:t xml:space="preserve">（实质性格式）</w:t>
      </w:r>
      <w:r/>
    </w:p>
    <w:p>
      <w:pPr>
        <w:jc w:val="center"/>
        <w:spacing w:line="360" w:lineRule="auto"/>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响应函</w:t>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ascii="宋体" w:hAnsi="宋体"/>
          <w:color w:val="000000" w:themeColor="text1"/>
          <w:sz w:val="24"/>
          <w:highlight w:val="none"/>
          <w:u w:val="single"/>
          <w14:textFill>
            <w14:solidFill>
              <w14:schemeClr w14:val="tx1"/>
            </w14:solidFill>
          </w14:textFill>
        </w:rPr>
        <w:t xml:space="preserve">（采购人或采购代理机构）</w:t>
      </w:r>
      <w:r/>
    </w:p>
    <w:p>
      <w:pPr>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ind w:firstLine="48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我方参加你方就___________（项目名称，项目编号/包号）组织的</w:t>
      </w:r>
      <w:r>
        <w:rPr>
          <w:rFonts w:hint="eastAsia" w:ascii="宋体" w:hAnsi="宋体"/>
          <w:color w:val="000000" w:themeColor="text1"/>
          <w:sz w:val="24"/>
          <w:szCs w:val="20"/>
          <w:highlight w:val="none"/>
          <w14:textFill>
            <w14:solidFill>
              <w14:schemeClr w14:val="tx1"/>
            </w14:solidFill>
          </w14:textFill>
        </w:rPr>
        <w:t xml:space="preserve">政府采购</w:t>
      </w:r>
      <w:r>
        <w:rPr>
          <w:rFonts w:ascii="宋体" w:hAnsi="宋体"/>
          <w:color w:val="000000" w:themeColor="text1"/>
          <w:sz w:val="24"/>
          <w:szCs w:val="20"/>
          <w:highlight w:val="none"/>
          <w14:textFill>
            <w14:solidFill>
              <w14:schemeClr w14:val="tx1"/>
            </w14:solidFill>
          </w14:textFill>
        </w:rPr>
        <w:t xml:space="preserve">活动，并对此项目进行响应。</w:t>
      </w:r>
      <w:r/>
    </w:p>
    <w:p>
      <w:pPr>
        <w:ind w:firstLine="48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 我方</w:t>
      </w:r>
      <w:r>
        <w:rPr>
          <w:rFonts w:ascii="宋体" w:hAnsi="宋体"/>
          <w:color w:val="000000" w:themeColor="text1"/>
          <w:sz w:val="24"/>
          <w:highlight w:val="none"/>
          <w14:textFill>
            <w14:solidFill>
              <w14:schemeClr w14:val="tx1"/>
            </w14:solidFill>
          </w14:textFill>
        </w:rPr>
        <w:t xml:space="preserve">已详细审查全部磋商文件</w:t>
      </w:r>
      <w:r>
        <w:rPr>
          <w:rFonts w:ascii="宋体" w:hAnsi="宋体"/>
          <w:color w:val="000000" w:themeColor="text1"/>
          <w:sz w:val="24"/>
          <w:szCs w:val="20"/>
          <w:highlight w:val="none"/>
          <w14:textFill>
            <w14:solidFill>
              <w14:schemeClr w14:val="tx1"/>
            </w14:solidFill>
          </w14:textFill>
        </w:rPr>
        <w:t xml:space="preserve">，自愿参与响应并承诺如下：</w:t>
      </w:r>
      <w:r/>
    </w:p>
    <w:p>
      <w:pPr>
        <w:ind w:firstLine="480"/>
        <w:spacing w:line="360" w:lineRule="auto"/>
        <w:tabs>
          <w:tab w:val="left" w:pos="720" w:leader="none"/>
          <w:tab w:val="left" w:pos="90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（1）本响应有效期为自提交响应文件的截止之日起</w:t>
      </w:r>
      <w:r>
        <w:rPr>
          <w:rFonts w:hint="eastAsia" w:ascii="宋体" w:hAnsi="宋体"/>
          <w:color w:val="000000" w:themeColor="text1"/>
          <w:sz w:val="24"/>
          <w:highlight w:val="none"/>
          <w14:textFill>
            <w14:solidFill>
              <w14:schemeClr w14:val="tx1"/>
            </w14:solidFill>
          </w14:textFill>
        </w:rPr>
        <w:t xml:space="preserve">60</w:t>
      </w:r>
      <w:r>
        <w:rPr>
          <w:rFonts w:ascii="宋体" w:hAnsi="宋体"/>
          <w:color w:val="000000" w:themeColor="text1"/>
          <w:sz w:val="24"/>
          <w:szCs w:val="20"/>
          <w:highlight w:val="none"/>
          <w14:textFill>
            <w14:solidFill>
              <w14:schemeClr w14:val="tx1"/>
            </w14:solidFill>
          </w14:textFill>
        </w:rPr>
        <w:t xml:space="preserve">个日历</w:t>
      </w:r>
      <w:r>
        <w:rPr>
          <w:rFonts w:hint="eastAsia" w:ascii="宋体" w:hAnsi="宋体"/>
          <w:color w:val="000000" w:themeColor="text1"/>
          <w:sz w:val="24"/>
          <w:szCs w:val="20"/>
          <w:highlight w:val="none"/>
          <w14:textFill>
            <w14:solidFill>
              <w14:schemeClr w14:val="tx1"/>
            </w14:solidFill>
          </w14:textFill>
        </w:rPr>
        <w:t xml:space="preserve">天</w:t>
      </w:r>
      <w:r>
        <w:rPr>
          <w:rFonts w:ascii="宋体" w:hAnsi="宋体"/>
          <w:color w:val="000000" w:themeColor="text1"/>
          <w:sz w:val="24"/>
          <w:szCs w:val="20"/>
          <w:highlight w:val="none"/>
          <w14:textFill>
            <w14:solidFill>
              <w14:schemeClr w14:val="tx1"/>
            </w14:solidFill>
          </w14:textFill>
        </w:rPr>
        <w:t xml:space="preserve">。</w:t>
      </w:r>
      <w:r/>
    </w:p>
    <w:p>
      <w:pPr>
        <w:ind w:firstLine="480"/>
        <w:spacing w:line="360" w:lineRule="auto"/>
        <w:tabs>
          <w:tab w:val="left" w:pos="720" w:leader="none"/>
          <w:tab w:val="left" w:pos="90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（2）除合同条款及采购需求偏离表列出的偏离外，我方响应磋商文件的全部要求。</w:t>
      </w:r>
      <w:r/>
    </w:p>
    <w:p>
      <w:pPr>
        <w:ind w:firstLine="48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80"/>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（4）如我方</w:t>
      </w:r>
      <w:r>
        <w:rPr>
          <w:rFonts w:hint="eastAsia" w:ascii="宋体" w:hAnsi="宋体"/>
          <w:color w:val="000000" w:themeColor="text1"/>
          <w:sz w:val="24"/>
          <w:szCs w:val="20"/>
          <w:highlight w:val="none"/>
          <w14:textFill>
            <w14:solidFill>
              <w14:schemeClr w14:val="tx1"/>
            </w14:solidFill>
          </w14:textFill>
        </w:rPr>
        <w:t xml:space="preserve">成交</w:t>
      </w:r>
      <w:r>
        <w:rPr>
          <w:rFonts w:ascii="宋体" w:hAnsi="宋体"/>
          <w:color w:val="000000" w:themeColor="text1"/>
          <w:sz w:val="24"/>
          <w:szCs w:val="20"/>
          <w:highlight w:val="none"/>
          <w14:textFill>
            <w14:solidFill>
              <w14:schemeClr w14:val="tx1"/>
            </w14:solidFill>
          </w14:textFill>
        </w:rPr>
        <w:t xml:space="preserve">，我方将在法律规定的期限内与你方签订合同，并在合同约定的期限内完成合同规定的全部义务。</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其他补充条款（如有）：</w:t>
      </w:r>
      <w:r>
        <w:rPr>
          <w:rFonts w:ascii="宋体" w:hAnsi="宋体"/>
          <w:color w:val="000000" w:themeColor="text1"/>
          <w:sz w:val="24"/>
          <w:szCs w:val="20"/>
          <w:highlight w:val="none"/>
          <w14:textFill>
            <w14:solidFill>
              <w14:schemeClr w14:val="tx1"/>
            </w14:solidFill>
          </w14:textFill>
        </w:rPr>
        <w:t xml:space="preserve">___________</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与本响应有关的一切正式往来信函请寄：</w:t>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供应商名称（加盖公章） ___________</w:t>
      </w:r>
      <w:r/>
    </w:p>
    <w:p>
      <w:pPr>
        <w:ind w:left="420"/>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rFonts w:hint="eastAsia" w:ascii="宋体" w:hAnsi="宋体"/>
          <w:color w:val="000000" w:themeColor="text1"/>
          <w:sz w:val="24"/>
          <w:szCs w:val="20"/>
          <w:highlight w:val="none"/>
          <w:u w:val="single"/>
          <w14:textFill>
            <w14:solidFill>
              <w14:schemeClr w14:val="tx1"/>
            </w14:solidFill>
          </w14:textFill>
        </w:rPr>
      </w:pPr>
      <w:r>
        <w:rPr>
          <w:rFonts w:hint="eastAsia" w:ascii="宋体" w:hAnsi="宋体"/>
          <w:color w:val="000000" w:themeColor="text1"/>
          <w:sz w:val="24"/>
          <w:szCs w:val="20"/>
          <w:highlight w:val="none"/>
          <w:u w:val="singl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bookmarkStart w:id="631" w:name="_Hlt520356243"/>
      <w:r/>
      <w:bookmarkEnd w:id="631"/>
      <w:r/>
      <w:bookmarkStart w:id="632" w:name="_Hlt520355938"/>
      <w:r/>
      <w:bookmarkEnd w:id="632"/>
      <w:r>
        <w:rPr>
          <w:rFonts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法定代表人资格证明书</w:t>
      </w:r>
      <w:r>
        <w:rPr>
          <w:rFonts w:ascii="宋体" w:hAnsi="宋体"/>
          <w:color w:val="000000" w:themeColor="text1"/>
          <w:sz w:val="24"/>
          <w:szCs w:val="20"/>
          <w:highlight w:val="none"/>
          <w14:textFill>
            <w14:solidFill>
              <w14:schemeClr w14:val="tx1"/>
            </w14:solidFill>
          </w14:textFill>
        </w:rPr>
        <w:t xml:space="preserve">（实质性格式）</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法定代表人资格证明书</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     性别：       年龄：      职务：</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（供应商名称）</w:t>
      </w:r>
      <w:r>
        <w:rPr>
          <w:rFonts w:hint="eastAsia" w:ascii="宋体" w:hAnsi="宋体"/>
          <w:color w:val="000000" w:themeColor="text1"/>
          <w:sz w:val="24"/>
          <w:highlight w:val="none"/>
          <w14:textFill>
            <w14:solidFill>
              <w14:schemeClr w14:val="tx1"/>
            </w14:solidFill>
          </w14:textFill>
        </w:rPr>
        <w:t xml:space="preserve">的法定代表人。为参与</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的政府采购活动，</w:t>
      </w:r>
      <w:r>
        <w:rPr>
          <w:rFonts w:ascii="宋体" w:hAnsi="宋体"/>
          <w:color w:val="000000" w:themeColor="text1"/>
          <w:sz w:val="24"/>
          <w:szCs w:val="20"/>
          <w:highlight w:val="none"/>
          <w14:textFill>
            <w14:solidFill>
              <w14:schemeClr w14:val="tx1"/>
            </w14:solidFill>
          </w14:textFill>
        </w:rPr>
        <w:t xml:space="preserve">签署、澄清确认、递交、撤回、修改</w:t>
      </w:r>
      <w:r>
        <w:rPr>
          <w:rFonts w:hint="eastAsia" w:ascii="宋体" w:hAnsi="宋体"/>
          <w:color w:val="000000" w:themeColor="text1"/>
          <w:sz w:val="24"/>
          <w:highlight w:val="none"/>
          <w14:textFill>
            <w14:solidFill>
              <w14:schemeClr w14:val="tx1"/>
            </w14:solidFill>
          </w14:textFill>
        </w:rPr>
        <w:t xml:space="preserve">上述项目的磋商响应文件、进行合同谈判、签署合同和处理与之有关的一切事务。</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67"/>
        <w:ind w:right="-46"/>
        <w:spacing w:line="583" w:lineRule="auto"/>
        <w:rPr>
          <w:rFonts w:hint="eastAsia"/>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 xml:space="preserve">附：</w:t>
      </w:r>
      <w:r>
        <w:rPr>
          <w:color w:val="000000" w:themeColor="text1"/>
          <w:spacing w:val="-3"/>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w:t>
      </w:r>
      <w:r>
        <w:rPr>
          <w:color w:val="000000" w:themeColor="text1"/>
          <w:spacing w:val="-3"/>
          <w:highlight w:val="none"/>
          <w14:textFill>
            <w14:solidFill>
              <w14:schemeClr w14:val="tx1"/>
            </w14:solidFill>
          </w14:textFill>
        </w:rPr>
        <w:t xml:space="preserve">代</w:t>
      </w:r>
      <w:r>
        <w:rPr>
          <w:color w:val="000000" w:themeColor="text1"/>
          <w:highlight w:val="none"/>
          <w14:textFill>
            <w14:solidFill>
              <w14:schemeClr w14:val="tx1"/>
            </w14:solidFill>
          </w14:textFill>
        </w:rPr>
        <w:t xml:space="preserve">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单</w:t>
      </w:r>
      <w:r>
        <w:rPr>
          <w:color w:val="000000" w:themeColor="text1"/>
          <w:highlight w:val="none"/>
          <w14:textFill>
            <w14:solidFill>
              <w14:schemeClr w14:val="tx1"/>
            </w14:solidFill>
          </w14:textFill>
        </w:rPr>
        <w:t xml:space="preserve">位</w:t>
      </w:r>
      <w:r>
        <w:rPr>
          <w:color w:val="000000" w:themeColor="text1"/>
          <w:spacing w:val="-3"/>
          <w:highlight w:val="none"/>
          <w14:textFill>
            <w14:solidFill>
              <w14:schemeClr w14:val="tx1"/>
            </w14:solidFill>
          </w14:textFill>
        </w:rPr>
        <w:t xml:space="preserve">负</w:t>
      </w:r>
      <w:r>
        <w:rPr>
          <w:color w:val="000000" w:themeColor="text1"/>
          <w:highlight w:val="none"/>
          <w14:textFill>
            <w14:solidFill>
              <w14:schemeClr w14:val="tx1"/>
            </w14:solidFill>
          </w14:textFill>
        </w:rPr>
        <w:t xml:space="preserve">责人</w:t>
      </w:r>
      <w:r>
        <w:rPr>
          <w:color w:val="000000" w:themeColor="text1"/>
          <w:spacing w:val="-3"/>
          <w:highlight w:val="none"/>
          <w14:textFill>
            <w14:solidFill>
              <w14:schemeClr w14:val="tx1"/>
            </w14:solidFill>
          </w14:textFill>
        </w:rPr>
        <w:t xml:space="preserve">）有效期内的身</w:t>
      </w:r>
      <w:r>
        <w:rPr>
          <w:rFonts w:hint="eastAsia"/>
          <w:color w:val="000000" w:themeColor="text1"/>
          <w:spacing w:val="-3"/>
          <w:highlight w:val="none"/>
          <w14:textFill>
            <w14:solidFill>
              <w14:schemeClr w14:val="tx1"/>
            </w14:solidFill>
          </w14:textFill>
        </w:rPr>
        <w:t xml:space="preserve">份</w:t>
      </w:r>
      <w:r>
        <w:rPr>
          <w:color w:val="000000" w:themeColor="text1"/>
          <w:spacing w:val="-3"/>
          <w:highlight w:val="none"/>
          <w14:textFill>
            <w14:solidFill>
              <w14:schemeClr w14:val="tx1"/>
            </w14:solidFill>
          </w14:textFill>
        </w:rPr>
        <w:t xml:space="preserve">证正反面</w:t>
      </w:r>
      <w:r>
        <w:rPr>
          <w:rFonts w:hint="eastAsia"/>
          <w:color w:val="000000" w:themeColor="text1"/>
          <w:spacing w:val="-3"/>
          <w:highlight w:val="none"/>
          <w14:textFill>
            <w14:solidFill>
              <w14:schemeClr w14:val="tx1"/>
            </w14:solidFill>
          </w14:textFill>
        </w:rPr>
        <w:t xml:space="preserve">电子件。</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r>
    </w:tbl>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供应商：（加盖公章）</w:t>
      </w:r>
      <w:r/>
    </w:p>
    <w:p>
      <w:pPr>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或签章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firstLine="4320"/>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竞争性磋商</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磋商</w:t>
      </w:r>
      <w:r>
        <w:rPr>
          <w:rFonts w:ascii="宋体" w:hAnsi="宋体"/>
          <w:color w:val="000000" w:themeColor="text1"/>
          <w:sz w:val="24"/>
          <w:szCs w:val="20"/>
          <w:highlight w:val="none"/>
          <w14:textFill>
            <w14:solidFill>
              <w14:schemeClr w14:val="tx1"/>
            </w14:solidFill>
          </w14:textFill>
        </w:rPr>
        <w:t xml:space="preserve">的），则法定代表人（单位负责人）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7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6  授权委托书（实质性格式）</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授权委托书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日期：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职务：                                       联系电话：</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地址：</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委托代理人（被授权人）签字或盖章：           日期：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职务：                                       联系电话：</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                                   地址：</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供应商公章：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电话：</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                                       邮编：</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w:t>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附：代理人身份证正反面电子件</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r>
    </w:tbl>
    <w:p>
      <w:pPr>
        <w:jc w:val="left"/>
        <w:widowControl/>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r>
      <w:r/>
    </w:p>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政府采购供应商信用承诺书</w:t>
      </w:r>
      <w:r>
        <w:rPr>
          <w:rFonts w:ascii="宋体" w:hAnsi="宋体"/>
          <w:color w:val="000000" w:themeColor="text1"/>
          <w:sz w:val="24"/>
          <w:szCs w:val="20"/>
          <w:highlight w:val="none"/>
          <w14:textFill>
            <w14:solidFill>
              <w14:schemeClr w14:val="tx1"/>
            </w14:solidFill>
          </w14:textFill>
        </w:rPr>
        <w:t xml:space="preserve">（实质性格式）</w:t>
      </w:r>
      <w:r/>
    </w:p>
    <w:p>
      <w:pPr>
        <w:jc w:val="center"/>
        <w:spacing w:line="56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政府采购供应商信用承诺书</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805"/>
        <w:ind w:right="1050" w:firstLine="0"/>
        <w:jc w:val="both"/>
        <w:spacing w:line="276" w:lineRule="auto"/>
        <w:rPr>
          <w:rFonts w:hint="eastAsia" w:ascii="宋体" w:hAnsi="宋体" w:eastAsia="宋体"/>
          <w:color w:val="000000" w:themeColor="text1"/>
          <w:sz w:val="24"/>
          <w:szCs w:val="22"/>
          <w:highlight w:val="none"/>
          <w14:textFill>
            <w14:solidFill>
              <w14:schemeClr w14:val="tx1"/>
            </w14:solidFill>
          </w14:textFill>
        </w:rPr>
      </w:pPr>
      <w:r>
        <w:rPr>
          <w:rFonts w:hint="eastAsia" w:ascii="宋体" w:hAnsi="宋体" w:eastAsia="宋体"/>
          <w:color w:val="000000" w:themeColor="text1"/>
          <w:sz w:val="24"/>
          <w:szCs w:val="22"/>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szCs w:val="20"/>
          <w:highlight w:val="none"/>
          <w14:textFill>
            <w14:solidFill>
              <w14:schemeClr w14:val="tx1"/>
            </w14:solidFill>
          </w14:textFill>
        </w:rPr>
        <w:t xml:space="preserve">8</w:t>
      </w:r>
      <w:r>
        <w:rPr>
          <w:rFonts w:ascii="宋体" w:hAnsi="宋体"/>
          <w:color w:val="000000" w:themeColor="text1"/>
          <w:sz w:val="24"/>
          <w:szCs w:val="20"/>
          <w:highlight w:val="none"/>
          <w14:textFill>
            <w14:solidFill>
              <w14:schemeClr w14:val="tx1"/>
            </w14:solidFill>
          </w14:textFill>
        </w:rPr>
        <w:t xml:space="preserve">  报价一览表</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bookmarkStart w:id="633" w:name="_Toc226965748"/>
      <w:r/>
      <w:bookmarkStart w:id="634" w:name="_Toc305158900"/>
      <w:r/>
      <w:bookmarkStart w:id="635" w:name="_Toc164608672"/>
      <w:r/>
      <w:bookmarkStart w:id="636" w:name="_Toc195842923"/>
      <w:r/>
      <w:bookmarkStart w:id="637" w:name="_Toc264969248"/>
      <w:r/>
      <w:bookmarkStart w:id="638" w:name="_Toc226337254"/>
      <w:r/>
      <w:bookmarkStart w:id="639" w:name="_Toc226965831"/>
      <w:r/>
      <w:bookmarkStart w:id="640" w:name="_Toc265228396"/>
      <w:r/>
      <w:bookmarkStart w:id="641" w:name="_Toc164608827"/>
      <w:r/>
      <w:bookmarkStart w:id="642" w:name="_Toc305158826"/>
      <w:r/>
      <w:bookmarkStart w:id="643" w:name="_Toc226309802"/>
      <w:r>
        <w:rPr>
          <w:rFonts w:hint="eastAsia" w:ascii="宋体" w:hAnsi="宋体"/>
          <w:b/>
          <w:color w:val="000000" w:themeColor="text1"/>
          <w:sz w:val="36"/>
          <w:szCs w:val="36"/>
          <w:highlight w:val="none"/>
          <w14:textFill>
            <w14:solidFill>
              <w14:schemeClr w14:val="tx1"/>
            </w14:solidFill>
          </w14:textFill>
        </w:rPr>
        <w:t xml:space="preserve">报价一览表</w:t>
      </w:r>
      <w:bookmarkEnd w:id="633"/>
      <w:r/>
      <w:bookmarkEnd w:id="634"/>
      <w:r/>
      <w:bookmarkEnd w:id="635"/>
      <w:r/>
      <w:bookmarkEnd w:id="636"/>
      <w:r/>
      <w:bookmarkEnd w:id="637"/>
      <w:r/>
      <w:bookmarkEnd w:id="638"/>
      <w:r/>
      <w:bookmarkEnd w:id="639"/>
      <w:r/>
      <w:bookmarkEnd w:id="640"/>
      <w:r/>
      <w:bookmarkEnd w:id="641"/>
      <w:r/>
      <w:bookmarkEnd w:id="642"/>
      <w:r/>
      <w:bookmarkEnd w:id="643"/>
      <w:r/>
      <w:r/>
    </w:p>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bookmarkStart w:id="644" w:name="_Toc226965835"/>
      <w:r/>
      <w:bookmarkStart w:id="645" w:name="_Toc226965752"/>
      <w:r/>
      <w:bookmarkStart w:id="646" w:name="_Toc142311062"/>
      <w:r/>
      <w:bookmarkStart w:id="647" w:name="_Toc226309806"/>
      <w:r/>
      <w:bookmarkStart w:id="648" w:name="_Toc150480798"/>
      <w:r/>
      <w:bookmarkStart w:id="649" w:name="_Toc226337258"/>
      <w:r/>
      <w:bookmarkStart w:id="650" w:name="_Toc195842927"/>
      <w:r/>
      <w:bookmarkStart w:id="651" w:name="_Toc127151562"/>
      <w:r/>
      <w:bookmarkStart w:id="652" w:name="_Toc150774765"/>
      <w:r/>
      <w:bookmarkStart w:id="653" w:name="_Toc264969252"/>
      <w:r/>
      <w:bookmarkStart w:id="654" w:name="_Toc305158830"/>
      <w:r/>
      <w:bookmarkStart w:id="655" w:name="_Toc265228400"/>
      <w:r/>
      <w:bookmarkStart w:id="656" w:name="_Toc305158904"/>
      <w:r/>
      <w:bookmarkStart w:id="657" w:name="_Toc127151561"/>
      <w:r/>
      <w:bookmarkStart w:id="658" w:name="_Toc195842926"/>
      <w:r/>
      <w:bookmarkStart w:id="659" w:name="_Toc265228399"/>
      <w:r/>
      <w:bookmarkStart w:id="660" w:name="_Toc264969251"/>
      <w:r/>
      <w:bookmarkStart w:id="661" w:name="_Toc226337257"/>
      <w:r/>
      <w:bookmarkStart w:id="662" w:name="_Toc305158903"/>
      <w:r/>
      <w:bookmarkStart w:id="663" w:name="_Toc150480797"/>
      <w:r/>
      <w:bookmarkStart w:id="664" w:name="_Toc226965751"/>
      <w:r/>
      <w:bookmarkStart w:id="665" w:name="_Toc226309805"/>
      <w:r/>
      <w:bookmarkStart w:id="666" w:name="_Toc142311061"/>
      <w:r/>
      <w:bookmarkStart w:id="667" w:name="_Toc305158829"/>
      <w:r/>
      <w:bookmarkStart w:id="668" w:name="_Toc226965834"/>
      <w:r/>
      <w:bookmarkStart w:id="669" w:name="_Toc150774764"/>
      <w:r/>
      <w:r/>
    </w:p>
    <w:p>
      <w:pPr>
        <w:jc w:val="left"/>
        <w:spacing w:line="360" w:lineRule="auto"/>
        <w:tabs>
          <w:tab w:val="left" w:pos="1800" w:leader="none"/>
          <w:tab w:val="left" w:pos="558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szCs w:val="20"/>
          <w:highlight w:val="none"/>
          <w14:textFill>
            <w14:solidFill>
              <w14:schemeClr w14:val="tx1"/>
            </w14:solidFill>
          </w14:textFill>
        </w:rPr>
        <w:t xml:space="preserve">/包号</w:t>
      </w:r>
      <w:r>
        <w:rPr>
          <w:rFonts w:ascii="宋体" w:hAnsi="宋体"/>
          <w:color w:val="000000" w:themeColor="text1"/>
          <w:sz w:val="24"/>
          <w:highlight w:val="none"/>
          <w14:textFill>
            <w14:solidFill>
              <w14:schemeClr w14:val="tx1"/>
            </w14:solidFill>
          </w14:textFill>
        </w:rPr>
        <w:t xml:space="preserve">：_____________________     项目名称：_______________________</w:t>
      </w:r>
      <w:r/>
    </w:p>
    <w:p>
      <w:pPr>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bl>
      <w:tblPr>
        <w:tblStyle w:val="757"/>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报价（%）</w:t>
            </w:r>
            <w:r/>
          </w:p>
        </w:tc>
      </w:tr>
      <w:tr>
        <w:trPr>
          <w:jc w:val="center"/>
          <w:trHeight w:val="508"/>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百分之</w:t>
            </w:r>
            <w:r>
              <w:rPr>
                <w:rFonts w:hint="eastAsia" w:ascii="宋体" w:hAnsi="宋体"/>
                <w:color w:val="000000" w:themeColor="text1"/>
                <w:sz w:val="24"/>
                <w:highlight w:val="none"/>
                <w:u w:val="single"/>
                <w14:textFill>
                  <w14:solidFill>
                    <w14:schemeClr w14:val="tx1"/>
                  </w14:solidFill>
                </w14:textFill>
              </w:rPr>
              <w:t xml:space="preserve">    </w:t>
            </w:r>
            <w:r/>
          </w:p>
        </w:tc>
        <w:tc>
          <w:tcPr>
            <w:tcBorders>
              <w:top w:val="single" w:color="auto" w:sz="4" w:space="0"/>
              <w:left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tc>
      </w:tr>
    </w:tbl>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jc w:val="left"/>
        <w:spacing w:line="400" w:lineRule="exact"/>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1.此表中的报价应和《分项报价表》中的报价相一致。</w:t>
      </w:r>
      <w:r/>
    </w:p>
    <w:p>
      <w:pPr>
        <w:ind w:firstLine="482"/>
        <w:jc w:val="left"/>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2.二次报价即最终报价。</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000000" w:themeColor="text1"/>
          <w:sz w:val="24"/>
          <w:highlight w:val="none"/>
          <w14:textFill>
            <w14:solidFill>
              <w14:schemeClr w14:val="tx1"/>
            </w14:solidFill>
          </w14:textFill>
        </w:rPr>
        <w:br w:type="page" w:clear="all"/>
      </w:r>
      <w:r/>
    </w:p>
    <w:p>
      <w:pPr>
        <w:jc w:val="left"/>
        <w:tabs>
          <w:tab w:val="left" w:pos="1800" w:leader="none"/>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9  </w:t>
      </w:r>
      <w:r>
        <w:rPr>
          <w:rFonts w:ascii="宋体" w:hAnsi="宋体"/>
          <w:color w:val="000000" w:themeColor="text1"/>
          <w:sz w:val="24"/>
          <w:szCs w:val="20"/>
          <w:highlight w:val="none"/>
          <w14:textFill>
            <w14:solidFill>
              <w14:schemeClr w14:val="tx1"/>
            </w14:solidFill>
          </w14:textFill>
        </w:rPr>
        <w:t xml:space="preserve">分项报价表</w:t>
      </w:r>
      <w:r/>
    </w:p>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分项报价表</w:t>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835"/>
        <w:gridCol w:w="2126"/>
        <w:gridCol w:w="3368"/>
      </w:tblGrid>
      <w:tr>
        <w:trPr/>
        <w:tc>
          <w:tcPr>
            <w:tcW w:w="959"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835"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tc>
        <w:tc>
          <w:tcPr>
            <w:tcW w:w="2126"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w:t>
            </w:r>
            <w:r/>
          </w:p>
        </w:tc>
        <w:tc>
          <w:tcPr>
            <w:tcW w:w="3368"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tc>
          <w:tcPr>
            <w:tcW w:w="959"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2835"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消防维护费(基准价为9万元/年)</w:t>
            </w:r>
            <w:r/>
          </w:p>
        </w:tc>
        <w:tc>
          <w:tcPr>
            <w:tcW w:w="2126" w:type="dxa"/>
            <w:vAlign w:val="center"/>
            <w:vMerge w:val="restart"/>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tc>
        <w:tc>
          <w:tcPr>
            <w:tcW w:w="3368" w:type="dxa"/>
            <w:vAlign w:val="center"/>
            <w:textDirection w:val="lrTb"/>
            <w:noWrap w:val="false"/>
          </w:tcPr>
          <w:p>
            <w:pP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消防维护费为总价包干，本报价包括本项目消防年检费、消防维保人工费、维修费、保养费、安装费、利润、税金、及按合同应承担的合同价10%(含10%)以内消防维保耗材和消防设施设备更换费等所有消防维保费用。</w:t>
            </w:r>
            <w:r/>
          </w:p>
        </w:tc>
      </w:tr>
      <w:tr>
        <w:trPr>
          <w:trHeight w:val="2008"/>
        </w:trPr>
        <w:tc>
          <w:tcPr>
            <w:tcW w:w="959"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2835"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消防零星工程维修费</w:t>
            </w:r>
            <w:r/>
          </w:p>
        </w:tc>
        <w:tc>
          <w:tcPr>
            <w:tcW w:w="2126" w:type="dxa"/>
            <w:vAlign w:val="center"/>
            <w:vMerge w:val="continue"/>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8" w:type="dxa"/>
            <w:vAlign w:val="center"/>
            <w:textDirection w:val="lrTb"/>
            <w:noWrap w:val="false"/>
          </w:tcPr>
          <w:p>
            <w:pPr>
              <w:jc w:val="cente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10</w:t>
      </w:r>
      <w:r>
        <w:rPr>
          <w:rFonts w:ascii="宋体" w:hAnsi="宋体"/>
          <w:color w:val="000000" w:themeColor="text1"/>
          <w:sz w:val="24"/>
          <w:szCs w:val="20"/>
          <w:highlight w:val="none"/>
          <w14:textFill>
            <w14:solidFill>
              <w14:schemeClr w14:val="tx1"/>
            </w14:solidFill>
          </w14:textFill>
        </w:rPr>
        <w:t xml:space="preserve">  合同条款偏离表</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合同条款偏离表</w:t>
      </w:r>
      <w:r/>
    </w:p>
    <w:p>
      <w:pPr>
        <w:jc w:val="center"/>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szCs w:val="20"/>
          <w:highlight w:val="none"/>
          <w14:textFill>
            <w14:solidFill>
              <w14:schemeClr w14:val="tx1"/>
            </w14:solidFill>
          </w14:textFill>
        </w:rPr>
        <w:t xml:space="preserve">/包号</w:t>
      </w:r>
      <w:r>
        <w:rPr>
          <w:rFonts w:ascii="宋体" w:hAnsi="宋体"/>
          <w:color w:val="000000" w:themeColor="text1"/>
          <w:sz w:val="24"/>
          <w:highlight w:val="none"/>
          <w14:textFill>
            <w14:solidFill>
              <w14:schemeClr w14:val="tx1"/>
            </w14:solidFill>
          </w14:textFill>
        </w:rPr>
        <w:t xml:space="preserve">：_______________     项目名称：_____________________</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对本项目合同条款的偏离情况（请进行勾选）：</w:t>
            </w:r>
            <w:r/>
          </w:p>
          <w:p>
            <w:pPr>
              <w:jc w:val="lef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□无偏离</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如无偏离，仅勾选无偏离即可</w:t>
            </w:r>
            <w:r>
              <w:rPr>
                <w:rFonts w:ascii="宋体" w:hAnsi="宋体"/>
                <w:color w:val="000000" w:themeColor="text1"/>
                <w:sz w:val="24"/>
                <w:highlight w:val="none"/>
                <w14:textFill>
                  <w14:solidFill>
                    <w14:schemeClr w14:val="tx1"/>
                  </w14:solidFill>
                </w14:textFill>
              </w:rPr>
              <w:t xml:space="preserve">）</w:t>
            </w:r>
            <w:r/>
          </w:p>
          <w:p>
            <w:pPr>
              <w:jc w:val="left"/>
              <w:rPr>
                <w:rFonts w:hint="eastAsia"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□有偏离</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如有负偏离，</w:t>
            </w:r>
            <w:r>
              <w:rPr>
                <w:rFonts w:ascii="宋体" w:hAnsi="宋体"/>
                <w:color w:val="000000" w:themeColor="text1"/>
                <w:sz w:val="24"/>
                <w:highlight w:val="none"/>
                <w14:textFill>
                  <w14:solidFill>
                    <w14:schemeClr w14:val="tx1"/>
                  </w14:solidFill>
                </w14:textFill>
              </w:rPr>
              <w:t xml:space="preserve">则须在本表中对负偏离项逐一列明）</w:t>
            </w:r>
            <w:r/>
          </w:p>
        </w:tc>
      </w:tr>
      <w:tr>
        <w:trPr>
          <w:jc w:val="center"/>
          <w:trHeight w:val="930"/>
        </w:trPr>
        <w:tc>
          <w:tcPr>
            <w:tcW w:w="82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序号</w:t>
            </w:r>
            <w:r/>
          </w:p>
        </w:tc>
        <w:tc>
          <w:tcPr>
            <w:tcW w:w="129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条目号（页码）</w:t>
            </w:r>
            <w:r/>
          </w:p>
        </w:tc>
        <w:tc>
          <w:tcPr>
            <w:tcW w:w="198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要求</w:t>
            </w:r>
            <w:r/>
          </w:p>
        </w:tc>
        <w:tc>
          <w:tcPr>
            <w:tcW w:w="198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响应文件内容</w:t>
            </w:r>
            <w:r/>
          </w:p>
        </w:tc>
        <w:tc>
          <w:tcPr>
            <w:tcW w:w="242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偏离情况</w:t>
            </w:r>
            <w:r/>
          </w:p>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（据实填写）</w:t>
            </w:r>
            <w:r/>
          </w:p>
        </w:tc>
        <w:tc>
          <w:tcPr>
            <w:tcW w:w="7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tc>
      </w:tr>
      <w:tr>
        <w:trPr>
          <w:jc w:val="center"/>
          <w:trHeight w:val="930"/>
        </w:trPr>
        <w:tc>
          <w:tcPr>
            <w:tcW w:w="82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9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2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82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9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2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82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9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2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82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9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2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14:textFill>
            <w14:solidFill>
              <w14:schemeClr w14:val="tx1"/>
            </w14:solidFill>
          </w14:textFill>
        </w:rPr>
        <w:t xml:space="preserve">“偏离情况”列应据实填写“正偏离”或“负偏离”。</w:t>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    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szCs w:val="20"/>
          <w:highlight w:val="none"/>
          <w14:textFill>
            <w14:solidFill>
              <w14:schemeClr w14:val="tx1"/>
            </w14:solidFill>
          </w14:textFill>
        </w:rPr>
        <w:t xml:space="preserve">11</w:t>
      </w:r>
      <w:r>
        <w:rPr>
          <w:rFonts w:ascii="宋体" w:hAnsi="宋体"/>
          <w:color w:val="000000" w:themeColor="text1"/>
          <w:sz w:val="24"/>
          <w:szCs w:val="20"/>
          <w:highlight w:val="none"/>
          <w14:textFill>
            <w14:solidFill>
              <w14:schemeClr w14:val="tx1"/>
            </w14:solidFill>
          </w14:textFill>
        </w:rPr>
        <w:t xml:space="preserve">  </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ascii="宋体" w:hAnsi="宋体"/>
          <w:color w:val="000000" w:themeColor="text1"/>
          <w:sz w:val="24"/>
          <w:szCs w:val="20"/>
          <w:highlight w:val="none"/>
          <w14:textFill>
            <w14:solidFill>
              <w14:schemeClr w14:val="tx1"/>
            </w14:solidFill>
          </w14:textFill>
        </w:rPr>
        <w:t xml:space="preserve">采购需求偏离表</w:t>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采购需求偏离表</w:t>
      </w:r>
      <w:r/>
    </w:p>
    <w:p>
      <w:pPr>
        <w:jc w:val="center"/>
        <w:rPr>
          <w:rFonts w:hint="eastAsia"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r>
      <w:r/>
    </w:p>
    <w:p>
      <w:pPr>
        <w:jc w:val="left"/>
        <w:spacing w:line="360" w:lineRule="auto"/>
        <w:tabs>
          <w:tab w:val="left" w:pos="1800" w:leader="none"/>
          <w:tab w:val="left" w:pos="558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szCs w:val="20"/>
          <w:highlight w:val="none"/>
          <w14:textFill>
            <w14:solidFill>
              <w14:schemeClr w14:val="tx1"/>
            </w14:solidFill>
          </w14:textFill>
        </w:rPr>
        <w:t xml:space="preserve">/包号</w:t>
      </w:r>
      <w:r>
        <w:rPr>
          <w:rFonts w:ascii="宋体" w:hAnsi="宋体"/>
          <w:color w:val="000000" w:themeColor="text1"/>
          <w:sz w:val="24"/>
          <w:highlight w:val="none"/>
          <w14:textFill>
            <w14:solidFill>
              <w14:schemeClr w14:val="tx1"/>
            </w14:solidFill>
          </w14:textFill>
        </w:rPr>
        <w:t xml:space="preserve">：_____________________     项目名称：_______________________</w:t>
      </w:r>
      <w:r/>
    </w:p>
    <w:tbl>
      <w:tblPr>
        <w:tblStyle w:val="75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对本项目采购需求、技术要求等条款的偏离情况（请进行勾选）：</w:t>
            </w:r>
            <w:r/>
          </w:p>
          <w:p>
            <w:pPr>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z w:val="24"/>
                <w:highlight w:val="none"/>
                <w14:textFill>
                  <w14:solidFill>
                    <w14:schemeClr w14:val="tx1"/>
                  </w14:solidFill>
                </w14:textFill>
              </w:rPr>
              <w:t xml:space="preserve">无偏离</w:t>
            </w:r>
            <w:r>
              <w:rPr>
                <w:rFonts w:ascii="宋体" w:hAnsi="宋体"/>
                <w:color w:val="000000" w:themeColor="text1"/>
                <w:sz w:val="24"/>
                <w:highlight w:val="none"/>
                <w14:textFill>
                  <w14:solidFill>
                    <w14:schemeClr w14:val="tx1"/>
                  </w14:solidFill>
                </w14:textFill>
              </w:rPr>
              <w:t xml:space="preserve">（如无偏离，仅勾选无偏离即可）</w:t>
            </w:r>
            <w:r/>
          </w:p>
          <w:p>
            <w:pPr>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z w:val="24"/>
                <w:highlight w:val="none"/>
                <w14:textFill>
                  <w14:solidFill>
                    <w14:schemeClr w14:val="tx1"/>
                  </w14:solidFill>
                </w14:textFill>
              </w:rPr>
              <w:t xml:space="preserve">有偏离</w:t>
            </w:r>
            <w:r>
              <w:rPr>
                <w:rFonts w:ascii="宋体" w:hAnsi="宋体"/>
                <w:color w:val="000000" w:themeColor="text1"/>
                <w:sz w:val="24"/>
                <w:highlight w:val="none"/>
                <w14:textFill>
                  <w14:solidFill>
                    <w14:schemeClr w14:val="tx1"/>
                  </w14:solidFill>
                </w14:textFill>
              </w:rPr>
              <w:t xml:space="preserve">（如有</w:t>
            </w:r>
            <w:r>
              <w:rPr>
                <w:rFonts w:hint="eastAsia" w:ascii="宋体" w:hAnsi="宋体"/>
                <w:color w:val="000000" w:themeColor="text1"/>
                <w:sz w:val="24"/>
                <w:highlight w:val="none"/>
                <w14:textFill>
                  <w14:solidFill>
                    <w14:schemeClr w14:val="tx1"/>
                  </w14:solidFill>
                </w14:textFill>
              </w:rPr>
              <w:t xml:space="preserve">超出或者</w:t>
            </w:r>
            <w:r>
              <w:rPr>
                <w:rFonts w:ascii="宋体" w:hAnsi="宋体"/>
                <w:color w:val="000000" w:themeColor="text1"/>
                <w:sz w:val="24"/>
                <w:highlight w:val="none"/>
                <w14:textFill>
                  <w14:solidFill>
                    <w14:schemeClr w14:val="tx1"/>
                  </w14:solidFill>
                </w14:textFill>
              </w:rPr>
              <w:t xml:space="preserve">偏离，则须在本表中对</w:t>
            </w:r>
            <w:r>
              <w:rPr>
                <w:rFonts w:hint="eastAsia" w:ascii="宋体" w:hAnsi="宋体"/>
                <w:color w:val="000000" w:themeColor="text1"/>
                <w:sz w:val="24"/>
                <w:highlight w:val="none"/>
                <w14:textFill>
                  <w14:solidFill>
                    <w14:schemeClr w14:val="tx1"/>
                  </w14:solidFill>
                </w14:textFill>
              </w:rPr>
              <w:t xml:space="preserve">超出或者</w:t>
            </w:r>
            <w:r>
              <w:rPr>
                <w:rFonts w:ascii="宋体" w:hAnsi="宋体"/>
                <w:color w:val="000000" w:themeColor="text1"/>
                <w:sz w:val="24"/>
                <w:highlight w:val="none"/>
                <w14:textFill>
                  <w14:solidFill>
                    <w14:schemeClr w14:val="tx1"/>
                  </w14:solidFill>
                </w14:textFill>
              </w:rPr>
              <w:t xml:space="preserve">偏离项逐一列明）</w:t>
            </w:r>
            <w:r/>
          </w:p>
        </w:tc>
      </w:tr>
      <w:tr>
        <w:trPr>
          <w:jc w:val="center"/>
          <w:trHeight w:val="1053"/>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序号</w:t>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磋商文件条目号(页码)</w:t>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磋商文件要求</w:t>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响应内容</w:t>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偏离情况</w:t>
            </w:r>
            <w:r/>
          </w:p>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（据实填写）</w:t>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spacing w:line="360" w:lineRule="auto"/>
        <w:tabs>
          <w:tab w:val="left" w:pos="1800" w:leader="none"/>
          <w:tab w:val="left" w:pos="558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r>
      <w:r/>
    </w:p>
    <w:p>
      <w:pPr>
        <w:jc w:val="left"/>
        <w:spacing w:line="360" w:lineRule="auto"/>
        <w:tabs>
          <w:tab w:val="left" w:pos="1800" w:leader="none"/>
          <w:tab w:val="left" w:pos="558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 对磋商文件中的所有商务、技术要求，除本表所列明的所有偏离外，均视作供应商已对之理解和</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“偏离情况”列应据实填写“正偏离”或“负偏离”。</w:t>
      </w:r>
      <w:r/>
    </w:p>
    <w:p>
      <w:pPr>
        <w:jc w:val="left"/>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                  </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    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spacing w:line="560" w:lineRule="exact"/>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szCs w:val="20"/>
          <w:highlight w:val="none"/>
          <w14:textFill>
            <w14:solidFill>
              <w14:schemeClr w14:val="tx1"/>
            </w14:solidFill>
          </w14:textFill>
        </w:rPr>
        <w:t xml:space="preserve">12</w:t>
      </w:r>
      <w:r>
        <w:rPr>
          <w:rFonts w:ascii="宋体" w:hAnsi="宋体"/>
          <w:color w:val="000000" w:themeColor="text1"/>
          <w:sz w:val="24"/>
          <w:szCs w:val="20"/>
          <w:highlight w:val="none"/>
          <w14:textFill>
            <w14:solidFill>
              <w14:schemeClr w14:val="tx1"/>
            </w14:solidFill>
          </w14:textFill>
        </w:rPr>
        <w:t xml:space="preserve">  </w:t>
      </w:r>
      <w:r>
        <w:rPr>
          <w:rFonts w:hint="eastAsia" w:ascii="宋体" w:hAnsi="宋体"/>
          <w:color w:val="000000" w:themeColor="text1"/>
          <w:sz w:val="24"/>
          <w:szCs w:val="20"/>
          <w:highlight w:val="none"/>
          <w14:textFill>
            <w14:solidFill>
              <w14:schemeClr w14:val="tx1"/>
            </w14:solidFill>
          </w14:textFill>
        </w:rPr>
        <w:t xml:space="preserve">项目实施方案等，包括但不限于如下主题：</w:t>
      </w:r>
      <w:r/>
    </w:p>
    <w:p>
      <w:pPr>
        <w:rPr>
          <w:rFonts w:hint="eastAsia" w:ascii="宋体" w:hAnsi="宋体"/>
          <w:b/>
          <w:bCs/>
          <w:color w:val="000000" w:themeColor="text1"/>
          <w:sz w:val="24"/>
          <w:szCs w:val="20"/>
          <w:highlight w:val="none"/>
          <w14:textFill>
            <w14:solidFill>
              <w14:schemeClr w14:val="tx1"/>
            </w14:solidFill>
          </w14:textFill>
        </w:rPr>
      </w:pPr>
      <w:r>
        <w:rPr>
          <w:rFonts w:hint="eastAsia" w:ascii="宋体" w:hAnsi="宋体"/>
          <w:b/>
          <w:bCs/>
          <w:color w:val="000000" w:themeColor="text1"/>
          <w:sz w:val="24"/>
          <w:szCs w:val="20"/>
          <w:highlight w:val="none"/>
          <w14:textFill>
            <w14:solidFill>
              <w14:schemeClr w14:val="tx1"/>
            </w14:solidFill>
          </w14:textFill>
        </w:rPr>
        <w:t xml:space="preserve">详见评分细则</w:t>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br w:type="page" w:clear="all"/>
      </w:r>
      <w:r>
        <w:rPr>
          <w:rFonts w:hint="eastAsia" w:ascii="宋体" w:hAnsi="宋体"/>
          <w:color w:val="000000" w:themeColor="text1"/>
          <w:sz w:val="24"/>
          <w:szCs w:val="20"/>
          <w:highlight w:val="none"/>
          <w14:textFill>
            <w14:solidFill>
              <w14:schemeClr w14:val="tx1"/>
            </w14:solidFill>
          </w14:textFill>
        </w:rPr>
        <w:t xml:space="preserve">13  参加本项目人员一览表</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5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tabs>
          <w:tab w:val="left" w:pos="9765" w:leader="none"/>
        </w:tabs>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    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br w:type="page" w:clear="all"/>
      </w:r>
      <w:bookmarkStart w:id="670" w:name="_Toc288738839"/>
      <w:r/>
      <w:bookmarkStart w:id="671" w:name="_Toc288738397"/>
      <w:r>
        <w:rPr>
          <w:rFonts w:hint="eastAsia" w:ascii="宋体" w:hAnsi="宋体"/>
          <w:color w:val="000000" w:themeColor="text1"/>
          <w:sz w:val="24"/>
          <w:szCs w:val="20"/>
          <w:highlight w:val="none"/>
          <w14:textFill>
            <w14:solidFill>
              <w14:schemeClr w14:val="tx1"/>
            </w14:solidFill>
          </w14:textFill>
        </w:rPr>
        <w:t xml:space="preserve">14  相关业绩案例一览表</w:t>
      </w:r>
      <w:r/>
    </w:p>
    <w:p>
      <w:pP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相关业绩案例一览表</w:t>
      </w:r>
      <w:bookmarkEnd w:id="670"/>
      <w:r/>
      <w:bookmarkEnd w:id="671"/>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57"/>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供应商名称（加盖公章）</w:t>
      </w:r>
      <w:r>
        <w:rPr>
          <w:rFonts w:ascii="宋体" w:hAnsi="宋体"/>
          <w:color w:val="000000" w:themeColor="text1"/>
          <w:sz w:val="24"/>
          <w:highlight w:val="none"/>
          <w:lang w:val="zh-CN"/>
          <w14:textFill>
            <w14:solidFill>
              <w14:schemeClr w14:val="tx1"/>
            </w14:solidFill>
          </w14:textFill>
        </w:rPr>
        <w:t xml:space="preserve">：    ____________</w:t>
      </w:r>
      <w:r/>
    </w:p>
    <w:p>
      <w:pPr>
        <w:spacing w:before="25" w:after="25" w:line="360" w:lineRule="auto"/>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日期：_____年______月______日   </w:t>
      </w:r>
      <w:r/>
    </w:p>
    <w:p>
      <w:pPr>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ascii="宋体" w:hAnsi="宋体"/>
          <w:color w:val="000000" w:themeColor="text1"/>
          <w:sz w:val="24"/>
          <w:szCs w:val="20"/>
          <w:highlight w:val="none"/>
          <w14:textFill>
            <w14:solidFill>
              <w14:schemeClr w14:val="tx1"/>
            </w14:solidFill>
          </w14:textFill>
        </w:rPr>
        <w:t xml:space="preserve">1</w:t>
      </w:r>
      <w:r>
        <w:rPr>
          <w:rFonts w:hint="eastAsia" w:ascii="宋体" w:hAnsi="宋体"/>
          <w:color w:val="000000" w:themeColor="text1"/>
          <w:sz w:val="24"/>
          <w:szCs w:val="20"/>
          <w:highlight w:val="none"/>
          <w14:textFill>
            <w14:solidFill>
              <w14:schemeClr w14:val="tx1"/>
            </w14:solidFill>
          </w14:textFill>
        </w:rPr>
        <w:t xml:space="preserve">5</w:t>
      </w:r>
      <w:r>
        <w:rPr>
          <w:rFonts w:ascii="宋体" w:hAnsi="宋体"/>
          <w:color w:val="000000" w:themeColor="text1"/>
          <w:sz w:val="24"/>
          <w:szCs w:val="20"/>
          <w:highlight w:val="none"/>
          <w14:textFill>
            <w14:solidFill>
              <w14:schemeClr w14:val="tx1"/>
            </w14:solidFill>
          </w14:textFill>
        </w:rPr>
        <w:t xml:space="preserve"> 磋商文件要求提供或供应商认为应附的其他材料</w:t>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CESI黑体-GB2312">
    <w:panose1 w:val="020B0503020202020204"/>
  </w:font>
  <w:font w:name="Cambria">
    <w:panose1 w:val="02040503050406030204"/>
  </w:font>
  <w:font w:name="Adobe 仿宋 Std R">
    <w:panose1 w:val="020B0503020202020204"/>
  </w:font>
  <w:font w:name="MS Mincho">
    <w:panose1 w:val="02020603050405090304"/>
  </w:font>
  <w:font w:name="Tahoma">
    <w:panose1 w:val="020B0604030504040204"/>
  </w:font>
  <w:font w:name="ˎ̥">
    <w:panose1 w:val="020B0503020202020204"/>
  </w:font>
  <w:font w:name="楷体_GB2312">
    <w:panose1 w:val="02010609060101010101"/>
  </w:font>
  <w:font w:name="等线">
    <w:panose1 w:val="02010600030101010101"/>
  </w:font>
  <w:font w:name="Symbol">
    <w:panose1 w:val="05050102010706020507"/>
  </w:font>
  <w:font w:name="Courier New">
    <w:panose1 w:val="02070309020205020404"/>
  </w:font>
  <w:font w:name="CIDFont+F4">
    <w:panose1 w:val="020B0503020202020204"/>
  </w:font>
  <w:font w:name="Calibri">
    <w:panose1 w:val="020F0502020204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7"/>
      </w:rPr>
      <w:framePr w:wrap="around" w:vAnchor="text" w:hAnchor="margin" w:xAlign="center" w:y="1"/>
    </w:pPr>
    <w:r>
      <w:rPr>
        <w:rStyle w:val="797"/>
      </w:rPr>
      <w:fldChar w:fldCharType="begin"/>
    </w:r>
    <w:r>
      <w:rPr>
        <w:rStyle w:val="797"/>
      </w:rPr>
      <w:instrText xml:space="preserve">PAGE  </w:instrText>
    </w:r>
    <w:r>
      <w:rPr>
        <w:rStyle w:val="797"/>
      </w:rPr>
      <w:fldChar w:fldCharType="separate"/>
    </w:r>
    <w:r>
      <w:rPr>
        <w:rStyle w:val="797"/>
      </w:rPr>
      <w:t xml:space="preserve">- 2 -</w:t>
    </w:r>
    <w:r>
      <w:rPr>
        <w:rStyle w:val="797"/>
      </w:rPr>
      <w:fldChar w:fldCharType="end"/>
    </w:r>
    <w:r/>
  </w:p>
  <w:p>
    <w:pPr>
      <w:pStyle w:val="77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797"/>
      </w:rPr>
      <w:framePr w:wrap="around" w:vAnchor="text" w:hAnchor="margin" w:xAlign="center" w:y="1"/>
    </w:pPr>
    <w:r>
      <w:fldChar w:fldCharType="begin"/>
    </w:r>
    <w:r>
      <w:rPr>
        <w:rStyle w:val="797"/>
      </w:rPr>
      <w:instrText xml:space="preserve">PAGE  </w:instrText>
    </w:r>
    <w:r>
      <w:fldChar w:fldCharType="end"/>
    </w:r>
    <w:r/>
  </w:p>
  <w:p>
    <w:pPr>
      <w:pStyle w:val="77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2672080</wp:posOffset>
              </wp:positionH>
              <wp:positionV relativeFrom="paragraph">
                <wp:posOffset>-86995</wp:posOffset>
              </wp:positionV>
              <wp:extent cx="490220" cy="219710"/>
              <wp:effectExtent l="0" t="0" r="5715"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90118" cy="219456"/>
                      </a:xfrm>
                      <a:prstGeom prst="rect">
                        <a:avLst/>
                      </a:prstGeom>
                      <a:noFill/>
                      <a:ln>
                        <a:noFill/>
                      </a:ln>
                    </wps:spPr>
                    <wps:txbx>
                      <w:txbxContent>
                        <w:p>
                          <w:pPr>
                            <w:pStyle w:val="778"/>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210.4pt;mso-position-horizontal:absolute;mso-position-vertical-relative:text;margin-top:-6.8pt;mso-position-vertical:absolute;width:38.6pt;height:17.3pt;mso-wrap-distance-left:9.0pt;mso-wrap-distance-top:0.0pt;mso-wrap-distance-right:9.0pt;mso-wrap-distance-bottom:0.0pt;visibility:visible;" filled="f" stroked="f">
              <v:textbox inset="0,0,0,0">
                <w:txbxContent>
                  <w:p>
                    <w:pPr>
                      <w:pStyle w:val="778"/>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9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13"/>
      <w:isLgl w:val="false"/>
      <w:suff w:val="tab"/>
      <w:lvlText w:val="第%1章"/>
      <w:lvlJc w:val="left"/>
      <w:pPr/>
    </w:lvl>
    <w:lvl w:ilvl="1">
      <w:start w:val="1"/>
      <w:numFmt w:val="none"/>
      <w:pStyle w:val="980"/>
      <w:isLgl w:val="false"/>
      <w:suff w:val="nothing"/>
      <w:lvlText w:val=""/>
      <w:lvlJc w:val="left"/>
      <w:pPr/>
    </w:lvl>
    <w:lvl w:ilvl="2">
      <w:start w:val="1"/>
      <w:numFmt w:val="none"/>
      <w:pStyle w:val="940"/>
      <w:isLgl w:val="false"/>
      <w:suff w:val="nothing"/>
      <w:lvlText w:val=""/>
      <w:lvlJc w:val="left"/>
      <w:pPr/>
    </w:lvl>
    <w:lvl w:ilvl="3">
      <w:start w:val="1"/>
      <w:numFmt w:val="none"/>
      <w:pStyle w:val="750"/>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pStyle w:val="924"/>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bullet"/>
      <w:pStyle w:val="102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pStyle w:val="918"/>
      <w:isLgl w:val="false"/>
      <w:suff w:val="tab"/>
      <w:lvlText w:val="%1"/>
      <w:lvlJc w:val="left"/>
      <w:pPr>
        <w:ind w:left="900" w:hanging="900"/>
        <w:tabs>
          <w:tab w:val="left" w:pos="900" w:leader="none"/>
        </w:tabs>
      </w:pPr>
      <w:rPr>
        <w:rFonts w:hint="eastAsia"/>
      </w:rPr>
    </w:lvl>
    <w:lvl w:ilvl="1">
      <w:start w:val="1"/>
      <w:numFmt w:val="decimal"/>
      <w:pStyle w:val="917"/>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nothing"/>
      <w:lvlText w:val="%1.%2.%3"/>
      <w:lvlJc w:val="left"/>
      <w:pPr>
        <w:ind w:left="1980" w:hanging="900"/>
      </w:pPr>
      <w:rPr>
        <w:rFonts w:hint="default" w:eastAsia="宋体" w:asciiTheme="majorEastAsia" w:hAnsiTheme="majorEastAsia" w:cstheme="majorEastAsia"/>
        <w:sz w:val="24"/>
        <w:szCs w:val="24"/>
      </w:rPr>
    </w:lvl>
    <w:lvl w:ilvl="3">
      <w:start w:val="1"/>
      <w:numFmt w:val="decimal"/>
      <w:pStyle w:val="941"/>
      <w:isLgl w:val="false"/>
      <w:suff w:val="tab"/>
      <w:lvlText w:val="%1.%2.%3.%4"/>
      <w:lvlJc w:val="left"/>
      <w:pPr>
        <w:ind w:left="900" w:hanging="900"/>
        <w:tabs>
          <w:tab w:val="left" w:pos="900" w:leader="none"/>
        </w:tabs>
      </w:pPr>
      <w:rPr>
        <w:rFonts w:hint="eastAsia"/>
      </w:rPr>
    </w:lvl>
    <w:lvl w:ilvl="4">
      <w:start w:val="1"/>
      <w:numFmt w:val="decimal"/>
      <w:pStyle w:val="950"/>
      <w:isLgl w:val="false"/>
      <w:suff w:val="tab"/>
      <w:lvlText w:val="%1.%2.%3.%4.%5"/>
      <w:lvlJc w:val="left"/>
      <w:pPr>
        <w:ind w:left="900" w:hanging="900"/>
        <w:tabs>
          <w:tab w:val="left" w:pos="900" w:leader="none"/>
        </w:tabs>
      </w:pPr>
      <w:rPr>
        <w:rFonts w:hint="eastAsia"/>
      </w:rPr>
    </w:lvl>
    <w:lvl w:ilvl="5">
      <w:start w:val="1"/>
      <w:numFmt w:val="decimal"/>
      <w:pStyle w:val="949"/>
      <w:isLgl w:val="false"/>
      <w:suff w:val="tab"/>
      <w:lvlText w:val="%1.%2.%3.%4.%5.%6"/>
      <w:lvlJc w:val="left"/>
      <w:pPr>
        <w:ind w:left="900" w:hanging="900"/>
        <w:tabs>
          <w:tab w:val="left" w:pos="900" w:leader="none"/>
        </w:tabs>
      </w:pPr>
      <w:rPr>
        <w:rFonts w:hint="eastAsia"/>
      </w:rPr>
    </w:lvl>
    <w:lvl w:ilvl="6">
      <w:start w:val="1"/>
      <w:numFmt w:val="decimal"/>
      <w:pStyle w:val="984"/>
      <w:isLgl w:val="false"/>
      <w:suff w:val="tab"/>
      <w:lvlText w:val="%1.%2.%3.%4.%5.%6.%7"/>
      <w:lvlJc w:val="left"/>
      <w:pPr>
        <w:ind w:left="900" w:hanging="900"/>
        <w:tabs>
          <w:tab w:val="left" w:pos="900" w:leader="none"/>
        </w:tabs>
      </w:pPr>
      <w:rPr>
        <w:rFonts w:hint="eastAsia"/>
      </w:rPr>
    </w:lvl>
    <w:lvl w:ilvl="7">
      <w:start w:val="1"/>
      <w:numFmt w:val="decimal"/>
      <w:pStyle w:val="975"/>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965"/>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pStyle w:val="927"/>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5"/>
  </w:num>
  <w:num w:numId="3">
    <w:abstractNumId w:val="2"/>
  </w:num>
  <w:num w:numId="4">
    <w:abstractNumId w:val="7"/>
  </w:num>
  <w:num w:numId="5">
    <w:abstractNumId w:val="6"/>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47"/>
    <w:uiPriority w:val="9"/>
    <w:rPr>
      <w:rFonts w:ascii="Arial" w:hAnsi="Arial" w:eastAsia="Arial" w:cs="Arial"/>
      <w:sz w:val="40"/>
      <w:szCs w:val="40"/>
    </w:rPr>
  </w:style>
  <w:style w:type="character" w:styleId="15">
    <w:name w:val="Heading 2 Char"/>
    <w:basedOn w:val="756"/>
    <w:link w:val="748"/>
    <w:uiPriority w:val="9"/>
    <w:rPr>
      <w:rFonts w:ascii="Arial" w:hAnsi="Arial" w:eastAsia="Arial" w:cs="Arial"/>
      <w:sz w:val="34"/>
    </w:rPr>
  </w:style>
  <w:style w:type="character" w:styleId="17">
    <w:name w:val="Heading 3 Char"/>
    <w:basedOn w:val="756"/>
    <w:link w:val="749"/>
    <w:uiPriority w:val="9"/>
    <w:rPr>
      <w:rFonts w:ascii="Arial" w:hAnsi="Arial" w:eastAsia="Arial" w:cs="Arial"/>
      <w:sz w:val="30"/>
      <w:szCs w:val="30"/>
    </w:rPr>
  </w:style>
  <w:style w:type="character" w:styleId="19">
    <w:name w:val="Heading 4 Char"/>
    <w:basedOn w:val="756"/>
    <w:link w:val="750"/>
    <w:uiPriority w:val="9"/>
    <w:rPr>
      <w:rFonts w:ascii="Arial" w:hAnsi="Arial" w:eastAsia="Arial" w:cs="Arial"/>
      <w:b/>
      <w:bCs/>
      <w:sz w:val="26"/>
      <w:szCs w:val="26"/>
    </w:rPr>
  </w:style>
  <w:style w:type="character" w:styleId="21">
    <w:name w:val="Heading 5 Char"/>
    <w:basedOn w:val="756"/>
    <w:link w:val="751"/>
    <w:uiPriority w:val="9"/>
    <w:rPr>
      <w:rFonts w:ascii="Arial" w:hAnsi="Arial" w:eastAsia="Arial" w:cs="Arial"/>
      <w:b/>
      <w:bCs/>
      <w:sz w:val="24"/>
      <w:szCs w:val="24"/>
    </w:rPr>
  </w:style>
  <w:style w:type="character" w:styleId="23">
    <w:name w:val="Heading 6 Char"/>
    <w:basedOn w:val="756"/>
    <w:link w:val="752"/>
    <w:uiPriority w:val="9"/>
    <w:rPr>
      <w:rFonts w:ascii="Arial" w:hAnsi="Arial" w:eastAsia="Arial" w:cs="Arial"/>
      <w:b/>
      <w:bCs/>
      <w:sz w:val="22"/>
      <w:szCs w:val="22"/>
    </w:rPr>
  </w:style>
  <w:style w:type="character" w:styleId="25">
    <w:name w:val="Heading 7 Char"/>
    <w:basedOn w:val="756"/>
    <w:link w:val="753"/>
    <w:uiPriority w:val="9"/>
    <w:rPr>
      <w:rFonts w:ascii="Arial" w:hAnsi="Arial" w:eastAsia="Arial" w:cs="Arial"/>
      <w:b/>
      <w:bCs/>
      <w:i/>
      <w:iCs/>
      <w:sz w:val="22"/>
      <w:szCs w:val="22"/>
    </w:rPr>
  </w:style>
  <w:style w:type="character" w:styleId="27">
    <w:name w:val="Heading 8 Char"/>
    <w:basedOn w:val="756"/>
    <w:link w:val="754"/>
    <w:uiPriority w:val="9"/>
    <w:rPr>
      <w:rFonts w:ascii="Arial" w:hAnsi="Arial" w:eastAsia="Arial" w:cs="Arial"/>
      <w:i/>
      <w:iCs/>
      <w:sz w:val="22"/>
      <w:szCs w:val="22"/>
    </w:rPr>
  </w:style>
  <w:style w:type="character" w:styleId="29">
    <w:name w:val="Heading 9 Char"/>
    <w:basedOn w:val="756"/>
    <w:link w:val="755"/>
    <w:uiPriority w:val="9"/>
    <w:rPr>
      <w:rFonts w:ascii="Arial" w:hAnsi="Arial" w:eastAsia="Arial" w:cs="Arial"/>
      <w:i/>
      <w:iCs/>
      <w:sz w:val="21"/>
      <w:szCs w:val="21"/>
    </w:rPr>
  </w:style>
  <w:style w:type="character" w:styleId="34">
    <w:name w:val="Title Char"/>
    <w:basedOn w:val="756"/>
    <w:link w:val="791"/>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756"/>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6"/>
    <w:link w:val="780"/>
    <w:uiPriority w:val="99"/>
  </w:style>
  <w:style w:type="character" w:styleId="44">
    <w:name w:val="Footer Char"/>
    <w:basedOn w:val="756"/>
    <w:link w:val="778"/>
    <w:uiPriority w:val="99"/>
  </w:style>
  <w:style w:type="character" w:styleId="46">
    <w:name w:val="Caption Char"/>
    <w:basedOn w:val="762"/>
    <w:link w:val="778"/>
    <w:uiPriority w:val="99"/>
  </w:style>
  <w:style w:type="table" w:styleId="48">
    <w:name w:val="Table Grid Light"/>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3"/>
    <w:uiPriority w:val="99"/>
    <w:rPr>
      <w:sz w:val="18"/>
    </w:rPr>
  </w:style>
  <w:style w:type="character" w:styleId="176">
    <w:name w:val="footnote reference"/>
    <w:basedOn w:val="756"/>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6"/>
    <w:uiPriority w:val="99"/>
    <w:semiHidden/>
    <w:unhideWhenUsed/>
    <w:rPr>
      <w:vertAlign w:val="superscript"/>
    </w:r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821"/>
    <w:uiPriority w:val="0"/>
    <w:qFormat/>
    <w:pPr>
      <w:keepLines/>
      <w:keepNext/>
      <w:outlineLvl w:val="0"/>
    </w:pPr>
    <w:rPr>
      <w:rFonts w:ascii="宋体" w:hAnsi="宋体"/>
      <w:b/>
      <w:bCs/>
      <w:szCs w:val="28"/>
    </w:rPr>
  </w:style>
  <w:style w:type="paragraph" w:styleId="748">
    <w:name w:val="Heading 2"/>
    <w:basedOn w:val="746"/>
    <w:next w:val="758"/>
    <w:link w:val="813"/>
    <w:uiPriority w:val="0"/>
    <w:qFormat/>
    <w:pPr>
      <w:jc w:val="center"/>
      <w:keepLines/>
      <w:keepNext/>
      <w:spacing w:before="120" w:line="300" w:lineRule="auto"/>
      <w:outlineLvl w:val="1"/>
    </w:pPr>
    <w:rPr>
      <w:rFonts w:ascii="Arial" w:hAnsi="Arial" w:eastAsia="黑体"/>
      <w:b/>
      <w:sz w:val="30"/>
      <w:szCs w:val="20"/>
    </w:rPr>
  </w:style>
  <w:style w:type="paragraph" w:styleId="749">
    <w:name w:val="Heading 3"/>
    <w:basedOn w:val="746"/>
    <w:next w:val="746"/>
    <w:link w:val="822"/>
    <w:uiPriority w:val="0"/>
    <w:qFormat/>
    <w:pPr>
      <w:keepLines/>
      <w:keepNext/>
      <w:spacing w:before="260" w:after="260" w:line="415" w:lineRule="auto"/>
      <w:outlineLvl w:val="2"/>
    </w:pPr>
    <w:rPr>
      <w:b/>
      <w:sz w:val="32"/>
    </w:rPr>
  </w:style>
  <w:style w:type="paragraph" w:styleId="750">
    <w:name w:val="Heading 4"/>
    <w:next w:val="746"/>
    <w:link w:val="823"/>
    <w:uiPriority w:val="0"/>
    <w:qFormat/>
    <w:pPr>
      <w:numPr>
        <w:ilvl w:val="3"/>
        <w:numId w:val="1"/>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paragraph" w:styleId="751">
    <w:name w:val="Heading 5"/>
    <w:basedOn w:val="746"/>
    <w:next w:val="746"/>
    <w:link w:val="816"/>
    <w:uiPriority w:val="0"/>
    <w:qFormat/>
    <w:pPr>
      <w:keepLines/>
      <w:keepNext/>
      <w:spacing w:before="280" w:after="290" w:line="376" w:lineRule="atLeast"/>
      <w:outlineLvl w:val="4"/>
    </w:pPr>
    <w:rPr>
      <w:b/>
      <w:sz w:val="28"/>
      <w:szCs w:val="20"/>
    </w:rPr>
  </w:style>
  <w:style w:type="paragraph" w:styleId="752">
    <w:name w:val="Heading 6"/>
    <w:basedOn w:val="746"/>
    <w:next w:val="746"/>
    <w:link w:val="817"/>
    <w:uiPriority w:val="0"/>
    <w:qFormat/>
    <w:pPr>
      <w:keepLines/>
      <w:keepNext/>
      <w:spacing w:before="240" w:after="64" w:line="320" w:lineRule="atLeast"/>
      <w:outlineLvl w:val="5"/>
    </w:pPr>
    <w:rPr>
      <w:rFonts w:ascii="Arial" w:hAnsi="Arial" w:eastAsia="黑体"/>
      <w:b/>
      <w:sz w:val="24"/>
      <w:szCs w:val="20"/>
    </w:rPr>
  </w:style>
  <w:style w:type="paragraph" w:styleId="753">
    <w:name w:val="Heading 7"/>
    <w:basedOn w:val="746"/>
    <w:next w:val="746"/>
    <w:link w:val="818"/>
    <w:uiPriority w:val="0"/>
    <w:qFormat/>
    <w:pPr>
      <w:keepLines/>
      <w:keepNext/>
      <w:spacing w:before="240" w:after="64" w:line="320" w:lineRule="atLeast"/>
      <w:outlineLvl w:val="6"/>
    </w:pPr>
    <w:rPr>
      <w:b/>
      <w:sz w:val="24"/>
      <w:szCs w:val="20"/>
    </w:rPr>
  </w:style>
  <w:style w:type="paragraph" w:styleId="754">
    <w:name w:val="Heading 8"/>
    <w:basedOn w:val="746"/>
    <w:next w:val="746"/>
    <w:link w:val="819"/>
    <w:uiPriority w:val="0"/>
    <w:qFormat/>
    <w:pPr>
      <w:keepLines/>
      <w:keepNext/>
      <w:spacing w:before="240" w:after="64" w:line="320" w:lineRule="atLeast"/>
      <w:outlineLvl w:val="7"/>
    </w:pPr>
    <w:rPr>
      <w:rFonts w:ascii="Arial" w:hAnsi="Arial" w:eastAsia="黑体"/>
      <w:sz w:val="24"/>
      <w:szCs w:val="20"/>
    </w:rPr>
  </w:style>
  <w:style w:type="paragraph" w:styleId="755">
    <w:name w:val="Heading 9"/>
    <w:basedOn w:val="746"/>
    <w:next w:val="746"/>
    <w:link w:val="820"/>
    <w:uiPriority w:val="0"/>
    <w:qFormat/>
    <w:pPr>
      <w:keepLines/>
      <w:keepNext/>
      <w:spacing w:before="240" w:after="64" w:line="320" w:lineRule="atLeast"/>
      <w:outlineLvl w:val="8"/>
    </w:pPr>
    <w:rPr>
      <w:rFonts w:ascii="Arial" w:hAnsi="Arial" w:eastAsia="黑体"/>
      <w:szCs w:val="20"/>
    </w:rPr>
  </w:style>
  <w:style w:type="character" w:styleId="756" w:default="1">
    <w:name w:val="Default Paragraph Font"/>
    <w:uiPriority w:val="1"/>
    <w:semiHidden/>
    <w:unhideWhenUsed/>
  </w:style>
  <w:style w:type="table" w:styleId="757" w:default="1">
    <w:name w:val="Normal Table"/>
    <w:uiPriority w:val="99"/>
    <w:semiHidden/>
    <w:unhideWhenUsed/>
    <w:tblPr>
      <w:tblCellMar>
        <w:left w:w="108" w:type="dxa"/>
        <w:top w:w="0" w:type="dxa"/>
        <w:right w:w="108" w:type="dxa"/>
        <w:bottom w:w="0" w:type="dxa"/>
      </w:tblCellMar>
    </w:tblPr>
  </w:style>
  <w:style w:type="paragraph" w:styleId="758">
    <w:name w:val="Normal Indent"/>
    <w:basedOn w:val="746"/>
    <w:next w:val="746"/>
    <w:link w:val="814"/>
    <w:uiPriority w:val="0"/>
    <w:qFormat/>
    <w:pPr>
      <w:ind w:firstLine="420"/>
      <w:jc w:val="left"/>
    </w:pPr>
    <w:rPr>
      <w:rFonts w:ascii="宋体"/>
      <w:sz w:val="24"/>
    </w:rPr>
  </w:style>
  <w:style w:type="paragraph" w:styleId="759">
    <w:name w:val="toc 7"/>
    <w:basedOn w:val="746"/>
    <w:next w:val="746"/>
    <w:uiPriority w:val="0"/>
    <w:qFormat/>
    <w:pPr>
      <w:ind w:left="2520"/>
    </w:pPr>
  </w:style>
  <w:style w:type="paragraph" w:styleId="760">
    <w:name w:val="table of authorities"/>
    <w:next w:val="761"/>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761" w:customStyle="1">
    <w:name w:val="正文 A"/>
    <w:next w:val="76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762">
    <w:name w:val="Caption"/>
    <w:basedOn w:val="746"/>
    <w:next w:val="746"/>
    <w:uiPriority w:val="0"/>
    <w:qFormat/>
    <w:pPr>
      <w:spacing w:line="480" w:lineRule="auto"/>
    </w:pPr>
    <w:rPr>
      <w:rFonts w:ascii="华文中宋" w:hAnsi="华文中宋" w:eastAsia="华文中宋"/>
      <w:sz w:val="36"/>
      <w:szCs w:val="20"/>
    </w:rPr>
  </w:style>
  <w:style w:type="paragraph" w:styleId="763">
    <w:name w:val="index 5"/>
    <w:basedOn w:val="746"/>
    <w:next w:val="746"/>
    <w:uiPriority w:val="99"/>
    <w:unhideWhenUsed/>
    <w:qFormat/>
    <w:pPr>
      <w:ind w:left="800"/>
    </w:pPr>
  </w:style>
  <w:style w:type="paragraph" w:styleId="764">
    <w:name w:val="Document Map"/>
    <w:basedOn w:val="746"/>
    <w:next w:val="746"/>
    <w:link w:val="824"/>
    <w:uiPriority w:val="0"/>
    <w:qFormat/>
    <w:pPr>
      <w:shd w:val="clear" w:color="auto" w:fill="000080"/>
    </w:pPr>
  </w:style>
  <w:style w:type="paragraph" w:styleId="765">
    <w:name w:val="annotation text"/>
    <w:basedOn w:val="746"/>
    <w:link w:val="840"/>
    <w:uiPriority w:val="0"/>
    <w:qFormat/>
    <w:pPr>
      <w:jc w:val="left"/>
    </w:pPr>
  </w:style>
  <w:style w:type="paragraph" w:styleId="766">
    <w:name w:val="Body Text 3"/>
    <w:basedOn w:val="746"/>
    <w:link w:val="827"/>
    <w:uiPriority w:val="0"/>
    <w:qFormat/>
    <w:pPr>
      <w:spacing w:after="120"/>
    </w:pPr>
    <w:rPr>
      <w:sz w:val="16"/>
      <w:szCs w:val="16"/>
    </w:rPr>
  </w:style>
  <w:style w:type="paragraph" w:styleId="767">
    <w:name w:val="Body Text"/>
    <w:basedOn w:val="746"/>
    <w:next w:val="746"/>
    <w:link w:val="815"/>
    <w:uiPriority w:val="0"/>
    <w:qFormat/>
    <w:pPr>
      <w:spacing w:before="120" w:line="22" w:lineRule="atLeast"/>
      <w:tabs>
        <w:tab w:val="left" w:pos="567" w:leader="none"/>
      </w:tabs>
    </w:pPr>
    <w:rPr>
      <w:rFonts w:ascii="宋体" w:hAnsi="宋体"/>
      <w:sz w:val="24"/>
    </w:rPr>
  </w:style>
  <w:style w:type="paragraph" w:styleId="768">
    <w:name w:val="Body Text Indent"/>
    <w:basedOn w:val="746"/>
    <w:next w:val="746"/>
    <w:link w:val="828"/>
    <w:uiPriority w:val="0"/>
    <w:qFormat/>
    <w:pPr>
      <w:ind w:firstLine="570"/>
      <w:spacing w:line="360" w:lineRule="auto"/>
    </w:pPr>
    <w:rPr>
      <w:sz w:val="24"/>
    </w:rPr>
  </w:style>
  <w:style w:type="paragraph" w:styleId="769">
    <w:name w:val="List 2"/>
    <w:basedOn w:val="746"/>
    <w:uiPriority w:val="0"/>
    <w:qFormat/>
    <w:pPr>
      <w:ind w:left="100" w:hanging="200"/>
    </w:pPr>
  </w:style>
  <w:style w:type="paragraph" w:styleId="770">
    <w:name w:val="Block Text"/>
    <w:basedOn w:val="746"/>
    <w:uiPriority w:val="0"/>
    <w:qFormat/>
    <w:pPr>
      <w:ind w:left="480" w:right="-341" w:firstLine="513"/>
      <w:widowControl/>
    </w:pPr>
    <w:rPr>
      <w:sz w:val="24"/>
      <w:szCs w:val="20"/>
    </w:rPr>
  </w:style>
  <w:style w:type="paragraph" w:styleId="771">
    <w:name w:val="toc 5"/>
    <w:basedOn w:val="746"/>
    <w:next w:val="746"/>
    <w:uiPriority w:val="0"/>
    <w:qFormat/>
    <w:pPr>
      <w:ind w:left="1680"/>
    </w:pPr>
  </w:style>
  <w:style w:type="paragraph" w:styleId="772">
    <w:name w:val="toc 3"/>
    <w:basedOn w:val="746"/>
    <w:next w:val="746"/>
    <w:uiPriority w:val="39"/>
    <w:qFormat/>
    <w:pPr>
      <w:ind w:left="840"/>
    </w:pPr>
  </w:style>
  <w:style w:type="paragraph" w:styleId="773">
    <w:name w:val="Plain Text"/>
    <w:basedOn w:val="746"/>
    <w:next w:val="758"/>
    <w:link w:val="830"/>
    <w:uiPriority w:val="0"/>
    <w:qFormat/>
    <w:rPr>
      <w:rFonts w:hint="eastAsia" w:ascii="宋体" w:hAnsi="Courier New"/>
      <w:szCs w:val="20"/>
    </w:rPr>
  </w:style>
  <w:style w:type="paragraph" w:styleId="774">
    <w:name w:val="toc 8"/>
    <w:basedOn w:val="746"/>
    <w:next w:val="746"/>
    <w:uiPriority w:val="0"/>
    <w:qFormat/>
    <w:pPr>
      <w:ind w:left="2940"/>
    </w:pPr>
  </w:style>
  <w:style w:type="paragraph" w:styleId="775">
    <w:name w:val="Date"/>
    <w:basedOn w:val="746"/>
    <w:next w:val="746"/>
    <w:link w:val="831"/>
    <w:uiPriority w:val="0"/>
    <w:qFormat/>
    <w:pPr>
      <w:ind w:left="100"/>
    </w:pPr>
    <w:rPr>
      <w:rFonts w:ascii="仿宋_GB2312" w:hAnsi="宋体" w:eastAsia="仿宋_GB2312"/>
      <w:color w:val="000000"/>
      <w:sz w:val="24"/>
    </w:rPr>
  </w:style>
  <w:style w:type="paragraph" w:styleId="776">
    <w:name w:val="Body Text Indent 2"/>
    <w:basedOn w:val="746"/>
    <w:next w:val="746"/>
    <w:link w:val="832"/>
    <w:uiPriority w:val="0"/>
    <w:qFormat/>
    <w:pPr>
      <w:ind w:firstLine="195"/>
      <w:spacing w:line="420" w:lineRule="exact"/>
    </w:pPr>
  </w:style>
  <w:style w:type="paragraph" w:styleId="777">
    <w:name w:val="Balloon Text"/>
    <w:basedOn w:val="746"/>
    <w:link w:val="833"/>
    <w:uiPriority w:val="0"/>
    <w:qFormat/>
    <w:rPr>
      <w:sz w:val="18"/>
      <w:szCs w:val="18"/>
    </w:rPr>
  </w:style>
  <w:style w:type="paragraph" w:styleId="778">
    <w:name w:val="Footer"/>
    <w:basedOn w:val="746"/>
    <w:link w:val="834"/>
    <w:uiPriority w:val="0"/>
    <w:qFormat/>
    <w:pPr>
      <w:jc w:val="left"/>
      <w:tabs>
        <w:tab w:val="center" w:pos="4153" w:leader="none"/>
        <w:tab w:val="right" w:pos="8306" w:leader="none"/>
      </w:tabs>
    </w:pPr>
    <w:rPr>
      <w:rFonts w:ascii="宋体"/>
      <w:sz w:val="18"/>
      <w:szCs w:val="20"/>
    </w:rPr>
  </w:style>
  <w:style w:type="paragraph" w:styleId="779">
    <w:name w:val="envelope return"/>
    <w:basedOn w:val="746"/>
    <w:uiPriority w:val="99"/>
    <w:unhideWhenUsed/>
    <w:qFormat/>
    <w:rPr>
      <w:rFonts w:ascii="Arial" w:hAnsi="Arial" w:cs="Arial"/>
    </w:rPr>
  </w:style>
  <w:style w:type="paragraph" w:styleId="780">
    <w:name w:val="Header"/>
    <w:basedOn w:val="746"/>
    <w:link w:val="835"/>
    <w:uiPriority w:val="0"/>
    <w:qFormat/>
    <w:pPr>
      <w:jc w:val="center"/>
      <w:tabs>
        <w:tab w:val="center" w:pos="4153" w:leader="none"/>
        <w:tab w:val="right" w:pos="8306" w:leader="none"/>
      </w:tabs>
    </w:pPr>
    <w:rPr>
      <w:sz w:val="18"/>
      <w:szCs w:val="18"/>
    </w:rPr>
  </w:style>
  <w:style w:type="paragraph" w:styleId="781">
    <w:name w:val="toc 1"/>
    <w:basedOn w:val="746"/>
    <w:next w:val="746"/>
    <w:uiPriority w:val="39"/>
    <w:qFormat/>
    <w:pPr>
      <w:spacing w:line="300" w:lineRule="auto"/>
      <w:tabs>
        <w:tab w:val="left" w:pos="1050" w:leader="none"/>
        <w:tab w:val="right" w:pos="8937" w:leader="dot"/>
      </w:tabs>
    </w:pPr>
    <w:rPr>
      <w:rFonts w:ascii="宋体" w:hAnsi="宋体"/>
      <w:b/>
      <w:sz w:val="24"/>
    </w:rPr>
  </w:style>
  <w:style w:type="paragraph" w:styleId="782">
    <w:name w:val="toc 4"/>
    <w:basedOn w:val="746"/>
    <w:next w:val="746"/>
    <w:uiPriority w:val="0"/>
    <w:qFormat/>
    <w:pPr>
      <w:ind w:left="1260"/>
    </w:pPr>
  </w:style>
  <w:style w:type="paragraph" w:styleId="783">
    <w:name w:val="footnote text"/>
    <w:basedOn w:val="746"/>
    <w:next w:val="763"/>
    <w:uiPriority w:val="0"/>
    <w:qFormat/>
    <w:pPr>
      <w:ind w:firstLine="425"/>
      <w:jc w:val="left"/>
      <w:spacing w:before="120" w:line="360" w:lineRule="auto"/>
    </w:pPr>
    <w:rPr>
      <w:sz w:val="18"/>
      <w:szCs w:val="20"/>
    </w:rPr>
  </w:style>
  <w:style w:type="paragraph" w:styleId="784">
    <w:name w:val="toc 6"/>
    <w:basedOn w:val="746"/>
    <w:next w:val="746"/>
    <w:uiPriority w:val="0"/>
    <w:qFormat/>
    <w:pPr>
      <w:ind w:left="2100"/>
    </w:pPr>
  </w:style>
  <w:style w:type="paragraph" w:styleId="785">
    <w:name w:val="Body Text Indent 3"/>
    <w:basedOn w:val="746"/>
    <w:link w:val="836"/>
    <w:uiPriority w:val="0"/>
    <w:qFormat/>
    <w:pPr>
      <w:ind w:left="720" w:firstLine="480"/>
      <w:jc w:val="left"/>
      <w:spacing w:before="120" w:line="22" w:lineRule="atLeast"/>
    </w:pPr>
    <w:rPr>
      <w:rFonts w:ascii="宋体"/>
      <w:sz w:val="24"/>
      <w:szCs w:val="20"/>
    </w:rPr>
  </w:style>
  <w:style w:type="paragraph" w:styleId="786">
    <w:name w:val="toc 2"/>
    <w:basedOn w:val="746"/>
    <w:next w:val="746"/>
    <w:uiPriority w:val="39"/>
    <w:qFormat/>
    <w:pPr>
      <w:ind w:left="420"/>
      <w:spacing w:line="312" w:lineRule="auto"/>
      <w:tabs>
        <w:tab w:val="right" w:pos="8937" w:leader="dot"/>
      </w:tabs>
    </w:pPr>
  </w:style>
  <w:style w:type="paragraph" w:styleId="787">
    <w:name w:val="toc 9"/>
    <w:basedOn w:val="746"/>
    <w:next w:val="746"/>
    <w:uiPriority w:val="0"/>
    <w:qFormat/>
    <w:pPr>
      <w:ind w:left="3360"/>
    </w:pPr>
  </w:style>
  <w:style w:type="paragraph" w:styleId="788">
    <w:name w:val="HTML Preformatted"/>
    <w:basedOn w:val="746"/>
    <w:link w:val="8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9">
    <w:name w:val="Normal (Web)"/>
    <w:basedOn w:val="746"/>
    <w:link w:val="838"/>
    <w:uiPriority w:val="99"/>
    <w:unhideWhenUsed/>
    <w:qFormat/>
    <w:pPr>
      <w:jc w:val="left"/>
      <w:spacing w:before="100" w:beforeAutospacing="1" w:after="100" w:afterAutospacing="1"/>
      <w:widowControl/>
    </w:pPr>
    <w:rPr>
      <w:rFonts w:ascii="宋体" w:hAnsi="宋体"/>
      <w:sz w:val="24"/>
    </w:rPr>
  </w:style>
  <w:style w:type="paragraph" w:styleId="790">
    <w:name w:val="index 1"/>
    <w:basedOn w:val="746"/>
    <w:next w:val="746"/>
    <w:uiPriority w:val="0"/>
    <w:qFormat/>
    <w:rPr>
      <w:szCs w:val="20"/>
    </w:rPr>
  </w:style>
  <w:style w:type="paragraph" w:styleId="791">
    <w:name w:val="Title"/>
    <w:basedOn w:val="746"/>
    <w:link w:val="839"/>
    <w:uiPriority w:val="0"/>
    <w:qFormat/>
    <w:pPr>
      <w:jc w:val="center"/>
      <w:outlineLvl w:val="0"/>
    </w:pPr>
    <w:rPr>
      <w:b/>
      <w:sz w:val="32"/>
      <w:szCs w:val="20"/>
    </w:rPr>
  </w:style>
  <w:style w:type="paragraph" w:styleId="792">
    <w:name w:val="annotation subject"/>
    <w:basedOn w:val="765"/>
    <w:next w:val="765"/>
    <w:link w:val="841"/>
    <w:uiPriority w:val="0"/>
    <w:qFormat/>
    <w:rPr>
      <w:b/>
      <w:bCs/>
    </w:rPr>
  </w:style>
  <w:style w:type="paragraph" w:styleId="793">
    <w:name w:val="Body Text First Indent"/>
    <w:basedOn w:val="767"/>
    <w:link w:val="842"/>
    <w:uiPriority w:val="0"/>
    <w:unhideWhenUsed/>
    <w:qFormat/>
    <w:pPr>
      <w:ind w:firstLine="420"/>
    </w:pPr>
    <w:rPr>
      <w:sz w:val="21"/>
      <w:szCs w:val="20"/>
    </w:rPr>
  </w:style>
  <w:style w:type="paragraph" w:styleId="794">
    <w:name w:val="Body Text First Indent 2"/>
    <w:basedOn w:val="768"/>
    <w:next w:val="746"/>
    <w:link w:val="843"/>
    <w:uiPriority w:val="0"/>
    <w:qFormat/>
    <w:pPr>
      <w:ind w:left="420" w:firstLine="420"/>
      <w:spacing w:after="120" w:line="480" w:lineRule="exact"/>
    </w:pPr>
    <w:rPr>
      <w:szCs w:val="20"/>
    </w:rPr>
  </w:style>
  <w:style w:type="table" w:styleId="795">
    <w:name w:val="Table Grid"/>
    <w:basedOn w:val="7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uiPriority w:val="0"/>
    <w:qFormat/>
    <w:rPr>
      <w:b/>
      <w:bCs/>
    </w:rPr>
  </w:style>
  <w:style w:type="character" w:styleId="797">
    <w:name w:val="page number"/>
    <w:uiPriority w:val="0"/>
    <w:qFormat/>
  </w:style>
  <w:style w:type="character" w:styleId="798">
    <w:name w:val="FollowedHyperlink"/>
    <w:uiPriority w:val="0"/>
    <w:qFormat/>
    <w:rPr>
      <w:color w:val="800080"/>
      <w:u w:val="single"/>
    </w:rPr>
  </w:style>
  <w:style w:type="character" w:styleId="799">
    <w:name w:val="Emphasis"/>
    <w:uiPriority w:val="0"/>
    <w:qFormat/>
    <w:rPr>
      <w:color w:val="cc0033"/>
    </w:rPr>
  </w:style>
  <w:style w:type="character" w:styleId="800">
    <w:name w:val="Hyperlink"/>
    <w:uiPriority w:val="0"/>
    <w:qFormat/>
    <w:rPr>
      <w:color w:val="0000ff"/>
      <w:u w:val="single"/>
    </w:rPr>
  </w:style>
  <w:style w:type="character" w:styleId="801">
    <w:name w:val="annotation reference"/>
    <w:uiPriority w:val="0"/>
    <w:qFormat/>
    <w:rPr>
      <w:sz w:val="21"/>
      <w:szCs w:val="21"/>
    </w:rPr>
  </w:style>
  <w:style w:type="character" w:styleId="802">
    <w:name w:val="HTML Cite"/>
    <w:uiPriority w:val="0"/>
    <w:qFormat/>
    <w:rPr>
      <w:i/>
      <w:iCs/>
    </w:rPr>
  </w:style>
  <w:style w:type="paragraph" w:styleId="80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04">
    <w:name w:val="List Paragraph"/>
    <w:basedOn w:val="746"/>
    <w:link w:val="863"/>
    <w:uiPriority w:val="34"/>
    <w:qFormat/>
    <w:pPr>
      <w:ind w:firstLine="420"/>
    </w:pPr>
    <w:rPr>
      <w:rFonts w:ascii="Calibri" w:hAnsi="Calibri"/>
      <w:szCs w:val="22"/>
    </w:rPr>
  </w:style>
  <w:style w:type="paragraph" w:styleId="805" w:customStyle="1">
    <w:name w:val="成文日期"/>
    <w:basedOn w:val="746"/>
    <w:link w:val="854"/>
    <w:uiPriority w:val="0"/>
    <w:qFormat/>
    <w:pPr>
      <w:ind w:right="400" w:firstLine="200"/>
      <w:jc w:val="right"/>
      <w:spacing w:line="570" w:lineRule="exact"/>
    </w:pPr>
    <w:rPr>
      <w:rFonts w:ascii="仿宋_GB2312" w:eastAsia="仿宋_GB2312"/>
      <w:sz w:val="32"/>
      <w:szCs w:val="20"/>
    </w:rPr>
  </w:style>
  <w:style w:type="paragraph" w:styleId="806" w:customStyle="1">
    <w:name w:val="图例"/>
    <w:basedOn w:val="746"/>
    <w:uiPriority w:val="0"/>
    <w:qFormat/>
    <w:pPr>
      <w:jc w:val="center"/>
      <w:spacing w:before="120" w:after="120" w:line="360" w:lineRule="auto"/>
    </w:pPr>
    <w:rPr>
      <w:rFonts w:eastAsia="仿宋_GB2312"/>
      <w:b/>
      <w:sz w:val="24"/>
      <w:szCs w:val="20"/>
    </w:rPr>
  </w:style>
  <w:style w:type="paragraph" w:styleId="807" w:customStyle="1">
    <w:name w:val="表"/>
    <w:uiPriority w:val="0"/>
    <w:qFormat/>
    <w:pPr>
      <w:jc w:val="both"/>
      <w:spacing w:line="312" w:lineRule="auto"/>
      <w:widowControl w:val="off"/>
    </w:pPr>
    <w:rPr>
      <w:rFonts w:ascii="Calibri" w:hAnsi="Calibri" w:eastAsia="宋体" w:cs="宋体"/>
      <w:sz w:val="21"/>
      <w:lang w:val="en-US" w:eastAsia="zh-CN" w:bidi="ar-SA"/>
    </w:rPr>
  </w:style>
  <w:style w:type="character" w:styleId="808" w:customStyle="1">
    <w:name w:val="fontstyle01"/>
    <w:basedOn w:val="756"/>
    <w:uiPriority w:val="0"/>
    <w:qFormat/>
    <w:rPr>
      <w:rFonts w:ascii="CIDFont+F4" w:hAnsi="CIDFont+F4" w:cs="Times New Roman"/>
      <w:color w:val="000000"/>
      <w:sz w:val="24"/>
      <w:szCs w:val="24"/>
    </w:rPr>
  </w:style>
  <w:style w:type="character" w:styleId="809" w:customStyle="1">
    <w:name w:val="font41"/>
    <w:basedOn w:val="756"/>
    <w:uiPriority w:val="0"/>
    <w:qFormat/>
    <w:rPr>
      <w:rFonts w:hint="default" w:ascii="Times New Roman" w:hAnsi="Times New Roman" w:cs="Times New Roman"/>
      <w:color w:val="000000"/>
      <w:sz w:val="21"/>
      <w:szCs w:val="21"/>
      <w:u w:val="none"/>
    </w:rPr>
  </w:style>
  <w:style w:type="character" w:styleId="810" w:customStyle="1">
    <w:name w:val="font11"/>
    <w:basedOn w:val="756"/>
    <w:uiPriority w:val="0"/>
    <w:qFormat/>
    <w:rPr>
      <w:rFonts w:hint="eastAsia" w:ascii="宋体" w:hAnsi="宋体" w:eastAsia="宋体" w:cs="宋体"/>
      <w:color w:val="000000"/>
      <w:sz w:val="21"/>
      <w:szCs w:val="21"/>
      <w:u w:val="none"/>
    </w:rPr>
  </w:style>
  <w:style w:type="paragraph" w:styleId="811" w:customStyle="1">
    <w:name w:val="_Style 4"/>
    <w:next w:val="746"/>
    <w:uiPriority w:val="0"/>
    <w:qFormat/>
    <w:pPr>
      <w:jc w:val="both"/>
      <w:keepLines/>
      <w:keepNext/>
      <w:spacing w:before="340" w:after="330" w:line="576" w:lineRule="auto"/>
      <w:widowControl w:val="off"/>
    </w:pPr>
    <w:rPr>
      <w:rFonts w:ascii="Calibri" w:hAnsi="Calibri" w:eastAsia="宋体" w:cs="Times New Roman"/>
      <w:b/>
      <w:bCs/>
      <w:sz w:val="44"/>
      <w:szCs w:val="44"/>
      <w:lang w:val="en-US" w:eastAsia="zh-CN" w:bidi="ar-SA"/>
    </w:rPr>
  </w:style>
  <w:style w:type="paragraph" w:styleId="812" w:customStyle="1">
    <w:name w:val="正文_0_1"/>
    <w:uiPriority w:val="0"/>
    <w:qFormat/>
    <w:pPr>
      <w:jc w:val="both"/>
      <w:widowControl w:val="off"/>
    </w:pPr>
    <w:rPr>
      <w:rFonts w:ascii="Calibri" w:hAnsi="Calibri" w:eastAsia="宋体" w:cs="Times New Roman"/>
      <w:sz w:val="21"/>
      <w:szCs w:val="22"/>
      <w:lang w:val="en-US" w:eastAsia="zh-CN" w:bidi="ar-SA"/>
    </w:rPr>
  </w:style>
  <w:style w:type="character" w:styleId="813" w:customStyle="1">
    <w:name w:val="标题 2 字符"/>
    <w:basedOn w:val="756"/>
    <w:link w:val="748"/>
    <w:uiPriority w:val="0"/>
    <w:qFormat/>
    <w:rPr>
      <w:rFonts w:ascii="Arial" w:hAnsi="Arial" w:eastAsia="黑体"/>
      <w:b/>
      <w:sz w:val="30"/>
    </w:rPr>
  </w:style>
  <w:style w:type="character" w:styleId="814" w:customStyle="1">
    <w:name w:val="正文缩进 字符"/>
    <w:link w:val="758"/>
    <w:uiPriority w:val="0"/>
    <w:qFormat/>
    <w:rPr>
      <w:rFonts w:ascii="宋体"/>
      <w:sz w:val="24"/>
      <w:szCs w:val="24"/>
    </w:rPr>
  </w:style>
  <w:style w:type="character" w:styleId="815" w:customStyle="1">
    <w:name w:val="正文文本 字符"/>
    <w:link w:val="767"/>
    <w:uiPriority w:val="0"/>
    <w:qFormat/>
    <w:rPr>
      <w:rFonts w:ascii="宋体" w:hAnsi="宋体"/>
      <w:sz w:val="24"/>
      <w:szCs w:val="24"/>
    </w:rPr>
  </w:style>
  <w:style w:type="character" w:styleId="816" w:customStyle="1">
    <w:name w:val="标题 5 字符"/>
    <w:basedOn w:val="756"/>
    <w:link w:val="751"/>
    <w:uiPriority w:val="0"/>
    <w:qFormat/>
    <w:rPr>
      <w:b/>
      <w:sz w:val="28"/>
    </w:rPr>
  </w:style>
  <w:style w:type="character" w:styleId="817" w:customStyle="1">
    <w:name w:val="标题 6 字符"/>
    <w:basedOn w:val="756"/>
    <w:link w:val="752"/>
    <w:uiPriority w:val="0"/>
    <w:qFormat/>
    <w:rPr>
      <w:rFonts w:ascii="Arial" w:hAnsi="Arial" w:eastAsia="黑体"/>
      <w:b/>
      <w:sz w:val="24"/>
    </w:rPr>
  </w:style>
  <w:style w:type="character" w:styleId="818" w:customStyle="1">
    <w:name w:val="标题 7 字符"/>
    <w:basedOn w:val="756"/>
    <w:link w:val="753"/>
    <w:uiPriority w:val="0"/>
    <w:qFormat/>
    <w:rPr>
      <w:b/>
      <w:sz w:val="24"/>
    </w:rPr>
  </w:style>
  <w:style w:type="character" w:styleId="819" w:customStyle="1">
    <w:name w:val="标题 8 字符"/>
    <w:basedOn w:val="756"/>
    <w:link w:val="754"/>
    <w:uiPriority w:val="0"/>
    <w:qFormat/>
    <w:rPr>
      <w:rFonts w:ascii="Arial" w:hAnsi="Arial" w:eastAsia="黑体"/>
      <w:sz w:val="24"/>
    </w:rPr>
  </w:style>
  <w:style w:type="character" w:styleId="820" w:customStyle="1">
    <w:name w:val="标题 9 字符"/>
    <w:basedOn w:val="756"/>
    <w:link w:val="755"/>
    <w:uiPriority w:val="0"/>
    <w:qFormat/>
    <w:rPr>
      <w:rFonts w:ascii="Arial" w:hAnsi="Arial" w:eastAsia="黑体"/>
      <w:sz w:val="21"/>
    </w:rPr>
  </w:style>
  <w:style w:type="character" w:styleId="821" w:customStyle="1">
    <w:name w:val="标题 1 字符"/>
    <w:basedOn w:val="756"/>
    <w:link w:val="747"/>
    <w:uiPriority w:val="0"/>
    <w:qFormat/>
    <w:rPr>
      <w:rFonts w:ascii="宋体" w:hAnsi="宋体"/>
      <w:b/>
      <w:bCs/>
      <w:sz w:val="21"/>
      <w:szCs w:val="28"/>
    </w:rPr>
  </w:style>
  <w:style w:type="character" w:styleId="822" w:customStyle="1">
    <w:name w:val="标题 3 字符"/>
    <w:basedOn w:val="756"/>
    <w:link w:val="749"/>
    <w:uiPriority w:val="0"/>
    <w:qFormat/>
    <w:rPr>
      <w:b/>
      <w:sz w:val="32"/>
      <w:szCs w:val="24"/>
    </w:rPr>
  </w:style>
  <w:style w:type="character" w:styleId="823" w:customStyle="1">
    <w:name w:val="标题 4 字符"/>
    <w:basedOn w:val="756"/>
    <w:link w:val="750"/>
    <w:uiPriority w:val="0"/>
    <w:qFormat/>
    <w:rPr>
      <w:rFonts w:ascii="Arial" w:hAnsi="Arial" w:eastAsia="黑体"/>
      <w:b/>
      <w:sz w:val="28"/>
      <w:szCs w:val="24"/>
    </w:rPr>
  </w:style>
  <w:style w:type="character" w:styleId="824" w:customStyle="1">
    <w:name w:val="文档结构图 字符"/>
    <w:basedOn w:val="756"/>
    <w:link w:val="764"/>
    <w:uiPriority w:val="0"/>
    <w:qFormat/>
    <w:rPr>
      <w:sz w:val="21"/>
      <w:szCs w:val="24"/>
      <w:shd w:val="clear" w:color="auto" w:fill="000080"/>
    </w:rPr>
  </w:style>
  <w:style w:type="character" w:styleId="825" w:customStyle="1">
    <w:name w:val="批注文字 字符"/>
    <w:basedOn w:val="756"/>
    <w:uiPriority w:val="99"/>
    <w:qFormat/>
    <w:rPr>
      <w:sz w:val="21"/>
      <w:szCs w:val="24"/>
    </w:rPr>
  </w:style>
  <w:style w:type="character" w:styleId="826" w:customStyle="1">
    <w:name w:val="批注文字 字符1"/>
    <w:uiPriority w:val="0"/>
    <w:qFormat/>
    <w:rPr>
      <w:sz w:val="21"/>
      <w:szCs w:val="24"/>
    </w:rPr>
  </w:style>
  <w:style w:type="character" w:styleId="827" w:customStyle="1">
    <w:name w:val="正文文本 3 字符"/>
    <w:basedOn w:val="756"/>
    <w:link w:val="766"/>
    <w:uiPriority w:val="0"/>
    <w:qFormat/>
    <w:rPr>
      <w:sz w:val="16"/>
      <w:szCs w:val="16"/>
    </w:rPr>
  </w:style>
  <w:style w:type="character" w:styleId="828" w:customStyle="1">
    <w:name w:val="正文文本缩进 字符"/>
    <w:basedOn w:val="756"/>
    <w:link w:val="768"/>
    <w:uiPriority w:val="0"/>
    <w:qFormat/>
    <w:rPr>
      <w:sz w:val="24"/>
      <w:szCs w:val="24"/>
    </w:rPr>
  </w:style>
  <w:style w:type="character" w:styleId="829" w:customStyle="1">
    <w:name w:val="纯文本 字符"/>
    <w:basedOn w:val="756"/>
    <w:uiPriority w:val="0"/>
    <w:qFormat/>
    <w:rPr>
      <w:rFonts w:ascii="等线" w:hAnsi="Courier New" w:eastAsia="等线" w:cs="Courier New"/>
      <w:sz w:val="21"/>
      <w:szCs w:val="24"/>
    </w:rPr>
  </w:style>
  <w:style w:type="character" w:styleId="830" w:customStyle="1">
    <w:name w:val="纯文本 字符2"/>
    <w:link w:val="773"/>
    <w:uiPriority w:val="0"/>
    <w:qFormat/>
    <w:rPr>
      <w:rFonts w:ascii="宋体" w:hAnsi="Courier New"/>
      <w:sz w:val="21"/>
    </w:rPr>
  </w:style>
  <w:style w:type="character" w:styleId="831" w:customStyle="1">
    <w:name w:val="日期 字符"/>
    <w:basedOn w:val="756"/>
    <w:link w:val="775"/>
    <w:uiPriority w:val="0"/>
    <w:qFormat/>
    <w:rPr>
      <w:rFonts w:ascii="仿宋_GB2312" w:hAnsi="宋体" w:eastAsia="仿宋_GB2312"/>
      <w:color w:val="000000"/>
      <w:sz w:val="24"/>
      <w:szCs w:val="24"/>
    </w:rPr>
  </w:style>
  <w:style w:type="character" w:styleId="832" w:customStyle="1">
    <w:name w:val="正文文本缩进 2 字符"/>
    <w:basedOn w:val="756"/>
    <w:link w:val="776"/>
    <w:uiPriority w:val="0"/>
    <w:qFormat/>
    <w:rPr>
      <w:sz w:val="21"/>
      <w:szCs w:val="24"/>
    </w:rPr>
  </w:style>
  <w:style w:type="character" w:styleId="833" w:customStyle="1">
    <w:name w:val="批注框文本 字符"/>
    <w:basedOn w:val="756"/>
    <w:link w:val="777"/>
    <w:uiPriority w:val="0"/>
    <w:qFormat/>
    <w:rPr>
      <w:sz w:val="18"/>
      <w:szCs w:val="18"/>
    </w:rPr>
  </w:style>
  <w:style w:type="character" w:styleId="834" w:customStyle="1">
    <w:name w:val="页脚 字符"/>
    <w:basedOn w:val="756"/>
    <w:link w:val="778"/>
    <w:uiPriority w:val="0"/>
    <w:qFormat/>
    <w:rPr>
      <w:rFonts w:ascii="宋体"/>
      <w:sz w:val="18"/>
    </w:rPr>
  </w:style>
  <w:style w:type="character" w:styleId="835" w:customStyle="1">
    <w:name w:val="页眉 字符"/>
    <w:basedOn w:val="756"/>
    <w:link w:val="780"/>
    <w:uiPriority w:val="0"/>
    <w:qFormat/>
    <w:rPr>
      <w:sz w:val="18"/>
      <w:szCs w:val="18"/>
    </w:rPr>
  </w:style>
  <w:style w:type="character" w:styleId="836" w:customStyle="1">
    <w:name w:val="正文文本缩进 3 字符"/>
    <w:basedOn w:val="756"/>
    <w:link w:val="785"/>
    <w:uiPriority w:val="0"/>
    <w:qFormat/>
    <w:rPr>
      <w:rFonts w:ascii="宋体"/>
      <w:sz w:val="24"/>
    </w:rPr>
  </w:style>
  <w:style w:type="character" w:styleId="837" w:customStyle="1">
    <w:name w:val="HTML 预设格式 字符"/>
    <w:basedOn w:val="756"/>
    <w:link w:val="788"/>
    <w:uiPriority w:val="0"/>
    <w:qFormat/>
    <w:rPr>
      <w:rFonts w:ascii="宋体" w:hAnsi="宋体"/>
      <w:sz w:val="24"/>
      <w:szCs w:val="24"/>
    </w:rPr>
  </w:style>
  <w:style w:type="character" w:styleId="838" w:customStyle="1">
    <w:name w:val="普通(网站) 字符"/>
    <w:link w:val="789"/>
    <w:uiPriority w:val="99"/>
    <w:qFormat/>
    <w:rPr>
      <w:rFonts w:ascii="宋体" w:hAnsi="宋体"/>
      <w:sz w:val="24"/>
      <w:szCs w:val="24"/>
    </w:rPr>
  </w:style>
  <w:style w:type="character" w:styleId="839" w:customStyle="1">
    <w:name w:val="标题 字符"/>
    <w:basedOn w:val="756"/>
    <w:link w:val="791"/>
    <w:uiPriority w:val="0"/>
    <w:qFormat/>
    <w:rPr>
      <w:b/>
      <w:sz w:val="32"/>
    </w:rPr>
  </w:style>
  <w:style w:type="character" w:styleId="840" w:customStyle="1">
    <w:name w:val="批注文字 字符2"/>
    <w:basedOn w:val="756"/>
    <w:link w:val="765"/>
    <w:uiPriority w:val="0"/>
    <w:rPr>
      <w:sz w:val="21"/>
      <w:szCs w:val="24"/>
    </w:rPr>
  </w:style>
  <w:style w:type="character" w:styleId="841" w:customStyle="1">
    <w:name w:val="批注主题 字符"/>
    <w:basedOn w:val="840"/>
    <w:link w:val="792"/>
    <w:uiPriority w:val="0"/>
    <w:qFormat/>
    <w:rPr>
      <w:b/>
      <w:bCs/>
      <w:sz w:val="21"/>
      <w:szCs w:val="24"/>
    </w:rPr>
  </w:style>
  <w:style w:type="character" w:styleId="842" w:customStyle="1">
    <w:name w:val="正文文本首行缩进 字符"/>
    <w:basedOn w:val="815"/>
    <w:link w:val="793"/>
    <w:uiPriority w:val="0"/>
    <w:rPr>
      <w:rFonts w:ascii="宋体" w:hAnsi="宋体"/>
      <w:sz w:val="21"/>
      <w:szCs w:val="24"/>
    </w:rPr>
  </w:style>
  <w:style w:type="character" w:styleId="843" w:customStyle="1">
    <w:name w:val="正文文本首行缩进 2 字符"/>
    <w:basedOn w:val="828"/>
    <w:link w:val="794"/>
    <w:uiPriority w:val="0"/>
    <w:qFormat/>
    <w:rPr>
      <w:sz w:val="24"/>
      <w:szCs w:val="24"/>
    </w:rPr>
  </w:style>
  <w:style w:type="paragraph" w:styleId="844" w:customStyle="1">
    <w:name w:val="页脚11"/>
    <w:basedOn w:val="746"/>
    <w:next w:val="845"/>
    <w:uiPriority w:val="99"/>
    <w:unhideWhenUsed/>
    <w:qFormat/>
    <w:pPr>
      <w:tabs>
        <w:tab w:val="center" w:pos="7143" w:leader="none"/>
        <w:tab w:val="right" w:pos="14287" w:leader="none"/>
      </w:tabs>
    </w:pPr>
  </w:style>
  <w:style w:type="paragraph" w:styleId="845" w:customStyle="1">
    <w:name w:val="明显引用1"/>
    <w:next w:val="74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46" w:customStyle="1">
    <w:name w:val="Char Char111"/>
    <w:uiPriority w:val="0"/>
    <w:qFormat/>
    <w:rPr>
      <w:rFonts w:ascii="宋体" w:eastAsia="宋体"/>
      <w:b/>
      <w:sz w:val="24"/>
      <w:u w:val="single"/>
      <w:lang w:val="en-US" w:eastAsia="zh-CN" w:bidi="ar-SA"/>
    </w:rPr>
  </w:style>
  <w:style w:type="character" w:styleId="847" w:customStyle="1">
    <w:name w:val="标题 2 Char Char"/>
    <w:uiPriority w:val="0"/>
    <w:qFormat/>
    <w:rPr>
      <w:rFonts w:ascii="Arial" w:hAnsi="Arial" w:eastAsia="黑体"/>
      <w:b/>
      <w:bCs/>
      <w:sz w:val="32"/>
      <w:szCs w:val="32"/>
      <w:lang w:val="en-US" w:eastAsia="zh-CN" w:bidi="ar-SA"/>
    </w:rPr>
  </w:style>
  <w:style w:type="character" w:styleId="848" w:customStyle="1">
    <w:name w:val="font01"/>
    <w:uiPriority w:val="0"/>
    <w:qFormat/>
    <w:rPr>
      <w:rFonts w:hint="eastAsia" w:ascii="宋体" w:hAnsi="宋体" w:eastAsia="宋体" w:cs="宋体"/>
      <w:color w:val="000000"/>
      <w:sz w:val="24"/>
      <w:szCs w:val="24"/>
      <w:u w:val="none"/>
    </w:rPr>
  </w:style>
  <w:style w:type="character" w:styleId="849" w:customStyle="1">
    <w:name w:val="中等深浅网格 1 - 强调文字颜色 2 Char"/>
    <w:link w:val="850"/>
    <w:uiPriority w:val="0"/>
    <w:qFormat/>
    <w:rPr>
      <w:sz w:val="21"/>
      <w:szCs w:val="24"/>
      <w:lang w:val="zh-CN"/>
    </w:rPr>
  </w:style>
  <w:style w:type="paragraph" w:styleId="850" w:customStyle="1">
    <w:name w:val="1"/>
    <w:link w:val="849"/>
    <w:uiPriority w:val="0"/>
    <w:qFormat/>
    <w:rPr>
      <w:rFonts w:ascii="Times New Roman" w:hAnsi="Times New Roman" w:eastAsia="宋体" w:cs="Times New Roman"/>
      <w:sz w:val="21"/>
      <w:szCs w:val="24"/>
      <w:lang w:val="zh-CN" w:eastAsia="zh-CN" w:bidi="ar-SA"/>
    </w:rPr>
  </w:style>
  <w:style w:type="character" w:styleId="851" w:customStyle="1">
    <w:name w:val="正文格式 Char"/>
    <w:link w:val="852"/>
    <w:uiPriority w:val="0"/>
    <w:qFormat/>
    <w:rPr>
      <w:rFonts w:ascii="宋体" w:hAnsi="宋体"/>
      <w:sz w:val="24"/>
      <w:szCs w:val="24"/>
      <w:lang w:val="en-GB"/>
    </w:rPr>
  </w:style>
  <w:style w:type="paragraph" w:styleId="852" w:customStyle="1">
    <w:name w:val="正文格式"/>
    <w:basedOn w:val="746"/>
    <w:link w:val="851"/>
    <w:uiPriority w:val="0"/>
    <w:qFormat/>
    <w:pPr>
      <w:ind w:firstLine="480"/>
      <w:spacing w:line="360" w:lineRule="auto"/>
    </w:pPr>
    <w:rPr>
      <w:rFonts w:ascii="宋体" w:hAnsi="宋体"/>
      <w:sz w:val="24"/>
      <w:lang w:val="en-GB"/>
    </w:rPr>
  </w:style>
  <w:style w:type="character" w:styleId="853" w:customStyle="1">
    <w:name w:val="chanpin拷贝"/>
    <w:uiPriority w:val="0"/>
    <w:qFormat/>
  </w:style>
  <w:style w:type="character" w:styleId="854" w:customStyle="1">
    <w:name w:val="成文日期 Char"/>
    <w:link w:val="805"/>
    <w:uiPriority w:val="0"/>
    <w:rPr>
      <w:rFonts w:ascii="仿宋_GB2312" w:eastAsia="仿宋_GB2312"/>
      <w:sz w:val="32"/>
    </w:rPr>
  </w:style>
  <w:style w:type="character" w:styleId="855" w:customStyle="1">
    <w:name w:val="正文文本缩进 Char1"/>
    <w:link w:val="856"/>
    <w:uiPriority w:val="0"/>
    <w:qFormat/>
    <w:rPr>
      <w:rFonts w:ascii="宋体" w:hAnsi="宋体"/>
      <w:sz w:val="24"/>
      <w:szCs w:val="24"/>
    </w:rPr>
  </w:style>
  <w:style w:type="paragraph" w:styleId="856" w:customStyle="1">
    <w:name w:val="正文文本缩进1"/>
    <w:basedOn w:val="746"/>
    <w:link w:val="855"/>
    <w:uiPriority w:val="0"/>
    <w:qFormat/>
    <w:pPr>
      <w:ind w:firstLine="480"/>
      <w:spacing w:line="480" w:lineRule="exact"/>
    </w:pPr>
    <w:rPr>
      <w:rFonts w:ascii="宋体" w:hAnsi="宋体"/>
      <w:sz w:val="24"/>
    </w:rPr>
  </w:style>
  <w:style w:type="character" w:styleId="857" w:customStyle="1">
    <w:name w:val="chanpin1"/>
    <w:uiPriority w:val="0"/>
    <w:qFormat/>
    <w:rPr>
      <w:rFonts w:hint="default" w:ascii="ˎ̥" w:hAnsi="ˎ̥"/>
      <w:color w:val="000000"/>
      <w:sz w:val="20"/>
      <w:szCs w:val="20"/>
      <w:u w:val="none"/>
    </w:rPr>
  </w:style>
  <w:style w:type="character" w:styleId="858" w:customStyle="1">
    <w:name w:val="普通文字1 Char1"/>
    <w:uiPriority w:val="0"/>
    <w:qFormat/>
    <w:rPr>
      <w:rFonts w:ascii="宋体" w:hAnsi="Courier New" w:eastAsia="宋体"/>
      <w:sz w:val="21"/>
      <w:lang w:val="en-US" w:eastAsia="zh-CN" w:bidi="ar-SA"/>
    </w:rPr>
  </w:style>
  <w:style w:type="character" w:styleId="859" w:customStyle="1">
    <w:name w:val="标题 Char"/>
    <w:uiPriority w:val="0"/>
    <w:qFormat/>
    <w:rPr>
      <w:b/>
      <w:sz w:val="32"/>
    </w:rPr>
  </w:style>
  <w:style w:type="character" w:styleId="860" w:customStyle="1">
    <w:name w:val="正文文本 Char"/>
    <w:uiPriority w:val="0"/>
    <w:qFormat/>
    <w:rPr>
      <w:rFonts w:ascii="宋体" w:hAnsi="宋体"/>
      <w:sz w:val="24"/>
      <w:szCs w:val="24"/>
    </w:rPr>
  </w:style>
  <w:style w:type="character" w:styleId="861" w:customStyle="1">
    <w:name w:val="NormalCharacter"/>
    <w:uiPriority w:val="0"/>
    <w:qFormat/>
    <w:rPr>
      <w:sz w:val="21"/>
      <w:lang w:val="en-US" w:eastAsia="zh-CN" w:bidi="ar-SA"/>
    </w:rPr>
  </w:style>
  <w:style w:type="character" w:styleId="862" w:customStyle="1">
    <w:name w:val="页脚 Char"/>
    <w:uiPriority w:val="99"/>
    <w:qFormat/>
    <w:rPr>
      <w:rFonts w:ascii="宋体" w:eastAsia="宋体"/>
      <w:sz w:val="18"/>
      <w:lang w:val="en-US" w:eastAsia="zh-CN" w:bidi="ar-SA"/>
    </w:rPr>
  </w:style>
  <w:style w:type="character" w:styleId="863" w:customStyle="1">
    <w:name w:val="列表段落 字符"/>
    <w:link w:val="804"/>
    <w:uiPriority w:val="34"/>
    <w:qFormat/>
    <w:rPr>
      <w:rFonts w:ascii="Calibri" w:hAnsi="Calibri"/>
      <w:sz w:val="21"/>
      <w:szCs w:val="22"/>
    </w:rPr>
  </w:style>
  <w:style w:type="character" w:styleId="864" w:customStyle="1">
    <w:name w:val="注释 Char"/>
    <w:link w:val="865"/>
    <w:uiPriority w:val="0"/>
    <w:qFormat/>
    <w:rPr>
      <w:rFonts w:ascii="宋体" w:hAnsi="宋体"/>
      <w:sz w:val="21"/>
      <w:szCs w:val="21"/>
    </w:rPr>
  </w:style>
  <w:style w:type="paragraph" w:styleId="865" w:customStyle="1">
    <w:name w:val="注释"/>
    <w:basedOn w:val="746"/>
    <w:link w:val="864"/>
    <w:uiPriority w:val="0"/>
    <w:qFormat/>
    <w:pPr>
      <w:ind w:left="420" w:hanging="420"/>
      <w:jc w:val="left"/>
    </w:pPr>
    <w:rPr>
      <w:rFonts w:ascii="宋体" w:hAnsi="宋体"/>
      <w:szCs w:val="21"/>
    </w:rPr>
  </w:style>
  <w:style w:type="character" w:styleId="866" w:customStyle="1">
    <w:name w:val="txt"/>
    <w:uiPriority w:val="0"/>
    <w:qFormat/>
  </w:style>
  <w:style w:type="character" w:styleId="867" w:customStyle="1">
    <w:name w:val="locality"/>
    <w:uiPriority w:val="0"/>
    <w:qFormat/>
  </w:style>
  <w:style w:type="character" w:styleId="868" w:customStyle="1">
    <w:name w:val="bjh-p"/>
    <w:uiPriority w:val="0"/>
    <w:qFormat/>
  </w:style>
  <w:style w:type="character" w:styleId="869" w:customStyle="1">
    <w:name w:val="正文缩进 Char"/>
    <w:uiPriority w:val="0"/>
    <w:qFormat/>
    <w:rPr>
      <w:rFonts w:ascii="宋体" w:eastAsia="宋体"/>
      <w:sz w:val="24"/>
      <w:szCs w:val="24"/>
      <w:lang w:val="en-US" w:eastAsia="zh-CN" w:bidi="ar-SA"/>
    </w:rPr>
  </w:style>
  <w:style w:type="character" w:styleId="870" w:customStyle="1">
    <w:name w:val="标题 3 Char"/>
    <w:uiPriority w:val="0"/>
    <w:qFormat/>
    <w:rPr>
      <w:rFonts w:ascii="宋体" w:eastAsia="宋体"/>
      <w:b/>
      <w:sz w:val="24"/>
      <w:u w:val="single"/>
      <w:lang w:val="en-US" w:eastAsia="zh-CN" w:bidi="ar-SA"/>
    </w:rPr>
  </w:style>
  <w:style w:type="character" w:styleId="871" w:customStyle="1">
    <w:name w:val="font21"/>
    <w:uiPriority w:val="0"/>
    <w:rPr>
      <w:rFonts w:hint="eastAsia" w:ascii="宋体" w:hAnsi="宋体" w:eastAsia="宋体" w:cs="宋体"/>
      <w:b/>
      <w:bCs/>
      <w:color w:val="000000"/>
      <w:sz w:val="24"/>
      <w:szCs w:val="24"/>
      <w:u w:val="none"/>
    </w:rPr>
  </w:style>
  <w:style w:type="character" w:styleId="872" w:customStyle="1">
    <w:name w:val="纯文本 字符1"/>
    <w:uiPriority w:val="0"/>
    <w:qFormat/>
    <w:rPr>
      <w:rFonts w:ascii="宋体" w:hAnsi="Courier New"/>
    </w:rPr>
  </w:style>
  <w:style w:type="character" w:styleId="873" w:customStyle="1">
    <w:name w:val="正文缩进 Char Char"/>
    <w:link w:val="874"/>
    <w:uiPriority w:val="0"/>
    <w:qFormat/>
    <w:rPr>
      <w:rFonts w:ascii="宋体"/>
      <w:color w:val="000000"/>
      <w:sz w:val="28"/>
    </w:rPr>
  </w:style>
  <w:style w:type="paragraph" w:styleId="874" w:customStyle="1">
    <w:name w:val="正文缩进1"/>
    <w:basedOn w:val="746"/>
    <w:link w:val="873"/>
    <w:uiPriority w:val="0"/>
    <w:qFormat/>
    <w:pPr>
      <w:ind w:firstLine="567"/>
      <w:spacing w:line="480" w:lineRule="exact"/>
      <w:widowControl/>
    </w:pPr>
    <w:rPr>
      <w:rFonts w:ascii="宋体"/>
      <w:color w:val="000000"/>
      <w:sz w:val="28"/>
      <w:szCs w:val="20"/>
    </w:rPr>
  </w:style>
  <w:style w:type="character" w:styleId="875" w:customStyle="1">
    <w:name w:val="标题 3 Char Char"/>
    <w:uiPriority w:val="0"/>
    <w:qFormat/>
    <w:rPr>
      <w:rFonts w:eastAsia="宋体"/>
      <w:b/>
      <w:bCs/>
      <w:sz w:val="32"/>
      <w:szCs w:val="32"/>
      <w:lang w:val="en-US" w:eastAsia="zh-CN" w:bidi="ar-SA"/>
    </w:rPr>
  </w:style>
  <w:style w:type="character" w:styleId="876" w:customStyle="1">
    <w:name w:val="列出段落 Char"/>
    <w:uiPriority w:val="0"/>
    <w:qFormat/>
    <w:rPr>
      <w:rFonts w:ascii="Calibri" w:hAnsi="Calibri" w:eastAsia="宋体"/>
      <w:sz w:val="21"/>
      <w:szCs w:val="22"/>
      <w:lang w:val="en-US" w:eastAsia="zh-CN" w:bidi="ar-SA"/>
    </w:rPr>
  </w:style>
  <w:style w:type="character" w:styleId="877" w:customStyle="1">
    <w:name w:val="正文重点 Char"/>
    <w:link w:val="878"/>
    <w:uiPriority w:val="0"/>
    <w:qFormat/>
    <w:rPr>
      <w:b/>
      <w:sz w:val="24"/>
    </w:rPr>
  </w:style>
  <w:style w:type="paragraph" w:styleId="878" w:customStyle="1">
    <w:name w:val="正文重点"/>
    <w:basedOn w:val="746"/>
    <w:link w:val="877"/>
    <w:uiPriority w:val="0"/>
    <w:qFormat/>
    <w:pPr>
      <w:ind w:firstLine="482"/>
      <w:jc w:val="left"/>
      <w:spacing w:line="360" w:lineRule="auto"/>
    </w:pPr>
    <w:rPr>
      <w:b/>
      <w:sz w:val="24"/>
      <w:szCs w:val="20"/>
    </w:rPr>
  </w:style>
  <w:style w:type="character" w:styleId="879" w:customStyle="1">
    <w:name w:val="black1"/>
    <w:uiPriority w:val="0"/>
    <w:qFormat/>
    <w:rPr>
      <w:color w:val="000000"/>
    </w:rPr>
  </w:style>
  <w:style w:type="character" w:styleId="880" w:customStyle="1">
    <w:name w:val="street-address"/>
    <w:uiPriority w:val="0"/>
    <w:qFormat/>
  </w:style>
  <w:style w:type="character" w:styleId="881" w:customStyle="1">
    <w:name w:val="正文表格 Char"/>
    <w:link w:val="882"/>
    <w:uiPriority w:val="0"/>
    <w:qFormat/>
    <w:rPr>
      <w:rFonts w:ascii="宋体" w:hAnsi="宋体"/>
      <w:color w:val="000000"/>
      <w:sz w:val="21"/>
      <w:szCs w:val="21"/>
    </w:rPr>
  </w:style>
  <w:style w:type="paragraph" w:styleId="882" w:customStyle="1">
    <w:name w:val="正文表格"/>
    <w:basedOn w:val="746"/>
    <w:link w:val="881"/>
    <w:uiPriority w:val="0"/>
    <w:qFormat/>
    <w:pPr>
      <w:jc w:val="left"/>
    </w:pPr>
    <w:rPr>
      <w:rFonts w:ascii="宋体" w:hAnsi="宋体"/>
      <w:color w:val="000000"/>
      <w:szCs w:val="21"/>
    </w:rPr>
  </w:style>
  <w:style w:type="character" w:styleId="883" w:customStyle="1">
    <w:name w:val="页眉 Char"/>
    <w:uiPriority w:val="0"/>
    <w:qFormat/>
    <w:rPr>
      <w:rFonts w:eastAsia="宋体"/>
      <w:sz w:val="18"/>
      <w:szCs w:val="18"/>
      <w:lang w:val="en-US" w:eastAsia="zh-CN" w:bidi="ar-SA"/>
    </w:rPr>
  </w:style>
  <w:style w:type="character" w:styleId="884" w:customStyle="1">
    <w:name w:val="段1 Char"/>
    <w:uiPriority w:val="0"/>
    <w:qFormat/>
    <w:rPr>
      <w:rFonts w:ascii="宋体" w:eastAsia="宋体"/>
      <w:sz w:val="24"/>
      <w:lang w:val="en-US" w:eastAsia="zh-CN" w:bidi="ar-SA"/>
    </w:rPr>
  </w:style>
  <w:style w:type="character" w:styleId="885" w:customStyle="1">
    <w:name w:val="title4"/>
    <w:uiPriority w:val="0"/>
    <w:qFormat/>
    <w:rPr>
      <w:b/>
      <w:bCs/>
      <w:color w:val="1d87b3"/>
      <w:sz w:val="15"/>
      <w:szCs w:val="15"/>
    </w:rPr>
  </w:style>
  <w:style w:type="character" w:styleId="886" w:customStyle="1">
    <w:name w:val="apple-style-span"/>
    <w:uiPriority w:val="0"/>
    <w:qFormat/>
    <w:rPr>
      <w:rFonts w:cs="Times New Roman"/>
    </w:rPr>
  </w:style>
  <w:style w:type="character" w:styleId="887" w:customStyle="1">
    <w:name w:val="正文文本缩进 Char"/>
    <w:uiPriority w:val="0"/>
    <w:qFormat/>
    <w:rPr>
      <w:rFonts w:eastAsia="宋体"/>
      <w:sz w:val="24"/>
      <w:szCs w:val="24"/>
      <w:lang w:val="en-US" w:eastAsia="zh-CN" w:bidi="ar-SA"/>
    </w:rPr>
  </w:style>
  <w:style w:type="character" w:styleId="888" w:customStyle="1">
    <w:name w:val="批注文字 Char"/>
    <w:uiPriority w:val="99"/>
    <w:qFormat/>
    <w:rPr>
      <w:sz w:val="21"/>
      <w:szCs w:val="24"/>
    </w:rPr>
  </w:style>
  <w:style w:type="character" w:styleId="889" w:customStyle="1">
    <w:name w:val="正文小标题 Char"/>
    <w:link w:val="890"/>
    <w:uiPriority w:val="0"/>
    <w:qFormat/>
    <w:rPr>
      <w:rFonts w:ascii="宋体" w:hAnsi="宋体"/>
      <w:b/>
      <w:i/>
      <w:color w:val="ff0000"/>
      <w:sz w:val="24"/>
    </w:rPr>
  </w:style>
  <w:style w:type="paragraph" w:styleId="890" w:customStyle="1">
    <w:name w:val="正文小标题"/>
    <w:basedOn w:val="746"/>
    <w:next w:val="758"/>
    <w:link w:val="889"/>
    <w:uiPriority w:val="0"/>
    <w:qFormat/>
    <w:pPr>
      <w:ind w:firstLine="482"/>
      <w:jc w:val="left"/>
      <w:spacing w:before="312" w:after="312"/>
    </w:pPr>
    <w:rPr>
      <w:rFonts w:ascii="宋体" w:hAnsi="宋体"/>
      <w:b/>
      <w:i/>
      <w:color w:val="ff0000"/>
      <w:sz w:val="24"/>
      <w:szCs w:val="20"/>
    </w:rPr>
  </w:style>
  <w:style w:type="character" w:styleId="891" w:customStyle="1">
    <w:name w:val="c21"/>
    <w:uiPriority w:val="0"/>
    <w:qFormat/>
    <w:rPr>
      <w:rFonts w:hint="default" w:ascii="ˎ̥" w:hAnsi="ˎ̥"/>
      <w:color w:val="000000"/>
      <w:sz w:val="20"/>
      <w:szCs w:val="20"/>
      <w:u w:val="none"/>
    </w:rPr>
  </w:style>
  <w:style w:type="character" w:styleId="892" w:customStyle="1">
    <w:name w:val="标题 2 Char"/>
    <w:uiPriority w:val="0"/>
    <w:qFormat/>
    <w:rPr>
      <w:rFonts w:ascii="Arial" w:hAnsi="Arial" w:eastAsia="黑体"/>
      <w:b/>
      <w:sz w:val="30"/>
      <w:lang w:val="en-US" w:eastAsia="zh-CN" w:bidi="ar-SA"/>
    </w:rPr>
  </w:style>
  <w:style w:type="character" w:styleId="893" w:customStyle="1">
    <w:name w:val="Char Char11"/>
    <w:uiPriority w:val="0"/>
    <w:qFormat/>
    <w:rPr>
      <w:rFonts w:ascii="宋体" w:eastAsia="宋体"/>
      <w:b/>
      <w:sz w:val="24"/>
      <w:u w:val="single"/>
      <w:lang w:val="en-US" w:eastAsia="zh-CN" w:bidi="ar-SA"/>
    </w:rPr>
  </w:style>
  <w:style w:type="character" w:styleId="894" w:customStyle="1">
    <w:name w:val="正文大标题 Char"/>
    <w:link w:val="895"/>
    <w:uiPriority w:val="0"/>
    <w:qFormat/>
    <w:rPr>
      <w:rFonts w:ascii="宋体" w:hAnsi="宋体"/>
      <w:b/>
      <w:color w:val="000000"/>
      <w:sz w:val="28"/>
      <w:szCs w:val="21"/>
    </w:rPr>
  </w:style>
  <w:style w:type="paragraph" w:styleId="895" w:customStyle="1">
    <w:name w:val="正文大标题"/>
    <w:basedOn w:val="890"/>
    <w:next w:val="758"/>
    <w:link w:val="894"/>
    <w:uiPriority w:val="0"/>
    <w:qFormat/>
    <w:pPr>
      <w:jc w:val="center"/>
    </w:pPr>
    <w:rPr>
      <w:i w:val="0"/>
      <w:color w:val="000000"/>
      <w:sz w:val="28"/>
      <w:szCs w:val="21"/>
    </w:rPr>
  </w:style>
  <w:style w:type="character" w:styleId="896" w:customStyle="1">
    <w:name w:val="纯文本 Char1"/>
    <w:uiPriority w:val="0"/>
    <w:qFormat/>
    <w:rPr>
      <w:rFonts w:ascii="宋体" w:hAnsi="Courier New" w:eastAsia="宋体"/>
      <w:sz w:val="21"/>
      <w:lang w:val="en-US" w:eastAsia="zh-CN" w:bidi="ar-SA"/>
    </w:rPr>
  </w:style>
  <w:style w:type="paragraph" w:styleId="89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98" w:customStyle="1">
    <w:name w:val="xl3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899" w:customStyle="1">
    <w:name w:val="Char3 Char Char Char1"/>
    <w:basedOn w:val="746"/>
    <w:uiPriority w:val="0"/>
    <w:qFormat/>
    <w:rPr>
      <w:rFonts w:ascii="Tahoma" w:hAnsi="Tahoma"/>
      <w:sz w:val="24"/>
      <w:szCs w:val="20"/>
    </w:rPr>
  </w:style>
  <w:style w:type="paragraph" w:styleId="900" w:customStyle="1">
    <w:name w:val="default"/>
    <w:basedOn w:val="746"/>
    <w:uiPriority w:val="0"/>
    <w:qFormat/>
    <w:pPr>
      <w:jc w:val="left"/>
      <w:spacing w:before="100" w:beforeAutospacing="1" w:after="100" w:afterAutospacing="1"/>
      <w:widowControl/>
    </w:pPr>
    <w:rPr>
      <w:rFonts w:ascii="宋体" w:hAnsi="宋体" w:cs="宋体"/>
      <w:sz w:val="24"/>
    </w:rPr>
  </w:style>
  <w:style w:type="paragraph" w:styleId="901" w:customStyle="1">
    <w:name w:val="Char3 Char Char Char2"/>
    <w:basedOn w:val="746"/>
    <w:uiPriority w:val="0"/>
    <w:qFormat/>
    <w:rPr>
      <w:rFonts w:ascii="Tahoma" w:hAnsi="Tahoma"/>
      <w:sz w:val="24"/>
      <w:szCs w:val="20"/>
    </w:rPr>
  </w:style>
  <w:style w:type="paragraph" w:styleId="902" w:customStyle="1">
    <w:name w:val="xl51"/>
    <w:basedOn w:val="7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3" w:customStyle="1">
    <w:name w:val="字元 字元2"/>
    <w:basedOn w:val="746"/>
    <w:uiPriority w:val="0"/>
    <w:qFormat/>
    <w:rPr>
      <w:rFonts w:ascii="Tahoma" w:hAnsi="Tahoma"/>
      <w:sz w:val="24"/>
      <w:szCs w:val="20"/>
    </w:rPr>
  </w:style>
  <w:style w:type="paragraph" w:styleId="904" w:customStyle="1">
    <w:name w:val="xl2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05" w:customStyle="1">
    <w:name w:val="xl2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06" w:customStyle="1">
    <w:name w:val="列出段落1"/>
    <w:basedOn w:val="746"/>
    <w:uiPriority w:val="0"/>
    <w:qFormat/>
    <w:pPr>
      <w:ind w:firstLine="420"/>
    </w:pPr>
    <w:rPr>
      <w:rFonts w:ascii="Calibri" w:hAnsi="Calibri"/>
      <w:szCs w:val="22"/>
    </w:rPr>
  </w:style>
  <w:style w:type="paragraph" w:styleId="907" w:customStyle="1">
    <w:name w:val="xl2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8" w:customStyle="1">
    <w:name w:val="列出段落2"/>
    <w:basedOn w:val="746"/>
    <w:uiPriority w:val="0"/>
    <w:qFormat/>
    <w:pPr>
      <w:ind w:firstLine="420"/>
    </w:pPr>
    <w:rPr>
      <w:rFonts w:ascii="Calibri" w:hAnsi="Calibri"/>
      <w:szCs w:val="22"/>
    </w:rPr>
  </w:style>
  <w:style w:type="paragraph" w:styleId="909" w:customStyle="1">
    <w:name w:val="标题1-附件"/>
    <w:basedOn w:val="747"/>
    <w:uiPriority w:val="0"/>
    <w:qFormat/>
    <w:pPr>
      <w:jc w:val="left"/>
      <w:spacing w:before="240" w:after="120" w:line="300" w:lineRule="auto"/>
    </w:pPr>
    <w:rPr>
      <w:rFonts w:hAnsi="Times New Roman"/>
      <w:bCs w:val="0"/>
      <w:sz w:val="24"/>
      <w:szCs w:val="24"/>
    </w:rPr>
  </w:style>
  <w:style w:type="paragraph" w:styleId="910" w:customStyle="1">
    <w:name w:val="Char Char Char"/>
    <w:basedOn w:val="746"/>
    <w:uiPriority w:val="0"/>
    <w:qFormat/>
    <w:rPr>
      <w:rFonts w:ascii="Tahoma" w:hAnsi="Tahoma"/>
      <w:sz w:val="24"/>
      <w:szCs w:val="20"/>
    </w:rPr>
  </w:style>
  <w:style w:type="paragraph" w:styleId="911" w:customStyle="1">
    <w:name w:val="xl49"/>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12" w:customStyle="1">
    <w:name w:val="xl3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13" w:customStyle="1">
    <w:name w:val="正文须知-1级"/>
    <w:basedOn w:val="746"/>
    <w:next w:val="746"/>
    <w:uiPriority w:val="0"/>
    <w:qFormat/>
    <w:pPr>
      <w:numPr>
        <w:ilvl w:val="0"/>
        <w:numId w:val="1"/>
      </w:numPr>
      <w:spacing w:line="300" w:lineRule="auto"/>
    </w:pPr>
    <w:rPr>
      <w:rFonts w:ascii="宋体" w:hAnsi="Calibri"/>
      <w:sz w:val="24"/>
      <w:szCs w:val="21"/>
    </w:rPr>
  </w:style>
  <w:style w:type="paragraph" w:styleId="914" w:customStyle="1">
    <w:name w:val="xl47"/>
    <w:basedOn w:val="74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15" w:customStyle="1">
    <w:name w:val="样式 宋体 五号 行距: 单倍行距"/>
    <w:basedOn w:val="746"/>
    <w:uiPriority w:val="0"/>
    <w:qFormat/>
    <w:pPr>
      <w:jc w:val="left"/>
    </w:pPr>
    <w:rPr>
      <w:rFonts w:ascii="宋体" w:hAnsi="宋体"/>
      <w:szCs w:val="20"/>
    </w:rPr>
  </w:style>
  <w:style w:type="paragraph" w:styleId="916" w:customStyle="1">
    <w:name w:val="二级条标题"/>
    <w:basedOn w:val="917"/>
    <w:next w:val="746"/>
    <w:uiPriority w:val="0"/>
    <w:qFormat/>
    <w:pPr>
      <w:numPr>
        <w:ilvl w:val="0"/>
        <w:numId w:val="0"/>
      </w:numPr>
      <w:ind w:hanging="840"/>
      <w:tabs>
        <w:tab w:val="left" w:pos="360" w:leader="none"/>
        <w:tab w:val="left" w:pos="840" w:leader="none"/>
        <w:tab w:val="left" w:pos="900" w:leader="none"/>
      </w:tabs>
      <w:outlineLvl w:val="2"/>
    </w:pPr>
    <w:rPr>
      <w:rFonts w:ascii="宋体" w:eastAsia="宋体"/>
      <w:b w:val="0"/>
    </w:rPr>
  </w:style>
  <w:style w:type="paragraph" w:styleId="917" w:customStyle="1">
    <w:name w:val="一级条标题"/>
    <w:basedOn w:val="918"/>
    <w:next w:val="919"/>
    <w:uiPriority w:val="0"/>
    <w:qFormat/>
    <w:pPr>
      <w:numPr>
        <w:ilvl w:val="1"/>
      </w:numPr>
      <w:ind w:left="0" w:hanging="840"/>
      <w:tabs>
        <w:tab w:val="left" w:pos="360" w:leader="none"/>
        <w:tab w:val="left" w:pos="840" w:leader="none"/>
        <w:tab w:val="left" w:pos="900" w:leader="none"/>
      </w:tabs>
      <w:outlineLvl w:val="1"/>
    </w:pPr>
  </w:style>
  <w:style w:type="paragraph" w:styleId="918" w:customStyle="1">
    <w:name w:val="章标题"/>
    <w:next w:val="746"/>
    <w:uiPriority w:val="0"/>
    <w:qFormat/>
    <w:pPr>
      <w:numPr>
        <w:ilvl w:val="0"/>
        <w:numId w:val="2"/>
      </w:numPr>
      <w:jc w:val="both"/>
      <w:spacing w:before="156" w:after="156" w:line="460" w:lineRule="exact"/>
      <w:outlineLvl w:val="0"/>
    </w:pPr>
    <w:rPr>
      <w:rFonts w:ascii="黑体" w:hAnsi="Times New Roman" w:eastAsia="黑体" w:cs="Times New Roman"/>
      <w:b/>
      <w:sz w:val="28"/>
      <w:lang w:val="en-US" w:eastAsia="zh-CN" w:bidi="ar-SA"/>
    </w:rPr>
  </w:style>
  <w:style w:type="paragraph" w:styleId="919" w:customStyle="1">
    <w:name w:val="段"/>
    <w:next w:val="746"/>
    <w:uiPriority w:val="0"/>
    <w:qFormat/>
    <w:pPr>
      <w:ind w:firstLine="200"/>
      <w:jc w:val="both"/>
      <w:widowControl w:val="off"/>
    </w:pPr>
    <w:rPr>
      <w:rFonts w:ascii="宋体" w:hAnsi="Times New Roman" w:eastAsia="宋体" w:cs="Times New Roman"/>
      <w:sz w:val="21"/>
      <w:szCs w:val="24"/>
      <w:lang w:val="en-US" w:eastAsia="zh-CN" w:bidi="ar-SA"/>
    </w:rPr>
  </w:style>
  <w:style w:type="paragraph" w:styleId="920" w:customStyle="1">
    <w:name w:val="Table Paragraph"/>
    <w:basedOn w:val="746"/>
    <w:uiPriority w:val="1"/>
    <w:qFormat/>
    <w:pPr>
      <w:jc w:val="left"/>
    </w:pPr>
    <w:rPr>
      <w:rFonts w:ascii="宋体" w:hAnsi="宋体" w:cs="宋体"/>
      <w:sz w:val="22"/>
      <w:szCs w:val="22"/>
      <w:lang w:eastAsia="en-US"/>
    </w:rPr>
  </w:style>
  <w:style w:type="paragraph" w:styleId="921" w:customStyle="1">
    <w:name w:val="List Paragraph1"/>
    <w:basedOn w:val="746"/>
    <w:uiPriority w:val="0"/>
    <w:qFormat/>
    <w:pPr>
      <w:ind w:firstLine="420"/>
    </w:pPr>
    <w:rPr>
      <w:rFonts w:ascii="Calibri" w:hAnsi="Calibri"/>
      <w:szCs w:val="22"/>
    </w:rPr>
  </w:style>
  <w:style w:type="paragraph" w:styleId="922" w:customStyle="1">
    <w:name w:val="xl4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23" w:customStyle="1">
    <w:name w:val="Char Char4"/>
    <w:basedOn w:val="746"/>
    <w:uiPriority w:val="0"/>
    <w:qFormat/>
    <w:pPr>
      <w:jc w:val="center"/>
      <w:spacing w:line="400" w:lineRule="exact"/>
      <w:widowControl/>
    </w:pPr>
  </w:style>
  <w:style w:type="paragraph" w:styleId="924" w:customStyle="1">
    <w:name w:val="1名"/>
    <w:basedOn w:val="746"/>
    <w:uiPriority w:val="0"/>
    <w:qFormat/>
    <w:pPr>
      <w:numPr>
        <w:ilvl w:val="0"/>
        <w:numId w:val="3"/>
      </w:numPr>
      <w:spacing w:before="120"/>
      <w:tabs>
        <w:tab w:val="left" w:pos="360" w:leader="none"/>
      </w:tabs>
    </w:pPr>
    <w:rPr>
      <w:rFonts w:ascii="宋体"/>
      <w:sz w:val="28"/>
      <w:szCs w:val="20"/>
    </w:rPr>
  </w:style>
  <w:style w:type="paragraph" w:styleId="925" w:customStyle="1">
    <w:name w:val="Char Char Char1 Char"/>
    <w:basedOn w:val="746"/>
    <w:uiPriority w:val="0"/>
    <w:qFormat/>
    <w:rPr>
      <w:rFonts w:ascii="Tahoma" w:hAnsi="Tahoma"/>
      <w:sz w:val="24"/>
      <w:szCs w:val="20"/>
    </w:rPr>
  </w:style>
  <w:style w:type="paragraph" w:styleId="926" w:customStyle="1">
    <w:name w:val="1 Char Char Char Char"/>
    <w:basedOn w:val="746"/>
    <w:uiPriority w:val="0"/>
    <w:qFormat/>
    <w:rPr>
      <w:rFonts w:ascii="Tahoma" w:hAnsi="Tahoma"/>
      <w:sz w:val="24"/>
      <w:szCs w:val="20"/>
    </w:rPr>
  </w:style>
  <w:style w:type="paragraph" w:styleId="927" w:customStyle="1">
    <w:name w:val="样式 标题 2 + 宋体 五号 行距: 单倍行距"/>
    <w:basedOn w:val="748"/>
    <w:uiPriority w:val="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8" w:customStyle="1">
    <w:name w:val="22222222222222"/>
    <w:basedOn w:val="746"/>
    <w:uiPriority w:val="0"/>
    <w:qFormat/>
    <w:pPr>
      <w:ind w:firstLine="480"/>
      <w:jc w:val="left"/>
      <w:spacing w:line="360" w:lineRule="auto"/>
      <w:widowControl/>
    </w:pPr>
    <w:rPr>
      <w:color w:val="ff0000"/>
      <w:sz w:val="24"/>
      <w:szCs w:val="20"/>
    </w:rPr>
  </w:style>
  <w:style w:type="paragraph" w:styleId="929" w:customStyle="1">
    <w:name w:val="Char Char Char Char Char Char Char Char Char Char Char Char Char Char Char Char1"/>
    <w:basedOn w:val="746"/>
    <w:uiPriority w:val="0"/>
    <w:qFormat/>
    <w:pPr>
      <w:jc w:val="center"/>
      <w:spacing w:after="160" w:line="240" w:lineRule="exact"/>
      <w:widowControl/>
    </w:pPr>
    <w:rPr>
      <w:rFonts w:ascii="宋体" w:hAnsi="宋体"/>
      <w:b/>
      <w:sz w:val="30"/>
      <w:szCs w:val="30"/>
      <w:lang w:eastAsia="en-US"/>
    </w:rPr>
  </w:style>
  <w:style w:type="paragraph" w:styleId="930" w:customStyle="1">
    <w:name w:val="Char Char Char Char Char Char Char"/>
    <w:basedOn w:val="746"/>
    <w:uiPriority w:val="0"/>
    <w:qFormat/>
    <w:pPr>
      <w:ind w:firstLine="200"/>
      <w:spacing w:line="360" w:lineRule="auto"/>
    </w:pPr>
    <w:rPr>
      <w:rFonts w:eastAsia="仿宋_GB2312"/>
      <w:sz w:val="24"/>
    </w:rPr>
  </w:style>
  <w:style w:type="paragraph" w:styleId="931" w:customStyle="1">
    <w:name w:val="修订1"/>
    <w:uiPriority w:val="0"/>
    <w:qFormat/>
    <w:rPr>
      <w:rFonts w:ascii="Times New Roman" w:hAnsi="Times New Roman" w:eastAsia="宋体" w:cs="Times New Roman"/>
      <w:sz w:val="21"/>
      <w:szCs w:val="24"/>
      <w:lang w:val="en-US" w:eastAsia="zh-CN" w:bidi="ar-SA"/>
    </w:rPr>
  </w:style>
  <w:style w:type="paragraph" w:styleId="932" w:customStyle="1">
    <w:name w:val="Char Char Char1"/>
    <w:basedOn w:val="746"/>
    <w:uiPriority w:val="0"/>
    <w:qFormat/>
    <w:rPr>
      <w:rFonts w:ascii="Tahoma" w:hAnsi="Tahoma"/>
      <w:sz w:val="24"/>
      <w:szCs w:val="20"/>
    </w:rPr>
  </w:style>
  <w:style w:type="paragraph" w:styleId="933" w:customStyle="1">
    <w:name w:val="font6"/>
    <w:basedOn w:val="746"/>
    <w:uiPriority w:val="0"/>
    <w:qFormat/>
    <w:pPr>
      <w:jc w:val="left"/>
      <w:spacing w:before="100" w:beforeAutospacing="1" w:after="100" w:afterAutospacing="1"/>
      <w:widowControl/>
    </w:pPr>
    <w:rPr>
      <w:rFonts w:ascii="宋体" w:hAnsi="宋体" w:cs="宋体"/>
      <w:sz w:val="20"/>
      <w:szCs w:val="20"/>
    </w:rPr>
  </w:style>
  <w:style w:type="paragraph" w:styleId="934" w:customStyle="1">
    <w:name w:val="Char Char1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935" w:customStyle="1">
    <w:name w:val="Char Char Char1 Char1"/>
    <w:basedOn w:val="746"/>
    <w:uiPriority w:val="0"/>
    <w:qFormat/>
    <w:rPr>
      <w:rFonts w:ascii="Tahoma" w:hAnsi="Tahoma"/>
      <w:sz w:val="24"/>
      <w:szCs w:val="20"/>
    </w:rPr>
  </w:style>
  <w:style w:type="paragraph" w:styleId="936" w:customStyle="1">
    <w:name w:val="xl32"/>
    <w:basedOn w:val="7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37" w:customStyle="1">
    <w:name w:val="xl24"/>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38" w:customStyle="1">
    <w:name w:val="xl2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39" w:customStyle="1">
    <w:name w:val="缺省文本"/>
    <w:basedOn w:val="746"/>
    <w:uiPriority w:val="0"/>
    <w:qFormat/>
    <w:pPr>
      <w:jc w:val="left"/>
    </w:pPr>
    <w:rPr>
      <w:sz w:val="24"/>
    </w:rPr>
  </w:style>
  <w:style w:type="paragraph" w:styleId="940" w:customStyle="1">
    <w:name w:val="正文须知-3级"/>
    <w:basedOn w:val="746"/>
    <w:uiPriority w:val="0"/>
    <w:qFormat/>
    <w:pPr>
      <w:numPr>
        <w:ilvl w:val="2"/>
        <w:numId w:val="1"/>
      </w:numPr>
      <w:ind w:hanging="355"/>
      <w:spacing w:line="300" w:lineRule="auto"/>
    </w:pPr>
    <w:rPr>
      <w:rFonts w:ascii="宋体" w:hAnsi="Calibri"/>
      <w:sz w:val="24"/>
      <w:szCs w:val="21"/>
    </w:rPr>
  </w:style>
  <w:style w:type="paragraph" w:styleId="941" w:customStyle="1">
    <w:name w:val="三级条标题"/>
    <w:basedOn w:val="916"/>
    <w:next w:val="746"/>
    <w:uiPriority w:val="0"/>
    <w:qFormat/>
    <w:pPr>
      <w:numPr>
        <w:ilvl w:val="3"/>
        <w:numId w:val="2"/>
      </w:numPr>
      <w:outlineLvl w:val="3"/>
    </w:pPr>
  </w:style>
  <w:style w:type="paragraph" w:styleId="942" w:customStyle="1">
    <w:name w:val="UserStyle_0"/>
    <w:uiPriority w:val="0"/>
    <w:pPr>
      <w:jc w:val="both"/>
    </w:pPr>
    <w:rPr>
      <w:rFonts w:ascii="Times New Roman" w:hAnsi="Times New Roman" w:eastAsia="宋体" w:cs="Times New Roman"/>
      <w:sz w:val="21"/>
      <w:szCs w:val="24"/>
      <w:lang w:val="en-US" w:eastAsia="zh-CN" w:bidi="ar-SA"/>
    </w:rPr>
  </w:style>
  <w:style w:type="paragraph" w:styleId="943" w:customStyle="1">
    <w:name w:val="xl4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944" w:customStyle="1">
    <w:name w:val="正文 + 楷体_GB2312"/>
    <w:basedOn w:val="746"/>
    <w:uiPriority w:val="0"/>
    <w:qFormat/>
    <w:pPr>
      <w:jc w:val="left"/>
      <w:widowControl/>
    </w:pPr>
    <w:rPr>
      <w:rFonts w:ascii="楷体_GB2312" w:eastAsia="楷体_GB2312" w:cs="Arial"/>
      <w:sz w:val="24"/>
    </w:rPr>
  </w:style>
  <w:style w:type="paragraph" w:styleId="945" w:customStyle="1">
    <w:name w:val="Char21"/>
    <w:basedOn w:val="746"/>
    <w:uiPriority w:val="0"/>
    <w:qFormat/>
    <w:rPr>
      <w:rFonts w:ascii="Tahoma" w:hAnsi="Tahoma"/>
      <w:sz w:val="24"/>
      <w:szCs w:val="20"/>
    </w:rPr>
  </w:style>
  <w:style w:type="paragraph" w:styleId="946" w:customStyle="1">
    <w:name w:val="Char Char Char Char Char Char Char Char Char Char2"/>
    <w:basedOn w:val="746"/>
    <w:uiPriority w:val="0"/>
    <w:qFormat/>
    <w:rPr>
      <w:rFonts w:ascii="宋体" w:hAnsi="宋体" w:cs="Courier New"/>
      <w:sz w:val="32"/>
      <w:szCs w:val="32"/>
    </w:rPr>
  </w:style>
  <w:style w:type="paragraph" w:styleId="947" w:customStyle="1">
    <w:name w:val="正文文本样式"/>
    <w:basedOn w:val="746"/>
    <w:uiPriority w:val="0"/>
    <w:qFormat/>
    <w:pPr>
      <w:ind w:firstLine="482"/>
      <w:spacing w:line="360" w:lineRule="auto"/>
    </w:pPr>
    <w:rPr>
      <w:rFonts w:cs="宋体"/>
      <w:sz w:val="24"/>
      <w:szCs w:val="20"/>
    </w:rPr>
  </w:style>
  <w:style w:type="paragraph" w:styleId="948" w:customStyle="1">
    <w:name w:val="表格1"/>
    <w:basedOn w:val="746"/>
    <w:uiPriority w:val="0"/>
    <w:qFormat/>
    <w:pPr>
      <w:ind w:firstLine="480"/>
      <w:jc w:val="center"/>
    </w:pPr>
    <w:rPr>
      <w:sz w:val="24"/>
      <w:szCs w:val="20"/>
    </w:rPr>
  </w:style>
  <w:style w:type="paragraph" w:styleId="949" w:customStyle="1">
    <w:name w:val="五级条标题"/>
    <w:basedOn w:val="950"/>
    <w:next w:val="746"/>
    <w:uiPriority w:val="0"/>
    <w:qFormat/>
    <w:pPr>
      <w:numPr>
        <w:ilvl w:val="5"/>
      </w:numPr>
      <w:ind w:left="0" w:hanging="840"/>
      <w:tabs>
        <w:tab w:val="left" w:pos="360" w:leader="none"/>
        <w:tab w:val="left" w:pos="840" w:leader="none"/>
        <w:tab w:val="left" w:pos="900" w:leader="none"/>
      </w:tabs>
      <w:outlineLvl w:val="5"/>
    </w:pPr>
  </w:style>
  <w:style w:type="paragraph" w:styleId="950" w:customStyle="1">
    <w:name w:val="四级条标题"/>
    <w:basedOn w:val="941"/>
    <w:next w:val="746"/>
    <w:uiPriority w:val="0"/>
    <w:qFormat/>
    <w:pPr>
      <w:numPr>
        <w:ilvl w:val="4"/>
      </w:numPr>
      <w:ind w:left="0" w:hanging="840"/>
      <w:outlineLvl w:val="4"/>
    </w:pPr>
  </w:style>
  <w:style w:type="paragraph" w:styleId="951" w:customStyle="1">
    <w:name w:val="正文缩进2"/>
    <w:basedOn w:val="746"/>
    <w:uiPriority w:val="0"/>
    <w:qFormat/>
    <w:pPr>
      <w:ind w:firstLine="567"/>
      <w:spacing w:line="480" w:lineRule="exact"/>
      <w:widowControl/>
    </w:pPr>
    <w:rPr>
      <w:rFonts w:ascii="宋体"/>
      <w:color w:val="000000"/>
      <w:sz w:val="28"/>
      <w:szCs w:val="20"/>
      <w:lang w:val="zh-CN"/>
    </w:rPr>
  </w:style>
  <w:style w:type="paragraph" w:styleId="952"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953" w:customStyle="1">
    <w:name w:val="xl53"/>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54" w:customStyle="1">
    <w:name w:val="xl35"/>
    <w:basedOn w:val="7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5" w:customStyle="1">
    <w:name w:val="font8"/>
    <w:basedOn w:val="746"/>
    <w:uiPriority w:val="0"/>
    <w:qFormat/>
    <w:pPr>
      <w:jc w:val="left"/>
      <w:spacing w:before="100" w:beforeAutospacing="1" w:after="100" w:afterAutospacing="1"/>
      <w:widowControl/>
    </w:pPr>
    <w:rPr>
      <w:sz w:val="36"/>
      <w:szCs w:val="36"/>
    </w:rPr>
  </w:style>
  <w:style w:type="paragraph" w:styleId="956" w:customStyle="1">
    <w:name w:val="xl43"/>
    <w:basedOn w:val="74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5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Char2 Char Char Char Char Char Char1"/>
    <w:basedOn w:val="746"/>
    <w:uiPriority w:val="0"/>
    <w:qFormat/>
    <w:pPr>
      <w:jc w:val="center"/>
      <w:spacing w:line="400" w:lineRule="exact"/>
      <w:widowControl/>
    </w:pPr>
  </w:style>
  <w:style w:type="paragraph" w:styleId="959" w:customStyle="1">
    <w:name w:val="xl45"/>
    <w:basedOn w:val="74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0" w:customStyle="1">
    <w:name w:val="列出段落3"/>
    <w:basedOn w:val="746"/>
    <w:uiPriority w:val="34"/>
    <w:qFormat/>
    <w:pPr>
      <w:ind w:firstLine="420"/>
    </w:pPr>
    <w:rPr>
      <w:rFonts w:ascii="Calibri" w:hAnsi="Calibri"/>
      <w:szCs w:val="22"/>
    </w:rPr>
  </w:style>
  <w:style w:type="paragraph" w:styleId="961" w:customStyle="1">
    <w:name w:val="Í¼±íÕýÎÄ"/>
    <w:basedOn w:val="746"/>
    <w:next w:val="758"/>
    <w:uiPriority w:val="0"/>
    <w:pPr>
      <w:ind w:firstLine="420"/>
    </w:pPr>
    <w:rPr>
      <w:sz w:val="24"/>
      <w:szCs w:val="20"/>
    </w:rPr>
  </w:style>
  <w:style w:type="paragraph" w:styleId="962" w:customStyle="1">
    <w:name w:val="xl31"/>
    <w:basedOn w:val="7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63" w:customStyle="1">
    <w:name w:val="xl52"/>
    <w:basedOn w:val="74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64" w:customStyle="1">
    <w:name w:val="Char Char1 Char Char Char Char Char Char1"/>
    <w:basedOn w:val="746"/>
    <w:uiPriority w:val="0"/>
    <w:qFormat/>
    <w:pPr>
      <w:jc w:val="left"/>
      <w:spacing w:after="160" w:line="240" w:lineRule="exact"/>
      <w:widowControl/>
    </w:pPr>
    <w:rPr>
      <w:rFonts w:ascii="Verdana" w:hAnsi="Verdana" w:eastAsia="仿宋_GB2312"/>
      <w:sz w:val="24"/>
      <w:szCs w:val="20"/>
      <w:lang w:eastAsia="en-US"/>
    </w:rPr>
  </w:style>
  <w:style w:type="paragraph" w:styleId="965" w:customStyle="1">
    <w:name w:val="项目编号2"/>
    <w:basedOn w:val="966"/>
    <w:uiPriority w:val="0"/>
    <w:qFormat/>
    <w:pPr>
      <w:numPr>
        <w:numId w:val="5"/>
      </w:numPr>
      <w:tabs>
        <w:tab w:val="left" w:pos="312" w:leader="none"/>
      </w:tabs>
    </w:pPr>
  </w:style>
  <w:style w:type="paragraph" w:styleId="966" w:customStyle="1">
    <w:name w:val="项目编号1"/>
    <w:basedOn w:val="746"/>
    <w:uiPriority w:val="0"/>
    <w:qFormat/>
    <w:pPr>
      <w:numPr>
        <w:ilvl w:val="0"/>
        <w:numId w:val="6"/>
      </w:numPr>
      <w:spacing w:before="100" w:beforeAutospacing="1" w:after="100" w:afterAutospacing="1" w:line="360" w:lineRule="auto"/>
    </w:pPr>
    <w:rPr>
      <w:sz w:val="24"/>
    </w:rPr>
  </w:style>
  <w:style w:type="paragraph" w:styleId="967" w:customStyle="1">
    <w:name w:val="Char"/>
    <w:basedOn w:val="746"/>
    <w:uiPriority w:val="0"/>
    <w:qFormat/>
    <w:pPr>
      <w:tabs>
        <w:tab w:val="left" w:pos="360" w:leader="none"/>
      </w:tabs>
    </w:pPr>
    <w:rPr>
      <w:sz w:val="24"/>
    </w:rPr>
  </w:style>
  <w:style w:type="paragraph" w:styleId="968" w:customStyle="1">
    <w:name w:val="Char Char Char Char Char Char Char Char Char Char"/>
    <w:basedOn w:val="746"/>
    <w:uiPriority w:val="0"/>
    <w:qFormat/>
  </w:style>
  <w:style w:type="paragraph" w:styleId="969" w:customStyle="1">
    <w:name w:val="Char Char1"/>
    <w:basedOn w:val="764"/>
    <w:uiPriority w:val="0"/>
    <w:qFormat/>
    <w:rPr>
      <w:rFonts w:ascii="Tahoma" w:hAnsi="Tahoma"/>
      <w:sz w:val="24"/>
    </w:rPr>
  </w:style>
  <w:style w:type="paragraph" w:styleId="970" w:customStyle="1">
    <w:name w:val="Char2 Char Char Char Char Char Char"/>
    <w:basedOn w:val="746"/>
    <w:uiPriority w:val="0"/>
    <w:qFormat/>
    <w:pPr>
      <w:jc w:val="center"/>
      <w:spacing w:line="400" w:lineRule="exact"/>
      <w:widowControl/>
    </w:pPr>
  </w:style>
  <w:style w:type="paragraph" w:styleId="971" w:customStyle="1">
    <w:name w:val="xl5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72" w:customStyle="1">
    <w:name w:val="Char Char Char2"/>
    <w:basedOn w:val="746"/>
    <w:uiPriority w:val="0"/>
    <w:qFormat/>
    <w:rPr>
      <w:rFonts w:ascii="Tahoma" w:hAnsi="Tahoma"/>
      <w:sz w:val="24"/>
      <w:szCs w:val="20"/>
    </w:rPr>
  </w:style>
  <w:style w:type="paragraph" w:styleId="973" w:customStyle="1">
    <w:name w:val="正文 + 宋体"/>
    <w:basedOn w:val="746"/>
    <w:uiPriority w:val="0"/>
    <w:qFormat/>
    <w:pPr>
      <w:ind w:left="360" w:hanging="360"/>
      <w:jc w:val="left"/>
      <w:widowControl/>
    </w:pPr>
    <w:rPr>
      <w:rFonts w:ascii="宋体" w:hAnsi="宋体" w:cs="宋体"/>
      <w:b/>
      <w:bCs/>
      <w:color w:val="000000"/>
      <w:sz w:val="18"/>
      <w:szCs w:val="18"/>
    </w:rPr>
  </w:style>
  <w:style w:type="paragraph" w:styleId="974" w:customStyle="1">
    <w:name w:val="background1"/>
    <w:basedOn w:val="746"/>
    <w:uiPriority w:val="0"/>
    <w:qFormat/>
    <w:pPr>
      <w:jc w:val="left"/>
      <w:spacing w:before="100" w:beforeAutospacing="1" w:after="100" w:afterAutospacing="1"/>
      <w:widowControl/>
    </w:pPr>
    <w:rPr>
      <w:rFonts w:ascii="宋体" w:hAnsi="宋体" w:cs="宋体"/>
      <w:sz w:val="24"/>
    </w:rPr>
  </w:style>
  <w:style w:type="paragraph" w:styleId="975" w:customStyle="1">
    <w:name w:val="正文列项_数字"/>
    <w:basedOn w:val="746"/>
    <w:uiPriority w:val="0"/>
    <w:qFormat/>
    <w:pPr>
      <w:numPr>
        <w:ilvl w:val="7"/>
        <w:numId w:val="2"/>
      </w:numPr>
      <w:spacing w:line="460" w:lineRule="exact"/>
      <w:outlineLvl w:val="7"/>
    </w:pPr>
    <w:rPr>
      <w:rFonts w:ascii="宋体"/>
      <w:sz w:val="28"/>
      <w:szCs w:val="20"/>
    </w:rPr>
  </w:style>
  <w:style w:type="paragraph" w:styleId="976" w:customStyle="1">
    <w:name w:val="字元 字元1"/>
    <w:basedOn w:val="746"/>
    <w:uiPriority w:val="0"/>
    <w:qFormat/>
    <w:rPr>
      <w:rFonts w:ascii="Tahoma" w:hAnsi="Tahoma"/>
      <w:sz w:val="24"/>
      <w:szCs w:val="20"/>
    </w:rPr>
  </w:style>
  <w:style w:type="paragraph" w:styleId="977" w:customStyle="1">
    <w:name w:val="正文文本缩进2"/>
    <w:basedOn w:val="746"/>
    <w:uiPriority w:val="0"/>
    <w:qFormat/>
    <w:pPr>
      <w:ind w:firstLine="480"/>
      <w:spacing w:line="480" w:lineRule="exact"/>
    </w:pPr>
    <w:rPr>
      <w:rFonts w:ascii="宋体" w:hAnsi="宋体"/>
      <w:sz w:val="24"/>
      <w:lang w:val="zh-CN"/>
    </w:rPr>
  </w:style>
  <w:style w:type="paragraph" w:styleId="978" w:customStyle="1">
    <w:name w:val="Char Char1 Char Char Char Char Char Char"/>
    <w:basedOn w:val="746"/>
    <w:uiPriority w:val="0"/>
    <w:qFormat/>
    <w:pPr>
      <w:jc w:val="left"/>
      <w:spacing w:after="160" w:line="240" w:lineRule="exact"/>
      <w:widowControl/>
    </w:pPr>
    <w:rPr>
      <w:rFonts w:ascii="Verdana" w:hAnsi="Verdana" w:eastAsia="仿宋_GB2312"/>
      <w:sz w:val="24"/>
      <w:szCs w:val="20"/>
      <w:lang w:eastAsia="en-US"/>
    </w:rPr>
  </w:style>
  <w:style w:type="paragraph" w:styleId="979" w:customStyle="1">
    <w:name w:val="表格文字"/>
    <w:basedOn w:val="768"/>
    <w:uiPriority w:val="0"/>
    <w:qFormat/>
    <w:pPr>
      <w:ind w:firstLine="0"/>
      <w:spacing w:before="20" w:after="20" w:line="240" w:lineRule="auto"/>
    </w:pPr>
    <w:rPr>
      <w:rFonts w:ascii="Century Gothic" w:hAnsi="Century Gothic"/>
      <w:sz w:val="20"/>
      <w:szCs w:val="20"/>
    </w:rPr>
  </w:style>
  <w:style w:type="paragraph" w:styleId="980" w:customStyle="1">
    <w:name w:val="正文须知-2级"/>
    <w:basedOn w:val="746"/>
    <w:uiPriority w:val="0"/>
    <w:qFormat/>
    <w:pPr>
      <w:numPr>
        <w:ilvl w:val="1"/>
        <w:numId w:val="1"/>
      </w:numPr>
      <w:spacing w:line="300" w:lineRule="auto"/>
    </w:pPr>
    <w:rPr>
      <w:rFonts w:ascii="宋体" w:hAnsi="Calibri"/>
      <w:sz w:val="24"/>
      <w:szCs w:val="21"/>
    </w:rPr>
  </w:style>
  <w:style w:type="paragraph" w:styleId="981" w:customStyle="1">
    <w:name w:val="Char3 Char Char Char"/>
    <w:basedOn w:val="746"/>
    <w:uiPriority w:val="0"/>
    <w:qFormat/>
    <w:rPr>
      <w:rFonts w:ascii="Tahoma" w:hAnsi="Tahoma"/>
      <w:sz w:val="24"/>
      <w:szCs w:val="20"/>
    </w:rPr>
  </w:style>
  <w:style w:type="paragraph" w:styleId="982" w:customStyle="1">
    <w:name w:val="_Style 160"/>
    <w:uiPriority w:val="0"/>
    <w:qFormat/>
    <w:rPr>
      <w:rFonts w:ascii="Times New Roman" w:hAnsi="Times New Roman" w:eastAsia="宋体" w:cs="Times New Roman"/>
      <w:sz w:val="21"/>
      <w:szCs w:val="24"/>
      <w:lang w:val="en-US" w:eastAsia="zh-CN" w:bidi="ar-SA"/>
    </w:rPr>
  </w:style>
  <w:style w:type="paragraph" w:styleId="983" w:customStyle="1">
    <w:name w:val="Char Char Char Char Char Char Char2"/>
    <w:basedOn w:val="746"/>
    <w:uiPriority w:val="0"/>
    <w:qFormat/>
    <w:pPr>
      <w:ind w:firstLine="200"/>
      <w:spacing w:line="360" w:lineRule="auto"/>
    </w:pPr>
    <w:rPr>
      <w:rFonts w:eastAsia="仿宋_GB2312"/>
      <w:sz w:val="24"/>
    </w:rPr>
  </w:style>
  <w:style w:type="paragraph" w:styleId="984" w:customStyle="1">
    <w:name w:val="正文列项_字母"/>
    <w:basedOn w:val="746"/>
    <w:uiPriority w:val="0"/>
    <w:qFormat/>
    <w:pPr>
      <w:numPr>
        <w:ilvl w:val="6"/>
        <w:numId w:val="2"/>
      </w:numPr>
      <w:spacing w:line="460" w:lineRule="exact"/>
      <w:outlineLvl w:val="6"/>
    </w:pPr>
    <w:rPr>
      <w:rFonts w:ascii="宋体"/>
      <w:sz w:val="28"/>
      <w:szCs w:val="20"/>
    </w:rPr>
  </w:style>
  <w:style w:type="paragraph" w:styleId="985" w:customStyle="1">
    <w:name w:val="Char1"/>
    <w:basedOn w:val="746"/>
    <w:uiPriority w:val="0"/>
    <w:qFormat/>
    <w:pPr>
      <w:tabs>
        <w:tab w:val="left" w:pos="360" w:leader="none"/>
      </w:tabs>
    </w:pPr>
    <w:rPr>
      <w:sz w:val="24"/>
    </w:rPr>
  </w:style>
  <w:style w:type="paragraph" w:styleId="986" w:customStyle="1">
    <w:name w:val="Char Char Char1 Char2"/>
    <w:basedOn w:val="746"/>
    <w:uiPriority w:val="0"/>
    <w:qFormat/>
    <w:rPr>
      <w:rFonts w:ascii="Tahoma" w:hAnsi="Tahoma"/>
      <w:sz w:val="24"/>
      <w:szCs w:val="20"/>
    </w:rPr>
  </w:style>
  <w:style w:type="paragraph" w:styleId="987" w:customStyle="1">
    <w:name w:val="项目编号3"/>
    <w:basedOn w:val="947"/>
    <w:uiPriority w:val="0"/>
    <w:qFormat/>
    <w:pPr>
      <w:numPr>
        <w:ilvl w:val="0"/>
        <w:numId w:val="7"/>
      </w:numPr>
    </w:pPr>
  </w:style>
  <w:style w:type="paragraph" w:styleId="988" w:customStyle="1">
    <w:name w:val="font9"/>
    <w:basedOn w:val="74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89" w:customStyle="1">
    <w:name w:val="字元 字元"/>
    <w:basedOn w:val="746"/>
    <w:uiPriority w:val="0"/>
    <w:qFormat/>
    <w:rPr>
      <w:rFonts w:ascii="Tahoma" w:hAnsi="Tahoma"/>
      <w:sz w:val="24"/>
      <w:szCs w:val="20"/>
    </w:rPr>
  </w:style>
  <w:style w:type="paragraph" w:styleId="990" w:customStyle="1">
    <w:name w:val="Char3"/>
    <w:basedOn w:val="746"/>
    <w:uiPriority w:val="0"/>
    <w:qFormat/>
    <w:pPr>
      <w:tabs>
        <w:tab w:val="left" w:pos="360" w:leader="none"/>
      </w:tabs>
    </w:pPr>
    <w:rPr>
      <w:sz w:val="24"/>
    </w:rPr>
  </w:style>
  <w:style w:type="paragraph" w:styleId="991" w:customStyle="1">
    <w:name w:val="xl3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2" w:customStyle="1">
    <w:name w:val="文档正文"/>
    <w:basedOn w:val="746"/>
    <w:uiPriority w:val="0"/>
    <w:qFormat/>
    <w:pPr>
      <w:spacing w:before="120" w:after="120" w:line="180" w:lineRule="auto"/>
    </w:pPr>
    <w:rPr>
      <w:rFonts w:ascii="Arial" w:hAnsi="Arial"/>
      <w:szCs w:val="20"/>
    </w:rPr>
  </w:style>
  <w:style w:type="paragraph" w:styleId="993" w:customStyle="1">
    <w:name w:val="xl36"/>
    <w:basedOn w:val="74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4" w:customStyle="1">
    <w:name w:val="font7"/>
    <w:basedOn w:val="746"/>
    <w:uiPriority w:val="0"/>
    <w:qFormat/>
    <w:pPr>
      <w:jc w:val="left"/>
      <w:spacing w:before="100" w:beforeAutospacing="1" w:after="100" w:afterAutospacing="1"/>
      <w:widowControl/>
    </w:pPr>
    <w:rPr>
      <w:rFonts w:eastAsia="Arial Unicode MS"/>
      <w:b/>
      <w:bCs/>
      <w:color w:val="000000"/>
      <w:sz w:val="20"/>
      <w:szCs w:val="20"/>
    </w:rPr>
  </w:style>
  <w:style w:type="paragraph" w:styleId="995" w:customStyle="1">
    <w:name w:val="xl23"/>
    <w:basedOn w:val="746"/>
    <w:uiPriority w:val="0"/>
    <w:qFormat/>
    <w:pPr>
      <w:spacing w:before="100" w:beforeAutospacing="1" w:after="100" w:afterAutospacing="1" w:line="360" w:lineRule="auto"/>
      <w:widowControl/>
    </w:pPr>
    <w:rPr>
      <w:sz w:val="24"/>
      <w:szCs w:val="20"/>
    </w:rPr>
  </w:style>
  <w:style w:type="paragraph" w:styleId="996" w:customStyle="1">
    <w:name w:val="xl4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7" w:customStyle="1">
    <w:name w:val="Char2"/>
    <w:basedOn w:val="746"/>
    <w:uiPriority w:val="0"/>
    <w:qFormat/>
    <w:rPr>
      <w:rFonts w:ascii="Tahoma" w:hAnsi="Tahoma"/>
      <w:sz w:val="24"/>
      <w:szCs w:val="20"/>
    </w:rPr>
  </w:style>
  <w:style w:type="paragraph" w:styleId="998" w:customStyle="1">
    <w:name w:val="xl3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99" w:customStyle="1">
    <w:name w:val="Char Char Char Char Char Char Char1"/>
    <w:basedOn w:val="746"/>
    <w:uiPriority w:val="0"/>
    <w:qFormat/>
    <w:pPr>
      <w:ind w:firstLine="200"/>
      <w:spacing w:line="360" w:lineRule="auto"/>
    </w:pPr>
    <w:rPr>
      <w:rFonts w:eastAsia="仿宋_GB2312"/>
      <w:sz w:val="24"/>
    </w:rPr>
  </w:style>
  <w:style w:type="paragraph" w:styleId="1000" w:customStyle="1">
    <w:name w:val="样式2"/>
    <w:basedOn w:val="790"/>
    <w:uiPriority w:val="0"/>
    <w:qFormat/>
    <w:pPr>
      <w:jc w:val="center"/>
      <w:spacing w:line="360" w:lineRule="auto"/>
    </w:pPr>
    <w:rPr>
      <w:sz w:val="24"/>
    </w:rPr>
  </w:style>
  <w:style w:type="paragraph" w:styleId="1001" w:customStyle="1">
    <w:name w:val="xl46"/>
    <w:basedOn w:val="74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2" w:customStyle="1">
    <w:name w:val="默认段落字体 Para Char Char Char Char"/>
    <w:basedOn w:val="746"/>
    <w:uiPriority w:val="0"/>
    <w:qFormat/>
    <w:rPr>
      <w:rFonts w:ascii="Arial" w:hAnsi="Arial" w:cs="Arial"/>
      <w:szCs w:val="21"/>
    </w:rPr>
  </w:style>
  <w:style w:type="paragraph" w:styleId="1003" w:customStyle="1">
    <w:name w:val="Char Char Char Char Char Char Char Char Char Char Char Char Char Char Char Char"/>
    <w:basedOn w:val="746"/>
    <w:uiPriority w:val="0"/>
    <w:qFormat/>
    <w:pPr>
      <w:jc w:val="center"/>
      <w:spacing w:after="160" w:line="240" w:lineRule="exact"/>
      <w:widowControl/>
    </w:pPr>
    <w:rPr>
      <w:rFonts w:ascii="宋体" w:hAnsi="宋体"/>
      <w:b/>
      <w:sz w:val="30"/>
      <w:szCs w:val="30"/>
      <w:lang w:eastAsia="en-US"/>
    </w:rPr>
  </w:style>
  <w:style w:type="paragraph" w:styleId="1004" w:customStyle="1">
    <w:name w:val="xl2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5" w:customStyle="1">
    <w:name w:val="正文1"/>
    <w:basedOn w:val="746"/>
    <w:uiPriority w:val="0"/>
    <w:qFormat/>
    <w:pPr>
      <w:contextualSpacing/>
      <w:ind w:firstLine="200"/>
      <w:jc w:val="left"/>
      <w:spacing w:before="120" w:after="120"/>
      <w:widowControl/>
    </w:pPr>
    <w:rPr>
      <w:rFonts w:ascii="Calibri" w:hAnsi="Calibri" w:eastAsia="Adobe 仿宋 Std R"/>
      <w:sz w:val="20"/>
      <w:szCs w:val="21"/>
    </w:rPr>
  </w:style>
  <w:style w:type="paragraph" w:styleId="1006" w:customStyle="1">
    <w:name w:val="Char22"/>
    <w:basedOn w:val="746"/>
    <w:uiPriority w:val="0"/>
    <w:qFormat/>
    <w:rPr>
      <w:rFonts w:ascii="Tahoma" w:hAnsi="Tahoma"/>
      <w:sz w:val="24"/>
      <w:szCs w:val="20"/>
    </w:rPr>
  </w:style>
  <w:style w:type="paragraph" w:styleId="1007" w:customStyle="1">
    <w:name w:val="正文文本样式 加粗"/>
    <w:basedOn w:val="947"/>
    <w:uiPriority w:val="0"/>
    <w:qFormat/>
    <w:rPr>
      <w:b/>
    </w:rPr>
  </w:style>
  <w:style w:type="paragraph" w:styleId="1008" w:customStyle="1">
    <w:name w:val="Char Char41"/>
    <w:basedOn w:val="746"/>
    <w:uiPriority w:val="0"/>
    <w:qFormat/>
    <w:pPr>
      <w:jc w:val="center"/>
      <w:spacing w:line="400" w:lineRule="exact"/>
      <w:widowControl/>
    </w:pPr>
  </w:style>
  <w:style w:type="paragraph" w:styleId="1009" w:customStyle="1">
    <w:name w:val="Char Char Char Char Char Char Char Char Char Char1"/>
    <w:basedOn w:val="746"/>
    <w:uiPriority w:val="0"/>
    <w:qFormat/>
    <w:rPr>
      <w:rFonts w:ascii="宋体" w:hAnsi="宋体" w:cs="Courier New"/>
      <w:sz w:val="32"/>
      <w:szCs w:val="32"/>
    </w:rPr>
  </w:style>
  <w:style w:type="paragraph" w:styleId="1010" w:customStyle="1">
    <w:name w:val="无标题条"/>
    <w:next w:val="746"/>
    <w:uiPriority w:val="0"/>
    <w:qFormat/>
    <w:pPr>
      <w:jc w:val="both"/>
    </w:pPr>
    <w:rPr>
      <w:rFonts w:ascii="Times New Roman" w:hAnsi="Times New Roman" w:eastAsia="宋体" w:cs="Times New Roman"/>
      <w:sz w:val="21"/>
      <w:lang w:val="en-US" w:eastAsia="zh-CN" w:bidi="ar-SA"/>
    </w:rPr>
  </w:style>
  <w:style w:type="paragraph" w:styleId="1011" w:customStyle="1">
    <w:name w:val="xl44"/>
    <w:basedOn w:val="74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12" w:customStyle="1">
    <w:name w:val="xl4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3" w:customStyle="1">
    <w:name w:val="图文"/>
    <w:basedOn w:val="746"/>
    <w:uiPriority w:val="0"/>
    <w:qFormat/>
    <w:pPr>
      <w:spacing w:after="50" w:line="360" w:lineRule="auto"/>
    </w:pPr>
    <w:rPr>
      <w:sz w:val="24"/>
    </w:rPr>
  </w:style>
  <w:style w:type="paragraph" w:styleId="1014" w:customStyle="1">
    <w:name w:val="项目符号1"/>
    <w:basedOn w:val="947"/>
    <w:uiPriority w:val="0"/>
    <w:qFormat/>
    <w:pPr>
      <w:ind w:left="-25" w:firstLine="0"/>
    </w:pPr>
  </w:style>
  <w:style w:type="paragraph" w:styleId="1015" w:customStyle="1">
    <w:name w:val="Char1 Char Char Char1"/>
    <w:basedOn w:val="746"/>
    <w:uiPriority w:val="0"/>
    <w:qFormat/>
    <w:rPr>
      <w:rFonts w:ascii="Tahoma" w:hAnsi="Tahoma" w:cs="仿宋_GB2312"/>
      <w:sz w:val="24"/>
      <w:szCs w:val="28"/>
    </w:rPr>
  </w:style>
  <w:style w:type="paragraph" w:styleId="1016" w:customStyle="1">
    <w:name w:val="xl3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17" w:customStyle="1">
    <w:name w:val="xl37"/>
    <w:basedOn w:val="7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8" w:customStyle="1">
    <w:name w:val="图中文字"/>
    <w:basedOn w:val="746"/>
    <w:uiPriority w:val="0"/>
    <w:qFormat/>
    <w:pPr>
      <w:jc w:val="center"/>
      <w:spacing w:line="0" w:lineRule="atLeast"/>
    </w:pPr>
    <w:rPr>
      <w:sz w:val="24"/>
      <w:szCs w:val="20"/>
    </w:rPr>
  </w:style>
  <w:style w:type="table" w:styleId="101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020" w:customStyle="1">
    <w:name w:val="中等深浅网格 1 - 强调文字颜色 21"/>
    <w:basedOn w:val="75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21" w:customStyle="1">
    <w:name w:val="Revision"/>
    <w:uiPriority w:val="99"/>
    <w:unhideWhenUsed/>
    <w:qFormat/>
    <w:rPr>
      <w:rFonts w:ascii="Times New Roman" w:hAnsi="Times New Roman" w:eastAsia="宋体" w:cs="Times New Roman"/>
      <w:sz w:val="21"/>
      <w:szCs w:val="24"/>
      <w:lang w:val="en-US" w:eastAsia="zh-CN" w:bidi="ar-SA"/>
    </w:rPr>
  </w:style>
  <w:style w:type="paragraph" w:styleId="1022" w:customStyle="1">
    <w:name w:val="Plain Text1"/>
    <w:next w:val="782"/>
    <w:uiPriority w:val="0"/>
    <w:qFormat/>
    <w:pPr>
      <w:jc w:val="both"/>
      <w:widowControl w:val="off"/>
    </w:pPr>
    <w:rPr>
      <w:rFonts w:ascii="宋体" w:hAnsi="宋体" w:eastAsia="楷体_GB2312" w:cs="Times New Roman"/>
      <w:sz w:val="26"/>
      <w:szCs w:val="22"/>
      <w:lang w:val="en-US" w:eastAsia="zh-CN" w:bidi="ar-SA"/>
    </w:rPr>
  </w:style>
  <w:style w:type="paragraph" w:styleId="1023" w:customStyle="1">
    <w:name w:val="null3"/>
    <w:uiPriority w:val="0"/>
    <w:qFormat/>
    <w:rPr>
      <w:rFonts w:hint="eastAsia" w:ascii="Calibri" w:hAnsi="Calibri" w:eastAsia="宋体" w:cs="Times New Roman"/>
      <w:lang w:val="en-US" w:eastAsia="zh-Hans" w:bidi="ar-SA"/>
    </w:rPr>
  </w:style>
  <w:style w:type="paragraph" w:styleId="1024" w:customStyle="1">
    <w:name w:val="UserStyle_37"/>
    <w:basedOn w:val="746"/>
    <w:uiPriority w:val="0"/>
    <w:qFormat/>
    <w:pPr>
      <w:ind w:left="360"/>
      <w:widowControl/>
      <w:tabs>
        <w:tab w:val="left" w:pos="360" w:leader="none"/>
        <w:tab w:val="left" w:pos="987" w:leader="none"/>
      </w:tabs>
    </w:pPr>
    <w:rPr>
      <w:rFonts w:eastAsia="楷体_GB2312"/>
      <w:sz w:val="28"/>
    </w:rPr>
  </w:style>
  <w:style w:type="paragraph" w:styleId="1025" w:customStyle="1">
    <w:name w:val="UserStyle_82"/>
    <w:uiPriority w:val="0"/>
    <w:qFormat/>
    <w:rPr>
      <w:rFonts w:ascii="宋体" w:hAnsi="Times New Roman" w:eastAsia="宋体" w:cs="Times New Roman"/>
      <w:color w:val="000000"/>
      <w:sz w:val="24"/>
      <w:szCs w:val="24"/>
      <w:lang w:val="en-US" w:eastAsia="zh-CN" w:bidi="ar-SA"/>
    </w:rPr>
  </w:style>
  <w:style w:type="paragraph" w:styleId="1026" w:customStyle="1">
    <w:name w:val="UserStyle_83"/>
    <w:basedOn w:val="746"/>
    <w:uiPriority w:val="0"/>
    <w:qFormat/>
    <w:pPr>
      <w:numPr>
        <w:ilvl w:val="1"/>
        <w:numId w:val="8"/>
      </w:numPr>
      <w:ind w:left="0" w:firstLine="0"/>
      <w:widowControl/>
      <w:tabs>
        <w:tab w:val="left" w:pos="360" w:leader="none"/>
      </w:tabs>
    </w:pPr>
    <w:rPr>
      <w:rFonts w:eastAsia="楷体_GB2312"/>
      <w:sz w:val="28"/>
    </w:rPr>
  </w:style>
  <w:style w:type="paragraph" w:styleId="1027" w:customStyle="1">
    <w:name w:val="NormalIndent"/>
    <w:basedOn w:val="746"/>
    <w:link w:val="1028"/>
    <w:uiPriority w:val="0"/>
    <w:qFormat/>
    <w:pPr>
      <w:ind w:firstLine="420"/>
      <w:widowControl/>
    </w:pPr>
    <w:rPr>
      <w:sz w:val="24"/>
      <w:szCs w:val="20"/>
    </w:rPr>
  </w:style>
  <w:style w:type="character" w:styleId="1028" w:customStyle="1">
    <w:name w:val="UserStyle_52"/>
    <w:link w:val="1027"/>
    <w:uiPriority w:val="0"/>
    <w:qFormat/>
    <w:rPr>
      <w:sz w:val="24"/>
    </w:rPr>
  </w:style>
  <w:style w:type="character" w:styleId="1029" w:customStyle="1">
    <w:name w:val="UserStyle_23"/>
    <w:link w:val="1030"/>
    <w:uiPriority w:val="0"/>
    <w:qFormat/>
    <w:rPr>
      <w:szCs w:val="24"/>
    </w:rPr>
  </w:style>
  <w:style w:type="paragraph" w:styleId="1030" w:customStyle="1">
    <w:name w:val="BodyText"/>
    <w:basedOn w:val="746"/>
    <w:link w:val="1029"/>
    <w:uiPriority w:val="0"/>
    <w:qFormat/>
    <w:pPr>
      <w:spacing w:after="120"/>
      <w:widowControl/>
    </w:pPr>
    <w:rPr>
      <w:sz w:val="20"/>
    </w:rPr>
  </w:style>
  <w:style w:type="paragraph" w:styleId="1031" w:customStyle="1">
    <w:name w:val="正文文本1"/>
    <w:basedOn w:val="746"/>
    <w:next w:val="1032"/>
    <w:uiPriority w:val="0"/>
    <w:qFormat/>
    <w:rPr>
      <w:rFonts w:ascii="华文中宋" w:eastAsia="华文中宋"/>
      <w:bCs/>
      <w:sz w:val="28"/>
      <w:szCs w:val="20"/>
    </w:rPr>
  </w:style>
  <w:style w:type="paragraph" w:styleId="1032" w:customStyle="1">
    <w:name w:val="正文首行缩进1"/>
    <w:basedOn w:val="1031"/>
    <w:next w:val="746"/>
    <w:uiPriority w:val="99"/>
    <w:unhideWhenUsed/>
    <w:qFormat/>
    <w:pPr>
      <w:ind w:firstLine="420"/>
      <w:spacing w:after="120"/>
    </w:pPr>
    <w:rPr>
      <w:rFonts w:ascii="Times New Roman"/>
      <w:bCs w:val="0"/>
      <w:sz w:val="21"/>
    </w:rPr>
  </w:style>
  <w:style w:type="paragraph" w:styleId="1033" w:customStyle="1">
    <w:name w:val="_Style 319"/>
    <w:basedOn w:val="746"/>
    <w:next w:val="804"/>
    <w:uiPriority w:val="34"/>
    <w:qFormat/>
    <w:pPr>
      <w:ind w:firstLine="420"/>
    </w:pPr>
    <w:rPr>
      <w:rFonts w:ascii="Calibri" w:hAnsi="Calibri"/>
      <w:szCs w:val="22"/>
    </w:rPr>
  </w:style>
  <w:style w:type="paragraph" w:styleId="1034" w:customStyle="1">
    <w:name w:val="正文11"/>
    <w:next w:val="1035"/>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正文文本 21"/>
    <w:uiPriority w:val="0"/>
    <w:qFormat/>
    <w:pPr>
      <w:jc w:val="both"/>
      <w:spacing w:after="120" w:line="480" w:lineRule="auto"/>
      <w:widowControl w:val="off"/>
    </w:pPr>
    <w:rPr>
      <w:rFonts w:ascii="Times New Roman" w:hAnsi="Times New Roman" w:eastAsia="宋体" w:cs="Times New Roman"/>
      <w:sz w:val="21"/>
      <w:szCs w:val="24"/>
      <w:lang w:val="en-US" w:eastAsia="zh-CN" w:bidi="ar-SA"/>
    </w:rPr>
  </w:style>
  <w:style w:type="paragraph" w:styleId="1036" w:customStyle="1">
    <w:name w:val="纯文本11"/>
    <w:uiPriority w:val="0"/>
    <w:qFormat/>
    <w:pPr>
      <w:jc w:val="both"/>
      <w:widowControl w:val="off"/>
    </w:pPr>
    <w:rPr>
      <w:rFonts w:ascii="宋体" w:hAnsi="Courier New" w:eastAsia="宋体" w:cs="Times New Roman"/>
      <w:sz w:val="24"/>
      <w:szCs w:val="22"/>
      <w:lang w:val="en-US" w:eastAsia="zh-CN" w:bidi="ar-SA"/>
    </w:rPr>
  </w:style>
  <w:style w:type="character" w:styleId="1037" w:customStyle="1">
    <w:name w:val="Unresolved Mention"/>
    <w:uiPriority w:val="99"/>
    <w:unhideWhenUsed/>
    <w:qFormat/>
    <w:rPr>
      <w:color w:val="605e5c"/>
      <w:shd w:val="clear" w:color="auto" w:fill="e1dfdd"/>
    </w:rPr>
  </w:style>
  <w:style w:type="paragraph" w:styleId="1038" w:customStyle="1">
    <w:name w:val="Body Text First Indent 21"/>
    <w:basedOn w:val="746"/>
    <w:uiPriority w:val="0"/>
    <w:qFormat/>
    <w:pPr>
      <w:ind w:left="420" w:firstLine="420"/>
      <w:spacing w:after="120"/>
    </w:pPr>
  </w:style>
  <w:style w:type="paragraph" w:styleId="1039" w:customStyle="1">
    <w:name w:val="Char Char Char1 Char Char Char Char Char Char Char Char Char Char"/>
    <w:basedOn w:val="746"/>
    <w:uiPriority w:val="0"/>
    <w:qFormat/>
    <w:rPr>
      <w:rFonts w:ascii="Tahoma" w:hAnsi="Tahoma"/>
      <w:sz w:val="24"/>
      <w:szCs w:val="20"/>
    </w:rPr>
  </w:style>
  <w:style w:type="paragraph" w:styleId="1040" w:customStyle="1">
    <w:name w:val="正文_276"/>
    <w:uiPriority w:val="0"/>
    <w:qFormat/>
    <w:pPr>
      <w:jc w:val="both"/>
      <w:widowControl w:val="off"/>
    </w:pPr>
    <w:rPr>
      <w:rFonts w:ascii="Times New Roman" w:hAnsi="Times New Roman" w:eastAsia="宋体" w:cs="Times New Roman"/>
      <w:sz w:val="21"/>
      <w:szCs w:val="22"/>
      <w:lang w:val="en-US" w:eastAsia="zh-CN" w:bidi="ar-SA"/>
    </w:rPr>
  </w:style>
  <w:style w:type="paragraph" w:styleId="1041" w:customStyle="1">
    <w:name w:val="Char4"/>
    <w:basedOn w:val="746"/>
    <w:uiPriority w:val="0"/>
    <w:qFormat/>
    <w:pPr>
      <w:jc w:val="left"/>
      <w:spacing w:after="160" w:line="360" w:lineRule="auto"/>
      <w:widowControl/>
    </w:pPr>
    <w:rPr>
      <w:rFonts w:ascii="Verdana" w:hAnsi="Verdana" w:eastAsia="仿宋_GB2312"/>
      <w:sz w:val="24"/>
      <w:szCs w:val="20"/>
      <w:lang w:eastAsia="en-US"/>
    </w:rPr>
  </w:style>
  <w:style w:type="paragraph" w:styleId="1042" w:customStyle="1">
    <w:name w:val="正文_92"/>
    <w:uiPriority w:val="0"/>
    <w:qFormat/>
    <w:pPr>
      <w:jc w:val="both"/>
      <w:widowControl w:val="off"/>
    </w:pPr>
    <w:rPr>
      <w:rFonts w:ascii="Times New Roman" w:hAnsi="Times New Roman" w:eastAsia="宋体" w:cs="Times New Roman"/>
      <w:sz w:val="21"/>
      <w:szCs w:val="22"/>
      <w:lang w:val="en-US" w:eastAsia="zh-CN" w:bidi="ar-SA"/>
    </w:rPr>
  </w:style>
  <w:style w:type="paragraph" w:styleId="1043" w:customStyle="1">
    <w:name w:val="正文_256"/>
    <w:uiPriority w:val="0"/>
    <w:qFormat/>
    <w:pPr>
      <w:jc w:val="both"/>
      <w:widowControl w:val="off"/>
    </w:pPr>
    <w:rPr>
      <w:rFonts w:ascii="Times New Roman" w:hAnsi="Times New Roman" w:eastAsia="宋体" w:cs="Times New Roman"/>
      <w:sz w:val="21"/>
      <w:szCs w:val="22"/>
      <w:lang w:val="en-US" w:eastAsia="zh-CN" w:bidi="ar-SA"/>
    </w:rPr>
  </w:style>
  <w:style w:type="paragraph" w:styleId="1044" w:customStyle="1">
    <w:name w:val="正文_115"/>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正文_433"/>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blockquote"/>
    <w:basedOn w:val="746"/>
    <w:uiPriority w:val="0"/>
    <w:qFormat/>
    <w:pPr>
      <w:jc w:val="left"/>
      <w:spacing w:before="100" w:beforeAutospacing="1" w:after="100" w:afterAutospacing="1"/>
      <w:widowControl/>
    </w:pPr>
    <w:rPr>
      <w:rFonts w:ascii="宋体" w:hAnsi="宋体"/>
      <w:sz w:val="24"/>
    </w:rPr>
  </w:style>
  <w:style w:type="paragraph" w:styleId="104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48" w:customStyle="1">
    <w:name w:val="正文_209"/>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正文_109"/>
    <w:uiPriority w:val="0"/>
    <w:qFormat/>
    <w:pPr>
      <w:jc w:val="both"/>
      <w:widowControl w:val="off"/>
    </w:pPr>
    <w:rPr>
      <w:rFonts w:ascii="Times New Roman" w:hAnsi="Times New Roman" w:eastAsia="宋体" w:cs="Times New Roman"/>
      <w:sz w:val="21"/>
      <w:szCs w:val="22"/>
      <w:lang w:val="en-US" w:eastAsia="zh-CN" w:bidi="ar-SA"/>
    </w:rPr>
  </w:style>
  <w:style w:type="paragraph" w:styleId="1050" w:customStyle="1">
    <w:name w:val="Char11"/>
    <w:basedOn w:val="746"/>
    <w:uiPriority w:val="0"/>
    <w:qFormat/>
    <w:pPr>
      <w:jc w:val="left"/>
      <w:spacing w:after="160" w:line="240" w:lineRule="exact"/>
      <w:widowControl/>
    </w:pPr>
    <w:rPr>
      <w:szCs w:val="20"/>
    </w:rPr>
  </w:style>
  <w:style w:type="paragraph" w:styleId="1051" w:customStyle="1">
    <w:name w:val="正文_68"/>
    <w:uiPriority w:val="0"/>
    <w:qFormat/>
    <w:pPr>
      <w:jc w:val="both"/>
      <w:widowControl w:val="off"/>
    </w:pPr>
    <w:rPr>
      <w:rFonts w:ascii="Times New Roman" w:hAnsi="Times New Roman" w:eastAsia="宋体" w:cs="Times New Roman"/>
      <w:sz w:val="21"/>
      <w:szCs w:val="22"/>
      <w:lang w:val="en-US" w:eastAsia="zh-CN" w:bidi="ar-SA"/>
    </w:rPr>
  </w:style>
  <w:style w:type="table" w:styleId="1052" w:customStyle="1">
    <w:name w:val="网格型1"/>
    <w:basedOn w:val="757"/>
    <w:uiPriority w:val="59"/>
    <w:qFormat/>
    <w:rPr>
      <w:rFonts w:ascii="Cambria" w:hAnsi="Cambria" w:eastAsia="MS Mincho"/>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范文林</cp:lastModifiedBy>
  <cp:revision>91</cp:revision>
  <dcterms:created xsi:type="dcterms:W3CDTF">2023-08-01T09:24:00Z</dcterms:created>
  <dcterms:modified xsi:type="dcterms:W3CDTF">2026-10-26T02:13:48Z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2C40595F5285444FB27312EE6CF4C936_11</vt:lpwstr>
  </property>
  <property fmtid="{D5CDD505-2E9C-101B-9397-08002B2CF9AE}" pid="4" name="KSOTemplateDocerSaveRecord">
    <vt:lpwstr>eyJoZGlkIjoiNzg1MzI5ODJmMTE1ZGQxZWI5ZjFlNTA3OWViNmYxMjMiLCJ1c2VySWQiOiI3MTAxOTI4ODkifQ==</vt:lpwstr>
  </property>
</Properties>
</file>