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Arial" w:hAnsi="Arial" w:eastAsia="黑体"/>
          <w:b/>
          <w:bCs/>
          <w:color w:val="000000"/>
          <w:sz w:val="84"/>
          <w:szCs w:val="24"/>
          <w:highlight w:val="none"/>
        </w:rPr>
      </w:r>
      <w:r/>
    </w:p>
    <w:p>
      <w:pPr>
        <w:pStyle w:val="884"/>
        <w:rPr>
          <w:rFonts w:hint="eastAsia"/>
          <w:highlight w:val="none"/>
        </w:rPr>
      </w:pPr>
      <w:r>
        <w:rPr>
          <w:rFonts w:hint="eastAsia"/>
          <w:highlight w:val="none"/>
        </w:rPr>
      </w:r>
      <w:r/>
    </w:p>
    <w:p>
      <w:pPr>
        <w:pStyle w:val="88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7"/>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eastAsia="zh-CN"/>
        </w:rPr>
        <w:t xml:space="preserve">南京医科大学第四附属医院数智病理信息系统</w:t>
      </w:r>
      <w:r>
        <w:rPr>
          <w:rFonts w:hint="eastAsia" w:ascii="Times New Roman" w:hAnsi="Times New Roman" w:eastAsia="宋体" w:cs="Times New Roman"/>
          <w:b/>
          <w:bCs w:val="0"/>
          <w:color w:val="0000ff"/>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67"/>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JSZC-320192-JZCG-G2026-0053</w:t>
      </w:r>
      <w:r>
        <w:rPr>
          <w:rFonts w:hint="eastAsia" w:ascii="Times New Roman" w:hAnsi="Times New Roman" w:eastAsia="宋体" w:cs="Times New Roman"/>
          <w:b/>
          <w:bCs w:val="0"/>
          <w:color w:val="0000ff"/>
          <w:sz w:val="32"/>
          <w:szCs w:val="32"/>
          <w:highlight w:val="none"/>
          <w:u w:val="none"/>
          <w:lang w:eastAsia="zh-CN"/>
        </w:rPr>
        <w:t xml:space="preserve"> </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867"/>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6"/>
        <w:ind w:firstLine="0"/>
        <w:jc w:val="center"/>
        <w:rPr>
          <w:rFonts w:hint="eastAsia"/>
          <w:b/>
          <w:bCs/>
          <w:sz w:val="32"/>
        </w:rPr>
      </w:pPr>
      <w:r>
        <w:rPr>
          <w:rFonts w:hint="eastAsia"/>
          <w:b/>
          <w:bCs/>
          <w:sz w:val="32"/>
        </w:rPr>
        <w:t xml:space="preserve">南京市公共资源交易中心江北新区分中心</w:t>
      </w:r>
      <w:r>
        <w:rPr>
          <w:rFonts w:hint="eastAsia"/>
          <w:b/>
          <w:bCs/>
          <w:sz w:val="32"/>
        </w:rPr>
      </w:r>
      <w:r/>
    </w:p>
    <w:p>
      <w:pPr>
        <w:pStyle w:val="867"/>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67"/>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rPr>
          <w:rFonts w:hint="eastAsia" w:ascii="Arial" w:hAnsi="Arial"/>
          <w:color w:val="000000"/>
          <w:sz w:val="24"/>
          <w:szCs w:val="24"/>
          <w:highlight w:val="none"/>
        </w:rPr>
      </w:pPr>
      <w:r>
        <w:rPr>
          <w:rFonts w:hint="eastAsia" w:ascii="Arial" w:hAnsi="Arial"/>
          <w:color w:val="000000"/>
          <w:sz w:val="24"/>
          <w:szCs w:val="24"/>
          <w:highlight w:val="none"/>
        </w:rPr>
      </w:r>
      <w:r/>
    </w:p>
    <w:p>
      <w:pPr>
        <w:pStyle w:val="867"/>
        <w:rPr>
          <w:rFonts w:hint="eastAsia" w:ascii="Arial" w:hAnsi="Arial"/>
          <w:color w:val="000000"/>
          <w:sz w:val="24"/>
          <w:szCs w:val="24"/>
          <w:highlight w:val="none"/>
        </w:rPr>
      </w:pPr>
      <w:r>
        <w:rPr>
          <w:rFonts w:hint="eastAsia" w:ascii="Arial" w:hAnsi="Arial"/>
          <w:color w:val="000000"/>
          <w:sz w:val="24"/>
          <w:szCs w:val="24"/>
          <w:highlight w:val="none"/>
        </w:rPr>
      </w:r>
      <w:r/>
    </w:p>
    <w:p>
      <w:pPr>
        <w:pStyle w:val="873"/>
        <w:rPr>
          <w:rFonts w:hint="eastAsia"/>
        </w:rPr>
      </w:pPr>
      <w:r>
        <w:rPr>
          <w:rFonts w:hint="eastAsia"/>
        </w:rPr>
      </w:r>
      <w:r/>
    </w:p>
    <w:p>
      <w:pPr>
        <w:pStyle w:val="884"/>
        <w:rPr>
          <w:rFonts w:hint="eastAsia"/>
          <w:highlight w:val="none"/>
        </w:rPr>
      </w:pPr>
      <w:r>
        <w:rPr>
          <w:rFonts w:hint="eastAsia"/>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67"/>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7"/>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7"/>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w:t>
      </w:r>
      <w:r>
        <w:rPr>
          <w:rFonts w:hint="eastAsia" w:ascii="黑体" w:hAnsi="宋体" w:eastAsia="黑体" w:cs="Times New Roman"/>
          <w:color w:val="000000"/>
          <w:sz w:val="36"/>
          <w:szCs w:val="21"/>
          <w:highlight w:val="none"/>
        </w:rPr>
        <w:t xml:space="preserve"> </w:t>
      </w:r>
      <w:r>
        <w:rPr>
          <w:rFonts w:hint="eastAsia" w:ascii="黑体" w:hAnsi="宋体" w:eastAsia="黑体" w:cs="Times New Roman"/>
          <w:color w:val="000000"/>
          <w:sz w:val="36"/>
          <w:szCs w:val="21"/>
          <w:highlight w:val="none"/>
        </w:rPr>
      </w:r>
      <w:r/>
    </w:p>
    <w:p>
      <w:pPr>
        <w:pStyle w:val="867"/>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867"/>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867"/>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867"/>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867"/>
        <w:numPr>
          <w:ilvl w:val="0"/>
          <w:numId w:val="1"/>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jc w:val="lef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jc w:val="lef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67"/>
        <w:jc w:val="lef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                   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ascii="宋体" w:hAnsi="宋体"/>
          <w:color w:val="0000ff"/>
          <w:sz w:val="24"/>
          <w:szCs w:val="24"/>
          <w:highlight w:val="none"/>
        </w:rPr>
      </w:pPr>
      <w:r/>
      <w:bookmarkEnd w:id="11"/>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JSZC-320192-JZCG-G2026-0053</w:t>
      </w:r>
      <w:r>
        <w:rPr>
          <w:rFonts w:ascii="宋体" w:hAnsi="宋体"/>
          <w:color w:val="0000ff"/>
          <w:sz w:val="24"/>
          <w:szCs w:val="24"/>
          <w:highlight w:val="none"/>
        </w:rPr>
      </w:r>
      <w:r/>
    </w:p>
    <w:p>
      <w:pPr>
        <w:pStyle w:val="867"/>
        <w:ind w:firstLine="480"/>
        <w:pageBreakBefore w:val="0"/>
        <w:spacing w:line="24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宋体"/>
          <w:color w:val="000000"/>
        </w:rPr>
        <w:t xml:space="preserve">南京医科大学第四附属医院数智病理信息系统</w:t>
      </w:r>
      <w:r>
        <w:rPr>
          <w:rFonts w:hint="eastAsia" w:ascii="宋体" w:hAnsi="宋体" w:eastAsia="宋体"/>
          <w:sz w:val="24"/>
          <w:szCs w:val="24"/>
          <w:highlight w:val="none"/>
          <w:lang w:eastAsia="zh-CN"/>
        </w:rPr>
      </w:r>
      <w:r/>
    </w:p>
    <w:p>
      <w:pPr>
        <w:pStyle w:val="867"/>
        <w:ind w:firstLine="480"/>
        <w:spacing w:line="240" w:lineRule="auto"/>
        <w:rPr>
          <w:rFonts w:ascii="宋体" w:hAnsi="宋体"/>
          <w:color w:val="000000"/>
          <w:sz w:val="24"/>
          <w:szCs w:val="24"/>
          <w:highlight w:val="none"/>
        </w:rPr>
      </w:pPr>
      <w:r>
        <w:rPr>
          <w:rFonts w:hint="eastAsia" w:ascii="宋体" w:hAnsi="宋体"/>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150万元</w:t>
      </w:r>
      <w:r>
        <w:rPr>
          <w:rFonts w:ascii="宋体" w:hAnsi="宋体"/>
          <w:color w:val="000000"/>
          <w:sz w:val="24"/>
          <w:szCs w:val="24"/>
          <w:highlight w:val="none"/>
        </w:rPr>
      </w:r>
      <w:r/>
    </w:p>
    <w:p>
      <w:pPr>
        <w:pStyle w:val="867"/>
        <w:ind w:firstLine="480"/>
        <w:pageBreakBefore w:val="0"/>
        <w:spacing w:line="240" w:lineRule="auto"/>
        <w:widowControl w:val="off"/>
        <w:rPr>
          <w:rFonts w:ascii="宋体" w:hAnsi="宋体" w:eastAsia="宋体" w:cs="宋体"/>
          <w:sz w:val="24"/>
          <w:szCs w:val="24"/>
          <w:highlight w:val="none"/>
          <w:lang w:val="en-US"/>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150万元</w:t>
      </w:r>
      <w:r>
        <w:rPr>
          <w:rFonts w:ascii="宋体" w:hAnsi="宋体" w:eastAsia="宋体" w:cs="宋体"/>
          <w:sz w:val="24"/>
          <w:szCs w:val="24"/>
          <w:highlight w:val="none"/>
          <w:lang w:val="en-US"/>
        </w:rPr>
      </w:r>
      <w:r/>
    </w:p>
    <w:p>
      <w:pPr>
        <w:pStyle w:val="867"/>
        <w:ind w:firstLine="480"/>
        <w:pageBreakBefore w:val="0"/>
        <w:spacing w:line="240" w:lineRule="auto"/>
        <w:widowControl w:val="off"/>
        <w:rPr>
          <w:rFonts w:ascii="宋体" w:hAnsi="宋体"/>
          <w:color w:val="000000"/>
          <w:sz w:val="24"/>
          <w:szCs w:val="24"/>
          <w:highlight w:val="none"/>
          <w:u w:val="single"/>
        </w:rPr>
      </w:pPr>
      <w:r>
        <w:rPr>
          <w:rFonts w:hint="eastAsia" w:ascii="宋体" w:hAnsi="宋体"/>
          <w:sz w:val="24"/>
          <w:szCs w:val="24"/>
          <w:highlight w:val="none"/>
        </w:rPr>
        <w:t xml:space="preserve">5.采购需求（简介）：</w:t>
      </w:r>
      <w:r>
        <w:rPr>
          <w:rFonts w:hint="eastAsia" w:ascii="宋体" w:hAnsi="宋体" w:eastAsia="宋体" w:cs="宋体"/>
          <w:color w:val="000000"/>
          <w:sz w:val="24"/>
          <w:szCs w:val="24"/>
        </w:rPr>
        <w:t xml:space="preserve">为病理科提供一套先进完整的病理数智信息系统服务</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以</w:t>
      </w:r>
      <w:r>
        <w:rPr>
          <w:rFonts w:hint="eastAsia" w:ascii="宋体" w:hAnsi="宋体" w:eastAsia="宋体" w:cs="宋体"/>
          <w:color w:val="000000"/>
          <w:sz w:val="24"/>
          <w:szCs w:val="24"/>
        </w:rPr>
        <w:t xml:space="preserve">实现切片数字化</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AI辅助分析提升诊断质量和效率</w:t>
      </w:r>
      <w:r>
        <w:rPr>
          <w:rFonts w:hint="eastAsia" w:ascii="宋体" w:hAnsi="宋体" w:cs="宋体"/>
          <w:color w:val="000000"/>
          <w:sz w:val="24"/>
          <w:szCs w:val="24"/>
          <w:lang w:val="en-US" w:eastAsia="zh-CN"/>
        </w:rPr>
        <w:t xml:space="preserve">及</w:t>
      </w:r>
      <w:r>
        <w:rPr>
          <w:rFonts w:hint="eastAsia" w:ascii="宋体" w:hAnsi="宋体" w:eastAsia="宋体" w:cs="宋体"/>
          <w:color w:val="000000"/>
          <w:sz w:val="24"/>
          <w:szCs w:val="24"/>
        </w:rPr>
        <w:t xml:space="preserve">全流程数字化管理</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7"/>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eastAsia="zh-CN"/>
        </w:rPr>
        <w:t xml:space="preserve">个工作日</w:t>
      </w:r>
      <w:r>
        <w:rPr>
          <w:rFonts w:hint="eastAsia" w:ascii="宋体" w:hAnsi="宋体" w:eastAsia="宋体" w:cs="Times New Roman"/>
          <w:color w:val="000000"/>
          <w:sz w:val="24"/>
          <w:szCs w:val="24"/>
          <w:highlight w:val="none"/>
          <w:lang w:val="en-US" w:eastAsia="zh-CN"/>
        </w:rPr>
        <w:t xml:space="preserve">（系统布设及验收时间为合同签订并数据</w:t>
      </w:r>
      <w:r>
        <w:rPr>
          <w:rFonts w:hint="eastAsia" w:ascii="宋体" w:hAnsi="宋体" w:eastAsia="宋体" w:cs="宋体"/>
          <w:color w:val="000000"/>
          <w:sz w:val="24"/>
          <w:szCs w:val="24"/>
        </w:rPr>
        <w:t xml:space="preserve">接口工作对接完备</w:t>
      </w:r>
      <w:r>
        <w:rPr>
          <w:rFonts w:hint="eastAsia" w:ascii="宋体" w:hAnsi="宋体" w:eastAsia="宋体" w:cs="Times New Roman"/>
          <w:color w:val="000000"/>
          <w:sz w:val="24"/>
          <w:szCs w:val="24"/>
          <w:highlight w:val="none"/>
          <w:lang w:val="en-US" w:eastAsia="zh-CN"/>
        </w:rPr>
        <w:t xml:space="preserve">后10个工作日内）</w:t>
      </w:r>
      <w:r>
        <w:rPr>
          <w:rFonts w:hint="eastAsia" w:ascii="宋体" w:hAnsi="宋体" w:cs="宋体"/>
          <w:color w:val="000000"/>
          <w:sz w:val="24"/>
          <w:szCs w:val="24"/>
          <w:highlight w:val="none"/>
          <w:lang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7"/>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w:t>
      </w:r>
      <w:r>
        <w:rPr>
          <w:rFonts w:hint="eastAsia" w:ascii="宋体" w:hAnsi="宋体" w:eastAsia="宋体" w:cs="宋体"/>
          <w:sz w:val="24"/>
          <w:szCs w:val="24"/>
          <w:highlight w:val="none"/>
          <w:lang w:val="en-US" w:eastAsia="zh-CN"/>
        </w:rPr>
        <w:t xml:space="preserve">标。</w:t>
      </w:r>
      <w:r>
        <w:rPr>
          <w:rFonts w:hint="eastAsia"/>
          <w:lang w:val="en-US" w:eastAsia="zh-CN"/>
        </w:rPr>
      </w:r>
      <w:r/>
    </w:p>
    <w:p>
      <w:pPr>
        <w:pStyle w:val="867"/>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28359003"/>
      <w:r/>
      <w:bookmarkStart w:id="14" w:name="_Toc28359080"/>
      <w:r/>
      <w:bookmarkStart w:id="15" w:name="_Toc35393791"/>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5393623"/>
      <w:r/>
      <w:bookmarkStart w:id="19" w:name="_Toc28359081"/>
      <w:r/>
      <w:bookmarkStart w:id="20" w:name="_Toc38985265"/>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w:t>
      </w:r>
      <w:r>
        <w:rPr>
          <w:rFonts w:hint="eastAsia" w:ascii="宋体" w:hAnsi="宋体" w:eastAsia="宋体" w:cs="Times New Roman"/>
          <w:b w:val="0"/>
          <w:bCs w:val="0"/>
          <w:color w:val="000000"/>
          <w:sz w:val="24"/>
          <w:szCs w:val="24"/>
          <w:highlight w:val="none"/>
          <w:lang w:val="zh-CN"/>
        </w:rPr>
        <w:t xml:space="preserve">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ascii="宋体" w:hAnsi="宋体" w:cs="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67"/>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35393625"/>
      <w:r/>
      <w:bookmarkStart w:id="28" w:name="_Toc38985267"/>
      <w:r/>
      <w:bookmarkStart w:id="29" w:name="_Toc28359084"/>
      <w:r/>
      <w:bookmarkStart w:id="30" w:name="_Toc28359007"/>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67"/>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38985269"/>
      <w:r/>
      <w:bookmarkStart w:id="37" w:name="_Toc28359008"/>
      <w:r/>
      <w:bookmarkStart w:id="38" w:name="_Toc35393796"/>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67"/>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867"/>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6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7"/>
        <w:ind w:firstLine="480"/>
        <w:pageBreakBefore w:val="0"/>
        <w:spacing w:line="240" w:lineRule="auto"/>
        <w:widowControl w:val="off"/>
        <w:rPr>
          <w:rFonts w:hint="eastAsia" w:ascii="宋体" w:hAnsi="宋体" w:eastAsia="宋体" w:cs="Times New Roman"/>
          <w:b w:val="0"/>
          <w:bCs w:val="0"/>
          <w:color w:val="0000ff"/>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s="Times New Roman"/>
          <w:b w:val="0"/>
          <w:bCs w:val="0"/>
          <w:color w:val="000000"/>
          <w:sz w:val="24"/>
          <w:highlight w:val="none"/>
          <w:lang w:val="en-US" w:eastAsia="zh-CN"/>
        </w:rPr>
        <w:t xml:space="preserve">孙老师</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宋体"/>
          <w:color w:val="000000"/>
          <w:sz w:val="24"/>
          <w:szCs w:val="24"/>
        </w:rPr>
        <w:t xml:space="preserve">南京江北新区南浦路298号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w:t>
      </w:r>
      <w:r>
        <w:rPr>
          <w:rFonts w:hint="eastAsia" w:ascii="宋体" w:hAnsi="宋体" w:cs="宋体"/>
          <w:color w:val="000000"/>
          <w:sz w:val="24"/>
          <w:szCs w:val="24"/>
        </w:rPr>
        <w:t xml:space="preserve">83105006</w:t>
      </w:r>
      <w:r>
        <w:rPr>
          <w:rFonts w:hint="eastAsia" w:ascii="宋体" w:hAnsi="宋体" w:eastAsia="宋体" w:cs="Times New Roman"/>
          <w:b w:val="0"/>
          <w:bCs w:val="0"/>
          <w:color w:val="0000ff"/>
          <w:sz w:val="24"/>
          <w:highlight w:val="none"/>
          <w:lang w:val="en-US" w:eastAsia="zh-CN"/>
        </w:rPr>
        <w:t xml:space="preserve">。</w:t>
      </w:r>
      <w:r>
        <w:rPr>
          <w:rFonts w:hint="eastAsia" w:ascii="宋体" w:hAnsi="宋体" w:eastAsia="宋体" w:cs="Times New Roman"/>
          <w:b w:val="0"/>
          <w:bCs w:val="0"/>
          <w:color w:val="0000ff"/>
          <w:sz w:val="24"/>
          <w:highlight w:val="none"/>
          <w:lang w:val="en-US" w:eastAsia="zh-CN"/>
        </w:rPr>
      </w:r>
      <w:r/>
    </w:p>
    <w:p>
      <w:pPr>
        <w:pStyle w:val="868"/>
        <w:ind w:firstLine="372"/>
        <w:spacing w:before="120" w:after="120" w:line="252" w:lineRule="auto"/>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交易中心《质疑函》收件人：业务受理窗口（快递运单上的收件人填写“业务受理窗口”即可），收件地址：南京市江北新区天浦路1号5号楼一楼大厅业务受理窗口，联系电话：025-58150937。</w:t>
      </w:r>
      <w:r>
        <w:rPr>
          <w:rFonts w:hint="eastAsia" w:ascii="宋体" w:hAnsi="宋体" w:eastAsia="宋体" w:cs="Times New Roman"/>
          <w:b w:val="0"/>
          <w:bCs w:val="0"/>
          <w:color w:val="000000"/>
          <w:sz w:val="24"/>
          <w:highlight w:val="none"/>
          <w:lang w:val="en-US"/>
        </w:rPr>
      </w:r>
      <w:r/>
    </w:p>
    <w:p>
      <w:pPr>
        <w:pStyle w:val="868"/>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eastAsia="宋体" w:cs="宋体"/>
          <w:color w:val="000000"/>
          <w:sz w:val="24"/>
          <w:szCs w:val="24"/>
        </w:rPr>
        <w:t xml:space="preserve">南京医科大学第四附属医院</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w:t>
      </w:r>
      <w:r>
        <w:rPr>
          <w:rFonts w:hint="eastAsia" w:ascii="宋体" w:hAnsi="宋体" w:eastAsia="宋体" w:cs="宋体"/>
          <w:color w:val="000000"/>
          <w:sz w:val="24"/>
          <w:szCs w:val="24"/>
        </w:rPr>
        <w:t xml:space="preserve">南京江北新区南浦路298号</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cs="Times New Roman"/>
          <w:color w:val="000000"/>
          <w:sz w:val="24"/>
          <w:szCs w:val="24"/>
          <w:highlight w:val="none"/>
          <w:u w:val="none"/>
          <w:lang w:val="en-US" w:eastAsia="zh-CN"/>
        </w:rPr>
        <w:t xml:space="preserve">孙老师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r>
        <w:rPr>
          <w:rFonts w:hint="eastAsia" w:ascii="宋体" w:hAnsi="宋体" w:cs="宋体"/>
          <w:color w:val="000000"/>
          <w:sz w:val="24"/>
          <w:szCs w:val="24"/>
        </w:rPr>
        <w:t xml:space="preserve">83105</w:t>
      </w:r>
      <w:r>
        <w:rPr>
          <w:rFonts w:hint="eastAsia" w:ascii="宋体" w:hAnsi="宋体" w:cs="宋体"/>
          <w:color w:val="000000"/>
          <w:sz w:val="24"/>
          <w:szCs w:val="24"/>
        </w:rPr>
        <w:t xml:space="preserve">006</w:t>
      </w:r>
      <w:r>
        <w:rPr>
          <w:rFonts w:hint="eastAsia" w:ascii="宋体" w:hAnsi="宋体" w:eastAsia="宋体" w:cs="Times New Roman"/>
          <w:color w:val="0000ff"/>
          <w:sz w:val="24"/>
          <w:szCs w:val="24"/>
          <w:highlight w:val="none"/>
          <w:u w:val="none"/>
          <w:lang w:val="en-US" w:eastAsia="zh-CN"/>
        </w:rPr>
        <w:t xml:space="preserve"> </w:t>
      </w:r>
      <w:bookmarkStart w:id="40" w:name="_Toc28359009"/>
      <w:r/>
      <w:bookmarkStart w:id="41" w:name="_Toc28359086"/>
      <w:r>
        <w:rPr>
          <w:rFonts w:hint="eastAsia" w:ascii="宋体" w:hAnsi="宋体" w:eastAsia="宋体" w:cs="Times New Roman"/>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bookmarkEnd w:id="1"/>
      <w:r/>
      <w:bookmarkEnd w:id="2"/>
      <w:r/>
      <w:bookmarkEnd w:id="3"/>
      <w:r/>
      <w:bookmarkEnd w:id="4"/>
      <w:r/>
      <w:bookmarkEnd w:id="5"/>
      <w:r/>
      <w:bookmarkStart w:id="42" w:name="_Hlt16619350"/>
      <w:r/>
      <w:bookmarkStart w:id="43" w:name="_Toc20823346"/>
      <w:r/>
      <w:bookmarkStart w:id="44" w:name="_Toc120614244"/>
      <w:r/>
      <w:bookmarkStart w:id="45" w:name="_Toc16938590"/>
      <w:r/>
      <w:bookmarkStart w:id="46" w:name="_Toc479757211"/>
      <w:r/>
      <w:bookmarkStart w:id="47" w:name="_Toc462564139"/>
      <w:r>
        <w:rPr>
          <w:rFonts w:hint="eastAsia" w:ascii="宋体" w:hAnsi="宋体" w:eastAsia="宋体" w:cs="Times New Roman"/>
          <w:sz w:val="24"/>
          <w:szCs w:val="24"/>
          <w:highlight w:val="none"/>
          <w:u w:val="none"/>
          <w:lang w:val="en-US" w:eastAsia="zh-CN"/>
        </w:rPr>
        <w:t xml:space="preserve">地  址：南京市浦口区天浦路1号5号楼    </w:t>
      </w:r>
      <w:r>
        <w:rPr>
          <w:rFonts w:hint="eastAsia" w:ascii="宋体" w:hAnsi="宋体" w:eastAsia="宋体" w:cs="Times New Roman"/>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联系人：郑老师</w:t>
      </w:r>
      <w:r>
        <w:rPr>
          <w:rFonts w:hint="eastAsia" w:ascii="宋体" w:hAnsi="宋体" w:eastAsia="宋体" w:cs="Times New Roman"/>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联系电话：025-58150958 </w:t>
      </w:r>
      <w:r>
        <w:rPr>
          <w:rFonts w:hint="eastAsia" w:ascii="宋体" w:hAnsi="宋体" w:eastAsia="宋体" w:cs="Times New Roman"/>
          <w:sz w:val="24"/>
          <w:szCs w:val="24"/>
          <w:highlight w:val="none"/>
          <w:u w:val="none"/>
          <w:lang w:val="en-US" w:eastAsia="zh-CN"/>
        </w:rPr>
      </w:r>
      <w:r/>
    </w:p>
    <w:p>
      <w:pPr>
        <w:pStyle w:val="8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w:t>
      </w:r>
      <w:r>
        <w:rPr>
          <w:rFonts w:hint="eastAsia" w:ascii="宋体" w:hAnsi="宋体" w:cs="Times New Roman"/>
          <w:color w:val="000000"/>
          <w:sz w:val="24"/>
          <w:highlight w:val="none"/>
          <w:lang w:eastAsia="zh-CN"/>
        </w:rPr>
        <w:t xml:space="preserve">间之</w:t>
      </w:r>
      <w:r>
        <w:rPr>
          <w:rFonts w:hint="eastAsia" w:ascii="宋体" w:hAnsi="宋体" w:eastAsia="宋体" w:cs="Times New Roman"/>
          <w:color w:val="000000"/>
          <w:sz w:val="24"/>
          <w:highlight w:val="none"/>
        </w:rPr>
        <w:t xml:space="preserve">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7"/>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69"/>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7"/>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67"/>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7"/>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本文件中的“</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w:t>
      </w:r>
      <w:r>
        <w:rPr>
          <w:rFonts w:hint="eastAsia" w:ascii="宋体" w:hAnsi="宋体" w:cs="Times New Roman"/>
          <w:color w:val="000000"/>
          <w:sz w:val="24"/>
          <w:highlight w:val="none"/>
          <w:lang w:val="zh-CN"/>
        </w:rPr>
        <w:t xml:space="preserve">保持通信畅通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w:t>
      </w:r>
      <w:r>
        <w:rPr>
          <w:rFonts w:hint="eastAsia" w:ascii="宋体" w:hAnsi="宋体" w:eastAsia="宋体" w:cs="Times New Roman"/>
          <w:color w:val="000000"/>
          <w:sz w:val="24"/>
          <w:szCs w:val="22"/>
          <w:highlight w:val="none"/>
          <w:lang w:val="zh-CN"/>
        </w:rPr>
        <w:t xml:space="preserve">于全部通过符合性审查投标人投标报价平均值</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的，即投标报价</w:t>
      </w:r>
      <w:r>
        <w:rPr>
          <w:rFonts w:hint="eastAsia" w:ascii="宋体" w:hAnsi="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t xml:space="preserve">全部通过符合性审查投标人投标报价平均值×</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的，即投标报价</w:t>
      </w:r>
      <w:r>
        <w:rPr>
          <w:rFonts w:hint="eastAsia" w:ascii="宋体" w:hAnsi="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t xml:space="preserve">通过符合性审查的次低报价投标人投标报价×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w:t>
      </w:r>
      <w:r>
        <w:rPr>
          <w:rFonts w:hint="eastAsia" w:ascii="宋体" w:hAnsi="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t xml:space="preserve">采购项目最高限价×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7"/>
        <w:ind w:firstLine="420"/>
        <w:spacing w:line="240" w:lineRule="auto"/>
        <w:rPr>
          <w:rFonts w:hint="eastAsia" w:ascii="宋体" w:hAnsi="宋体" w:eastAsia="宋体" w:cs="Times New Roman"/>
          <w:color w:val="0000ff"/>
          <w:sz w:val="24"/>
          <w:szCs w:val="24"/>
          <w:highlight w:val="none"/>
          <w:lang w:val="en-US"/>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w:t>
      </w:r>
      <w:r>
        <w:rPr>
          <w:rFonts w:hint="eastAsia" w:ascii="宋体" w:hAnsi="宋体" w:eastAsia="宋体" w:cs="Times New Roman"/>
          <w:color w:val="000000"/>
          <w:sz w:val="24"/>
          <w:szCs w:val="22"/>
          <w:highlight w:val="none"/>
          <w:lang w:val="zh-CN"/>
        </w:rPr>
        <w:t xml:space="preserve">信履约的其他情形。</w:t>
      </w:r>
      <w:r>
        <w:rPr>
          <w:rFonts w:hint="eastAsia" w:ascii="宋体" w:hAnsi="宋体" w:eastAsia="宋体" w:cs="Times New Roman"/>
          <w:color w:val="0000ff"/>
          <w:sz w:val="24"/>
          <w:szCs w:val="24"/>
          <w:highlight w:val="none"/>
          <w:lang w:val="en-US"/>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w:t>
      </w:r>
      <w:r>
        <w:rPr>
          <w:rFonts w:hint="eastAsia" w:ascii="宋体" w:hAnsi="宋体" w:cs="Times New Roman"/>
          <w:color w:val="000000"/>
          <w:sz w:val="24"/>
          <w:szCs w:val="22"/>
          <w:highlight w:val="none"/>
          <w:lang w:val="zh-CN" w:eastAsia="zh-CN"/>
        </w:rPr>
        <w:t xml:space="preserve">，并</w:t>
      </w:r>
      <w:r>
        <w:rPr>
          <w:rFonts w:hint="eastAsia" w:ascii="宋体" w:hAnsi="宋体" w:eastAsia="宋体" w:cs="Times New Roman"/>
          <w:color w:val="000000"/>
          <w:sz w:val="24"/>
          <w:szCs w:val="22"/>
          <w:highlight w:val="none"/>
          <w:lang w:val="zh-CN" w:eastAsia="zh-CN"/>
        </w:rPr>
        <w:t xml:space="preserve">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7"/>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7"/>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67"/>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7"/>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6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6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7"/>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7"/>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b/>
          <w:bCs/>
          <w:color w:val="000000"/>
          <w:sz w:val="24"/>
        </w:rPr>
        <w:t xml:space="preserve">南京江北新区管理委员会</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i w:val="0"/>
          <w:iCs w:val="0"/>
          <w:caps w:val="0"/>
          <w:color w:val="000000"/>
          <w:spacing w:val="0"/>
          <w:sz w:val="24"/>
          <w:szCs w:val="21"/>
          <w:highlight w:val="none"/>
          <w:shd w:val="clear" w:color="auto" w:fill="auto"/>
        </w:rPr>
        <w:t xml:space="preserve">。</w:t>
      </w:r>
      <w:r>
        <w:rPr>
          <w:rFonts w:hint="eastAsia" w:ascii="宋体" w:hAnsi="宋体" w:eastAsia="宋体" w:cs="Times New Roman"/>
          <w:b/>
          <w:bCs/>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6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69"/>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7"/>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7"/>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7"/>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6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67"/>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6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67"/>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67"/>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67"/>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67"/>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6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67"/>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6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67"/>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69"/>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67"/>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67"/>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67"/>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67"/>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67"/>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67"/>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67"/>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67"/>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67"/>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67"/>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67"/>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67"/>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67"/>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20823314"/>
      <w:r/>
      <w:bookmarkStart w:id="51" w:name="_Toc16938558"/>
      <w:r/>
      <w:bookmarkStart w:id="52" w:name="_Toc513029242"/>
      <w:r/>
      <w:bookmarkStart w:id="53" w:name="_Toc479757207"/>
      <w:r>
        <w:rPr>
          <w:highlight w:val="none"/>
        </w:rPr>
      </w:r>
      <w:r/>
    </w:p>
    <w:p>
      <w:pPr>
        <w:pStyle w:val="870"/>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884"/>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20823315"/>
      <w:r/>
      <w:bookmarkStart w:id="55" w:name="_Toc513029243"/>
      <w:r/>
      <w:bookmarkStart w:id="56"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884"/>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7"/>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南京市公共资源交易中心江北新区分中心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7"/>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7"/>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合同签订且服务团队人员到位后，甲方支付合同总价款的20%作为预付款。</w:t>
      </w:r>
      <w:r>
        <w:rPr>
          <w:rFonts w:hint="eastAsia" w:ascii="宋体" w:hAnsi="宋体" w:eastAsia="宋体" w:cs="Courier New"/>
          <w:color w:val="0000ff"/>
          <w:sz w:val="24"/>
          <w:szCs w:val="24"/>
          <w:highlight w:val="none"/>
          <w:lang w:val="en-US" w:eastAsia="zh-CN"/>
        </w:rPr>
      </w:r>
      <w:r/>
    </w:p>
    <w:p>
      <w:pPr>
        <w:pStyle w:val="877"/>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宋体"/>
          <w:color w:val="000000"/>
          <w:sz w:val="24"/>
          <w:szCs w:val="24"/>
          <w:lang w:val="en-US" w:eastAsia="zh-CN" w:bidi="ar-SA"/>
        </w:rPr>
        <w:t xml:space="preserve">系统正式上线运行后，经甲方确认所有模块功能完备、运行状态稳定且满足合同约定的技术规格与业务需求，乙方提供上线运行报告，双方共同签署项目验收合格后，甲方后续费用按年度分期支付，分四年平均支付，每年年初支付合同总价的20%。甲方付款前，乙方应向甲方出具符合甲方要求的发票，否则乙方自行承担延迟付款的责任。</w:t>
      </w:r>
      <w:r>
        <w:rPr>
          <w:rFonts w:hint="eastAsia" w:ascii="宋体" w:hAnsi="宋体" w:eastAsia="宋体" w:cs="Courier New"/>
          <w:color w:val="0000ff"/>
          <w:sz w:val="24"/>
          <w:szCs w:val="24"/>
          <w:highlight w:val="none"/>
          <w:lang w:val="en-US" w:eastAsia="zh-CN"/>
        </w:rPr>
      </w:r>
      <w:r/>
    </w:p>
    <w:p>
      <w:pPr>
        <w:pStyle w:val="877"/>
        <w:spacing w:line="264" w:lineRule="auto"/>
        <w:rPr>
          <w:rFonts w:hint="eastAsia"/>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highlight w:val="none"/>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64" w:lineRule="auto"/>
        <w:widowControl w:val="off"/>
        <w:rPr>
          <w:rFonts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ff"/>
          <w:sz w:val="24"/>
          <w:szCs w:val="24"/>
          <w:highlight w:val="none"/>
          <w:lang w:val="en-US" w:eastAsia="zh-CN"/>
        </w:rPr>
      </w:r>
      <w:r/>
    </w:p>
    <w:p>
      <w:pPr>
        <w:pStyle w:val="867"/>
        <w:rPr>
          <w:rFonts w:hint="eastAsia" w:ascii="宋体" w:hAnsi="宋体" w:eastAsia="宋体" w:cs="Courier New"/>
          <w:color w:val="0000ff"/>
          <w:sz w:val="24"/>
          <w:szCs w:val="24"/>
          <w:highlight w:val="none"/>
          <w:lang w:val="zh-CN" w:eastAsia="zh-CN"/>
        </w:rPr>
      </w:pPr>
      <w:r>
        <w:rPr>
          <w:rFonts w:hint="eastAsia" w:ascii="宋体" w:hAnsi="宋体" w:eastAsia="宋体" w:cs="Courier New"/>
          <w:color w:val="0000ff"/>
          <w:sz w:val="24"/>
          <w:szCs w:val="24"/>
          <w:highlight w:val="none"/>
          <w:lang w:val="zh-CN" w:eastAsia="zh-CN"/>
        </w:rPr>
      </w:r>
      <w:r/>
    </w:p>
    <w:p>
      <w:pPr>
        <w:pStyle w:val="867"/>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宋体"/>
          <w:color w:val="000000"/>
          <w:sz w:val="24"/>
          <w:szCs w:val="24"/>
          <w:u w:val="single"/>
        </w:rPr>
        <w:t xml:space="preserve">0.1%</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宋体"/>
          <w:color w:val="000000"/>
          <w:sz w:val="24"/>
          <w:szCs w:val="24"/>
          <w:u w:val="single"/>
        </w:rPr>
        <w:t xml:space="preserve">0.1%</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宋体"/>
          <w:color w:val="000000"/>
          <w:sz w:val="24"/>
          <w:szCs w:val="24"/>
          <w:u w:val="single"/>
        </w:rPr>
        <w:t xml:space="preserve">1%</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宋体"/>
          <w:color w:val="000000"/>
          <w:sz w:val="24"/>
          <w:szCs w:val="24"/>
          <w:u w:val="single"/>
        </w:rPr>
        <w:t xml:space="preserve">0.1%</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rPr>
        <w:t xml:space="preserve">%</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877"/>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877"/>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877"/>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877"/>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877"/>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877"/>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877"/>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877"/>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877"/>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88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Times New Roman" w:hAnsi="Times New Roman" w:eastAsia="宋体" w:cs="Times New Roman"/>
          <w:b w:val="0"/>
          <w:bCs/>
          <w:color w:val="000000"/>
          <w:sz w:val="24"/>
          <w:szCs w:val="24"/>
          <w:highlight w:val="none"/>
          <w:lang w:val="en-US" w:eastAsia="zh-CN" w:bidi="ar-SA"/>
        </w:rPr>
        <w:t xml:space="preserve">国家政策密集推动病理数智化发展，行业面临病理医师缺口超 6.6 万、传统玻璃切片存储维护成本高、调阅低效等痛点，而 WSI 扫描、AI 辅助诊断技术已成熟。当前医院病理科受困于存储、效率、质控难题，数智化转型成为响应政策、破解行业痛点、助力医院及科室高质量发展的关键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892"/>
        <w:tblW w:w="9766" w:type="dxa"/>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40"/>
        <w:gridCol w:w="2262"/>
        <w:gridCol w:w="1040"/>
        <w:gridCol w:w="725"/>
        <w:gridCol w:w="1065"/>
        <w:gridCol w:w="1077"/>
        <w:gridCol w:w="1345"/>
        <w:gridCol w:w="1112"/>
      </w:tblGrid>
      <w:tr>
        <w:trPr>
          <w:trHeight w:val="470"/>
        </w:trPr>
        <w:tc>
          <w:tcPr>
            <w:tcW w:w="114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226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104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06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1077" w:type="dxa"/>
            <w:vAlign w:val="center"/>
            <w:textDirection w:val="lrTb"/>
            <w:noWrap w:val="false"/>
          </w:tcPr>
          <w:p>
            <w:pPr>
              <w:pStyle w:val="867"/>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134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111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114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rPr>
            </w:r>
            <w:r/>
          </w:p>
        </w:tc>
        <w:tc>
          <w:tcPr>
            <w:tcW w:w="226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数智病理</w:t>
            </w:r>
            <w:r>
              <w:rPr>
                <w:rFonts w:hint="eastAsia" w:ascii="宋体" w:hAnsi="宋体" w:eastAsia="宋体" w:cs="宋体"/>
                <w:color w:val="000000"/>
                <w:sz w:val="24"/>
                <w:szCs w:val="24"/>
              </w:rPr>
            </w:r>
            <w:r/>
          </w:p>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rPr>
              <w:t xml:space="preserve">信息系统</w:t>
            </w:r>
            <w:r>
              <w:rPr>
                <w:rFonts w:hint="eastAsia" w:ascii="宋体" w:hAnsi="宋体" w:eastAsia="宋体" w:cs="Times New Roman"/>
                <w:bCs/>
                <w:color w:val="000000"/>
                <w:sz w:val="24"/>
                <w:szCs w:val="24"/>
                <w:highlight w:val="none"/>
              </w:rPr>
            </w:r>
            <w:r/>
          </w:p>
        </w:tc>
        <w:tc>
          <w:tcPr>
            <w:tcW w:w="104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06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c>
          <w:tcPr>
            <w:tcW w:w="10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134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11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★1、系统总体要求</w:t>
      </w:r>
      <w:r>
        <w:rPr>
          <w:rFonts w:hint="eastAsia" w:ascii="宋体" w:hAnsi="宋体" w:eastAsia="宋体" w:cs="宋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系统架构：采用B/S 一体化架构，支持 PC、平板、手机多终端访问，适配医院现有网络环境，便于集中运维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开发语言：采用 Java/.NET 等主流成熟开发语言，支持跨平台部署</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数据库：支持PostgreSQL数据库，具备数据分区、索引优化、事务管理等功能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兼容性：兼容 Windows操作系统，支持主流浏览器（Chrome、Firefox、Edge 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sz w:val="24"/>
          <w:szCs w:val="24"/>
          <w:highlight w:val="none"/>
          <w:lang w:val="en-US" w:eastAsia="zh-CN" w:bidi="ar-SA"/>
        </w:rPr>
        <w:t xml:space="preserve">优越性：病理AI辅助系统凭借其创新性与卓越性能，顺利通过市级以上相关单位认证</w:t>
      </w:r>
      <w:r>
        <w:rPr>
          <w:rFonts w:hint="eastAsia"/>
          <w:color w:val="000000"/>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2、病理AI辅助诊断平台基础功能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（1）支持切片列表，切片列表至少包含：文件名、标签图/缩略图、文件大小、诊断类型、上传时间、任务状态、判读参考、成像检测等；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（2）支持按照上传时间、切片名、诊断类型、判读参考、成像检测、任务状态等对数字去切片进行检索；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（3）支持数字切片的删除及分享；</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▲（4）数字切片分享支持链接形式和二维码形式；分享数字切片链接和二维码支持自定义有效期、自定义是否显示数字切片标签；支持批量生成数字切片链接和二维码；</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（5）支持切片上传，并自动对数字切片成像效果进行快速检测，检测类型包含切片扫描正常、模糊、污染、成像拼接异常等；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（6）图像格式：支持KFB, TMAP, TIF, TIFF, SDPC, MRXS, SVS, DYQX等格式的显微扫描数字图像，软件可对图像进行显示和处理。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3、病理AI辅助诊断平台诊断模块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▲（1）模块种类：组织学AI辅助分析模块不少于6种，至少包含胃、结直肠、食管、肺、前列腺、乳腺</w:t>
      </w:r>
      <w:r>
        <w:rPr>
          <w:rFonts w:hint="eastAsia" w:ascii="宋体" w:hAnsi="宋体" w:eastAsia="宋体" w:cs="宋体"/>
          <w:b/>
          <w:bCs/>
          <w:color w:val="000000"/>
          <w:sz w:val="24"/>
          <w:szCs w:val="24"/>
          <w:highlight w:val="none"/>
          <w:lang w:val="en-US" w:eastAsia="zh-CN"/>
        </w:rPr>
        <w:t xml:space="preserve">（提供承诺函）</w:t>
      </w:r>
      <w:r>
        <w:rPr>
          <w:rFonts w:hint="eastAsia" w:ascii="宋体" w:hAnsi="宋体" w:eastAsia="宋体" w:cs="宋体"/>
          <w:color w:val="000000"/>
          <w:sz w:val="24"/>
          <w:szCs w:val="24"/>
          <w:highlight w:val="none"/>
          <w:lang w:val="en-US" w:eastAsia="zh-CN"/>
        </w:rPr>
        <w:t xml:space="preserve">；且承诺2026年内新上线组织学AI辅助分析模块不少于10种，新上线模块免费使用；</w:t>
      </w:r>
      <w:r>
        <w:rPr>
          <w:rFonts w:hint="eastAsia" w:ascii="宋体" w:hAnsi="宋体" w:eastAsia="宋体" w:cs="宋体"/>
          <w:b/>
          <w:bCs/>
          <w:color w:val="000000"/>
          <w:sz w:val="24"/>
          <w:szCs w:val="24"/>
          <w:highlight w:val="none"/>
          <w:lang w:val="en-US" w:eastAsia="zh-CN"/>
        </w:rPr>
        <w:t xml:space="preserve">（提供承诺函）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（2）性能要求：</w:t>
      </w:r>
      <w:r>
        <w:rPr>
          <w:rFonts w:hint="eastAsia" w:ascii="宋体" w:hAnsi="宋体" w:eastAsia="宋体" w:cs="宋体"/>
          <w:b/>
          <w:bCs/>
          <w:color w:val="000000"/>
          <w:sz w:val="24"/>
          <w:szCs w:val="24"/>
          <w:highlight w:val="none"/>
          <w:lang w:val="en-US" w:eastAsia="zh-CN"/>
        </w:rPr>
        <w:t xml:space="preserve">（提供承诺函）</w:t>
      </w:r>
      <w:r>
        <w:rPr>
          <w:rFonts w:hint="eastAsia" w:ascii="宋体" w:hAnsi="宋体" w:eastAsia="宋体" w:cs="宋体"/>
          <w:b/>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宫颈液基细胞学：遵循TBS分级系统（2014版），可精准定位检出异质区域，识别含鳞状上皮内病变细胞、腺上皮病变细胞、微生物感染、子宫内膜细胞等16种可疑病变类别；</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阴性检出率≥80%；阳性检出率≥95%；对不同型号仪器扫描涂片具有优异的泛化性；支持膜式、自然沉降式和离心沉降式等多种主流制片方式。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胃：精准识别病变类型：炎性病变/一般病变（炎症、萎缩、肠化、溃疡、糜烂等）、息肉（炎性息肉、增生性息肉、错构瘤息肉、其他息肉）&amp;良性肿瘤（其他肿瘤）、癌前病变（低级别上皮内瘤变(异型增生)、高级别上皮内瘤变(异型增生)）、恶性肿瘤（腺癌（印戒细胞癌、其他腺癌）、其他恶性肿瘤（神经内分泌肿瘤（癌）、淋巴瘤、其他癌））；敏感性不低于98%，特异性不低于97%；</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结直肠：精准识别病变类型：炎性病变/一般病变（炎症、溃疡、糜烂等）、息肉（炎性息肉、增生性息肉、错构瘤息肉、其他息肉）、良性肿瘤（腺瘤（管状腺瘤、绒毛状腺瘤、锯齿状腺瘤、其他肿瘤）、癌前病变（低级别上皮内瘤变(异型增生)、高级别上皮内瘤变(异型增生)）、恶性肿瘤（腺癌（粘液腺癌、印戒细胞癌、其他腺癌）、其他恶性肿瘤（神经内分泌肿瘤（癌）、淋巴瘤、其他癌））；敏感性不低于99%，特异性不低于97%；</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食管：精准识别病变类型：炎性病变/一般病变（炎症、溃疡、糜烂、Barrett食管等）、良性肿瘤（鳞状细胞乳头状瘤）、癌前病变（低级别鳞状上皮内瘤变(异型增生)、高级别鳞状上皮内瘤变(异型增生)）、恶性肿瘤（鳞癌、神经内分泌肿瘤（癌））；敏感性不低于98%，特异性不低于85%；</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肺：精准识别病变类型：腺癌、鳞癌、浸润性癌、其他肿瘤、非肿瘤性病变；敏感性不低于95%，特异性不低于92%；</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前列腺：精准识别病变类型：前列腺增生、疑似肿瘤性病变、腺泡腺癌（ISUP1级、ISUP2级、ISUP3级、ISUP4级、ISUP5级）；敏感性不低于99%，特异性不低于90%；</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乳腺：精准识别13种病变类型：浸润性癌（浸润性导管癌、浸润性小叶癌、其他浸润性癌）、导管内增生性病变（中/高级别导管原位癌、低级别导管原位癌、UDH、导管柱状细胞病变）、乳头状病变（导管内乳头状病变）、纤维上皮性病变（纤维腺瘤、叶状肿瘤）、非肿瘤性病变（乳腺腺病、纤维囊性乳腺病、硬化性腺病）；敏感性不低于93%，特异性不低于80%；</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其他新上线模块：敏感性不低于90%，特异性不低于90%。</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4、病理AI辅助诊断平台其他辅助诊断功能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（1）支持AI辅助分析结果实时呈现，诊断结论应至少包括AI判读的病变类型；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（2）在数字切片中生成热力图、风险色阶图标注可疑的病变区域，热力图和风险色阶图可通过空格键一键隐藏和显示；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（3）支持AI结构化诊断报告；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（4）支持基础阅片模式、分屏阅片模式、热力图覆盖模式、虚拟显微镜模式多种阅片模式；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（5）具备标注工具、图像调整工具、网格工具、旋转工具、视图控制等辅助工具；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lang w:val="en-US" w:eastAsia="zh-CN"/>
        </w:rPr>
      </w:pPr>
      <w:r>
        <w:rPr>
          <w:rFonts w:hint="eastAsia" w:ascii="宋体" w:hAnsi="宋体" w:eastAsia="宋体" w:cs="宋体"/>
          <w:color w:val="000000"/>
          <w:sz w:val="24"/>
          <w:szCs w:val="24"/>
          <w:highlight w:val="none"/>
          <w:lang w:val="en-US" w:eastAsia="zh-CN"/>
        </w:rPr>
        <w:t xml:space="preserve">（6）具备直线测量、区域测量等测量工具。</w:t>
      </w:r>
      <w:r>
        <w:rPr>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5、病理AI辅助诊断平台其他要求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需提供远程病理会诊平台，具备成熟、完善的远程病理诊断专业服务能力，系统可高效适配科室日常诊疗工作，精准覆盖各类复杂、疑难病理病例的会诊场景，有效解决科室疑难病例诊断难题，提升病理诊断精准度与诊疗工作效率，满足科室常态化疑难病理会诊的业务开展需求，五年服务期内不收取所有软件的升级及维护费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▲（2）数智病理平台需通过信息技术应用创新符合性测试</w:t>
      </w:r>
      <w:r>
        <w:rPr>
          <w:rFonts w:hint="eastAsia" w:ascii="宋体" w:hAnsi="宋体" w:eastAsia="宋体" w:cs="宋体"/>
          <w:b/>
          <w:bCs/>
          <w:color w:val="000000"/>
          <w:sz w:val="24"/>
          <w:szCs w:val="24"/>
          <w:highlight w:val="none"/>
          <w:lang w:val="en-US" w:eastAsia="zh-CN"/>
        </w:rPr>
        <w:t xml:space="preserve">（提供测试报告、测试报告证明、测试证书）；</w:t>
      </w:r>
      <w:r>
        <w:rPr>
          <w:rFonts w:hint="eastAsia" w:ascii="宋体" w:hAnsi="宋体" w:eastAsia="宋体" w:cs="宋体"/>
          <w:b/>
          <w:bCs/>
          <w:color w:val="000000"/>
          <w:sz w:val="24"/>
          <w:szCs w:val="24"/>
          <w:highlight w:val="none"/>
          <w:lang w:val="en-US" w:eastAsia="zh-CN"/>
        </w:rPr>
      </w:r>
      <w:r/>
    </w:p>
    <w:p>
      <w:pPr>
        <w:pStyle w:val="867"/>
        <w:ind w:firstLine="72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（3）数智病理平台需通过对抗性与鲁棒性检测；</w:t>
      </w:r>
      <w:r>
        <w:rPr>
          <w:rFonts w:hint="eastAsia" w:ascii="宋体" w:hAnsi="宋体" w:eastAsia="宋体" w:cs="宋体"/>
          <w:b/>
          <w:bCs/>
          <w:color w:val="000000"/>
          <w:sz w:val="24"/>
          <w:szCs w:val="24"/>
          <w:highlight w:val="none"/>
          <w:lang w:val="en-US" w:eastAsia="zh-CN"/>
        </w:rPr>
        <w:t xml:space="preserve">（提供检测报告）</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▲（4）AI辅助诊断模块需在病理全流程信息管理平台系统内操作，无需切换系统；</w:t>
      </w:r>
      <w:r>
        <w:rPr>
          <w:rFonts w:hint="eastAsia" w:ascii="宋体" w:hAnsi="宋体" w:eastAsia="宋体" w:cs="宋体"/>
          <w:b/>
          <w:bCs/>
          <w:color w:val="000000"/>
          <w:sz w:val="24"/>
          <w:szCs w:val="24"/>
          <w:highlight w:val="none"/>
          <w:lang w:val="en-US" w:eastAsia="zh-CN"/>
        </w:rPr>
        <w:t xml:space="preserve">（提供系统截图）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7"/>
        <w:ind w:firstLine="720"/>
        <w:keepLines w:val="0"/>
        <w:keepNext w:val="0"/>
        <w:pageBreakBefore w:val="0"/>
        <w:spacing w:line="264" w:lineRule="auto"/>
        <w:widowControl w:val="off"/>
        <w:rPr>
          <w:rFonts w:hint="eastAsia"/>
          <w:b/>
          <w:bCs/>
          <w:lang w:val="en-US" w:eastAsia="zh-CN"/>
        </w:rPr>
      </w:pPr>
      <w:r>
        <w:rPr>
          <w:rFonts w:hint="eastAsia" w:ascii="宋体" w:hAnsi="宋体" w:eastAsia="宋体" w:cs="宋体"/>
          <w:color w:val="000000"/>
          <w:sz w:val="24"/>
          <w:szCs w:val="24"/>
          <w:highlight w:val="none"/>
          <w:lang w:val="en-US" w:eastAsia="zh-CN"/>
        </w:rPr>
        <w:t xml:space="preserve">（5）专家实力：AI辅助诊断平台开发须经病理专家业务指导完成，至少配备10名高级职称的病理医师。</w:t>
      </w:r>
      <w:r>
        <w:rPr>
          <w:rFonts w:hint="eastAsia" w:ascii="宋体" w:hAnsi="宋体" w:eastAsia="宋体" w:cs="宋体"/>
          <w:b/>
          <w:bCs/>
          <w:color w:val="000000"/>
          <w:sz w:val="24"/>
          <w:szCs w:val="24"/>
          <w:highlight w:val="none"/>
          <w:lang w:val="en-US" w:eastAsia="zh-CN"/>
        </w:rPr>
        <w:t xml:space="preserve">（提供病理医师职称证书及聘用或顾问协议）</w:t>
      </w:r>
      <w:r>
        <w:rPr>
          <w:rFonts w:hint="eastAsia"/>
          <w:b/>
          <w:bCs/>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▲（6）病理AI辅助诊断平台服务器配置1</w:t>
      </w:r>
      <w:r>
        <w:rPr>
          <w:rFonts w:hint="eastAsia" w:ascii="宋体" w:hAnsi="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lang w:val="en-US" w:eastAsia="zh-CN"/>
        </w:rPr>
        <w:t xml:space="preserve">准系统：机架式服务器 ×1；2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处理器：≥2 颗32 核国产服务器级 CPU，主频≥2.5GHz；3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内存：≥128 GB；4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系统盘：≥SATA SSD 480GB 2.5″ ×2；5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数据盘：≥SATA HDD 10TB 3.5″ ×2；6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RAID 卡：≥缓存 RAID 卡×1；7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GPU：≥96GB 显存 国产AI推理卡（300I Duo 96G ） ×2；8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电源模块：≥1000W×1+1。</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6、病理信息管理系统临床病理报告管理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（1）临床报告查询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临床医生可在线实时查询本人开具的所有病理申请对应的诊断报告；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支持按患者姓名、住院号、诊号、病理号、申请时间快速检索；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可在线预览、打印、下载病理正式报告、冰冻临时报告。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（2）报告发放</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支持打印报告、打印底单、预览报告、导出PDF报告、重新生成报告；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支持配置发放登记表模板；</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支持报告发放登记表下载。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（3）冰冻预约列表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提供全量冰冻预约申请集中列表展示，支持按冰冻预约单号、申请时间、姓名、诊疗卡号、申请科室、申请医生、预约状态等多条件组合筛选、检索；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支持申请单查看、删除，实时标识待确认、已确认、已拒绝等状态，进度全程可视化；</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支持冰冻预约申请列表下载。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▲（4）区域报告查询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区域中心模式下，支持区域内所有报告的查询。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★7、病理信息管理系统登记工作站</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（1）标本签收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支持扫描条码/二维码快速接收标本，记录临床派送样本批次；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支持逐个扫描样本进行验收；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支持批量签收、批量拒收；异常样本可退回并记录退回原因。</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（2）病例登记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支持手工录入和HIS/EMR系统自动导入患者基本信息、申请信息、临床诊断等；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支持申请单关联医嘱收费项目。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支持加急、传染性等特殊患者的重要信息提醒；</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（3）病例列表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提供全量病例集中列表展示，支持按病理号、状态、时间、检查项目、就诊类型、姓名、诊疗卡号、申请科室、申请医生、审核状态等多条件组合筛选、检索；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实时标识接收、取材、制片、初诊、复诊、签发等环节，进度全程可视化；</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支持病例信息查看、底单查看；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支持病例列表下载。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（4）拒收列表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提供全量拒收病例列表。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（5）报告发放</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支持打印报告、打印底单、预览报告、导出PDF报告、重新生成报告；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支持配置发放登记表模板；</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支持报告发放登记表下载。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（6）外送签收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记录外送样本情况，支持扫描条码/二维码快速接收标本，记录临床派送样本批次；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支持逐个扫描样本进行验收；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支持批量签收、批量拒收；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异常样本可退回并记录退回原因。</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（7）冰冻预约</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提供全量冰冻预约病例集中列表展示，支持按冰冻预约单号、申请时间、预约时间、姓名、诊疗卡号、申请科室、申请医生、预约状态等条件组合筛选、检索；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支持冰冻接受后进行诊断医生排班；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支持冰冻拒绝并记录拒绝原因。</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（8）手术信息查看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支持同步临床手术进度相关信息，便于冰冻报告提前安排。</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★8、病理信息管理系统取材工作站</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（1）标本取材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支持通过病理单、送检信息等字段快速筛选病例信息；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支持医生对分配给自己的取材任务进行确认，确认后才可进行取材操作；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支持同一病理号下的常规报告、补充报告、冰冻报告取材环节的独立管理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取材时，支持标本拒收操作；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支持实时同步显示描写界面的摄像头图像，支持实时录音，录像；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支持在线拍照，支持手动上传取材图片；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支持对标本名称进行修改，支持引入大体描述模板；</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支持将取材描写内容保存为取材模板；</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支持对标本固定规范评价，支持记录标本是否全包、全切；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支持自由添加蜡块，支持将现有的蜡块保存为蜡块套餐/引入蜡块套餐，支持一键打印包埋盒；</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支持标记标本是否需要脱钙，支持自动核对材块数量；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当提交取材任务时，支持对标本的取材规范进行校验，如是否上传大体图等；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取材完成后，支持自动切换下一步病例，支持手动切换、检索病例；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支持自行维护取材模板、蜡块套餐；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取材完成后，支持对蜡块进行脱钙管理，标记脱钙起止时间；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取材完成后，支持追加蜡块；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医生可直接下补取医嘱，取材医生也可以直接追加。</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（2）包埋盒打印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支持通过接收时间、检查项目、患者信息、取材类型、打印状态等快速筛选病例信息；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支持“立”“皮”“试”等中文特殊标记的打印；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支持包埋盒单独打印、批量打印；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支持即将超时、超时预警；</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支持列表信息导出。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（3）标本暂存管理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支持病例通过病理单、送检信息等字段快速筛选；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支持对取材后标本的暂存位置维护；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暂存过程中，支持变更标本存储位置；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针对暂存到期的标本，可根据需要一键清理或者延期保留。</w:t>
      </w:r>
      <w:r>
        <w:rPr>
          <w:rFonts w:hint="eastAsia" w:ascii="宋体" w:hAnsi="宋体" w:eastAsia="宋体" w:cs="宋体"/>
          <w:color w:val="000000"/>
          <w:sz w:val="24"/>
          <w:szCs w:val="24"/>
          <w:highlight w:val="none"/>
          <w:lang w:val="en-US" w:eastAsia="zh-CN"/>
        </w:rPr>
      </w:r>
      <w:r/>
    </w:p>
    <w:p>
      <w:pPr>
        <w:pStyle w:val="873"/>
        <w:numPr>
          <w:ilvl w:val="0"/>
          <w:numId w:val="2"/>
        </w:num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病理信息管理系统技术工作站</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★（1）常规制片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支持冰冻、脱水、包埋、切片、染色、封片对应环节的技术人员单独或批量记录任务的起止时间；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包埋时，支持对取材质量进行评价；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切片时，支持合片或者撤销操作；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切片时，支持玻片打印，支持对包埋质量进行评价，支持记录捞片员，操作员；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支持对任务进行备注并流转到下个环节。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（2）冰冻制片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支持切片、染色、封片对应环节的技术人员单独或批量记录任务的起止时间；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可在单个冰冻切片工位上扫描冰冻组织标签二维码，直接打印对应的玻片二维码标签；支持设置打印冰冻标签的份数；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系统支持拍摄功能，通过调用专用相机进行脱水篮拍照保存，同时可以关联脱水篮的批次动作及位置，以供出现问题时可以追溯；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系统可进行取材质量评价，如“翻盖”、“丢失”、“无组织”等情况，并可进行相应取材质量的查询统计；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切片时，支持合片或者撤销操作；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切片时，支持玻片打印，支持记录捞片员，操作员；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支持对任务进行备注并流转到下个环节。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系统可提供常规切片自评管理功能；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（3）细胞蜡块制片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支持切片、染色、封片对应环节的技术人员单独或批量记录任务的起止时间；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包埋时，支持对取材质量进行评价；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切片时，支持合片或者撤销操作；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切片时，支持玻片打印，支持对包埋质量进行评价，支持记录捞片员，操作员；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支持对任务进行备注并流转到下个环节。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★（4）液基细胞制片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支持技术人员单独或批量记录任务的起止时间；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支持批量打印玻片。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★（5）技术医嘱</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支持同步显示医嘱信息，如深切、薄切等；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包埋时，支持对取材质量进行评价；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切片时，支持合片或者撤销操作；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切片时，支持玻片打印，支持对包埋质量进行评价，支持记录捞片员、操作员；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支持对任务进行备注并流转到下个环节。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（6）特检医嘱</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支持同步展示标记物类型等信息；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系统可实现在单个免疫组化工位上扫描包埋盒上的二维码标签，直接从特检医嘱信息中提取病例信息、标记物名称等内容并打印当前蜡块所有的免疫组化医嘱玻片二维码标签；</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包埋时，支持对取材质量进行评价；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切片时，支持合片或者撤销操作；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切片时，支持玻片打印，支持对包埋质量进行评价，支持记录捞片员、操作员；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支持对任务进行备注并流转到下个环节。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（7）玻片打印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支持批量预打印玻片，针对已打印的玻片支持重新打印；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支持查阅打印记录。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10、病理信息管理系统标本销毁管理模块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系统配备独立运行程序，可通过扫描工牌或输入用户名密码进行登录；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可进行大体取材后的标本销毁管理，通过病例库、取材医生等条件查询出可销毁和不可销毁的标本；</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打印可销毁的标本清单或不可销毁的标本清单；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支持批量打印标本箱条码标签；</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系统支持展示冰箱存放状态及标本存放时间；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系统支持验证当前冰箱位置是否可以存入；</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系统支持标本箱与冰箱位置进行绑定；</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系统自动提示可销毁的标本箱，通过PDA扫描确认销毁，系统自动记录操作信息；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诊断医生下达补取医嘱时，系统自动提示标本状态。（是否已销毁）；</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取材医生在补取前，可查看标本位置；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lang w:val="en-US" w:eastAsia="zh-CN"/>
        </w:rPr>
      </w:pPr>
      <w:r>
        <w:rPr>
          <w:rFonts w:hint="eastAsia" w:ascii="宋体" w:hAnsi="宋体" w:eastAsia="宋体" w:cs="宋体"/>
          <w:color w:val="000000"/>
          <w:sz w:val="24"/>
          <w:szCs w:val="24"/>
          <w:highlight w:val="none"/>
          <w:lang w:val="en-US" w:eastAsia="zh-CN"/>
        </w:rPr>
        <w:t xml:space="preserve">系统支持查询标本销毁处理信息。</w:t>
      </w:r>
      <w:r>
        <w:rPr>
          <w:rFonts w:hint="eastAsia"/>
          <w:lang w:val="en-US" w:eastAsia="zh-CN"/>
        </w:rPr>
      </w:r>
      <w:r/>
    </w:p>
    <w:p>
      <w:pPr>
        <w:pStyle w:val="873"/>
        <w:numPr>
          <w:ilvl w:val="0"/>
          <w:numId w:val="0"/>
        </w:numPr>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病理信息管理系</w:t>
      </w:r>
      <w:r>
        <w:rPr>
          <w:rFonts w:hint="eastAsia" w:ascii="宋体" w:hAnsi="宋体" w:eastAsia="宋体" w:cs="宋体"/>
          <w:color w:val="000000"/>
          <w:sz w:val="24"/>
          <w:szCs w:val="24"/>
          <w:highlight w:val="none"/>
          <w:lang w:val="en-US" w:eastAsia="zh-CN" w:bidi="ar-SA"/>
        </w:rPr>
        <w:t xml:space="preserve">统诊断工作站</w:t>
      </w:r>
      <w:r>
        <w:rPr>
          <w:rFonts w:hint="eastAsia" w:ascii="宋体" w:hAnsi="宋体" w:eastAsia="宋体" w:cs="宋体"/>
          <w:color w:val="000000"/>
          <w:sz w:val="24"/>
          <w:szCs w:val="24"/>
          <w:highlight w:val="none"/>
          <w:lang w:val="en-US" w:eastAsia="zh-CN" w:bidi="ar-SA"/>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（1）医生首页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可提供一体化首页管理模块，用户登录后即自动呈现个性化的医生首页，首页内容支持灵活定制，可展示与当前用户相关信息，包括但不限于当前医生的待办列表、工作量展示、质控数据展示等。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★（2）常规诊断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支持通过病理单、送检信息等字段快速筛选病例信息。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支持医生对分配给自己的诊断任务进行确认，确认后才可进行诊断操作。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诊断时，支持初诊、复诊、签发三级模式。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诊断时，支持录入光镜所见、诊断结果、辅助建议等内容。</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支持直接引入诊断模板、光镜所见模板内容。</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镜下阅片时支持拍照或者上传镜下阅片图像。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支持镜下阅片和数字阅片两种模式切换。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数字阅片时支持进行数字玻片标注，测量，截图等操作。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系统支持阅片界面进行淋巴结转移录入、免疫组化表型录入、WHO分类标记管理；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数字诊断模式下，支持在同一系统内进行AI辅助分析，不需来回切换系统，可选择一键引入AI诊断结果。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数字诊断模式下，支持AI自动玻片质控。</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诊断时，支持记录与临床等科室的沟通内容。</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诊断时，支持查阅当前病例的历史诊断信息。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诊断时，支持查看绑定的数字切片信息。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病理诊断结果智能匹配提示功能：可提供系统预设性别冲突提示、部位冲突提示、形似字冲突提示等功能；同时支持用户可自定义特殊词汇和相应提示内容，在病理诊断中出现这些词汇时，系统自动进行弹框提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针对上级医生退回的诊断，支持查看退回原因并重诊。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诊断时，支持查阅病例的相关信息，包括取材信息、制片信息、登记信息、图片信息。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诊断时，支持维护个人诊断模板。</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支持发起技术医嘱，包括补取，重切，深切，薄切，连切、白片、重脱、重包、重新封片等医嘱，针对未执行的医嘱可作废。</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支持发起特检医嘱，针对未执行的医嘱可作废处理。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支持录入特检医嘱结果。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支持一键引入蜡块、特检医嘱结果。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支持提交辅助检查建议，提交后二次登记病理检查时可快速引入检查项目。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支持标记肿瘤分级情况，支持标记危急值、填写诊断备注等操作。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针对已完成冰冻的常规诊断报告，支持标记冰冻与常规诊断的一致性。</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支持标记报告迟发并生成迟发报告，支持报告预览打印。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支持发起科内会诊，并指定需要参与的会诊人员。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诊断时，支持对玻片进行质量评价。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诊断完成后，支持在线预览诊断报告。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针对疑难病例，支持一键转诊至第三方平台会诊。会诊完成后，可选择直接签发、本地签发报告两种模式。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提交报告时支持对报告采图数量质控，不满足数量的拦截提醒。</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提交初诊后，支持二次复诊；复诊提交后，支持签发复核。</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复诊医生诊断时，支持更改初诊诊断结果，支持退回诊断。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签发时，支持对比初复诊的不同点并高亮显示。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支持设置诊断犹豫期，已签发的报告，犹豫期内支持撤回调整。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针对已发出的报告，支持发起补充诊断。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诊断报告发布后，支持查看报告详情。</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支持查阅诊断日志。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支持收藏病例，可按需设置目录清单并收藏至相关路径。</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（3）分子诊断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支持通过病理单、送检信息等字段快速筛选病例信息。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支持医生对分配给自己的诊断任务进行确认，确认后才可进行诊断操作。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支持查阅当前病例的历史诊断信息。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诊断时，支持查阅病例的相关信息，包括登记信息，取材信息等。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诊断时，支持上传诊断报告。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支持发起技术医嘱，包括补取，重切，深切，薄切，连切、白片、重脱、重包、重新封片等医嘱，针对未执行的医嘱支持撤销。</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支持发起特检医嘱，针对未执行的医嘱支持撤销。</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支持录入特检医嘱结果。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支持标记报告迟发并生成迟发报告，支持报告预览打印。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支持对玻片进行质量评价。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支持发起科内会诊，并指定需要参与的会诊人员。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支持在线预览诊断报告。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支持三级诊断模式。提交初诊后，支持二次复诊；复诊提交后，支持签发复核。</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复诊医生诊断时，支持退回诊断，支持更改初诊诊断结果。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支持设置诊断犹豫期，已签发的报告，犹豫期内支持撤回调整。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针对已发出的报告，支持发起补充诊断。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支持收藏病例，可按需设置目录清单并收藏至相关路径。</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支持查阅诊断日志。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（4）结构化报告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针对七类小标本和十三类大标本肿瘤疾病，提供 “结构化报告”标准报告模版，支持补充报告发放结构化报告；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支持同一病理号下的每份报告单独发结构化报告；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支持分子结构化报告组套关联管理，支持结构化表格内容灵活调整。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（5）远程转诊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支持按病理号、患者信息、检查项目、转诊日期等快速筛选病例；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支持撤销远程转诊，查看数字切片上传进度，重新上传数字切片。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（6）科内会诊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支持科内会诊管理和诊断，至少包括由我发起、待我会诊、全部三个子模块；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由我发起模块可查看由本人发起会诊的病理单，支持更改会诊参与人员或者按需选择撤销会诊；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待我会诊模块可查看需要我参与会诊的病理单并发起会诊诊断；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会诊时支持查看病例的登记、取材、制片等信息，支持查阅数字玻片；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支持录入会诊意见。</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（7）我的收藏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支持灵活设置目录层级并管理查阅已收藏至当前目录的病例信息；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支持修改目录路径或者取消收藏。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（8）危急值处理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支持查看危急值处理流程；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支持传报项目上报，如病理诊断出现“传染病”、“危急值”时，系统进行弹框提醒，并支持填写传报项目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支持按患者信息、时间等条件查询危急值处理记录。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（9）分配工作站</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支持打印申请单并关联相关诊断医生。</w:t>
      </w:r>
      <w:r>
        <w:rPr>
          <w:rFonts w:hint="eastAsia" w:ascii="宋体" w:hAnsi="宋体" w:eastAsia="宋体" w:cs="宋体"/>
          <w:color w:val="000000"/>
          <w:sz w:val="24"/>
          <w:szCs w:val="24"/>
          <w:highlight w:val="none"/>
          <w:lang w:val="en-US" w:eastAsia="zh-CN"/>
        </w:rPr>
      </w:r>
      <w:r/>
    </w:p>
    <w:p>
      <w:pPr>
        <w:pStyle w:val="867"/>
        <w:numPr>
          <w:ilvl w:val="0"/>
          <w:numId w:val="0"/>
        </w:numP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病理信息管理系统数字切片工作站</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支持数字切片自动上传至切片库；</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库兼容多种格式的切片类型，包括但不限于江丰（KFB）、麦克奥迪（MDSX）、生强（Sdpc）、优纳（Tmap）、志盈（ZYP）、英特美迪（tron）、3D（MRXS）、徕卡（SCN）、罗氏（BIF）、滨松（NDPI）、诺普希等常见格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支持通过病理号、绑定状态、检查项目等信息查询数字切片；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支持手动批量上传数字切片；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支持对已绑定的玻片解绑，解绑后可手动重新绑定；</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针对扫描异常等不需要的玻片进行删除操作；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切片上传后支持自动扫描切片二维码并绑定至对应的病理号；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支持导出数字切片清单。</w:t>
      </w:r>
      <w:r>
        <w:rPr>
          <w:rFonts w:hint="eastAsia" w:ascii="宋体" w:hAnsi="宋体" w:eastAsia="宋体" w:cs="宋体"/>
          <w:color w:val="000000"/>
          <w:sz w:val="24"/>
          <w:szCs w:val="24"/>
          <w:highlight w:val="none"/>
          <w:lang w:val="en-US" w:eastAsia="zh-CN"/>
        </w:rPr>
      </w:r>
      <w:r/>
    </w:p>
    <w:p>
      <w:pPr>
        <w:pStyle w:val="867"/>
        <w:numPr>
          <w:ilvl w:val="0"/>
          <w:numId w:val="0"/>
        </w:numP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t xml:space="preserve">病理信息管理系统区域会诊工作站</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（1）会诊申请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支持病理科医生发起区域内会诊申请，自动关联患者病理号、基本信息、申请信息、取材记录、数字切片（WSI）、初步诊断意见等全量病例数据，无需重复录入；</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支持按机构选择会诊机构；</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支持按患者信息、检查项目、接收时间等快速筛选病例；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支持转诊记录查看。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（2）会诊审核</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支持会诊申请审核功能，审核内容包括病例完整性、数字切片质量、会诊必要性等；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审核通过后分配诊断医生；</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支持会诊申请退回，并注明退回原因；</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支持按患者信息、转诊时间、申请机构等快速筛选病例。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（3）会诊诊断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会诊专家可在线访问完整病例资料，支持数字切片（WSI）高清阅片、标注、测量、截图批注；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会诊报告完成后自动同步至申请医院，关联原病理病例档案，支持临床医生、病理医生在线查看、打印、下载会诊报告；</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系统留存会诊全流程日志（申请时间、审核时间、核单时间、报告完成时间、操作人员）。</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病理信息管理系统统计分析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（1）科室数据大屏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展示内容：总病理数、总标本数、总蜡块数、总玻片数等；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支持数据实时更新；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以大屏可视化的形式，通过业务数据统计、趋势分析、监控预警等手段，将病理科数据图形化、集中化展示。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诊断组工作分析及展示：工作量总览、工作量趋势、工作量统计、报告超期情况、实时工作情况、报告平均耗时；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技术组工作分析及展示：工作量总览、常规报告工作量趋势、免疫组化工作量趋势、制片工作量统计、免疫组化执行情况、技术医嘱执行情况、技术环节平均耗时；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病理质控分析及展示：冰冻切片优良率、HE染色切片优良率、免疫组化染色切片优良率。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支持科室业务数据可视化展示；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展示内容包括但不限于：今日总病理数、总标本数、总蜡块数、总玻片数；今日待处理登记环节、取材环节、技术环节、诊断环节；今日标本送检科室分布；今日工作队列；待完成病例；当月数据统计等；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支持数据实时更新；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支持单独大屏显示。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★（2）工作量统计分析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支持按日期、医生、岗位的维度查询相关医生的工作量信息，标本签收例数、登记例数、取材例数、脱水蜡块数、包埋蜡块数、切片、染色、封片、液基细胞制片、诊断、会诊例数等指标。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（3）标本取材移交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支持自动生成标本取材移交表，表格内容包含但不限于：病理号、取材数、取材医生、描写人员、制片人员、诊断医生等信息；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支持标本取材移交表导出；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支持按检查项目、取材日期、取材医生、描写人员、制片人员等条件快速筛选数据。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（4）特检医嘱报表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支持自动生成特检医嘱报表，表格内容包含但不限于：病理号、标记物、开立医生、开立时间、蜡块号、切片医生、切片完成时间、捞片医生、捞片完成时间、封片医生、封片完成时间、状态等信息；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支持特检医嘱表导出；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支持按医嘱类型、开立医生、接收时间、切片医生、捞片医生、封片医生等条件快速筛选数据。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（5）技术医嘱报表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自动生成技术医嘱报表，表格内容包含但不限于：病理号、医嘱类型、开立医生、开立时间、蜡块号、取材医生、取材完成时间、脱水医生、脱水完成时间、包埋医生、包埋完成时间、切片医生、切片完成时间、捞片医生、捞片完成时间、封片医生、封片完成时间、状态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支持技术医嘱表导出；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支持按医嘱类型、开立医生、接收时间、取材医生、脱水医生、切片医生、捞片医生、封片医生等条件快速筛选数据。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（6）迟发统计分析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支持按日期、检查项目、迟发原因等维度查询并导出迟发记录。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（7）送检统计分析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支持按日期、检查项目、送检单位/科室/医生等维度查询相关病例，支持查阅不同维度的病例分布情况，如就诊类型分布、病理类型分布、病理大类分布、检查项目分布、送检单位/科室/医生分布等。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支持图表、表格双视图切换。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支持导出相关的记录、图表。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（8）肿瘤分级统计分析 </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支持按日期、检查项目、肿瘤分级等维度查询病例信息。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支持导出肿瘤分级明细、图表。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9）危急值统计分析</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支持按日期、检查项目、危急值等维度查询病例信息。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支持导出危急值明细、图表。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（10）病例综合查询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支持按病理号、送检日期、诊断医生、诊断结果等维度查询病例信息，包括病例诊断进度、诊断结果、报告状态等信息。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支持导出病例数据明细。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病理信息管理系统质控管理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（1）质控抽查</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支持通过输入病理号、扫描切片二维码、随机抽查等方式对已发放的诊断报告进行质量评价。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支持对质控人员、是否已质控等情况进行校验，避免出现重复质控、本人质控。</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质控时，支持自动获取原病例的诊断内容并修改，支持拍摄或上传质控附图，支持标记质控符合情况，包括符合、基本符合、不符合。</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支持查阅原诊断报告、支持对制片结果进行评价。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提交质控后，支持查阅质控的结果，支持自动统计阶段时间内的质控病例数量、比例。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（2）质控评审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支持对科室送审的评价结果进行记录，包括分子病理室内质评、分子病理室间质评、免疫组化染色室间质评等。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支持记录送评人、评审机构、质评明细以及合格情况、质评文件等信息。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支持导出评审结果。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（3）取材优良率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支持通过取材时间、取材医生、质评等级、检查项目等信息查询优良率分布情况和评级明细。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（4）包埋优良率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支持通过包埋时间、包埋人员、检查项目等信息查询优良率分布情况和评级明细。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（5）标本规范化固定率 </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支持通过接收时间、就诊类型、不规范原因等信息查询固定率分布情况和评级明细。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支持下载不规范原因分布图表，导出固定不规范相关病例明细。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（6）HE染色切片优良率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支持通过接收时间、技术人员、检查项目等信息查询优良率分布情况和评级明细。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（7）免疫组化染色切片优良率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支持通过接收时间、技术人员、检查项目等信息查询优良率分布情况和评级明细。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（8）术中快速诊断及时率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支持通过诊断时间、诊断医生、超时情况、检查项目等信息查询及时率分布情况和评级明细。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（9）组织病理诊断及时率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支持通过诊断时间、诊断医生、超时情况、检查项目等信息查询及时率分布情况和评级明细。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（10）细胞病理诊断及时率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支持通过诊断时间、诊断医生、超时情况、检查项目等信息查询及时率分布情况和评级明细。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（11）分子病理检测室间质评合格率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支持通过评审日期查询合格率分布情况和评审明细。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（12）免疫组化染色室间质评合格率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支持通过评审日期查询合格率分布情况和评审明细。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（13）分子病理检测室内质评合格率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支持通过评审日期查询合格率分布情况和评审明细。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（14）术中快速诊断与石蜡诊断符合率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支持通过签发日期、质控日期、检查项目、符合情况查看病例分布情况和明细。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（15）细胞学病理诊断质控符合率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支持通过签发日期、质控日期、符合情况查询符合率分布情况和病例明细。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（16）病理会诊室内质控符合率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支持通过签发日期、符合情况查询分布情况和病例明细。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（17）恶性肿瘤瘤前病变质控符合率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支持通过签发日期、符合情况查询符合率分布情况和病例明细。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（18）常规组织病理诊断质控符合率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支持通过签发日期、符合情况查询符合率分布情况和病例明细。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（19）妇科细胞阴性质控符合率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支持通过签发日期、质控日期、符合情况查询符合率分布情况和病例明细。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支持下载图表，导出质评明细。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支持按一定的格式生成并导出PDF质控文件。</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病理信息管理系统档案管理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（1）存放地点管理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支持灵活设置不同层级的存储路径并打印位置标签。</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支持对已设置的存储位置进行调整或删除。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（2）单据归档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支持通过病理单号段、患者信息、送检信息、归档人等参数查询单据的归档情况。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支持单独或批量将相关病理单据统一归档至某个位置。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支持对已归档的单据撤销归档后重新归档。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（3）蜡块归档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支持通过病理单号段、患者信息、归档人等参数查询相关蜡块的归档情况。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支持单独或批量将相关蜡块统一归档至某个位置。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支持扫码归档。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支持对已归档的蜡块撤销归档后重新归档。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（4）玻片归档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支持通过病理单号段、患者信息、归档人等参数查询相关玻片的归档情况。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支持单独或批量将相关玻片统一归档至某个位置。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支持扫码归档。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支持对已归档的玻片撤销归档后重新归档。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（5）归档综合查询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支持查询某个病理单相关实体的归档情况。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支持按病理号段、患者信息等维度查询，包括单据归档状态、路径，蜡块归档状态、路径，玻片归档状态、路径等信息。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（6）借记管理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支持科室物料的外借管理，包括蜡块、玻片、铜网、涂胶白片部分。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支持登记蜡块、玻片的外借人员信息、预计归还时间、押金等信息。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支持登记铜网、涂胶白片的外借人员、预计归还时间、收费金额、数量等信息。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外借登记时支持上传图片进行留档备案。</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支持批量打印借记单据。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可提供蜡块/切片归档状态记录，医生站可同步显示相关归档状态及借还片记录;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可提供外院会诊意见拍照或文字记录，可便捷录入会诊结果及会诊符合情况，实时同步至病理医生查看存档;</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针对借出的实体支持整体归还或者分批多次归还操作。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病理信息管理系统其他管理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★（1）耗材管理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系统支持入库单新制及入库单查询管理；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系统支持入库时计算条码数量并打印条码；</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系统支持批量入库，入库时支持修改有效期和仓库货位信息；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系统支持出库单新制及出库单查询管理；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支持已过期的试剂耗材出库设置；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系统可直观展示预警信息、库存提醒、到期提醒等信息；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系统支持每日明细查询，出入库汇总查询，支持库存数据导出；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系统支持出库并直接启用试剂的设置；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系统支持入库出库数据查询、统计功能；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系统支持库存等数据查询统计功能。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（2）设备管理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设备信息管理支持多平台多终端的录入模式；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系统支持工作台信息维护，根据工作台分类进行设备信息维护；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系统支持实验室各设备的使用、维护、故障、维修、消毒、校准等记录管理系统支持后台新增维护设备管理记录类型；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系统支持维护分子实验室各设备的运行、使用、维护、故障、维修、消毒、记录规则模板；</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系统支持每日运行，每周运行，每月运行的各种信息提醒；</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支持在多终端进行日质控，月质控的复核管理；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系统支持图片化展示各工作站的设备，便于用户录入区分；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系统支持根据工作台、设备类型便捷筛选，查看设备各类操作记录；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系统支持展示未审核、未复核记录的数量，并提示超时未复核的记录。</w:t>
      </w:r>
      <w:r>
        <w:rPr>
          <w:rFonts w:hint="eastAsia" w:ascii="宋体" w:hAnsi="宋体" w:eastAsia="宋体" w:cs="宋体"/>
          <w:color w:val="000000"/>
          <w:sz w:val="24"/>
          <w:szCs w:val="24"/>
          <w:highlight w:val="none"/>
          <w:lang w:val="en-US" w:eastAsia="zh-CN"/>
        </w:rPr>
      </w:r>
      <w:r/>
    </w:p>
    <w:p>
      <w:pPr>
        <w:pStyle w:val="867"/>
        <w:ind w:firstLine="42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4"/>
          <w:szCs w:val="24"/>
          <w:highlight w:val="none"/>
          <w:lang w:val="en-US" w:eastAsia="zh-CN"/>
        </w:rPr>
        <w:t xml:space="preserve">（3）外送管理全流程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支持对科室内外送的病例进行登记管理；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支持记录并更新外送病例信息；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支持建立统一的检查项目，并和区域内机构建立映射关系，提高登记效率。</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（4）区域统计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区域中心模式下，支持区域病理业务数据可视化展示，展示内容包括但不限于：今日总病理数、总标本数、总蜡块数、总玻片数；今日待处理登记环节、取材环节、技术环节、诊断环节；今日标本送检科室分布、今日工作队列、待完成病例；月度数据统计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支持数据实时更新；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支持单独大屏显示。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（5）消息通知</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支持按照设置的超时规则给相关人员推送超时提醒消息，包括即将超时提醒、已超时提醒等；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支持给相关人员推送待办任务消息，如取材任务提醒、脱水/包埋任务提醒等；</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支持发送站内信，可用于科内消息通知，消息发出后支持撤回或删除；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推送消息提醒时，支持通过页面弹层直观的方式进行可视化提醒；</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支持单独查阅不同类型的消息明细，如超时提醒、医嘱提醒等，支持标记已读、已处理等操作。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（6）系统首页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支持显示科室日常业务数据看板，包括总病理数、总标本数、总蜡块数、总玻片数指标，以及当前正在登记、取材、制片、诊断等环节的业务情况。</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病理信息管理系统分子实验流程管理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（1）样本制备管理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系统支持一代测序、PCR等平台的不同类型样本处理管理，可根据检测方法生成核酸提取、血液提取处理工作表；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系统支持各项检测方法下项目的管理分配；</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系统支持多分子项目号共用核酸的数据录入管理；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系统支持记录样本制备的详细步骤；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系统支持样本制备过程中记录真实的操作人、操作时间；</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系统支持特殊情况拍照记录；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系统支持查看核酸处理记录及血液提取记录。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（2）实验记录管理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系统支持根据不同条件查询待生成批次病例，并支持将待生成批次病例增加到已有批次；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系统支持检测项目根据实验批次进行全过程管理，包括生成、修改、特殊备注及状态展示；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系统支持实验批次生成错误时，开始实验后取消批次生成，同时处理实验过程记录；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系统支持实验员可独立生成并管理项目批次，批次号支持按照年月日自定义管理；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支持根据不同检测方法、检测项目打印不同格式的分子登记本。</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系统支持打印各检测项目不同格式的批次过程记录表、分子项目分片表；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系统支持打印各检测平台不同格式的批次操作指引SOP；</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支持复核实验记录，查看详细步骤、操作痕迹，复核后不可修改；</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系统支持快速定位包含跳过、重复、终止实验等特殊实验记录；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系统支持复核时查看所选实验批次的阴阳控实验记录；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实验记录补录时支持保存结果并自动跳转至下一条记录；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系统支持按不同条件进行快捷查询，显示详尽的实验过程记录及分子项目号的操作痕迹记录，支持查询结果的数据导出。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（3）一代测序平台管理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系统支持一代测序的实验过程管理，通过可视化形式展示一代测序各实验节点步骤；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系统支持一代测序的样本制备流程记录及查看；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系统支持快速选择当前实验批次下未完成的分子项目号来进行实验流程的数据录入；</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系统支持多批次的数据展示；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系统支持展示当前实验批次下未完成的分子项目号列表；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系统支持以电子表格形式汇总展示前序步骤实验过程数据，便于数据查看和核对，电子表单格式支持自定义管理；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系统支持一代测序实验流程的跳过步骤、重复步骤、重复实验、终止实验等异常实验步骤管理，同时支持记录异常原因； </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系统支持实验过程的阳性对照、阴性对照及空白对照管理，支持对照实验流程展示；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系统支持高达三种一代测序平台不同流程定制化管理；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系统支持确认完成实验管理，用于各专业组负责人对实验过程数据的把控。</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（4）FISH检测平台管理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系统支持FISH检测的实验过程管理，通过可视化的形式展示FISH平台各实验节点步骤；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系统支持实验流程记录FISH平台的样本制备流程录入及查看；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系统支持快速选择当前实验批次下未完成的分子项目号来进行实验流程数据的录入管理；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系统支持记录FISH实验每一步骤的操作人、操作时间等信息；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系统支持多批次的数据展示；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系统支持展示当前实验批次下未完成的分子项目号列表；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系统支持以电子表格形式汇总展示前序步骤实验过程数据，便于数据查看和核对，电子表单格式支持自定义管理；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系统支持FISH实验流程的重复、终止、跳过等异常实验步骤管理以及阴阳控管理；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系统支持高达三种FISH检测平台不同流程定制化管理;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系统支持确认完成实验管理，用于各专业组负责人对实验过程数据的把控。</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（5）qPCR检测平台管理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系统支持qPCR的实验过程管理，通过可视化的形式展示qPCR各实验节点步骤；</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系统支持qPCR结核基因的单独实验方法配置；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系统实验流程记录支持qPCR的样本制备流程录入及查看；</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系统支持记录qPCR实验每一步骤的操作人、操作时间等信息；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系统支持多批次的数据展示；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系统支持展示当前实验批次下未完成的分子项目号列表；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系统支持以电子表格形式汇总展示前序步骤实验过程数据，便于数据查看和核对，电子表单格式支持自定义管理；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系统支持qPCR实验流程的重复、终止、跳过等异常实验步骤管理，以及阴阳控管理。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系统支持高达三种qPCR检测平台不同流程定制化管理；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系统支持确认完成实验管理，用于各专业组负责人对实验过程数据的把控。</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▲（6）质控管理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系统支持质控步骤的醒目标识及自定义质控步骤的设置；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系统支持对各检测方法的HE质控、核酸质控、阴阳质控、杂交质控等质控点进行综合管理；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系统支持HE质控时，同屏展示当前患者常规病理诊断结果、补充报告、医嘱信息、蜡块信息等，供医生进行参考；</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系统支持HE质控查询，未质控病例可一键关联质控界面；</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系统支持各检测方法的质控步骤记录，记录质控结果、质控人、质控时间等信息；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系统支持按实验室实际工作情况结合不同查询条件进行实验记录的质控复核。</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系统支持自主发起或从统计数据等维度发起质控管理；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系统支持质控过程的必填项自定义管理；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系统支持对质控项目进行复核管理，支持复核并发起持续改进；</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系统支持进行持续改进发起、描述、原因分析、改进措施、执行情况及验证结果全流程闭环管理；</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系统支持展示持续改进各环节记录详情，支持深度查看操作痕迹；</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系统支持根据不同筛选条件查询质控项目、持续改进项目；</w:t>
      </w:r>
      <w:r>
        <w:rPr>
          <w:rFonts w:hint="eastAsia" w:ascii="宋体" w:hAnsi="宋体" w:eastAsia="宋体" w:cs="宋体"/>
          <w:color w:val="000000"/>
          <w:sz w:val="24"/>
          <w:szCs w:val="24"/>
          <w:highlight w:val="none"/>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t xml:space="preserve">病理信息管理系统病理专用设备对接</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（1）包埋盒打号机接口模块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通过定制接口将包埋盒打号机连入网络，以网络传输的方式取代手工录入，可将取材管理模块中记录的取材明细直接传给包埋盒打号机打印；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支持“立”“皮”“试”等中文特殊标记的打印；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可根据标本类型，自动选择包埋盒打号机的打号通道，以用于对不同标本类型的标本进行不同包埋盒颜色的区分（需包埋盒打号机支持相应功能）。</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（2）玻片打号机接口模块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通过定制接口将玻片打号机连入网络，以网络传输的方式取代手工录入，可将切片管理模块中的切片明细列表直接传给玻片打号机打印；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支持标本名称等信息的打印；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支持常规标签和免疫组化标签的玻片打号。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（3）DNA细胞定量分析系统接口模块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通过定制接口，将DNA定量分析系统的相关诊断数据提取到病理系统中，在病理系统中统一出具细胞DNA定量检测报告。（备注：上述定制接口的开发需在细胞DNA定量分析系统厂家开放接口的情况下实现。）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（4）全自动免疫组化染色仪接口模块</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定制接口将特检医嘱相关明细数据传给全自动免疫组化染色仪自带的工作站，由工作站打印出可供染色仪识别的免疫组化标签，减少人工输入，提升免疫组化环节工作效率；系统支持展示已发送全自动免疫组化染色仪的执行片量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注：上述定制接口的开发需在全自动免疫组化染色仪厂家开放接口的情况下实现。</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、数字切片扫描仪及存储</w:t>
      </w:r>
      <w:r>
        <w:rPr>
          <w:rFonts w:ascii="宋体" w:hAnsi="宋体" w:eastAsia="宋体" w:cs="宋体"/>
          <w:color w:val="000000"/>
          <w:sz w:val="24"/>
          <w:szCs w:val="24"/>
          <w:highlight w:val="none"/>
          <w:lang w:val="en-US" w:eastAsia="zh-CN"/>
        </w:rPr>
      </w:r>
      <w:r/>
    </w:p>
    <w:p>
      <w:pPr>
        <w:pStyle w:val="867"/>
        <w:ind w:firstLine="72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（1）一体化封闭式设计；机身集成触屏式显示器（≥10寸）进行控制，可单独运行扫描和切片浏览等技术操作，无需外接辅助显示器及鼠标键盘等设备，实现设备的独立运行使用。</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★（2）扫描设备单次加载不低于240片常规病理切片。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▲（3）通量可拓展：可在原机基础上支持切片装载升级为≥480片，从容面对科室业务发展。</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（4）物镜：采用高端平场复消色差20×物镜，NA值0.8。</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（5）扫描方式：采用面阵扫描技术。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（6）相机：配置相机靶面≥ 2/3"、帧率≥75帧进口面阵相机。</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（7）扫描倍率：配置20x倍率与40x倍率扫描模式。</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（8）扫描分辨率：20x倍率模式下，≤ 0.24μm/pixel；40x倍率模式下，≤ 0.12μm/pixel。</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（9）扫描速度：20x倍率模式下，≤ 35秒；40x倍率模式下，≤ 50秒。（15mm×15mm扫描区域）</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（10）切片装载方式：单个片仓不少于30张切片装载量，以保障装载切片的便利性，非片板装片方式，可以与染色机切片架兼容。</w:t>
      </w:r>
      <w:r>
        <w:rPr>
          <w:rFonts w:hint="eastAsia" w:ascii="宋体" w:hAnsi="宋体" w:eastAsia="宋体" w:cs="宋体"/>
          <w:b/>
          <w:bCs/>
          <w:color w:val="000000"/>
          <w:sz w:val="24"/>
          <w:szCs w:val="24"/>
          <w:highlight w:val="none"/>
          <w:lang w:val="en-US" w:eastAsia="zh-CN"/>
        </w:rPr>
        <w:t xml:space="preserve">（提供切片架兼容照片证明）</w:t>
      </w:r>
      <w:r>
        <w:rPr>
          <w:rFonts w:hint="eastAsia" w:ascii="宋体" w:hAnsi="宋体" w:eastAsia="宋体" w:cs="宋体"/>
          <w:b/>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（11）扫描工作站：处理器≥Intel Core I7；内存≥16GB；硬盘≥8TB，工作站主机与设</w:t>
      </w:r>
      <w:r>
        <w:rPr>
          <w:rFonts w:hint="eastAsia" w:ascii="宋体" w:hAnsi="宋体" w:eastAsia="宋体" w:cs="宋体"/>
          <w:color w:val="000000"/>
          <w:sz w:val="24"/>
          <w:szCs w:val="24"/>
          <w:highlight w:val="none"/>
          <w:lang w:val="en-US" w:eastAsia="zh-CN"/>
        </w:rPr>
        <w:t xml:space="preserve">备一体式整合不独立在外节约使用空间。</w:t>
      </w:r>
      <w:r>
        <w:rPr>
          <w:rFonts w:hint="eastAsia" w:ascii="宋体" w:hAnsi="宋体" w:eastAsia="宋体" w:cs="宋体"/>
          <w:color w:val="000000"/>
          <w:sz w:val="24"/>
          <w:szCs w:val="24"/>
          <w:highlight w:val="none"/>
          <w:lang w:val="en-US" w:eastAsia="zh-CN"/>
        </w:rPr>
      </w:r>
      <w:r/>
    </w:p>
    <w:p>
      <w:pPr>
        <w:pStyle w:val="867"/>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★（12）在项目服务期5年内无条件提供所有数字切片的本地存储服务。</w:t>
      </w:r>
      <w:r>
        <w:rPr>
          <w:rFonts w:hint="eastAsia" w:ascii="宋体" w:hAnsi="宋体" w:eastAsia="宋体" w:cs="宋体"/>
          <w:b/>
          <w:bCs/>
          <w:color w:val="000000"/>
          <w:sz w:val="24"/>
          <w:szCs w:val="24"/>
          <w:highlight w:val="none"/>
          <w:lang w:val="en-US" w:eastAsia="zh-CN"/>
        </w:rPr>
        <w:t xml:space="preserve">(提供承诺函)</w:t>
      </w:r>
      <w:r>
        <w:rPr>
          <w:rFonts w:hint="eastAsia" w:ascii="宋体" w:hAnsi="宋体" w:eastAsia="宋体" w:cs="宋体"/>
          <w:b/>
          <w:bCs/>
          <w:color w:val="000000"/>
          <w:sz w:val="24"/>
          <w:szCs w:val="24"/>
          <w:highlight w:val="none"/>
          <w:lang w:val="en-US" w:eastAsia="zh-CN"/>
        </w:rPr>
      </w:r>
      <w:r/>
    </w:p>
    <w:p>
      <w:pPr>
        <w:pStyle w:val="867"/>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★（13）设备应具备卓越的耐用性与可靠性，设备使用年限≥10年，以满足长期、稳定的运行需求。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（14）配备全自动病理切片扫描软件，全自动一键式扫描，无人值守。</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（15）病理切片组织区域识别功能：自适应识别切片组织区域轮廓，扫描进程中自动跳过非组织区域。</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（16）软件支持自动/手动对焦模式切换，可自动调节低/中/高密度焦点，也可自定义手动设置对焦点。</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（17）扫描模式：配置标准扫描、精准扫描、多层扫描和3D融合扫描模式。可配置扫描层数≥199层。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（18）切片行程识别功能：采用先进的机器视觉技术，切片行程中自动监控并提示切片定位和系统异常。极大地减少碎片、掉片的意外发生，有效地保护病理切片。</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（19）分屏浏览：支持最多9个数字切片文件的分屏显示，并配备同步操作功能，可统一调整所有分屏的视野位置。</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（20）图像缩放：数字切片图像浏览软件支持1x/2x/5x/10x/20x/40x/80x等比例缩放和平滑无极缩放功能，支持有效倍率范围内的图像缩放操作。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（21）图像截图工具：图像截图工具支持普通与高清双模式截图保存，适配报告单、论文插图等场景需求。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（22）测量和标注工具：配置直线、矩形、圆形等多种几何形状的长度和面积测量工具。配置直线、矩形、圆形等多种几何形状的标注符号，可对标注添加和编辑标题、注释、显示颜色等信息。</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（23）图像处理工具：配置伽马校正，对比度、亮度、颜色均衡、饱和度、锐化处理工具。</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（24）切片分享：可通过阅片软件将数字切片上传至云端，并生成分享二维码。通过微信扫码实现远程读片。</w:t>
      </w:r>
      <w:r>
        <w:rPr>
          <w:rFonts w:hint="eastAsia" w:ascii="宋体" w:hAnsi="宋体" w:eastAsia="宋体" w:cs="宋体"/>
          <w:b/>
          <w:bCs/>
          <w:color w:val="000000"/>
          <w:sz w:val="24"/>
          <w:szCs w:val="24"/>
          <w:highlight w:val="none"/>
          <w:lang w:val="en-US" w:eastAsia="zh-CN"/>
        </w:rPr>
        <w:t xml:space="preserve">（提供数字切片远程同步共览软件著作权证书）</w:t>
      </w:r>
      <w:r>
        <w:rPr>
          <w:rFonts w:hint="eastAsia" w:ascii="宋体" w:hAnsi="宋体" w:eastAsia="宋体" w:cs="宋体"/>
          <w:b/>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可兼容接入多品牌的数字切片质量检测及质控系统，对扫描完成的切片可以进行图像质量（染色差异、扫描异常、褶皱折叠、组织空窗、封片气泡、刀痕损伤、异物污染）的智能AI标注，系统可自动评判数字切片合格/不合格。（</w:t>
      </w:r>
      <w:r>
        <w:rPr>
          <w:rFonts w:hint="eastAsia" w:ascii="宋体" w:hAnsi="宋体" w:eastAsia="宋体" w:cs="宋体"/>
          <w:b/>
          <w:bCs/>
          <w:color w:val="000000"/>
          <w:sz w:val="24"/>
          <w:szCs w:val="24"/>
          <w:highlight w:val="none"/>
          <w:lang w:val="en-US" w:eastAsia="zh-CN"/>
        </w:rPr>
        <w:t xml:space="preserve">提供切片质量检测及质控系统软件著作权证书及软件界面截图）</w:t>
      </w:r>
      <w:r>
        <w:rPr>
          <w:rFonts w:hint="eastAsia" w:ascii="宋体" w:hAnsi="宋体" w:eastAsia="宋体" w:cs="宋体"/>
          <w:b/>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可兼容接入多品牌的远程会诊平台系统，系统对病理科病例进行信息管理和远程会诊。医生通过软件登记病例信息，并上传数字病理切片文件。专家通过浏览病例信息，并结合切片图像，给出专业的诊断意见，形成电子病理诊断报告。</w:t>
      </w:r>
      <w:r>
        <w:rPr>
          <w:rFonts w:hint="eastAsia" w:ascii="宋体" w:hAnsi="宋体" w:eastAsia="宋体" w:cs="宋体"/>
          <w:b/>
          <w:bCs/>
          <w:color w:val="000000"/>
          <w:sz w:val="24"/>
          <w:szCs w:val="24"/>
          <w:highlight w:val="none"/>
          <w:lang w:val="en-US" w:eastAsia="zh-CN"/>
        </w:rPr>
        <w:t xml:space="preserve">（提供远程会诊平台系统界面截图）</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（27）可兼容接入多品牌的区域标本送检系统，系统可对分子送检流程进行信息管理。基层医院医生通过软件登记申请单信息，并上传对应</w:t>
      </w:r>
      <w:r>
        <w:rPr>
          <w:rFonts w:hint="eastAsia" w:ascii="宋体" w:hAnsi="宋体" w:eastAsia="宋体" w:cs="宋体"/>
          <w:b w:val="0"/>
          <w:bCs w:val="0"/>
          <w:color w:val="000000"/>
          <w:sz w:val="24"/>
          <w:szCs w:val="24"/>
          <w:highlight w:val="none"/>
          <w:lang w:val="en-US" w:eastAsia="zh-CN"/>
        </w:rPr>
        <w:t xml:space="preserve">的物流信息。中心医院医生通过申请单和物流信息接收样本并执行检测项目，形成检测报告。</w:t>
      </w:r>
      <w:r>
        <w:rPr>
          <w:rFonts w:hint="eastAsia" w:ascii="宋体" w:hAnsi="宋体" w:eastAsia="宋体" w:cs="宋体"/>
          <w:b/>
          <w:bCs/>
          <w:color w:val="000000"/>
          <w:sz w:val="24"/>
          <w:szCs w:val="24"/>
          <w:highlight w:val="none"/>
          <w:lang w:val="en-US" w:eastAsia="zh-CN"/>
        </w:rPr>
        <w:t xml:space="preserve">（提供区域标本送检系统界面截图）</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（28）可兼容接入多品牌的网络病理读片会服务平台，系统对读片会的组织、切片的浏览和存储提供平台。</w:t>
      </w:r>
      <w:r>
        <w:rPr>
          <w:rFonts w:hint="eastAsia" w:ascii="宋体" w:hAnsi="宋体" w:eastAsia="宋体" w:cs="宋体"/>
          <w:b/>
          <w:bCs/>
          <w:color w:val="000000"/>
          <w:sz w:val="24"/>
          <w:szCs w:val="24"/>
          <w:highlight w:val="none"/>
          <w:lang w:val="en-US" w:eastAsia="zh-CN"/>
        </w:rPr>
        <w:t xml:space="preserve">（提供网络病理读片会服务平台著作权证书）</w:t>
      </w:r>
      <w:r>
        <w:rPr>
          <w:rFonts w:hint="eastAsia" w:ascii="宋体" w:hAnsi="宋体" w:eastAsia="宋体" w:cs="宋体"/>
          <w:b/>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（29）支持与多品牌的AI病理辅助诊断软件对接，助力疑难切片辅助诊断。</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w:t>
      </w:r>
      <w:r>
        <w:rPr>
          <w:rFonts w:hint="eastAsia" w:ascii="宋体" w:hAnsi="宋体" w:eastAsia="宋体" w:cs="宋体"/>
          <w:sz w:val="24"/>
          <w:szCs w:val="24"/>
          <w:highlight w:val="none"/>
        </w:rPr>
        <w:t xml:space="preserve">有含税费用。同时，还应包含支付给员工的工资和国家强制缴纳的各种社会保障资金，以及</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认为需要的其他费用等。</w:t>
      </w:r>
      <w:r>
        <w:rPr>
          <w:rFonts w:hint="eastAsia" w:ascii="宋体" w:hAnsi="宋体" w:eastAsia="宋体" w:cs="宋体"/>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的任何错漏、优惠、竞争性报价不得作为减轻责任、减少服务、增加收费、降低服务质量的理由。</w:t>
      </w:r>
      <w:r>
        <w:rPr>
          <w:rFonts w:hint="eastAsia" w:ascii="宋体" w:hAnsi="宋体" w:eastAsia="宋体" w:cs="宋体"/>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报价除包含</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理解为准。</w:t>
      </w:r>
      <w:r>
        <w:rPr>
          <w:rFonts w:hint="eastAsia" w:ascii="宋体" w:hAnsi="宋体" w:eastAsia="宋体" w:cs="宋体"/>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本次采购的软件要求不影响现有的业务系统，供应商负责平台的部署。本章中所列技术要求为医院项目初步需求，具体需求以国家最新政策标准为准。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、投标人须在项目安装调试期间安排专职技术工程师全程跟进设备到货进场起至完成全部安装、调试、校准、培训及验收合格止，确保设备正常运行并满足使用要求。</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、实施人员须具备数智化病理系统相关安装调试经验，确保实施团队专业能力满足项目落地需求，</w:t>
      </w:r>
      <w:r>
        <w:rPr>
          <w:rFonts w:hint="eastAsia" w:ascii="宋体" w:hAnsi="宋体" w:eastAsia="宋体" w:cs="宋体"/>
          <w:color w:val="000000"/>
          <w:sz w:val="24"/>
          <w:szCs w:val="24"/>
        </w:rPr>
        <w:t xml:space="preserve">在不涉及大版本升级的情况下，配合医院调整功能、需求，软件功能满足采购人个性化需求修改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、安装调试及试运行阶段，投标人须提供7×24 小时响应，实施人员负责设备联调、系统对接、问题排查及使用培训，直至采购人正常独立操作为止。</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本项目要求整体维保期5年，从验收合格之日起计算。</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①项目经理：1人，具有至少5年及以上信息化项目管理工作经验。 </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②开发实施人员：不少于3人，具有5年及以上信息化工作经验。 </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宋体"/>
          <w:color w:val="000000"/>
          <w:sz w:val="24"/>
          <w:szCs w:val="24"/>
          <w:lang w:eastAsia="zh-CN"/>
        </w:rPr>
        <w:t xml:space="preserve">③项目组所有人员必须为供应商正式工作人员，不得兼任其他项目工作，未经采购人同意，人员</w:t>
      </w:r>
      <w:r>
        <w:rPr>
          <w:rFonts w:hint="eastAsia" w:ascii="宋体" w:hAnsi="宋体" w:eastAsia="宋体" w:cs="Times New Roman"/>
          <w:bCs w:val="0"/>
          <w:color w:val="000000"/>
          <w:sz w:val="24"/>
          <w:szCs w:val="24"/>
          <w:highlight w:val="none"/>
          <w:lang w:val="en-US" w:eastAsia="zh-CN"/>
        </w:rPr>
        <w:t xml:space="preserve">不得更换。 </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（6）知识产权及保密要求</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①采购人拥有本系统包括永久使用权和修改权在内的一切权利；拥有本系统产生的所有数据的所有权。</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满足采购人需求的、完整的、可最终良好运行的系统。</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提供项目的最终版本部署包及产品永久授权。</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（7）建设成果要求</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①项目启动阶段：项目实施方案。 </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（8）信创适配要求</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项目涉及的软件、硬件产品满足信创要求。</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（9）网络安全等级保护测评要求</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供应商配合采购人，做好系统通过等保测评相关准备工作。</w:t>
      </w:r>
      <w:r>
        <w:rPr>
          <w:rFonts w:hint="eastAsia" w:ascii="宋体" w:hAnsi="宋体" w:eastAsia="宋体" w:cs="Times New Roman"/>
          <w:bCs w:val="0"/>
          <w:color w:val="000000"/>
          <w:sz w:val="24"/>
          <w:szCs w:val="24"/>
          <w:highlight w:val="none"/>
          <w:lang w:val="en-US" w:eastAsia="zh-CN"/>
        </w:rPr>
      </w:r>
      <w:r/>
    </w:p>
    <w:p>
      <w:pPr>
        <w:pStyle w:val="867"/>
        <w:ind w:firstLine="480"/>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Times New Roman"/>
          <w:bCs w:val="0"/>
          <w:color w:val="000000"/>
          <w:sz w:val="24"/>
          <w:szCs w:val="24"/>
          <w:highlight w:val="none"/>
          <w:lang w:val="en-US" w:eastAsia="zh-CN"/>
        </w:rPr>
        <w:t xml:space="preserve">（10）系统对接要求</w:t>
      </w:r>
      <w:r>
        <w:rPr>
          <w:rFonts w:hint="eastAsia" w:ascii="宋体" w:hAnsi="宋体" w:eastAsia="宋体" w:cs="Times New Roman"/>
          <w:bCs w:val="0"/>
          <w:color w:val="000000"/>
          <w:sz w:val="24"/>
          <w:szCs w:val="24"/>
          <w:highlight w:val="none"/>
          <w:lang w:val="en-US" w:eastAsia="zh-CN"/>
        </w:rPr>
        <w:br w:type="textWrapping" w:clear="all"/>
      </w:r>
      <w:r>
        <w:rPr>
          <w:rFonts w:hint="eastAsia" w:ascii="宋体" w:hAnsi="宋体" w:eastAsia="宋体" w:cs="宋体"/>
          <w:color w:val="000000"/>
          <w:sz w:val="24"/>
          <w:szCs w:val="24"/>
        </w:rPr>
        <w:t xml:space="preserve">    供应商在提供定制软件开发服务时，需满足以下对接要求：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供应商提供的系统能够根据采购人实际需求与医院各院区所有信息系统、集成平台做对接及集成（对接人：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联系电话：）：本项目系统软、硬件接口终身开放，无站点限制，可满足采购人所有终端客户使用，供应商需配合采购人增加软件工作站点、配合采购人接入新的硬件设备、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w:t>
      </w:r>
      <w:r>
        <w:rPr>
          <w:rFonts w:hint="eastAsia" w:ascii="宋体" w:hAnsi="宋体" w:cs="宋体"/>
          <w:color w:val="000000"/>
          <w:sz w:val="24"/>
          <w:szCs w:val="24"/>
          <w:lang w:eastAsia="zh-CN"/>
        </w:rPr>
        <w:t xml:space="preserve">部</w:t>
      </w:r>
      <w:r>
        <w:rPr>
          <w:rFonts w:hint="eastAsia" w:ascii="宋体" w:hAnsi="宋体" w:eastAsia="宋体" w:cs="宋体"/>
          <w:color w:val="000000"/>
          <w:sz w:val="24"/>
          <w:szCs w:val="24"/>
        </w:rPr>
        <w:t xml:space="preserve">署同一法人单位不同院区。</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（11）网络安全和数据安全要求，外包网络安全管理要求</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符合网络安全和密码应用要求，符合国家安全可靠应用政策规定。</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（12）系统培训要求</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负责对采购人相关人员（包括但不限于使用科室、项目主管科室等至少50人）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Times New Roman"/>
          <w:color w:val="000000"/>
          <w:sz w:val="24"/>
          <w:szCs w:val="24"/>
          <w:highlight w:val="none"/>
          <w:lang w:val="en-US" w:eastAsia="zh-CN"/>
        </w:rPr>
        <w:t xml:space="preserve">合同签订并数据</w:t>
      </w:r>
      <w:r>
        <w:rPr>
          <w:rFonts w:hint="eastAsia" w:ascii="宋体" w:hAnsi="宋体" w:eastAsia="宋体" w:cs="宋体"/>
          <w:color w:val="000000"/>
          <w:sz w:val="24"/>
          <w:szCs w:val="24"/>
        </w:rPr>
        <w:t xml:space="preserve">接口工作对接完备</w:t>
      </w:r>
      <w:r>
        <w:rPr>
          <w:rFonts w:hint="eastAsia" w:ascii="宋体" w:hAnsi="宋体" w:eastAsia="宋体" w:cs="Times New Roman"/>
          <w:color w:val="000000"/>
          <w:sz w:val="24"/>
          <w:szCs w:val="24"/>
          <w:highlight w:val="none"/>
          <w:lang w:val="en-US" w:eastAsia="zh-CN"/>
        </w:rPr>
        <w:t xml:space="preserve">后10个工作日内</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rPr>
          <w:rFonts w:hint="eastAsia"/>
          <w:highlight w:val="none"/>
        </w:rPr>
      </w:pPr>
      <w:r>
        <w:rPr>
          <w:rFonts w:hint="eastAsia"/>
          <w:highlight w:val="none"/>
        </w:rPr>
      </w:r>
      <w:r/>
    </w:p>
    <w:p>
      <w:pPr>
        <w:pStyle w:val="8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w:t>
      </w:r>
      <w:r>
        <w:rPr>
          <w:rFonts w:hint="eastAsia" w:ascii="宋体" w:hAnsi="宋体" w:eastAsia="宋体" w:cs="宋体"/>
          <w:color w:val="000000"/>
          <w:sz w:val="24"/>
          <w:szCs w:val="24"/>
          <w:highlight w:val="none"/>
          <w:lang w:eastAsia="zh-CN"/>
        </w:rPr>
        <w:t xml:space="preserve">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7"/>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w:t>
      </w:r>
      <w:r>
        <w:rPr>
          <w:rFonts w:hint="eastAsia" w:ascii="宋体" w:hAnsi="宋体" w:eastAsia="宋体" w:cs="宋体"/>
          <w:sz w:val="24"/>
          <w:szCs w:val="24"/>
          <w:highlight w:val="none"/>
        </w:rPr>
        <w:t xml:space="preserve">除，用扣除后的价格参与评审。</w:t>
      </w:r>
      <w:r>
        <w:rPr>
          <w:rFonts w:hint="eastAsia" w:ascii="宋体" w:hAnsi="宋体" w:eastAsia="宋体" w:cs="Times New Roman"/>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892"/>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ascii="宋体" w:hAnsi="宋体" w:eastAsia="宋体" w:cs="宋体"/>
                <w:b/>
                <w:bCs/>
                <w:spacing w:val="-3"/>
                <w:sz w:val="21"/>
                <w:szCs w:val="21"/>
                <w:highlight w:val="none"/>
              </w:rPr>
              <w:t xml:space="preserve">价</w:t>
            </w:r>
            <w:r>
              <w:rPr>
                <w:rFonts w:ascii="宋体" w:hAnsi="宋体" w:eastAsia="宋体" w:cs="宋体"/>
                <w:b/>
                <w:bCs/>
                <w:spacing w:val="-2"/>
                <w:sz w:val="21"/>
                <w:szCs w:val="21"/>
                <w:highlight w:val="none"/>
              </w:rPr>
              <w:t xml:space="preserve">格</w:t>
            </w:r>
            <w:r>
              <w:rPr>
                <w:rFonts w:ascii="宋体" w:hAnsi="宋体" w:eastAsia="宋体" w:cs="宋体"/>
                <w:sz w:val="21"/>
                <w:szCs w:val="21"/>
                <w:highlight w:val="none"/>
              </w:rPr>
            </w:r>
            <w:r/>
          </w:p>
        </w:tc>
      </w:tr>
      <w:tr>
        <w:trPr>
          <w:trHeight w:val="103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888"/>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产品技术</w:t>
            </w:r>
            <w:r>
              <w:rPr>
                <w:rFonts w:hint="eastAsia" w:ascii="Times New Roman" w:hAnsi="Times New Roman" w:eastAsia="宋体" w:cs="Times New Roman"/>
                <w:color w:val="000000"/>
                <w:sz w:val="21"/>
                <w:szCs w:val="21"/>
                <w:highlight w:val="none"/>
                <w:lang w:val="en-US" w:eastAsia="zh-CN"/>
              </w:rPr>
            </w:r>
            <w:r/>
          </w:p>
          <w:p>
            <w:pPr>
              <w:pStyle w:val="867"/>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w:t>
            </w:r>
            <w:r>
              <w:rPr>
                <w:rFonts w:hint="eastAsia" w:ascii="宋体" w:hAnsi="宋体" w:eastAsia="宋体" w:cs="宋体"/>
                <w:color w:val="000000"/>
                <w:sz w:val="21"/>
                <w:szCs w:val="21"/>
                <w:highlight w:val="none"/>
                <w:lang w:val="en-US" w:eastAsia="zh-CN"/>
              </w:rPr>
              <w:t xml:space="preserve">文件技术</w:t>
            </w:r>
            <w:r>
              <w:rPr>
                <w:rFonts w:ascii="宋体" w:hAnsi="宋体" w:eastAsia="宋体" w:cs="宋体"/>
                <w:color w:val="000000"/>
                <w:sz w:val="21"/>
                <w:szCs w:val="21"/>
                <w:highlight w:val="none"/>
                <w:lang w:val="en-US" w:eastAsia="zh-CN"/>
              </w:rPr>
              <w:t xml:space="preserve">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有1项负偏离扣3分，其余指标有1项负偏离扣0.2分。</w:t>
            </w:r>
            <w:r>
              <w:rPr>
                <w:color w:val="000000"/>
                <w:sz w:val="21"/>
                <w:szCs w:val="21"/>
                <w:highlight w:val="none"/>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实施方案</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85"/>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zh-CN"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 1.系统建设标准；2.系统架构设计</w:t>
            </w:r>
            <w:r>
              <w:rPr>
                <w:rFonts w:hint="eastAsia"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3.用户界面和应用功能设计</w:t>
            </w:r>
            <w:r>
              <w:rPr>
                <w:rFonts w:hint="eastAsia"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4.系统部署和安全防护设计；5.业务需求分析</w:t>
            </w:r>
            <w:r>
              <w:rPr>
                <w:rFonts w:hint="eastAsia"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6.建设目标分析</w:t>
            </w:r>
            <w:r>
              <w:rPr>
                <w:rFonts w:hint="eastAsia"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7.建设依据、必要性分析。</w:t>
            </w:r>
            <w:r>
              <w:rPr>
                <w:rFonts w:hint="eastAsia" w:ascii="宋体" w:hAnsi="宋体" w:eastAsia="宋体" w:cs="宋体"/>
                <w:color w:val="000000"/>
                <w:sz w:val="21"/>
                <w:szCs w:val="21"/>
                <w:highlight w:val="none"/>
                <w:lang w:val="en-US" w:eastAsia="zh-CN" w:bidi="ar-SA"/>
              </w:rPr>
            </w:r>
            <w:r/>
          </w:p>
          <w:p>
            <w:pPr>
              <w:pStyle w:val="885"/>
              <w:numPr>
                <w:ilvl w:val="0"/>
                <w:numId w:val="0"/>
              </w:numPr>
              <w:rPr>
                <w:rFonts w:hint="eastAsia"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方</w:t>
            </w:r>
            <w:r>
              <w:rPr>
                <w:rFonts w:hint="eastAsia" w:ascii="宋体" w:hAnsi="宋体" w:eastAsia="宋体" w:cs="宋体"/>
                <w:color w:val="000000"/>
                <w:sz w:val="21"/>
                <w:szCs w:val="21"/>
                <w:highlight w:val="none"/>
                <w:lang w:val="zh-CN" w:eastAsia="zh-CN" w:bidi="ar-SA"/>
              </w:rPr>
              <w:t xml:space="preserve">案内容完整详细，且专门针对本项目，契合采购需求视为符合；方案内容属于通用类，非专门针对本项目，部分契合采购需求视为部分符合；方案内容非专门针对本项目，脱离采购需求视为不符合。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zh-CN" w:eastAsia="zh-CN" w:bidi="ar-SA"/>
              </w:rPr>
            </w:r>
            <w:r/>
          </w:p>
          <w:p>
            <w:pPr>
              <w:pStyle w:val="867"/>
              <w:jc w:val="left"/>
              <w:keepLines w:val="0"/>
              <w:keepNext w:val="0"/>
              <w:pageBreakBefore w:val="0"/>
              <w:spacing w:line="264" w:lineRule="auto"/>
              <w:widowControl w:val="off"/>
              <w:rPr>
                <w:color w:val="000000"/>
                <w:sz w:val="21"/>
                <w:szCs w:val="21"/>
                <w:highlight w:val="none"/>
                <w:lang w:val="en-US" w:eastAsia="zh-CN"/>
              </w:rPr>
            </w:pPr>
            <w:r>
              <w:rPr>
                <w:rFonts w:hint="eastAsia" w:ascii="宋体" w:hAnsi="宋体" w:eastAsia="宋体" w:cs="宋体"/>
                <w:color w:val="000000"/>
                <w:sz w:val="21"/>
                <w:szCs w:val="21"/>
                <w:highlight w:val="none"/>
                <w:lang w:val="zh-CN"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zh-CN" w:eastAsia="zh-CN" w:bidi="ar-SA"/>
              </w:rPr>
              <w:t xml:space="preserve">分；不符合或不提供不得</w:t>
            </w:r>
            <w:r>
              <w:rPr>
                <w:rFonts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color w:val="000000"/>
                <w:sz w:val="21"/>
                <w:szCs w:val="21"/>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培训方案</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根据本项目采购需求及相关要求编制方案，内容包括：1.培训计划；2.培训内容及课程安排；3.培训组织与服务保障；4.培训效果及考核；5.培训人员安排；6.培训资料交付。以上每项内容逐项评分：</w:t>
            </w:r>
            <w:r>
              <w:rPr>
                <w:rFonts w:hint="eastAsia" w:ascii="宋体" w:hAnsi="宋体" w:eastAsia="宋体" w:cs="宋体"/>
                <w:color w:val="000000"/>
                <w:sz w:val="21"/>
                <w:szCs w:val="21"/>
                <w:highlight w:val="none"/>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上述每项内容符合得1分；部分符合得0.5分；不符合或不提供不得分。</w:t>
            </w:r>
            <w:r>
              <w:rPr>
                <w:rFonts w:ascii="宋体" w:hAnsi="宋体" w:eastAsia="宋体" w:cs="宋体"/>
                <w:color w:val="000000"/>
                <w:sz w:val="21"/>
                <w:szCs w:val="21"/>
                <w:highlight w:val="none"/>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7"/>
              <w:ind w:firstLine="21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病理AI</w:t>
            </w:r>
            <w:r>
              <w:rPr>
                <w:rFonts w:hint="eastAsia" w:ascii="宋体" w:hAnsi="宋体" w:eastAsia="宋体" w:cs="宋体"/>
                <w:color w:val="000000"/>
                <w:sz w:val="21"/>
                <w:szCs w:val="21"/>
                <w:highlight w:val="none"/>
                <w:lang w:val="en-US" w:eastAsia="zh-CN"/>
              </w:rPr>
            </w:r>
            <w:r/>
          </w:p>
          <w:p>
            <w:pPr>
              <w:pStyle w:val="867"/>
              <w:ind w:firstLine="21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服务能力</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投标人所提供的病理AI辅助分析系统模块获得过市级或以上荣誉，得6分。（须提供相关证书或有效证明文件复印件</w:t>
            </w:r>
            <w:r>
              <w:rPr>
                <w:rFonts w:hint="eastAsia" w:ascii="宋体" w:hAnsi="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lang w:val="en-US" w:eastAsia="zh-CN"/>
              </w:rPr>
              <w:t xml:space="preserve">加盖投标人公章。）</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cs="宋体"/>
                <w:color w:val="000000"/>
                <w:sz w:val="21"/>
                <w:szCs w:val="21"/>
                <w:highlight w:val="none"/>
                <w:lang w:val="en-US" w:eastAsia="zh-CN"/>
              </w:rPr>
              <w:t xml:space="preserve">所</w:t>
            </w:r>
            <w:r>
              <w:rPr>
                <w:rFonts w:hint="eastAsia" w:ascii="宋体" w:hAnsi="宋体" w:eastAsia="宋体" w:cs="宋体"/>
                <w:color w:val="000000"/>
                <w:sz w:val="21"/>
                <w:szCs w:val="21"/>
                <w:highlight w:val="none"/>
                <w:lang w:val="en-US" w:eastAsia="zh-CN"/>
              </w:rPr>
              <w:t xml:space="preserve">提供</w:t>
            </w:r>
            <w:r>
              <w:rPr>
                <w:rFonts w:hint="eastAsia" w:ascii="宋体" w:hAnsi="宋体" w:cs="宋体"/>
                <w:color w:val="000000"/>
                <w:sz w:val="21"/>
                <w:szCs w:val="21"/>
                <w:highlight w:val="none"/>
                <w:lang w:val="en-US" w:eastAsia="zh-CN"/>
              </w:rPr>
              <w:t xml:space="preserve">的产品具有</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日（含）以来类似项目业绩</w:t>
            </w:r>
            <w:r>
              <w:rPr>
                <w:rFonts w:hint="eastAsia" w:ascii="宋体" w:hAnsi="宋体" w:eastAsia="宋体" w:cs="宋体"/>
                <w:color w:val="000000"/>
                <w:sz w:val="21"/>
                <w:szCs w:val="21"/>
                <w:highlight w:val="none"/>
                <w:lang w:val="en-US" w:eastAsia="zh-CN"/>
              </w:rPr>
              <w:t xml:space="preserve">（国内医院数智化病理整体服务</w:t>
            </w:r>
            <w:r>
              <w:rPr>
                <w:rFonts w:hint="eastAsia" w:ascii="宋体" w:hAnsi="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en-US" w:eastAsia="zh-CN"/>
              </w:rPr>
              <w:t xml:space="preserve">数智化病理</w:t>
            </w:r>
            <w:r>
              <w:rPr>
                <w:rFonts w:hint="eastAsia" w:ascii="宋体" w:hAnsi="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en-US" w:eastAsia="zh-CN"/>
              </w:rPr>
              <w:t xml:space="preserve">病理AI辅助诊断</w:t>
            </w:r>
            <w:r>
              <w:rPr>
                <w:rFonts w:hint="eastAsia" w:ascii="宋体" w:hAnsi="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en-US" w:eastAsia="zh-CN"/>
              </w:rPr>
              <w:t xml:space="preserve">数字切片扫描相关服务）</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，本项最高得6分。</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履约能力1</w:t>
            </w:r>
            <w:r>
              <w:rPr>
                <w:rFonts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color w:val="000000"/>
                <w:sz w:val="21"/>
                <w:szCs w:val="21"/>
                <w:highlight w:val="none"/>
                <w:lang w:val="en-US" w:eastAsia="zh-CN"/>
              </w:rPr>
            </w:pPr>
            <w:r>
              <w:rPr>
                <w:color w:val="000000"/>
                <w:sz w:val="21"/>
                <w:szCs w:val="21"/>
                <w:highlight w:val="none"/>
                <w:lang w:val="en-US" w:eastAsia="zh-CN"/>
              </w:rPr>
              <w:t xml:space="preserve">投标人所提供的产品具有病理大数据及相关研究及应用项目获得国家工信部或卫健委或经信委立项支持的，得4分；省级工信局或卫健委或经信委立项支持的，得2分；市级工信局或卫健委或经信委立项支持的，得1分。（本项最高得分4分，须提供相关证书或有效证明文件复印件</w:t>
            </w:r>
            <w:r>
              <w:rPr>
                <w:rFonts w:hint="eastAsia"/>
                <w:color w:val="000000"/>
                <w:sz w:val="21"/>
                <w:szCs w:val="21"/>
                <w:highlight w:val="none"/>
                <w:lang w:val="en-US" w:eastAsia="zh-CN"/>
              </w:rPr>
              <w:t xml:space="preserve">并</w:t>
            </w:r>
            <w:r>
              <w:rPr>
                <w:color w:val="000000"/>
                <w:sz w:val="21"/>
                <w:szCs w:val="21"/>
                <w:highlight w:val="none"/>
                <w:lang w:val="en-US" w:eastAsia="zh-CN"/>
              </w:rPr>
              <w:t xml:space="preserve">加盖投标人公章。）</w:t>
            </w:r>
            <w:r>
              <w:rPr>
                <w:color w:val="000000"/>
                <w:sz w:val="21"/>
                <w:szCs w:val="21"/>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履约能力2</w:t>
            </w:r>
            <w:r>
              <w:rPr>
                <w:rFonts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bookmarkStart w:id="60" w:name="OLE_LINK2"/>
            <w:r>
              <w:rPr>
                <w:rFonts w:hint="eastAsia" w:ascii="宋体" w:hAnsi="宋体" w:eastAsia="宋体" w:cs="宋体"/>
                <w:color w:val="000000"/>
                <w:sz w:val="21"/>
                <w:szCs w:val="21"/>
                <w:highlight w:val="none"/>
                <w:lang w:val="en-US" w:eastAsia="zh-CN" w:bidi="ar-SA"/>
              </w:rPr>
              <w:t xml:space="preserve">投标人</w:t>
            </w:r>
            <w:r>
              <w:rPr>
                <w:rFonts w:hint="eastAsia" w:ascii="宋体" w:hAnsi="宋体" w:cs="宋体"/>
                <w:color w:val="000000"/>
                <w:sz w:val="21"/>
                <w:szCs w:val="21"/>
                <w:highlight w:val="none"/>
                <w:lang w:val="en-US" w:eastAsia="zh-CN"/>
              </w:rPr>
              <w:t xml:space="preserve">所</w:t>
            </w:r>
            <w:r>
              <w:rPr>
                <w:rFonts w:hint="eastAsia" w:ascii="宋体" w:hAnsi="宋体" w:eastAsia="宋体" w:cs="宋体"/>
                <w:color w:val="000000"/>
                <w:sz w:val="21"/>
                <w:szCs w:val="21"/>
                <w:highlight w:val="none"/>
                <w:lang w:val="en-US" w:eastAsia="zh-CN"/>
              </w:rPr>
              <w:t xml:space="preserve">提供</w:t>
            </w:r>
            <w:r>
              <w:rPr>
                <w:rFonts w:hint="eastAsia" w:ascii="宋体" w:hAnsi="宋体" w:cs="宋体"/>
                <w:color w:val="000000"/>
                <w:sz w:val="21"/>
                <w:szCs w:val="21"/>
                <w:highlight w:val="none"/>
                <w:lang w:val="en-US" w:eastAsia="zh-CN"/>
              </w:rPr>
              <w:t xml:space="preserve">的产品</w:t>
            </w:r>
            <w:r>
              <w:rPr>
                <w:rFonts w:hint="eastAsia" w:ascii="宋体" w:hAnsi="宋体" w:eastAsia="宋体" w:cs="宋体"/>
                <w:color w:val="000000"/>
                <w:sz w:val="21"/>
                <w:szCs w:val="21"/>
                <w:highlight w:val="none"/>
                <w:lang w:val="en-US" w:eastAsia="zh-CN" w:bidi="ar-SA"/>
              </w:rPr>
              <w:t xml:space="preserve">具有“病理全流程管理系统”、“胃组织活检人工智能病理诊断平台”、“乳腺组织病理学人工智能辅助诊断系统”、“前列腺穿刺人工智能病理诊断平台”、“免疫组化数字阅片智能辅助诊断软件”、“细胞学多病种人工智能病理诊断平台”等相关软件著作权证书，每提供1个得1分；本项最高得分6分；（须提供相关证书/证明材料复印件</w:t>
            </w:r>
            <w:r>
              <w:rPr>
                <w:rFonts w:hint="eastAsia" w:ascii="宋体" w:hAnsi="宋体" w:cs="宋体"/>
                <w:color w:val="000000"/>
                <w:sz w:val="21"/>
                <w:szCs w:val="21"/>
                <w:highlight w:val="none"/>
                <w:lang w:val="en-US" w:eastAsia="zh-CN" w:bidi="ar-SA"/>
              </w:rPr>
              <w:t xml:space="preserve">并</w:t>
            </w:r>
            <w:r>
              <w:rPr>
                <w:rFonts w:hint="eastAsia" w:ascii="宋体" w:hAnsi="宋体" w:eastAsia="宋体" w:cs="宋体"/>
                <w:color w:val="000000"/>
                <w:sz w:val="21"/>
                <w:szCs w:val="21"/>
                <w:highlight w:val="none"/>
                <w:lang w:val="en-US" w:eastAsia="zh-CN" w:bidi="ar-SA"/>
              </w:rPr>
              <w:t xml:space="preserve">加盖投标人公章。）</w:t>
            </w:r>
            <w:bookmarkEnd w:id="60"/>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履约能力</w:t>
            </w:r>
            <w:r>
              <w:rPr>
                <w:rFonts w:hint="eastAsia" w:cs="Times New Roman"/>
                <w:color w:val="000000"/>
                <w:spacing w:val="0"/>
                <w:sz w:val="21"/>
                <w:szCs w:val="21"/>
                <w:highlight w:val="none"/>
                <w:lang w:val="en-US" w:eastAsia="zh-CN"/>
              </w:rPr>
              <w:t xml:space="preserve">3</w:t>
            </w:r>
            <w:r>
              <w:rPr>
                <w:rFonts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7"/>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承诺合作期间无条件负责扫描仪、一体机、</w:t>
            </w:r>
            <w:r>
              <w:rPr>
                <w:rFonts w:hint="eastAsia" w:ascii="宋体" w:hAnsi="宋体" w:cs="宋体"/>
                <w:color w:val="000000"/>
                <w:sz w:val="21"/>
                <w:szCs w:val="21"/>
                <w:highlight w:val="none"/>
                <w:lang w:val="en-US" w:eastAsia="zh-CN" w:bidi="ar-SA"/>
              </w:rPr>
              <w:t xml:space="preserve">电脑、</w:t>
            </w:r>
            <w:r>
              <w:rPr>
                <w:rFonts w:hint="eastAsia" w:ascii="宋体" w:hAnsi="宋体" w:eastAsia="宋体" w:cs="宋体"/>
                <w:color w:val="000000"/>
                <w:sz w:val="21"/>
                <w:szCs w:val="21"/>
                <w:highlight w:val="none"/>
                <w:lang w:val="en-US" w:eastAsia="zh-CN" w:bidi="ar-SA"/>
              </w:rPr>
              <w:t xml:space="preserve">所有软件的售后维护及迭代升级。（须提供加盖公章的承诺函，格式自拟。任一项未承诺扣1分）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sz w:val="21"/>
                <w:szCs w:val="21"/>
                <w:highlight w:val="none"/>
              </w:rPr>
            </w:pPr>
            <w:r>
              <w:rPr>
                <w:rFonts w:ascii="宋体" w:hAnsi="宋体" w:eastAsia="宋体" w:cs="宋体"/>
                <w:spacing w:val="-3"/>
                <w:sz w:val="21"/>
                <w:szCs w:val="21"/>
                <w:highlight w:val="none"/>
              </w:rPr>
              <w:t xml:space="preserve">合</w:t>
            </w:r>
            <w:r>
              <w:rPr>
                <w:rFonts w:ascii="宋体" w:hAnsi="宋体" w:eastAsia="宋体" w:cs="宋体"/>
                <w:spacing w:val="-2"/>
                <w:sz w:val="21"/>
                <w:szCs w:val="21"/>
                <w:highlight w:val="none"/>
              </w:rPr>
              <w:t xml:space="preserve">计</w:t>
            </w:r>
            <w:r>
              <w:rPr>
                <w:color w:val="ff0000"/>
                <w:sz w:val="21"/>
                <w:szCs w:val="21"/>
                <w:highlight w:val="none"/>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sz w:val="21"/>
                <w:szCs w:val="21"/>
                <w:highlight w:val="none"/>
              </w:rPr>
            </w:pPr>
            <w:r>
              <w:rPr>
                <w:rFonts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67"/>
        <w:keepLines w:val="0"/>
        <w:keepNext w:val="0"/>
        <w:pageBreakBefore w:val="0"/>
        <w:spacing w:line="264" w:lineRule="auto"/>
        <w:widowControl w:val="off"/>
        <w:rPr>
          <w:rFonts w:hint="eastAsia"/>
          <w:highlight w:val="none"/>
        </w:rPr>
      </w:pPr>
      <w:r>
        <w:rPr>
          <w:rFonts w:hint="eastAsia"/>
          <w:highlight w:val="none"/>
        </w:rPr>
      </w:r>
      <w:r/>
    </w:p>
    <w:p>
      <w:pPr>
        <w:pStyle w:val="867"/>
        <w:keepLines w:val="0"/>
        <w:keepNext w:val="0"/>
        <w:pageBreakBefore w:val="0"/>
        <w:spacing w:line="264" w:lineRule="auto"/>
        <w:widowControl w:val="off"/>
        <w:rPr>
          <w:rFonts w:hint="eastAsia"/>
          <w:highlight w:val="none"/>
        </w:rPr>
      </w:pPr>
      <w:r>
        <w:rPr>
          <w:rFonts w:hint="eastAsia"/>
          <w:highlight w:val="none"/>
        </w:rPr>
      </w:r>
      <w:r/>
    </w:p>
    <w:p>
      <w:pPr>
        <w:pStyle w:val="867"/>
        <w:keepLines w:val="0"/>
        <w:keepNext w:val="0"/>
        <w:pageBreakBefore w:val="0"/>
        <w:spacing w:line="264" w:lineRule="auto"/>
        <w:widowControl w:val="off"/>
        <w:rPr>
          <w:rFonts w:eastAsia="宋体"/>
          <w:highlight w:val="none"/>
          <w:lang w:val="en-US" w:eastAsia="zh-CN"/>
        </w:rPr>
      </w:pPr>
      <w:r>
        <w:rPr>
          <w:rFonts w:eastAsia="宋体"/>
          <w:highlight w:val="none"/>
          <w:lang w:val="en-US" w:eastAsia="zh-CN"/>
        </w:rPr>
      </w:r>
      <w:r/>
    </w:p>
    <w:p>
      <w:pPr>
        <w:pStyle w:val="884"/>
        <w:rPr>
          <w:rFonts w:hint="eastAsia"/>
          <w:highlight w:val="none"/>
        </w:rPr>
      </w:pPr>
      <w:r>
        <w:rPr>
          <w:rFonts w:hint="eastAsia"/>
          <w:highlight w:val="none"/>
        </w:rPr>
      </w:r>
      <w:r/>
    </w:p>
    <w:p>
      <w:pPr>
        <w:pStyle w:val="867"/>
        <w:rPr>
          <w:rFonts w:hint="eastAsia"/>
          <w:highlight w:val="none"/>
        </w:rPr>
      </w:pPr>
      <w:r>
        <w:rPr>
          <w:rFonts w:hint="eastAsia"/>
          <w:highlight w:val="none"/>
        </w:rPr>
      </w:r>
      <w:r/>
    </w:p>
    <w:p>
      <w:pPr>
        <w:pStyle w:val="884"/>
        <w:rPr>
          <w:rFonts w:hint="eastAsia"/>
          <w:highlight w:val="none"/>
        </w:rPr>
      </w:pPr>
      <w:r>
        <w:rPr>
          <w:rFonts w:hint="eastAsia"/>
          <w:highlight w:val="none"/>
        </w:rPr>
      </w:r>
      <w:r/>
    </w:p>
    <w:p>
      <w:pPr>
        <w:pStyle w:val="867"/>
        <w:rPr>
          <w:rFonts w:hint="eastAsia"/>
          <w:highlight w:val="none"/>
        </w:rPr>
      </w:pPr>
      <w:r>
        <w:rPr>
          <w:rFonts w:hint="eastAsia"/>
          <w:highlight w:val="none"/>
        </w:rPr>
      </w:r>
      <w:r/>
    </w:p>
    <w:p>
      <w:pPr>
        <w:pStyle w:val="884"/>
        <w:rPr>
          <w:rFonts w:hint="eastAsia"/>
          <w:highlight w:val="none"/>
        </w:rPr>
      </w:pPr>
      <w:r>
        <w:rPr>
          <w:rFonts w:hint="eastAsia"/>
          <w:highlight w:val="none"/>
        </w:rPr>
      </w:r>
      <w:r/>
    </w:p>
    <w:p>
      <w:pPr>
        <w:pStyle w:val="867"/>
        <w:rPr>
          <w:rFonts w:hint="eastAsia"/>
          <w:highlight w:val="none"/>
        </w:rPr>
      </w:pPr>
      <w:r>
        <w:rPr>
          <w:rFonts w:hint="eastAsia"/>
          <w:highlight w:val="none"/>
        </w:rPr>
      </w:r>
      <w:r/>
    </w:p>
    <w:p>
      <w:pPr>
        <w:pStyle w:val="884"/>
        <w:rPr>
          <w:rFonts w:hint="eastAsia"/>
          <w:highlight w:val="none"/>
        </w:rPr>
      </w:pPr>
      <w:r>
        <w:rPr>
          <w:rFonts w:hint="eastAsia"/>
          <w:highlight w:val="none"/>
        </w:rPr>
      </w:r>
      <w:r/>
    </w:p>
    <w:p>
      <w:pPr>
        <w:pStyle w:val="867"/>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7"/>
        <w:jc w:val="center"/>
        <w:rPr>
          <w:rFonts w:hint="eastAsia" w:ascii="宋体" w:hAnsi="宋体"/>
          <w:b/>
          <w:sz w:val="72"/>
          <w:highlight w:val="none"/>
        </w:rPr>
      </w:pPr>
      <w:r/>
      <w:bookmarkStart w:id="61" w:name="_Toc49090576"/>
      <w:r/>
      <w:bookmarkStart w:id="62" w:name="_Toc26554094"/>
      <w:r/>
      <w:bookmarkStart w:id="63" w:name="_Toc120614282"/>
      <w:r/>
      <w:bookmarkStart w:id="64" w:name="_Hlt26671244"/>
      <w:r/>
      <w:bookmarkEnd w:id="64"/>
      <w:r/>
      <w:bookmarkStart w:id="65" w:name="_Hlt26955039"/>
      <w:r/>
      <w:bookmarkEnd w:id="65"/>
      <w:r>
        <w:rPr>
          <w:rFonts w:hint="eastAsia" w:ascii="宋体" w:hAnsi="宋体"/>
          <w:b/>
          <w:sz w:val="72"/>
          <w:highlight w:val="none"/>
        </w:rPr>
      </w:r>
      <w:r/>
    </w:p>
    <w:p>
      <w:pPr>
        <w:pStyle w:val="867"/>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67"/>
        <w:jc w:val="center"/>
        <w:rPr>
          <w:rFonts w:hint="eastAsia" w:ascii="宋体" w:hAnsi="宋体"/>
          <w:b/>
          <w:sz w:val="72"/>
          <w:highlight w:val="none"/>
        </w:rPr>
      </w:pPr>
      <w:r>
        <w:rPr>
          <w:rFonts w:hint="eastAsia" w:ascii="宋体" w:hAnsi="宋体"/>
          <w:b/>
          <w:sz w:val="72"/>
          <w:highlight w:val="none"/>
        </w:rPr>
      </w:r>
      <w:r/>
    </w:p>
    <w:p>
      <w:pPr>
        <w:pStyle w:val="867"/>
        <w:jc w:val="center"/>
        <w:rPr>
          <w:rFonts w:hint="eastAsia" w:ascii="宋体" w:hAnsi="宋体"/>
          <w:b/>
          <w:sz w:val="72"/>
          <w:highlight w:val="none"/>
        </w:rPr>
      </w:pPr>
      <w:r>
        <w:rPr>
          <w:rFonts w:hint="eastAsia" w:ascii="宋体" w:hAnsi="宋体"/>
          <w:b/>
          <w:sz w:val="72"/>
          <w:highlight w:val="none"/>
        </w:rPr>
      </w:r>
      <w:r/>
    </w:p>
    <w:p>
      <w:pPr>
        <w:pStyle w:val="867"/>
        <w:jc w:val="center"/>
        <w:rPr>
          <w:rFonts w:hint="eastAsia" w:ascii="宋体" w:hAnsi="宋体"/>
          <w:b/>
          <w:sz w:val="36"/>
          <w:highlight w:val="none"/>
        </w:rPr>
      </w:pPr>
      <w:r>
        <w:rPr>
          <w:rFonts w:hint="eastAsia" w:ascii="宋体" w:hAnsi="宋体"/>
          <w:b/>
          <w:sz w:val="36"/>
          <w:highlight w:val="none"/>
        </w:rPr>
      </w:r>
      <w:r/>
    </w:p>
    <w:p>
      <w:pPr>
        <w:pStyle w:val="867"/>
        <w:jc w:val="center"/>
        <w:rPr>
          <w:rFonts w:hint="eastAsia" w:ascii="宋体" w:hAnsi="宋体"/>
          <w:b/>
          <w:sz w:val="36"/>
          <w:highlight w:val="none"/>
        </w:rPr>
      </w:pPr>
      <w:r>
        <w:rPr>
          <w:rFonts w:hint="eastAsia" w:ascii="宋体" w:hAnsi="宋体"/>
          <w:b/>
          <w:sz w:val="36"/>
          <w:highlight w:val="none"/>
        </w:rPr>
      </w:r>
      <w:r/>
    </w:p>
    <w:p>
      <w:pPr>
        <w:pStyle w:val="867"/>
        <w:jc w:val="center"/>
        <w:rPr>
          <w:rFonts w:hint="eastAsia" w:ascii="宋体" w:hAnsi="宋体"/>
          <w:b/>
          <w:sz w:val="36"/>
          <w:highlight w:val="none"/>
        </w:rPr>
      </w:pPr>
      <w:r>
        <w:rPr>
          <w:rFonts w:hint="eastAsia" w:ascii="宋体" w:hAnsi="宋体"/>
          <w:b/>
          <w:sz w:val="36"/>
          <w:highlight w:val="none"/>
        </w:rPr>
      </w:r>
      <w:r/>
    </w:p>
    <w:p>
      <w:pPr>
        <w:pStyle w:val="867"/>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67"/>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67"/>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67"/>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6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7"/>
        <w:spacing w:line="440" w:lineRule="exact"/>
        <w:rPr>
          <w:rFonts w:ascii="宋体" w:hAnsi="宋体"/>
          <w:highlight w:val="none"/>
        </w:rPr>
      </w:pPr>
      <w:r>
        <w:rPr>
          <w:rFonts w:ascii="宋体" w:hAnsi="宋体"/>
          <w:highlight w:val="none"/>
        </w:rPr>
      </w:r>
      <w:r/>
    </w:p>
    <w:p>
      <w:pPr>
        <w:pStyle w:val="867"/>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7"/>
        <w:ind w:firstLine="480"/>
        <w:spacing w:line="440" w:lineRule="exact"/>
        <w:rPr>
          <w:rFonts w:ascii="宋体" w:hAnsi="宋体"/>
          <w:sz w:val="24"/>
          <w:highlight w:val="none"/>
        </w:rPr>
      </w:pPr>
      <w:r>
        <w:rPr>
          <w:rFonts w:ascii="宋体" w:hAnsi="宋体"/>
          <w:sz w:val="24"/>
          <w:highlight w:val="none"/>
        </w:rPr>
      </w:r>
      <w:r/>
    </w:p>
    <w:p>
      <w:pPr>
        <w:pStyle w:val="867"/>
        <w:ind w:firstLine="480"/>
        <w:spacing w:line="440" w:lineRule="exact"/>
        <w:rPr>
          <w:rFonts w:ascii="宋体" w:hAnsi="宋体"/>
          <w:sz w:val="24"/>
          <w:highlight w:val="none"/>
        </w:rPr>
      </w:pPr>
      <w:r>
        <w:rPr>
          <w:rFonts w:ascii="宋体" w:hAnsi="宋体"/>
          <w:sz w:val="24"/>
          <w:highlight w:val="none"/>
        </w:rPr>
      </w:r>
      <w:r/>
    </w:p>
    <w:p>
      <w:pPr>
        <w:pStyle w:val="887"/>
        <w:rPr>
          <w:rFonts w:ascii="宋体" w:hAnsi="宋体"/>
          <w:sz w:val="24"/>
          <w:highlight w:val="none"/>
        </w:rPr>
      </w:pPr>
      <w:r>
        <w:rPr>
          <w:rFonts w:ascii="宋体" w:hAnsi="宋体"/>
          <w:sz w:val="24"/>
          <w:highlight w:val="none"/>
        </w:rPr>
      </w:r>
      <w:r/>
    </w:p>
    <w:p>
      <w:pPr>
        <w:pStyle w:val="887"/>
        <w:rPr>
          <w:rFonts w:ascii="宋体" w:hAnsi="宋体"/>
          <w:sz w:val="24"/>
          <w:highlight w:val="none"/>
        </w:rPr>
      </w:pPr>
      <w:r>
        <w:rPr>
          <w:rFonts w:ascii="宋体" w:hAnsi="宋体"/>
          <w:sz w:val="24"/>
          <w:highlight w:val="none"/>
        </w:rPr>
      </w:r>
      <w:r/>
    </w:p>
    <w:p>
      <w:pPr>
        <w:pStyle w:val="887"/>
        <w:rPr>
          <w:rFonts w:ascii="宋体" w:hAnsi="宋体"/>
          <w:sz w:val="24"/>
          <w:highlight w:val="none"/>
        </w:rPr>
      </w:pPr>
      <w:r>
        <w:rPr>
          <w:rFonts w:ascii="宋体" w:hAnsi="宋体"/>
          <w:sz w:val="24"/>
          <w:highlight w:val="none"/>
        </w:rPr>
      </w:r>
      <w:r/>
    </w:p>
    <w:p>
      <w:pPr>
        <w:pStyle w:val="887"/>
        <w:rPr>
          <w:rFonts w:ascii="宋体" w:hAnsi="宋体"/>
          <w:sz w:val="24"/>
          <w:highlight w:val="none"/>
        </w:rPr>
      </w:pPr>
      <w:r>
        <w:rPr>
          <w:rFonts w:ascii="宋体" w:hAnsi="宋体"/>
          <w:sz w:val="24"/>
          <w:highlight w:val="none"/>
        </w:rPr>
      </w:r>
      <w:r/>
    </w:p>
    <w:p>
      <w:pPr>
        <w:pStyle w:val="887"/>
        <w:rPr>
          <w:rFonts w:ascii="宋体" w:hAnsi="宋体"/>
          <w:sz w:val="24"/>
          <w:highlight w:val="none"/>
        </w:rPr>
      </w:pPr>
      <w:r>
        <w:rPr>
          <w:rFonts w:ascii="宋体" w:hAnsi="宋体"/>
          <w:sz w:val="24"/>
          <w:highlight w:val="none"/>
        </w:rPr>
      </w:r>
      <w:r/>
    </w:p>
    <w:p>
      <w:pPr>
        <w:pStyle w:val="867"/>
        <w:ind w:firstLine="480"/>
        <w:spacing w:line="440" w:lineRule="exact"/>
        <w:rPr>
          <w:rFonts w:ascii="宋体" w:hAnsi="宋体"/>
          <w:sz w:val="24"/>
          <w:highlight w:val="none"/>
        </w:rPr>
      </w:pPr>
      <w:r>
        <w:rPr>
          <w:rFonts w:ascii="宋体" w:hAnsi="宋体"/>
          <w:sz w:val="24"/>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bookmarkEnd w:id="61"/>
      <w:r/>
      <w:bookmarkEnd w:id="62"/>
      <w:r/>
      <w:bookmarkEnd w:id="63"/>
      <w:r/>
      <w:bookmarkStart w:id="66"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7"/>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7"/>
        <w:ind w:firstLine="492"/>
        <w:spacing w:line="460" w:lineRule="exact"/>
        <w:rPr>
          <w:color w:val="000000"/>
          <w:sz w:val="24"/>
          <w:szCs w:val="24"/>
          <w:highlight w:val="none"/>
        </w:rPr>
      </w:pPr>
      <w:r>
        <w:rPr>
          <w:color w:val="000000"/>
          <w:sz w:val="24"/>
          <w:szCs w:val="24"/>
          <w:highlight w:val="none"/>
        </w:rPr>
      </w:r>
      <w:r/>
    </w:p>
    <w:p>
      <w:pPr>
        <w:pStyle w:val="890"/>
        <w:rPr>
          <w:color w:val="000000"/>
          <w:sz w:val="24"/>
          <w:szCs w:val="24"/>
          <w:highlight w:val="none"/>
        </w:rPr>
      </w:pPr>
      <w:r>
        <w:rPr>
          <w:color w:val="000000"/>
          <w:sz w:val="24"/>
          <w:szCs w:val="24"/>
          <w:highlight w:val="none"/>
        </w:rPr>
      </w:r>
      <w:r/>
    </w:p>
    <w:p>
      <w:pPr>
        <w:pStyle w:val="867"/>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7"/>
        <w:rPr>
          <w:sz w:val="24"/>
          <w:szCs w:val="24"/>
          <w:highlight w:val="none"/>
        </w:rPr>
      </w:pPr>
      <w:r>
        <w:rPr>
          <w:sz w:val="24"/>
          <w:szCs w:val="24"/>
          <w:highlight w:val="none"/>
        </w:rPr>
      </w:r>
      <w:r/>
    </w:p>
    <w:p>
      <w:pPr>
        <w:pStyle w:val="867"/>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7"/>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89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89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89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89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89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89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89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89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89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76"/>
        <w:ind w:firstLine="0"/>
        <w:rPr>
          <w:rFonts w:hint="eastAsia"/>
          <w:highlight w:val="none"/>
        </w:rPr>
      </w:pPr>
      <w:r>
        <w:rPr>
          <w:rFonts w:hint="eastAsia"/>
          <w:highlight w:val="none"/>
        </w:rPr>
      </w:r>
      <w:r/>
    </w:p>
    <w:p>
      <w:pPr>
        <w:pStyle w:val="89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9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89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89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89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89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891"/>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67"/>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886"/>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88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8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88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88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88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88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88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我方将根据招标文件的规定，严格履行合同的责任和义务,并保证在招标文件规定的时间完成项目，交付贵方验收、使用。</w:t>
      </w:r>
      <w:r>
        <w:rPr>
          <w:rFonts w:hint="eastAsia" w:ascii="宋体" w:hAnsi="宋体"/>
          <w:szCs w:val="21"/>
          <w:highlight w:val="none"/>
        </w:rPr>
      </w:r>
      <w:r/>
    </w:p>
    <w:p>
      <w:pPr>
        <w:pStyle w:val="867"/>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7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8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88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88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88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88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88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88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7"/>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88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86"/>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67"/>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7"/>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7"/>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67"/>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67"/>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886"/>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7"/>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67"/>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7"/>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73"/>
        <w:rPr>
          <w:rFonts w:hint="eastAsia"/>
          <w:highlight w:val="none"/>
        </w:rPr>
      </w:pPr>
      <w:r>
        <w:rPr>
          <w:rFonts w:hint="eastAsia"/>
          <w:highlight w:val="none"/>
        </w:rPr>
      </w:r>
      <w:r/>
    </w:p>
    <w:p>
      <w:pPr>
        <w:pStyle w:val="867"/>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873"/>
        <w:rPr>
          <w:rFonts w:hint="eastAsia"/>
          <w:highlight w:val="none"/>
          <w:lang w:val="en-US" w:eastAsia="zh-CN"/>
        </w:rPr>
      </w:pPr>
      <w:r>
        <w:rPr>
          <w:rFonts w:hint="eastAsia"/>
          <w:highlight w:val="none"/>
          <w:lang w:val="en-US" w:eastAsia="zh-CN"/>
        </w:rPr>
      </w:r>
      <w:r/>
    </w:p>
    <w:p>
      <w:pPr>
        <w:pStyle w:val="88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7"/>
      <w:r>
        <w:rPr>
          <w:rFonts w:hint="eastAsia" w:ascii="宋体" w:hAnsi="宋体" w:eastAsia="宋体" w:cs="Times New Roman"/>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7"/>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67"/>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7"/>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67"/>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7"/>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67"/>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7"/>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67"/>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88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88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88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880"/>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88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highlight w:val="none"/>
              </w:rPr>
            </w:pPr>
            <w:r>
              <w:rPr>
                <w:highlight w:val="none"/>
              </w:rPr>
            </w:r>
            <w:r/>
          </w:p>
          <w:p>
            <w:pPr>
              <w:pStyle w:val="873"/>
              <w:rPr>
                <w:rFonts w:hint="eastAsia"/>
                <w:highlight w:val="none"/>
              </w:rPr>
            </w:pPr>
            <w:r>
              <w:rPr>
                <w:rFonts w:hint="eastAsia"/>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80"/>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880"/>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880"/>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880"/>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6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7"/>
              <w:jc w:val="center"/>
              <w:rPr>
                <w:rFonts w:hint="eastAsia" w:ascii="宋体" w:hAnsi="宋体"/>
                <w:color w:val="000000"/>
                <w:sz w:val="24"/>
                <w:szCs w:val="24"/>
                <w:highlight w:val="none"/>
              </w:rPr>
            </w:pPr>
            <w:r/>
            <w:bookmarkStart w:id="68" w:name="_Hlt24879081"/>
            <w:r/>
            <w:bookmarkEnd w:id="68"/>
            <w:r/>
            <w:bookmarkStart w:id="69" w:name="_Hlt26609391"/>
            <w:r/>
            <w:bookmarkEnd w:id="69"/>
            <w:r/>
            <w:bookmarkStart w:id="70" w:name="_Hlt26671343"/>
            <w:r/>
            <w:bookmarkEnd w:id="70"/>
            <w:r/>
            <w:bookmarkStart w:id="71" w:name="_Hlt26782999"/>
            <w:r/>
            <w:bookmarkEnd w:id="71"/>
            <w:r/>
            <w:bookmarkStart w:id="72" w:name="_Hlt26955056"/>
            <w:r/>
            <w:bookmarkEnd w:id="72"/>
            <w:r/>
            <w:bookmarkStart w:id="73" w:name="_Hlt26580838"/>
            <w:r/>
            <w:bookmarkEnd w:id="73"/>
            <w:r/>
            <w:bookmarkStart w:id="74" w:name="_Hlt26955064"/>
            <w:r/>
            <w:bookmarkEnd w:id="74"/>
            <w:r/>
            <w:bookmarkStart w:id="75" w:name="_Hlt26671372"/>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highlight w:val="none"/>
              </w:rPr>
            </w:pPr>
            <w:r>
              <w:rPr>
                <w:highlight w:val="none"/>
              </w:rPr>
            </w:r>
            <w:r/>
          </w:p>
          <w:p>
            <w:pPr>
              <w:pStyle w:val="873"/>
              <w:rPr>
                <w:rFonts w:hint="eastAsia"/>
                <w:highlight w:val="none"/>
              </w:rPr>
            </w:pPr>
            <w:r>
              <w:rPr>
                <w:rFonts w:hint="eastAsia"/>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7"/>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88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88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7"/>
        <w:rPr>
          <w:color w:val="000000"/>
          <w:highlight w:val="none"/>
        </w:rPr>
      </w:pPr>
      <w:r>
        <w:rPr>
          <w:color w:val="000000"/>
          <w:highlight w:val="none"/>
        </w:rPr>
      </w:r>
      <w:r/>
    </w:p>
    <w:p>
      <w:pPr>
        <w:pStyle w:val="86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8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p>
    <w:p>
      <w:pPr>
        <w:pStyle w:val="86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84"/>
        <w:rPr>
          <w:rFonts w:hint="eastAsia"/>
          <w:color w:val="000000"/>
          <w:highlight w:val="none"/>
        </w:rPr>
      </w:pPr>
      <w:r>
        <w:rPr>
          <w:rFonts w:hint="eastAsia"/>
          <w:color w:val="000000"/>
          <w:highlight w:val="none"/>
        </w:rPr>
      </w:r>
      <w:r/>
    </w:p>
    <w:p>
      <w:pPr>
        <w:pStyle w:val="86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7"/>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7"/>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884"/>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keepLines w:val="0"/>
        <w:keepNext w:val="0"/>
        <w:pageBreakBefore w:val="0"/>
        <w:spacing w:line="360" w:lineRule="auto"/>
        <w:rPr>
          <w:rFonts w:hint="eastAsia"/>
          <w:highlight w:val="none"/>
          <w:lang w:eastAsia="zh-CN"/>
        </w:rPr>
      </w:pPr>
      <w:r>
        <w:rPr>
          <w:rFonts w:hint="eastAsia"/>
          <w:highlight w:val="none"/>
          <w:lang w:eastAsia="zh-CN"/>
        </w:rPr>
      </w:r>
      <w:r/>
    </w:p>
    <w:p>
      <w:pPr>
        <w:pStyle w:val="86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67"/>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7"/>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7"/>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884"/>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7"/>
        <w:ind w:firstLine="480"/>
        <w:spacing w:line="480" w:lineRule="exact"/>
        <w:rPr>
          <w:rFonts w:ascii="宋体" w:hAnsi="宋体"/>
          <w:sz w:val="24"/>
          <w:highlight w:val="none"/>
        </w:rPr>
      </w:pPr>
      <w:r>
        <w:rPr>
          <w:rFonts w:ascii="宋体" w:hAnsi="宋体"/>
          <w:sz w:val="24"/>
          <w:highlight w:val="none"/>
        </w:rPr>
      </w:r>
      <w:r/>
    </w:p>
    <w:p>
      <w:pPr>
        <w:pStyle w:val="86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7"/>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7"/>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67"/>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67"/>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67"/>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7"/>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67"/>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67"/>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67"/>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7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67"/>
        <w:rPr>
          <w:rFonts w:hint="eastAsia"/>
          <w:highlight w:val="none"/>
        </w:rPr>
      </w:pPr>
      <w:r>
        <w:rPr>
          <w:rFonts w:hint="eastAsia"/>
          <w:highlight w:val="none"/>
        </w:rPr>
      </w:r>
      <w:r/>
    </w:p>
    <w:p>
      <w:pPr>
        <w:pStyle w:val="884"/>
        <w:rPr>
          <w:rFonts w:hint="eastAsia"/>
          <w:highlight w:val="none"/>
        </w:rPr>
      </w:pPr>
      <w:r>
        <w:rPr>
          <w:rFonts w:hint="eastAsia"/>
          <w:highlight w:val="none"/>
        </w:rPr>
      </w:r>
      <w:r/>
    </w:p>
    <w:p>
      <w:pPr>
        <w:pStyle w:val="867"/>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88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88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83"/>
          <w:rFonts w:hint="eastAsia"/>
          <w:i w:val="0"/>
          <w:highlight w:val="none"/>
          <w:u w:val="single"/>
          <w:shd w:val="clear" w:color="auto" w:fill="ffffff"/>
        </w:rPr>
        <w:t xml:space="preserve">（产品名称1）</w:t>
      </w:r>
      <w:r>
        <w:rPr>
          <w:rStyle w:val="883"/>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83"/>
          <w:rFonts w:hint="eastAsia"/>
          <w:i w:val="0"/>
          <w:highlight w:val="none"/>
          <w:u w:val="single"/>
          <w:shd w:val="clear" w:color="auto" w:fill="ffffff"/>
        </w:rPr>
        <w:t xml:space="preserve">（厂名）</w:t>
      </w:r>
      <w:r>
        <w:rPr>
          <w:rStyle w:val="883"/>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8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83"/>
          <w:rFonts w:hint="eastAsia"/>
          <w:i/>
          <w:strike w:val="0"/>
          <w:highlight w:val="none"/>
          <w:u w:val="single"/>
          <w:shd w:val="clear" w:color="auto" w:fill="ffffff"/>
        </w:rPr>
        <w:t xml:space="preserve">（规定比例）</w:t>
      </w:r>
      <w:r>
        <w:rPr>
          <w:rStyle w:val="883"/>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8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3"/>
          <w:rFonts w:hint="eastAsia"/>
          <w:i/>
          <w:strike w:val="0"/>
          <w:highlight w:val="none"/>
          <w:u w:val="single"/>
          <w:shd w:val="clear" w:color="auto" w:fill="ffffff"/>
        </w:rPr>
        <w:t xml:space="preserve">（关键组件）</w:t>
      </w:r>
      <w:r>
        <w:rPr>
          <w:rStyle w:val="883"/>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8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3"/>
          <w:rFonts w:hint="eastAsia"/>
          <w:i/>
          <w:strike w:val="0"/>
          <w:highlight w:val="none"/>
          <w:u w:val="single"/>
          <w:shd w:val="clear" w:color="auto" w:fill="ffffff"/>
        </w:rPr>
        <w:t xml:space="preserve">（关键工序）</w:t>
      </w:r>
      <w:r>
        <w:rPr>
          <w:rStyle w:val="883"/>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880"/>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83"/>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83"/>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8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83"/>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8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3"/>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8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3"/>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880"/>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88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880"/>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880"/>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880"/>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88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88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880"/>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88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88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67"/>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67"/>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67"/>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8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bl>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67"/>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67"/>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67"/>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67"/>
        <w:numPr>
          <w:ilvl w:val="0"/>
          <w:numId w:val="3"/>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67"/>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rPr>
          <w:rFonts w:hint="eastAsia" w:ascii="宋体" w:hAnsi="宋体"/>
          <w:sz w:val="24"/>
          <w:szCs w:val="24"/>
          <w:highlight w:val="none"/>
        </w:rPr>
      </w:pPr>
      <w:r>
        <w:rPr>
          <w:rFonts w:hint="eastAsia" w:ascii="宋体" w:hAnsi="宋体"/>
          <w:sz w:val="24"/>
          <w:szCs w:val="24"/>
          <w:highlight w:val="none"/>
        </w:rPr>
      </w:r>
      <w:r/>
    </w:p>
    <w:p>
      <w:pPr>
        <w:pStyle w:val="867"/>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7"/>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7"/>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7"/>
        <w:rPr>
          <w:highlight w:val="none"/>
        </w:rPr>
      </w:pPr>
      <w:r>
        <w:rPr>
          <w:highlight w:val="none"/>
        </w:rPr>
      </w:r>
      <w:r/>
    </w:p>
    <w:p>
      <w:pPr>
        <w:pStyle w:val="867"/>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rPr>
        <w:rStyle w:val="882"/>
        <w:rFonts w:ascii="宋体" w:hAnsi="宋体"/>
      </w:rPr>
      <w:framePr w:wrap="around" w:vAnchor="text" w:hAnchor="margin" w:xAlign="center" w:y="1"/>
    </w:pPr>
    <w:r>
      <w:rPr>
        <w:rFonts w:ascii="宋体" w:hAnsi="宋体"/>
      </w:rPr>
      <w:fldChar w:fldCharType="begin"/>
    </w:r>
    <w:r>
      <w:rPr>
        <w:rStyle w:val="882"/>
        <w:rFonts w:ascii="宋体" w:hAnsi="宋体"/>
      </w:rPr>
      <w:instrText xml:space="preserve">PAGE  </w:instrText>
    </w:r>
    <w:r>
      <w:rPr>
        <w:rFonts w:ascii="宋体" w:hAnsi="宋体"/>
      </w:rPr>
      <w:fldChar w:fldCharType="separate"/>
    </w:r>
    <w:r>
      <w:rPr>
        <w:rStyle w:val="882"/>
        <w:rFonts w:ascii="宋体" w:hAnsi="宋体"/>
      </w:rPr>
      <w:t xml:space="preserve">３５</w:t>
    </w:r>
    <w:r>
      <w:rPr>
        <w:rFonts w:ascii="宋体" w:hAnsi="宋体"/>
      </w:rPr>
      <w:fldChar w:fldCharType="end"/>
    </w:r>
    <w:r>
      <w:rPr>
        <w:rStyle w:val="882"/>
        <w:rFonts w:ascii="宋体" w:hAnsi="宋体"/>
      </w:rPr>
    </w:r>
    <w:r/>
  </w:p>
  <w:p>
    <w:pPr>
      <w:pStyle w:val="87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rPr>
        <w:rStyle w:val="882"/>
      </w:rPr>
    </w:r>
    <w:r/>
  </w:p>
  <w:p>
    <w:pPr>
      <w:pStyle w:val="8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9"/>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3"/>
    <w:link w:val="867"/>
    <w:qFormat/>
    <w:pPr>
      <w:jc w:val="both"/>
      <w:widowControl w:val="off"/>
    </w:pPr>
    <w:rPr>
      <w:rFonts w:ascii="Times New Roman" w:hAnsi="Times New Roman" w:eastAsia="宋体" w:cs="Times New Roman"/>
      <w:sz w:val="21"/>
      <w:szCs w:val="21"/>
      <w:lang w:val="en-US" w:eastAsia="zh-CN" w:bidi="ar-SA"/>
    </w:rPr>
  </w:style>
  <w:style w:type="paragraph" w:styleId="868">
    <w:name w:val="标题 3"/>
    <w:basedOn w:val="867"/>
    <w:next w:val="876"/>
    <w:link w:val="867"/>
    <w:qFormat/>
    <w:pPr>
      <w:keepLines/>
      <w:keepNext/>
      <w:spacing w:before="260" w:after="260" w:line="416" w:lineRule="auto"/>
      <w:outlineLvl w:val="2"/>
    </w:pPr>
    <w:rPr>
      <w:b/>
      <w:bCs/>
      <w:sz w:val="32"/>
      <w:szCs w:val="32"/>
    </w:rPr>
  </w:style>
  <w:style w:type="paragraph" w:styleId="869">
    <w:name w:val="标题 4"/>
    <w:basedOn w:val="867"/>
    <w:next w:val="876"/>
    <w:link w:val="867"/>
    <w:qFormat/>
    <w:pPr>
      <w:keepLines/>
      <w:keepNext/>
      <w:spacing w:before="280" w:after="290" w:line="376" w:lineRule="auto"/>
      <w:outlineLvl w:val="3"/>
    </w:pPr>
    <w:rPr>
      <w:rFonts w:ascii="Arial" w:hAnsi="Arial" w:eastAsia="黑体" w:cs="Arial"/>
      <w:b/>
      <w:bCs/>
      <w:sz w:val="28"/>
      <w:szCs w:val="28"/>
    </w:rPr>
  </w:style>
  <w:style w:type="paragraph" w:styleId="870">
    <w:name w:val="标题 5"/>
    <w:basedOn w:val="867"/>
    <w:next w:val="876"/>
    <w:link w:val="867"/>
    <w:qFormat/>
    <w:pPr>
      <w:keepNext/>
      <w:outlineLvl w:val="4"/>
    </w:pPr>
    <w:rPr>
      <w:rFonts w:ascii="宋体"/>
      <w:color w:val="000000"/>
      <w:sz w:val="28"/>
      <w:szCs w:val="28"/>
    </w:rPr>
  </w:style>
  <w:style w:type="character" w:styleId="871">
    <w:name w:val="默认段落字体"/>
    <w:next w:val="871"/>
    <w:link w:val="867"/>
    <w:semiHidden/>
  </w:style>
  <w:style w:type="table" w:styleId="872">
    <w:name w:val="普通表格"/>
    <w:next w:val="872"/>
    <w:link w:val="867"/>
    <w:semiHidden/>
    <w:tblPr/>
  </w:style>
  <w:style w:type="paragraph" w:styleId="873">
    <w:name w:val="正文首行缩进 2"/>
    <w:basedOn w:val="874"/>
    <w:next w:val="867"/>
    <w:link w:val="867"/>
    <w:pPr>
      <w:ind w:firstLine="420"/>
      <w:spacing w:line="360" w:lineRule="auto"/>
    </w:pPr>
    <w:rPr>
      <w:rFonts w:ascii="宋体" w:hAnsi="宋体" w:eastAsia="宋体"/>
      <w:sz w:val="21"/>
      <w:szCs w:val="20"/>
    </w:rPr>
  </w:style>
  <w:style w:type="paragraph" w:styleId="874">
    <w:name w:val="正文文本缩进"/>
    <w:basedOn w:val="867"/>
    <w:next w:val="875"/>
    <w:link w:val="867"/>
    <w:pPr>
      <w:ind w:firstLine="645"/>
    </w:pPr>
    <w:rPr>
      <w:rFonts w:ascii="楷体_GB2312" w:eastAsia="楷体_GB2312"/>
      <w:sz w:val="32"/>
      <w:szCs w:val="32"/>
    </w:rPr>
  </w:style>
  <w:style w:type="paragraph" w:styleId="875">
    <w:name w:val="寄信人地址"/>
    <w:basedOn w:val="867"/>
    <w:next w:val="875"/>
    <w:link w:val="867"/>
    <w:qFormat/>
    <w:rPr>
      <w:rFonts w:ascii="Arial" w:hAnsi="Arial" w:eastAsia="宋体" w:cs="宋体"/>
    </w:rPr>
  </w:style>
  <w:style w:type="paragraph" w:styleId="876">
    <w:name w:val="正文缩进"/>
    <w:basedOn w:val="867"/>
    <w:next w:val="876"/>
    <w:link w:val="867"/>
    <w:pPr>
      <w:ind w:firstLine="420"/>
    </w:pPr>
  </w:style>
  <w:style w:type="paragraph" w:styleId="877">
    <w:name w:val="纯文本"/>
    <w:basedOn w:val="867"/>
    <w:next w:val="877"/>
    <w:link w:val="867"/>
    <w:rPr>
      <w:rFonts w:ascii="宋体" w:hAnsi="Courier New" w:cs="Courier New"/>
    </w:rPr>
  </w:style>
  <w:style w:type="paragraph" w:styleId="878">
    <w:name w:val="页脚"/>
    <w:basedOn w:val="867"/>
    <w:next w:val="878"/>
    <w:link w:val="867"/>
    <w:pPr>
      <w:jc w:val="left"/>
      <w:tabs>
        <w:tab w:val="center" w:pos="4153" w:leader="none"/>
        <w:tab w:val="right" w:pos="8306" w:leader="none"/>
      </w:tabs>
    </w:pPr>
    <w:rPr>
      <w:sz w:val="18"/>
      <w:szCs w:val="18"/>
    </w:rPr>
  </w:style>
  <w:style w:type="paragraph" w:styleId="879">
    <w:name w:val="页眉"/>
    <w:basedOn w:val="867"/>
    <w:next w:val="879"/>
    <w:link w:val="867"/>
    <w:pPr>
      <w:jc w:val="center"/>
      <w:tabs>
        <w:tab w:val="center" w:pos="4153" w:leader="none"/>
        <w:tab w:val="right" w:pos="8306" w:leader="none"/>
      </w:tabs>
      <w:pBdr>
        <w:bottom w:val="single" w:color="000000" w:sz="6" w:space="1"/>
      </w:pBdr>
    </w:pPr>
    <w:rPr>
      <w:sz w:val="18"/>
      <w:szCs w:val="18"/>
    </w:rPr>
  </w:style>
  <w:style w:type="paragraph" w:styleId="880">
    <w:name w:val="普通(网站)"/>
    <w:basedOn w:val="867"/>
    <w:next w:val="880"/>
    <w:link w:val="867"/>
    <w:uiPriority w:val="99"/>
    <w:qFormat/>
    <w:pPr>
      <w:jc w:val="left"/>
      <w:spacing w:before="100" w:beforeAutospacing="1" w:after="100" w:afterAutospacing="1"/>
      <w:widowControl/>
    </w:pPr>
    <w:rPr>
      <w:rFonts w:ascii="宋体" w:hAnsi="宋体" w:cs="宋体"/>
      <w:sz w:val="24"/>
      <w:szCs w:val="24"/>
    </w:rPr>
  </w:style>
  <w:style w:type="table" w:styleId="881">
    <w:name w:val="网格型"/>
    <w:basedOn w:val="872"/>
    <w:next w:val="881"/>
    <w:link w:val="867"/>
    <w:pPr>
      <w:jc w:val="both"/>
      <w:widowControl w:val="off"/>
    </w:pPr>
    <w:rPr>
      <w:rFonts w:ascii="Times New Roman" w:hAnsi="Times New Roman" w:eastAsia="宋体" w:cs="Times New Roman"/>
      <w:sz w:val="20"/>
      <w:szCs w:val="20"/>
    </w:rPr>
    <w:tblPr/>
  </w:style>
  <w:style w:type="character" w:styleId="882">
    <w:name w:val="页码"/>
    <w:next w:val="882"/>
    <w:link w:val="867"/>
  </w:style>
  <w:style w:type="character" w:styleId="883">
    <w:name w:val="强调"/>
    <w:next w:val="883"/>
    <w:link w:val="867"/>
    <w:qFormat/>
    <w:rPr>
      <w:i/>
    </w:rPr>
  </w:style>
  <w:style w:type="paragraph" w:styleId="884">
    <w:name w:val="索引 41"/>
    <w:basedOn w:val="867"/>
    <w:next w:val="867"/>
    <w:link w:val="867"/>
    <w:semiHidden/>
    <w:qFormat/>
    <w:pPr>
      <w:ind w:left="1260"/>
    </w:pPr>
    <w:rPr>
      <w:rFonts w:ascii="Calibri" w:hAnsi="Calibri" w:eastAsia="Calibri" w:cs="宋体"/>
      <w:sz w:val="20"/>
      <w:lang w:val="zh-CN"/>
    </w:rPr>
  </w:style>
  <w:style w:type="paragraph" w:styleId="885">
    <w:name w:val="Table Paragraph"/>
    <w:basedOn w:val="867"/>
    <w:next w:val="885"/>
    <w:link w:val="867"/>
    <w:uiPriority w:val="1"/>
    <w:qFormat/>
    <w:pPr>
      <w:jc w:val="left"/>
    </w:pPr>
    <w:rPr>
      <w:rFonts w:ascii="宋体" w:hAnsi="宋体" w:eastAsia="宋体" w:cs="宋体"/>
      <w:sz w:val="22"/>
      <w:szCs w:val="22"/>
      <w:lang w:val="zh-CN" w:bidi="zh-CN"/>
    </w:rPr>
  </w:style>
  <w:style w:type="paragraph" w:styleId="886">
    <w:name w:val="普通正文"/>
    <w:basedOn w:val="867"/>
    <w:next w:val="886"/>
    <w:link w:val="867"/>
    <w:pPr>
      <w:ind w:firstLine="480"/>
      <w:jc w:val="left"/>
      <w:spacing w:before="120" w:after="120" w:line="360" w:lineRule="auto"/>
    </w:pPr>
    <w:rPr>
      <w:rFonts w:ascii="Arial" w:hAnsi="Arial"/>
      <w:sz w:val="24"/>
      <w:szCs w:val="24"/>
    </w:rPr>
  </w:style>
  <w:style w:type="paragraph" w:styleId="887">
    <w:name w:val="正文文本12"/>
    <w:basedOn w:val="867"/>
    <w:next w:val="887"/>
    <w:link w:val="867"/>
    <w:uiPriority w:val="1"/>
    <w:qFormat/>
    <w:pPr>
      <w:ind w:left="120"/>
    </w:pPr>
    <w:rPr>
      <w:rFonts w:ascii="宋体" w:hAnsi="宋体" w:eastAsia="宋体" w:cs="宋体"/>
      <w:sz w:val="21"/>
      <w:szCs w:val="21"/>
      <w:lang w:val="zh-CN" w:eastAsia="zh-CN" w:bidi="zh-CN"/>
    </w:rPr>
  </w:style>
  <w:style w:type="paragraph" w:styleId="888">
    <w:name w:val="正文1"/>
    <w:basedOn w:val="867"/>
    <w:next w:val="888"/>
    <w:link w:val="867"/>
    <w:qFormat/>
    <w:pPr>
      <w:ind w:left="350" w:firstLine="0"/>
    </w:pPr>
    <w:rPr>
      <w:rFonts w:cs="Times New Roman"/>
      <w:sz w:val="20"/>
      <w:szCs w:val="24"/>
    </w:rPr>
  </w:style>
  <w:style w:type="paragraph" w:styleId="889">
    <w:name w:val="纯文本1"/>
    <w:basedOn w:val="867"/>
    <w:next w:val="889"/>
    <w:link w:val="867"/>
    <w:qFormat/>
    <w:rPr>
      <w:rFonts w:ascii="宋体" w:hAnsi="Courier New" w:cs="Courier New"/>
    </w:rPr>
  </w:style>
  <w:style w:type="paragraph" w:styleId="890">
    <w:name w:val="正文文本 211"/>
    <w:basedOn w:val="867"/>
    <w:next w:val="890"/>
    <w:link w:val="867"/>
    <w:uiPriority w:val="99"/>
    <w:qFormat/>
    <w:pPr>
      <w:jc w:val="center"/>
    </w:pPr>
    <w:rPr>
      <w:b/>
      <w:bCs/>
      <w:sz w:val="20"/>
      <w:szCs w:val="20"/>
    </w:rPr>
  </w:style>
  <w:style w:type="paragraph" w:styleId="891">
    <w:name w:val="Char"/>
    <w:basedOn w:val="867"/>
    <w:next w:val="891"/>
    <w:link w:val="867"/>
    <w:pPr>
      <w:ind w:firstLine="200"/>
      <w:tabs>
        <w:tab w:val="left" w:pos="360" w:leader="none"/>
      </w:tabs>
    </w:pPr>
    <w:rPr>
      <w:sz w:val="28"/>
      <w:szCs w:val="30"/>
    </w:rPr>
  </w:style>
  <w:style w:type="table" w:styleId="892">
    <w:name w:val="Table Normal"/>
    <w:next w:val="892"/>
    <w:link w:val="867"/>
    <w:qFormat/>
    <w:tblPr/>
  </w:style>
  <w:style w:type="character" w:styleId="893" w:default="1">
    <w:name w:val="Default Paragraph Font"/>
    <w:uiPriority w:val="1"/>
    <w:semiHidden/>
    <w:unhideWhenUsed/>
  </w:style>
  <w:style w:type="numbering" w:styleId="894" w:default="1">
    <w:name w:val="No List"/>
    <w:uiPriority w:val="99"/>
    <w:semiHidden/>
    <w:unhideWhenUsed/>
  </w:style>
  <w:style w:type="table" w:styleId="8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郑海燕</cp:lastModifiedBy>
  <cp:revision>2</cp:revision>
  <dcterms:created xsi:type="dcterms:W3CDTF">2014-10-29T12:08:00Z</dcterms:created>
  <dcterms:modified xsi:type="dcterms:W3CDTF">2026-10-15T07:46:07Z</dcterms:modified>
</cp:coreProperties>
</file>