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eastAsia="宋体" w:cs="宋体"/>
          <w:b/>
          <w:sz w:val="72"/>
        </w:rPr>
      </w:pPr>
      <w:r>
        <w:rPr>
          <w:rFonts w:hint="eastAsia" w:ascii="宋体" w:hAnsi="宋体" w:eastAsia="宋体" w:cs="宋体"/>
          <w:b/>
          <w:sz w:val="72"/>
        </w:rPr>
      </w:r>
      <w:r/>
    </w:p>
    <w:p>
      <w:pPr>
        <w:ind w:left="0"/>
        <w:jc w:val="center"/>
        <w:rPr>
          <w:rFonts w:hint="eastAsia" w:ascii="宋体" w:hAnsi="宋体" w:eastAsia="宋体" w:cs="宋体"/>
          <w:b/>
          <w:sz w:val="108"/>
        </w:rPr>
      </w:pPr>
      <w:r>
        <w:rPr>
          <w:rFonts w:hint="eastAsia" w:ascii="宋体" w:hAnsi="宋体" w:eastAsia="宋体" w:cs="宋体"/>
          <w:b/>
          <w:sz w:val="108"/>
        </w:rPr>
        <w:t xml:space="preserve">苏州市政府采购</w:t>
      </w:r>
      <w:r/>
    </w:p>
    <w:p>
      <w:pPr>
        <w:ind w:left="0"/>
        <w:jc w:val="center"/>
        <w:rPr>
          <w:rFonts w:hint="eastAsia" w:ascii="宋体" w:hAnsi="宋体" w:eastAsia="宋体" w:cs="宋体"/>
          <w:b/>
          <w:sz w:val="108"/>
        </w:rPr>
      </w:pPr>
      <w:r>
        <w:rPr>
          <w:rFonts w:hint="eastAsia" w:ascii="宋体" w:hAnsi="宋体" w:eastAsia="宋体" w:cs="宋体"/>
          <w:b/>
          <w:sz w:val="108"/>
        </w:rPr>
        <w:t xml:space="preserve">招标文件</w:t>
      </w:r>
      <w:r/>
    </w:p>
    <w:p>
      <w:pPr>
        <w:ind w:left="0"/>
        <w:jc w:val="left"/>
        <w:spacing w:line="360" w:lineRule="auto"/>
        <w:rPr>
          <w:rFonts w:hint="eastAsia" w:ascii="宋体" w:hAnsi="宋体" w:eastAsia="宋体" w:cs="宋体"/>
        </w:rPr>
      </w:pPr>
      <w:r>
        <w:rPr>
          <w:rFonts w:hint="eastAsia" w:ascii="宋体" w:hAnsi="宋体" w:eastAsia="宋体" w:cs="宋体"/>
        </w:rPr>
      </w:r>
      <w:r/>
    </w:p>
    <w:p>
      <w:pPr>
        <w:ind w:left="0"/>
        <w:jc w:val="left"/>
        <w:spacing w:line="360" w:lineRule="auto"/>
        <w:rPr>
          <w:rFonts w:hint="eastAsia" w:ascii="宋体" w:hAnsi="宋体" w:eastAsia="宋体" w:cs="宋体"/>
        </w:rPr>
      </w:pPr>
      <w:r>
        <w:rPr>
          <w:rFonts w:hint="eastAsia" w:ascii="宋体" w:hAnsi="宋体" w:eastAsia="宋体" w:cs="宋体"/>
        </w:rPr>
      </w:r>
      <w:r/>
    </w:p>
    <w:p>
      <w:pPr>
        <w:ind w:left="0"/>
        <w:jc w:val="left"/>
        <w:spacing w:line="480" w:lineRule="auto"/>
        <w:rPr>
          <w:rFonts w:hint="eastAsia" w:ascii="宋体" w:hAnsi="宋体" w:eastAsia="宋体" w:cs="宋体"/>
          <w:b/>
          <w:sz w:val="32"/>
        </w:rPr>
      </w:pPr>
      <w:r>
        <w:rPr>
          <w:rFonts w:hint="eastAsia" w:ascii="宋体" w:hAnsi="宋体" w:eastAsia="宋体" w:cs="宋体"/>
          <w:b/>
          <w:sz w:val="32"/>
        </w:rPr>
      </w:r>
      <w:r/>
    </w:p>
    <w:p>
      <w:pPr>
        <w:ind w:left="1842"/>
        <w:jc w:val="left"/>
        <w:spacing w:line="480" w:lineRule="auto"/>
        <w:rPr>
          <w:rFonts w:hint="eastAsia" w:ascii="宋体" w:hAnsi="宋体" w:eastAsia="宋体" w:cs="宋体"/>
          <w:b/>
          <w:sz w:val="32"/>
          <w:lang w:eastAsia="zh-CN"/>
        </w:rPr>
      </w:pPr>
      <w:r>
        <w:rPr>
          <w:rFonts w:hint="eastAsia" w:ascii="宋体" w:hAnsi="宋体" w:eastAsia="宋体" w:cs="宋体"/>
          <w:b/>
          <w:sz w:val="32"/>
        </w:rPr>
        <w:t xml:space="preserve">项目编号：</w:t>
      </w:r>
      <w:r>
        <w:rPr>
          <w:rFonts w:hint="eastAsia" w:ascii="宋体" w:hAnsi="宋体" w:cs="宋体"/>
          <w:b/>
          <w:sz w:val="32"/>
          <w:lang w:eastAsia="zh-CN"/>
        </w:rPr>
        <w:t xml:space="preserve">JSZC-320500-CCCC-G2026-0024</w:t>
      </w:r>
      <w:r/>
    </w:p>
    <w:p>
      <w:pPr>
        <w:ind w:left="1842"/>
        <w:jc w:val="left"/>
        <w:spacing w:line="480" w:lineRule="auto"/>
        <w:rPr>
          <w:rFonts w:hint="eastAsia" w:ascii="宋体" w:hAnsi="宋体" w:eastAsia="宋体" w:cs="宋体"/>
          <w:b/>
          <w:sz w:val="32"/>
          <w:lang w:eastAsia="zh-CN"/>
        </w:rPr>
      </w:pPr>
      <w:r>
        <w:rPr>
          <w:rFonts w:hint="eastAsia" w:ascii="宋体" w:hAnsi="宋体" w:eastAsia="宋体" w:cs="宋体"/>
          <w:b/>
          <w:sz w:val="32"/>
        </w:rPr>
        <w:t xml:space="preserve">采购单位：</w:t>
      </w:r>
      <w:r>
        <w:rPr>
          <w:rFonts w:hint="eastAsia" w:ascii="宋体" w:hAnsi="宋体" w:eastAsia="宋体" w:cs="宋体"/>
          <w:b/>
          <w:sz w:val="32"/>
          <w:lang w:eastAsia="zh-CN"/>
        </w:rPr>
        <w:t xml:space="preserve">苏州市交通运输应急指挥中心</w:t>
      </w:r>
      <w:r/>
    </w:p>
    <w:p>
      <w:pPr>
        <w:ind w:left="1842"/>
        <w:jc w:val="left"/>
        <w:spacing w:line="480" w:lineRule="auto"/>
        <w:rPr>
          <w:rFonts w:hint="eastAsia" w:ascii="宋体" w:hAnsi="宋体" w:eastAsia="宋体" w:cs="宋体"/>
          <w:b/>
          <w:sz w:val="32"/>
        </w:rPr>
      </w:pPr>
      <w:r>
        <w:rPr>
          <w:rFonts w:hint="eastAsia" w:ascii="宋体" w:hAnsi="宋体" w:eastAsia="宋体" w:cs="宋体"/>
          <w:b/>
          <w:sz w:val="32"/>
        </w:rPr>
        <w:t xml:space="preserve">项目名称：</w:t>
      </w:r>
      <w:r>
        <w:rPr>
          <w:rFonts w:hint="eastAsia" w:ascii="宋体" w:hAnsi="宋体" w:eastAsia="宋体" w:cs="宋体"/>
          <w:b/>
          <w:sz w:val="32"/>
          <w:lang w:eastAsia="zh-CN"/>
        </w:rPr>
        <w:t xml:space="preserve">苏州市交通运输应急指挥中心指挥大厅运行监测坐席采购</w:t>
      </w:r>
      <w:r/>
    </w:p>
    <w:p>
      <w:pPr>
        <w:ind w:left="1842"/>
        <w:jc w:val="left"/>
        <w:spacing w:line="480" w:lineRule="auto"/>
        <w:tabs>
          <w:tab w:val="center" w:pos="6264" w:leader="none"/>
        </w:tabs>
        <w:rPr>
          <w:rFonts w:hint="eastAsia" w:ascii="宋体" w:hAnsi="宋体" w:eastAsia="宋体" w:cs="宋体"/>
          <w:b/>
          <w:spacing w:val="20"/>
          <w:sz w:val="32"/>
        </w:rPr>
      </w:pPr>
      <w:r>
        <w:rPr>
          <w:rFonts w:hint="eastAsia" w:ascii="宋体" w:hAnsi="宋体" w:eastAsia="宋体" w:cs="宋体"/>
          <w:b/>
          <w:sz w:val="32"/>
        </w:rPr>
        <w:t xml:space="preserve">项目类别：货物类</w:t>
      </w:r>
      <w:r/>
    </w:p>
    <w:p>
      <w:pPr>
        <w:ind w:left="0" w:firstLine="2695"/>
        <w:jc w:val="left"/>
        <w:rPr>
          <w:rFonts w:hint="eastAsia" w:ascii="宋体" w:hAnsi="宋体" w:eastAsia="宋体" w:cs="宋体"/>
          <w:b/>
          <w:sz w:val="32"/>
        </w:rPr>
      </w:pPr>
      <w:r>
        <w:rPr>
          <w:rFonts w:hint="eastAsia" w:ascii="宋体" w:hAnsi="宋体" w:eastAsia="宋体" w:cs="宋体"/>
          <w:b/>
          <w:sz w:val="32"/>
        </w:rPr>
      </w:r>
      <w:r/>
    </w:p>
    <w:p>
      <w:pPr>
        <w:ind w:left="0"/>
        <w:jc w:val="left"/>
        <w:rPr>
          <w:rFonts w:hint="eastAsia" w:ascii="宋体" w:hAnsi="宋体" w:eastAsia="宋体" w:cs="宋体"/>
          <w:b/>
          <w:sz w:val="32"/>
        </w:rPr>
      </w:pPr>
      <w:r>
        <w:rPr>
          <w:rFonts w:hint="eastAsia" w:ascii="宋体" w:hAnsi="宋体" w:eastAsia="宋体" w:cs="宋体"/>
          <w:b/>
          <w:sz w:val="32"/>
        </w:rPr>
      </w:r>
      <w:r/>
    </w:p>
    <w:p>
      <w:pPr>
        <w:ind w:left="0"/>
        <w:jc w:val="left"/>
        <w:rPr>
          <w:rFonts w:hint="eastAsia" w:ascii="宋体" w:hAnsi="宋体" w:eastAsia="宋体" w:cs="宋体"/>
          <w:b/>
          <w:sz w:val="32"/>
        </w:rPr>
      </w:pPr>
      <w:r>
        <w:rPr>
          <w:rFonts w:hint="eastAsia" w:ascii="宋体" w:hAnsi="宋体" w:eastAsia="宋体" w:cs="宋体"/>
          <w:b/>
          <w:sz w:val="32"/>
        </w:rPr>
      </w:r>
      <w:r/>
    </w:p>
    <w:p>
      <w:pPr>
        <w:ind w:left="0"/>
        <w:jc w:val="left"/>
        <w:rPr>
          <w:rFonts w:hint="eastAsia" w:ascii="宋体" w:hAnsi="宋体" w:eastAsia="宋体" w:cs="宋体"/>
          <w:b/>
          <w:sz w:val="32"/>
        </w:rPr>
      </w:pPr>
      <w:r>
        <w:rPr>
          <w:rFonts w:hint="eastAsia" w:ascii="宋体" w:hAnsi="宋体" w:eastAsia="宋体" w:cs="宋体"/>
          <w:b/>
          <w:sz w:val="32"/>
        </w:rPr>
      </w:r>
      <w:r/>
    </w:p>
    <w:p>
      <w:pPr>
        <w:pStyle w:val="864"/>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b/>
          <w:sz w:val="32"/>
        </w:rPr>
      </w:pPr>
      <w:r>
        <w:rPr>
          <w:rFonts w:hint="eastAsia" w:ascii="宋体" w:hAnsi="宋体" w:eastAsia="宋体" w:cs="宋体"/>
          <w:b/>
          <w:sz w:val="32"/>
        </w:rPr>
      </w:r>
      <w:r/>
    </w:p>
    <w:p>
      <w:pPr>
        <w:ind w:left="0" w:firstLine="1606"/>
        <w:jc w:val="left"/>
        <w:rPr>
          <w:rFonts w:hint="eastAsia" w:ascii="宋体" w:hAnsi="宋体" w:eastAsia="宋体" w:cs="宋体"/>
          <w:b/>
          <w:sz w:val="32"/>
        </w:rPr>
      </w:pPr>
      <w:r>
        <w:rPr>
          <w:rFonts w:hint="eastAsia" w:ascii="宋体" w:hAnsi="宋体" w:eastAsia="宋体" w:cs="宋体"/>
          <w:b/>
          <w:sz w:val="32"/>
        </w:rPr>
      </w:r>
      <w:r/>
    </w:p>
    <w:p>
      <w:pPr>
        <w:ind w:left="0"/>
        <w:jc w:val="center"/>
        <w:rPr>
          <w:rFonts w:hint="eastAsia" w:ascii="宋体" w:hAnsi="宋体" w:eastAsia="宋体" w:cs="宋体"/>
          <w:b/>
          <w:sz w:val="32"/>
          <w:lang w:eastAsia="zh-CN"/>
        </w:rPr>
      </w:pPr>
      <w:r>
        <w:rPr>
          <w:rFonts w:hint="eastAsia" w:ascii="宋体" w:hAnsi="宋体" w:eastAsia="宋体" w:cs="宋体"/>
          <w:b/>
          <w:sz w:val="32"/>
          <w:lang w:eastAsia="zh-CN"/>
        </w:rPr>
        <w:t xml:space="preserve">苏州市永诚建设咨询有限公司</w:t>
      </w:r>
      <w:r/>
    </w:p>
    <w:p>
      <w:pPr>
        <w:ind w:left="0"/>
        <w:jc w:val="center"/>
        <w:rPr>
          <w:rFonts w:hint="eastAsia" w:ascii="宋体" w:hAnsi="宋体" w:eastAsia="宋体" w:cs="宋体"/>
          <w:b/>
          <w:sz w:val="32"/>
        </w:rPr>
      </w:pPr>
      <w:r>
        <w:rPr>
          <w:rFonts w:hint="eastAsia" w:ascii="宋体" w:hAnsi="宋体" w:eastAsia="宋体" w:cs="宋体"/>
          <w:b/>
          <w:sz w:val="32"/>
        </w:rPr>
        <w:t xml:space="preserve">2026年</w:t>
      </w:r>
      <w:r>
        <w:rPr>
          <w:rFonts w:hint="eastAsia" w:ascii="宋体" w:hAnsi="宋体" w:eastAsia="宋体" w:cs="宋体"/>
          <w:b/>
          <w:sz w:val="32"/>
          <w:lang w:val="en-US" w:eastAsia="zh-CN"/>
        </w:rPr>
        <w:t xml:space="preserve">9</w:t>
      </w:r>
      <w:r>
        <w:rPr>
          <w:rFonts w:hint="eastAsia" w:ascii="宋体" w:hAnsi="宋体" w:eastAsia="宋体" w:cs="宋体"/>
          <w:b/>
          <w:sz w:val="32"/>
        </w:rPr>
        <w:t xml:space="preserve">月</w:t>
      </w:r>
      <w:r/>
    </w:p>
    <w:p>
      <w:pPr>
        <w:ind w:left="0"/>
        <w:jc w:val="center"/>
        <w:rPr>
          <w:rFonts w:hint="eastAsia" w:ascii="宋体" w:hAnsi="宋体" w:eastAsia="宋体" w:cs="宋体"/>
          <w:sz w:val="48"/>
        </w:rPr>
        <w:sectPr>
          <w:headerReference w:type="default" r:id="rId8"/>
          <w:headerReference w:type="first" r:id="rId9"/>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eastAsia="宋体" w:cs="宋体"/>
          <w:sz w:val="48"/>
        </w:rPr>
      </w:r>
      <w:r/>
    </w:p>
    <w:p>
      <w:pPr>
        <w:ind w:left="0"/>
        <w:jc w:val="center"/>
        <w:rPr>
          <w:rFonts w:hint="eastAsia" w:ascii="宋体" w:hAnsi="宋体" w:eastAsia="宋体" w:cs="宋体"/>
          <w:sz w:val="48"/>
        </w:rPr>
      </w:pPr>
      <w:r>
        <w:rPr>
          <w:rFonts w:hint="eastAsia" w:ascii="宋体" w:hAnsi="宋体" w:eastAsia="宋体" w:cs="宋体"/>
          <w:sz w:val="48"/>
        </w:rPr>
        <w:t xml:space="preserve">总目录</w:t>
      </w:r>
      <w:r/>
    </w:p>
    <w:p>
      <w:pPr>
        <w:pStyle w:val="871"/>
        <w:ind w:firstLine="0"/>
        <w:jc w:val="left"/>
        <w:spacing w:before="120" w:after="120"/>
        <w:tabs>
          <w:tab w:val="right" w:pos="9856" w:leader="dot"/>
        </w:tabs>
        <w:rPr>
          <w:rStyle w:val="907"/>
          <w:rFonts w:hint="eastAsia" w:ascii="宋体" w:hAnsi="宋体" w:eastAsia="宋体" w:cs="宋体"/>
          <w:bCs/>
          <w:caps/>
          <w:color w:val="auto"/>
          <w:sz w:val="32"/>
          <w:szCs w:val="32"/>
        </w:rPr>
        <w:outlineLvl w:val="9"/>
      </w:pPr>
      <w:r>
        <w:rPr>
          <w:rFonts w:hint="eastAsia" w:ascii="宋体" w:hAnsi="宋体" w:eastAsia="宋体" w:cs="宋体"/>
          <w:bCs/>
          <w:caps/>
          <w:color w:val="auto"/>
          <w:sz w:val="32"/>
          <w:szCs w:val="32"/>
        </w:rPr>
      </w:r>
      <w:r/>
    </w:p>
    <w:p>
      <w:pPr>
        <w:pStyle w:val="871"/>
        <w:ind w:firstLine="0"/>
        <w:jc w:val="left"/>
        <w:spacing w:before="120" w:after="120"/>
        <w:tabs>
          <w:tab w:val="right" w:pos="9854" w:leader="dot"/>
        </w:tabs>
        <w:rPr>
          <w:rStyle w:val="907"/>
          <w:rFonts w:hint="eastAsia" w:ascii="宋体" w:hAnsi="宋体" w:eastAsia="宋体" w:cs="宋体"/>
          <w:bCs/>
          <w:caps/>
          <w:color w:val="auto"/>
          <w:sz w:val="32"/>
          <w:szCs w:val="32"/>
        </w:rPr>
        <w:outlineLvl w:val="9"/>
      </w:pPr>
      <w:r>
        <w:rPr>
          <w:rStyle w:val="907"/>
          <w:rFonts w:hint="eastAsia" w:ascii="宋体" w:hAnsi="宋体" w:eastAsia="宋体" w:cs="宋体"/>
          <w:bCs/>
          <w:caps/>
          <w:color w:val="auto"/>
          <w:sz w:val="32"/>
        </w:rPr>
        <w:fldChar w:fldCharType="begin"/>
      </w:r>
      <w:r>
        <w:rPr>
          <w:rStyle w:val="907"/>
          <w:rFonts w:hint="eastAsia" w:ascii="宋体" w:hAnsi="宋体" w:eastAsia="宋体" w:cs="宋体"/>
          <w:bCs/>
          <w:caps/>
          <w:color w:val="auto"/>
          <w:sz w:val="32"/>
        </w:rPr>
        <w:instrText xml:space="preserve"> TOC \o "1-1" \h \z \u </w:instrText>
      </w:r>
      <w:r>
        <w:rPr>
          <w:rStyle w:val="907"/>
          <w:rFonts w:hint="eastAsia" w:ascii="宋体" w:hAnsi="宋体" w:eastAsia="宋体" w:cs="宋体"/>
          <w:bCs/>
          <w:caps/>
          <w:color w:val="auto"/>
          <w:sz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"_Toc105397776" \o "#_Toc105397776" </w:instrText>
      </w:r>
      <w:r>
        <w:rPr>
          <w:rFonts w:hint="eastAsia" w:ascii="宋体" w:hAnsi="宋体" w:eastAsia="宋体" w:cs="宋体"/>
        </w:rPr>
        <w:fldChar w:fldCharType="separate"/>
      </w:r>
      <w:r>
        <w:rPr>
          <w:rStyle w:val="907"/>
          <w:rFonts w:hint="eastAsia" w:ascii="宋体" w:hAnsi="宋体" w:eastAsia="宋体" w:cs="宋体"/>
          <w:bCs/>
          <w:caps/>
          <w:color w:val="auto"/>
          <w:sz w:val="32"/>
          <w:szCs w:val="32"/>
        </w:rPr>
        <w:t xml:space="preserve">第一章 投标邀请函</w:t>
      </w:r>
      <w:r>
        <w:rPr>
          <w:rStyle w:val="907"/>
          <w:rFonts w:hint="eastAsia" w:ascii="宋体" w:hAnsi="宋体" w:eastAsia="宋体" w:cs="宋体"/>
          <w:bCs/>
          <w:caps/>
          <w:color w:val="auto"/>
          <w:sz w:val="32"/>
          <w:szCs w:val="32"/>
        </w:rPr>
        <w:tab/>
      </w:r>
      <w:r>
        <w:rPr>
          <w:rStyle w:val="907"/>
          <w:rFonts w:hint="eastAsia" w:ascii="宋体" w:hAnsi="宋体" w:eastAsia="宋体" w:cs="宋体"/>
          <w:bCs/>
          <w:caps/>
          <w:color w:val="auto"/>
          <w:sz w:val="32"/>
          <w:szCs w:val="32"/>
        </w:rPr>
        <w:fldChar w:fldCharType="begin"/>
      </w:r>
      <w:r>
        <w:rPr>
          <w:rStyle w:val="907"/>
          <w:rFonts w:hint="eastAsia" w:ascii="宋体" w:hAnsi="宋体" w:eastAsia="宋体" w:cs="宋体"/>
          <w:bCs/>
          <w:caps/>
          <w:color w:val="auto"/>
          <w:sz w:val="32"/>
          <w:szCs w:val="32"/>
        </w:rPr>
        <w:instrText xml:space="preserve"> PAGEREF _Toc105397776 \h </w:instrText>
      </w:r>
      <w:r>
        <w:rPr>
          <w:rStyle w:val="907"/>
          <w:rFonts w:hint="eastAsia" w:ascii="宋体" w:hAnsi="宋体" w:eastAsia="宋体" w:cs="宋体"/>
          <w:bCs/>
          <w:caps/>
          <w:color w:val="auto"/>
          <w:sz w:val="32"/>
          <w:szCs w:val="32"/>
        </w:rPr>
        <w:fldChar w:fldCharType="separate"/>
      </w:r>
      <w:r>
        <w:rPr>
          <w:rStyle w:val="907"/>
          <w:rFonts w:hint="eastAsia" w:ascii="宋体" w:hAnsi="宋体" w:eastAsia="宋体" w:cs="宋体"/>
          <w:bCs/>
          <w:caps/>
          <w:color w:val="auto"/>
          <w:sz w:val="32"/>
          <w:szCs w:val="32"/>
        </w:rPr>
        <w:t xml:space="preserve">6</w:t>
      </w:r>
      <w:r>
        <w:rPr>
          <w:rStyle w:val="907"/>
          <w:rFonts w:hint="eastAsia" w:ascii="宋体" w:hAnsi="宋体" w:eastAsia="宋体" w:cs="宋体"/>
          <w:bCs/>
          <w:caps/>
          <w:color w:val="auto"/>
          <w:sz w:val="32"/>
          <w:szCs w:val="32"/>
        </w:rPr>
        <w:fldChar w:fldCharType="end"/>
      </w:r>
      <w:r>
        <w:rPr>
          <w:rStyle w:val="907"/>
          <w:rFonts w:hint="eastAsia" w:ascii="宋体" w:hAnsi="宋体" w:eastAsia="宋体" w:cs="宋体"/>
          <w:bCs/>
          <w:caps/>
          <w:color w:val="auto"/>
          <w:sz w:val="32"/>
          <w:szCs w:val="32"/>
        </w:rPr>
        <w:fldChar w:fldCharType="end"/>
      </w:r>
      <w:r/>
    </w:p>
    <w:p>
      <w:pPr>
        <w:pStyle w:val="871"/>
        <w:ind w:firstLine="0"/>
        <w:jc w:val="left"/>
        <w:spacing w:before="120" w:after="120"/>
        <w:tabs>
          <w:tab w:val="right" w:pos="9854" w:leader="dot"/>
        </w:tabs>
        <w:rPr>
          <w:rStyle w:val="907"/>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"_Toc105397777" \o "#_Toc105397777" </w:instrText>
      </w:r>
      <w:r>
        <w:rPr>
          <w:rFonts w:hint="eastAsia" w:ascii="宋体" w:hAnsi="宋体" w:eastAsia="宋体" w:cs="宋体"/>
        </w:rPr>
        <w:fldChar w:fldCharType="separate"/>
      </w:r>
      <w:r>
        <w:rPr>
          <w:rStyle w:val="907"/>
          <w:rFonts w:hint="eastAsia" w:ascii="宋体" w:hAnsi="宋体" w:eastAsia="宋体" w:cs="宋体"/>
          <w:bCs/>
          <w:caps/>
          <w:color w:val="auto"/>
          <w:sz w:val="32"/>
          <w:szCs w:val="32"/>
        </w:rPr>
        <w:t xml:space="preserve">第二章 投标人须知</w:t>
      </w:r>
      <w:r>
        <w:rPr>
          <w:rStyle w:val="907"/>
          <w:rFonts w:hint="eastAsia" w:ascii="宋体" w:hAnsi="宋体" w:eastAsia="宋体" w:cs="宋体"/>
          <w:bCs/>
          <w:caps/>
          <w:color w:val="auto"/>
          <w:sz w:val="32"/>
          <w:szCs w:val="32"/>
        </w:rPr>
        <w:tab/>
      </w:r>
      <w:r>
        <w:rPr>
          <w:rStyle w:val="907"/>
          <w:rFonts w:hint="eastAsia" w:ascii="宋体" w:hAnsi="宋体" w:eastAsia="宋体" w:cs="宋体"/>
          <w:bCs/>
          <w:caps/>
          <w:color w:val="auto"/>
          <w:sz w:val="32"/>
          <w:szCs w:val="32"/>
        </w:rPr>
        <w:fldChar w:fldCharType="begin"/>
      </w:r>
      <w:r>
        <w:rPr>
          <w:rStyle w:val="907"/>
          <w:rFonts w:hint="eastAsia" w:ascii="宋体" w:hAnsi="宋体" w:eastAsia="宋体" w:cs="宋体"/>
          <w:bCs/>
          <w:caps/>
          <w:color w:val="auto"/>
          <w:sz w:val="32"/>
          <w:szCs w:val="32"/>
        </w:rPr>
        <w:instrText xml:space="preserve"> PAGEREF _Toc105397777 \h </w:instrText>
      </w:r>
      <w:r>
        <w:rPr>
          <w:rStyle w:val="907"/>
          <w:rFonts w:hint="eastAsia" w:ascii="宋体" w:hAnsi="宋体" w:eastAsia="宋体" w:cs="宋体"/>
          <w:bCs/>
          <w:caps/>
          <w:color w:val="auto"/>
          <w:sz w:val="32"/>
          <w:szCs w:val="32"/>
        </w:rPr>
        <w:fldChar w:fldCharType="separate"/>
      </w:r>
      <w:r>
        <w:rPr>
          <w:rStyle w:val="907"/>
          <w:rFonts w:hint="eastAsia" w:ascii="宋体" w:hAnsi="宋体" w:eastAsia="宋体" w:cs="宋体"/>
          <w:bCs/>
          <w:caps/>
          <w:color w:val="auto"/>
          <w:sz w:val="32"/>
          <w:szCs w:val="32"/>
        </w:rPr>
        <w:t xml:space="preserve">9</w:t>
      </w:r>
      <w:r>
        <w:rPr>
          <w:rStyle w:val="907"/>
          <w:rFonts w:hint="eastAsia" w:ascii="宋体" w:hAnsi="宋体" w:eastAsia="宋体" w:cs="宋体"/>
          <w:bCs/>
          <w:caps/>
          <w:color w:val="auto"/>
          <w:sz w:val="32"/>
          <w:szCs w:val="32"/>
        </w:rPr>
        <w:fldChar w:fldCharType="end"/>
      </w:r>
      <w:r>
        <w:rPr>
          <w:rStyle w:val="907"/>
          <w:rFonts w:hint="eastAsia" w:ascii="宋体" w:hAnsi="宋体" w:eastAsia="宋体" w:cs="宋体"/>
          <w:bCs/>
          <w:caps/>
          <w:color w:val="auto"/>
          <w:sz w:val="32"/>
          <w:szCs w:val="32"/>
        </w:rPr>
        <w:fldChar w:fldCharType="end"/>
      </w:r>
      <w:r/>
    </w:p>
    <w:p>
      <w:pPr>
        <w:pStyle w:val="871"/>
        <w:ind w:firstLine="0"/>
        <w:jc w:val="left"/>
        <w:spacing w:before="120" w:after="120"/>
        <w:tabs>
          <w:tab w:val="right" w:pos="9854" w:leader="dot"/>
        </w:tabs>
        <w:rPr>
          <w:rStyle w:val="907"/>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"_Toc105397778" \o "#_Toc105397778" </w:instrText>
      </w:r>
      <w:r>
        <w:rPr>
          <w:rFonts w:hint="eastAsia" w:ascii="宋体" w:hAnsi="宋体" w:eastAsia="宋体" w:cs="宋体"/>
        </w:rPr>
        <w:fldChar w:fldCharType="separate"/>
      </w:r>
      <w:r>
        <w:rPr>
          <w:rStyle w:val="907"/>
          <w:rFonts w:hint="eastAsia" w:ascii="宋体" w:hAnsi="宋体" w:eastAsia="宋体" w:cs="宋体"/>
          <w:bCs/>
          <w:caps/>
          <w:color w:val="auto"/>
          <w:sz w:val="32"/>
          <w:szCs w:val="32"/>
        </w:rPr>
        <w:t xml:space="preserve">第三章 投标文件格式</w:t>
      </w:r>
      <w:r>
        <w:rPr>
          <w:rStyle w:val="907"/>
          <w:rFonts w:hint="eastAsia" w:ascii="宋体" w:hAnsi="宋体" w:eastAsia="宋体" w:cs="宋体"/>
          <w:bCs/>
          <w:caps/>
          <w:color w:val="auto"/>
          <w:sz w:val="32"/>
          <w:szCs w:val="32"/>
        </w:rPr>
        <w:tab/>
      </w:r>
      <w:r>
        <w:rPr>
          <w:rStyle w:val="907"/>
          <w:rFonts w:hint="eastAsia" w:ascii="宋体" w:hAnsi="宋体" w:eastAsia="宋体" w:cs="宋体"/>
          <w:bCs/>
          <w:caps/>
          <w:color w:val="auto"/>
          <w:sz w:val="32"/>
          <w:szCs w:val="32"/>
        </w:rPr>
        <w:fldChar w:fldCharType="begin"/>
      </w:r>
      <w:r>
        <w:rPr>
          <w:rStyle w:val="907"/>
          <w:rFonts w:hint="eastAsia" w:ascii="宋体" w:hAnsi="宋体" w:eastAsia="宋体" w:cs="宋体"/>
          <w:bCs/>
          <w:caps/>
          <w:color w:val="auto"/>
          <w:sz w:val="32"/>
          <w:szCs w:val="32"/>
        </w:rPr>
        <w:instrText xml:space="preserve"> PAGEREF _Toc105397778 \h </w:instrText>
      </w:r>
      <w:r>
        <w:rPr>
          <w:rStyle w:val="907"/>
          <w:rFonts w:hint="eastAsia" w:ascii="宋体" w:hAnsi="宋体" w:eastAsia="宋体" w:cs="宋体"/>
          <w:bCs/>
          <w:caps/>
          <w:color w:val="auto"/>
          <w:sz w:val="32"/>
          <w:szCs w:val="32"/>
        </w:rPr>
        <w:fldChar w:fldCharType="separate"/>
      </w:r>
      <w:r>
        <w:rPr>
          <w:rStyle w:val="907"/>
          <w:rFonts w:hint="eastAsia" w:ascii="宋体" w:hAnsi="宋体" w:eastAsia="宋体" w:cs="宋体"/>
          <w:bCs/>
          <w:caps/>
          <w:color w:val="auto"/>
          <w:sz w:val="32"/>
          <w:szCs w:val="32"/>
        </w:rPr>
        <w:t xml:space="preserve">21</w:t>
      </w:r>
      <w:r>
        <w:rPr>
          <w:rStyle w:val="907"/>
          <w:rFonts w:hint="eastAsia" w:ascii="宋体" w:hAnsi="宋体" w:eastAsia="宋体" w:cs="宋体"/>
          <w:bCs/>
          <w:caps/>
          <w:color w:val="auto"/>
          <w:sz w:val="32"/>
          <w:szCs w:val="32"/>
        </w:rPr>
        <w:fldChar w:fldCharType="end"/>
      </w:r>
      <w:r>
        <w:rPr>
          <w:rStyle w:val="907"/>
          <w:rFonts w:hint="eastAsia" w:ascii="宋体" w:hAnsi="宋体" w:eastAsia="宋体" w:cs="宋体"/>
          <w:bCs/>
          <w:caps/>
          <w:color w:val="auto"/>
          <w:sz w:val="32"/>
          <w:szCs w:val="32"/>
        </w:rPr>
        <w:fldChar w:fldCharType="end"/>
      </w:r>
      <w:r/>
    </w:p>
    <w:p>
      <w:pPr>
        <w:pStyle w:val="871"/>
        <w:ind w:firstLine="0"/>
        <w:jc w:val="left"/>
        <w:spacing w:before="120" w:after="120"/>
        <w:tabs>
          <w:tab w:val="right" w:pos="9854" w:leader="dot"/>
        </w:tabs>
        <w:rPr>
          <w:rStyle w:val="907"/>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"_Toc105397793" \o "#_Toc105397793" </w:instrText>
      </w:r>
      <w:r>
        <w:rPr>
          <w:rFonts w:hint="eastAsia" w:ascii="宋体" w:hAnsi="宋体" w:eastAsia="宋体" w:cs="宋体"/>
        </w:rPr>
        <w:fldChar w:fldCharType="separate"/>
      </w:r>
      <w:r>
        <w:rPr>
          <w:rStyle w:val="907"/>
          <w:rFonts w:hint="eastAsia" w:ascii="宋体" w:hAnsi="宋体" w:eastAsia="宋体" w:cs="宋体"/>
          <w:bCs/>
          <w:caps/>
          <w:color w:val="auto"/>
          <w:sz w:val="32"/>
          <w:szCs w:val="32"/>
        </w:rPr>
        <w:t xml:space="preserve">第四章 招标书</w:t>
      </w:r>
      <w:r>
        <w:rPr>
          <w:rStyle w:val="907"/>
          <w:rFonts w:hint="eastAsia" w:ascii="宋体" w:hAnsi="宋体" w:eastAsia="宋体" w:cs="宋体"/>
          <w:bCs/>
          <w:caps/>
          <w:color w:val="auto"/>
          <w:sz w:val="32"/>
          <w:szCs w:val="32"/>
        </w:rPr>
        <w:tab/>
      </w:r>
      <w:r>
        <w:rPr>
          <w:rStyle w:val="907"/>
          <w:rFonts w:hint="eastAsia" w:ascii="宋体" w:hAnsi="宋体" w:eastAsia="宋体" w:cs="宋体"/>
          <w:bCs/>
          <w:caps/>
          <w:color w:val="auto"/>
          <w:sz w:val="32"/>
          <w:szCs w:val="32"/>
        </w:rPr>
        <w:fldChar w:fldCharType="begin"/>
      </w:r>
      <w:r>
        <w:rPr>
          <w:rStyle w:val="907"/>
          <w:rFonts w:hint="eastAsia" w:ascii="宋体" w:hAnsi="宋体" w:eastAsia="宋体" w:cs="宋体"/>
          <w:bCs/>
          <w:caps/>
          <w:color w:val="auto"/>
          <w:sz w:val="32"/>
          <w:szCs w:val="32"/>
        </w:rPr>
        <w:instrText xml:space="preserve"> PAGEREF _Toc105397793 \h </w:instrText>
      </w:r>
      <w:r>
        <w:rPr>
          <w:rStyle w:val="907"/>
          <w:rFonts w:hint="eastAsia" w:ascii="宋体" w:hAnsi="宋体" w:eastAsia="宋体" w:cs="宋体"/>
          <w:bCs/>
          <w:caps/>
          <w:color w:val="auto"/>
          <w:sz w:val="32"/>
          <w:szCs w:val="32"/>
        </w:rPr>
        <w:fldChar w:fldCharType="separate"/>
      </w:r>
      <w:r>
        <w:rPr>
          <w:rStyle w:val="907"/>
          <w:rFonts w:hint="eastAsia" w:ascii="宋体" w:hAnsi="宋体" w:eastAsia="宋体" w:cs="宋体"/>
          <w:bCs/>
          <w:caps/>
          <w:color w:val="auto"/>
          <w:sz w:val="32"/>
          <w:szCs w:val="32"/>
        </w:rPr>
        <w:t xml:space="preserve">35</w:t>
      </w:r>
      <w:r>
        <w:rPr>
          <w:rStyle w:val="907"/>
          <w:rFonts w:hint="eastAsia" w:ascii="宋体" w:hAnsi="宋体" w:eastAsia="宋体" w:cs="宋体"/>
          <w:bCs/>
          <w:caps/>
          <w:color w:val="auto"/>
          <w:sz w:val="32"/>
          <w:szCs w:val="32"/>
        </w:rPr>
        <w:fldChar w:fldCharType="end"/>
      </w:r>
      <w:r>
        <w:rPr>
          <w:rStyle w:val="907"/>
          <w:rFonts w:hint="eastAsia" w:ascii="宋体" w:hAnsi="宋体" w:eastAsia="宋体" w:cs="宋体"/>
          <w:bCs/>
          <w:caps/>
          <w:color w:val="auto"/>
          <w:sz w:val="32"/>
          <w:szCs w:val="32"/>
        </w:rPr>
        <w:fldChar w:fldCharType="end"/>
      </w:r>
      <w:r/>
    </w:p>
    <w:p>
      <w:pPr>
        <w:pStyle w:val="871"/>
        <w:ind w:firstLine="0"/>
        <w:jc w:val="left"/>
        <w:spacing w:before="120" w:after="120"/>
        <w:tabs>
          <w:tab w:val="right" w:pos="9854" w:leader="dot"/>
        </w:tabs>
        <w:rPr>
          <w:rStyle w:val="907"/>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"_Toc105397794" \o "#_Toc105397794" </w:instrText>
      </w:r>
      <w:r>
        <w:rPr>
          <w:rFonts w:hint="eastAsia" w:ascii="宋体" w:hAnsi="宋体" w:eastAsia="宋体" w:cs="宋体"/>
        </w:rPr>
        <w:fldChar w:fldCharType="separate"/>
      </w:r>
      <w:r>
        <w:rPr>
          <w:rStyle w:val="907"/>
          <w:rFonts w:hint="eastAsia" w:ascii="宋体" w:hAnsi="宋体" w:eastAsia="宋体" w:cs="宋体"/>
          <w:bCs/>
          <w:caps/>
          <w:color w:val="auto"/>
          <w:sz w:val="32"/>
          <w:szCs w:val="32"/>
        </w:rPr>
        <w:t xml:space="preserve">第五章 合同及主要条款</w:t>
      </w:r>
      <w:r>
        <w:rPr>
          <w:rStyle w:val="907"/>
          <w:rFonts w:hint="eastAsia" w:ascii="宋体" w:hAnsi="宋体" w:eastAsia="宋体" w:cs="宋体"/>
          <w:bCs/>
          <w:caps/>
          <w:color w:val="auto"/>
          <w:sz w:val="32"/>
          <w:szCs w:val="32"/>
        </w:rPr>
        <w:tab/>
      </w:r>
      <w:r>
        <w:rPr>
          <w:rStyle w:val="907"/>
          <w:rFonts w:hint="eastAsia" w:ascii="宋体" w:hAnsi="宋体" w:eastAsia="宋体" w:cs="宋体"/>
          <w:bCs/>
          <w:caps/>
          <w:color w:val="auto"/>
          <w:sz w:val="32"/>
          <w:szCs w:val="32"/>
        </w:rPr>
        <w:fldChar w:fldCharType="begin"/>
      </w:r>
      <w:r>
        <w:rPr>
          <w:rStyle w:val="907"/>
          <w:rFonts w:hint="eastAsia" w:ascii="宋体" w:hAnsi="宋体" w:eastAsia="宋体" w:cs="宋体"/>
          <w:bCs/>
          <w:caps/>
          <w:color w:val="auto"/>
          <w:sz w:val="32"/>
          <w:szCs w:val="32"/>
        </w:rPr>
        <w:instrText xml:space="preserve"> PAGEREF _Toc105397794 \h </w:instrText>
      </w:r>
      <w:r>
        <w:rPr>
          <w:rStyle w:val="907"/>
          <w:rFonts w:hint="eastAsia" w:ascii="宋体" w:hAnsi="宋体" w:eastAsia="宋体" w:cs="宋体"/>
          <w:bCs/>
          <w:caps/>
          <w:color w:val="auto"/>
          <w:sz w:val="32"/>
          <w:szCs w:val="32"/>
        </w:rPr>
        <w:fldChar w:fldCharType="separate"/>
      </w:r>
      <w:r>
        <w:rPr>
          <w:rStyle w:val="907"/>
          <w:rFonts w:hint="eastAsia" w:ascii="宋体" w:hAnsi="宋体" w:eastAsia="宋体" w:cs="宋体"/>
          <w:bCs/>
          <w:caps/>
          <w:color w:val="auto"/>
          <w:sz w:val="32"/>
          <w:szCs w:val="32"/>
        </w:rPr>
        <w:t xml:space="preserve">45</w:t>
      </w:r>
      <w:r>
        <w:rPr>
          <w:rStyle w:val="907"/>
          <w:rFonts w:hint="eastAsia" w:ascii="宋体" w:hAnsi="宋体" w:eastAsia="宋体" w:cs="宋体"/>
          <w:bCs/>
          <w:caps/>
          <w:color w:val="auto"/>
          <w:sz w:val="32"/>
          <w:szCs w:val="32"/>
        </w:rPr>
        <w:fldChar w:fldCharType="end"/>
      </w:r>
      <w:r>
        <w:rPr>
          <w:rStyle w:val="907"/>
          <w:rFonts w:hint="eastAsia" w:ascii="宋体" w:hAnsi="宋体" w:eastAsia="宋体" w:cs="宋体"/>
          <w:bCs/>
          <w:caps/>
          <w:color w:val="auto"/>
          <w:sz w:val="32"/>
          <w:szCs w:val="32"/>
        </w:rPr>
        <w:fldChar w:fldCharType="end"/>
      </w:r>
      <w:r/>
    </w:p>
    <w:p>
      <w:pPr>
        <w:pStyle w:val="871"/>
        <w:ind w:firstLine="0"/>
        <w:jc w:val="left"/>
        <w:spacing w:before="120" w:after="120"/>
        <w:tabs>
          <w:tab w:val="right" w:pos="9854" w:leader="dot"/>
        </w:tabs>
        <w:rPr>
          <w:rStyle w:val="907"/>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"_Toc105397795" \o "#_Toc105397795" </w:instrText>
      </w:r>
      <w:r>
        <w:rPr>
          <w:rFonts w:hint="eastAsia" w:ascii="宋体" w:hAnsi="宋体" w:eastAsia="宋体" w:cs="宋体"/>
        </w:rPr>
        <w:fldChar w:fldCharType="separate"/>
      </w:r>
      <w:r>
        <w:rPr>
          <w:rStyle w:val="907"/>
          <w:rFonts w:hint="eastAsia" w:ascii="宋体" w:hAnsi="宋体" w:eastAsia="宋体" w:cs="宋体"/>
          <w:bCs/>
          <w:caps/>
          <w:color w:val="auto"/>
          <w:sz w:val="32"/>
          <w:szCs w:val="32"/>
        </w:rPr>
        <w:t xml:space="preserve">第六章 评标办法和评分标准</w:t>
      </w:r>
      <w:r>
        <w:rPr>
          <w:rStyle w:val="907"/>
          <w:rFonts w:hint="eastAsia" w:ascii="宋体" w:hAnsi="宋体" w:eastAsia="宋体" w:cs="宋体"/>
          <w:bCs/>
          <w:caps/>
          <w:color w:val="auto"/>
          <w:sz w:val="32"/>
          <w:szCs w:val="32"/>
        </w:rPr>
        <w:tab/>
      </w:r>
      <w:r>
        <w:rPr>
          <w:rStyle w:val="907"/>
          <w:rFonts w:hint="eastAsia" w:ascii="宋体" w:hAnsi="宋体" w:eastAsia="宋体" w:cs="宋体"/>
          <w:bCs/>
          <w:caps/>
          <w:color w:val="auto"/>
          <w:sz w:val="32"/>
          <w:szCs w:val="32"/>
        </w:rPr>
        <w:fldChar w:fldCharType="begin"/>
      </w:r>
      <w:r>
        <w:rPr>
          <w:rStyle w:val="907"/>
          <w:rFonts w:hint="eastAsia" w:ascii="宋体" w:hAnsi="宋体" w:eastAsia="宋体" w:cs="宋体"/>
          <w:bCs/>
          <w:caps/>
          <w:color w:val="auto"/>
          <w:sz w:val="32"/>
          <w:szCs w:val="32"/>
        </w:rPr>
        <w:instrText xml:space="preserve"> PAGEREF _Toc105397795 \h </w:instrText>
      </w:r>
      <w:r>
        <w:rPr>
          <w:rStyle w:val="907"/>
          <w:rFonts w:hint="eastAsia" w:ascii="宋体" w:hAnsi="宋体" w:eastAsia="宋体" w:cs="宋体"/>
          <w:bCs/>
          <w:caps/>
          <w:color w:val="auto"/>
          <w:sz w:val="32"/>
          <w:szCs w:val="32"/>
        </w:rPr>
        <w:fldChar w:fldCharType="separate"/>
      </w:r>
      <w:r>
        <w:rPr>
          <w:rStyle w:val="907"/>
          <w:rFonts w:hint="eastAsia" w:ascii="宋体" w:hAnsi="宋体" w:cs="宋体"/>
          <w:bCs/>
          <w:caps/>
          <w:color w:val="auto"/>
          <w:sz w:val="32"/>
          <w:szCs w:val="32"/>
          <w:lang w:val="en-US" w:eastAsia="zh-CN"/>
        </w:rPr>
        <w:t xml:space="preserve">54</w:t>
      </w:r>
      <w:r>
        <w:rPr>
          <w:rStyle w:val="907"/>
          <w:rFonts w:hint="eastAsia" w:ascii="宋体" w:hAnsi="宋体" w:eastAsia="宋体" w:cs="宋体"/>
          <w:bCs/>
          <w:caps/>
          <w:color w:val="auto"/>
          <w:sz w:val="32"/>
          <w:szCs w:val="32"/>
        </w:rPr>
        <w:fldChar w:fldCharType="end"/>
      </w:r>
      <w:r>
        <w:rPr>
          <w:rStyle w:val="907"/>
          <w:rFonts w:hint="eastAsia" w:ascii="宋体" w:hAnsi="宋体" w:eastAsia="宋体" w:cs="宋体"/>
          <w:bCs/>
          <w:caps/>
          <w:color w:val="auto"/>
          <w:sz w:val="32"/>
          <w:szCs w:val="32"/>
        </w:rPr>
        <w:fldChar w:fldCharType="end"/>
      </w:r>
      <w:r/>
    </w:p>
    <w:p>
      <w:pPr>
        <w:pStyle w:val="871"/>
        <w:ind w:firstLine="0"/>
        <w:jc w:val="left"/>
        <w:spacing w:before="120" w:after="120"/>
        <w:tabs>
          <w:tab w:val="right" w:pos="9856" w:leader="dot"/>
        </w:tabs>
        <w:rPr>
          <w:rFonts w:hint="eastAsia" w:ascii="宋体" w:hAnsi="宋体" w:eastAsia="宋体" w:cs="宋体"/>
          <w:sz w:val="32"/>
          <w:szCs w:val="32"/>
        </w:rPr>
        <w:outlineLvl w:val="9"/>
      </w:pPr>
      <w:r>
        <w:rPr>
          <w:rStyle w:val="907"/>
          <w:rFonts w:hint="eastAsia" w:ascii="宋体" w:hAnsi="宋体" w:eastAsia="宋体" w:cs="宋体"/>
          <w:bCs/>
          <w:caps/>
          <w:color w:val="auto"/>
          <w:sz w:val="32"/>
        </w:rPr>
        <w:fldChar w:fldCharType="end"/>
      </w:r>
      <w:r/>
    </w:p>
    <w:p>
      <w:pPr>
        <w:ind w:left="0"/>
        <w:rPr>
          <w:rFonts w:hint="eastAsia" w:ascii="宋体" w:hAnsi="宋体" w:eastAsia="宋体" w:cs="宋体"/>
          <w:sz w:val="32"/>
          <w:szCs w:val="32"/>
        </w:rPr>
      </w:pPr>
      <w:r>
        <w:rPr>
          <w:rFonts w:hint="eastAsia" w:ascii="宋体" w:hAnsi="宋体" w:eastAsia="宋体" w:cs="宋体"/>
          <w:sz w:val="32"/>
          <w:szCs w:val="32"/>
        </w:rPr>
      </w:r>
      <w:r/>
    </w:p>
    <w:p>
      <w:pPr>
        <w:ind w:left="0"/>
        <w:jc w:val="center"/>
        <w:rPr>
          <w:rFonts w:hint="eastAsia" w:ascii="宋体" w:hAnsi="宋体" w:eastAsia="宋体" w:cs="宋体"/>
          <w:b/>
          <w:spacing w:val="20"/>
          <w:sz w:val="30"/>
        </w:rPr>
      </w:pPr>
      <w:r>
        <w:rPr>
          <w:rFonts w:hint="eastAsia" w:ascii="宋体" w:hAnsi="宋体" w:eastAsia="宋体" w:cs="宋体"/>
        </w:rPr>
        <w:br w:type="page" w:clear="all"/>
      </w:r>
      <w:bookmarkStart w:id="0" w:name="_Toc17003"/>
      <w:r/>
      <w:bookmarkStart w:id="1" w:name="_Toc15681"/>
      <w:r/>
      <w:bookmarkStart w:id="2" w:name="_Toc16121"/>
      <w:r>
        <w:rPr>
          <w:rFonts w:hint="eastAsia" w:ascii="宋体" w:hAnsi="宋体" w:eastAsia="宋体" w:cs="宋体"/>
          <w:b/>
          <w:spacing w:val="20"/>
          <w:sz w:val="30"/>
        </w:rPr>
        <w:t xml:space="preserve">前 附 表</w:t>
      </w:r>
      <w:bookmarkEnd w:id="0"/>
      <w:r/>
      <w:bookmarkEnd w:id="1"/>
      <w:r/>
      <w:bookmarkEnd w:id="2"/>
      <w:r/>
      <w:r/>
    </w:p>
    <w:tbl>
      <w:tblPr>
        <w:tblStyle w:val="84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JSZC-320500-CCCC-G2026-0024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苏州市交通运输应急指挥中心指挥大厅运行监测坐席采购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252"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采购代理机构</w:t>
            </w:r>
            <w:r/>
          </w:p>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苏州市永诚建设咨询有限公司</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苏州市东吴北路221号惠康新地7楼</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蒯珊珊</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联系电话：</w:t>
            </w:r>
            <w:r>
              <w:rPr>
                <w:rFonts w:hint="eastAsia" w:ascii="宋体" w:hAnsi="宋体" w:eastAsia="宋体" w:cs="宋体"/>
                <w:sz w:val="24"/>
                <w:szCs w:val="24"/>
                <w:lang w:eastAsia="zh-CN"/>
              </w:rPr>
              <w:t xml:space="preserve">0512-69157588-809</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苏州市交通运输应急指挥中心</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苏州市姑苏区南环东路1号</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田治超</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highlight w:val="none"/>
              </w:rPr>
              <w:t xml:space="preserve">联系电话：0512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65820360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获取招标文件</w:t>
            </w:r>
            <w:r/>
          </w:p>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投标文件网上</w:t>
            </w:r>
            <w:r/>
          </w:p>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w:t>
            </w:r>
            <w:r>
              <w:rPr>
                <w:rFonts w:hint="eastAsia" w:ascii="宋体" w:hAnsi="宋体" w:cs="宋体"/>
                <w:sz w:val="24"/>
                <w:szCs w:val="24"/>
                <w:u w:val="single"/>
                <w:lang w:val="en-US" w:eastAsia="zh-CN"/>
              </w:rPr>
              <w:t xml:space="preserve">09</w:t>
            </w:r>
            <w:r>
              <w:rPr>
                <w:rFonts w:hint="eastAsia" w:ascii="宋体" w:hAnsi="宋体" w:eastAsia="宋体" w:cs="宋体"/>
                <w:sz w:val="24"/>
                <w:szCs w:val="24"/>
                <w:u w:val="single"/>
              </w:rPr>
              <w:t xml:space="preserve">点30分</w:t>
            </w:r>
            <w:r>
              <w:rPr>
                <w:rFonts w:hint="eastAsia" w:ascii="宋体" w:hAnsi="宋体" w:eastAsia="宋体" w:cs="宋体"/>
                <w:sz w:val="24"/>
                <w:szCs w:val="24"/>
              </w:rPr>
              <w:t xml:space="preserve">（北京时间） </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开标时间</w:t>
            </w:r>
            <w:r/>
          </w:p>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w:t>
            </w:r>
            <w:r>
              <w:rPr>
                <w:rFonts w:hint="eastAsia" w:ascii="宋体" w:hAnsi="宋体" w:cs="宋体"/>
                <w:sz w:val="24"/>
                <w:szCs w:val="24"/>
                <w:u w:val="single"/>
                <w:lang w:val="en-US" w:eastAsia="zh-CN"/>
              </w:rPr>
              <w:t xml:space="preserve">09</w:t>
            </w:r>
            <w:r>
              <w:rPr>
                <w:rFonts w:hint="eastAsia" w:ascii="宋体" w:hAnsi="宋体" w:eastAsia="宋体" w:cs="宋体"/>
                <w:sz w:val="24"/>
                <w:szCs w:val="24"/>
                <w:u w:val="single"/>
              </w:rPr>
              <w:t xml:space="preserve">点30分</w:t>
            </w:r>
            <w:r>
              <w:rPr>
                <w:rFonts w:hint="eastAsia" w:ascii="宋体" w:hAnsi="宋体" w:eastAsia="宋体" w:cs="宋体"/>
                <w:sz w:val="24"/>
                <w:szCs w:val="24"/>
              </w:rPr>
              <w:t xml:space="preserve">（北京时间）</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“苏采云”系统（网址：http://jszfcg.jsczt.cn/）</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12"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12"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评标时间</w:t>
            </w:r>
            <w:r/>
          </w:p>
          <w:p>
            <w:pPr>
              <w:ind w:left="0" w:right="0"/>
              <w:jc w:val="center"/>
              <w:keepLines w:val="0"/>
              <w:keepNext w:val="0"/>
              <w:spacing w:before="0" w:beforeAutospacing="0" w:after="0" w:afterAutospacing="0" w:line="312"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w:t>
            </w:r>
            <w:r>
              <w:rPr>
                <w:rFonts w:hint="eastAsia" w:ascii="宋体" w:hAnsi="宋体" w:cs="宋体"/>
                <w:sz w:val="24"/>
                <w:szCs w:val="24"/>
                <w:u w:val="single"/>
                <w:lang w:val="en-US" w:eastAsia="zh-CN"/>
              </w:rPr>
              <w:t xml:space="preserve">09</w:t>
            </w:r>
            <w:r>
              <w:rPr>
                <w:rFonts w:hint="eastAsia" w:ascii="宋体" w:hAnsi="宋体" w:eastAsia="宋体" w:cs="宋体"/>
                <w:sz w:val="24"/>
                <w:szCs w:val="24"/>
                <w:u w:val="single"/>
              </w:rPr>
              <w:t xml:space="preserve">点30分</w:t>
            </w:r>
            <w:r>
              <w:rPr>
                <w:rFonts w:hint="eastAsia" w:ascii="宋体" w:hAnsi="宋体" w:eastAsia="宋体" w:cs="宋体"/>
                <w:sz w:val="24"/>
                <w:szCs w:val="24"/>
              </w:rPr>
              <w:t xml:space="preserve">（北京时间）</w:t>
            </w:r>
            <w:r/>
          </w:p>
          <w:p>
            <w:pPr>
              <w:ind w:left="0" w:right="0"/>
              <w:jc w:val="left"/>
              <w:keepLines w:val="0"/>
              <w:keepNext w:val="0"/>
              <w:spacing w:before="0" w:beforeAutospacing="0" w:after="0" w:afterAutospacing="0" w:line="312"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1、本项目采用电子投标文件，投标人按照招标文件要求制作上传电子投标文件。</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2、本项目采用电子网上招投标（电子标书），中标单位在领取中标通知书时向采购代理机构提交盖章版投标文件纸质版，份数四份（一正三副）。纸面投标文件与上传的电子投标文件一致。用于存档备案。</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履约保证金金额为：合同总金额的【</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乙方应在合同签订后【</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%】的违约金，给甲方造成损失的，乙方应赔偿甲方一切直接、间接损失。本项目质保期</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待质保期满且完成</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缺陷更正，并配合主管部门办理移交手续后，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退还履约保证金（无息）。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1"/>
              <w:ind w:left="0" w:right="0" w:firstLine="0"/>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确定出中标人后，采购代理机构在法定时间内向中标人发出中标通知书。中标通知书将成为合同的组成部分。</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sz w:val="24"/>
                <w:szCs w:val="24"/>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收费标准：</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预算金额100万以下费率为预算金额的1.5%；</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预算金额100－500万费率为预算金额的1.1%；</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预算金额500-1000万费率为预算金额的0.8%；</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预算金额1000-5000万费率为预算金额的0.5%；</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注：代理服务费按上述规定的标准和差额定率累进法进行计算后收取。</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按苏州市政府采购网苏州市级政府采购代理服务收费公告信息表公示，本项目代理服务费：</w:t>
            </w:r>
            <w:r>
              <w:rPr>
                <w:rFonts w:hint="eastAsia" w:ascii="宋体" w:hAnsi="宋体" w:cs="宋体"/>
                <w:b w:val="0"/>
                <w:bCs w:val="0"/>
                <w:sz w:val="24"/>
                <w:szCs w:val="24"/>
                <w:lang w:val="en-US" w:eastAsia="zh-CN"/>
              </w:rPr>
              <w:t xml:space="preserve">15550</w:t>
            </w:r>
            <w:r>
              <w:rPr>
                <w:rFonts w:hint="eastAsia" w:ascii="宋体" w:hAnsi="宋体" w:eastAsia="宋体" w:cs="宋体"/>
                <w:b w:val="0"/>
                <w:bCs w:val="0"/>
                <w:sz w:val="24"/>
                <w:szCs w:val="24"/>
              </w:rPr>
              <w:t xml:space="preserve">元。采购人须按上述规定计算并支付代理服务费。</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代理费账户：</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单位名称：苏州市永诚建设咨询有限公司</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纳税人识别号：913205087174701063</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地址、电话：苏州市东吴北路221号7楼 0512-65268668</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开户行及账号：苏州银行苏州分行营业部 </w:t>
            </w:r>
            <w:r/>
          </w:p>
          <w:p>
            <w:pPr>
              <w:pStyle w:val="1221"/>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7066602001120149002568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出现下列情形之一的，为废标： </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（一）符合专业条件的投标人或者对招标文件作实质响应的投标人不足三家的；（二）出现影响采购公正的违法、违规行为的； </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（三）投标人的报价均超过了采购预算，采购人不能支付的； </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投标文件属下列情况之一的，在资格性、符合性检查时按照无效投标处理：</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（一）未按照招标文件规定要求签署、盖章的；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（二）不具备招标文件中规定资格要求的；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（三）报价超过招标文件中规定的预算金额或者最高限价的；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（四）投标文件含有采购人不能接受的附加条件的；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b/>
                <w:sz w:val="24"/>
                <w:szCs w:val="24"/>
              </w:rPr>
              <w:suppressLineNumbers w:val="0"/>
            </w:pPr>
            <w:r>
              <w:rPr>
                <w:rFonts w:hint="eastAsia" w:ascii="宋体" w:hAnsi="宋体" w:eastAsia="宋体" w:cs="宋体"/>
                <w:b/>
                <w:sz w:val="24"/>
                <w:szCs w:val="24"/>
              </w:rPr>
              <w:t xml:space="preserve">（五）机器码检查中，出现不同投标人投标文件机器码一致情形的；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（六）法律、法规和招标文件规定的其他无效情形。</w:t>
            </w:r>
            <w:r/>
          </w:p>
        </w:tc>
      </w:tr>
    </w:tbl>
    <w:p>
      <w:pPr>
        <w:ind w:left="0"/>
        <w:jc w:val="center"/>
        <w:rPr>
          <w:rFonts w:hint="eastAsia" w:ascii="宋体" w:hAnsi="宋体" w:eastAsia="宋体" w:cs="宋体"/>
          <w:b/>
          <w:sz w:val="44"/>
          <w:szCs w:val="22"/>
        </w:rPr>
      </w:pPr>
      <w:r/>
      <w:bookmarkStart w:id="3" w:name="_Toc7166"/>
      <w:r/>
      <w:bookmarkStart w:id="4" w:name="_Toc28592"/>
      <w:r/>
      <w:r/>
    </w:p>
    <w:p>
      <w:pPr>
        <w:ind w:left="0"/>
        <w:jc w:val="center"/>
        <w:rPr>
          <w:rFonts w:hint="eastAsia" w:ascii="宋体" w:hAnsi="宋体" w:eastAsia="宋体" w:cs="宋体"/>
          <w:b/>
          <w:sz w:val="44"/>
          <w:szCs w:val="22"/>
        </w:rPr>
      </w:pPr>
      <w:r>
        <w:rPr>
          <w:rFonts w:hint="eastAsia" w:ascii="宋体" w:hAnsi="宋体" w:eastAsia="宋体" w:cs="宋体"/>
          <w:b/>
          <w:sz w:val="44"/>
          <w:szCs w:val="22"/>
        </w:rPr>
      </w:r>
      <w:r/>
    </w:p>
    <w:p>
      <w:pPr>
        <w:pStyle w:val="864"/>
        <w:rPr>
          <w:rFonts w:hint="eastAsia" w:ascii="宋体" w:hAnsi="宋体" w:eastAsia="宋体" w:cs="宋体"/>
        </w:rPr>
      </w:pPr>
      <w:r>
        <w:rPr>
          <w:rFonts w:hint="eastAsia" w:ascii="宋体" w:hAnsi="宋体" w:eastAsia="宋体" w:cs="宋体"/>
        </w:rPr>
      </w:r>
      <w:r/>
    </w:p>
    <w:p>
      <w:pPr>
        <w:ind w:left="0"/>
        <w:jc w:val="center"/>
        <w:rPr>
          <w:rFonts w:hint="eastAsia" w:ascii="宋体" w:hAnsi="宋体" w:eastAsia="宋体" w:cs="宋体"/>
          <w:b/>
          <w:sz w:val="44"/>
          <w:szCs w:val="22"/>
        </w:rPr>
      </w:pPr>
      <w:r>
        <w:rPr>
          <w:rFonts w:hint="eastAsia" w:ascii="宋体" w:hAnsi="宋体" w:eastAsia="宋体" w:cs="宋体"/>
          <w:b/>
          <w:sz w:val="44"/>
          <w:szCs w:val="22"/>
        </w:rPr>
      </w:r>
      <w:r/>
    </w:p>
    <w:p>
      <w:pPr>
        <w:pStyle w:val="864"/>
        <w:rPr>
          <w:rFonts w:hint="eastAsia" w:ascii="宋体" w:hAnsi="宋体" w:eastAsia="宋体" w:cs="宋体"/>
        </w:rPr>
      </w:pPr>
      <w:r>
        <w:rPr>
          <w:rFonts w:hint="eastAsia" w:ascii="宋体" w:hAnsi="宋体" w:eastAsia="宋体" w:cs="宋体"/>
        </w:rPr>
      </w:r>
      <w:r/>
    </w:p>
    <w:p>
      <w:pPr>
        <w:pStyle w:val="856"/>
        <w:rPr>
          <w:rFonts w:hint="eastAsia" w:ascii="宋体" w:hAnsi="宋体" w:eastAsia="宋体" w:cs="宋体"/>
        </w:rPr>
      </w:pPr>
      <w:r>
        <w:rPr>
          <w:rFonts w:hint="eastAsia" w:ascii="宋体" w:hAnsi="宋体" w:eastAsia="宋体" w:cs="宋体"/>
        </w:rPr>
      </w:r>
      <w:r/>
    </w:p>
    <w:p>
      <w:pPr>
        <w:ind w:left="0"/>
        <w:rPr>
          <w:rFonts w:hint="eastAsia" w:ascii="宋体" w:hAnsi="宋体" w:eastAsia="宋体" w:cs="宋体"/>
          <w:b/>
          <w:sz w:val="44"/>
          <w:szCs w:val="22"/>
        </w:rPr>
      </w:pPr>
      <w:r>
        <w:rPr>
          <w:rFonts w:hint="eastAsia" w:ascii="宋体" w:hAnsi="宋体" w:eastAsia="宋体" w:cs="宋体"/>
          <w:b/>
          <w:sz w:val="44"/>
          <w:szCs w:val="22"/>
        </w:rPr>
      </w:r>
      <w:r/>
    </w:p>
    <w:p>
      <w:pPr>
        <w:pStyle w:val="839"/>
        <w:ind w:left="431" w:firstLine="17"/>
        <w:jc w:val="center"/>
        <w:spacing w:before="0" w:after="0" w:line="360" w:lineRule="auto"/>
        <w:rPr>
          <w:rStyle w:val="1117"/>
          <w:rFonts w:hint="eastAsia" w:ascii="宋体" w:hAnsi="宋体" w:eastAsia="宋体" w:cs="宋体"/>
        </w:rPr>
      </w:pPr>
      <w:r/>
      <w:bookmarkStart w:id="5" w:name="_Toc105397776"/>
      <w:r>
        <w:rPr>
          <w:rFonts w:hint="eastAsia" w:ascii="宋体" w:hAnsi="宋体" w:eastAsia="宋体" w:cs="宋体"/>
          <w:b/>
          <w:sz w:val="44"/>
          <w:szCs w:val="22"/>
        </w:rPr>
        <w:br w:type="page" w:clear="all"/>
      </w:r>
      <w:r>
        <w:rPr>
          <w:rFonts w:hint="eastAsia" w:ascii="宋体" w:hAnsi="宋体" w:eastAsia="宋体" w:cs="宋体"/>
          <w:b/>
          <w:sz w:val="44"/>
          <w:szCs w:val="22"/>
        </w:rPr>
        <w:t xml:space="preserve">第一章  投标邀请函</w:t>
      </w:r>
      <w:bookmarkEnd w:id="3"/>
      <w:r/>
      <w:bookmarkEnd w:id="4"/>
      <w:r/>
      <w:bookmarkEnd w:id="5"/>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项目概况：</w:t>
      </w:r>
      <w:r>
        <w:rPr>
          <w:rFonts w:hint="eastAsia" w:ascii="宋体" w:hAnsi="宋体" w:eastAsia="宋体" w:cs="宋体"/>
          <w:b/>
          <w:sz w:val="24"/>
          <w:szCs w:val="24"/>
          <w:u w:val="single"/>
          <w:lang w:eastAsia="zh-CN"/>
        </w:rPr>
        <w:t xml:space="preserve">苏州市交通运输应急指挥中心指挥大厅运行监测坐席采购</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招标项目的潜在投标人应在</w:t>
      </w:r>
      <w:r>
        <w:rPr>
          <w:rFonts w:hint="eastAsia" w:ascii="宋体" w:hAnsi="宋体" w:eastAsia="宋体" w:cs="宋体"/>
          <w:b/>
          <w:sz w:val="24"/>
          <w:szCs w:val="24"/>
          <w:u w:val="single"/>
        </w:rPr>
        <w:t xml:space="preserve"> “苏采云”系统</w:t>
      </w:r>
      <w:r>
        <w:rPr>
          <w:rFonts w:hint="eastAsia" w:ascii="宋体" w:hAnsi="宋体" w:eastAsia="宋体" w:cs="宋体"/>
          <w:b/>
          <w:sz w:val="24"/>
          <w:szCs w:val="24"/>
        </w:rPr>
        <w:t xml:space="preserve">获取招标文件，并于</w:t>
      </w:r>
      <w:r>
        <w:rPr>
          <w:rFonts w:hint="eastAsia" w:ascii="宋体" w:hAnsi="宋体" w:eastAsia="宋体" w:cs="宋体"/>
          <w:b/>
          <w:sz w:val="24"/>
          <w:szCs w:val="24"/>
          <w:u w:val="single"/>
        </w:rPr>
        <w:t xml:space="preserve">2026年</w:t>
      </w:r>
      <w:r>
        <w:rPr>
          <w:rFonts w:hint="eastAsia" w:ascii="宋体" w:hAnsi="宋体" w:cs="宋体"/>
          <w:b/>
          <w:sz w:val="24"/>
          <w:szCs w:val="24"/>
          <w:u w:val="single"/>
          <w:lang w:val="en-US" w:eastAsia="zh-CN"/>
        </w:rPr>
        <w:t xml:space="preserve">10</w:t>
      </w:r>
      <w:r>
        <w:rPr>
          <w:rFonts w:hint="eastAsia" w:ascii="宋体" w:hAnsi="宋体" w:eastAsia="宋体" w:cs="宋体"/>
          <w:b/>
          <w:sz w:val="24"/>
          <w:szCs w:val="24"/>
          <w:u w:val="single"/>
        </w:rPr>
        <w:t xml:space="preserve">月</w:t>
      </w:r>
      <w:r>
        <w:rPr>
          <w:rFonts w:hint="eastAsia" w:ascii="宋体" w:hAnsi="宋体" w:cs="宋体"/>
          <w:b/>
          <w:sz w:val="24"/>
          <w:szCs w:val="24"/>
          <w:u w:val="single"/>
          <w:lang w:val="en-US" w:eastAsia="zh-CN"/>
        </w:rPr>
        <w:t xml:space="preserve">9</w:t>
      </w:r>
      <w:r>
        <w:rPr>
          <w:rFonts w:hint="eastAsia" w:ascii="宋体" w:hAnsi="宋体" w:eastAsia="宋体" w:cs="宋体"/>
          <w:b/>
          <w:sz w:val="24"/>
          <w:szCs w:val="24"/>
          <w:u w:val="single"/>
        </w:rPr>
        <w:t xml:space="preserve">日  </w:t>
      </w:r>
      <w:r>
        <w:rPr>
          <w:rFonts w:hint="eastAsia" w:ascii="宋体" w:hAnsi="宋体" w:cs="宋体"/>
          <w:b/>
          <w:sz w:val="24"/>
          <w:szCs w:val="24"/>
          <w:u w:val="single"/>
          <w:lang w:val="en-US" w:eastAsia="zh-CN"/>
        </w:rPr>
        <w:t xml:space="preserve">09</w:t>
      </w:r>
      <w:r>
        <w:rPr>
          <w:rFonts w:hint="eastAsia" w:ascii="宋体" w:hAnsi="宋体" w:eastAsia="宋体" w:cs="宋体"/>
          <w:b/>
          <w:sz w:val="24"/>
          <w:szCs w:val="24"/>
          <w:u w:val="single"/>
        </w:rPr>
        <w:t xml:space="preserve">点30分（北京时间）</w:t>
      </w:r>
      <w:r>
        <w:rPr>
          <w:rFonts w:hint="eastAsia" w:ascii="宋体" w:hAnsi="宋体" w:eastAsia="宋体" w:cs="宋体"/>
          <w:b/>
          <w:sz w:val="24"/>
          <w:szCs w:val="24"/>
        </w:rPr>
        <w:t xml:space="preserve">前递交投标文件。</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 </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cs="宋体"/>
          <w:sz w:val="24"/>
          <w:szCs w:val="24"/>
          <w:lang w:eastAsia="zh-CN"/>
        </w:rPr>
        <w:t xml:space="preserve">JSZC-320500-CCCC-G2026-0024</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苏州市交通运输应急指挥中心指挥大厅运行监测坐席采购</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4.预算金额：人民币</w:t>
      </w:r>
      <w:r>
        <w:rPr>
          <w:rFonts w:hint="eastAsia" w:ascii="宋体" w:hAnsi="宋体" w:cs="宋体"/>
          <w:sz w:val="24"/>
          <w:szCs w:val="24"/>
          <w:lang w:eastAsia="zh-CN"/>
        </w:rPr>
        <w:t xml:space="preserve">壹佰零伍万元</w:t>
      </w:r>
      <w:r>
        <w:rPr>
          <w:rFonts w:hint="eastAsia" w:ascii="宋体" w:hAnsi="宋体" w:eastAsia="宋体" w:cs="宋体"/>
          <w:sz w:val="24"/>
          <w:szCs w:val="24"/>
          <w:lang w:eastAsia="zh-CN"/>
        </w:rPr>
        <w:t xml:space="preserve">整</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1050000</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5.最高限价：人民币</w:t>
      </w:r>
      <w:r>
        <w:rPr>
          <w:rFonts w:hint="eastAsia" w:ascii="宋体" w:hAnsi="宋体" w:cs="宋体"/>
          <w:sz w:val="24"/>
          <w:szCs w:val="24"/>
          <w:lang w:eastAsia="zh-CN"/>
        </w:rPr>
        <w:t xml:space="preserve">壹佰零伍万元</w:t>
      </w:r>
      <w:r>
        <w:rPr>
          <w:rFonts w:hint="eastAsia" w:ascii="宋体" w:hAnsi="宋体" w:eastAsia="宋体" w:cs="宋体"/>
          <w:sz w:val="24"/>
          <w:szCs w:val="24"/>
          <w:lang w:eastAsia="zh-CN"/>
        </w:rPr>
        <w:t xml:space="preserve">整</w:t>
      </w:r>
      <w:r>
        <w:rPr>
          <w:rFonts w:hint="eastAsia" w:ascii="宋体" w:hAnsi="宋体" w:eastAsia="宋体" w:cs="宋体"/>
          <w:sz w:val="24"/>
          <w:szCs w:val="24"/>
        </w:rPr>
        <w:t xml:space="preserve">（¥</w:t>
      </w:r>
      <w:r>
        <w:rPr>
          <w:rFonts w:hint="eastAsia" w:ascii="宋体" w:hAnsi="宋体" w:cs="宋体"/>
          <w:sz w:val="24"/>
          <w:szCs w:val="24"/>
          <w:lang w:eastAsia="zh-CN"/>
        </w:rPr>
        <w:t xml:space="preserve">1050000</w:t>
      </w:r>
      <w:r>
        <w:rPr>
          <w:rFonts w:hint="eastAsia" w:ascii="宋体" w:hAnsi="宋体" w:eastAsia="宋体" w:cs="宋体"/>
          <w:sz w:val="24"/>
          <w:szCs w:val="24"/>
          <w:lang w:eastAsia="zh-CN"/>
        </w:rPr>
        <w:t xml:space="preserve">.00</w:t>
      </w:r>
      <w:r>
        <w:rPr>
          <w:rFonts w:hint="eastAsia" w:ascii="宋体" w:hAnsi="宋体" w:eastAsia="宋体" w:cs="宋体"/>
          <w:sz w:val="24"/>
          <w:szCs w:val="24"/>
        </w:rPr>
        <w:t xml:space="preserve">）</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6.合同履行期限：</w:t>
      </w:r>
      <w:bookmarkStart w:id="6" w:name="OLE_LINK20"/>
      <w:r/>
      <w:bookmarkStart w:id="7" w:name="OLE_LINK21"/>
      <w:r>
        <w:rPr>
          <w:rFonts w:hint="eastAsia" w:ascii="宋体" w:hAnsi="宋体" w:eastAsia="宋体" w:cs="宋体"/>
          <w:sz w:val="24"/>
          <w:szCs w:val="24"/>
          <w:lang w:eastAsia="zh-CN"/>
        </w:rPr>
        <w:t xml:space="preserve">合同生效后，45 日内将合同标的全部交付并安装调试完毕</w:t>
      </w:r>
      <w:r>
        <w:rPr>
          <w:rFonts w:hint="eastAsia" w:ascii="宋体" w:hAnsi="宋体" w:eastAsia="宋体" w:cs="宋体"/>
          <w:sz w:val="24"/>
          <w:szCs w:val="24"/>
        </w:rPr>
        <w:t xml:space="preserve">。本项目免费质量保证期要求不低于3 年。免费质量保证期从货物供货、安装、调试正常且经采购使用部门确认验收合格之日起算。</w:t>
      </w:r>
      <w:bookmarkEnd w:id="6"/>
      <w:r/>
      <w:bookmarkEnd w:id="7"/>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7.采购需求</w:t>
      </w:r>
      <w:r>
        <w:rPr>
          <w:rFonts w:hint="eastAsia" w:ascii="宋体" w:hAnsi="宋体" w:eastAsia="宋体" w:cs="宋体"/>
          <w:sz w:val="24"/>
          <w:szCs w:val="24"/>
          <w:lang w:val="en-US" w:eastAsia="zh-CN"/>
        </w:rPr>
        <w:t xml:space="preserve">概况</w:t>
      </w:r>
      <w:r>
        <w:rPr>
          <w:rFonts w:hint="eastAsia" w:ascii="宋体" w:hAnsi="宋体" w:eastAsia="宋体" w:cs="宋体"/>
          <w:sz w:val="24"/>
          <w:szCs w:val="24"/>
        </w:rPr>
        <w:t xml:space="preserve">：本项目拟购置一批模块化智能指挥操作台，涵盖设备供货、结合指挥大厅场地进行定制化方案设计、坐席安装调试及3年期维修质保服务。操作台主体框架结构应使用优质冷轧碳钢矩形管框架与防火环保面板模块化构造，优化桌面尺寸拓展席位空间，适配后续业务扩容；内置走线结构可搭载显示器升降架、USB集中充电口；台面需满足防火、耐磨、耐湿热耐污染指标，设计使用年限≥15 年，简约外观匹配大厅智能化风貌，优化收纳布局提升办公舒适度，用以强化指挥大厅调度保障能力。（详见</w:t>
      </w:r>
      <w:r>
        <w:rPr>
          <w:rFonts w:hint="eastAsia" w:ascii="宋体" w:hAnsi="宋体" w:cs="宋体"/>
          <w:sz w:val="24"/>
          <w:szCs w:val="24"/>
          <w:lang w:val="en-US" w:eastAsia="zh-CN"/>
        </w:rPr>
        <w:t xml:space="preserve">招标</w:t>
      </w:r>
      <w:r>
        <w:rPr>
          <w:rFonts w:hint="eastAsia" w:ascii="宋体" w:hAnsi="宋体" w:eastAsia="宋体" w:cs="宋体"/>
          <w:sz w:val="24"/>
          <w:szCs w:val="24"/>
        </w:rPr>
        <w:t xml:space="preserve">文件第四章）</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二、供应商的资格要求 </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1.满足《中华人民共和国政府采购法》第二十二条规定，投标人应当具备下列条件：</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 </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2.落实政府采购政策需满足的资格要求：本项目专门面向中小企业，供应商所提供货物的制造商应为中小微企业、监狱企业、残疾人福利性单位。所属行业为：工业</w:t>
      </w:r>
      <w:r>
        <w:rPr>
          <w:rFonts w:hint="eastAsia" w:ascii="宋体" w:hAnsi="宋体" w:eastAsia="宋体" w:cs="宋体"/>
          <w:sz w:val="24"/>
          <w:szCs w:val="24"/>
          <w:lang w:eastAsia="zh-CN"/>
        </w:rPr>
        <w:t xml:space="preserve">。</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3.本项目的特定资格要求：无</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4.联合体及转包、分包：本项目不接受联合体，不得转包、分包本项目。</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拒绝下述供应商参加本次采购活动：</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凡为采购项目提供整体设计、规范编制或者项目管理、监理、检测等服务的供应商，不得再参加本项目的采购活动。</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 </w:t>
      </w:r>
      <w:r/>
    </w:p>
    <w:p>
      <w:pPr>
        <w:pStyle w:val="856"/>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1.时间：自公告发布之日起5个工作日</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rPr>
        <w:t xml:space="preserve">苏州现场办理地址：苏州高新区邓尉路105号狮山科技馆1楼服务大厅，咨询电话：0512-65737699。</w:t>
      </w:r>
      <w:r/>
    </w:p>
    <w:p>
      <w:pPr>
        <w:pStyle w:val="856"/>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856"/>
        <w:ind w:left="0" w:firstLine="420"/>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val="0"/>
          <w:bCs/>
          <w:sz w:val="24"/>
          <w:szCs w:val="24"/>
        </w:rPr>
        <w:t xml:space="preserve">（具体详见《苏采云系统供应商操作手册》。</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w:t>
      </w:r>
      <w:r>
        <w:rPr>
          <w:rFonts w:hint="eastAsia" w:ascii="宋体" w:hAnsi="宋体" w:cs="宋体"/>
          <w:sz w:val="24"/>
          <w:szCs w:val="24"/>
          <w:lang w:eastAsia="zh-CN"/>
        </w:rPr>
        <w:t xml:space="preserve">13913190747</w:t>
      </w:r>
      <w:r>
        <w:rPr>
          <w:rFonts w:hint="eastAsia" w:ascii="宋体" w:hAnsi="宋体" w:eastAsia="宋体" w:cs="宋体"/>
          <w:sz w:val="24"/>
          <w:szCs w:val="24"/>
        </w:rPr>
        <w:t xml:space="preserve">；</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w:t>
      </w:r>
      <w:r>
        <w:rPr>
          <w:rFonts w:hint="eastAsia" w:ascii="宋体" w:hAnsi="宋体" w:cs="宋体"/>
          <w:sz w:val="24"/>
          <w:szCs w:val="24"/>
          <w:lang w:eastAsia="zh-CN"/>
        </w:rPr>
        <w:t xml:space="preserve">13913190747</w:t>
      </w:r>
      <w:r>
        <w:rPr>
          <w:rFonts w:hint="eastAsia" w:ascii="宋体" w:hAnsi="宋体" w:eastAsia="宋体" w:cs="宋体"/>
          <w:sz w:val="24"/>
          <w:szCs w:val="24"/>
        </w:rPr>
        <w:t xml:space="preserve">；智能客服：登录苏采云系统后，联系系统右下方智能客服图标进行咨询。</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1.提交投标文件截止时间：</w:t>
      </w:r>
      <w:r>
        <w:rPr>
          <w:rFonts w:hint="eastAsia" w:ascii="宋体" w:hAnsi="宋体" w:eastAsia="宋体" w:cs="宋体"/>
          <w:sz w:val="24"/>
          <w:szCs w:val="24"/>
          <w:u w:val="single"/>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w:t>
      </w:r>
      <w:r>
        <w:rPr>
          <w:rFonts w:hint="eastAsia" w:ascii="宋体" w:hAnsi="宋体" w:cs="宋体"/>
          <w:sz w:val="24"/>
          <w:szCs w:val="24"/>
          <w:u w:val="single"/>
          <w:lang w:val="en-US" w:eastAsia="zh-CN"/>
        </w:rPr>
        <w:t xml:space="preserve">09</w:t>
      </w:r>
      <w:r>
        <w:rPr>
          <w:rFonts w:hint="eastAsia" w:ascii="宋体" w:hAnsi="宋体" w:eastAsia="宋体" w:cs="宋体"/>
          <w:sz w:val="24"/>
          <w:szCs w:val="24"/>
          <w:u w:val="single"/>
        </w:rPr>
        <w:t xml:space="preserve">点30分</w:t>
      </w:r>
      <w:r>
        <w:rPr>
          <w:rFonts w:hint="eastAsia" w:ascii="宋体" w:hAnsi="宋体" w:eastAsia="宋体" w:cs="宋体"/>
          <w:sz w:val="24"/>
          <w:szCs w:val="24"/>
        </w:rPr>
        <w:t xml:space="preserve">（北京时间）； </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2.开标时间：</w:t>
      </w:r>
      <w:r>
        <w:rPr>
          <w:rFonts w:hint="eastAsia" w:ascii="宋体" w:hAnsi="宋体" w:eastAsia="宋体" w:cs="宋体"/>
          <w:sz w:val="24"/>
          <w:szCs w:val="24"/>
          <w:u w:val="single"/>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w:t>
      </w:r>
      <w:r>
        <w:rPr>
          <w:rFonts w:hint="eastAsia" w:ascii="宋体" w:hAnsi="宋体" w:cs="宋体"/>
          <w:sz w:val="24"/>
          <w:szCs w:val="24"/>
          <w:u w:val="single"/>
          <w:lang w:val="en-US" w:eastAsia="zh-CN"/>
        </w:rPr>
        <w:t xml:space="preserve">09</w:t>
      </w:r>
      <w:r>
        <w:rPr>
          <w:rFonts w:hint="eastAsia" w:ascii="宋体" w:hAnsi="宋体" w:eastAsia="宋体" w:cs="宋体"/>
          <w:sz w:val="24"/>
          <w:szCs w:val="24"/>
          <w:u w:val="single"/>
        </w:rPr>
        <w:t xml:space="preserve">点30分</w:t>
      </w:r>
      <w:r>
        <w:rPr>
          <w:rFonts w:hint="eastAsia" w:ascii="宋体" w:hAnsi="宋体" w:eastAsia="宋体" w:cs="宋体"/>
          <w:sz w:val="24"/>
          <w:szCs w:val="24"/>
        </w:rPr>
        <w:t xml:space="preserve">（北京时间）；</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3.开标地点：“苏采云”系统</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856"/>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6"/>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 5 个工作日</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六、其他补充事宜</w:t>
      </w:r>
      <w:r/>
    </w:p>
    <w:p>
      <w:pPr>
        <w:pStyle w:val="856"/>
        <w:ind w:left="0"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1、苏州市财政局政府采购监督电话：0512-68616651</w:t>
      </w:r>
      <w:r/>
    </w:p>
    <w:p>
      <w:pPr>
        <w:pStyle w:val="856"/>
        <w:ind w:left="0"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2、本公告同时在江苏省政府采购网、苏州市政府采购网上发布。</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 </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苏州市交通运输应急指挥中心</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苏州市姑苏区南环东路1号</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田治超</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联系电话：0512-65820360</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 </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苏州市永诚建设咨询有限公司</w:t>
      </w:r>
      <w:r>
        <w:rPr>
          <w:rFonts w:hint="eastAsia" w:ascii="宋体" w:hAnsi="宋体" w:eastAsia="宋体" w:cs="宋体"/>
          <w:sz w:val="24"/>
          <w:szCs w:val="24"/>
        </w:rPr>
        <w:t xml:space="preserve"> </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苏州市东吴北路221号惠康新地7楼</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0512-69157588-809</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蒯珊珊</w:t>
      </w:r>
      <w:r/>
    </w:p>
    <w:p>
      <w:pPr>
        <w:pStyle w:val="856"/>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0512-69157588-809</w:t>
      </w:r>
      <w:r/>
    </w:p>
    <w:p>
      <w:pPr>
        <w:pStyle w:val="865"/>
        <w:ind w:left="0" w:firstLine="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44"/>
          <w:szCs w:val="22"/>
        </w:rPr>
      </w:pPr>
      <w:r/>
      <w:bookmarkStart w:id="8" w:name="_Toc2412"/>
      <w:r/>
      <w:bookmarkStart w:id="9" w:name="_Toc6217"/>
      <w:r/>
      <w:bookmarkStart w:id="10" w:name="_Toc105397777"/>
      <w:r>
        <w:rPr>
          <w:rFonts w:hint="eastAsia" w:ascii="宋体" w:hAnsi="宋体" w:eastAsia="宋体" w:cs="宋体"/>
          <w:b/>
          <w:sz w:val="44"/>
          <w:szCs w:val="22"/>
        </w:rPr>
        <w:br w:type="page" w:clear="all"/>
      </w:r>
      <w:r/>
    </w:p>
    <w:p>
      <w:pPr>
        <w:pStyle w:val="839"/>
        <w:ind w:left="0" w:firstLine="0"/>
        <w:jc w:val="center"/>
        <w:rPr>
          <w:rFonts w:hint="eastAsia" w:ascii="宋体" w:hAnsi="宋体" w:eastAsia="宋体" w:cs="宋体"/>
          <w:b/>
          <w:sz w:val="44"/>
          <w:szCs w:val="22"/>
        </w:rPr>
      </w:pPr>
      <w:r>
        <w:rPr>
          <w:rFonts w:hint="eastAsia" w:ascii="宋体" w:hAnsi="宋体" w:eastAsia="宋体" w:cs="宋体"/>
          <w:b/>
          <w:sz w:val="44"/>
          <w:szCs w:val="22"/>
        </w:rPr>
        <w:t xml:space="preserve">第二章  </w:t>
      </w:r>
      <w:bookmarkStart w:id="11" w:name="投标人须知"/>
      <w:r/>
      <w:bookmarkEnd w:id="11"/>
      <w:r>
        <w:rPr>
          <w:rFonts w:hint="eastAsia" w:ascii="宋体" w:hAnsi="宋体" w:eastAsia="宋体" w:cs="宋体"/>
          <w:b/>
          <w:sz w:val="44"/>
          <w:szCs w:val="22"/>
        </w:rPr>
        <w:t xml:space="preserve">投标人须知</w:t>
      </w:r>
      <w:bookmarkEnd w:id="8"/>
      <w:r/>
      <w:bookmarkEnd w:id="9"/>
      <w:r/>
      <w:bookmarkEnd w:id="10"/>
      <w:r/>
      <w:r/>
    </w:p>
    <w:p>
      <w:pPr>
        <w:pStyle w:val="856"/>
        <w:ind w:left="0" w:firstLine="422"/>
        <w:spacing w:line="360" w:lineRule="auto"/>
        <w:rPr>
          <w:rFonts w:hint="eastAsia" w:ascii="宋体" w:hAnsi="宋体" w:eastAsia="宋体" w:cs="宋体"/>
          <w:b/>
          <w:sz w:val="24"/>
          <w:szCs w:val="24"/>
        </w:rPr>
      </w:pPr>
      <w:r/>
      <w:bookmarkStart w:id="12" w:name="_Toc20132"/>
      <w:r/>
      <w:bookmarkStart w:id="13" w:name="_Toc13437"/>
      <w:r>
        <w:rPr>
          <w:rFonts w:hint="eastAsia" w:ascii="宋体" w:hAnsi="宋体" w:eastAsia="宋体" w:cs="宋体"/>
          <w:b/>
          <w:sz w:val="24"/>
          <w:szCs w:val="24"/>
        </w:rPr>
        <w:t xml:space="preserve">一、说明和释义</w:t>
      </w:r>
      <w:bookmarkEnd w:id="12"/>
      <w:r/>
      <w:bookmarkEnd w:id="13"/>
      <w:r/>
      <w:r/>
    </w:p>
    <w:p>
      <w:pPr>
        <w:pStyle w:val="856"/>
        <w:ind w:left="0" w:firstLine="422"/>
        <w:spacing w:line="360" w:lineRule="auto"/>
        <w:rPr>
          <w:rFonts w:hint="eastAsia" w:ascii="宋体" w:hAnsi="宋体" w:eastAsia="宋体" w:cs="宋体"/>
          <w:b/>
          <w:sz w:val="24"/>
          <w:szCs w:val="24"/>
        </w:rPr>
      </w:pPr>
      <w:r/>
      <w:bookmarkStart w:id="14" w:name="_Toc9408"/>
      <w:r>
        <w:rPr>
          <w:rFonts w:hint="eastAsia" w:ascii="宋体" w:hAnsi="宋体" w:eastAsia="宋体" w:cs="宋体"/>
          <w:b/>
          <w:sz w:val="24"/>
          <w:szCs w:val="24"/>
        </w:rPr>
        <w:t xml:space="preserve">1.说明</w:t>
      </w:r>
      <w:bookmarkEnd w:id="14"/>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w:t>
      </w:r>
      <w:r>
        <w:rPr>
          <w:rFonts w:hint="eastAsia" w:ascii="宋体" w:hAnsi="宋体" w:eastAsia="宋体" w:cs="宋体"/>
          <w:sz w:val="24"/>
          <w:szCs w:val="24"/>
          <w:lang w:eastAsia="zh-CN"/>
        </w:rPr>
        <w:t xml:space="preserve">苏州市永诚建设咨询有限公司</w:t>
      </w:r>
      <w:r>
        <w:rPr>
          <w:rFonts w:hint="eastAsia" w:ascii="宋体" w:hAnsi="宋体" w:eastAsia="宋体" w:cs="宋体"/>
          <w:sz w:val="24"/>
          <w:szCs w:val="24"/>
        </w:rPr>
        <w:t xml:space="preserve">组织的招标活动。</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w:t>
      </w:r>
      <w:r>
        <w:rPr>
          <w:rFonts w:hint="eastAsia" w:ascii="宋体" w:hAnsi="宋体" w:eastAsia="宋体" w:cs="宋体"/>
          <w:sz w:val="24"/>
          <w:szCs w:val="24"/>
          <w:lang w:eastAsia="zh-CN"/>
        </w:rPr>
        <w:t xml:space="preserve">苏州市交通运输应急指挥中心</w:t>
      </w:r>
      <w:r>
        <w:rPr>
          <w:rFonts w:hint="eastAsia" w:ascii="宋体" w:hAnsi="宋体" w:eastAsia="宋体" w:cs="宋体"/>
          <w:sz w:val="24"/>
          <w:szCs w:val="24"/>
        </w:rPr>
        <w:t xml:space="preserve">。</w:t>
      </w:r>
      <w:r/>
    </w:p>
    <w:p>
      <w:pPr>
        <w:pStyle w:val="856"/>
        <w:ind w:left="0" w:firstLine="422"/>
        <w:spacing w:line="360" w:lineRule="auto"/>
        <w:rPr>
          <w:rFonts w:hint="eastAsia" w:ascii="宋体" w:hAnsi="宋体" w:eastAsia="宋体" w:cs="宋体"/>
          <w:b/>
          <w:sz w:val="24"/>
          <w:szCs w:val="24"/>
        </w:rPr>
      </w:pPr>
      <w:r/>
      <w:bookmarkStart w:id="15" w:name="_Toc27555"/>
      <w:r>
        <w:rPr>
          <w:rFonts w:hint="eastAsia" w:ascii="宋体" w:hAnsi="宋体" w:eastAsia="宋体" w:cs="宋体"/>
          <w:b/>
          <w:sz w:val="24"/>
          <w:szCs w:val="24"/>
        </w:rPr>
        <w:t xml:space="preserve">2.词语释义</w:t>
      </w:r>
      <w:bookmarkEnd w:id="15"/>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采购人：指依法进行政府采购的国家机关、事业单位、团体组织。</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2.2采购代理机构：指依法接受采购人委托，从事货物、工程和服务等政府采购业务的采购代理机构。本项目的采购代理机构是</w:t>
      </w:r>
      <w:r>
        <w:rPr>
          <w:rFonts w:hint="eastAsia" w:ascii="宋体" w:hAnsi="宋体" w:eastAsia="宋体" w:cs="宋体"/>
          <w:sz w:val="24"/>
          <w:szCs w:val="24"/>
          <w:lang w:eastAsia="zh-CN"/>
        </w:rPr>
        <w:t xml:space="preserve">苏州市永诚建设咨询有限公司</w:t>
      </w:r>
      <w:r>
        <w:rPr>
          <w:rFonts w:hint="eastAsia" w:ascii="宋体" w:hAnsi="宋体" w:eastAsia="宋体" w:cs="宋体"/>
          <w:sz w:val="24"/>
          <w:szCs w:val="24"/>
        </w:rPr>
        <w:t xml:space="preserve">。</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投标人（供应商）：指响应招标、参加投标竞争的法人、其他组织或自然人。</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投标：投标人根据采购人或采购代理机构发布的招标文件，编制投标文件并按规定投标的行为。</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2.6甲方（采购人）：指招标文件中载明的，依法进行政府采购的国家机关、事业单位、团体组织。</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2.7乙方（中标供应商）：合同中规定的向采购人提供货物和服务的法人或其他组织和自然人。</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2.8天：日历日。</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2.9时间：除特别说明，均指北京时间。</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2.11交货地点:合同中明确约定的乙方提交的货物和服务最终到达地点。</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2.12合同价款:根据合同规定,乙方在正确地履行合同义务后甲方应支付乙方的价款。</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2.14不可抗力：不能预见、不能避免并且不能克服的客观情况。</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2.15实质性投标：满足有关本次采购标的、数量、质量、价款或者报酬、履行期限、履行地点和方式、违约责任和解决争议方法等要求。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2.16进口产品：指通过中国海关报关验放进入中国境内且产自境外的产品。</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2.17书面形式：指书面文字、合同书、信件和传真等可以有形地表现所载内容的形式。</w:t>
      </w:r>
      <w:bookmarkStart w:id="16" w:name="_Toc13350"/>
      <w:r/>
      <w:bookmarkStart w:id="17" w:name="_Toc14976"/>
      <w:r/>
      <w:r/>
    </w:p>
    <w:p>
      <w:pPr>
        <w:pStyle w:val="856"/>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二、投标人</w:t>
      </w:r>
      <w:bookmarkEnd w:id="16"/>
      <w:r/>
      <w:bookmarkEnd w:id="17"/>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3.1满足《中华人民共和国政府采购法》第二十二条规定，投标人应当具备下列条件：</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pStyle w:val="897"/>
        <w:ind w:left="0" w:firstLine="42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3.2落实政府采购政策需满足的资格要求：</w:t>
      </w:r>
      <w:r>
        <w:rPr>
          <w:rFonts w:hint="eastAsia" w:ascii="宋体" w:hAnsi="宋体" w:eastAsia="宋体" w:cs="宋体"/>
          <w:sz w:val="24"/>
          <w:szCs w:val="24"/>
          <w:lang w:val="en-US" w:eastAsia="zh-CN"/>
        </w:rPr>
        <w:t xml:space="preserve">详见投标邀请函。</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3.3本项目的特定资格要求：</w:t>
      </w:r>
      <w:r>
        <w:rPr>
          <w:rFonts w:hint="eastAsia" w:ascii="宋体" w:hAnsi="宋体" w:eastAsia="宋体" w:cs="宋体"/>
          <w:sz w:val="24"/>
          <w:szCs w:val="24"/>
          <w:lang w:val="en-US" w:eastAsia="zh-CN"/>
        </w:rPr>
        <w:t xml:space="preserve">详见投标邀请函。</w:t>
      </w:r>
      <w:r/>
    </w:p>
    <w:p>
      <w:pPr>
        <w:pStyle w:val="897"/>
        <w:ind w:left="0" w:firstLine="422"/>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4.1指授权全权代表投标人参加投标活动并签署投标文件的人，如果投标人代表不是法人代表，须持有《法定代表人授权委托书》（详见统一格式）。</w:t>
      </w:r>
      <w:r/>
    </w:p>
    <w:p>
      <w:pPr>
        <w:pStyle w:val="897"/>
        <w:ind w:left="0" w:firstLine="422"/>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pStyle w:val="897"/>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6.联合投标及转包、分包</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6.1本项目不接受联合体投标。</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6.2本项目不接受转包、分包。</w:t>
      </w:r>
      <w:bookmarkStart w:id="18" w:name="_Toc5764"/>
      <w:r/>
      <w:bookmarkStart w:id="19" w:name="_Toc31958"/>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6.3本项目不接受进口产品。</w:t>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三、招标文件的说明</w:t>
      </w:r>
      <w:bookmarkEnd w:id="18"/>
      <w:r/>
      <w:bookmarkEnd w:id="19"/>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8.招标文件的澄清和修改</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8.4招标文件的澄清、修改、补充等内容均以苏州市政府采购网上发布的内容为准。</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856"/>
        <w:ind w:left="0" w:firstLine="420"/>
        <w:spacing w:line="360" w:lineRule="auto"/>
        <w:rPr>
          <w:rFonts w:hint="eastAsia" w:ascii="宋体" w:hAnsi="宋体" w:eastAsia="宋体" w:cs="宋体"/>
          <w:sz w:val="24"/>
          <w:szCs w:val="24"/>
        </w:rPr>
      </w:pPr>
      <w:r/>
      <w:bookmarkStart w:id="20" w:name="_Toc16745"/>
      <w:r/>
      <w:bookmarkStart w:id="21" w:name="_Toc19463"/>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856"/>
        <w:ind w:left="0" w:firstLine="420"/>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856"/>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bookmarkStart w:id="23" w:name="OLE_LINK38"/>
      <w:r/>
      <w:bookmarkStart w:id="24" w:name="OLE_LINK41"/>
      <w:r>
        <w:rPr>
          <w:rFonts w:hint="eastAsia" w:ascii="宋体" w:hAnsi="宋体" w:eastAsia="宋体" w:cs="宋体"/>
          <w:b/>
          <w:sz w:val="24"/>
          <w:szCs w:val="24"/>
        </w:rPr>
        <w:t xml:space="preserve">请将合法获取招标文件的证明材料（即《投标供应商确认函》）、</w:t>
      </w:r>
      <w:bookmarkStart w:id="25" w:name="OLE_LINK43"/>
      <w:r>
        <w:rPr>
          <w:rFonts w:hint="eastAsia" w:ascii="宋体" w:hAnsi="宋体" w:eastAsia="宋体" w:cs="宋体"/>
          <w:b/>
          <w:sz w:val="24"/>
          <w:szCs w:val="24"/>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eastAsia="宋体" w:cs="宋体"/>
          <w:b/>
          <w:sz w:val="24"/>
          <w:szCs w:val="24"/>
        </w:rPr>
        <w:t xml:space="preserve">与质疑函一起递交，否则不予受理。</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856"/>
        <w:ind w:left="0" w:firstLine="422"/>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质疑联系人：</w:t>
      </w:r>
      <w:r>
        <w:rPr>
          <w:rFonts w:hint="eastAsia" w:ascii="宋体" w:hAnsi="宋体" w:eastAsia="宋体" w:cs="宋体"/>
          <w:b w:val="0"/>
          <w:bCs/>
          <w:sz w:val="24"/>
          <w:szCs w:val="24"/>
          <w:lang w:val="en-US" w:eastAsia="zh-CN"/>
        </w:rPr>
        <w:t xml:space="preserve">蒯珊珊</w:t>
      </w:r>
      <w:r/>
    </w:p>
    <w:p>
      <w:pPr>
        <w:pStyle w:val="856"/>
        <w:ind w:left="0" w:firstLine="422"/>
        <w:spacing w:line="360" w:lineRule="auto"/>
        <w:rPr>
          <w:rFonts w:hint="eastAsia" w:ascii="宋体" w:hAnsi="宋体" w:eastAsia="宋体" w:cs="宋体"/>
          <w:b w:val="0"/>
          <w:bCs/>
          <w:sz w:val="24"/>
          <w:szCs w:val="24"/>
        </w:rPr>
      </w:pPr>
      <w:r/>
      <w:bookmarkStart w:id="26" w:name="OLE_LINK32"/>
      <w:r/>
      <w:bookmarkStart w:id="27" w:name="OLE_LINK35"/>
      <w:r/>
      <w:bookmarkStart w:id="28" w:name="OLE_LINK22"/>
      <w:r/>
      <w:bookmarkStart w:id="29" w:name="OLE_LINK33"/>
      <w:r>
        <w:rPr>
          <w:rFonts w:hint="eastAsia" w:ascii="宋体" w:hAnsi="宋体" w:eastAsia="宋体" w:cs="宋体"/>
          <w:b w:val="0"/>
          <w:bCs/>
          <w:sz w:val="24"/>
          <w:szCs w:val="24"/>
        </w:rPr>
        <w:t xml:space="preserve">联系电话：0512-69157588*809</w:t>
      </w:r>
      <w:r/>
    </w:p>
    <w:p>
      <w:pPr>
        <w:pStyle w:val="856"/>
        <w:ind w:left="0"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联系地址：</w:t>
      </w:r>
      <w:r>
        <w:rPr>
          <w:rFonts w:hint="eastAsia" w:ascii="宋体" w:hAnsi="宋体" w:eastAsia="宋体" w:cs="宋体"/>
          <w:b w:val="0"/>
          <w:bCs/>
          <w:sz w:val="24"/>
          <w:szCs w:val="24"/>
          <w:lang w:eastAsia="zh-CN"/>
        </w:rPr>
        <w:t xml:space="preserve">苏州市东吴北路221号惠康新地7楼</w:t>
      </w:r>
      <w:bookmarkEnd w:id="26"/>
      <w:r/>
      <w:bookmarkEnd w:id="27"/>
      <w:r/>
      <w:bookmarkEnd w:id="28"/>
      <w:r/>
      <w:bookmarkEnd w:id="29"/>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四、投标文件说明</w:t>
      </w:r>
      <w:bookmarkEnd w:id="20"/>
      <w:r/>
      <w:bookmarkEnd w:id="21"/>
      <w:r/>
      <w:r/>
    </w:p>
    <w:p>
      <w:pPr>
        <w:pStyle w:val="856"/>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11.1投标人应仔细阅读招标文件的所有内容，应当按照招标文件的要求编制投标文件，并保证所提供全部资料的真实性，以使其投标对招标文件作出实质性响应，否则，其投标可能被拒绝。</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pStyle w:val="856"/>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12.投标文件计量单位和使用文字</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 知识产权</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14.投标文件的组成</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14.1投标文件</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14.1.1封面</w:t>
      </w:r>
      <w:r/>
    </w:p>
    <w:p>
      <w:pPr>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14.1.2开标一览表</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14.1.3公开分项报价</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14.1.4资格审查文件</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14.1.4.1关于资格文件的声明函（格式见第三章）；</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14.1.4.2投标人法定代表人身份证正反面复印件；</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14.1.4.3法定代表人授权委托书（如有授权，格式见第三章）；</w:t>
      </w:r>
      <w:r/>
    </w:p>
    <w:p>
      <w:pPr>
        <w:pStyle w:val="856"/>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14.1.4.4投标人授权代理人身份证正反面复印件（如有授权）；</w:t>
      </w:r>
      <w:r/>
    </w:p>
    <w:p>
      <w:pPr>
        <w:pStyle w:val="856"/>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14.1.4.5合格投标人资格证明材料：</w:t>
      </w:r>
      <w:r/>
    </w:p>
    <w:p>
      <w:pPr>
        <w:pStyle w:val="897"/>
        <w:ind w:left="0" w:righ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897"/>
        <w:ind w:left="0" w:righ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（提供2025年度经会计师事务所审计的财务报告或投标文件截止时间前半年内至少一个月财务报表（资产负债表、利润表、现金流量表）</w:t>
      </w:r>
      <w:r>
        <w:rPr>
          <w:rFonts w:hint="eastAsia" w:ascii="宋体" w:hAnsi="宋体" w:cs="宋体"/>
          <w:b/>
          <w:sz w:val="24"/>
          <w:szCs w:val="24"/>
          <w:lang w:val="en-US" w:eastAsia="zh-CN"/>
        </w:rPr>
        <w:t xml:space="preserve">或</w:t>
      </w:r>
      <w:r>
        <w:rPr>
          <w:rFonts w:hint="eastAsia" w:ascii="宋体" w:hAnsi="宋体" w:eastAsia="宋体" w:cs="宋体"/>
          <w:b/>
          <w:sz w:val="24"/>
          <w:szCs w:val="24"/>
        </w:rPr>
        <w:t xml:space="preserve">银行出具的资信证明）；</w:t>
      </w:r>
      <w:r/>
    </w:p>
    <w:p>
      <w:pPr>
        <w:pStyle w:val="897"/>
        <w:ind w:left="0" w:righ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856"/>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856"/>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pStyle w:val="856"/>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《中小企业声明函》或《残疾人福利性单位声明函》或省级以上监狱管理局、戒毒管理局（含新疆生产建设兵团）出具的属于监狱企业的证明文件；</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14.1.4.6其它有关资格证明文件。</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14.1.5符合性审查文件</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14.1.5.1投标函</w:t>
      </w:r>
      <w:r>
        <w:rPr>
          <w:rFonts w:hint="eastAsia" w:ascii="宋体" w:hAnsi="宋体" w:eastAsia="宋体" w:cs="宋体"/>
          <w:sz w:val="24"/>
          <w:szCs w:val="24"/>
          <w:lang w:eastAsia="zh-CN"/>
        </w:rPr>
        <w:t xml:space="preserve">、投标货物和服务数量、品牌规格、性能、交货期说明表（不得出现价格，格式见第三章）；</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14.1.5.2技术参数响应及偏离表（格式见第三章）；</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14.1.5.3商务条款响应及偏离表（格式见第三章）；</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14.1.5.4</w:t>
      </w:r>
      <w:r>
        <w:rPr>
          <w:rFonts w:hint="eastAsia" w:ascii="宋体" w:hAnsi="宋体" w:eastAsia="宋体" w:cs="宋体"/>
          <w:sz w:val="24"/>
          <w:szCs w:val="24"/>
        </w:rPr>
        <w:t xml:space="preserve">投标方情况表（格式见第三章）</w:t>
      </w:r>
      <w:r/>
    </w:p>
    <w:p>
      <w:pPr>
        <w:ind w:left="0" w:firstLine="408"/>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其他有关符合性证明的文件；</w:t>
      </w:r>
      <w:r/>
    </w:p>
    <w:p>
      <w:pPr>
        <w:ind w:left="0"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14.1.6综合评审文件（供应商根据评分标准制作）</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《关于符合本国产品标准的声明函》；</w:t>
      </w:r>
      <w:r/>
    </w:p>
    <w:p>
      <w:pPr>
        <w:ind w:left="0" w:firstLine="408"/>
        <w:spacing w:line="360" w:lineRule="auto"/>
        <w:rPr>
          <w:rFonts w:hint="eastAsia" w:ascii="宋体" w:hAnsi="宋体" w:eastAsia="宋体" w:cs="宋体"/>
          <w:sz w:val="24"/>
          <w:szCs w:val="24"/>
        </w:rPr>
      </w:pPr>
      <w:r>
        <w:rPr>
          <w:rFonts w:hint="eastAsia" w:ascii="宋体" w:hAnsi="宋体" w:eastAsia="宋体" w:cs="宋体"/>
          <w:sz w:val="24"/>
          <w:szCs w:val="24"/>
        </w:rPr>
        <w:t xml:space="preserve">14.1.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其他可以证明投标人资质、服务质量的证书、文件等相关资料。</w:t>
      </w:r>
      <w:r/>
    </w:p>
    <w:p>
      <w:pPr>
        <w:pStyle w:val="1221"/>
        <w:ind w:left="0" w:firstLine="43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注：（1）以上14.1.4.1-14.1.4.6为资格审查要求提供的材料，是作为对供应商资格审查、质疑身份认定的依据，投标人必须提供并加盖电子公章。否则，投标文件将被认定为不符合资格审查要求。</w:t>
      </w:r>
      <w:r/>
    </w:p>
    <w:p>
      <w:pPr>
        <w:pStyle w:val="1221"/>
        <w:ind w:left="0" w:firstLine="43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（2）以上14.1.5.1-14.1.5.</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1221"/>
        <w:ind w:left="0" w:firstLine="43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（3）“14.1.4-14.1.</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”中不得出现投标总报价。</w:t>
      </w:r>
      <w:r>
        <w:rPr>
          <w:rFonts w:hint="eastAsia" w:ascii="宋体" w:hAnsi="宋体" w:eastAsia="宋体" w:cs="宋体"/>
          <w:sz w:val="24"/>
          <w:szCs w:val="24"/>
        </w:rPr>
        <w:t xml:space="preserve">投标人所提交的资料的完整与否，将直接影响投标人的评分。</w:t>
      </w:r>
      <w:r/>
    </w:p>
    <w:p>
      <w:pPr>
        <w:pStyle w:val="1221"/>
        <w:ind w:left="0" w:firstLine="430"/>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（4）制作电子投标文件时必须与投标文件制作软件目录一一对应，将相关资料上传至相应模块，如未按照系统中模块上传的，相关不利后果（如资格审查不通过、符合性审查不通过）由供应商自行承担。</w:t>
      </w:r>
      <w:r/>
    </w:p>
    <w:p>
      <w:pPr>
        <w:pStyle w:val="1221"/>
        <w:ind w:left="0" w:firstLine="43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15.投标文件编制要求</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15.1投标文件按统一格式、顺序编写。</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15.2《开标一览表》为在开标仪式上唱标的内容，要求按格式填写，统一规范，不得自行增减内容。</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16.投标报价（编制）要求的说明</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16.2投标人应对招标文件内所要采购的全部内容进行报价，只投其中部分内容者，其标书将被拒绝（如为多标段项目，则上述提到的全部内容是指所投标段对应采购的全部内容）。</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16.3一项投标内容只允许一个报价，招标人不接受任何有选择性的投标报价。</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16.4投标文件报价采用人民币表示，除非合同的特殊条款另有规定。</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16.5最低的报价或最高的折扣率不能作为中标的保证。</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17.投标保证金：</w:t>
      </w:r>
      <w:r>
        <w:rPr>
          <w:rFonts w:hint="eastAsia" w:ascii="宋体" w:hAnsi="宋体" w:eastAsia="宋体" w:cs="宋体"/>
          <w:b/>
          <w:sz w:val="24"/>
          <w:szCs w:val="24"/>
          <w:lang w:val="en-US"/>
        </w:rPr>
        <w:t xml:space="preserve">本项目不收取投标保证金。</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18.投标文件的有效期</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18.1自提交投标文件截止之日起90天内，投标文件中承诺的投标有效期应当不少于招标文件中载明的投标有效期。</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18.2在特殊情况下，采购人、采购代理机构可与投标人协商延长投标书的有效期。这种要求和答复都应以书面形式进行。同意延长有效期的投标人不能修改投标文件。</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19.投标文件的制作、签署、上传</w:t>
      </w:r>
      <w:r/>
    </w:p>
    <w:p>
      <w:pPr>
        <w:pStyle w:val="1221"/>
        <w:ind w:left="0" w:firstLine="428"/>
        <w:spacing w:line="360" w:lineRule="auto"/>
        <w:rPr>
          <w:rFonts w:hint="eastAsia" w:ascii="宋体" w:hAnsi="宋体" w:eastAsia="宋体" w:cs="宋体"/>
          <w:b/>
          <w:sz w:val="24"/>
          <w:szCs w:val="24"/>
          <w:lang w:val="en-US"/>
        </w:rPr>
      </w:pPr>
      <w:r>
        <w:rPr>
          <w:rFonts w:hint="eastAsia" w:ascii="宋体" w:hAnsi="宋体" w:eastAsia="宋体" w:cs="宋体"/>
          <w:sz w:val="24"/>
          <w:szCs w:val="24"/>
        </w:rPr>
        <w:t xml:space="preserve">19.1本项目采用电子招投标形式，请供应商按照</w:t>
      </w:r>
      <w:r>
        <w:rPr>
          <w:rFonts w:hint="eastAsia" w:ascii="宋体" w:hAnsi="宋体" w:eastAsia="宋体" w:cs="宋体"/>
          <w:b/>
          <w:sz w:val="24"/>
          <w:szCs w:val="24"/>
        </w:rPr>
        <w:t xml:space="preserve">《苏采云系统供应商操作手册》</w:t>
      </w:r>
      <w:r>
        <w:rPr>
          <w:rFonts w:hint="eastAsia" w:ascii="宋体" w:hAnsi="宋体" w:eastAsia="宋体" w:cs="宋体"/>
          <w:sz w:val="24"/>
          <w:szCs w:val="24"/>
        </w:rPr>
        <w:t xml:space="preserve">进行制作、上传电子投标文件。</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19.2制作电子投标文件时，应按照招标文件要求加盖投标人电子公章。</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r>
        <w:rPr>
          <w:rFonts w:hint="eastAsia" w:ascii="宋体" w:hAnsi="宋体" w:eastAsia="宋体" w:cs="宋体"/>
          <w:b/>
          <w:sz w:val="24"/>
          <w:szCs w:val="24"/>
        </w:rPr>
        <w:t xml:space="preserve">电子投标文件制作完成后请于投标文件网上提交截止时间前成功上传至“苏采云”系统，否则视为放弃参加该采购项目。</w:t>
      </w:r>
      <w:bookmarkStart w:id="30" w:name="_Toc25608"/>
      <w:r/>
      <w:bookmarkStart w:id="31" w:name="_Toc31150"/>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五、投标文件的递交、补充、修改和撤回</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20.投标文件的递交</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20.1投标人应当在投标截止时间前制作并上传电子投标文件。</w:t>
      </w:r>
      <w:r/>
    </w:p>
    <w:p>
      <w:pPr>
        <w:pStyle w:val="856"/>
        <w:ind w:left="0" w:firstLine="420"/>
        <w:spacing w:line="360" w:lineRule="auto"/>
        <w:rPr>
          <w:rFonts w:hint="eastAsia" w:ascii="宋体" w:hAnsi="宋体" w:eastAsia="宋体" w:cs="宋体"/>
          <w:b/>
          <w:sz w:val="24"/>
          <w:szCs w:val="24"/>
          <w:lang w:eastAsia="zh-CN"/>
        </w:rPr>
      </w:pPr>
      <w:r>
        <w:rPr>
          <w:rFonts w:hint="eastAsia" w:ascii="宋体" w:hAnsi="宋体" w:eastAsia="宋体" w:cs="宋体"/>
          <w:sz w:val="24"/>
          <w:szCs w:val="24"/>
        </w:rPr>
        <w:t xml:space="preserve">20.2投标人通过</w:t>
      </w:r>
      <w:r>
        <w:rPr>
          <w:rFonts w:hint="eastAsia" w:ascii="宋体" w:hAnsi="宋体" w:eastAsia="宋体" w:cs="宋体"/>
          <w:b/>
          <w:sz w:val="24"/>
          <w:szCs w:val="24"/>
        </w:rPr>
        <w:t xml:space="preserve">“苏采云”系统不见面开标大厅在线参与开标活动。（具体操作详见《苏采云系统供应商操作手册》</w:t>
      </w:r>
      <w:r>
        <w:rPr>
          <w:rFonts w:hint="eastAsia" w:ascii="宋体" w:hAnsi="宋体" w:eastAsia="宋体" w:cs="宋体"/>
          <w:b/>
          <w:sz w:val="24"/>
          <w:szCs w:val="24"/>
          <w:lang w:eastAsia="zh-CN"/>
        </w:rPr>
        <w:t xml:space="preserve">。</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21.投标截止时间</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21.1投标人应当在招标文件要求投标文件网上提交截止时间前，将投标文件完成提交（上传）。逾期提交（上传）的投标文件，采购人和采购代理机构拒绝接收。</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21.3在投标截止时间止成功解密的投标文件少于三份，采购代理机构有权宣布本次招标失败。</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22.投标文件的补充、修改和撤回</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22.2投标人在投标文件网上提交截止时间前，可以撤回其电子投标文件，具体操作方法见《苏采云系统供应商操作手册》。</w:t>
      </w:r>
      <w:bookmarkStart w:id="32" w:name="_Toc22837"/>
      <w:r/>
      <w:bookmarkStart w:id="33" w:name="_Toc29371"/>
      <w:r>
        <w:rPr>
          <w:rFonts w:hint="eastAsia" w:ascii="宋体" w:hAnsi="宋体" w:eastAsia="宋体" w:cs="宋体"/>
          <w:sz w:val="24"/>
          <w:szCs w:val="24"/>
        </w:rPr>
        <w:t xml:space="preserve">投标人撤回电子投标文件，则认为其不再参与本项目投标活动。在投标截止时间至招标文件中规定的投标有效期满之间的这段时间内，投标人不得撤回其投标。</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六、开标和评标</w:t>
      </w:r>
      <w:bookmarkEnd w:id="32"/>
      <w:r/>
      <w:bookmarkEnd w:id="33"/>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23.开标</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23.1开标由采购代理机构</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主持，邀请投标人</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参加。投标人应当按照《苏采云系统供应商操作手册》规定，</w:t>
      </w:r>
      <w:r>
        <w:rPr>
          <w:rFonts w:hint="eastAsia" w:ascii="宋体" w:hAnsi="宋体" w:eastAsia="宋体" w:cs="宋体"/>
          <w:b/>
          <w:sz w:val="24"/>
          <w:szCs w:val="24"/>
        </w:rPr>
        <w:t xml:space="preserve">参加开标活动和在“苏采云”系统规定的时间内对投标文件进行解密</w:t>
      </w:r>
      <w:r>
        <w:rPr>
          <w:rFonts w:hint="eastAsia" w:ascii="宋体" w:hAnsi="宋体" w:eastAsia="宋体" w:cs="宋体"/>
          <w:sz w:val="24"/>
          <w:szCs w:val="24"/>
        </w:rPr>
        <w:t xml:space="preserve">。评标委员会成员不得参加开标活动。</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23.3资格审查</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23.3.1公开招标采购项目开标结束后，采购人应当依法对投标人的资格进行审查，未通过资格审查的视为无效投标。</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23.3.2.1查询时间：投标文件递交截止时间。</w:t>
      </w:r>
      <w:r/>
    </w:p>
    <w:p>
      <w:pPr>
        <w:pStyle w:val="1221"/>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23.3.2.2查询渠道</w:t>
      </w:r>
      <w:r>
        <w:rPr>
          <w:rFonts w:hint="eastAsia" w:ascii="宋体" w:hAnsi="宋体" w:eastAsia="宋体" w:cs="宋体"/>
          <w:b/>
          <w:sz w:val="24"/>
          <w:szCs w:val="24"/>
        </w:rPr>
        <w:t xml:space="preserve">：</w:t>
      </w:r>
      <w:r>
        <w:rPr>
          <w:rFonts w:hint="eastAsia" w:ascii="宋体" w:hAnsi="宋体" w:eastAsia="宋体" w:cs="宋体"/>
          <w:sz w:val="24"/>
          <w:szCs w:val="24"/>
        </w:rPr>
        <w:t xml:space="preserve">采购代理机构会在接收投标文件截止时间后，登录信用中国网站（www.creditchina.gov.cn）和中国政府采购网（www.ccgp.gov.cn/）查询供应商的信用记录，并将查询结果递交评标委员会。</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 w:val="24"/>
          <w:szCs w:val="24"/>
          <w:lang w:val="en-US"/>
        </w:rPr>
        <w:t xml:space="preserve">录</w:t>
      </w:r>
      <w:r>
        <w:rPr>
          <w:rFonts w:hint="eastAsia" w:ascii="宋体" w:hAnsi="宋体" w:eastAsia="宋体" w:cs="宋体"/>
          <w:sz w:val="24"/>
          <w:szCs w:val="24"/>
        </w:rPr>
        <w:t xml:space="preserve">到来源网站页面进行复核并打印，作为证据留存。</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24.评标委员会</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24.1评标委员会负责具体评标事务，并独立履行下列职责：</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24.1.1审查、评价投标文件是否符合招标文件的商务、技术等实质性要求；</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24.1.2要求投标人对投标文件有关事项作出澄清或者说明；</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24.1.3对投标文件进行比较和评价；</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24.1.4确定中标候选人名单，以及根据采购人委托直接确定中标人；</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24.1.5向采购人、采购代理机构或者有关部门报告评标中发现的违法行为。</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24.2评标委员会成员应当履行下列义务：</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24.2.1遵纪守法，客观、公正、廉洁地履行职责；</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24.2.2按照招标文件规定的评标办法和评标标准进行评标，对评审意见承担个人责任；</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24.2.3对评标过程和结果，以及投标人的商业秘密保密；</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24.2.4评标委员会根据全体评标成员签字的原始评标记录和评标结果编写评标报告。评标报告应当包括以下内容： </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（一）招标公告刊登的媒体名称、开标日期和地点；</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（二）投标人名单和评标委员会成员名单；</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（三）评标方法和标准；</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（四）开标记录和评标情况及说明，包括无效投标人名单及原因；</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（五）评标结果，确定的中标候选人名单或者经采购人委托直接确定的中标人；</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（六）其他需要说明的情况，包括评标过程中投标人根据评标委员会要求进行的澄清、说明或者补正，评标委员会成员的更换等。</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24.2.5配合相关部门的投诉处理工作；</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24.2.6配合采购人和采购代理机构答复投标人提出的质疑。</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25.评标内容的保密</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25.1公开开标后，直到宣布授予中标合同为止，凡属于审查、澄清、评价和比较投标的所有资料，有关授予合同的信息都不应向投标人或与评标无关的其他人泄露。</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25.2在投标文件的审查、澄清、评价和比较以及授予合同的过程中，投标人对采购人、采购代理机构和评标委员会成员施加影响的任何行为，都将取消其中标资格。</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26.对投标文件初审</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26.1评标委员会应当对符合资格的投标人的投标文件进行符合性审查，以确定其是否满足招标文件的实质性要求。</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投标文件有下列情况之一者评标委员会有权将其拒绝：</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26.1.1投标人的投标文件未按照本须知规定制作的；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26.1.2未按本须知规定提交资格文件；</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26.1.3与招标文件有重大偏离；</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26.1.4投标人拒绝修正错误；</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26.1.5投标人的报价是选择性的；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26.1.6投标人的报价只投了部分内容；</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26.1.7投标人的投标文件出现了评标委员会认为不应当雷同的情况；</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26.1.8其他被评委会认定无效的情况。</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26.3投标文件报价出现前后不一致的，除招标文件另有规定外，按照下列规定修正：</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1"/>
        <w:ind w:left="0" w:firstLine="422"/>
        <w:spacing w:line="360" w:lineRule="auto"/>
        <w:rPr>
          <w:rFonts w:hint="eastAsia" w:ascii="宋体" w:hAnsi="宋体" w:eastAsia="宋体" w:cs="宋体"/>
          <w:b/>
          <w:sz w:val="24"/>
          <w:szCs w:val="24"/>
        </w:rPr>
      </w:pPr>
      <w:r/>
      <w:bookmarkStart w:id="34" w:name="OLE_LINK11"/>
      <w:r>
        <w:rPr>
          <w:rFonts w:hint="eastAsia" w:ascii="宋体" w:hAnsi="宋体" w:eastAsia="宋体" w:cs="宋体"/>
          <w:b/>
          <w:sz w:val="24"/>
          <w:szCs w:val="24"/>
        </w:rPr>
        <w:t xml:space="preserve">26.4异常低价投标审查</w:t>
      </w:r>
      <w:r/>
    </w:p>
    <w:p>
      <w:pPr>
        <w:pStyle w:val="1221"/>
        <w:ind w:left="0" w:firstLine="422"/>
        <w:spacing w:line="360" w:lineRule="auto"/>
        <w:rPr>
          <w:rFonts w:hint="eastAsia" w:ascii="宋体" w:hAnsi="宋体" w:eastAsia="宋体" w:cs="宋体"/>
          <w:b/>
          <w:sz w:val="24"/>
          <w:szCs w:val="24"/>
          <w:lang w:val="en-US"/>
        </w:rPr>
      </w:pPr>
      <w:r/>
      <w:bookmarkStart w:id="35" w:name="OLE_LINK3"/>
      <w:r/>
      <w:bookmarkStart w:id="36" w:name="OLE_LINK4"/>
      <w:r>
        <w:rPr>
          <w:rFonts w:hint="eastAsia" w:ascii="宋体" w:hAnsi="宋体" w:eastAsia="宋体" w:cs="宋体"/>
          <w:b/>
          <w:sz w:val="24"/>
          <w:szCs w:val="24"/>
          <w:lang w:val="en-US"/>
        </w:rPr>
        <w:t xml:space="preserve">根据江苏省财政厅《关于推动解决政府采购异常低价问题的通知》（苏财购〔2026〕36号）要求，本项目执行评审委员会启动异常低价投标（响应）的审查，相关情形和具体要求如下：</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（1）评审过程中出现下列情形之一的，评审委员会应当启动异常低价投标（响应）审查程序：</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①投标(响应)报价低于全部通过符合性审查供应商投标(响应)报价平均值50%的，即投标(响应)报价&lt;全部通过符合性审查供应商投标(响应)报价平均值X50%；</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②投标(响应)报价低于通过符合性审查的次低报价供应商投标(响应)报价50%的，即投标(响应)报价&lt;通过符合性审查的次低报价供应商投标(响应)报价X50%；</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③投标(响应)报价低于采购项目最高限价45%的，即投标(响应)报价&lt;采购项目最高限价X45%；</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④评审委员会基于专业判断，认为供应商报价过低，有可能影响产品质量或者不能诚信履约的其他情形。</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21"/>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sz w:val="24"/>
          <w:szCs w:val="24"/>
        </w:rPr>
        <w:t xml:space="preserve">。</w:t>
      </w:r>
      <w:bookmarkEnd w:id="35"/>
      <w:r/>
      <w:bookmarkEnd w:id="36"/>
      <w:r/>
      <w:bookmarkEnd w:id="34"/>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27.投标的澄清</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27.1对于投标文件中含义不明确、同类问题表述不一致或者有明显文字和计算错误的内容，评标委员会应当以书面形式要求投标人作出必要的澄清、说明或者补正。</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pStyle w:val="1221"/>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sz w:val="24"/>
          <w:szCs w:val="24"/>
        </w:rPr>
        <w:t xml:space="preserve">供应商应随时保持系统在线，如因供应商自身原因未在规定时间内提交澄清确认资料的，导致的不利后果由供应商自行承担。</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28.投标无效</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28.1投标人存在下列情况之一的，投标无效:</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（五）机器码检查中，出现不同投标人投标文件机器码一致情形的；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28.2投标人应当遵循公平竞争的原则，不得恶意串通，不得妨碍其他投标人的竞争行为，不得损害采购人或者其他投标人的合法权益。</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28.3有下列情形之一的，视为投标人串通投标，其投标无效：</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29.废标</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29.1在招标过程中，出现下列情况之一的，应予废标：</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29.1.1符合专业条件的供应商或者对招标文件作实质投标的供应商不足</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家的；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29.1.2出现影响采购公正的违法、违规行为的；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29.1.3投标人的报价均超过了采购预算，采购人不能支付的；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29.1.4因重大变故，采购任务取消的；</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29.2废标后，采购人和采购代理机构将把废标的理由通知所有投标人。</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30.投标文件的评价和比较</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30.2最低的投标报价或最高的折扣比例是中标的重要条件，但不是唯一条件。</w:t>
      </w:r>
      <w:bookmarkStart w:id="37" w:name="_Toc19501"/>
      <w:r/>
      <w:bookmarkStart w:id="38" w:name="_Toc18442"/>
      <w:r/>
      <w:r/>
    </w:p>
    <w:p>
      <w:pPr>
        <w:pStyle w:val="1221"/>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七、授予合同</w:t>
      </w:r>
      <w:bookmarkEnd w:id="37"/>
      <w:r/>
      <w:bookmarkEnd w:id="38"/>
      <w:r/>
      <w:r/>
    </w:p>
    <w:p>
      <w:pPr>
        <w:pStyle w:val="1221"/>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31.中标单位的确认</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31.1评标委员会根据投标人资格审查情况，对投标文件进行评价和比较，按照评标办法和标准进行评标，并按采购人的委托向采购人推荐中标人。</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32.合同授予标准</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采购人将把合同授予其投标文件在实质上响应投标招标文件要求且按本须知规定评选出的投标人。确定为中标的投标人必须具有实施本合同的能力和资源。</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33.中标通知书</w:t>
      </w:r>
      <w:r/>
    </w:p>
    <w:p>
      <w:pPr>
        <w:pStyle w:val="1221"/>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33.1确定出中标人后，采购代理机构在法定时间内向中标人发出中标通知书。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33.2中标通知书将成为合同的组成部分，对采购人和中标人具有同等法律效力。</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33.3中标通知书发出后，采购人不得违法改变中标结果，中标人无正当理由不得放弃中标。</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34.合同的签订</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按照《关于印发&lt;苏州市政府采购促进中小企业发展实施意见&gt;的通知》（苏财购〔2022〕16号）文件精神，采购人与中标人原则上应当在中标通知书发出之日起</w:t>
      </w:r>
      <w:r>
        <w:rPr>
          <w:rFonts w:hint="eastAsia" w:ascii="宋体" w:hAnsi="宋体" w:eastAsia="宋体" w:cs="宋体"/>
          <w:sz w:val="24"/>
          <w:szCs w:val="24"/>
          <w:lang w:val="en-US" w:eastAsia="zh-CN"/>
        </w:rPr>
        <w:t xml:space="preserve">三十日内</w:t>
      </w:r>
      <w:r>
        <w:rPr>
          <w:rFonts w:hint="eastAsia" w:ascii="宋体" w:hAnsi="宋体" w:eastAsia="宋体" w:cs="宋体"/>
          <w:sz w:val="24"/>
          <w:szCs w:val="24"/>
        </w:rPr>
        <w:t xml:space="preserve">按照招标文件及投标文件确定的事项签订政府采购合同。</w:t>
      </w:r>
      <w:r/>
    </w:p>
    <w:p>
      <w:pPr>
        <w:pStyle w:val="1221"/>
        <w:ind w:left="0"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34.2 </w:t>
      </w:r>
      <w:r>
        <w:rPr>
          <w:rFonts w:hint="eastAsia" w:ascii="宋体" w:hAnsi="宋体" w:eastAsia="宋体" w:cs="宋体"/>
          <w:sz w:val="24"/>
          <w:szCs w:val="24"/>
          <w:lang w:val="en-US"/>
        </w:rPr>
        <w:t xml:space="preserve">采购人与中标人所签订的合同不得对招标文件确定的事项和中标人投标文件作实质性修改，采购人不得向中标人提出任何不合理的要求作为签订合同的条件。</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34.3招标文件、中标人的投标文件及招标过程中有关澄清、承诺文件均应作为合同附件。</w:t>
      </w:r>
      <w:r/>
    </w:p>
    <w:p>
      <w:pPr>
        <w:pStyle w:val="1221"/>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39" w:name="_Toc8186"/>
      <w:r/>
      <w:bookmarkStart w:id="40" w:name="_Toc21029"/>
      <w:r/>
      <w:r/>
    </w:p>
    <w:p>
      <w:pPr>
        <w:pStyle w:val="1221"/>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.6中标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拒绝与招标人签订合同的，招标人可以按照评审报告推荐的中标候选人名单排序，确定下一候选人为中标供应商，也可以重新开展政府采购活动。</w:t>
      </w:r>
      <w:r/>
    </w:p>
    <w:p>
      <w:pPr>
        <w:pStyle w:val="1221"/>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八、其他事项</w:t>
      </w:r>
      <w:bookmarkEnd w:id="39"/>
      <w:r/>
      <w:bookmarkEnd w:id="40"/>
      <w:r/>
      <w:r/>
    </w:p>
    <w:p>
      <w:pPr>
        <w:pStyle w:val="1221"/>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35.代理服务费：</w:t>
      </w:r>
      <w:r/>
    </w:p>
    <w:p>
      <w:pPr>
        <w:pStyle w:val="1221"/>
        <w:ind w:left="0"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单位须按前附表的规定计算并支付代理服务费。</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36.对投标人的机器码检查</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机器码检查中，出现不同投标人投标文件机器码一致情形的，投标文件将被认定为无效投标。</w:t>
      </w:r>
      <w:r/>
    </w:p>
    <w:p>
      <w:pPr>
        <w:pStyle w:val="1221"/>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37.有关监督部门将对招投标全过程进行监督。</w:t>
      </w:r>
      <w:r/>
    </w:p>
    <w:p>
      <w:pPr>
        <w:pStyle w:val="1221"/>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38.未尽事宜：</w:t>
      </w:r>
      <w:r>
        <w:rPr>
          <w:rFonts w:hint="eastAsia" w:ascii="宋体" w:hAnsi="宋体" w:eastAsia="宋体" w:cs="宋体"/>
          <w:sz w:val="24"/>
          <w:szCs w:val="24"/>
        </w:rPr>
        <w:t xml:space="preserve">按《中华人民共和国政府采购法》及其他有关的法律法规的规定执行。</w:t>
      </w:r>
      <w:r/>
    </w:p>
    <w:p>
      <w:pPr>
        <w:pStyle w:val="1221"/>
        <w:ind w:left="0"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39"/>
        <w:ind w:left="0" w:firstLine="0"/>
        <w:jc w:val="center"/>
        <w:rPr>
          <w:rFonts w:hint="eastAsia" w:ascii="宋体" w:hAnsi="宋体" w:eastAsia="宋体" w:cs="宋体"/>
          <w:sz w:val="21"/>
          <w:szCs w:val="21"/>
          <w:lang w:val="zh-CN"/>
        </w:rPr>
      </w:pPr>
      <w:r/>
      <w:bookmarkStart w:id="41" w:name="_Toc105397778"/>
      <w:r/>
      <w:bookmarkStart w:id="42" w:name="_Toc7264"/>
      <w:r/>
      <w:bookmarkStart w:id="43" w:name="_Toc24711"/>
      <w:r>
        <w:rPr>
          <w:rFonts w:hint="eastAsia" w:ascii="宋体" w:hAnsi="宋体" w:eastAsia="宋体" w:cs="宋体"/>
          <w:b/>
          <w:sz w:val="44"/>
          <w:szCs w:val="22"/>
        </w:rPr>
        <w:br w:type="page" w:clear="all"/>
      </w:r>
      <w:r>
        <w:rPr>
          <w:rFonts w:hint="eastAsia" w:ascii="宋体" w:hAnsi="宋体" w:eastAsia="宋体" w:cs="宋体"/>
          <w:b/>
          <w:sz w:val="44"/>
          <w:szCs w:val="22"/>
        </w:rPr>
        <w:t xml:space="preserve">第三章  </w:t>
      </w:r>
      <w:bookmarkStart w:id="44" w:name="投标文件格式"/>
      <w:r/>
      <w:bookmarkEnd w:id="44"/>
      <w:r>
        <w:rPr>
          <w:rFonts w:hint="eastAsia" w:ascii="宋体" w:hAnsi="宋体" w:eastAsia="宋体" w:cs="宋体"/>
          <w:b/>
          <w:sz w:val="44"/>
          <w:szCs w:val="22"/>
        </w:rPr>
        <w:t xml:space="preserve">投标文件格式</w:t>
      </w:r>
      <w:bookmarkEnd w:id="41"/>
      <w:r/>
      <w:bookmarkEnd w:id="42"/>
      <w:r/>
      <w:bookmarkEnd w:id="43"/>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说明：</w:t>
      </w:r>
      <w:r/>
    </w:p>
    <w:p>
      <w:pPr>
        <w:pStyle w:val="1221"/>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对本章所有的投标书格式，投标方可根据自身情况进行补充和修改，但补充和修改不得造成与本格式内容有实质性的违背。</w:t>
      </w:r>
      <w:r/>
    </w:p>
    <w:p>
      <w:pPr>
        <w:ind w:left="0"/>
        <w:rPr>
          <w:rFonts w:hint="eastAsia" w:ascii="宋体" w:hAnsi="宋体" w:eastAsia="宋体" w:cs="宋体"/>
          <w:b/>
          <w:sz w:val="24"/>
          <w:szCs w:val="24"/>
        </w:rPr>
        <w:outlineLvl w:val="0"/>
      </w:pPr>
      <w:r/>
      <w:bookmarkStart w:id="45" w:name="_Toc105397779"/>
      <w:r/>
      <w:bookmarkStart w:id="46" w:name="_Toc71810480"/>
      <w:r/>
      <w:bookmarkStart w:id="47" w:name="_Toc17036"/>
      <w:r/>
      <w:bookmarkStart w:id="48" w:name="_Toc3821"/>
      <w:r>
        <w:rPr>
          <w:rFonts w:hint="eastAsia" w:ascii="宋体" w:hAnsi="宋体" w:eastAsia="宋体" w:cs="宋体"/>
          <w:b/>
          <w:sz w:val="24"/>
          <w:szCs w:val="24"/>
        </w:rPr>
        <w:t xml:space="preserve">附件1.投标函</w:t>
      </w:r>
      <w:bookmarkEnd w:id="45"/>
      <w:r/>
      <w:bookmarkEnd w:id="46"/>
      <w:r/>
      <w:bookmarkEnd w:id="47"/>
      <w:r/>
      <w:bookmarkEnd w:id="48"/>
      <w:r/>
      <w:r/>
    </w:p>
    <w:p>
      <w:pPr>
        <w:ind w:left="0" w:firstLine="4638"/>
        <w:jc w:val="left"/>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投标函</w:t>
      </w:r>
      <w:r/>
    </w:p>
    <w:p>
      <w:pPr>
        <w:ind w:left="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致：</w:t>
      </w:r>
      <w:r>
        <w:rPr>
          <w:rFonts w:hint="eastAsia" w:ascii="宋体" w:hAnsi="宋体" w:eastAsia="宋体" w:cs="宋体"/>
          <w:sz w:val="24"/>
          <w:szCs w:val="24"/>
          <w:u w:val="single"/>
          <w:lang w:val="zh-CN"/>
        </w:rPr>
        <w:t xml:space="preserve">苏州市永诚建设咨询有限公司</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我方收到贵中心</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（项目编号）招标文件，经仔细阅读和研究，我方决定参加投标，并向贵中心作出如下承诺：</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本投标书的有效期限为投标截止时间之日起90天。</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.我方承诺该项投标在开标后的全过程中保持有效，不作任何更改和变动。</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.我方承诺满足《中华人民共和国政府采购法》第二十二条规定的所有条件。</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.与本投标有关的通讯地址:</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单   位：                                              联 系 人： </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地   址：                                              邮政编码： </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                                             电子邮箱：</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投标人（盖章）： </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法定代表人或代理人（签字或盖章）：</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ind w:left="0"/>
        <w:rPr>
          <w:rFonts w:hint="eastAsia" w:ascii="宋体" w:hAnsi="宋体" w:eastAsia="宋体" w:cs="宋体"/>
          <w:b/>
          <w:sz w:val="24"/>
          <w:szCs w:val="24"/>
        </w:rPr>
        <w:outlineLvl w:val="0"/>
      </w:pPr>
      <w:r>
        <w:rPr>
          <w:rFonts w:hint="eastAsia" w:ascii="宋体" w:hAnsi="宋体" w:eastAsia="宋体" w:cs="宋体"/>
          <w:b/>
          <w:sz w:val="24"/>
          <w:szCs w:val="24"/>
        </w:rPr>
        <w:br w:type="page" w:clear="all"/>
      </w:r>
      <w:bookmarkStart w:id="49" w:name="_Toc71810481"/>
      <w:r/>
      <w:bookmarkStart w:id="50" w:name="_Toc105397780"/>
      <w:r>
        <w:rPr>
          <w:rFonts w:hint="eastAsia" w:ascii="宋体" w:hAnsi="宋体" w:eastAsia="宋体" w:cs="宋体"/>
          <w:b/>
          <w:sz w:val="24"/>
          <w:szCs w:val="24"/>
        </w:rPr>
        <w:t xml:space="preserve">附件2.开标一览表</w:t>
      </w:r>
      <w:bookmarkEnd w:id="49"/>
      <w:r/>
      <w:bookmarkEnd w:id="50"/>
      <w:r/>
      <w:r/>
    </w:p>
    <w:p>
      <w:pPr>
        <w:rPr>
          <w:rFonts w:hint="eastAsia" w:ascii="宋体" w:hAnsi="宋体" w:eastAsia="宋体" w:cs="宋体"/>
          <w:sz w:val="24"/>
          <w:szCs w:val="24"/>
        </w:rPr>
      </w:pPr>
      <w:r>
        <w:rPr>
          <w:rFonts w:hint="eastAsia" w:ascii="宋体" w:hAnsi="宋体" w:eastAsia="宋体" w:cs="宋体"/>
          <w:sz w:val="24"/>
          <w:szCs w:val="24"/>
        </w:rPr>
      </w:r>
      <w:r/>
    </w:p>
    <w:p>
      <w:pPr>
        <w:ind w:left="0"/>
        <w:jc w:val="center"/>
        <w:rPr>
          <w:rFonts w:hint="eastAsia" w:ascii="宋体" w:hAnsi="宋体" w:eastAsia="宋体" w:cs="宋体"/>
          <w:b/>
          <w:sz w:val="24"/>
          <w:szCs w:val="24"/>
        </w:rPr>
      </w:pPr>
      <w:r>
        <w:rPr>
          <w:rFonts w:hint="eastAsia" w:ascii="宋体" w:hAnsi="宋体" w:eastAsia="宋体" w:cs="宋体"/>
          <w:b/>
          <w:sz w:val="24"/>
          <w:szCs w:val="24"/>
        </w:rPr>
        <w:t xml:space="preserve">开标一览表（总报价）</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投标人全称（加盖公章）：</w:t>
      </w:r>
      <w:bookmarkStart w:id="51" w:name="TBR"/>
      <w:r/>
      <w:bookmarkEnd w:id="51"/>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项目编号：  </w:t>
      </w:r>
      <w:bookmarkStart w:id="52" w:name="XMBH"/>
      <w:r/>
      <w:bookmarkEnd w:id="52"/>
      <w:r/>
      <w:r/>
    </w:p>
    <w:tbl>
      <w:tblPr>
        <w:tblStyle w:val="8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小写：</w:t>
            </w:r>
            <w:bookmarkStart w:id="54" w:name="JEXX"/>
            <w:r/>
            <w:bookmarkEnd w:id="54"/>
            <w:r>
              <w:rPr>
                <w:rFonts w:hint="eastAsia" w:ascii="宋体" w:hAnsi="宋体" w:eastAsia="宋体" w:cs="宋体"/>
                <w:sz w:val="24"/>
                <w:szCs w:val="24"/>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bookmarkStart w:id="55" w:name="JEDX"/>
            <w:r/>
            <w:bookmarkEnd w:id="55"/>
            <w:r/>
            <w:r/>
          </w:p>
        </w:tc>
      </w:tr>
    </w:tbl>
    <w:p>
      <w:pPr>
        <w:spacing w:line="600" w:lineRule="exact"/>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w:t>
      </w:r>
      <w:bookmarkStart w:id="56" w:name="NF"/>
      <w:r/>
      <w:bookmarkEnd w:id="56"/>
      <w:r>
        <w:rPr>
          <w:rFonts w:hint="eastAsia" w:ascii="宋体" w:hAnsi="宋体" w:eastAsia="宋体" w:cs="宋体"/>
          <w:sz w:val="24"/>
          <w:szCs w:val="24"/>
        </w:rPr>
        <w:t xml:space="preserve"> 年 </w:t>
      </w:r>
      <w:bookmarkStart w:id="57" w:name="YF"/>
      <w:r/>
      <w:bookmarkEnd w:id="57"/>
      <w:r>
        <w:rPr>
          <w:rFonts w:hint="eastAsia" w:ascii="宋体" w:hAnsi="宋体" w:eastAsia="宋体" w:cs="宋体"/>
          <w:sz w:val="24"/>
          <w:szCs w:val="24"/>
        </w:rPr>
        <w:t xml:space="preserve">  月 </w:t>
      </w:r>
      <w:bookmarkStart w:id="58" w:name="RI"/>
      <w:r/>
      <w:bookmarkEnd w:id="58"/>
      <w:r>
        <w:rPr>
          <w:rFonts w:hint="eastAsia" w:ascii="宋体" w:hAnsi="宋体" w:eastAsia="宋体" w:cs="宋体"/>
          <w:sz w:val="24"/>
          <w:szCs w:val="24"/>
        </w:rPr>
        <w:t xml:space="preserve">  日</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开标一览表必须加盖投标人公章（复印件无效）。</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如有分包，投标人投任何一个包的标的，都需单独填写开标一览表。</w:t>
      </w:r>
      <w:r/>
      <w:r>
        <w:rPr>
          <w:rFonts w:hint="eastAsia" w:ascii="宋体" w:hAnsi="宋体" w:eastAsia="宋体" w:cs="宋体"/>
          <w:sz w:val="24"/>
          <w:szCs w:val="24"/>
        </w:rPr>
      </w:r>
      <w:r/>
      <w:r>
        <w:rPr>
          <w:rFonts w:hint="eastAsia" w:ascii="宋体" w:hAnsi="宋体" w:eastAsia="宋体" w:cs="宋体"/>
          <w:sz w:val="24"/>
          <w:szCs w:val="24"/>
          <w:lang w:val="zh-CN"/>
        </w:rPr>
      </w:r>
    </w:p>
    <w:p>
      <w:pPr>
        <w:ind w:left="0"/>
        <w:spacing w:line="440" w:lineRule="exact"/>
        <w:rPr>
          <w:rFonts w:hint="eastAsia" w:ascii="宋体" w:hAnsi="宋体" w:eastAsia="宋体" w:cs="宋体"/>
          <w:b/>
          <w:sz w:val="24"/>
          <w:szCs w:val="24"/>
        </w:rPr>
      </w:pPr>
      <w:r/>
      <w:bookmarkStart w:id="59" w:name="_Toc7945"/>
      <w:r/>
      <w:bookmarkStart w:id="60" w:name="_Toc241"/>
      <w:r/>
      <w:bookmarkStart w:id="61" w:name="_Toc71810482"/>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pStyle w:val="864"/>
        <w:rPr>
          <w:rFonts w:hint="eastAsia" w:ascii="宋体" w:hAnsi="宋体" w:eastAsia="宋体" w:cs="宋体"/>
          <w:sz w:val="24"/>
          <w:szCs w:val="24"/>
        </w:rPr>
      </w:pPr>
      <w:r>
        <w:rPr>
          <w:rFonts w:hint="eastAsia" w:ascii="宋体" w:hAnsi="宋体" w:eastAsia="宋体" w:cs="宋体"/>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bookmarkStart w:id="62" w:name="_Toc105397781"/>
      <w:r>
        <w:rPr>
          <w:rFonts w:hint="eastAsia" w:ascii="宋体" w:hAnsi="宋体" w:eastAsia="宋体" w:cs="宋体"/>
          <w:b/>
          <w:sz w:val="24"/>
          <w:szCs w:val="24"/>
        </w:rPr>
        <w:br w:type="page" w:clear="all"/>
      </w:r>
      <w:r/>
    </w:p>
    <w:p>
      <w:pPr>
        <w:ind w:left="0"/>
        <w:rPr>
          <w:rFonts w:hint="eastAsia" w:ascii="宋体" w:hAnsi="宋体" w:eastAsia="宋体" w:cs="宋体"/>
          <w:b/>
          <w:sz w:val="24"/>
          <w:szCs w:val="24"/>
        </w:rPr>
        <w:outlineLvl w:val="0"/>
      </w:pPr>
      <w:r>
        <w:rPr>
          <w:rFonts w:hint="eastAsia" w:ascii="宋体" w:hAnsi="宋体" w:eastAsia="宋体" w:cs="宋体"/>
          <w:b/>
          <w:sz w:val="24"/>
          <w:szCs w:val="24"/>
        </w:rPr>
        <w:t xml:space="preserve">附件3</w:t>
      </w:r>
      <w:bookmarkEnd w:id="59"/>
      <w:r/>
      <w:bookmarkEnd w:id="60"/>
      <w:r>
        <w:rPr>
          <w:rFonts w:hint="eastAsia" w:ascii="宋体" w:hAnsi="宋体" w:eastAsia="宋体" w:cs="宋体"/>
          <w:b/>
          <w:sz w:val="24"/>
          <w:szCs w:val="24"/>
        </w:rPr>
        <w:t xml:space="preserve">.</w:t>
      </w:r>
      <w:bookmarkEnd w:id="61"/>
      <w:r/>
      <w:bookmarkEnd w:id="62"/>
      <w:r>
        <w:rPr>
          <w:rFonts w:hint="eastAsia" w:ascii="宋体" w:hAnsi="宋体" w:eastAsia="宋体" w:cs="宋体"/>
          <w:b/>
          <w:sz w:val="24"/>
          <w:szCs w:val="24"/>
        </w:rPr>
        <w:t xml:space="preserve">公开分项报价</w:t>
      </w:r>
      <w:r/>
    </w:p>
    <w:p>
      <w:pPr>
        <w:ind w:left="0"/>
        <w:jc w:val="center"/>
        <w:spacing w:before="100" w:beforeAutospacing="1" w:after="100" w:afterAutospacing="1" w:line="480" w:lineRule="auto"/>
        <w:rPr>
          <w:rFonts w:hint="eastAsia" w:ascii="宋体" w:hAnsi="宋体" w:eastAsia="宋体" w:cs="宋体"/>
          <w:b/>
          <w:sz w:val="24"/>
          <w:szCs w:val="24"/>
        </w:rPr>
      </w:pPr>
      <w:r/>
      <w:bookmarkStart w:id="63" w:name="OLE_LINK27"/>
      <w:r/>
      <w:bookmarkStart w:id="64" w:name="OLE_LINK28"/>
      <w:r>
        <w:rPr>
          <w:rFonts w:hint="eastAsia" w:ascii="宋体" w:hAnsi="宋体" w:eastAsia="宋体" w:cs="宋体"/>
          <w:b/>
          <w:sz w:val="24"/>
          <w:szCs w:val="24"/>
        </w:rPr>
        <w:t xml:space="preserve">公开分项报价</w:t>
      </w:r>
      <w:bookmarkEnd w:id="63"/>
      <w:r/>
      <w:bookmarkEnd w:id="64"/>
      <w:r/>
      <w:r/>
    </w:p>
    <w:p>
      <w:pPr>
        <w:pStyle w:val="864"/>
        <w:ind w:firstLine="0"/>
        <w:jc w:val="right"/>
        <w:rPr>
          <w:rFonts w:hint="eastAsia" w:ascii="宋体" w:hAnsi="宋体" w:eastAsia="宋体" w:cs="宋体"/>
          <w:sz w:val="24"/>
          <w:szCs w:val="24"/>
        </w:rPr>
      </w:pPr>
      <w:r>
        <w:rPr>
          <w:rFonts w:hint="eastAsia" w:ascii="宋体" w:hAnsi="宋体" w:eastAsia="宋体" w:cs="宋体"/>
          <w:sz w:val="24"/>
          <w:szCs w:val="24"/>
        </w:rPr>
        <w:t xml:space="preserve">单位：元（人民币）</w:t>
      </w:r>
      <w:r/>
    </w:p>
    <w:tbl>
      <w:tblPr>
        <w:tblStyle w:val="84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4"/>
        <w:gridCol w:w="1426"/>
        <w:gridCol w:w="2367"/>
        <w:gridCol w:w="1329"/>
        <w:gridCol w:w="1005"/>
        <w:gridCol w:w="867"/>
        <w:gridCol w:w="1005"/>
        <w:gridCol w:w="1167"/>
      </w:tblGrid>
      <w:tr>
        <w:trPr>
          <w:cantSplit/>
          <w:jc w:val="center"/>
          <w:trHeight w:val="503"/>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品牌、规格型号</w:t>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设备厂家</w:t>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总价</w:t>
            </w:r>
            <w:r/>
          </w:p>
        </w:tc>
      </w:tr>
      <w:tr>
        <w:trPr>
          <w:cantSplit/>
          <w:jc w:val="center"/>
          <w:trHeight w:val="443"/>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443"/>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296"/>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203"/>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102"/>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102"/>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7"/>
            <w:shd w:val="clear" w:color="auto" w:fill="auto"/>
            <w:tcBorders>
              <w:top w:val="single" w:color="auto" w:sz="4" w:space="0"/>
              <w:left w:val="none" w:color="000000" w:sz="4" w:space="0"/>
              <w:bottom w:val="single" w:color="auto" w:sz="4" w:space="0"/>
              <w:right w:val="single" w:color="auto" w:sz="4" w:space="0"/>
            </w:tcBorders>
            <w:tcW w:w="4549" w:type="pct"/>
            <w:vAlign w:val="center"/>
            <w:textDirection w:val="lrTb"/>
            <w:noWrap/>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b/>
                <w:bCs w:val="0"/>
                <w:sz w:val="24"/>
                <w:szCs w:val="24"/>
                <w:lang w:val="en-US" w:eastAsia="zh-CN" w:bidi="ar"/>
              </w:rPr>
              <w:t xml:space="preserve">合计</w:t>
            </w:r>
            <w:r>
              <w:rPr>
                <w:rFonts w:hint="eastAsia" w:ascii="宋体" w:hAnsi="宋体" w:eastAsia="宋体" w:cs="宋体"/>
                <w:sz w:val="24"/>
                <w:szCs w:val="24"/>
                <w:lang w:val="en-US" w:eastAsia="zh-CN" w:bidi="ar"/>
              </w:rPr>
              <w:t xml:space="preserve">：元（大写：）</w:t>
            </w:r>
            <w:r/>
          </w:p>
        </w:tc>
      </w:tr>
      <w:tr>
        <w:trPr>
          <w:cantSplit/>
          <w:jc w:val="center"/>
          <w:trHeight w:val="1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val="0"/>
                <w:sz w:val="24"/>
                <w:szCs w:val="24"/>
                <w:u w:val="single"/>
                <w:lang w:val="en-US" w:eastAsia="zh-CN" w:bidi="ar"/>
              </w:rPr>
              <w:t xml:space="preserve">  </w:t>
            </w:r>
            <w:r>
              <w:rPr>
                <w:rFonts w:hint="eastAsia" w:ascii="宋体" w:hAnsi="宋体" w:eastAsia="宋体" w:cs="宋体"/>
                <w:b/>
                <w:bCs w:val="0"/>
                <w:sz w:val="24"/>
                <w:szCs w:val="24"/>
                <w:lang w:val="en-US" w:eastAsia="zh-CN" w:bidi="ar"/>
              </w:rPr>
              <w:t xml:space="preserve">%。</w:t>
            </w:r>
            <w:r/>
          </w:p>
        </w:tc>
      </w:tr>
    </w:tbl>
    <w:p>
      <w:pPr>
        <w:pStyle w:val="865"/>
        <w:ind w:left="0" w:firstLine="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left="0" w:firstLine="58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法定代表人或代理人（签字或盖章）：</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注：注：1.报价表包含投标单位各项成本核算和投入的成本明细，合计金额应与《开标一览表》合计金额一致；否则，以《开标一览表》为准。</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2.各投标方应根据此表格式详细</w:t>
      </w:r>
      <w:r>
        <w:rPr>
          <w:rFonts w:hint="eastAsia" w:ascii="宋体" w:hAnsi="宋体" w:eastAsia="宋体" w:cs="宋体"/>
          <w:sz w:val="24"/>
          <w:szCs w:val="24"/>
          <w:lang w:val="en-US" w:eastAsia="zh-CN"/>
        </w:rPr>
        <w:t xml:space="preserve">填写</w:t>
      </w:r>
      <w:r>
        <w:rPr>
          <w:rFonts w:hint="eastAsia" w:ascii="宋体" w:hAnsi="宋体" w:eastAsia="宋体" w:cs="宋体"/>
          <w:sz w:val="24"/>
          <w:szCs w:val="24"/>
        </w:rPr>
        <w:t xml:space="preserve">报价信息（</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名称、单位、数量不得变动，否则无效）。</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3.投标方合计总报价不得超过项目预算金额，否则报价无效。</w:t>
      </w:r>
      <w:r/>
    </w:p>
    <w:p>
      <w:pPr>
        <w:ind w:left="0" w:firstLine="422"/>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Pr>
          <w:rFonts w:hint="eastAsia" w:ascii="宋体" w:hAnsi="宋体" w:eastAsia="宋体" w:cs="宋体"/>
          <w:sz w:val="24"/>
          <w:szCs w:val="24"/>
        </w:rPr>
        <w:outlineLvl w:val="0"/>
      </w:pPr>
      <w:r/>
      <w:bookmarkStart w:id="65" w:name="_Toc105397782"/>
      <w:r/>
      <w:bookmarkStart w:id="66" w:name="_Toc71810483"/>
      <w:r>
        <w:rPr>
          <w:rFonts w:hint="eastAsia" w:ascii="宋体" w:hAnsi="宋体" w:eastAsia="宋体" w:cs="宋体"/>
          <w:b/>
          <w:sz w:val="24"/>
          <w:szCs w:val="24"/>
        </w:rPr>
        <w:t xml:space="preserve">附件4.法定代表人授权委托书</w:t>
      </w:r>
      <w:bookmarkEnd w:id="65"/>
      <w:r/>
      <w:bookmarkEnd w:id="66"/>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法定代表人授权委托书</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  我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（姓名）为我公司授权代表（即代理人），以本公司的名义参加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苏州市永诚建设咨询有限公司</w:t>
      </w:r>
      <w:r>
        <w:rPr>
          <w:rFonts w:hint="eastAsia" w:ascii="宋体" w:hAnsi="宋体" w:eastAsia="宋体" w:cs="宋体"/>
          <w:sz w:val="24"/>
          <w:szCs w:val="24"/>
        </w:rPr>
        <w:t xml:space="preserve">组织实施的编号为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号（项目编号）的招标活动。代理人在开标、评标、合同谈判过程中所签署的一切文件和处理与这有关的一切事务，我均予以承认。</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64"/>
        <w:rPr>
          <w:rFonts w:hint="eastAsia" w:ascii="宋体" w:hAnsi="宋体" w:eastAsia="宋体" w:cs="宋体"/>
          <w:sz w:val="24"/>
          <w:szCs w:val="24"/>
        </w:rPr>
      </w:pPr>
      <w:r>
        <w:rPr>
          <w:rFonts w:hint="eastAsia" w:ascii="宋体" w:hAnsi="宋体" w:eastAsia="宋体" w:cs="宋体"/>
          <w:sz w:val="24"/>
          <w:szCs w:val="24"/>
        </w:rPr>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483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ind w:left="0"/>
        <w:jc w:val="left"/>
        <w:spacing w:line="360" w:lineRule="auto"/>
        <w:rPr>
          <w:rFonts w:hint="eastAsia" w:ascii="宋体" w:hAnsi="宋体" w:eastAsia="宋体" w:cs="宋体"/>
          <w:b/>
          <w:sz w:val="24"/>
          <w:szCs w:val="24"/>
        </w:rPr>
        <w:outlineLvl w:val="0"/>
      </w:pPr>
      <w:r>
        <w:rPr>
          <w:rFonts w:hint="eastAsia" w:ascii="宋体" w:hAnsi="宋体" w:eastAsia="宋体" w:cs="宋体"/>
          <w:sz w:val="24"/>
          <w:szCs w:val="24"/>
          <w:lang w:val="zh-CN"/>
        </w:rPr>
        <w:br w:type="page" w:clear="all"/>
      </w:r>
      <w:bookmarkStart w:id="67" w:name="_Toc71810484"/>
      <w:r/>
      <w:bookmarkStart w:id="68" w:name="_Toc21574"/>
      <w:r/>
      <w:bookmarkStart w:id="69" w:name="_Toc19621"/>
      <w:r/>
      <w:bookmarkStart w:id="70" w:name="_Toc105397783"/>
      <w:r>
        <w:rPr>
          <w:rFonts w:hint="eastAsia" w:ascii="宋体" w:hAnsi="宋体" w:eastAsia="宋体" w:cs="宋体"/>
          <w:b/>
          <w:sz w:val="24"/>
          <w:szCs w:val="24"/>
        </w:rPr>
        <w:t xml:space="preserve">附件5.中小企业声明函</w:t>
      </w:r>
      <w:bookmarkEnd w:id="67"/>
      <w:r/>
      <w:bookmarkEnd w:id="68"/>
      <w:r/>
      <w:bookmarkEnd w:id="69"/>
      <w:r/>
      <w:bookmarkEnd w:id="70"/>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ind w:left="0"/>
        <w:spacing w:line="360" w:lineRule="auto"/>
        <w:rPr>
          <w:rFonts w:hint="eastAsia" w:ascii="宋体" w:hAnsi="宋体" w:eastAsia="宋体" w:cs="宋体"/>
          <w:sz w:val="24"/>
          <w:szCs w:val="24"/>
        </w:rPr>
      </w:pPr>
      <w:r>
        <w:rPr>
          <w:rFonts w:hint="eastAsia" w:ascii="宋体" w:hAnsi="宋体" w:eastAsia="宋体" w:cs="宋体"/>
          <w:sz w:val="24"/>
          <w:szCs w:val="24"/>
          <w:u w:val="single"/>
          <w:lang w:eastAsia="zh-CN"/>
        </w:rPr>
        <w:t xml:space="preserve">苏州市永诚建设咨询有限公司</w:t>
      </w:r>
      <w:r>
        <w:rPr>
          <w:rFonts w:hint="eastAsia" w:ascii="宋体" w:hAnsi="宋体" w:eastAsia="宋体" w:cs="宋体"/>
          <w:sz w:val="24"/>
          <w:szCs w:val="24"/>
          <w:u w:val="single"/>
        </w:rPr>
        <w:t xml:space="preserve">：</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lang w:eastAsia="zh-CN"/>
        </w:rPr>
        <w:t xml:space="preserve">苏州市交通运输应急指挥中心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 </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lang w:eastAsia="zh-CN"/>
        </w:rPr>
        <w:t xml:space="preserve">苏州市交通运输应急指挥中心指挥大厅运行监测坐席采购</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rPr>
        <w:t xml:space="preserve">工业</w:t>
      </w:r>
      <w:r>
        <w:rPr>
          <w:rFonts w:hint="eastAsia" w:ascii="宋体" w:hAnsi="宋体" w:eastAsia="宋体" w:cs="宋体"/>
          <w:sz w:val="24"/>
          <w:szCs w:val="24"/>
          <w:u w:val="single"/>
        </w:rPr>
        <w:t xml:space="preserve">）行业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Style w:val="909"/>
          <w:rFonts w:hint="eastAsia" w:ascii="宋体" w:hAnsi="宋体" w:eastAsia="宋体" w:cs="宋体"/>
          <w:sz w:val="24"/>
          <w:szCs w:val="24"/>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（标的名称）</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w:t>
      </w:r>
      <w:r>
        <w:rPr>
          <w:rFonts w:hint="eastAsia" w:ascii="宋体" w:hAnsi="宋体" w:eastAsia="宋体" w:cs="宋体"/>
          <w:b/>
          <w:sz w:val="24"/>
          <w:szCs w:val="24"/>
          <w:u w:val="single"/>
          <w:lang w:val="zh-CN"/>
        </w:rPr>
        <w:t xml:space="preserve">工业</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64"/>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企业名称（盖章）：</w:t>
      </w:r>
      <w:r>
        <w:rPr>
          <w:rFonts w:hint="eastAsia" w:ascii="宋体" w:hAnsi="宋体" w:eastAsia="宋体" w:cs="宋体"/>
          <w:sz w:val="24"/>
          <w:szCs w:val="24"/>
          <w:lang w:val="zh-CN"/>
        </w:rPr>
        <w:br/>
      </w:r>
      <w:r>
        <w:rPr>
          <w:rFonts w:hint="eastAsia" w:ascii="宋体" w:hAnsi="宋体" w:eastAsia="宋体" w:cs="宋体"/>
          <w:sz w:val="24"/>
          <w:szCs w:val="24"/>
          <w:lang w:val="zh-CN"/>
        </w:rPr>
        <w:t xml:space="preserve">日 期： 年  月 日</w:t>
      </w:r>
      <w:r/>
    </w:p>
    <w:p>
      <w:pPr>
        <w:ind w:left="0"/>
        <w:spacing w:line="280" w:lineRule="exact"/>
        <w:rPr>
          <w:rFonts w:hint="eastAsia" w:ascii="宋体" w:hAnsi="宋体" w:eastAsia="宋体" w:cs="宋体"/>
          <w:b/>
          <w:sz w:val="24"/>
          <w:szCs w:val="24"/>
        </w:rPr>
      </w:pPr>
      <w:r>
        <w:rPr>
          <w:rFonts w:hint="eastAsia" w:ascii="宋体" w:hAnsi="宋体" w:eastAsia="宋体" w:cs="宋体"/>
          <w:sz w:val="24"/>
          <w:szCs w:val="24"/>
          <w:lang w:val="zh-CN"/>
        </w:rPr>
        <w:br w:type="page" w:clear="all"/>
      </w:r>
      <w:bookmarkStart w:id="71" w:name="_Toc71810485"/>
      <w:r>
        <w:rPr>
          <w:rFonts w:hint="eastAsia" w:ascii="宋体" w:hAnsi="宋体" w:eastAsia="宋体" w:cs="宋体"/>
          <w:b/>
          <w:sz w:val="24"/>
          <w:szCs w:val="24"/>
        </w:rPr>
        <w:t xml:space="preserve">附：中小企业划型标准规定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（二）</w:t>
      </w:r>
      <w:bookmarkStart w:id="72" w:name="OLE_LINK19"/>
      <w:r/>
      <w:bookmarkStart w:id="73" w:name="OLE_LINK18"/>
      <w:r>
        <w:rPr>
          <w:rFonts w:hint="eastAsia" w:ascii="宋体" w:hAnsi="宋体" w:eastAsia="宋体" w:cs="宋体"/>
          <w:b/>
          <w:sz w:val="24"/>
          <w:szCs w:val="24"/>
        </w:rPr>
        <w:t xml:space="preserve">工业</w:t>
      </w:r>
      <w:bookmarkEnd w:id="72"/>
      <w:r/>
      <w:bookmarkEnd w:id="73"/>
      <w:r>
        <w:rPr>
          <w:rFonts w:hint="eastAsia" w:ascii="宋体" w:hAnsi="宋体" w:eastAsia="宋体" w:cs="宋体"/>
          <w:b/>
          <w:sz w:val="24"/>
          <w:szCs w:val="24"/>
        </w:rPr>
        <w:t xml:space="preserve">。</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w:t>
      </w:r>
      <w:r/>
    </w:p>
    <w:p>
      <w:pPr>
        <w:ind w:left="0"/>
        <w:spacing w:line="280" w:lineRule="exact"/>
        <w:rPr>
          <w:rFonts w:hint="eastAsia" w:ascii="宋体" w:hAnsi="宋体" w:eastAsia="宋体" w:cs="宋体"/>
          <w:sz w:val="24"/>
          <w:szCs w:val="24"/>
        </w:rPr>
      </w:pPr>
      <w:r>
        <w:rPr>
          <w:rFonts w:hint="eastAsia" w:ascii="宋体" w:hAnsi="宋体" w:eastAsia="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64"/>
        <w:rPr>
          <w:rFonts w:hint="eastAsia" w:ascii="宋体" w:hAnsi="宋体" w:eastAsia="宋体" w:cs="宋体"/>
          <w:sz w:val="24"/>
          <w:szCs w:val="24"/>
          <w:lang w:val="zh-CN"/>
        </w:rPr>
      </w:pPr>
      <w:r>
        <w:rPr>
          <w:rFonts w:hint="eastAsia" w:ascii="宋体" w:hAnsi="宋体" w:eastAsia="宋体" w:cs="宋体"/>
          <w:sz w:val="24"/>
          <w:szCs w:val="24"/>
          <w:lang w:val="zh-CN"/>
        </w:rPr>
      </w:r>
      <w:r/>
    </w:p>
    <w:p>
      <w:pPr>
        <w:rPr>
          <w:rFonts w:hint="eastAsia" w:ascii="宋体" w:hAnsi="宋体" w:eastAsia="宋体" w:cs="宋体"/>
          <w:b/>
          <w:sz w:val="24"/>
          <w:szCs w:val="24"/>
        </w:rPr>
      </w:pPr>
      <w:r/>
      <w:bookmarkStart w:id="74" w:name="_Toc105397784"/>
      <w:r>
        <w:rPr>
          <w:rFonts w:hint="eastAsia" w:ascii="宋体" w:hAnsi="宋体" w:eastAsia="宋体" w:cs="宋体"/>
          <w:b/>
          <w:sz w:val="24"/>
          <w:szCs w:val="24"/>
        </w:rPr>
        <w:br w:type="page" w:clear="all"/>
      </w:r>
      <w:r/>
    </w:p>
    <w:p>
      <w:pPr>
        <w:ind w:left="0"/>
        <w:jc w:val="left"/>
        <w:rPr>
          <w:rFonts w:hint="eastAsia" w:ascii="宋体" w:hAnsi="宋体" w:eastAsia="宋体" w:cs="宋体"/>
          <w:b/>
          <w:bCs/>
          <w:sz w:val="24"/>
          <w:szCs w:val="24"/>
        </w:rPr>
        <w:outlineLvl w:val="0"/>
      </w:pPr>
      <w:r>
        <w:rPr>
          <w:rFonts w:hint="eastAsia" w:ascii="宋体" w:hAnsi="宋体" w:eastAsia="宋体" w:cs="宋体"/>
          <w:b/>
          <w:sz w:val="24"/>
          <w:szCs w:val="24"/>
        </w:rPr>
        <w:t xml:space="preserve">附件6.残疾人福利性单位声明函</w:t>
      </w:r>
      <w:bookmarkEnd w:id="71"/>
      <w:r/>
      <w:bookmarkEnd w:id="74"/>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w:t>
      </w:r>
      <w:r/>
    </w:p>
    <w:p>
      <w:pPr>
        <w:ind w:left="0"/>
        <w:spacing w:line="360" w:lineRule="auto"/>
        <w:rPr>
          <w:rFonts w:hint="eastAsia" w:ascii="宋体" w:hAnsi="宋体" w:eastAsia="宋体" w:cs="宋体"/>
          <w:sz w:val="24"/>
          <w:szCs w:val="24"/>
          <w:lang w:val="zh-CN"/>
        </w:rPr>
      </w:pPr>
      <w:r/>
      <w:bookmarkStart w:id="75" w:name="_Toc3869"/>
      <w:r/>
      <w:bookmarkStart w:id="76" w:name="_Toc32206"/>
      <w:r/>
      <w:bookmarkStart w:id="77" w:name="_Toc15378"/>
      <w:r>
        <w:rPr>
          <w:rFonts w:hint="eastAsia" w:ascii="宋体" w:hAnsi="宋体" w:eastAsia="宋体" w:cs="宋体"/>
          <w:sz w:val="24"/>
          <w:szCs w:val="24"/>
          <w:u w:val="single"/>
          <w:lang w:val="zh-CN"/>
        </w:rPr>
        <w:t xml:space="preserve">苏州市永诚建设咨询有限公司</w:t>
      </w:r>
      <w:r>
        <w:rPr>
          <w:rFonts w:hint="eastAsia" w:ascii="宋体" w:hAnsi="宋体" w:eastAsia="宋体" w:cs="宋体"/>
          <w:sz w:val="24"/>
          <w:szCs w:val="24"/>
          <w:lang w:val="zh-CN"/>
        </w:rPr>
        <w:t xml:space="preserve">：</w:t>
      </w:r>
      <w:bookmarkEnd w:id="75"/>
      <w:r/>
      <w:bookmarkEnd w:id="76"/>
      <w:r/>
      <w:bookmarkEnd w:id="77"/>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lang w:val="zh-CN"/>
        </w:rPr>
        <w:t xml:space="preserve">贵中心组织实施的编号为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号的招标活动</w:t>
      </w:r>
      <w:r>
        <w:rPr>
          <w:rFonts w:hint="eastAsia" w:ascii="宋体" w:hAnsi="宋体" w:eastAsia="宋体" w:cs="宋体"/>
          <w:sz w:val="24"/>
          <w:szCs w:val="24"/>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pStyle w:val="1339"/>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rPr>
          <w:rFonts w:hint="eastAsia" w:ascii="宋体" w:hAnsi="宋体" w:eastAsia="宋体" w:cs="宋体"/>
          <w:b/>
          <w:sz w:val="24"/>
          <w:szCs w:val="24"/>
        </w:rPr>
      </w:pPr>
      <w:r/>
      <w:bookmarkStart w:id="78" w:name="OLE_LINK15"/>
      <w:r/>
      <w:bookmarkStart w:id="79" w:name="OLE_LINK16"/>
      <w:r>
        <w:rPr>
          <w:rFonts w:hint="eastAsia" w:ascii="宋体" w:hAnsi="宋体" w:eastAsia="宋体" w:cs="宋体"/>
          <w:b/>
          <w:sz w:val="24"/>
          <w:szCs w:val="24"/>
        </w:rPr>
        <w:br w:type="page" w:clear="all"/>
      </w:r>
      <w:r/>
    </w:p>
    <w:p>
      <w:pPr>
        <w:ind w:left="0"/>
        <w:jc w:val="left"/>
        <w:rPr>
          <w:rFonts w:hint="eastAsia" w:ascii="宋体" w:hAnsi="宋体" w:eastAsia="宋体" w:cs="宋体"/>
          <w:b/>
          <w:sz w:val="24"/>
          <w:szCs w:val="24"/>
        </w:rPr>
        <w:outlineLvl w:val="0"/>
      </w:pPr>
      <w:r>
        <w:rPr>
          <w:rFonts w:hint="eastAsia" w:ascii="宋体" w:hAnsi="宋体" w:eastAsia="宋体" w:cs="宋体"/>
          <w:b/>
          <w:sz w:val="24"/>
          <w:szCs w:val="24"/>
        </w:rPr>
        <w:t xml:space="preserve">附件7.关于符合本国产品标准的声明函</w:t>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关于符合本国产品标准的声明函</w:t>
      </w:r>
      <w:r/>
    </w:p>
    <w:p>
      <w:pPr>
        <w:pStyle w:val="897"/>
        <w:ind w:firstLine="480"/>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w:t xml:space="preserve">1.</w:t>
      </w:r>
      <w:r>
        <w:rPr>
          <w:rStyle w:val="906"/>
          <w:rFonts w:hint="eastAsia" w:ascii="宋体" w:hAnsi="宋体" w:eastAsia="宋体" w:cs="宋体"/>
          <w:sz w:val="24"/>
          <w:szCs w:val="24"/>
          <w:u w:val="single"/>
        </w:rPr>
        <w:t xml:space="preserve">（产品名称1）</w:t>
      </w:r>
      <w:r>
        <w:rPr>
          <w:rStyle w:val="906"/>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，生产厂为</w:t>
      </w:r>
      <w:r>
        <w:rPr>
          <w:rStyle w:val="906"/>
          <w:rFonts w:hint="eastAsia" w:ascii="宋体" w:hAnsi="宋体" w:eastAsia="宋体" w:cs="宋体"/>
          <w:sz w:val="24"/>
          <w:szCs w:val="24"/>
          <w:u w:val="single"/>
        </w:rPr>
        <w:t xml:space="preserve">（厂名）</w:t>
      </w:r>
      <w:r>
        <w:rPr>
          <w:rStyle w:val="906"/>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，厂址为</w:t>
      </w:r>
      <w:r>
        <w:rPr>
          <w:rStyle w:val="906"/>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Style w:val="906"/>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Style w:val="906"/>
          <w:rFonts w:hint="eastAsia" w:ascii="宋体" w:hAnsi="宋体" w:eastAsia="宋体" w:cs="宋体"/>
          <w:sz w:val="24"/>
          <w:szCs w:val="24"/>
          <w:u w:val="single"/>
        </w:rPr>
        <w:t xml:space="preserve">（规定比例）</w:t>
      </w:r>
      <w:r>
        <w:rPr>
          <w:rStyle w:val="906"/>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rPr>
          <w:rStyle w:val="906"/>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Style w:val="906"/>
          <w:rFonts w:hint="eastAsia" w:ascii="宋体" w:hAnsi="宋体" w:eastAsia="宋体" w:cs="宋体"/>
          <w:sz w:val="24"/>
          <w:szCs w:val="24"/>
          <w:u w:val="single"/>
        </w:rPr>
        <w:t xml:space="preserve">（关键组件）</w:t>
      </w:r>
      <w:r>
        <w:rPr>
          <w:rStyle w:val="906"/>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在中国境内生产。</w:t>
      </w:r>
      <w:r>
        <w:rPr>
          <w:rStyle w:val="906"/>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Style w:val="906"/>
          <w:rFonts w:hint="eastAsia" w:ascii="宋体" w:hAnsi="宋体" w:eastAsia="宋体" w:cs="宋体"/>
          <w:sz w:val="24"/>
          <w:szCs w:val="24"/>
          <w:u w:val="single"/>
        </w:rPr>
        <w:t xml:space="preserve">（关键工序）</w:t>
      </w:r>
      <w:r>
        <w:rPr>
          <w:rStyle w:val="906"/>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在中国境内完成。</w:t>
      </w:r>
      <w:r/>
    </w:p>
    <w:p>
      <w:pPr>
        <w:pStyle w:val="897"/>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w:t xml:space="preserve">2.</w:t>
      </w:r>
      <w:r>
        <w:rPr>
          <w:rStyle w:val="906"/>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Style w:val="906"/>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Style w:val="906"/>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Style w:val="906"/>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Style w:val="906"/>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Style w:val="906"/>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Style w:val="906"/>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Style w:val="906"/>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Style w:val="906"/>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p>
    <w:p>
      <w:pPr>
        <w:pStyle w:val="897"/>
        <w:ind w:firstLine="480"/>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w:t>
      </w:r>
      <w:r/>
    </w:p>
    <w:p>
      <w:pPr>
        <w:pStyle w:val="897"/>
        <w:ind w:firstLine="480"/>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p>
    <w:p>
      <w:pPr>
        <w:pStyle w:val="897"/>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897"/>
        <w:ind w:right="815"/>
        <w:jc w:val="center"/>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897"/>
        <w:ind w:left="0" w:right="815" w:firstLine="540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97"/>
        <w:jc w:val="right"/>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897"/>
        <w:jc w:val="right"/>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897"/>
        <w:jc w:val="right"/>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897"/>
        <w:jc w:val="right"/>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897"/>
        <w:ind w:left="0" w:firstLine="0"/>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__________________</w:t>
      </w:r>
      <w:r/>
    </w:p>
    <w:p>
      <w:pPr>
        <w:pStyle w:val="897"/>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p>
    <w:p>
      <w:pPr>
        <w:pStyle w:val="897"/>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p>
    <w:p>
      <w:pPr>
        <w:pStyle w:val="897"/>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p>
    <w:p>
      <w:pPr>
        <w:pStyle w:val="897"/>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p>
    <w:p>
      <w:pPr>
        <w:pStyle w:val="897"/>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p>
    <w:p>
      <w:pPr>
        <w:pStyle w:val="897"/>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用斜线划除的地方无需填写。</w:t>
      </w:r>
      <w:bookmarkEnd w:id="78"/>
      <w:r/>
      <w:bookmarkEnd w:id="79"/>
      <w:r/>
      <w:r/>
    </w:p>
    <w:p>
      <w:pPr>
        <w:ind w:left="0"/>
        <w:jc w:val="left"/>
        <w:rPr>
          <w:rFonts w:hint="eastAsia" w:ascii="宋体" w:hAnsi="宋体" w:eastAsia="宋体" w:cs="宋体"/>
          <w:sz w:val="24"/>
          <w:szCs w:val="24"/>
        </w:rPr>
        <w:outlineLvl w:val="0"/>
      </w:pPr>
      <w:r>
        <w:rPr>
          <w:rFonts w:hint="eastAsia" w:ascii="宋体" w:hAnsi="宋体" w:eastAsia="宋体" w:cs="宋体"/>
          <w:sz w:val="24"/>
          <w:szCs w:val="24"/>
          <w:lang w:val="zh-CN"/>
        </w:rPr>
        <w:br w:type="page" w:clear="all"/>
      </w:r>
      <w:bookmarkStart w:id="80" w:name="_Toc27138"/>
      <w:r/>
      <w:bookmarkStart w:id="81" w:name="_Toc31973"/>
      <w:r/>
      <w:r/>
    </w:p>
    <w:p>
      <w:pPr>
        <w:ind w:left="0"/>
        <w:jc w:val="left"/>
        <w:rPr>
          <w:rFonts w:hint="eastAsia" w:ascii="宋体" w:hAnsi="宋体" w:eastAsia="宋体" w:cs="宋体"/>
          <w:b/>
          <w:sz w:val="24"/>
          <w:szCs w:val="24"/>
        </w:rPr>
        <w:outlineLvl w:val="0"/>
      </w:pPr>
      <w:r/>
      <w:bookmarkStart w:id="82" w:name="_Toc105397786"/>
      <w:r>
        <w:rPr>
          <w:rFonts w:hint="eastAsia" w:ascii="宋体" w:hAnsi="宋体" w:eastAsia="宋体" w:cs="宋体"/>
          <w:b/>
          <w:sz w:val="24"/>
          <w:szCs w:val="24"/>
        </w:rPr>
        <w:t xml:space="preserve">附件8.</w:t>
      </w:r>
      <w:bookmarkEnd w:id="82"/>
      <w:r>
        <w:rPr>
          <w:rFonts w:hint="eastAsia" w:ascii="宋体" w:hAnsi="宋体" w:eastAsia="宋体" w:cs="宋体"/>
          <w:sz w:val="24"/>
          <w:szCs w:val="24"/>
        </w:rPr>
        <w:t xml:space="preserve"> </w:t>
      </w:r>
      <w:r>
        <w:rPr>
          <w:rFonts w:hint="eastAsia" w:ascii="宋体" w:hAnsi="宋体" w:eastAsia="宋体" w:cs="宋体"/>
          <w:b/>
          <w:sz w:val="24"/>
          <w:szCs w:val="24"/>
        </w:rPr>
        <w:t xml:space="preserve">技术参数响应及偏离表</w:t>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技术参数响应及偏离表</w:t>
      </w:r>
      <w:r/>
    </w:p>
    <w:tbl>
      <w:tblPr>
        <w:tblStyle w:val="8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偏离说明</w:t>
            </w:r>
            <w:r/>
          </w:p>
        </w:tc>
        <w:tc>
          <w:tcPr>
            <w:tcW w:w="1418" w:type="dxa"/>
            <w:vAlign w:val="center"/>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以上表格内容不够的请自行添加。</w:t>
      </w:r>
      <w:r/>
    </w:p>
    <w:p>
      <w:pPr>
        <w:ind w:left="0" w:right="156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
        <w:rPr>
          <w:rFonts w:hint="eastAsia" w:ascii="宋体" w:hAnsi="宋体" w:eastAsia="宋体" w:cs="宋体"/>
          <w:sz w:val="24"/>
          <w:szCs w:val="24"/>
        </w:rPr>
      </w:r>
      <w:r/>
      <w:r>
        <w:rPr>
          <w:rFonts w:hint="eastAsia" w:ascii="宋体" w:hAnsi="宋体" w:eastAsia="宋体" w:cs="宋体"/>
          <w:sz w:val="24"/>
          <w:szCs w:val="24"/>
        </w:rP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ind w:left="0"/>
        <w:jc w:val="left"/>
        <w:rPr>
          <w:rFonts w:hint="eastAsia" w:ascii="宋体" w:hAnsi="宋体" w:eastAsia="宋体" w:cs="宋体"/>
          <w:b/>
          <w:sz w:val="24"/>
          <w:szCs w:val="24"/>
        </w:rPr>
        <w:outlineLvl w:val="0"/>
      </w:pPr>
      <w:r>
        <w:rPr>
          <w:rFonts w:hint="eastAsia" w:ascii="宋体" w:hAnsi="宋体" w:eastAsia="宋体" w:cs="宋体"/>
          <w:b/>
          <w:sz w:val="24"/>
          <w:szCs w:val="24"/>
        </w:rPr>
        <w:t xml:space="preserve">附件9.</w:t>
      </w:r>
      <w:r>
        <w:rPr>
          <w:rFonts w:hint="eastAsia" w:ascii="宋体" w:hAnsi="宋体" w:eastAsia="宋体" w:cs="宋体"/>
          <w:sz w:val="24"/>
          <w:szCs w:val="24"/>
        </w:rPr>
        <w:t xml:space="preserve"> </w:t>
      </w:r>
      <w:r>
        <w:rPr>
          <w:rFonts w:hint="eastAsia" w:ascii="宋体" w:hAnsi="宋体" w:eastAsia="宋体" w:cs="宋体"/>
          <w:b/>
          <w:sz w:val="24"/>
          <w:szCs w:val="24"/>
        </w:rPr>
        <w:t xml:space="preserve">商务条款响应及偏离表</w:t>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商务条款响应及偏离表</w:t>
      </w:r>
      <w:r/>
    </w:p>
    <w:tbl>
      <w:tblPr>
        <w:tblStyle w:val="8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以上表格内容不够的请自行添加。</w:t>
      </w:r>
      <w:r/>
    </w:p>
    <w:p>
      <w:pPr>
        <w:ind w:left="0" w:right="156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ind w:left="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left="0"/>
        <w:jc w:val="left"/>
        <w:rPr>
          <w:rFonts w:hint="eastAsia" w:ascii="宋体" w:hAnsi="宋体" w:eastAsia="宋体" w:cs="宋体"/>
          <w:b/>
          <w:sz w:val="24"/>
          <w:szCs w:val="24"/>
        </w:rPr>
        <w:outlineLvl w:val="0"/>
      </w:pPr>
      <w:r/>
      <w:bookmarkStart w:id="83" w:name="_Toc105397787"/>
      <w:r/>
      <w:bookmarkStart w:id="84" w:name="_Toc71810489"/>
      <w:r>
        <w:rPr>
          <w:rFonts w:hint="eastAsia" w:ascii="宋体" w:hAnsi="宋体" w:eastAsia="宋体" w:cs="宋体"/>
          <w:b/>
          <w:sz w:val="24"/>
          <w:szCs w:val="24"/>
        </w:rPr>
        <w:br w:type="page" w:clear="all"/>
      </w:r>
      <w:r>
        <w:rPr>
          <w:rFonts w:hint="eastAsia" w:ascii="宋体" w:hAnsi="宋体" w:eastAsia="宋体" w:cs="宋体"/>
          <w:b/>
          <w:sz w:val="24"/>
          <w:szCs w:val="24"/>
        </w:rPr>
        <w:t xml:space="preserve">附件10.相关业绩一览表</w:t>
      </w:r>
      <w:bookmarkEnd w:id="83"/>
      <w:r/>
      <w:bookmarkEnd w:id="84"/>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相关业绩一览表</w:t>
      </w:r>
      <w:r/>
    </w:p>
    <w:tbl>
      <w:tblPr>
        <w:tblStyle w:val="84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项目名称</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合同期</w:t>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合同金额</w:t>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注：1.若事项较多，投标人可根据投标内容的实际情况另纸说明。</w:t>
      </w:r>
      <w:r/>
    </w:p>
    <w:p>
      <w:pPr>
        <w:ind w:left="0" w:firstLine="84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2.请将其他相关证明材料复印件加盖公章后附在本表后面。</w:t>
      </w:r>
      <w:r/>
    </w:p>
    <w:p>
      <w:pPr>
        <w:ind w:left="0"/>
        <w:jc w:val="left"/>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6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6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6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65"/>
        <w:rPr>
          <w:rFonts w:hint="eastAsia" w:ascii="宋体" w:hAnsi="宋体" w:eastAsia="宋体" w:cs="宋体"/>
          <w:sz w:val="24"/>
          <w:szCs w:val="24"/>
        </w:rPr>
      </w:pPr>
      <w:r>
        <w:rPr>
          <w:rFonts w:hint="eastAsia" w:ascii="宋体" w:hAnsi="宋体" w:eastAsia="宋体" w:cs="宋体"/>
          <w:sz w:val="24"/>
          <w:szCs w:val="24"/>
        </w:rPr>
      </w:r>
      <w:r/>
    </w:p>
    <w:p>
      <w:pPr>
        <w:pStyle w:val="865"/>
        <w:rPr>
          <w:rFonts w:hint="eastAsia" w:ascii="宋体" w:hAnsi="宋体" w:eastAsia="宋体" w:cs="宋体"/>
          <w:sz w:val="24"/>
          <w:szCs w:val="24"/>
        </w:rPr>
      </w:pPr>
      <w:r>
        <w:rPr>
          <w:rFonts w:hint="eastAsia" w:ascii="宋体" w:hAnsi="宋体" w:eastAsia="宋体" w:cs="宋体"/>
          <w:sz w:val="24"/>
          <w:szCs w:val="24"/>
        </w:rPr>
      </w:r>
      <w:r/>
    </w:p>
    <w:p>
      <w:pPr>
        <w:pStyle w:val="85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bookmarkEnd w:id="80"/>
      <w:bookmarkEnd w:id="81"/>
      <w:r/>
    </w:p>
    <w:p>
      <w:pPr>
        <w:rPr>
          <w:rFonts w:hint="eastAsia" w:ascii="宋体" w:hAnsi="宋体" w:eastAsia="宋体" w:cs="宋体"/>
          <w:sz w:val="24"/>
          <w:szCs w:val="24"/>
        </w:rPr>
      </w:pPr>
      <w:r/>
      <w:bookmarkStart w:id="85" w:name="_Toc71810490"/>
      <w:r>
        <w:rPr>
          <w:rFonts w:hint="eastAsia" w:ascii="宋体" w:hAnsi="宋体" w:eastAsia="宋体" w:cs="宋体"/>
          <w:sz w:val="24"/>
          <w:szCs w:val="24"/>
        </w:rPr>
        <w:t xml:space="preserve"> </w:t>
      </w:r>
      <w:r/>
    </w:p>
    <w:p>
      <w:pPr>
        <w:pStyle w:val="85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pPr>
      <w:r/>
      <w:bookmarkStart w:id="86" w:name="_Toc105397789"/>
      <w:r>
        <w:rPr>
          <w:rFonts w:hint="eastAsia" w:ascii="宋体" w:hAnsi="宋体" w:eastAsia="宋体" w:cs="宋体"/>
          <w:b/>
          <w:sz w:val="24"/>
          <w:szCs w:val="24"/>
        </w:rPr>
        <w:br w:type="page" w:clear="all"/>
      </w:r>
      <w:r/>
    </w:p>
    <w:p>
      <w:pPr>
        <w:ind w:left="0"/>
        <w:jc w:val="left"/>
        <w:rPr>
          <w:rFonts w:hint="eastAsia" w:ascii="宋体" w:hAnsi="宋体" w:eastAsia="宋体" w:cs="宋体"/>
          <w:b/>
          <w:sz w:val="24"/>
          <w:szCs w:val="24"/>
        </w:rPr>
        <w:outlineLvl w:val="0"/>
      </w:pPr>
      <w:r>
        <w:rPr>
          <w:rFonts w:hint="eastAsia" w:ascii="宋体" w:hAnsi="宋体" w:eastAsia="宋体" w:cs="宋体"/>
          <w:b/>
          <w:sz w:val="24"/>
          <w:szCs w:val="24"/>
        </w:rPr>
        <w:t xml:space="preserve">附件11.关于资格文件的声明函</w:t>
      </w:r>
      <w:bookmarkEnd w:id="85"/>
      <w:r/>
      <w:bookmarkEnd w:id="86"/>
      <w:r/>
      <w:r/>
    </w:p>
    <w:p>
      <w:pPr>
        <w:ind w:left="0" w:firstLine="420"/>
        <w:jc w:val="center"/>
        <w:rPr>
          <w:rFonts w:hint="eastAsia" w:ascii="宋体" w:hAnsi="宋体" w:eastAsia="宋体" w:cs="宋体"/>
          <w:b/>
          <w:sz w:val="24"/>
          <w:szCs w:val="24"/>
        </w:rPr>
      </w:pPr>
      <w:r>
        <w:rPr>
          <w:rFonts w:hint="eastAsia" w:ascii="宋体" w:hAnsi="宋体" w:eastAsia="宋体" w:cs="宋体"/>
          <w:b/>
          <w:sz w:val="24"/>
          <w:szCs w:val="24"/>
        </w:rPr>
      </w:r>
      <w:r/>
    </w:p>
    <w:p>
      <w:pPr>
        <w:ind w:left="0"/>
        <w:jc w:val="center"/>
        <w:rPr>
          <w:rFonts w:hint="eastAsia" w:ascii="宋体" w:hAnsi="宋体" w:eastAsia="宋体" w:cs="宋体"/>
          <w:b/>
          <w:sz w:val="24"/>
          <w:szCs w:val="24"/>
        </w:rPr>
      </w:pPr>
      <w:r>
        <w:rPr>
          <w:rFonts w:hint="eastAsia" w:ascii="宋体" w:hAnsi="宋体" w:eastAsia="宋体" w:cs="宋体"/>
          <w:b/>
          <w:sz w:val="24"/>
          <w:szCs w:val="24"/>
        </w:rPr>
        <w:t xml:space="preserve">关于资格文件的声明函</w:t>
      </w:r>
      <w:r/>
    </w:p>
    <w:p>
      <w:pPr>
        <w:ind w:left="0" w:firstLine="420"/>
        <w:jc w:val="center"/>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lang w:eastAsia="zh-CN"/>
        </w:rPr>
        <w:t xml:space="preserve">苏州市永诚建设咨询有限公司</w:t>
      </w:r>
      <w:r>
        <w:rPr>
          <w:rFonts w:hint="eastAsia" w:ascii="宋体" w:hAnsi="宋体" w:eastAsia="宋体" w:cs="宋体"/>
          <w:sz w:val="24"/>
          <w:szCs w:val="24"/>
        </w:rPr>
        <w:t xml:space="preserve">：</w:t>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本公司愿就由贵中心组织实施的编号为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ind w:left="0" w:right="0"/>
        <w:jc w:val="left"/>
        <w:keepLines w:val="0"/>
        <w:keepNext w:val="0"/>
        <w:spacing w:before="0" w:beforeAutospacing="0" w:after="0" w:afterAutospacing="0"/>
        <w:widowControl/>
        <w:rPr>
          <w:rFonts w:hint="eastAsia" w:ascii="宋体" w:hAnsi="宋体" w:eastAsia="宋体" w:cs="宋体"/>
          <w:b/>
          <w:bCs w:val="0"/>
          <w:sz w:val="24"/>
          <w:szCs w:val="24"/>
        </w:rPr>
        <w:outlineLvl w:val="0"/>
        <w:suppressLineNumbers w:val="0"/>
      </w:pPr>
      <w:r>
        <w:rPr>
          <w:rFonts w:hint="eastAsia" w:ascii="宋体" w:hAnsi="宋体" w:eastAsia="宋体" w:cs="宋体"/>
          <w:sz w:val="24"/>
          <w:szCs w:val="24"/>
        </w:rPr>
        <w:br w:type="page" w:clear="all"/>
      </w:r>
      <w:r>
        <w:rPr>
          <w:rFonts w:hint="eastAsia" w:ascii="宋体" w:hAnsi="宋体" w:eastAsia="宋体" w:cs="宋体"/>
          <w:b/>
          <w:sz w:val="24"/>
          <w:szCs w:val="24"/>
        </w:rPr>
        <w:t xml:space="preserve">附件12.</w:t>
      </w:r>
      <w:r>
        <w:rPr>
          <w:rFonts w:hint="eastAsia" w:ascii="宋体" w:hAnsi="宋体" w:eastAsia="宋体" w:cs="宋体"/>
          <w:b/>
          <w:bCs w:val="0"/>
          <w:sz w:val="24"/>
          <w:szCs w:val="24"/>
          <w:lang w:val="en-US" w:eastAsia="zh-CN" w:bidi="ar"/>
        </w:rPr>
        <w:t xml:space="preserve">投标货物和服务数量、品牌规格、性能、交货期说明表</w:t>
      </w:r>
      <w:r/>
    </w:p>
    <w:p>
      <w:pPr>
        <w:ind w:left="0" w:right="0"/>
        <w:jc w:val="center"/>
        <w:keepLines w:val="0"/>
        <w:keepNext w:val="0"/>
        <w:spacing w:before="0" w:beforeAutospacing="1" w:after="0" w:afterAutospacing="1" w:line="480" w:lineRule="auto"/>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投标货物和服务数量、品牌规格、性能、交货期说明表</w:t>
      </w:r>
      <w:r/>
    </w:p>
    <w:tbl>
      <w:tblPr>
        <w:tblStyle w:val="849"/>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711"/>
        <w:gridCol w:w="2335"/>
        <w:gridCol w:w="2197"/>
        <w:gridCol w:w="1319"/>
        <w:gridCol w:w="1984"/>
        <w:gridCol w:w="1427"/>
      </w:tblGrid>
      <w:tr>
        <w:trPr>
          <w:jc w:val="center"/>
          <w:trHeight w:val="609"/>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center"/>
            <w:textDirection w:val="lrTb"/>
            <w:noWrap/>
          </w:tcPr>
          <w:p>
            <w:pPr>
              <w:ind w:left="54"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品牌、规格、性能</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交货期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jc w:val="left"/>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 </w:t>
      </w:r>
      <w:r/>
    </w:p>
    <w:p>
      <w:pPr>
        <w:ind w:left="0" w:right="0" w:firstLine="105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投标方（盖章）：</w:t>
      </w:r>
      <w:r/>
    </w:p>
    <w:p>
      <w:pPr>
        <w:ind w:left="1024"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法定代表人或代理人（签字或盖章）：</w:t>
      </w:r>
      <w:r/>
    </w:p>
    <w:p>
      <w:pPr>
        <w:ind w:left="1024" w:right="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ectPr>
          <w:headerReference w:type="first" r:id="rId10"/>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suppressLineNumbers w:val="0"/>
      </w:pPr>
      <w:r>
        <w:rPr>
          <w:rFonts w:hint="eastAsia" w:ascii="宋体" w:hAnsi="宋体" w:eastAsia="宋体" w:cs="宋体"/>
          <w:sz w:val="24"/>
          <w:szCs w:val="24"/>
          <w:lang w:val="en-US" w:eastAsia="zh-CN" w:bidi="ar"/>
        </w:rPr>
        <w:t xml:space="preserve">日期:       年月日</w:t>
      </w:r>
      <w:r/>
    </w:p>
    <w:p>
      <w:pPr>
        <w:ind w:left="0" w:right="0"/>
        <w:jc w:val="left"/>
        <w:keepLines w:val="0"/>
        <w:keepNext w:val="0"/>
        <w:spacing w:before="0" w:beforeAutospacing="0" w:after="0" w:afterAutospacing="0"/>
        <w:widowControl/>
        <w:rPr>
          <w:rFonts w:hint="eastAsia" w:ascii="宋体" w:hAnsi="宋体" w:eastAsia="宋体" w:cs="宋体"/>
          <w:b/>
          <w:bCs w:val="0"/>
          <w:sz w:val="24"/>
          <w:szCs w:val="24"/>
        </w:rPr>
        <w:outlineLvl w:val="0"/>
        <w:suppressLineNumbers w:val="0"/>
      </w:pPr>
      <w:r>
        <w:rPr>
          <w:rFonts w:hint="eastAsia" w:ascii="宋体" w:hAnsi="宋体" w:eastAsia="宋体" w:cs="宋体"/>
          <w:b/>
          <w:bCs w:val="0"/>
          <w:sz w:val="24"/>
          <w:szCs w:val="24"/>
          <w:lang w:val="en-US" w:eastAsia="zh-CN" w:bidi="ar"/>
        </w:rPr>
        <w:t xml:space="preserve">附件13.投标方基本情况表</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tbl>
      <w:tblPr>
        <w:tblStyle w:val="849"/>
        <w:tblW w:w="90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26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141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成立日期</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83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注册地址</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26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141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注册资金</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835" w:type="dxa"/>
            <w:vAlign w:val="center"/>
            <w:textDirection w:val="lrTb"/>
            <w:noWrap/>
          </w:tcPr>
          <w:p>
            <w:pPr>
              <w:ind w:left="0" w:right="0" w:firstLine="216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经营范围</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实现利润</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26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2025年万元</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141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员工总人数</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83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资产总计</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26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万元</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141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营业收入</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835" w:type="dxa"/>
            <w:vAlign w:val="center"/>
            <w:textDirection w:val="lrTb"/>
            <w:noWrap/>
          </w:tcPr>
          <w:p>
            <w:pPr>
              <w:ind w:left="0" w:right="0" w:firstLine="42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2025年万元</w:t>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单位简历及内设机构情况</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单位优势及特长</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商业信誉和健全的财务会计制度介绍</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履行合同所必需的设备和专业技术能力情况</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依法缴纳税收和社会保障资金情况</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参加政府采购活动前三年内，在经营活动中有无重大违法记录</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其他需要说明的情况</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firstLine="315"/>
        <w:jc w:val="left"/>
        <w:keepLines w:val="0"/>
        <w:keepNext w:val="0"/>
        <w:spacing w:before="0" w:beforeAutospacing="0" w:after="0" w:afterAutospacing="0" w:line="360" w:lineRule="auto"/>
        <w:widowControl/>
        <w:rPr>
          <w:rFonts w:hint="eastAsia" w:ascii="宋体" w:hAnsi="宋体" w:eastAsia="宋体" w:cs="宋体"/>
          <w:b/>
          <w:bCs w:val="0"/>
          <w:sz w:val="24"/>
          <w:szCs w:val="24"/>
        </w:rPr>
        <w:suppressLineNumbers w:val="0"/>
      </w:pPr>
      <w:r>
        <w:rPr>
          <w:rFonts w:hint="eastAsia" w:ascii="宋体" w:hAnsi="宋体" w:eastAsia="宋体" w:cs="宋体"/>
          <w:sz w:val="24"/>
          <w:szCs w:val="24"/>
          <w:lang w:val="en-US" w:eastAsia="zh-CN" w:bidi="ar"/>
        </w:rPr>
        <w:t xml:space="preserve">注：若事项较多，投标方可根据投标内容的实际情况另纸说明。</w:t>
      </w:r>
      <w:r/>
    </w:p>
    <w:p>
      <w:pPr>
        <w:ind w:left="0" w:right="0" w:firstLine="368"/>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945"/>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投标方（盖章）：</w:t>
      </w:r>
      <w:r/>
    </w:p>
    <w:p>
      <w:pPr>
        <w:ind w:left="1024"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法定代表人或代理人（签字或盖章）：</w:t>
      </w:r>
      <w:r/>
    </w:p>
    <w:p>
      <w:pPr>
        <w:ind w:left="1024" w:right="0"/>
        <w:jc w:val="left"/>
        <w:keepLines w:val="0"/>
        <w:keepNext w:val="0"/>
        <w:spacing w:before="0" w:beforeAutospacing="0" w:after="0" w:afterAutospacing="0" w:line="360" w:lineRule="auto"/>
        <w:widowControl/>
        <w:rPr>
          <w:rFonts w:hint="eastAsia" w:ascii="宋体" w:hAnsi="宋体" w:eastAsia="宋体" w:cs="宋体"/>
          <w:b/>
          <w:bCs w:val="0"/>
          <w:sz w:val="24"/>
          <w:szCs w:val="24"/>
        </w:rPr>
        <w:suppressLineNumbers w:val="0"/>
      </w:pPr>
      <w:r>
        <w:rPr>
          <w:rFonts w:hint="eastAsia" w:ascii="宋体" w:hAnsi="宋体" w:eastAsia="宋体" w:cs="宋体"/>
          <w:sz w:val="24"/>
          <w:szCs w:val="24"/>
          <w:lang w:val="en-US" w:eastAsia="zh-CN" w:bidi="ar"/>
        </w:rPr>
        <w:t xml:space="preserve">日期:       年月日</w:t>
      </w:r>
      <w:r/>
    </w:p>
    <w:p>
      <w:pPr>
        <w:ind w:left="1024" w:right="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ectPr>
          <w:footnotePr/>
          <w:endnotePr/>
          <w:type w:val="nextPage"/>
          <w:pgSz w:w="11906" w:h="16838" w:orient="portrait"/>
          <w:pgMar w:top="1418" w:right="1021" w:bottom="1418" w:left="1021" w:header="567" w:footer="567" w:gutter="0"/>
          <w:cols w:num="1" w:sep="0" w:space="720" w:equalWidth="1"/>
          <w:docGrid w:linePitch="360"/>
          <w:titlePg/>
        </w:sectPr>
        <w:suppressLineNumbers w:val="0"/>
      </w:pPr>
      <w:r>
        <w:rPr>
          <w:rFonts w:hint="eastAsia" w:ascii="宋体" w:hAnsi="宋体" w:eastAsia="宋体" w:cs="宋体"/>
          <w:sz w:val="24"/>
          <w:szCs w:val="24"/>
          <w:lang w:val="en-US" w:eastAsia="zh-CN" w:bidi="ar"/>
        </w:rPr>
      </w:r>
      <w:r/>
    </w:p>
    <w:p>
      <w:pPr>
        <w:pStyle w:val="839"/>
        <w:ind w:left="0" w:firstLine="0"/>
        <w:jc w:val="center"/>
        <w:rPr>
          <w:rFonts w:hint="eastAsia" w:ascii="宋体" w:hAnsi="宋体" w:eastAsia="宋体" w:cs="宋体"/>
          <w:b/>
          <w:sz w:val="44"/>
          <w:szCs w:val="22"/>
        </w:rPr>
      </w:pPr>
      <w:r/>
      <w:bookmarkStart w:id="87" w:name="_Toc4098"/>
      <w:r/>
      <w:bookmarkStart w:id="88" w:name="_Toc105397793"/>
      <w:r/>
      <w:bookmarkStart w:id="89" w:name="_Toc23660"/>
      <w:r>
        <w:rPr>
          <w:rFonts w:hint="eastAsia" w:ascii="宋体" w:hAnsi="宋体" w:eastAsia="宋体" w:cs="宋体"/>
          <w:b/>
          <w:sz w:val="44"/>
          <w:szCs w:val="22"/>
        </w:rPr>
        <w:t xml:space="preserve">第四章  </w:t>
      </w:r>
      <w:bookmarkStart w:id="90" w:name="招标书"/>
      <w:r/>
      <w:bookmarkEnd w:id="90"/>
      <w:r>
        <w:rPr>
          <w:rFonts w:hint="eastAsia" w:ascii="宋体" w:hAnsi="宋体" w:eastAsia="宋体" w:cs="宋体"/>
          <w:b/>
          <w:sz w:val="44"/>
          <w:szCs w:val="22"/>
        </w:rPr>
        <w:t xml:space="preserve">招标书</w:t>
      </w:r>
      <w:bookmarkEnd w:id="87"/>
      <w:r/>
      <w:bookmarkEnd w:id="88"/>
      <w:r/>
      <w:bookmarkEnd w:id="89"/>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苏州市永诚建设咨询有限公司</w:t>
      </w:r>
      <w:r>
        <w:rPr>
          <w:rFonts w:hint="eastAsia" w:ascii="宋体" w:hAnsi="宋体" w:eastAsia="宋体" w:cs="宋体"/>
          <w:sz w:val="24"/>
          <w:szCs w:val="24"/>
        </w:rPr>
        <w:t xml:space="preserve">受</w:t>
      </w:r>
      <w:r>
        <w:rPr>
          <w:rFonts w:hint="eastAsia" w:ascii="宋体" w:hAnsi="宋体" w:eastAsia="宋体" w:cs="宋体"/>
          <w:sz w:val="24"/>
          <w:szCs w:val="24"/>
          <w:u w:val="single"/>
          <w:lang w:eastAsia="zh-CN"/>
        </w:rPr>
        <w:t xml:space="preserve">苏州市交通运输应急指挥中心</w:t>
      </w:r>
      <w:r>
        <w:rPr>
          <w:rFonts w:hint="eastAsia" w:ascii="宋体" w:hAnsi="宋体" w:eastAsia="宋体" w:cs="宋体"/>
          <w:sz w:val="24"/>
          <w:szCs w:val="24"/>
        </w:rPr>
        <w:t xml:space="preserve">的委托，就</w:t>
      </w:r>
      <w:r>
        <w:rPr>
          <w:rFonts w:hint="eastAsia" w:ascii="宋体" w:hAnsi="宋体" w:eastAsia="宋体" w:cs="宋体"/>
          <w:sz w:val="24"/>
          <w:szCs w:val="24"/>
          <w:u w:val="single"/>
          <w:lang w:eastAsia="zh-CN"/>
        </w:rPr>
        <w:t xml:space="preserve">苏州市交通运输应急指挥中心指挥大厅运行监测坐席采购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项目进行公开招标，现欢迎符合相关条件的供应商参加投标。</w:t>
      </w:r>
      <w:r/>
    </w:p>
    <w:p>
      <w:pPr>
        <w:ind w:left="0" w:firstLine="420"/>
        <w:spacing w:line="360" w:lineRule="auto"/>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一、项目编号：</w:t>
      </w:r>
      <w:r>
        <w:rPr>
          <w:rFonts w:hint="eastAsia" w:ascii="宋体" w:hAnsi="宋体" w:eastAsia="宋体" w:cs="宋体"/>
          <w:sz w:val="24"/>
          <w:szCs w:val="24"/>
          <w:lang w:eastAsia="zh-CN"/>
        </w:rPr>
        <w:t xml:space="preserve">JSZC-320500-CCCC-G2026-0024 </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二、项目名称：</w:t>
      </w:r>
      <w:r>
        <w:rPr>
          <w:rFonts w:hint="eastAsia" w:ascii="宋体" w:hAnsi="宋体" w:eastAsia="宋体" w:cs="宋体"/>
          <w:sz w:val="24"/>
          <w:szCs w:val="24"/>
          <w:lang w:eastAsia="zh-CN"/>
        </w:rPr>
        <w:t xml:space="preserve">苏州市交通运输应急指挥中心指挥大厅运行监测坐席采购</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三、预算金额：人民币</w:t>
      </w:r>
      <w:r>
        <w:rPr>
          <w:rFonts w:hint="eastAsia" w:ascii="宋体" w:hAnsi="宋体" w:cs="宋体"/>
          <w:sz w:val="24"/>
          <w:szCs w:val="24"/>
          <w:lang w:eastAsia="zh-CN"/>
        </w:rPr>
        <w:t xml:space="preserve">壹佰零伍万元</w:t>
      </w:r>
      <w:r>
        <w:rPr>
          <w:rFonts w:hint="eastAsia" w:ascii="宋体" w:hAnsi="宋体" w:eastAsia="宋体" w:cs="宋体"/>
          <w:sz w:val="24"/>
          <w:szCs w:val="24"/>
          <w:lang w:eastAsia="zh-CN"/>
        </w:rPr>
        <w:t xml:space="preserve">整</w:t>
      </w:r>
      <w:r>
        <w:rPr>
          <w:rFonts w:hint="eastAsia" w:ascii="宋体" w:hAnsi="宋体" w:eastAsia="宋体" w:cs="宋体"/>
          <w:sz w:val="24"/>
          <w:szCs w:val="24"/>
        </w:rPr>
        <w:t xml:space="preserve">（¥</w:t>
      </w:r>
      <w:r>
        <w:rPr>
          <w:rFonts w:hint="eastAsia" w:ascii="宋体" w:hAnsi="宋体" w:cs="宋体"/>
          <w:sz w:val="24"/>
          <w:szCs w:val="24"/>
          <w:lang w:eastAsia="zh-CN"/>
        </w:rPr>
        <w:t xml:space="preserve">1050000</w:t>
      </w:r>
      <w:r>
        <w:rPr>
          <w:rFonts w:hint="eastAsia" w:ascii="宋体" w:hAnsi="宋体" w:eastAsia="宋体" w:cs="宋体"/>
          <w:sz w:val="24"/>
          <w:szCs w:val="24"/>
          <w:lang w:eastAsia="zh-CN"/>
        </w:rPr>
        <w:t xml:space="preserve">.00</w:t>
      </w:r>
      <w:r>
        <w:rPr>
          <w:rFonts w:hint="eastAsia" w:ascii="宋体" w:hAnsi="宋体" w:eastAsia="宋体" w:cs="宋体"/>
          <w:sz w:val="24"/>
          <w:szCs w:val="24"/>
        </w:rPr>
        <w:t xml:space="preserve">）</w:t>
      </w:r>
      <w:bookmarkStart w:id="129" w:name="_GoBack"/>
      <w:r/>
      <w:bookmarkEnd w:id="129"/>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四、最高限价：人民币</w:t>
      </w:r>
      <w:r>
        <w:rPr>
          <w:rFonts w:hint="eastAsia" w:ascii="宋体" w:hAnsi="宋体" w:cs="宋体"/>
          <w:sz w:val="24"/>
          <w:szCs w:val="24"/>
          <w:lang w:eastAsia="zh-CN"/>
        </w:rPr>
        <w:t xml:space="preserve">壹佰零伍万元</w:t>
      </w:r>
      <w:r>
        <w:rPr>
          <w:rFonts w:hint="eastAsia" w:ascii="宋体" w:hAnsi="宋体" w:eastAsia="宋体" w:cs="宋体"/>
          <w:sz w:val="24"/>
          <w:szCs w:val="24"/>
          <w:lang w:eastAsia="zh-CN"/>
        </w:rPr>
        <w:t xml:space="preserve">整</w:t>
      </w:r>
      <w:r>
        <w:rPr>
          <w:rFonts w:hint="eastAsia" w:ascii="宋体" w:hAnsi="宋体" w:eastAsia="宋体" w:cs="宋体"/>
          <w:sz w:val="24"/>
          <w:szCs w:val="24"/>
        </w:rPr>
        <w:t xml:space="preserve">（¥</w:t>
      </w:r>
      <w:r>
        <w:rPr>
          <w:rFonts w:hint="eastAsia" w:ascii="宋体" w:hAnsi="宋体" w:cs="宋体"/>
          <w:sz w:val="24"/>
          <w:szCs w:val="24"/>
          <w:lang w:eastAsia="zh-CN"/>
        </w:rPr>
        <w:t xml:space="preserve">1050000</w:t>
      </w:r>
      <w:r>
        <w:rPr>
          <w:rFonts w:hint="eastAsia" w:ascii="宋体" w:hAnsi="宋体" w:eastAsia="宋体" w:cs="宋体"/>
          <w:sz w:val="24"/>
          <w:szCs w:val="24"/>
          <w:lang w:eastAsia="zh-CN"/>
        </w:rPr>
        <w:t xml:space="preserve">.00</w:t>
      </w:r>
      <w:r>
        <w:rPr>
          <w:rFonts w:hint="eastAsia" w:ascii="宋体" w:hAnsi="宋体" w:eastAsia="宋体" w:cs="宋体"/>
          <w:sz w:val="24"/>
          <w:szCs w:val="24"/>
        </w:rPr>
        <w:t xml:space="preserve">）</w:t>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五、合同履行期限：</w:t>
      </w:r>
      <w:r>
        <w:rPr>
          <w:rFonts w:hint="eastAsia" w:ascii="宋体" w:hAnsi="宋体" w:eastAsia="宋体" w:cs="宋体"/>
          <w:sz w:val="24"/>
          <w:szCs w:val="24"/>
          <w:lang w:eastAsia="zh-CN"/>
        </w:rPr>
        <w:t xml:space="preserve">合同生效后，45 日内将合同标的全部交付并安装调试完毕</w:t>
      </w:r>
      <w:r>
        <w:rPr>
          <w:rFonts w:hint="eastAsia" w:ascii="宋体" w:hAnsi="宋体" w:eastAsia="宋体" w:cs="宋体"/>
          <w:sz w:val="24"/>
          <w:szCs w:val="24"/>
        </w:rPr>
        <w:t xml:space="preserve">。本项目免费质量保证期要求不低于3 年。免费质量保证期从货物供货、安装、调试正常且经采购使用部门确认验收合格之日起算。</w:t>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六、招标内容：</w:t>
      </w:r>
      <w:r/>
    </w:p>
    <w:p>
      <w:pPr>
        <w:ind w:left="0" w:firstLine="420"/>
        <w:spacing w:line="360" w:lineRule="auto"/>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1、项目概况：</w:t>
      </w:r>
      <w:r/>
    </w:p>
    <w:p>
      <w:pPr>
        <w:ind w:left="0" w:firstLine="420"/>
        <w:spacing w:line="360" w:lineRule="auto"/>
        <w:tabs>
          <w:tab w:val="left" w:pos="420" w:leader="none"/>
        </w:tabs>
        <w:rPr>
          <w:rStyle w:val="1407"/>
          <w:rFonts w:hint="eastAsia" w:ascii="宋体" w:hAnsi="宋体" w:eastAsia="宋体" w:cs="宋体"/>
          <w:color w:val="auto"/>
          <w:sz w:val="24"/>
          <w:szCs w:val="24"/>
          <w:lang w:val="en-US" w:eastAsia="zh-CN"/>
        </w:rPr>
      </w:pPr>
      <w:r>
        <w:rPr>
          <w:rStyle w:val="1407"/>
          <w:rFonts w:hint="eastAsia" w:ascii="宋体" w:hAnsi="宋体" w:eastAsia="宋体" w:cs="宋体"/>
          <w:color w:val="auto"/>
          <w:sz w:val="24"/>
          <w:szCs w:val="24"/>
          <w:lang w:val="en-US" w:eastAsia="zh-CN"/>
        </w:rPr>
        <w:t xml:space="preserve">本项目拟购置一批模块化智能指挥操作台，涵盖设备供货、结合指挥大厅场地进行定制化方案设计、坐席安装调试及3年期维修质保服务。操作台主体框架结构应使用优质冷轧碳钢矩形管框架与防火环保面板模块化构造，优化桌面尺寸拓展席位空间，适配后续业务扩容；内置走线结构可搭载显示器升降架、USB集中充电口；台面需满足防火、耐磨、耐湿热耐污染指标，设计使用年限≥15 年，简约外观匹配大厅智能化风貌，优化收纳布局提升办公舒适度，用以强化指挥大厅调度保障能力。</w:t>
      </w:r>
      <w:r/>
    </w:p>
    <w:p>
      <w:pPr>
        <w:ind w:left="0" w:firstLine="420"/>
        <w:spacing w:line="360" w:lineRule="auto"/>
        <w:tabs>
          <w:tab w:val="left" w:pos="420" w:leader="none"/>
        </w:tabs>
        <w:rPr>
          <w:rStyle w:val="1407"/>
          <w:rFonts w:hint="eastAsia" w:ascii="宋体" w:hAnsi="宋体" w:eastAsia="宋体" w:cs="宋体"/>
          <w:color w:val="auto"/>
          <w:sz w:val="24"/>
          <w:szCs w:val="24"/>
          <w:lang w:val="en-US" w:eastAsia="zh-CN"/>
        </w:rPr>
      </w:pPr>
      <w:r>
        <w:rPr>
          <w:rStyle w:val="1407"/>
          <w:rFonts w:hint="eastAsia" w:ascii="宋体" w:hAnsi="宋体" w:eastAsia="宋体" w:cs="宋体"/>
          <w:color w:val="auto"/>
          <w:sz w:val="24"/>
          <w:szCs w:val="24"/>
          <w:lang w:val="en-US" w:eastAsia="zh-CN"/>
        </w:rPr>
        <w:t xml:space="preserve">指挥中心建筑总面积约776㎡，实际可使用面积长*宽约：32.46米*23.9米，根据指挥大厅的职能，需要考虑不少于45个坐席</w:t>
      </w:r>
      <w:r>
        <w:rPr>
          <w:rStyle w:val="1407"/>
          <w:rFonts w:hint="eastAsia" w:ascii="宋体" w:hAnsi="宋体" w:eastAsia="宋体" w:cs="宋体"/>
          <w:color w:val="auto"/>
          <w:sz w:val="24"/>
          <w:szCs w:val="24"/>
          <w:lang w:val="en-US" w:eastAsia="zh-CN"/>
        </w:rPr>
        <w:t xml:space="preserve">（不含已建的10个坐席），其中包括：运管4个坐席、公路2个坐席、危货不少于3个坐席、热线8个坐席、95128不少于4个坐席、绕城7个坐席、水运不少于3个坐席、苏高速3个坐席、运维2个坐席、备用坐席不少于9个（可临时作为领导观摩使用），每个席位不少于1.5米，还需要考虑一个可坐不少于10人的研判会议桌，每个功能区设计需要跟整个指挥大厅总体布局既独立又统一，美观大方；每个操作席配置显示器支臂、PDU、电脑键盘、主机托盘、多媒体信息盒、文件柜、人体工程学椅，特殊席位需要根据用户实际使用需求设置特殊设备嵌入斜台面。</w:t>
      </w:r>
      <w:r/>
    </w:p>
    <w:p>
      <w:pPr>
        <w:ind w:left="0" w:firstLine="0"/>
        <w:pageBreakBefore w:val="0"/>
        <w:spacing w:line="360" w:lineRule="auto"/>
        <w:widowControl w:val="off"/>
        <w:rPr>
          <w:rStyle w:val="1407"/>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left="0" w:firstLine="0"/>
        <w:pageBreakBefore w:val="0"/>
        <w:spacing w:line="360" w:lineRule="auto"/>
        <w:widowControl w:val="off"/>
        <w:rPr>
          <w:rStyle w:val="1407"/>
          <w:rFonts w:hint="eastAsia" w:ascii="宋体" w:hAnsi="宋体" w:eastAsia="宋体" w:cs="宋体"/>
          <w:color w:val="auto"/>
          <w:sz w:val="24"/>
          <w:szCs w:val="24"/>
          <w:lang w:val="en-US" w:eastAsia="zh-CN"/>
        </w:rPr>
      </w:pPr>
      <w:r>
        <w:rPr>
          <w:rStyle w:val="1407"/>
          <w:rFonts w:hint="eastAsia" w:ascii="宋体" w:hAnsi="宋体" w:eastAsia="宋体" w:cs="宋体"/>
          <w:color w:val="auto"/>
          <w:sz w:val="24"/>
          <w:szCs w:val="24"/>
          <w:lang w:val="en-US" w:eastAsia="zh-CN"/>
        </w:rPr>
        <w:t xml:space="preserve">指挥大厅平面示意图如下：</w:t>
      </w:r>
      <w:r/>
    </w:p>
    <w:p>
      <w:pPr>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5264785" cy="3721735"/>
                <wp:effectExtent l="0" t="0" r="12065" b="12065"/>
                <wp:docPr id="17" name="图片 1" descr="tocc大厅（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tocc大厅（空）"/>
                        <pic:cNvPicPr>
                          <a:picLocks noChangeAspect="1"/>
                        </pic:cNvPicPr>
                        <pic:nvPr/>
                      </pic:nvPicPr>
                      <pic:blipFill>
                        <a:blip r:embed="rId16"/>
                        <a:stretch/>
                      </pic:blipFill>
                      <pic:spPr bwMode="auto">
                        <a:xfrm>
                          <a:off x="0" y="0"/>
                          <a:ext cx="5264785" cy="3721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5pt;height:293.1pt;mso-wrap-distance-left:0.0pt;mso-wrap-distance-top:0.0pt;mso-wrap-distance-right:0.0pt;mso-wrap-distance-bottom:0.0pt;" stroked="f">
                <v:path textboxrect="0,0,0,0"/>
                <v:imagedata r:id="rId16" o:title=""/>
              </v:shape>
            </w:pict>
          </mc:Fallback>
        </mc:AlternateContent>
      </w:r>
      <w:r/>
    </w:p>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2、采购清单：</w:t>
      </w:r>
      <w:r/>
    </w:p>
    <w:tbl>
      <w:tblPr>
        <w:tblStyle w:val="849"/>
        <w:tblW w:w="95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2030"/>
        <w:gridCol w:w="3090"/>
        <w:gridCol w:w="780"/>
        <w:gridCol w:w="885"/>
        <w:gridCol w:w="216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设备名称</w:t>
            </w:r>
            <w:r/>
          </w:p>
        </w:tc>
        <w:tc>
          <w:tcPr>
            <w:shd w:val="clear" w:color="auto" w:fill="auto"/>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规格要求</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备注</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一、控制台</w:t>
            </w:r>
            <w:r/>
          </w:p>
        </w:tc>
        <w:tc>
          <w:tcPr>
            <w:shd w:val="clear" w:color="auto" w:fill="auto"/>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●控制台</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控制台的每个席位宽*深*高不小于1500mm*1000*730；详见招标文件《技术参数及功能要求》内容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席</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因各投标人设计方案有差异，且需保证一些职能部门部分席位电脑显示器数量可达4个，因此控制台总米数要求不低于71米，单席位不低于1.5米</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研判会议桌</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尺寸：长*深*高不小于3900*1600*750mm，</w:t>
            </w:r>
            <w:r>
              <w:rPr>
                <w:rFonts w:hint="eastAsia" w:ascii="宋体" w:hAnsi="宋体" w:eastAsia="宋体" w:cs="宋体"/>
                <w:i w:val="0"/>
                <w:iCs w:val="0"/>
                <w:color w:val="000000"/>
                <w:sz w:val="24"/>
                <w:szCs w:val="24"/>
                <w:lang w:val="en-US" w:eastAsia="zh-CN" w:bidi="ar"/>
              </w:rPr>
              <w:br/>
            </w: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组</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二、控制台相关配套设备</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显示器气动支臂（单层）</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挂墙型可多方向自由调节、伸缩的支架。详见招标文件《技术参数及功能要求》内容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60</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显示器气动支臂（双层）</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挂墙型可多方向自由调节、伸缩的支架。详见招标文件《技术参数及功能要求》内容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16</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3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重型支臂</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挂墙型可多方向自由调节、伸缩的支架。详见招标文件《技术参数及功能要求》内容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键盘托盘</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抽拉式托盘，尺寸不小于550mm*310mm,可放纸笔等物品。金属材质，人体工程学机构。详见招标文件《技术参数及功能要求》内容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5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电脑主机服务器托盘</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金属托盘，详见招标文件《技术参数及功能要求》内容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电源PDU</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9英寸标准机架PDU，八位国标五孔；详见招标文件《技术参数及功能要求》内容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68</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7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多媒体信息插座</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嵌入式结构，详见招标文件《技术参数及功能要求》内容）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8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单席位工作照明系统</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9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灯光控制软件系</w:t>
            </w:r>
            <w:r/>
          </w:p>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统</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9</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10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文件柜</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11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智控滑屏器</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rPr>
              <w:suppressLineNumbers w:val="0"/>
            </w:pPr>
            <w:r>
              <w:rPr>
                <w:rFonts w:hint="eastAsia" w:ascii="宋体" w:hAnsi="宋体" w:cs="宋体"/>
                <w:i w:val="0"/>
                <w:iCs w:val="0"/>
                <w:color w:val="000000"/>
                <w:sz w:val="24"/>
                <w:szCs w:val="24"/>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12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人体工学坐椅</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会议室专用椅</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原有控制台拆旧</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cs="宋体"/>
                <w:i w:val="0"/>
                <w:iCs w:val="0"/>
                <w:color w:val="000000"/>
                <w:sz w:val="24"/>
                <w:szCs w:val="24"/>
                <w:lang w:val="en-US" w:eastAsia="zh-CN" w:bidi="ar"/>
              </w:rPr>
              <w:t xml:space="preserve">5</w:t>
            </w:r>
            <w:r>
              <w:rPr>
                <w:rFonts w:hint="eastAsia" w:ascii="宋体" w:hAnsi="宋体" w:eastAsia="宋体" w:cs="宋体"/>
                <w:i w:val="0"/>
                <w:iCs w:val="0"/>
                <w:color w:val="000000"/>
                <w:sz w:val="24"/>
                <w:szCs w:val="24"/>
                <w:lang w:val="en-US" w:eastAsia="zh-CN" w:bidi="ar"/>
              </w:rPr>
              <w:t xml:space="preserve">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安装调试</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项</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bl>
    <w:p>
      <w:pPr>
        <w:ind w:left="40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3、技术参数及功能需求：</w:t>
      </w:r>
      <w:r/>
    </w:p>
    <w:tbl>
      <w:tblPr>
        <w:tblStyle w:val="849"/>
        <w:tblW w:w="95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110"/>
        <w:gridCol w:w="7788"/>
      </w:tblGrid>
      <w:tr>
        <w:trPr>
          <w:trHeight w:val="83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设备名称</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技术参数要求</w:t>
            </w:r>
            <w:r/>
          </w:p>
        </w:tc>
      </w:tr>
      <w:tr>
        <w:trPr>
          <w:trHeight w:val="830"/>
        </w:trPr>
        <w:tc>
          <w:tcPr>
            <w:gridSpan w:val="2"/>
            <w:tcBorders>
              <w:top w:val="single" w:color="000000" w:sz="4" w:space="0"/>
              <w:left w:val="single" w:color="000000" w:sz="8" w:space="0"/>
              <w:bottom w:val="single" w:color="000000" w:sz="4" w:space="0"/>
              <w:right w:val="single" w:color="000000" w:sz="4" w:space="0"/>
            </w:tcBorders>
            <w:tcW w:w="174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一、控制台</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r>
      <w:tr>
        <w:trPr>
          <w:trHeight w:val="330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控制台</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 ★1.总体要求：控制台的组成为模块化结构，主体框架为钣金结构，并且制造厂商控制台的形状设计，可选择有对应主体钣金结构的直线模块（600、750、900、1200、1500），切角模块（5度、10度、15度）,转角模块（22.5度、30度、45度），用户可以根据自己的需求提供灵活的增加或减少席位；控制台单边深度不小于1000mm，提供足够的腿部空间和纵向不小于590mm桌面操作空间；工作台面到地面距离为740-760 mm，满足人机工程学要求。</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框架结构：主体框架结构使用优质冷轧碳钢矩形管，其中前端面板支撑臂采用厚度不小于2.0mm矩形管切割加工，主体框架采用规格不小于40mm*50mm规格，厚度不小于2.0mm优质冷轧碳钢矩形管，采用激光切管工艺加工。</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3.台面板：面板使用实木颗粒板双面贴防火板加工，整体厚度不小于27mm；面板连接采用箭头槽样式，通过M6螺杆连接一体，面板前侧采用鸭嘴边封边，与桌面材质无缝粘接，保证整体外观协调统一的舒适度，避免疲劳及损伤肢体。后面板后侧应采用T型封边或者PVC封边，采用PVC封边应添加防护配件，方便线路通过及灰尘阻挡；所有封边应与桌面材质无缝粘接，保证整体外观协调统一</w:t>
            </w:r>
            <w:r>
              <w:rPr>
                <w:rFonts w:hint="eastAsia" w:ascii="宋体" w:hAnsi="宋体" w:cs="宋体"/>
                <w:b/>
                <w:bCs/>
                <w:i w:val="0"/>
                <w:iCs w:val="0"/>
                <w:color w:val="auto"/>
                <w:sz w:val="24"/>
                <w:szCs w:val="24"/>
                <w:lang w:val="en-US" w:eastAsia="zh-CN" w:bidi="ar"/>
              </w:rPr>
              <w:t xml:space="preserve">。</w:t>
            </w:r>
            <w:r>
              <w:rPr>
                <w:rFonts w:hint="eastAsia" w:ascii="宋体" w:hAnsi="宋体" w:eastAsia="宋体" w:cs="宋体"/>
                <w:i w:val="0"/>
                <w:iCs w:val="0"/>
                <w:color w:val="auto"/>
                <w:sz w:val="24"/>
                <w:szCs w:val="24"/>
                <w:lang w:val="en-US" w:eastAsia="zh-CN" w:bidi="ar"/>
              </w:rPr>
              <w:t xml:space="preserve">桌面抗菌性能应符合JC/T 2039-2010标准，金黄色葡萄球菌、大肠杆菌</w:t>
            </w:r>
            <w:r>
              <w:rPr>
                <w:rFonts w:hint="eastAsia" w:ascii="宋体" w:hAnsi="宋体" w:cs="宋体"/>
                <w:i w:val="0"/>
                <w:iCs w:val="0"/>
                <w:color w:val="auto"/>
                <w:sz w:val="24"/>
                <w:szCs w:val="24"/>
                <w:lang w:val="en-US" w:eastAsia="zh-CN" w:bidi="ar"/>
              </w:rPr>
              <w:t xml:space="preserve">（大肠埃希氏菌）</w:t>
            </w:r>
            <w:r>
              <w:rPr>
                <w:rFonts w:hint="eastAsia" w:ascii="宋体" w:hAnsi="宋体" w:eastAsia="宋体" w:cs="宋体"/>
                <w:i w:val="0"/>
                <w:iCs w:val="0"/>
                <w:color w:val="auto"/>
                <w:sz w:val="24"/>
                <w:szCs w:val="24"/>
                <w:lang w:val="en-US" w:eastAsia="zh-CN" w:bidi="ar"/>
              </w:rPr>
              <w:t xml:space="preserve">、肺炎克雷伯氏菌、粪肠球菌抗（细）菌，抗菌率≥99%。(</w:t>
            </w:r>
            <w:r>
              <w:rPr>
                <w:rFonts w:hint="eastAsia" w:ascii="宋体" w:hAnsi="宋体" w:eastAsia="宋体" w:cs="宋体"/>
                <w:b/>
                <w:bCs/>
                <w:i w:val="0"/>
                <w:iCs w:val="0"/>
                <w:color w:val="auto"/>
                <w:sz w:val="24"/>
                <w:szCs w:val="24"/>
                <w:lang w:val="en-US" w:eastAsia="zh-CN" w:bidi="ar"/>
              </w:rPr>
              <w:t xml:space="preserve">投标</w:t>
            </w:r>
            <w:r>
              <w:rPr>
                <w:rFonts w:hint="eastAsia" w:ascii="宋体" w:hAnsi="宋体" w:eastAsia="宋体" w:cs="宋体"/>
                <w:b/>
                <w:bCs/>
                <w:i w:val="0"/>
                <w:iCs w:val="0"/>
                <w:color w:val="000000"/>
                <w:sz w:val="24"/>
                <w:szCs w:val="24"/>
                <w:lang w:val="en-US" w:eastAsia="zh-CN" w:bidi="ar"/>
              </w:rPr>
              <w:t xml:space="preserve">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 </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4.前后门板：前后门板采用优质板材加工成型厚度不小于20mm，四周采用PVC封边条进行封边处理地，封边接缝平整严密；连接铰链应使用高档五金件，应具有质轻，手感好，开关门噪音小等优点，保证其不小于100000次无障碍开</w:t>
            </w:r>
            <w:r>
              <w:rPr>
                <w:rFonts w:hint="eastAsia" w:ascii="宋体" w:hAnsi="宋体" w:eastAsia="宋体" w:cs="宋体"/>
                <w:i w:val="0"/>
                <w:iCs w:val="0"/>
                <w:color w:val="auto"/>
                <w:sz w:val="24"/>
                <w:szCs w:val="24"/>
                <w:lang w:val="en-US" w:eastAsia="zh-CN" w:bidi="ar"/>
              </w:rPr>
              <w:t xml:space="preserve">启</w:t>
            </w:r>
            <w:r>
              <w:rPr>
                <w:rFonts w:hint="eastAsia" w:ascii="宋体" w:hAnsi="宋体" w:cs="宋体"/>
                <w:b/>
                <w:bCs/>
                <w:i w:val="0"/>
                <w:iCs w:val="0"/>
                <w:color w:val="auto"/>
                <w:sz w:val="24"/>
                <w:szCs w:val="24"/>
                <w:lang w:val="en-US" w:eastAsia="zh-CN" w:bidi="ar"/>
              </w:rPr>
              <w:t xml:space="preserve">。</w:t>
            </w:r>
            <w:r>
              <w:rPr>
                <w:rFonts w:hint="eastAsia" w:ascii="宋体" w:hAnsi="宋体" w:eastAsia="宋体" w:cs="宋体"/>
                <w:i w:val="0"/>
                <w:iCs w:val="0"/>
                <w:color w:val="auto"/>
                <w:sz w:val="24"/>
                <w:szCs w:val="24"/>
                <w:lang w:val="en-US" w:eastAsia="zh-CN" w:bidi="ar"/>
              </w:rPr>
              <w:t xml:space="preserve">铰链经</w:t>
            </w:r>
            <w:r>
              <w:rPr>
                <w:rFonts w:hint="eastAsia" w:ascii="宋体" w:hAnsi="宋体" w:cs="宋体"/>
                <w:i w:val="0"/>
                <w:iCs w:val="0"/>
                <w:color w:val="auto"/>
                <w:sz w:val="24"/>
                <w:szCs w:val="24"/>
                <w:lang w:val="en-US" w:eastAsia="zh-CN" w:bidi="ar"/>
              </w:rPr>
              <w:t xml:space="preserve">240</w:t>
            </w:r>
            <w:r>
              <w:rPr>
                <w:rFonts w:hint="eastAsia" w:ascii="宋体" w:hAnsi="宋体" w:eastAsia="宋体" w:cs="宋体"/>
                <w:i w:val="0"/>
                <w:iCs w:val="0"/>
                <w:color w:val="auto"/>
                <w:sz w:val="24"/>
                <w:szCs w:val="24"/>
                <w:lang w:val="en-US" w:eastAsia="zh-CN" w:bidi="ar"/>
              </w:rPr>
              <w:t xml:space="preserve">h中性盐雾测试后性能评级达10级水准，满足GB/T10125-2021《人造气氛腐蚀试验盐雾试验》(</w:t>
            </w:r>
            <w:r>
              <w:rPr>
                <w:rFonts w:hint="eastAsia" w:ascii="宋体" w:hAnsi="宋体" w:eastAsia="宋体" w:cs="宋体"/>
                <w:b/>
                <w:bCs/>
                <w:i w:val="0"/>
                <w:iCs w:val="0"/>
                <w:color w:val="auto"/>
                <w:sz w:val="24"/>
                <w:szCs w:val="24"/>
                <w:lang w:val="en-US" w:eastAsia="zh-CN" w:bidi="ar"/>
              </w:rPr>
              <w:t xml:space="preserve">投</w:t>
            </w:r>
            <w:r>
              <w:rPr>
                <w:rFonts w:hint="eastAsia" w:ascii="宋体" w:hAnsi="宋体" w:eastAsia="宋体" w:cs="宋体"/>
                <w:b/>
                <w:bCs/>
                <w:i w:val="0"/>
                <w:iCs w:val="0"/>
                <w:color w:val="000000"/>
                <w:sz w:val="24"/>
                <w:szCs w:val="24"/>
                <w:lang w:val="en-US" w:eastAsia="zh-CN" w:bidi="ar"/>
              </w:rPr>
              <w:t xml:space="preserve">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5.侧板：整体外观造型应采用方倒圆造型，材质应为铝型材和钣金组成，侧板可以对LOGO定制化要求，侧板也可根据用户需求选配镶嵌LED高清显示屏，功能；支持文字、音频、图片、视频等内容显示；支持“组”席位信息显示，可高清显示每组控制台功能职位信息；也可以更改背景颜色；</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▲6.后背墙： 采用铝合金型材材质，搭配背部亚克力面板装饰；背墙顶部应为铝合金开模型材，连接拐角处端盖也应采用压铸工艺一次成型开模铝型材，光滑过渡无尖角。背墙表面应采用喷漆工艺；后背墙可悬挂显示器，电话托，工作灯等设备，其表面静电喷塑；后背墙整体厚度应不小于150mm，可选择高度不小于203mm的背墙或者高度不小于376mm的背墙，可根据用户需求具备灵活嵌入电子铭牌设备功能，也可根据需要选择无背墙，背墙可选择安装警示亚克力灯光系统，可做屏风又可以起到警报功</w:t>
            </w:r>
            <w:r>
              <w:rPr>
                <w:rFonts w:hint="eastAsia" w:ascii="宋体" w:hAnsi="宋体" w:eastAsia="宋体" w:cs="宋体"/>
                <w:i w:val="0"/>
                <w:iCs w:val="0"/>
                <w:color w:val="auto"/>
                <w:sz w:val="24"/>
                <w:szCs w:val="24"/>
                <w:lang w:val="en-US" w:eastAsia="zh-CN" w:bidi="ar"/>
              </w:rPr>
              <w:t xml:space="preserve">能</w:t>
            </w:r>
            <w:r>
              <w:rPr>
                <w:rFonts w:hint="eastAsia" w:ascii="宋体" w:hAnsi="宋体" w:cs="宋体"/>
                <w:b w:val="0"/>
                <w:bCs w:val="0"/>
                <w:i w:val="0"/>
                <w:iCs w:val="0"/>
                <w:color w:val="auto"/>
                <w:sz w:val="24"/>
                <w:szCs w:val="24"/>
                <w:lang w:val="en-US" w:eastAsia="zh-CN" w:bidi="ar"/>
              </w:rPr>
              <w:t xml:space="preserve">。</w:t>
            </w:r>
            <w:r>
              <w:rPr>
                <w:rFonts w:hint="eastAsia" w:ascii="宋体" w:hAnsi="宋体" w:eastAsia="宋体" w:cs="宋体"/>
                <w:i w:val="0"/>
                <w:iCs w:val="0"/>
                <w:color w:val="auto"/>
                <w:sz w:val="24"/>
                <w:szCs w:val="24"/>
                <w:lang w:val="en-US" w:eastAsia="zh-CN" w:bidi="ar"/>
              </w:rPr>
              <w:t xml:space="preserve">亚</w:t>
            </w:r>
            <w:r>
              <w:rPr>
                <w:rFonts w:hint="eastAsia" w:ascii="宋体" w:hAnsi="宋体" w:eastAsia="宋体" w:cs="宋体"/>
                <w:i w:val="0"/>
                <w:iCs w:val="0"/>
                <w:color w:val="000000"/>
                <w:sz w:val="24"/>
                <w:szCs w:val="24"/>
                <w:lang w:val="en-US" w:eastAsia="zh-CN" w:bidi="ar"/>
              </w:rPr>
              <w:t xml:space="preserve">克力耐老化性能需满足冲击强度保持率不低于80%；耐冷热循环应无裂纹、鼓泡、变色、起皱，且外观无明显变化；邵氏硬度不低于hd80(</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7.钣金件：所有钣金配件外表面应使用静电吸塑工艺，整体结构稳固防腐； </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▲8.控制台整体有符合GB/T3325-2024标准出具的检测报告，报告包含控制台理化性能、力学性能、安全性能相关方面检测，为保证桌面耐磨性能，其中木质件表面贴面层耐磨性能磨960r后无露底，耐污染、耐湿热</w:t>
            </w:r>
            <w:r>
              <w:rPr>
                <w:rFonts w:hint="eastAsia" w:ascii="宋体" w:hAnsi="宋体" w:cs="宋体"/>
                <w:i w:val="0"/>
                <w:iCs w:val="0"/>
                <w:color w:val="000000"/>
                <w:sz w:val="24"/>
                <w:szCs w:val="24"/>
                <w:lang w:val="en-US" w:eastAsia="zh-CN" w:bidi="ar"/>
              </w:rPr>
              <w:t xml:space="preserve">、</w:t>
            </w:r>
            <w:r>
              <w:rPr>
                <w:rFonts w:hint="eastAsia" w:ascii="宋体" w:hAnsi="宋体" w:eastAsia="宋体" w:cs="宋体"/>
                <w:i w:val="0"/>
                <w:iCs w:val="0"/>
                <w:color w:val="000000"/>
                <w:sz w:val="24"/>
                <w:szCs w:val="24"/>
                <w:lang w:val="en-US" w:eastAsia="zh-CN" w:bidi="ar"/>
              </w:rPr>
              <w:t xml:space="preserve">耐干热达到5级，抗冲击1级</w:t>
            </w:r>
            <w:r>
              <w:rPr>
                <w:rFonts w:hint="eastAsia" w:ascii="宋体" w:hAnsi="宋体" w:cs="宋体"/>
                <w:i w:val="0"/>
                <w:iCs w:val="0"/>
                <w:color w:val="000000"/>
                <w:sz w:val="24"/>
                <w:szCs w:val="24"/>
                <w:lang w:val="en-US" w:eastAsia="zh-CN" w:bidi="ar"/>
              </w:rPr>
              <w:t xml:space="preserve">。</w:t>
            </w:r>
            <w:r>
              <w:rPr>
                <w:rFonts w:hint="eastAsia" w:ascii="宋体" w:hAnsi="宋体" w:eastAsia="宋体" w:cs="宋体"/>
                <w:i w:val="0"/>
                <w:iCs w:val="0"/>
                <w:color w:val="000000"/>
                <w:sz w:val="24"/>
                <w:szCs w:val="24"/>
                <w:lang w:val="en-US" w:eastAsia="zh-CN" w:bidi="ar"/>
              </w:rPr>
              <w:t xml:space="preserve">其中有害物质甲醛释放量&lt;0.005mg/m，达到并优于国家强制标准Enf级苯、甲苯、二甲苯、总挥发性有机化合物(TVOC)未检出;可迁移有害元素均为未检出;且满足主桌面垂直静载荷试验采用2000N的力无损坏;桌面挠度实验800kg，均匀布载7天;水平静载荷试验通过1500N水平力无损坏;桌面水平耐久试验用350N的力加载90000次无损坏;桌面垂直冲击试验300mm高度跌落无损坏(</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▲9.控制台的带喷</w:t>
            </w:r>
            <w:r>
              <w:rPr>
                <w:rFonts w:hint="eastAsia" w:ascii="宋体" w:hAnsi="宋体" w:eastAsia="宋体" w:cs="宋体"/>
                <w:i w:val="0"/>
                <w:iCs w:val="0"/>
                <w:color w:val="auto"/>
                <w:sz w:val="24"/>
                <w:szCs w:val="24"/>
                <w:lang w:val="en-US" w:eastAsia="zh-CN" w:bidi="ar"/>
              </w:rPr>
              <w:t xml:space="preserve">塑</w:t>
            </w:r>
            <w:r>
              <w:rPr>
                <w:rFonts w:hint="eastAsia" w:ascii="宋体" w:hAnsi="宋体" w:cs="宋体"/>
                <w:i w:val="0"/>
                <w:iCs w:val="0"/>
                <w:color w:val="auto"/>
                <w:sz w:val="24"/>
                <w:szCs w:val="24"/>
                <w:lang w:val="en-US" w:eastAsia="zh-CN" w:bidi="ar"/>
              </w:rPr>
              <w:t xml:space="preserve">涂</w:t>
            </w:r>
            <w:r>
              <w:rPr>
                <w:rFonts w:hint="eastAsia" w:ascii="宋体" w:hAnsi="宋体" w:eastAsia="宋体" w:cs="宋体"/>
                <w:i w:val="0"/>
                <w:iCs w:val="0"/>
                <w:color w:val="auto"/>
                <w:sz w:val="24"/>
                <w:szCs w:val="24"/>
                <w:lang w:val="en-US" w:eastAsia="zh-CN" w:bidi="ar"/>
              </w:rPr>
              <w:t xml:space="preserve">层</w:t>
            </w:r>
            <w:r>
              <w:rPr>
                <w:rFonts w:hint="eastAsia" w:ascii="宋体" w:hAnsi="宋体" w:eastAsia="宋体" w:cs="宋体"/>
                <w:i w:val="0"/>
                <w:iCs w:val="0"/>
                <w:color w:val="000000"/>
                <w:sz w:val="24"/>
                <w:szCs w:val="24"/>
                <w:lang w:val="en-US" w:eastAsia="zh-CN" w:bidi="ar"/>
              </w:rPr>
              <w:t xml:space="preserve">的钢部件材料，应该通过环境标志产品认证检测，其可迁移元素（包括锑，砷，铅，镉，汞，铬，钡，硒，需满足HJ2547-2016《环境标志产品技术要求家具》规定要求(</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default" w:ascii="宋体" w:hAnsi="宋体" w:cs="宋体"/>
                <w:i w:val="0"/>
                <w:iCs w:val="0"/>
                <w:color w:val="000000"/>
                <w:sz w:val="24"/>
                <w:szCs w:val="24"/>
                <w:lang w:eastAsia="zh-CN" w:bidi="ar"/>
              </w:rPr>
              <w:t xml:space="preserve">0</w:t>
            </w:r>
            <w:r>
              <w:rPr>
                <w:rFonts w:hint="eastAsia" w:ascii="宋体" w:hAnsi="宋体" w:eastAsia="宋体" w:cs="宋体"/>
                <w:i w:val="0"/>
                <w:iCs w:val="0"/>
                <w:color w:val="000000"/>
                <w:sz w:val="24"/>
                <w:szCs w:val="24"/>
                <w:lang w:val="en-US" w:eastAsia="zh-CN" w:bidi="ar"/>
              </w:rPr>
              <w:t xml:space="preserve">.控制台中所使用的铝合金具备抗腐蚀性能，根据 GB/T 10125-2021 对样品进行≥450h 中性盐雾试验(NSS 试验)，试验后，根据 GB/T 6461-2002 进行性能评级，不低于 10 级(</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default" w:ascii="宋体" w:hAnsi="宋体" w:cs="宋体"/>
                <w:i w:val="0"/>
                <w:iCs w:val="0"/>
                <w:color w:val="000000"/>
                <w:sz w:val="24"/>
                <w:szCs w:val="24"/>
                <w:lang w:eastAsia="zh-CN" w:bidi="ar"/>
              </w:rPr>
              <w:t xml:space="preserve">1</w:t>
            </w:r>
            <w:r>
              <w:rPr>
                <w:rFonts w:hint="eastAsia" w:ascii="宋体" w:hAnsi="宋体" w:eastAsia="宋体" w:cs="宋体"/>
                <w:i w:val="0"/>
                <w:iCs w:val="0"/>
                <w:color w:val="000000"/>
                <w:sz w:val="24"/>
                <w:szCs w:val="24"/>
                <w:lang w:val="en-US" w:eastAsia="zh-CN" w:bidi="ar"/>
              </w:rPr>
              <w:t xml:space="preserve">.控制台具备设备电磁兼容抗扰度功能，相关控制台的传导发射、辐射骚扰、静电放电抗扰度、射频电磁场辐射抗扰度、电快速瞬变脉冲群抗扰度、浪涌（冲击）抗扰度、射频场感应的传导骚扰抗扰度的测试结果应符合GB/T 17743-2021、GB/T 18595-2014 标准要求(</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default" w:ascii="宋体" w:hAnsi="宋体" w:cs="宋体"/>
                <w:i w:val="0"/>
                <w:iCs w:val="0"/>
                <w:color w:val="000000"/>
                <w:sz w:val="24"/>
                <w:szCs w:val="24"/>
                <w:lang w:eastAsia="zh-CN" w:bidi="ar"/>
              </w:rPr>
              <w:t xml:space="preserve">2</w:t>
            </w:r>
            <w:r>
              <w:rPr>
                <w:rFonts w:hint="eastAsia" w:ascii="宋体" w:hAnsi="宋体" w:eastAsia="宋体" w:cs="宋体"/>
                <w:i w:val="0"/>
                <w:iCs w:val="0"/>
                <w:color w:val="000000"/>
                <w:sz w:val="24"/>
                <w:szCs w:val="24"/>
                <w:lang w:val="en-US" w:eastAsia="zh-CN" w:bidi="ar"/>
              </w:rPr>
              <w:t xml:space="preserve">.控制台整体按GB20286-2006附录C做燃烧测试等级达到阻燃1</w:t>
            </w:r>
            <w:r>
              <w:rPr>
                <w:rFonts w:hint="eastAsia" w:ascii="宋体" w:hAnsi="宋体" w:eastAsia="宋体" w:cs="宋体"/>
                <w:i w:val="0"/>
                <w:iCs w:val="0"/>
                <w:color w:val="auto"/>
                <w:sz w:val="24"/>
                <w:szCs w:val="24"/>
                <w:lang w:val="en-US" w:eastAsia="zh-CN" w:bidi="ar"/>
              </w:rPr>
              <w:t xml:space="preserve">级，5</w:t>
            </w:r>
            <w:r>
              <w:rPr>
                <w:rFonts w:hint="eastAsia" w:ascii="宋体" w:hAnsi="宋体" w:eastAsia="宋体" w:cs="宋体"/>
                <w:i w:val="0"/>
                <w:iCs w:val="0"/>
                <w:color w:val="000000"/>
                <w:sz w:val="24"/>
                <w:szCs w:val="24"/>
                <w:lang w:val="en-US" w:eastAsia="zh-CN" w:bidi="ar"/>
              </w:rPr>
              <w:t xml:space="preserve">分钟热释放量应小于1MJ，一氧化碳浓度应小于40ppm(</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default" w:ascii="宋体" w:hAnsi="宋体" w:cs="宋体"/>
                <w:i w:val="0"/>
                <w:iCs w:val="0"/>
                <w:color w:val="000000"/>
                <w:sz w:val="24"/>
                <w:szCs w:val="24"/>
                <w:lang w:eastAsia="zh-CN" w:bidi="ar"/>
              </w:rPr>
              <w:t xml:space="preserve">3</w:t>
            </w:r>
            <w:r>
              <w:rPr>
                <w:rFonts w:hint="eastAsia" w:ascii="宋体" w:hAnsi="宋体" w:eastAsia="宋体" w:cs="宋体"/>
                <w:i w:val="0"/>
                <w:iCs w:val="0"/>
                <w:color w:val="000000"/>
                <w:sz w:val="24"/>
                <w:szCs w:val="24"/>
                <w:lang w:val="en-US" w:eastAsia="zh-CN" w:bidi="ar"/>
              </w:rPr>
              <w:t xml:space="preserve">.控制台具有抗震性能，依据YD 5083-2005《电信设备抗地震性能检测规范》标准检测，通过9烈度抗震试验(</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w:t>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研判会议桌</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尺寸约3900mm*1600mm*750mm。会议桌的组成为模块化结构，用户可以根据自己的需求增加或减少模块，提供405mm的腿部空间和纵向不小于500mm桌面操作应用空间，工作台面到地面距离为750-770mm，满足人体工程学要求；</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(1)主体框架结构：桌腿为钣金结构，其面板支撑采用不小于2.0mm的优质冷轧钢板加工而成。</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(2)台面板：面板使用刨花板双面贴防火板，面板整体厚度不低于27mm，符合国家环保标准。面板前侧采用鸭嘴边封边形式，鸭嘴边厚度为约55mm，宽度约23mm；与桌面材质无缝粘接，保证整体外观协调统一</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(3)门板使用刨花板+防火板制成，整体厚度不小于20mm，采用PUR封边工艺，胶线较普通封边更小，同时，避免了封边后期脱落问题，环保性能更优，具有更优良的耐水蒸汽性、抗腐蚀性、耐久性、耐热性、抗寒性；</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(4)侧板为保证整体美观、协调，端部配置侧板；侧板采用防火板+刨花板制作而成，且为模块化设计样式，方便安装；侧板可以对LOGO定制化要求，依据提供LOGO标识进行生产制作。</w:t>
            </w:r>
            <w:r/>
          </w:p>
        </w:tc>
      </w:tr>
      <w:tr>
        <w:trP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17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二、控制台相关配套设备</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显示器气动支臂（单层）</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▲挂墙</w:t>
            </w:r>
            <w:r>
              <w:rPr>
                <w:rFonts w:hint="eastAsia" w:ascii="宋体" w:hAnsi="宋体" w:eastAsia="宋体" w:cs="宋体"/>
                <w:i w:val="0"/>
                <w:iCs w:val="0"/>
                <w:color w:val="000000"/>
                <w:sz w:val="24"/>
                <w:szCs w:val="24"/>
              </w:rPr>
              <w:t xml:space="preserve">型固定于控制台背墙，可多方向自由调节、伸缩的支架，至少可以稳定承重1个27寸以下液晶显示器。符合VESA国际安装标准孔位：75×75mm和100×100mm；手臂最大可延伸至445mm；可调倾斜范围：-60°~ +85°；可实现空间180°旋转/平面内360°旋转；快拆式定位安装结构，最大限度节省安装时间；表面处理：喷粉；颜色支持：黑色。显示器伸缩支架具备抗腐蚀性能，依据符合国标GB/T 10125-2021《人造气氛腐蚀实验盐雾实验》标准检测240小时，镀（涂）层对基体的保护等级及自身耐腐蚀等级达到10级</w:t>
            </w:r>
            <w:r>
              <w:rPr>
                <w:rFonts w:hint="eastAsia" w:ascii="宋体" w:hAnsi="宋体" w:eastAsia="宋体" w:cs="宋体"/>
                <w:i w:val="0"/>
                <w:iCs w:val="0"/>
                <w:color w:val="000000"/>
                <w:sz w:val="24"/>
                <w:szCs w:val="24"/>
                <w:lang w:val="en-US" w:eastAsia="zh-CN" w:bidi="ar"/>
              </w:rPr>
              <w:t xml:space="preserve">(</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显示器气动支臂（双层）</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挂墙型固定于控制台背墙，可多方向自由调节、伸缩的支架，至少可稳定承重2个27寸以下液晶显示器。符合VESA国际安装标准孔位：75×75mm和100×100mm；快拆式定位安装结构最大限度节省安装时间；表面处理：喷粉；颜色支持：黑色。</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3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重型支臂</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挂墙型固定于控制台背墙，可多方向自由调节、伸缩的支架，最大可支持承重1个49寸曲面屏，符合VESA国际安装标准孔位：75×75mm和100×100mm；快拆式定位安装结构最大限度节省安装时间；表面处理：喷粉；颜色支持：黑色。</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键盘托盘</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rPr>
              <w:t xml:space="preserve">控制台桌下设抽拉式托盘，尺寸不小于550mm*310mm,可放纸笔等物品。金属材质，用优质滚珠导轨，抽拉灵活，左右晃动少，设计有柔性皮制腕垫，保护皮肤不受伤害，长时间使用手腕亦无疲劳感，符合人体工程学结构</w:t>
            </w:r>
            <w:r>
              <w:rPr>
                <w:rFonts w:hint="eastAsia" w:ascii="宋体" w:hAnsi="宋体" w:eastAsia="宋体" w:cs="宋体"/>
                <w:i w:val="0"/>
                <w:iCs w:val="0"/>
                <w:color w:val="000000"/>
                <w:sz w:val="24"/>
                <w:szCs w:val="24"/>
                <w:lang w:eastAsia="zh-CN"/>
              </w:rPr>
              <w:t xml:space="preserve">。</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5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电脑主机服务器托盘</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金属托盘，可竖直放置电脑主机等设备。扣式安装在框架；托盘上开有过线孔，方便线路通过。</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电源PDU</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标准机架PDU，可直连UPS配电柜1、产品类型：19英寸标准安装；插座孔形及数量：六位国标五孔；输出线长度：2米~3*1.5mm线缆，端头为标准三孔插头；额定电压/额定电流：220V/10A；外壳材质：黑色铝合金。</w:t>
            </w:r>
            <w:r/>
          </w:p>
        </w:tc>
      </w:tr>
      <w:tr>
        <w:trPr>
          <w:trHeight w:val="8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7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多媒体信息插座</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eastAsia="zh-CN"/>
              </w:rPr>
              <w:suppressLineNumbers w:val="0"/>
            </w:pPr>
            <w:r>
              <w:rPr>
                <w:rFonts w:hint="eastAsia" w:ascii="宋体" w:hAnsi="宋体" w:eastAsia="宋体" w:cs="宋体"/>
                <w:i w:val="0"/>
                <w:iCs w:val="0"/>
                <w:color w:val="000000"/>
                <w:sz w:val="24"/>
                <w:szCs w:val="24"/>
              </w:rPr>
              <w:t xml:space="preserve">多媒体插座采用简单易用的接入方式，连接视频、音频、计算机视频、网络、电话、电源等接口。可根据需求定制</w:t>
            </w:r>
            <w:r>
              <w:rPr>
                <w:rFonts w:hint="eastAsia" w:ascii="宋体" w:hAnsi="宋体" w:eastAsia="宋体" w:cs="宋体"/>
                <w:i w:val="0"/>
                <w:iCs w:val="0"/>
                <w:color w:val="000000"/>
                <w:sz w:val="24"/>
                <w:szCs w:val="24"/>
                <w:lang w:eastAsia="zh-CN"/>
              </w:rPr>
              <w:t xml:space="preserve">。</w:t>
            </w:r>
            <w:r/>
          </w:p>
        </w:tc>
      </w:tr>
      <w:tr>
        <w:trPr>
          <w:trHeight w:val="8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8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单席位工作照明系统</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控制台每席位配置专用照明系统，独立开关，提供局部照明，局部照明设计考虑不增加显示器及台面的眩光；预计使用寿命不低于50000小时，符合人体工程学，光线柔和，光源具备不同色温和照度的功能；照明角度可以人工进行调整，调整不会对人体造成任何伤害；不可以遮挡操作员的视线。</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9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Hans"/>
              </w:rPr>
              <w:suppressLineNumbers w:val="0"/>
            </w:pPr>
            <w:r>
              <w:rPr>
                <w:rFonts w:hint="eastAsia" w:ascii="宋体" w:hAnsi="宋体" w:eastAsia="宋体" w:cs="宋体"/>
                <w:i w:val="0"/>
                <w:iCs w:val="0"/>
                <w:color w:val="auto"/>
                <w:sz w:val="24"/>
                <w:szCs w:val="24"/>
                <w:lang w:val="en-US" w:eastAsia="zh-CN" w:bidi="ar"/>
              </w:rPr>
              <w:t xml:space="preserve">灯光控制</w:t>
            </w:r>
            <w:r>
              <w:rPr>
                <w:rFonts w:hint="eastAsia" w:ascii="宋体" w:hAnsi="宋体" w:cs="宋体"/>
                <w:i w:val="0"/>
                <w:iCs w:val="0"/>
                <w:color w:val="auto"/>
                <w:sz w:val="24"/>
                <w:szCs w:val="24"/>
                <w:lang w:val="en-US" w:eastAsia="zh-Hans" w:bidi="ar"/>
              </w:rPr>
              <w:t xml:space="preserve">软件系统</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▲为了满足控制中心控制台灯光效果的多种使用场景的功能需求，灯光控制软件</w:t>
            </w:r>
            <w:r>
              <w:rPr>
                <w:rFonts w:hint="eastAsia" w:ascii="宋体" w:hAnsi="宋体" w:eastAsia="宋体" w:cs="宋体"/>
                <w:i w:val="0"/>
                <w:iCs w:val="0"/>
                <w:color w:val="000000"/>
                <w:sz w:val="24"/>
                <w:szCs w:val="24"/>
              </w:rPr>
              <w:t xml:space="preserve">系统应主要由导光板、灯带、控制器、控制单元、通讯转换器、电源适配器等组成，并且与调度控制台浑然一体。警示系统用灯光的方式展现，并且通过亚克力导光性扩大展现面积，使得灯光效果细腻柔和。支持本地控制和中控控制两种控制模式；支持采用TCP\IP转485或USB转485的控制方式，实现任意颜色的改变以及任意颜色的闪烁。支持本地按钮改变6种常用氛围颜色（蓝、红、绿、紫、黄、冰蓝）切换；支持常亮、闪烁两种常用氛围状态（通用和报警功能划分）；支持485通信协议组网，确保远距离传输的稳定可靠性的同时，兼具了更丰富的控制方式</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灯带应具有高低温适应环境功能，防水及抗振动功能，依据GB/T 2423.1-2008、GB/T2423.2-2008标准进行检测，至少满足高温80°，低温-10°的测试条件，且测试后产 品的外观、功能均应正常。依据通过国标GB/T 4208-2017进IPX7防水检测，且测试后无水进入产品内部检测合格。通过国标GB/T2423.10-2019振动测试合格</w:t>
            </w:r>
            <w:r>
              <w:rPr>
                <w:rFonts w:hint="eastAsia" w:ascii="宋体" w:hAnsi="宋体" w:eastAsia="宋体" w:cs="宋体"/>
                <w:i w:val="0"/>
                <w:iCs w:val="0"/>
                <w:color w:val="000000"/>
                <w:sz w:val="24"/>
                <w:szCs w:val="24"/>
                <w:lang w:val="en-US" w:eastAsia="zh-CN" w:bidi="ar"/>
              </w:rPr>
              <w:t xml:space="preserve">(</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rPr>
                <w:rFonts w:hint="eastAsia" w:ascii="宋体" w:hAnsi="宋体" w:eastAsia="宋体" w:cs="宋体"/>
                <w:i w:val="0"/>
                <w:iCs w:val="0"/>
                <w:color w:val="000000"/>
                <w:sz w:val="24"/>
                <w:szCs w:val="24"/>
              </w:rPr>
              <w:t xml:space="preserve">。</w:t>
            </w:r>
            <w:r/>
          </w:p>
        </w:tc>
      </w:tr>
      <w:tr>
        <w:trPr>
          <w:trHeight w:val="16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10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文件柜</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产品参数:基本尺寸:不小</w:t>
            </w:r>
            <w:r>
              <w:rPr>
                <w:rFonts w:hint="eastAsia" w:ascii="宋体" w:hAnsi="宋体" w:eastAsia="宋体" w:cs="宋体"/>
                <w:i w:val="0"/>
                <w:iCs w:val="0"/>
                <w:color w:val="000000"/>
                <w:sz w:val="24"/>
                <w:szCs w:val="24"/>
                <w:highlight w:val="none"/>
                <w:lang w:val="en-US" w:eastAsia="zh-CN" w:bidi="ar"/>
              </w:rPr>
              <w:t xml:space="preserve">于W350mm*D450mm*H570mm </w:t>
            </w:r>
            <w:r>
              <w:rPr>
                <w:rFonts w:hint="eastAsia" w:ascii="宋体" w:hAnsi="宋体" w:eastAsia="宋体" w:cs="宋体"/>
                <w:i w:val="0"/>
                <w:iCs w:val="0"/>
                <w:color w:val="000000"/>
                <w:sz w:val="24"/>
                <w:szCs w:val="24"/>
                <w:lang w:val="en-US" w:eastAsia="zh-CN" w:bidi="ar"/>
              </w:rPr>
              <w:t xml:space="preserve"> 材质:木质板材 配色:白色  功能:顶部半开放式设计，可放置水杯等物品，下部双层抽屉满足日常办公储物，最上层抽屉设置有锁孔，底端设置支撑轮，方便移动。</w:t>
            </w:r>
            <w:r/>
          </w:p>
        </w:tc>
      </w:tr>
      <w:tr>
        <w:trPr>
          <w:trHeight w:val="41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11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智控滑屏器</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▲通过鼠标滑动在不少于</w:t>
            </w:r>
            <w:r>
              <w:rPr>
                <w:rFonts w:hint="eastAsia" w:ascii="宋体" w:hAnsi="宋体" w:eastAsia="宋体" w:cs="宋体"/>
                <w:i w:val="0"/>
                <w:iCs w:val="0"/>
                <w:color w:val="000000"/>
                <w:sz w:val="24"/>
                <w:szCs w:val="24"/>
              </w:rPr>
              <w:t xml:space="preserve">4个显示器之间实现快速和即时的切换，无延迟；基于USBHID的键盘/鼠标切换；支持Centos Windows 8.1 Redhat Windows 10 Ubuntu 凝思磐石 Windows7 中标麒麟等多系统应用；支持通过LED灯显示键盘鼠标活动状态;支持热键切换预定位，快速定位鼠标位置；配合控制台使用，支持机架和桌面两种安装方式；支持扩展电子铭牌，32位真彩色显示；支持图形界面化配置，简单易用。通过图形界面，任意配置显示器的布局，支持水平:1x8或2x4任意布局，任意大小、任意分辨率、任意摆放模式。</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考虑其使用性能及安全性(</w:t>
            </w:r>
            <w:r>
              <w:rPr>
                <w:rFonts w:hint="eastAsia" w:ascii="宋体" w:hAnsi="宋体" w:eastAsia="宋体" w:cs="宋体"/>
                <w:b/>
                <w:bCs/>
                <w:i w:val="0"/>
                <w:iCs w:val="0"/>
                <w:color w:val="000000"/>
                <w:sz w:val="24"/>
                <w:szCs w:val="24"/>
              </w:rPr>
              <w:t xml:space="preserve">投标文件中提供具有CMA或CNAS资质认证的第三方机构出具的检测报告扫描件</w:t>
            </w:r>
            <w:r>
              <w:rPr>
                <w:rFonts w:hint="eastAsia" w:ascii="宋体" w:hAnsi="宋体" w:eastAsia="宋体" w:cs="宋体"/>
                <w:i w:val="0"/>
                <w:iCs w:val="0"/>
                <w:color w:val="000000"/>
                <w:sz w:val="24"/>
                <w:szCs w:val="24"/>
              </w:rPr>
              <w:t xml:space="preserve">)。</w:t>
            </w:r>
            <w:r/>
          </w:p>
        </w:tc>
      </w:tr>
      <w:tr>
        <w:trPr>
          <w:trHeight w:val="16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12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人体工学坐椅</w:t>
            </w:r>
            <w:r/>
          </w:p>
        </w:tc>
        <w:tc>
          <w:tcPr>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面材：采用品牌优质网布，受力按压迅速恢复，无压痕及变形，符合GB 18401-2010《国家纺织产品基本安全技术规范》标准。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椅架：采用尼龙加玻纤椅背框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扶手：采用PU软质扶手面，4D扶手，扶手角度、前后、高度可调整，给予手臂全方位的支撑；</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椅背、座垫：采用网布椅背座垫，透气不闷热，支撑性好；</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气压棒：采用品牌100mm气软着陆气压杆，可承受280kg压力，连续升降10万次无损坏坚固耐用，移动声音小，升降顺畅，至最高点保证座椅稳定；</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五星脚：采用优质铝合金精抛光椅脚，黑色防震PU滑轮，滚动顺畅、无异响，强度高、耐磨性好；</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底盘机构、背垫：采用线控底盘；采用人机工程学腰靠，能对相应的坐姿提供全方位支撑；</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eastAsia="zh-CN"/>
              </w:rPr>
              <w:suppressLineNumbers w:val="0"/>
            </w:pPr>
            <w:r>
              <w:rPr>
                <w:rFonts w:hint="eastAsia" w:ascii="宋体" w:hAnsi="宋体" w:eastAsia="宋体" w:cs="宋体"/>
                <w:i w:val="0"/>
                <w:iCs w:val="0"/>
                <w:color w:val="000000"/>
                <w:sz w:val="24"/>
                <w:szCs w:val="24"/>
              </w:rPr>
              <w:t xml:space="preserve">功能：头枕角度及高度可调整，可根据用户需求选购折叠收纳脚蹋，小腿支撑解决躺式午休</w:t>
            </w:r>
            <w:r>
              <w:rPr>
                <w:rFonts w:hint="eastAsia" w:ascii="宋体" w:hAnsi="宋体" w:cs="宋体"/>
                <w:i w:val="0"/>
                <w:iCs w:val="0"/>
                <w:color w:val="000000"/>
                <w:sz w:val="24"/>
                <w:szCs w:val="24"/>
                <w:lang w:eastAsia="zh-CN"/>
              </w:rPr>
              <w:t xml:space="preserve">。</w:t>
            </w:r>
            <w:r/>
          </w:p>
        </w:tc>
      </w:tr>
      <w:tr>
        <w:trPr>
          <w:trHeight w:val="16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13</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会议室专用椅</w:t>
            </w:r>
            <w:r/>
          </w:p>
        </w:tc>
        <w:tc>
          <w:tcPr>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皮料：优质头层黑牛皮饰面；</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板材：椅背采用双层板，密度≥600kg/m3多层板，经干燥、高温层压处理，不变形、不霉变；</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油漆面：白色烤漆、胡桃木或水曲柳色可选；</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海绵：不小于45#密度原生高弹海棉；                      </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底盘：不小于2.5mm厚方盘；</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气杆：优质电镀气杆，不小于120行程；</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椅脚：高强度不小于330#铝合金脚，铝合金压铸一体成型，静压测试不小于1136KG，符合BIFMA标准；</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椅轮：50#静音电镀轮。</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原有控制台拆旧</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包含现有指挥中心老旧控制台整体拆除、运输、现场清理。</w:t>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cs="宋体"/>
                <w:i w:val="0"/>
                <w:iCs w:val="0"/>
                <w:color w:val="000000"/>
                <w:sz w:val="24"/>
                <w:szCs w:val="24"/>
                <w:lang w:val="en-US" w:eastAsia="zh-CN" w:bidi="ar"/>
              </w:rPr>
              <w:t xml:space="preserve">5</w:t>
            </w:r>
            <w:r>
              <w:rPr>
                <w:rFonts w:hint="eastAsia" w:ascii="宋体" w:hAnsi="宋体" w:eastAsia="宋体" w:cs="宋体"/>
                <w:i w:val="0"/>
                <w:iCs w:val="0"/>
                <w:color w:val="000000"/>
                <w:sz w:val="24"/>
                <w:szCs w:val="24"/>
                <w:lang w:val="en-US" w:eastAsia="zh-CN" w:bidi="ar"/>
              </w:rPr>
              <w:t xml:space="preserve">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安装调试</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eastAsia="zh-CN"/>
              </w:rPr>
              <w:suppressLineNumbers w:val="0"/>
            </w:pPr>
            <w:r>
              <w:rPr>
                <w:rFonts w:hint="eastAsia" w:ascii="宋体" w:hAnsi="宋体" w:eastAsia="宋体" w:cs="宋体"/>
                <w:i w:val="0"/>
                <w:iCs w:val="0"/>
                <w:color w:val="000000"/>
                <w:sz w:val="24"/>
                <w:szCs w:val="24"/>
              </w:rPr>
              <w:t xml:space="preserve">包含全新控制台重新施工安装，全过程做到零业务中断，实现各业务系统切换无缝衔接、不间断稳定运行</w:t>
            </w:r>
            <w:r>
              <w:rPr>
                <w:rFonts w:hint="eastAsia" w:ascii="宋体" w:hAnsi="宋体" w:eastAsia="宋体" w:cs="宋体"/>
                <w:i w:val="0"/>
                <w:iCs w:val="0"/>
                <w:color w:val="000000"/>
                <w:sz w:val="24"/>
                <w:szCs w:val="24"/>
                <w:lang w:eastAsia="zh-CN"/>
              </w:rPr>
              <w:t xml:space="preserve">。</w:t>
            </w:r>
            <w:r/>
          </w:p>
        </w:tc>
      </w:tr>
    </w:tbl>
    <w:p>
      <w:pPr>
        <w:ind w:left="40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40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sz w:val="24"/>
          <w:szCs w:val="24"/>
        </w:rPr>
        <w:t xml:space="preserve">注：</w:t>
      </w:r>
      <w:r>
        <w:rPr>
          <w:rFonts w:hint="eastAsia" w:ascii="宋体" w:hAnsi="宋体" w:eastAsia="宋体" w:cs="宋体"/>
          <w:sz w:val="24"/>
          <w:szCs w:val="24"/>
        </w:rPr>
        <w:br/>
      </w:r>
      <w:r>
        <w:rPr>
          <w:rFonts w:hint="eastAsia" w:ascii="宋体" w:hAnsi="宋体" w:eastAsia="宋体" w:cs="宋体"/>
          <w:b/>
          <w:bCs/>
          <w:sz w:val="24"/>
          <w:szCs w:val="24"/>
        </w:rPr>
        <w:t xml:space="preserve">1.本项目核心产品：</w:t>
      </w:r>
      <w:r>
        <w:rPr>
          <w:rFonts w:hint="eastAsia" w:ascii="宋体" w:hAnsi="宋体" w:eastAsia="宋体" w:cs="宋体"/>
          <w:i w:val="0"/>
          <w:iCs w:val="0"/>
          <w:color w:val="000000"/>
          <w:sz w:val="24"/>
          <w:szCs w:val="24"/>
          <w:lang w:val="en-US" w:eastAsia="zh-CN" w:bidi="ar"/>
        </w:rPr>
        <w:t xml:space="preserve">●</w:t>
      </w:r>
      <w:r>
        <w:rPr>
          <w:rFonts w:hint="eastAsia" w:ascii="宋体" w:hAnsi="宋体" w:eastAsia="宋体" w:cs="宋体"/>
          <w:b/>
          <w:bCs/>
          <w:sz w:val="24"/>
          <w:szCs w:val="24"/>
        </w:rPr>
        <w:t xml:space="preserve">控制台。提供相同品牌核心产品且通过资格审查、符合性审查的不同投标人参加同一合同项下响应的，按一家投标人计算</w:t>
      </w:r>
      <w:r>
        <w:rPr>
          <w:rFonts w:hint="eastAsia" w:ascii="宋体" w:hAnsi="宋体" w:eastAsia="宋体" w:cs="宋体"/>
          <w:b/>
          <w:bCs/>
          <w:sz w:val="24"/>
          <w:szCs w:val="24"/>
          <w:lang w:eastAsia="zh-CN"/>
        </w:rPr>
        <w:t xml:space="preserve">。</w:t>
      </w:r>
      <w:r/>
    </w:p>
    <w:p>
      <w:pPr>
        <w:numPr>
          <w:ilvl w:val="0"/>
          <w:numId w:val="0"/>
        </w:numPr>
        <w:ind w:left="0" w:firstLine="42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2.投标人需明确所投产品的品牌、型号、规格及一些必须说明的技术参数，以及设备配置清单，并提供详细的技术参数及性能说明书。</w:t>
      </w:r>
      <w:r/>
    </w:p>
    <w:p>
      <w:pPr>
        <w:numPr>
          <w:ilvl w:val="0"/>
          <w:numId w:val="0"/>
        </w:numPr>
        <w:ind w:left="42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numPr>
          <w:ilvl w:val="0"/>
          <w:numId w:val="0"/>
        </w:numPr>
        <w:ind w:left="42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投标人在投标文件中必须逐条响应（具体在技术参数响应及偏离表中写明），如漏项或未提供，则视同非实质性响应文件要求，作无效标处理。其中打★号指标为必须满足项，如有负偏离将作为非实质性响应文件要求，作无效标处理。</w:t>
      </w:r>
      <w:r/>
    </w:p>
    <w:p>
      <w:pPr>
        <w:ind w:left="0" w:firstLine="42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5.合同生效后，45 日内将合同标的全部交付并安装调试完毕。</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中标人应及时安装调试，安装调试期间采购人的使用人员协助配合；安装调试完毕，中标人需组织采购人使用人员进行使用及日常维护等的培训。</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验收时需提供全部的技术资料（产品中/英文说明书、中文操作手册和产品合格证书</w:t>
      </w:r>
      <w:r>
        <w:rPr>
          <w:rFonts w:hint="eastAsia" w:ascii="宋体" w:hAnsi="宋体" w:cs="宋体"/>
          <w:b w:val="0"/>
          <w:bCs w:val="0"/>
          <w:sz w:val="24"/>
          <w:szCs w:val="24"/>
          <w:lang w:val="en-US" w:eastAsia="zh-CN"/>
        </w:rPr>
        <w:t xml:space="preserve">等</w:t>
      </w:r>
      <w:r>
        <w:rPr>
          <w:rFonts w:hint="eastAsia" w:ascii="宋体" w:hAnsi="宋体" w:eastAsia="宋体" w:cs="宋体"/>
          <w:b w:val="0"/>
          <w:bCs w:val="0"/>
          <w:sz w:val="24"/>
          <w:szCs w:val="24"/>
        </w:rPr>
        <w:t xml:space="preserve">）。</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投标人安装调试时采取必要的安全措施，如有意外或事故发生，由中标人负全部责任。</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rPr>
        <w:t xml:space="preserve">.本采购项目所涉及的所有内容，均须符合中华人民共和国现行有效的强制性标准及最新版本的推荐性标准（包括但不限于国家标准、行业标准）。凡标准有不同版本或更新版本的，应执行发布最新且要求最严格的版本。若各标准、规范之间存在不一致之处，应以要求更严格者为准。</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七、售后服务要求</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1、本项目免费质量保证期要求不低于3 年。免费质量保证期从货物供货、安装、调试正常且经采购使用部门确认验收合格之日起算。</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2、在质保期内，对采购人所提出的维修要求做出实质性响应，并提供应急策略；如出现货物故障，在24小时内不能解决问题，应免费在7天内用同样的品牌、规格或更高的部件更换到位。</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3、为采购人提供全面的技术支持，帮助采购人及时解决使用中遇到的技术问题。</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4、培训要求：采购人的运行维护技术人员经过培训应能进行日常设备运行维护工作。</w:t>
      </w:r>
      <w:r/>
    </w:p>
    <w:p>
      <w:pPr>
        <w:ind w:left="0" w:firstLine="42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5、此次项目服务内容还必须包含指挥中心原老旧控制台拆除</w:t>
      </w:r>
      <w:r>
        <w:rPr>
          <w:rFonts w:hint="eastAsia" w:ascii="宋体" w:hAnsi="宋体" w:eastAsia="宋体" w:cs="宋体"/>
          <w:b w:val="0"/>
          <w:bCs w:val="0"/>
          <w:sz w:val="24"/>
          <w:szCs w:val="24"/>
          <w:lang w:eastAsia="zh-CN"/>
        </w:rPr>
        <w:t xml:space="preserve">、运输、现场清理</w:t>
      </w:r>
      <w:r>
        <w:rPr>
          <w:rFonts w:hint="eastAsia" w:ascii="宋体" w:hAnsi="宋体" w:eastAsia="宋体" w:cs="宋体"/>
          <w:b w:val="0"/>
          <w:bCs w:val="0"/>
          <w:sz w:val="24"/>
          <w:szCs w:val="24"/>
        </w:rPr>
        <w:t xml:space="preserve">工作</w:t>
      </w:r>
      <w:r>
        <w:rPr>
          <w:rFonts w:hint="eastAsia" w:ascii="宋体" w:hAnsi="宋体" w:eastAsia="宋体" w:cs="宋体"/>
          <w:b w:val="0"/>
          <w:bCs w:val="0"/>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、综合说明</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3.中标单位将根据招标文件、投标文件的相关约定，承担合同责任，履行合同义务。</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供应商中标后应根据技术要求、相关参数、主要材料、功能性、实用性等进行方案二次深化设计，二次深化结果须通过采购人确认。所涉及的相关费用投标人在投标总报价中综合考虑，采购人不再另外支付，二次深化设计后的方案经采购人确认通过后，方可实施。</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6.供应商在中标后须提供色板给采购人，按采购人选定的颜色生产，否则造成的损失由中标人自行承担。</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7.中标供应商合同签订后应立即与采购人进行技术交流并开始着手二次深化设计，与采购人进行技术确认；在产品生产前，需先打样与采购人确认。</w:t>
      </w:r>
      <w:r/>
    </w:p>
    <w:p>
      <w:pPr>
        <w:pStyle w:val="864"/>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、政府采购政策</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1.中小微企业</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本项目属于专门面向中小企业采购。</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根据《政府采购促进中小企业发展管理办法》（财库〔2020〕46号）及《中小企业划型标准规定》（工信部联企业〔2011〕300号），</w:t>
      </w:r>
      <w:r>
        <w:rPr>
          <w:rFonts w:hint="eastAsia" w:ascii="宋体" w:hAnsi="宋体" w:eastAsia="宋体" w:cs="宋体"/>
          <w:b/>
          <w:sz w:val="24"/>
          <w:szCs w:val="24"/>
        </w:rPr>
        <w:t xml:space="preserve">本采购标的对应的中小企业划分标准所属行业为：工业。</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2.残疾人福利性单位</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3.监狱企业</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eastAsia="宋体" w:cs="宋体"/>
          <w:sz w:val="24"/>
          <w:szCs w:val="24"/>
        </w:rPr>
      </w:pPr>
      <w:r/>
      <w:bookmarkStart w:id="91" w:name="OLE_LINK31"/>
      <w:r/>
      <w:bookmarkStart w:id="92" w:name="OLE_LINK34"/>
      <w:r>
        <w:rPr>
          <w:rFonts w:hint="eastAsia" w:ascii="宋体" w:hAnsi="宋体" w:eastAsia="宋体" w:cs="宋体"/>
          <w:sz w:val="24"/>
          <w:szCs w:val="24"/>
        </w:rPr>
        <w:t xml:space="preserve">4.对本国产品的支持政策</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根据《国务院办公厅关于在</w:t>
      </w:r>
      <w:r>
        <w:rPr>
          <w:rFonts w:hint="eastAsia" w:ascii="宋体" w:hAnsi="宋体" w:eastAsia="宋体" w:cs="宋体"/>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91"/>
      <w:r/>
      <w:bookmarkEnd w:id="92"/>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5.绿色采购</w:t>
      </w:r>
      <w:r/>
    </w:p>
    <w:p>
      <w:pPr>
        <w:ind w:left="0" w:firstLine="422"/>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根据《关于调整优化节能产品、环境标志产品政府采购执行机制的通知》（财库〔2019〕9号）等相关文件的规定，</w:t>
      </w:r>
      <w:r>
        <w:rPr>
          <w:rFonts w:hint="eastAsia" w:ascii="宋体" w:hAnsi="宋体" w:eastAsia="宋体" w:cs="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十</w:t>
      </w:r>
      <w:r>
        <w:rPr>
          <w:rFonts w:hint="eastAsia" w:ascii="宋体" w:hAnsi="宋体" w:eastAsia="宋体" w:cs="宋体"/>
          <w:sz w:val="24"/>
          <w:szCs w:val="24"/>
        </w:rPr>
        <w:t xml:space="preserve">、关于对参与供应商信用记录的政府采购要求</w:t>
      </w:r>
      <w:r/>
    </w:p>
    <w:p>
      <w:pPr>
        <w:ind w:left="0" w:firstLine="420"/>
        <w:spacing w:line="360" w:lineRule="auto"/>
        <w:tabs>
          <w:tab w:val="left" w:pos="567" w:leader="none"/>
        </w:tabs>
        <w:rPr>
          <w:rFonts w:hint="eastAsia" w:ascii="宋体" w:hAnsi="宋体" w:eastAsia="宋体" w:cs="宋体"/>
          <w:b/>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、凡涉及招标文件的补充说明和修改，均以网上发布的通知为准。</w:t>
      </w:r>
      <w:r/>
    </w:p>
    <w:p>
      <w:pPr>
        <w:pStyle w:val="839"/>
        <w:ind w:left="0" w:firstLine="0"/>
        <w:jc w:val="center"/>
        <w:rPr>
          <w:rFonts w:hint="eastAsia" w:ascii="宋体" w:hAnsi="宋体" w:eastAsia="宋体" w:cs="宋体"/>
          <w:b/>
          <w:sz w:val="44"/>
          <w:szCs w:val="22"/>
        </w:rPr>
      </w:pPr>
      <w:r/>
      <w:bookmarkStart w:id="93" w:name="_Toc11789"/>
      <w:r/>
      <w:bookmarkStart w:id="94" w:name="_Toc5111"/>
      <w:r/>
      <w:bookmarkStart w:id="95" w:name="_Hlk55741158"/>
      <w:r>
        <w:rPr>
          <w:rFonts w:hint="eastAsia" w:ascii="宋体" w:hAnsi="宋体" w:eastAsia="宋体" w:cs="宋体"/>
          <w:b/>
          <w:sz w:val="44"/>
          <w:szCs w:val="22"/>
        </w:rPr>
        <w:br w:type="page" w:clear="all"/>
      </w:r>
      <w:bookmarkStart w:id="96" w:name="_Toc105397794"/>
      <w:r>
        <w:rPr>
          <w:rFonts w:hint="eastAsia" w:ascii="宋体" w:hAnsi="宋体" w:eastAsia="宋体" w:cs="宋体"/>
          <w:b/>
          <w:sz w:val="44"/>
          <w:szCs w:val="22"/>
        </w:rPr>
        <w:t xml:space="preserve">第五章 </w:t>
      </w:r>
      <w:bookmarkStart w:id="97" w:name="合同的特殊条款"/>
      <w:r/>
      <w:bookmarkEnd w:id="97"/>
      <w:r>
        <w:rPr>
          <w:rFonts w:hint="eastAsia" w:ascii="宋体" w:hAnsi="宋体" w:eastAsia="宋体" w:cs="宋体"/>
          <w:b/>
          <w:sz w:val="44"/>
          <w:szCs w:val="22"/>
        </w:rPr>
        <w:t xml:space="preserve">合同及主要条款</w:t>
      </w:r>
      <w:bookmarkEnd w:id="93"/>
      <w:r/>
      <w:bookmarkEnd w:id="94"/>
      <w:r/>
      <w:bookmarkEnd w:id="96"/>
      <w:r/>
      <w:bookmarkEnd w:id="95"/>
      <w:r/>
    </w:p>
    <w:p>
      <w:pPr>
        <w:ind w:left="0"/>
        <w:jc w:val="center"/>
        <w:rPr>
          <w:rFonts w:hint="eastAsia" w:ascii="宋体" w:hAnsi="宋体" w:eastAsia="宋体" w:cs="宋体"/>
          <w:b/>
          <w:sz w:val="24"/>
          <w:szCs w:val="24"/>
        </w:rPr>
      </w:pPr>
      <w:r/>
      <w:bookmarkStart w:id="98" w:name="_Toc8564"/>
      <w:r/>
      <w:bookmarkStart w:id="99" w:name="_Toc27667"/>
      <w:r/>
      <w:bookmarkStart w:id="100" w:name="_Toc57376410"/>
      <w:r>
        <w:rPr>
          <w:rFonts w:hint="eastAsia" w:ascii="宋体" w:hAnsi="宋体" w:eastAsia="宋体" w:cs="宋体"/>
          <w:b/>
          <w:sz w:val="24"/>
          <w:szCs w:val="24"/>
        </w:rPr>
        <w:t xml:space="preserve">政府采购合同</w:t>
      </w:r>
      <w:r/>
    </w:p>
    <w:p>
      <w:pPr>
        <w:pStyle w:val="865"/>
        <w:ind w:left="0" w:firstLine="0"/>
        <w:rPr>
          <w:rFonts w:hint="eastAsia" w:ascii="宋体" w:hAnsi="宋体" w:eastAsia="宋体" w:cs="宋体"/>
          <w:sz w:val="24"/>
          <w:szCs w:val="24"/>
        </w:rPr>
      </w:pPr>
      <w:r>
        <w:rPr>
          <w:rFonts w:hint="eastAsia" w:ascii="宋体" w:hAnsi="宋体" w:eastAsia="宋体" w:cs="宋体"/>
          <w:sz w:val="24"/>
          <w:szCs w:val="24"/>
        </w:rPr>
      </w:r>
      <w:r/>
    </w:p>
    <w:p>
      <w:pPr>
        <w:ind w:left="0" w:firstLine="480"/>
        <w:spacing w:line="360" w:lineRule="auto"/>
        <w:widowControl w:val="off"/>
        <w:rPr>
          <w:rFonts w:hint="eastAsia" w:ascii="宋体" w:hAnsi="宋体" w:eastAsia="宋体" w:cs="宋体"/>
          <w:sz w:val="24"/>
          <w:szCs w:val="24"/>
        </w:rPr>
      </w:pPr>
      <w:r/>
      <w:bookmarkStart w:id="101" w:name="_Toc105397795"/>
      <w:r>
        <w:rPr>
          <w:rFonts w:hint="eastAsia" w:ascii="宋体" w:hAnsi="宋体" w:eastAsia="宋体" w:cs="宋体"/>
          <w:sz w:val="24"/>
          <w:szCs w:val="24"/>
        </w:rPr>
        <w:t xml:space="preserve">项目编号：</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8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苏州市交通运输应急指挥中心</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           </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根据《中华人民共和国民法典》等相关法律法规的规定，甲乙双方就此次成交的【</w:t>
      </w:r>
      <w:r>
        <w:rPr>
          <w:rFonts w:hint="eastAsia" w:ascii="宋体" w:hAnsi="宋体" w:eastAsia="宋体" w:cs="宋体"/>
          <w:sz w:val="24"/>
          <w:szCs w:val="24"/>
          <w:lang w:eastAsia="zh-CN"/>
        </w:rPr>
        <w:t xml:space="preserve">苏州市交通运输应急指挥中心指挥大厅运行监测坐席采购</w:t>
      </w:r>
      <w:r>
        <w:rPr>
          <w:rFonts w:hint="eastAsia" w:ascii="宋体" w:hAnsi="宋体" w:eastAsia="宋体" w:cs="宋体"/>
          <w:sz w:val="24"/>
          <w:szCs w:val="24"/>
        </w:rPr>
        <w:t xml:space="preserve">】项目（以下简称“本项目”）购销事宜，签订本合同书，以兹共同遵守。</w:t>
      </w:r>
      <w:r/>
    </w:p>
    <w:p>
      <w:pPr>
        <w:ind w:left="0" w:firstLine="422"/>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一、</w:t>
      </w:r>
      <w:bookmarkStart w:id="102" w:name="_Hlk55399711"/>
      <w:r>
        <w:rPr>
          <w:rFonts w:hint="eastAsia" w:ascii="宋体" w:hAnsi="宋体" w:eastAsia="宋体" w:cs="宋体"/>
          <w:b w:val="0"/>
          <w:bCs/>
          <w:sz w:val="24"/>
          <w:szCs w:val="24"/>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（1）本合同书及本合同书签署后各方以书面形式确认的补充协议等；</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rPr>
          <w:rFonts w:hint="eastAsia" w:ascii="宋体" w:hAnsi="宋体" w:eastAsia="宋体" w:cs="宋体"/>
          <w:sz w:val="24"/>
          <w:szCs w:val="24"/>
        </w:rPr>
        <w:tab/>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（3）采购文件；</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（4）投标（响应）文件；</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（5）乙方在开评标过程中所作的其它承诺、声明、书面澄清等。</w:t>
      </w:r>
      <w:r/>
    </w:p>
    <w:p>
      <w:pPr>
        <w:ind w:left="0" w:firstLine="48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以上文件视为是能互相说明的，如上述文件之间存在冲突或不一致的，以排列序位在前的文件为准，同一序位的文件以形成时间在后的为准。</w:t>
      </w:r>
      <w:bookmarkEnd w:id="102"/>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二、合同内容</w:t>
      </w:r>
      <w:r/>
    </w:p>
    <w:p>
      <w:pPr>
        <w:ind w:left="0" w:firstLine="42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（一）项目内容：乙方负责完成甲方的</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eastAsia="zh-CN"/>
        </w:rPr>
        <w:t xml:space="preserve">（</w:t>
      </w:r>
      <w:r>
        <w:rPr>
          <w:rFonts w:hint="eastAsia" w:ascii="宋体" w:hAnsi="宋体" w:eastAsia="宋体" w:cs="宋体"/>
          <w:b/>
          <w:sz w:val="24"/>
          <w:szCs w:val="24"/>
          <w:u w:val="single"/>
          <w:lang w:val="en-US" w:eastAsia="zh-CN"/>
        </w:rPr>
        <w:t xml:space="preserve">项目名称</w:t>
      </w:r>
      <w:r>
        <w:rPr>
          <w:rFonts w:hint="eastAsia" w:ascii="宋体" w:hAnsi="宋体" w:eastAsia="宋体" w:cs="宋体"/>
          <w:b/>
          <w:sz w:val="24"/>
          <w:szCs w:val="24"/>
          <w:u w:val="single"/>
          <w:lang w:eastAsia="zh-CN"/>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，具体内容见下表：</w:t>
      </w:r>
      <w:r/>
    </w:p>
    <w:p>
      <w:pPr>
        <w:ind w:left="0" w:firstLine="42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849"/>
        <w:tblW w:w="5650" w:type="pct"/>
        <w:jc w:val="center"/>
        <w:tblLayout w:type="autofit"/>
        <w:tblCellMar>
          <w:left w:w="0" w:type="dxa"/>
          <w:top w:w="0" w:type="dxa"/>
          <w:right w:w="0" w:type="dxa"/>
          <w:bottom w:w="0" w:type="dxa"/>
        </w:tblCellMar>
        <w:tblLook w:val="04A0" w:firstRow="1" w:lastRow="0" w:firstColumn="1" w:lastColumn="0" w:noHBand="0" w:noVBand="1"/>
      </w:tblPr>
      <w:tblGrid>
        <w:gridCol w:w="843"/>
        <w:gridCol w:w="1933"/>
        <w:gridCol w:w="3526"/>
        <w:gridCol w:w="825"/>
        <w:gridCol w:w="825"/>
        <w:gridCol w:w="1220"/>
        <w:gridCol w:w="1327"/>
        <w:gridCol w:w="67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right="0"/>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000"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sz w:val="24"/>
                <w:szCs w:val="24"/>
              </w:rPr>
              <w:suppressLineNumbers w:val="0"/>
            </w:pPr>
            <w:r>
              <w:rPr>
                <w:rFonts w:hint="eastAsia" w:ascii="宋体" w:hAnsi="宋体" w:eastAsia="宋体" w:cs="宋体"/>
                <w:bCs/>
                <w:sz w:val="24"/>
                <w:szCs w:val="24"/>
              </w:rPr>
              <w:t xml:space="preserve">总价（含税）：</w:t>
            </w:r>
            <w:r>
              <w:rPr>
                <w:rFonts w:hint="eastAsia" w:ascii="宋体" w:hAnsi="宋体" w:eastAsia="宋体" w:cs="宋体"/>
                <w:sz w:val="24"/>
                <w:szCs w:val="24"/>
              </w:rPr>
              <w:t xml:space="preserve">                             ¥</w:t>
            </w:r>
            <w:r/>
          </w:p>
        </w:tc>
      </w:tr>
    </w:tbl>
    <w:p>
      <w:pPr>
        <w:ind w:left="0" w:firstLine="42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（二）交付期限：自本合同签订生效之日起【</w:t>
      </w:r>
      <w:r>
        <w:rPr>
          <w:rFonts w:hint="eastAsia" w:ascii="宋体" w:hAnsi="宋体" w:eastAsia="宋体" w:cs="宋体"/>
          <w:sz w:val="24"/>
          <w:szCs w:val="24"/>
          <w:lang w:val="en-US" w:eastAsia="zh-CN"/>
        </w:rPr>
        <w:t xml:space="preserve">45</w:t>
      </w:r>
      <w:r>
        <w:rPr>
          <w:rFonts w:hint="eastAsia" w:ascii="宋体" w:hAnsi="宋体" w:eastAsia="宋体" w:cs="宋体"/>
          <w:sz w:val="24"/>
          <w:szCs w:val="24"/>
        </w:rPr>
        <w:t xml:space="preserve">】日内，乙方应完成本项目全部采购内容的安装、调试并交付甲方正常使用。</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（三）交付地点：甲方指定地点。</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（四）质保期：不少于【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rPr>
        <w:t xml:space="preserve">，自本项目设备经甲方</w:t>
      </w:r>
      <w:r>
        <w:rPr>
          <w:rFonts w:hint="eastAsia" w:ascii="宋体" w:hAnsi="宋体" w:eastAsia="宋体" w:cs="宋体"/>
          <w:sz w:val="24"/>
          <w:szCs w:val="24"/>
          <w:lang w:val="en-US" w:eastAsia="zh-CN"/>
        </w:rPr>
        <w:t xml:space="preserve">确认</w:t>
      </w:r>
      <w:r>
        <w:rPr>
          <w:rFonts w:hint="eastAsia" w:ascii="宋体" w:hAnsi="宋体" w:eastAsia="宋体" w:cs="宋体"/>
          <w:sz w:val="24"/>
          <w:szCs w:val="24"/>
        </w:rPr>
        <w:t xml:space="preserve">验收通过之日起开始计算。</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三、价格与支付</w:t>
      </w:r>
      <w:r/>
    </w:p>
    <w:p>
      <w:pPr>
        <w:ind w:left="0" w:firstLine="48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（一）本合同金额按此次中标（成交）价格执行，</w:t>
      </w:r>
      <w:bookmarkStart w:id="103" w:name="_Hlk55399813"/>
      <w:r>
        <w:rPr>
          <w:rFonts w:hint="eastAsia" w:ascii="宋体" w:hAnsi="宋体" w:eastAsia="宋体" w:cs="宋体"/>
          <w:sz w:val="24"/>
          <w:szCs w:val="24"/>
        </w:rPr>
        <w:t xml:space="preserve">本合同总金额（含税）为人民币（大写）___________________（¥：____________</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。上述合同总金额</w:t>
      </w:r>
      <w:bookmarkEnd w:id="103"/>
      <w:r>
        <w:rPr>
          <w:rFonts w:hint="eastAsia" w:ascii="宋体" w:hAnsi="宋体" w:eastAsia="宋体" w:cs="宋体"/>
          <w:sz w:val="24"/>
          <w:szCs w:val="24"/>
        </w:rPr>
        <w:t xml:space="preserve">已包括</w:t>
      </w:r>
      <w:r>
        <w:rPr>
          <w:rFonts w:hint="eastAsia" w:ascii="宋体" w:hAnsi="宋体" w:eastAsia="宋体" w:cs="宋体"/>
          <w:sz w:val="24"/>
          <w:szCs w:val="24"/>
          <w:lang w:val="zh-CN"/>
        </w:rPr>
        <w:t xml:space="preserve">响应产品、</w:t>
      </w:r>
      <w:bookmarkStart w:id="104" w:name="_Hlk32483319"/>
      <w:r>
        <w:rPr>
          <w:rFonts w:hint="eastAsia" w:ascii="宋体" w:hAnsi="宋体" w:eastAsia="宋体" w:cs="宋体"/>
          <w:sz w:val="24"/>
          <w:szCs w:val="24"/>
          <w:lang w:val="zh-CN"/>
        </w:rPr>
        <w:t xml:space="preserve">安装辅材及其备品备件和专用工具费用</w:t>
      </w:r>
      <w:bookmarkEnd w:id="104"/>
      <w:r>
        <w:rPr>
          <w:rFonts w:hint="eastAsia" w:ascii="宋体" w:hAnsi="宋体" w:eastAsia="宋体" w:cs="宋体"/>
          <w:sz w:val="24"/>
          <w:szCs w:val="24"/>
          <w:lang w:val="zh-CN"/>
        </w:rPr>
        <w:t xml:space="preserve">、税费、包装、运至最终目的地的运输、保险、现场安装调试、检测验收、技术支持与培训、质保和售后服务及相关劳务支出等</w:t>
      </w:r>
      <w:r>
        <w:rPr>
          <w:rFonts w:hint="eastAsia" w:ascii="宋体" w:hAnsi="宋体" w:eastAsia="宋体" w:cs="宋体"/>
          <w:sz w:val="24"/>
          <w:szCs w:val="24"/>
        </w:rPr>
        <w:t xml:space="preserve">履行本合同</w:t>
      </w:r>
      <w:r>
        <w:rPr>
          <w:rFonts w:hint="eastAsia" w:ascii="宋体" w:hAnsi="宋体" w:eastAsia="宋体" w:cs="宋体"/>
          <w:sz w:val="24"/>
          <w:szCs w:val="24"/>
          <w:lang w:val="zh-CN"/>
        </w:rPr>
        <w:t xml:space="preserve">所发生的全部费用以及</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的企业利润、税金和政策性文件规定及合同包含的所有风险、责任等各项应有费用</w:t>
      </w:r>
      <w:r>
        <w:rPr>
          <w:rFonts w:hint="eastAsia" w:ascii="宋体" w:hAnsi="宋体" w:eastAsia="宋体" w:cs="宋体"/>
          <w:bCs/>
          <w:sz w:val="24"/>
          <w:szCs w:val="24"/>
        </w:rPr>
        <w:t xml:space="preserve">。</w:t>
      </w:r>
      <w:r>
        <w:rPr>
          <w:rFonts w:hint="eastAsia" w:ascii="宋体" w:hAnsi="宋体" w:eastAsia="宋体" w:cs="宋体"/>
          <w:sz w:val="24"/>
          <w:szCs w:val="24"/>
        </w:rPr>
        <w:t xml:space="preserve">除非本合同另有约定或经甲乙双方协商同意，乙方不得再要求追加任何其他费用。同时，除本合同另有约定外，本合同价格在本合同实施期间不因市场变化因素而变动。</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（二）合同价款的支付及付款方式：</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1、付款流程：合同签订并生效后甲方向乙方支付合同总金额的30%作为预付款，货物到货交付完成甲方向乙方支付</w:t>
      </w:r>
      <w:r>
        <w:rPr>
          <w:rFonts w:hint="eastAsia" w:ascii="宋体" w:hAnsi="宋体" w:eastAsia="宋体" w:cs="宋体"/>
          <w:sz w:val="24"/>
          <w:szCs w:val="24"/>
          <w:lang w:val="en-US" w:eastAsia="zh-CN"/>
        </w:rPr>
        <w:t xml:space="preserve">至</w:t>
      </w:r>
      <w:r>
        <w:rPr>
          <w:rFonts w:hint="eastAsia" w:ascii="宋体" w:hAnsi="宋体" w:eastAsia="宋体" w:cs="宋体"/>
          <w:sz w:val="24"/>
          <w:szCs w:val="24"/>
        </w:rPr>
        <w:t xml:space="preserve">合同总金额的</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待货物安装、调试正常且经甲方确认验收合格</w:t>
      </w:r>
      <w:r>
        <w:rPr>
          <w:rFonts w:hint="eastAsia" w:ascii="宋体" w:hAnsi="宋体" w:eastAsia="宋体" w:cs="宋体"/>
          <w:sz w:val="24"/>
          <w:szCs w:val="24"/>
        </w:rPr>
        <w:t xml:space="preserve">后，甲方向乙方支付</w:t>
      </w:r>
      <w:r>
        <w:rPr>
          <w:rFonts w:hint="eastAsia" w:ascii="宋体" w:hAnsi="宋体" w:eastAsia="宋体" w:cs="宋体"/>
          <w:sz w:val="24"/>
          <w:szCs w:val="24"/>
          <w:lang w:val="en-US" w:eastAsia="zh-CN"/>
        </w:rPr>
        <w:t xml:space="preserve">至</w:t>
      </w:r>
      <w:r>
        <w:rPr>
          <w:rFonts w:hint="eastAsia" w:ascii="宋体" w:hAnsi="宋体" w:eastAsia="宋体" w:cs="宋体"/>
          <w:sz w:val="24"/>
          <w:szCs w:val="24"/>
        </w:rPr>
        <w:t xml:space="preserve">合同总金额的</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在签订合同时，乙方明确表示无需预付款或者主动要求降低预付款比例的，甲方可不适用上述关于预付款的规定。</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2、乙方提请甲方付款前，应提供以下资料：</w:t>
      </w:r>
      <w:r/>
    </w:p>
    <w:p>
      <w:pPr>
        <w:ind w:left="0" w:firstLine="420"/>
        <w:spacing w:line="360" w:lineRule="auto"/>
        <w:widowControl w:val="off"/>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（1）合法有效且符合甲方要求的发票；</w:t>
      </w:r>
      <w:r/>
    </w:p>
    <w:p>
      <w:pPr>
        <w:ind w:left="0" w:firstLine="420"/>
        <w:spacing w:line="360" w:lineRule="auto"/>
        <w:widowControl w:val="off"/>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（2）随设备附带的所有有关资料（如质量保证书等）；</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（3）由甲乙双方共同签章的《政府采购合同履行验收书》。</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若乙方未按要求提供上述资料导致甲方迟延付款的，甲方不承担逾期付款的违约责任。</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3、付款方式：银行转账</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乙方账户信息如下：</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（三）履约保证金</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履约保证金金额为：合同总金额的【</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乙方应在合同签订后【7】日内，按照合同约定，向甲方提交履约保证金，履约保证金可以以支票、汇票、本票或者金融机构、担保机构出</w:t>
      </w:r>
      <w:r>
        <w:rPr>
          <w:rFonts w:hint="eastAsia" w:ascii="宋体" w:hAnsi="宋体" w:eastAsia="宋体" w:cs="宋体"/>
          <w:sz w:val="24"/>
          <w:szCs w:val="24"/>
        </w:rPr>
        <w:t xml:space="preserve">具的履约保函等非现金形式提交。乙方无正当理由拖延或拒不提交履约保证金的，甲方有权解除本合同，乙方应向甲方支付本合同总价款【3%】的违约金，给甲方造成损失的，乙方应赔偿甲方一切直接、间接损失。本项目质保期三年，乙方待质保期满且完成服务缺陷更正，并配合主管部门办理移交手续后，甲方退还履约保证金（无息）。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    四、保密条款</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五、质量保证</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（四）</w:t>
      </w:r>
      <w:bookmarkStart w:id="105" w:name="_Hlk32483710"/>
      <w:r>
        <w:rPr>
          <w:rFonts w:hint="eastAsia" w:ascii="宋体" w:hAnsi="宋体" w:eastAsia="宋体" w:cs="宋体"/>
          <w:sz w:val="24"/>
          <w:szCs w:val="24"/>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构成上述侵权的，乙方应承担全部责任，并赔偿由此给甲方造成的一切直接、间接损失。</w:t>
      </w:r>
      <w:bookmarkEnd w:id="105"/>
      <w:r/>
      <w:r/>
    </w:p>
    <w:p>
      <w:pPr>
        <w:ind w:left="0" w:firstLine="413"/>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六、包装</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（一）乙方应当按照《商品包装政府采购需求标准（试行）》、《快递包装政府采购需求标准（试行）》的标准及约定的包装方式交付</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。对包装方式没有约定或约定不明确的，应当按照双方补充协议约定的方式包装，或按照通用的方式包装；没有补充协议或通用方式的，应当按照采取足以保护</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且有利于节约资源、保护生态环境的包装方式。因乙方未采取合理包装方式致使</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损毁、灭失或无法正常使用，给甲方造成损失的，乙方应赔偿甲方一切直接、间接损失。</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（二）乙方应保证其提供的货物是原包装未拆封的商品，在交付甲方验收前不得拆箱。</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）如因包装、运输问题导致货物毁损或者品质下降，甲方有权要求降价、换货、拒收部分或整批货物，由此造成甲方的费用和损失，均由乙方承担。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）产品运输（送）安全由乙方全权负责，造成货物丢失或其他重大损失等情况，由此带来的经济损失、法律后果由乙方完全负责，甲方将依据合同条款保留追究乙方责任的权利。</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）运输费用由乙方承担。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）运输须严格遵守《中华人民共和国道路运输条例》相关规定。</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七、设备的交付</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（一）本项目设备的所有权自设备由乙方交付甲方时转移。</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（二）乙方应当按照本合同约定的期限和约定的地点交付设备。</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（三）乙方应当按照本合同约定或者交易习惯向甲方交付提取设备单证以外的有关单证和资料。</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（四）本合同中所称“交付”，除根据上下文明显指设备到货时的交货外，均指完成安装调试后的交付。</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（五）乙方负责安排货物运输，因交货产生的运输、装卸、安装、保险等相关费用全部由乙方承担。货物在交付甲方并通过验收合格前，其灭失、损毁的风险由乙方承担。</w:t>
      </w:r>
      <w:r/>
    </w:p>
    <w:p>
      <w:pPr>
        <w:ind w:left="0"/>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    八、伴随服务</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（一）乙方除应按照本合同约定及甲方的要求履行按期按量交付合格设备的义务外，还应当提供下列服务：</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1、设备的现场安装、启动、调试、监督（如果必须安装、调试的话）；</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2、提供设备组装和一般维修所必需的工具；</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3、在本合同规定的期限内对所提供的设备实行运行监督、维修服务的前提条件是该服务并不能免除乙方在质量保证期内应承担的义务；</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4、对甲方技术人员进行技术指导或培训服务。</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（二）除本合同另有规定外，伴随服务的费用均已包含在本合同总价款中，甲方不再另行向乙方支付任何其他费用。</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九、设备的检验（检测）和验收</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（一）交付本合同</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前，乙方应对</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的质量、规格、性能、数量、外观、随机备件备品、装箱单、随机资料、包装等进行详细而全面的检验，并出具一份检验合格证明，检验合格证明仅作为甲方验收的依据，但不能作为本合同项下</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质量、规格、数量或性能的最终检验结果。</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sz w:val="24"/>
          <w:szCs w:val="24"/>
        </w:rPr>
        <w:t xml:space="preserve">    （三）乙方应自本项目所有设备交付甲方，完成安装、调试，并试运行完成之日</w:t>
      </w:r>
      <w:r>
        <w:rPr>
          <w:rFonts w:hint="eastAsia" w:ascii="宋体" w:hAnsi="宋体" w:eastAsia="宋体" w:cs="宋体"/>
          <w:color w:val="auto"/>
          <w:sz w:val="24"/>
          <w:szCs w:val="24"/>
          <w:highlight w:val="none"/>
        </w:rPr>
        <w:t xml:space="preserve">起15日内进行验收。特殊情况需延长的，</w:t>
      </w:r>
      <w:bookmarkStart w:id="106" w:name="_Hlk32482846"/>
      <w:r>
        <w:rPr>
          <w:rFonts w:hint="eastAsia" w:ascii="宋体" w:hAnsi="宋体" w:eastAsia="宋体" w:cs="宋体"/>
          <w:color w:val="auto"/>
          <w:sz w:val="24"/>
          <w:szCs w:val="24"/>
          <w:highlight w:val="none"/>
        </w:rPr>
        <w:t xml:space="preserve">由甲乙双方另行协商确定</w:t>
      </w:r>
      <w:bookmarkEnd w:id="106"/>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（五）由于甲方自身能力、检验（检测）方法和检验（检测）手段的限制，对于</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部分质量瑕疵尤其是潜在的或隐蔽的质量瑕疵，在短时间内可能无法发现。因此，验收单的签署仅作为</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质保期起算的依据，不代表甲方对质量异议权利的放弃，也不代表乙方对</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质量保证责任的免除。甲方验收通过，并不免除乙方对</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质量问题承担责任的义务，如验收通过后，</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出现质量问题影响甲方使用的，甲方仍有权要求乙方采取维修、退货换货、支付违约金、赔偿损失等方式处理。</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（六）项目验收以甲方要求的方式、程序、标准为准，乙方应当配合甲方的验收要求，因乙方不配合甲方验收要求导致验收无法进行或验收不通过的，乙方自行承担后果。</w:t>
      </w:r>
      <w:r/>
    </w:p>
    <w:p>
      <w:pPr>
        <w:ind w:left="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    十、</w:t>
      </w:r>
      <w:r>
        <w:rPr>
          <w:rFonts w:hint="eastAsia" w:ascii="宋体" w:hAnsi="宋体" w:eastAsia="宋体" w:cs="宋体"/>
          <w:b/>
          <w:bCs/>
          <w:sz w:val="24"/>
          <w:szCs w:val="24"/>
          <w:lang w:eastAsia="zh-CN"/>
        </w:rPr>
        <w:t xml:space="preserve">设备</w:t>
      </w:r>
      <w:r>
        <w:rPr>
          <w:rFonts w:hint="eastAsia" w:ascii="宋体" w:hAnsi="宋体" w:eastAsia="宋体" w:cs="宋体"/>
          <w:b/>
          <w:bCs/>
          <w:sz w:val="24"/>
          <w:szCs w:val="24"/>
        </w:rPr>
        <w:t xml:space="preserve">提出异议的时间和办法</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（一）甲方在验收过程中，应当于双方约定的验收期间内将</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的数量或质量不符合约定的情况及处理方式以书面形式通知乙方。若</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存在甲方无法检验（检测）的质量问题，则对该</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的检验（检测）不受验收期间的限制，但甲方应在发现质量问题后及时提出。</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十一、售后服务</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1、本项目免费质量保证期要求不低于【 】年。免费质量保证期从货物供货、安装、调试正常且经采购使用部门确认最终验收合格之日起算。</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2、在质保期内，</w:t>
      </w:r>
      <w:r>
        <w:rPr>
          <w:rFonts w:hint="eastAsia" w:ascii="宋体" w:hAnsi="宋体" w:eastAsia="宋体" w:cs="宋体"/>
          <w:sz w:val="24"/>
          <w:szCs w:val="24"/>
          <w:lang w:val="en-US" w:eastAsia="zh-CN"/>
        </w:rPr>
        <w:t xml:space="preserve">乙方应</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所提出的维修要求做出实质性响应，并提供应急策略；如出现货物故障，在24小时内不能解决问题，</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应免费在7天内用同样的品牌、规格或更高的部件更换到位。</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乙方应</w:t>
      </w:r>
      <w:r>
        <w:rPr>
          <w:rFonts w:hint="eastAsia" w:ascii="宋体" w:hAnsi="宋体" w:eastAsia="宋体" w:cs="宋体"/>
          <w:sz w:val="24"/>
          <w:szCs w:val="24"/>
        </w:rPr>
        <w:t xml:space="preserve">为</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提供全面的技术支持，帮助</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及时解决使用中遇到的技术问题。</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4、培训要求：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的运行维护技术人员经过培训应能进行日常设备运行维护工作。</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此次项目服务内容还必须包含指挥中心原老旧控制台拆除、运输、现场清理工作。</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十二、安全生产</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sz w:val="24"/>
          <w:szCs w:val="24"/>
        </w:rPr>
        <w:br/>
      </w:r>
      <w:r>
        <w:rPr>
          <w:rFonts w:hint="eastAsia" w:ascii="宋体" w:hAnsi="宋体" w:eastAsia="宋体" w:cs="宋体"/>
          <w:sz w:val="24"/>
          <w:szCs w:val="24"/>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sz w:val="24"/>
          <w:szCs w:val="24"/>
        </w:rPr>
        <w:br/>
      </w:r>
      <w:r>
        <w:rPr>
          <w:rFonts w:hint="eastAsia" w:ascii="宋体" w:hAnsi="宋体" w:eastAsia="宋体" w:cs="宋体"/>
          <w:sz w:val="24"/>
          <w:szCs w:val="24"/>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2"/>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十三、分包与转包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（一）本合同项目不得转包与分包。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（三）因分包或转包导致甲方遭受损失的，乙方应赔偿甲方一切直接和间接损失。</w:t>
      </w:r>
      <w:r/>
    </w:p>
    <w:p>
      <w:pPr>
        <w:ind w:left="0" w:firstLine="422"/>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十四、违约责任</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合同一方不履行合同义务或者履行合同义务不符合约定的，应当承担继续履行、采取补救措施或赔偿损失等违约责任。</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（一）甲方违约责任</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1、本合同生效后，甲方无正当理由要求退货的，应向乙方支付本合同总金额20%的违约金，违约金不足以弥补损失的，乙方有权要求甲方补足。</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、甲方违反本合同规定，无正当理由拒绝接收乙方交付的合格</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的，应当承担因此给乙方造成的损失。</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（二）乙方违约责任</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1、乙方未能按本合同约定的期限交付质量符合本合同约定货物的，甲方有权选择采取以下一种或多种措施：</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2、因乙方违约导致甲方解除合同的，甲方有权另行采购本合同约定的</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6、本合同约定的乙方应付违约金不足以弥补甲方一切直接或间接损失的，乙方应当足额赔偿。</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8.若甲方在本合同完结之后，产生的后续其他项目涉及到与本合同内相关</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的（包括但不限于）关联、适配、调用、整合等相关工作乙方应给与新供应商无条件配合，否则甲方任拥有追责权利，可要求乙方给与赔偿等相关补救措施。</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9、乙方违反本合同第十三条约定之情形的，除按相应条款承担违约责任外，甲方还有权依据本合同第十四条追究其违约责任。</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十五、不可抗力</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（二）合同一方因不可抗力不能履行合同的，应当在不可抗力发生后3日内通知对方，以减轻可能给对方造成的损失，并应当</w:t>
      </w:r>
      <w:bookmarkStart w:id="107" w:name="_Hlk62832803"/>
      <w:r>
        <w:rPr>
          <w:rFonts w:hint="eastAsia" w:ascii="宋体" w:hAnsi="宋体" w:eastAsia="宋体" w:cs="宋体"/>
          <w:sz w:val="24"/>
          <w:szCs w:val="24"/>
        </w:rPr>
        <w:t xml:space="preserve">不可抗力通知发出后的7日</w:t>
      </w:r>
      <w:bookmarkEnd w:id="107"/>
      <w:r>
        <w:rPr>
          <w:rFonts w:hint="eastAsia" w:ascii="宋体" w:hAnsi="宋体" w:eastAsia="宋体" w:cs="宋体"/>
          <w:sz w:val="24"/>
          <w:szCs w:val="24"/>
        </w:rPr>
        <w:t xml:space="preserve">内提供书面证明文件。</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（三）</w:t>
      </w:r>
      <w:bookmarkStart w:id="108" w:name="_Hlk62832818"/>
      <w:r>
        <w:rPr>
          <w:rFonts w:hint="eastAsia" w:ascii="宋体" w:hAnsi="宋体" w:eastAsia="宋体" w:cs="宋体"/>
          <w:sz w:val="24"/>
          <w:szCs w:val="24"/>
        </w:rPr>
        <w:t xml:space="preserve">不可抗力事由消除后，合同继续履行或解除等相关事宜，由合同双方协商解决。</w:t>
      </w:r>
      <w:bookmarkEnd w:id="108"/>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十六、索赔</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（一）</w:t>
      </w:r>
      <w:bookmarkStart w:id="109" w:name="_Hlk62832834"/>
      <w:r>
        <w:rPr>
          <w:rFonts w:hint="eastAsia" w:ascii="宋体" w:hAnsi="宋体" w:eastAsia="宋体" w:cs="宋体"/>
          <w:sz w:val="24"/>
          <w:szCs w:val="24"/>
        </w:rPr>
        <w:t xml:space="preserve">乙方交付的本项目</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的质量、数量、规格、性能等经检验（检测）、验收不合格的，</w:t>
      </w:r>
      <w:bookmarkEnd w:id="109"/>
      <w:r>
        <w:rPr>
          <w:rFonts w:hint="eastAsia" w:ascii="宋体" w:hAnsi="宋体" w:eastAsia="宋体" w:cs="宋体"/>
          <w:sz w:val="24"/>
          <w:szCs w:val="24"/>
        </w:rPr>
        <w:t xml:space="preserve">甲方有权根据当地产品质量检验（检测）机构或其他有关部门出具的检验（检测）、验收证书向乙方提出索赔。</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1、乙方同意退货，并按本合同规定的货币形式将货款退还给甲方，并且承担由此发生的一切直接、间接损失和费用，包括利息、银行手续费、运费、总包配合费、保险费、检验（检测）费、仓储费、装卸费以及为保护退回</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所需的其他必要费用。</w:t>
      </w:r>
      <w:r/>
    </w:p>
    <w:p>
      <w:pPr>
        <w:ind w:left="0"/>
        <w:spacing w:line="360" w:lineRule="auto"/>
        <w:widowControl w:val="off"/>
        <w:tabs>
          <w:tab w:val="left" w:pos="0"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2、根据</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的低劣程度、损坏程度以及甲方遭受损失的数额，经甲乙双方协商确定降低</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的价格。</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3、</w:t>
      </w:r>
      <w:bookmarkStart w:id="110" w:name="_Hlk62832935"/>
      <w:r>
        <w:rPr>
          <w:rFonts w:hint="eastAsia" w:ascii="宋体" w:hAnsi="宋体" w:eastAsia="宋体" w:cs="宋体"/>
          <w:sz w:val="24"/>
          <w:szCs w:val="24"/>
        </w:rPr>
        <w:t xml:space="preserve">乙方应在收到甲方书面索赔通知后7日内，</w:t>
      </w:r>
      <w:bookmarkEnd w:id="110"/>
      <w:r>
        <w:rPr>
          <w:rFonts w:hint="eastAsia" w:ascii="宋体" w:hAnsi="宋体" w:eastAsia="宋体" w:cs="宋体"/>
          <w:sz w:val="24"/>
          <w:szCs w:val="24"/>
        </w:rPr>
        <w:t xml:space="preserve">负责采用符合规格、质量和性能要求的新零件、部件或</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来更换有缺陷的部分或修补缺陷部分，乙方应承担由此产生的一切费用和风险，给甲方造成损失的，应赔偿甲方一切直接、间接损失。同时，乙方应按本合同规定，相应延长修补或被更换部件或</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的质量保证期。</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rPr>
        <w:t xml:space="preserve">十七、合同的解除</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（二）有下列情形之一的，合同一方可以解除合同：</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1、因不可抗力致使不能实现合同目的的，未受不可抗力影响的一方有权解除合同；</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2、因合同一方违约导致合同不能履行的，另一方有权解除合同；</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3、乙方存在违反本合同第十三条之情形的，甲方有权解除合同；</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4、有权解除合同的一方，应当在违约事实或不可抗力发生后30日内书面通知对方以主张解除本合同，本合同在书面通知到达对方时解除。</w:t>
      </w:r>
      <w:r/>
    </w:p>
    <w:p>
      <w:pPr>
        <w:ind w:left="0" w:firstLine="422"/>
        <w:spacing w:line="360" w:lineRule="auto"/>
        <w:widowControl w:val="off"/>
        <w:rPr>
          <w:rFonts w:hint="eastAsia" w:ascii="宋体" w:hAnsi="宋体" w:eastAsia="宋体" w:cs="宋体"/>
          <w:sz w:val="24"/>
          <w:szCs w:val="24"/>
        </w:rPr>
      </w:pPr>
      <w:r/>
      <w:bookmarkStart w:id="111" w:name="_Toc13543222"/>
      <w:r>
        <w:rPr>
          <w:rFonts w:hint="eastAsia" w:ascii="宋体" w:hAnsi="宋体" w:eastAsia="宋体" w:cs="宋体"/>
          <w:b/>
          <w:bCs/>
          <w:sz w:val="24"/>
          <w:szCs w:val="24"/>
        </w:rPr>
        <w:t xml:space="preserve">十八、合同的生效</w:t>
      </w:r>
      <w:bookmarkEnd w:id="111"/>
      <w:r/>
      <w:r/>
    </w:p>
    <w:p>
      <w:pPr>
        <w:ind w:left="0" w:firstLine="420"/>
        <w:spacing w:line="360" w:lineRule="auto"/>
        <w:widowControl w:val="off"/>
        <w:rPr>
          <w:rFonts w:hint="eastAsia" w:ascii="宋体" w:hAnsi="宋体" w:eastAsia="宋体" w:cs="宋体"/>
          <w:sz w:val="24"/>
          <w:szCs w:val="24"/>
        </w:rPr>
      </w:pPr>
      <w:r/>
      <w:bookmarkStart w:id="112" w:name="_Toc13543223"/>
      <w:r>
        <w:rPr>
          <w:rFonts w:hint="eastAsia" w:ascii="宋体" w:hAnsi="宋体" w:eastAsia="宋体" w:cs="宋体"/>
          <w:sz w:val="24"/>
          <w:szCs w:val="24"/>
        </w:rPr>
        <w:t xml:space="preserve">本合同经甲乙双方法定代表人或授权代表人签字加盖公章后即生效，生效后须进行网上备案。</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十九、争议解决</w:t>
      </w:r>
      <w:bookmarkEnd w:id="112"/>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甲乙双方因履行本合同或与本合同有关的一切事项发生争议的，应友好协商解决；协商不成的，任何一方均有权向甲方所在地人民法院起诉。</w:t>
      </w:r>
      <w:bookmarkStart w:id="113" w:name="_Hlk62833016"/>
      <w:r>
        <w:rPr>
          <w:rFonts w:hint="eastAsia" w:ascii="宋体" w:hAnsi="宋体" w:eastAsia="宋体" w:cs="宋体"/>
          <w:sz w:val="24"/>
          <w:szCs w:val="24"/>
        </w:rPr>
        <w:t xml:space="preserve">因乙方违约或乙方追究甲方违约但不成立，导致甲方为处理此纠纷产生的费用由乙方承担，该费用包括但不限于公证费、诉讼费、保全费、鉴定费、执行费、律师费、差旅费等。</w:t>
      </w:r>
      <w:bookmarkEnd w:id="113"/>
      <w:r/>
      <w:bookmarkStart w:id="114" w:name="_Toc13543224"/>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bookmarkEnd w:id="114"/>
      <w:r>
        <w:rPr>
          <w:rFonts w:hint="eastAsia" w:ascii="宋体" w:hAnsi="宋体" w:eastAsia="宋体" w:cs="宋体"/>
          <w:b/>
          <w:bCs/>
          <w:sz w:val="24"/>
          <w:szCs w:val="24"/>
        </w:rPr>
        <w:t xml:space="preserve">其他附则</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（一）合同份数：本合同一式【</w:t>
      </w:r>
      <w:r>
        <w:rPr>
          <w:rFonts w:hint="eastAsia" w:ascii="宋体" w:hAnsi="宋体" w:eastAsia="宋体" w:cs="宋体"/>
          <w:sz w:val="24"/>
          <w:szCs w:val="24"/>
          <w:lang w:val="en-US" w:eastAsia="zh-CN"/>
        </w:rPr>
        <w:t xml:space="preserve">伍</w:t>
      </w:r>
      <w:r>
        <w:rPr>
          <w:rFonts w:hint="eastAsia" w:ascii="宋体" w:hAnsi="宋体" w:eastAsia="宋体" w:cs="宋体"/>
          <w:sz w:val="24"/>
          <w:szCs w:val="24"/>
        </w:rPr>
        <w:t xml:space="preserve">】份，甲方执【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】份，乙方执【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】份，采购代理机构执【</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各份合同具有同等法律效力。</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（二）本合同未尽事宜应按《中华人民共和国民法典》《中华人民共和国政府采购法》</w:t>
      </w:r>
      <w:bookmarkStart w:id="115" w:name="_Hlk32483171"/>
      <w:r>
        <w:rPr>
          <w:rFonts w:hint="eastAsia" w:ascii="宋体" w:hAnsi="宋体" w:eastAsia="宋体" w:cs="宋体"/>
          <w:sz w:val="24"/>
          <w:szCs w:val="24"/>
        </w:rPr>
        <w:t xml:space="preserve">以及其它法律、法规</w:t>
      </w:r>
      <w:bookmarkEnd w:id="115"/>
      <w:r>
        <w:rPr>
          <w:rFonts w:hint="eastAsia" w:ascii="宋体" w:hAnsi="宋体" w:eastAsia="宋体" w:cs="宋体"/>
          <w:sz w:val="24"/>
          <w:szCs w:val="24"/>
        </w:rPr>
        <w:t xml:space="preserve">之规定解释，</w:t>
      </w:r>
      <w:r>
        <w:rPr>
          <w:rFonts w:hint="eastAsia" w:ascii="宋体" w:hAnsi="宋体" w:eastAsia="宋体" w:cs="宋体"/>
          <w:bCs/>
          <w:sz w:val="24"/>
          <w:szCs w:val="24"/>
        </w:rPr>
        <w:t xml:space="preserve">在执行过程中甲乙双方应在不违背本合同和采购文件的原则下协商解决，协商结果以书面形式盖章记录，作为本合同的附件，与本合同具有同等效力。</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（三）</w:t>
      </w:r>
      <w:bookmarkStart w:id="116" w:name="_Hlk62833081"/>
      <w:r>
        <w:rPr>
          <w:rFonts w:hint="eastAsia" w:ascii="宋体" w:hAnsi="宋体" w:eastAsia="宋体" w:cs="宋体"/>
          <w:bCs/>
          <w:sz w:val="24"/>
          <w:szCs w:val="24"/>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（以下无正文）</w:t>
      </w:r>
      <w:bookmarkEnd w:id="116"/>
      <w:r/>
      <w:r/>
    </w:p>
    <w:p>
      <w:pPr>
        <w:ind w:left="0" w:firstLine="480"/>
        <w:spacing w:line="360" w:lineRule="auto"/>
        <w:widowControl w:val="off"/>
        <w:rPr>
          <w:rFonts w:hint="eastAsia" w:ascii="宋体" w:hAnsi="宋体" w:eastAsia="宋体" w:cs="宋体"/>
          <w:bCs/>
          <w:sz w:val="24"/>
          <w:szCs w:val="24"/>
        </w:rPr>
      </w:pPr>
      <w:r/>
      <w:bookmarkStart w:id="117" w:name="_Hlk62833094"/>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left="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甲方（盖章）：</w:t>
      </w:r>
      <w:r>
        <w:rPr>
          <w:rFonts w:hint="eastAsia" w:ascii="宋体" w:hAnsi="宋体" w:eastAsia="宋体" w:cs="宋体"/>
          <w:bCs/>
          <w:sz w:val="24"/>
          <w:szCs w:val="24"/>
          <w:lang w:eastAsia="zh-CN"/>
        </w:rPr>
        <w:t xml:space="preserve">苏州市交通运输应急指挥中心</w:t>
      </w:r>
      <w:r>
        <w:rPr>
          <w:rFonts w:hint="eastAsia" w:ascii="宋体" w:hAnsi="宋体" w:eastAsia="宋体" w:cs="宋体"/>
          <w:bCs/>
          <w:sz w:val="24"/>
          <w:szCs w:val="24"/>
        </w:rPr>
        <w:t xml:space="preserve">                  乙方（盖章）：</w:t>
      </w:r>
      <w:r/>
    </w:p>
    <w:p>
      <w:pPr>
        <w:ind w:left="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法定（授权）代表人（签字）：                法定（授权）代表人（签字）：</w:t>
      </w:r>
      <w:r/>
    </w:p>
    <w:p>
      <w:pPr>
        <w:ind w:left="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日期：    年   月   日                     日期：    年   月   日</w:t>
      </w:r>
      <w:bookmarkEnd w:id="117"/>
      <w:r/>
    </w:p>
    <w:p>
      <w:pPr>
        <w:ind w:left="0"/>
        <w:spacing w:line="360" w:lineRule="auto"/>
        <w:widowControl w:val="off"/>
        <w:rPr>
          <w:rFonts w:hint="eastAsia" w:ascii="宋体" w:hAnsi="宋体" w:eastAsia="宋体" w:cs="宋体"/>
          <w:bCs/>
          <w:sz w:val="24"/>
          <w:szCs w:val="22"/>
        </w:rPr>
      </w:pPr>
      <w:r>
        <w:rPr>
          <w:rFonts w:hint="eastAsia" w:ascii="宋体" w:hAnsi="宋体" w:eastAsia="宋体" w:cs="宋体"/>
          <w:bCs/>
          <w:sz w:val="24"/>
          <w:szCs w:val="22"/>
        </w:rPr>
      </w:r>
      <w:r/>
    </w:p>
    <w:p>
      <w:pPr>
        <w:ind w:left="0"/>
        <w:jc w:val="left"/>
        <w:rPr>
          <w:rFonts w:hint="eastAsia" w:ascii="宋体" w:hAnsi="宋体" w:eastAsia="宋体" w:cs="宋体"/>
          <w:sz w:val="21"/>
          <w:szCs w:val="22"/>
        </w:rPr>
      </w:pPr>
      <w:r>
        <w:rPr>
          <w:rFonts w:hint="eastAsia" w:ascii="宋体" w:hAnsi="宋体" w:eastAsia="宋体" w:cs="宋体"/>
          <w:sz w:val="21"/>
          <w:szCs w:val="22"/>
        </w:rPr>
        <w:br w:type="page" w:clear="all"/>
      </w:r>
      <w:r/>
    </w:p>
    <w:p>
      <w:pPr>
        <w:ind w:left="0"/>
        <w:widowControl w:val="off"/>
        <w:rPr>
          <w:rFonts w:hint="eastAsia" w:ascii="宋体" w:hAnsi="宋体" w:eastAsia="宋体" w:cs="宋体"/>
          <w:sz w:val="21"/>
          <w:szCs w:val="22"/>
        </w:rPr>
      </w:pPr>
      <w:r>
        <w:rPr>
          <w:rFonts w:hint="eastAsia" w:ascii="宋体" w:hAnsi="宋体" w:eastAsia="宋体" w:cs="宋体"/>
          <w:sz w:val="21"/>
          <w:szCs w:val="22"/>
        </w:rPr>
      </w:r>
      <w:r/>
    </w:p>
    <w:p>
      <w:pPr>
        <w:pStyle w:val="839"/>
        <w:ind w:left="0" w:firstLine="0"/>
        <w:jc w:val="center"/>
        <w:rPr>
          <w:rFonts w:hint="eastAsia" w:ascii="宋体" w:hAnsi="宋体" w:eastAsia="宋体" w:cs="宋体"/>
          <w:b/>
          <w:sz w:val="44"/>
          <w:szCs w:val="22"/>
        </w:rPr>
      </w:pPr>
      <w:r>
        <w:rPr>
          <w:rFonts w:hint="eastAsia" w:ascii="宋体" w:hAnsi="宋体" w:eastAsia="宋体" w:cs="宋体"/>
          <w:b/>
          <w:sz w:val="44"/>
          <w:szCs w:val="22"/>
        </w:rPr>
        <w:t xml:space="preserve">第六章 </w:t>
      </w:r>
      <w:bookmarkStart w:id="118" w:name="评分要点"/>
      <w:r/>
      <w:bookmarkEnd w:id="118"/>
      <w:r>
        <w:rPr>
          <w:rFonts w:hint="eastAsia" w:ascii="宋体" w:hAnsi="宋体" w:eastAsia="宋体" w:cs="宋体"/>
          <w:b/>
          <w:sz w:val="44"/>
          <w:szCs w:val="22"/>
        </w:rPr>
        <w:t xml:space="preserve">评标办法和评分标准</w:t>
      </w:r>
      <w:bookmarkEnd w:id="98"/>
      <w:r/>
      <w:bookmarkEnd w:id="99"/>
      <w:r/>
      <w:bookmarkEnd w:id="100"/>
      <w:r/>
      <w:bookmarkEnd w:id="101"/>
      <w:r/>
      <w:r/>
    </w:p>
    <w:p>
      <w:pPr>
        <w:ind w:left="0" w:firstLine="422"/>
        <w:spacing w:line="360" w:lineRule="auto"/>
        <w:rPr>
          <w:rFonts w:hint="eastAsia" w:ascii="宋体" w:hAnsi="宋体" w:eastAsia="宋体" w:cs="宋体"/>
          <w:b/>
          <w:sz w:val="24"/>
          <w:szCs w:val="24"/>
        </w:rPr>
      </w:pPr>
      <w:r/>
      <w:bookmarkStart w:id="119" w:name="_Toc16264"/>
      <w:r/>
      <w:bookmarkStart w:id="120" w:name="_Toc698"/>
      <w:r/>
      <w:bookmarkStart w:id="121" w:name="_Toc17476"/>
      <w:r>
        <w:rPr>
          <w:rFonts w:hint="eastAsia" w:ascii="宋体" w:hAnsi="宋体" w:eastAsia="宋体" w:cs="宋体"/>
          <w:b/>
          <w:sz w:val="24"/>
          <w:szCs w:val="24"/>
        </w:rPr>
        <w:t xml:space="preserve">一、评标办法：</w:t>
      </w:r>
      <w:bookmarkEnd w:id="119"/>
      <w:r/>
      <w:bookmarkEnd w:id="120"/>
      <w:r/>
      <w:bookmarkEnd w:id="121"/>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1.评标办法采用</w:t>
      </w:r>
      <w:r>
        <w:rPr>
          <w:rFonts w:hint="eastAsia" w:ascii="宋体" w:hAnsi="宋体" w:eastAsia="宋体" w:cs="宋体"/>
          <w:b/>
          <w:sz w:val="24"/>
          <w:szCs w:val="24"/>
        </w:rPr>
        <w:t xml:space="preserve">综合评分法</w:t>
      </w:r>
      <w:r>
        <w:rPr>
          <w:rFonts w:hint="eastAsia" w:ascii="宋体" w:hAnsi="宋体" w:eastAsia="宋体" w:cs="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sz w:val="24"/>
          <w:szCs w:val="24"/>
        </w:rPr>
        <w:t xml:space="preserve">非单一产品采购项目，多家投标人提供的核心产品品牌相同的，按照此规定处理。</w:t>
      </w:r>
      <w:r/>
    </w:p>
    <w:p>
      <w:pPr>
        <w:ind w:left="0" w:firstLine="480"/>
        <w:keepLines w:val="0"/>
        <w:keepNext w:val="0"/>
        <w:pageBreakBefore w:val="0"/>
        <w:spacing w:line="360" w:lineRule="auto"/>
        <w:widowControl/>
        <w:tabs>
          <w:tab w:val="left" w:pos="567" w:leader="none"/>
        </w:tabs>
        <w:rPr>
          <w:rFonts w:hint="eastAsia" w:ascii="宋体" w:hAnsi="宋体" w:eastAsia="宋体" w:cs="宋体"/>
          <w:sz w:val="24"/>
          <w:szCs w:val="24"/>
        </w:rPr>
      </w:pPr>
      <w:r/>
      <w:bookmarkStart w:id="122" w:name="OLE_LINK13"/>
      <w:r/>
      <w:bookmarkStart w:id="123" w:name="OLE_LINK14"/>
      <w:r>
        <w:rPr>
          <w:rFonts w:hint="eastAsia" w:ascii="宋体" w:hAnsi="宋体" w:eastAsia="宋体" w:cs="宋体"/>
          <w:sz w:val="24"/>
          <w:szCs w:val="24"/>
        </w:rPr>
        <w:t xml:space="preserve">5.针对中小型企业、残疾人福利企业和监狱企业的评审：</w:t>
      </w:r>
      <w:bookmarkEnd w:id="122"/>
      <w:r/>
      <w:bookmarkEnd w:id="123"/>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5.1、根据财政部、工业和信息化部关于印发《政府采购促进中小企业发展管理办法》的通知规定：</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rPr>
          <w:rFonts w:hint="eastAsia" w:ascii="宋体" w:hAnsi="宋体" w:eastAsia="宋体"/>
          <w:b/>
          <w:color w:val="000000"/>
          <w:sz w:val="24"/>
          <w:szCs w:val="24"/>
        </w:rPr>
        <w:t xml:space="preserve">本项目属于专门面向中小企业采购。</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（2）依据《政府采购促进中小企业发展管理办法》规定享受扶持政策获得政府采购合同的，小微企业不得将合同分包给大中型企业，中型企业不得将合同分包给大型企业。</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（3）本项目采购标的对应的中小企业划分标准所属行业为：</w:t>
      </w:r>
      <w:r>
        <w:rPr>
          <w:rFonts w:hint="eastAsia" w:ascii="宋体" w:hAnsi="宋体" w:eastAsia="宋体" w:cs="宋体"/>
          <w:b/>
          <w:color w:val="000000"/>
          <w:sz w:val="24"/>
          <w:szCs w:val="24"/>
          <w:lang w:val="en-US" w:eastAsia="zh-CN"/>
        </w:rPr>
        <w:t xml:space="preserve">工业</w:t>
      </w:r>
      <w:r>
        <w:rPr>
          <w:rFonts w:hint="eastAsia" w:ascii="宋体" w:hAnsi="宋体" w:eastAsia="宋体"/>
          <w:b/>
          <w:bCs/>
          <w:color w:val="000000"/>
          <w:sz w:val="24"/>
          <w:szCs w:val="24"/>
        </w:rPr>
        <w:t xml:space="preserve">。</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（4）中小企业参加政府采购活动，应当出具《政府采购促进中小企业发展管理办法》附件规定《中小企业声明函》，否则不得享受相关中小企业扶持政策。</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（6）若供应商提供的《中小企业声明函》为虚假声明则视同提供虚假材料，按政府采购相关规定处理并报请政府监管部门给予行政处罚。</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5.2、残疾人福利性单位</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5.3、监狱企业</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left="0" w:firstLine="420"/>
        <w:spacing w:line="360" w:lineRule="auto"/>
        <w:rPr>
          <w:rFonts w:hint="eastAsia" w:ascii="宋体" w:hAnsi="宋体" w:eastAsia="宋体" w:cs="宋体"/>
          <w:sz w:val="24"/>
          <w:szCs w:val="24"/>
        </w:rPr>
      </w:pPr>
      <w:r/>
      <w:bookmarkStart w:id="124" w:name="OLE_LINK29"/>
      <w:r/>
      <w:bookmarkStart w:id="125" w:name="OLE_LINK30"/>
      <w:r>
        <w:rPr>
          <w:rFonts w:hint="eastAsia" w:ascii="宋体" w:hAnsi="宋体" w:eastAsia="宋体" w:cs="宋体"/>
          <w:sz w:val="24"/>
          <w:szCs w:val="24"/>
        </w:rPr>
        <w:t xml:space="preserve">6.采购本国产品的支持政策</w:t>
      </w:r>
      <w:r/>
    </w:p>
    <w:p>
      <w:pPr>
        <w:ind w:left="0" w:firstLine="420"/>
        <w:spacing w:line="360" w:lineRule="auto"/>
        <w:rPr>
          <w:rFonts w:hint="eastAsia" w:ascii="宋体" w:hAnsi="宋体" w:eastAsia="宋体" w:cs="宋体"/>
          <w:sz w:val="24"/>
          <w:szCs w:val="24"/>
        </w:rPr>
      </w:pPr>
      <w:r/>
      <w:bookmarkStart w:id="126" w:name="OLE_LINK17"/>
      <w:r/>
      <w:bookmarkStart w:id="127" w:name="OLE_LINK25"/>
      <w:r>
        <w:rPr>
          <w:rFonts w:hint="eastAsia" w:ascii="宋体" w:hAnsi="宋体" w:eastAsia="宋体" w:cs="宋体"/>
          <w:sz w:val="24"/>
          <w:szCs w:val="24"/>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sz w:val="24"/>
          <w:szCs w:val="24"/>
          <w:u w:val="single"/>
        </w:rPr>
        <w:t xml:space="preserve">20%</w:t>
      </w:r>
      <w:r>
        <w:rPr>
          <w:rFonts w:hint="eastAsia" w:ascii="宋体" w:hAnsi="宋体" w:eastAsia="宋体" w:cs="宋体"/>
          <w:sz w:val="24"/>
          <w:szCs w:val="24"/>
        </w:rPr>
        <w:t xml:space="preserve">的价格扣除，用扣除后的价格参与评审。</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sz w:val="24"/>
          <w:szCs w:val="24"/>
          <w:u w:val="single"/>
        </w:rPr>
        <w:t xml:space="preserve">20%</w:t>
      </w:r>
      <w:r>
        <w:rPr>
          <w:rFonts w:hint="eastAsia" w:ascii="宋体" w:hAnsi="宋体" w:eastAsia="宋体" w:cs="宋体"/>
          <w:sz w:val="24"/>
          <w:szCs w:val="24"/>
        </w:rPr>
        <w:t xml:space="preserve">的价格扣除，用扣除后的价格参与评审。</w:t>
      </w:r>
      <w:bookmarkStart w:id="128" w:name="OLE_LINK26"/>
      <w:r>
        <w:rPr>
          <w:rFonts w:hint="eastAsia" w:ascii="宋体" w:hAnsi="宋体" w:eastAsia="宋体" w:cs="宋体"/>
          <w:b/>
          <w:sz w:val="24"/>
          <w:szCs w:val="24"/>
        </w:rPr>
        <w:t xml:space="preserve">供应商未填写比例数值，或比例数值未达到</w:t>
      </w:r>
      <w:r>
        <w:rPr>
          <w:rFonts w:hint="eastAsia" w:ascii="宋体" w:hAnsi="宋体" w:eastAsia="宋体" w:cs="宋体"/>
          <w:b/>
          <w:sz w:val="24"/>
          <w:szCs w:val="24"/>
          <w:u w:val="single"/>
        </w:rPr>
        <w:t xml:space="preserve">80%</w:t>
      </w:r>
      <w:r>
        <w:rPr>
          <w:rFonts w:hint="eastAsia" w:ascii="宋体" w:hAnsi="宋体" w:eastAsia="宋体" w:cs="宋体"/>
          <w:b/>
          <w:sz w:val="24"/>
          <w:szCs w:val="24"/>
        </w:rPr>
        <w:t xml:space="preserve">的，将不享受本国产品价格评审优惠。</w:t>
      </w:r>
      <w:bookmarkEnd w:id="126"/>
      <w:r/>
      <w:bookmarkEnd w:id="127"/>
      <w:r/>
      <w:bookmarkEnd w:id="128"/>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②供应商提供虚假《声明函》、虚假证明文件谋取中标、成交的，依照《中华人民共和国政府采购法》等法律法规规定追究相应责任。</w:t>
      </w:r>
      <w:bookmarkEnd w:id="124"/>
      <w:r/>
      <w:bookmarkEnd w:id="125"/>
      <w:r/>
      <w:r/>
    </w:p>
    <w:p>
      <w:pPr>
        <w:ind w:left="0"/>
        <w:rPr>
          <w:rFonts w:hint="eastAsia" w:ascii="宋体" w:hAnsi="宋体" w:eastAsia="宋体" w:cs="宋体"/>
          <w:sz w:val="24"/>
          <w:szCs w:val="24"/>
        </w:rPr>
      </w:pPr>
      <w:r>
        <w:rPr>
          <w:rFonts w:hint="eastAsia" w:ascii="宋体" w:hAnsi="宋体" w:eastAsia="宋体" w:cs="宋体"/>
          <w:sz w:val="24"/>
          <w:szCs w:val="24"/>
        </w:rPr>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二、评分标准：</w:t>
      </w:r>
      <w:r/>
    </w:p>
    <w:tbl>
      <w:tblPr>
        <w:tblStyle w:val="849"/>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评审类别</w:t>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评审项</w:t>
            </w:r>
            <w:r/>
          </w:p>
        </w:tc>
        <w:tc>
          <w:tcPr>
            <w:tcW w:w="46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评审规则</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分值（分）</w:t>
            </w:r>
            <w:r/>
          </w:p>
        </w:tc>
      </w:tr>
      <w:tr>
        <w:trPr>
          <w:trHeight w:val="113"/>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宋体"/>
                <w:b/>
                <w:sz w:val="24"/>
                <w:szCs w:val="24"/>
              </w:rPr>
              <w:t xml:space="preserve">价格部分</w:t>
            </w:r>
            <w:r/>
          </w:p>
          <w:p>
            <w:pPr>
              <w:ind w:left="0" w:right="0"/>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30</w:t>
            </w:r>
            <w:r>
              <w:rPr>
                <w:rFonts w:hint="eastAsia" w:ascii="宋体" w:hAnsi="宋体" w:eastAsia="宋体" w:cs="宋体"/>
                <w:b/>
                <w:sz w:val="24"/>
                <w:szCs w:val="24"/>
              </w:rPr>
              <w:t xml:space="preserve">分）</w:t>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投标报价</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第一步：投标报价低于或等于预算价格（或最高限价）的，为有效投标报价。超预算（或最高限价）的投标报价为无效投标报价。</w:t>
            </w:r>
            <w:r/>
          </w:p>
          <w:p>
            <w:pPr>
              <w:ind w:left="0" w:right="0"/>
              <w:keepLines w:val="0"/>
              <w:keepNext w:val="0"/>
              <w:spacing w:before="0" w:beforeAutospacing="0" w:after="0" w:afterAutospacing="0" w:line="360" w:lineRule="auto"/>
              <w:widowControl w:val="off"/>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ight="0"/>
              <w:keepLines w:val="0"/>
              <w:keepNext w:val="0"/>
              <w:spacing w:before="0" w:beforeAutospacing="0" w:after="0" w:afterAutospacing="0" w:line="360" w:lineRule="auto"/>
              <w:widowControl/>
              <w:rPr>
                <w:rFonts w:hint="eastAsia" w:ascii="宋体" w:hAnsi="宋体" w:eastAsia="宋体" w:cs="宋体"/>
                <w:b/>
                <w:sz w:val="24"/>
                <w:szCs w:val="24"/>
                <w:lang w:bidi="ar"/>
              </w:rPr>
              <w:suppressLineNumbers w:val="0"/>
            </w:pPr>
            <w:r>
              <w:rPr>
                <w:rFonts w:hint="eastAsia" w:ascii="宋体" w:hAnsi="宋体" w:eastAsia="宋体" w:cs="宋体"/>
                <w:sz w:val="24"/>
                <w:szCs w:val="24"/>
                <w:lang w:bidi="ar"/>
              </w:rPr>
              <w:t xml:space="preserve">投标报价得分＝（评标基准价/投标报价）×</w:t>
            </w:r>
            <w:r>
              <w:rPr>
                <w:rFonts w:hint="eastAsia" w:ascii="宋体" w:hAnsi="宋体" w:eastAsia="宋体" w:cs="宋体"/>
                <w:sz w:val="24"/>
                <w:szCs w:val="24"/>
                <w:lang w:val="en-US" w:eastAsia="zh-CN" w:bidi="ar"/>
              </w:rPr>
              <w:t xml:space="preserve">30%</w:t>
            </w:r>
            <w:r>
              <w:rPr>
                <w:rFonts w:hint="eastAsia" w:ascii="宋体" w:hAnsi="宋体" w:eastAsia="宋体" w:cs="宋体"/>
                <w:sz w:val="24"/>
                <w:szCs w:val="24"/>
                <w:lang w:bidi="ar"/>
              </w:rPr>
              <w:t xml:space="preserve">×100</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bidi="ar"/>
              </w:rPr>
              <w:t xml:space="preserve">30</w:t>
            </w:r>
            <w:r/>
          </w:p>
        </w:tc>
      </w:tr>
      <w:tr>
        <w:trPr>
          <w:trHeight w:val="113"/>
        </w:trPr>
        <w:tc>
          <w:tcPr>
            <w:tcW w:w="141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宋体"/>
                <w:b/>
                <w:sz w:val="24"/>
                <w:szCs w:val="24"/>
              </w:rPr>
              <w:t xml:space="preserve">技术及商务部分</w:t>
            </w:r>
            <w:r/>
          </w:p>
          <w:p>
            <w:pPr>
              <w:ind w:left="0" w:right="0"/>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0分）</w:t>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产品功能、性能、配置要求</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bidi="ar"/>
              </w:rPr>
              <w:t xml:space="preserve">所投设备的技术参数满足或高于招标文件要求的得</w:t>
            </w:r>
            <w:r>
              <w:rPr>
                <w:rFonts w:hint="eastAsia" w:ascii="宋体" w:hAnsi="宋体" w:eastAsia="宋体" w:cs="宋体"/>
                <w:sz w:val="24"/>
                <w:szCs w:val="24"/>
                <w:lang w:val="en-US" w:eastAsia="zh-CN" w:bidi="ar"/>
              </w:rPr>
              <w:t xml:space="preserve">1</w:t>
            </w: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分；打“▲”的为重要技术指标，出现一个负偏离扣1分，其他技术指标出现负偏离，每一个扣0.5分。扣完为止。标注“▲”的参数需按照招标文件要求提供相应检测报告证明材料，其余技术参数可提供投标单位盖章的技术参数响应及偏离表。</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p>
        </w:tc>
      </w:tr>
      <w:tr>
        <w:trPr>
          <w:trHeight w:val="113"/>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类似业绩</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sz w:val="24"/>
                <w:szCs w:val="24"/>
                <w:lang w:eastAsia="zh-CN" w:bidi="ar"/>
              </w:rPr>
              <w:suppressLineNumbers w:val="0"/>
            </w:pPr>
            <w:r>
              <w:rPr>
                <w:rFonts w:hint="eastAsia" w:ascii="宋体" w:hAnsi="宋体" w:eastAsia="宋体" w:cs="宋体"/>
                <w:sz w:val="24"/>
                <w:szCs w:val="24"/>
                <w:lang w:bidi="ar"/>
              </w:rPr>
              <w:t xml:space="preserve">投标人自2023年1月1日</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以合同签订日期为准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以来，具有与本项目类似业绩</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每提供一份得</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bidi="ar"/>
              </w:rPr>
              <w:t xml:space="preserve">分，最高</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分。日期以合同签订日期为准。合同内容完整，签字盖章齐全且清晰可见</w:t>
            </w:r>
            <w:r>
              <w:rPr>
                <w:rFonts w:hint="eastAsia" w:ascii="宋体" w:hAnsi="宋体" w:eastAsia="宋体" w:cs="宋体"/>
                <w:sz w:val="24"/>
                <w:szCs w:val="24"/>
                <w:lang w:eastAsia="zh-CN" w:bidi="ar"/>
              </w:rPr>
              <w:t xml:space="preserve">。</w:t>
            </w:r>
            <w:r/>
          </w:p>
          <w:p>
            <w:pPr>
              <w:ind w:left="0" w:right="0"/>
              <w:keepLines w:val="0"/>
              <w:keepNext w:val="0"/>
              <w:spacing w:before="0" w:beforeAutospacing="0" w:after="0" w:afterAutospacing="0" w:line="360" w:lineRule="auto"/>
              <w:widowControl w:val="off"/>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投标文件中提供业绩合同扫描件和验收</w:t>
            </w:r>
            <w:r>
              <w:rPr>
                <w:rFonts w:hint="eastAsia" w:ascii="宋体" w:hAnsi="宋体" w:eastAsia="宋体" w:cs="宋体"/>
                <w:sz w:val="24"/>
                <w:szCs w:val="24"/>
                <w:lang w:val="en-US" w:eastAsia="zh-CN" w:bidi="ar"/>
              </w:rPr>
              <w:t xml:space="preserve">合格</w:t>
            </w:r>
            <w:r>
              <w:rPr>
                <w:rFonts w:hint="eastAsia" w:ascii="宋体" w:hAnsi="宋体" w:eastAsia="宋体" w:cs="宋体"/>
                <w:sz w:val="24"/>
                <w:szCs w:val="24"/>
                <w:lang w:bidi="ar"/>
              </w:rPr>
              <w:t xml:space="preserve">证明（验收报告）扫描件（</w:t>
            </w:r>
            <w:r>
              <w:rPr>
                <w:rFonts w:hint="eastAsia" w:ascii="宋体" w:hAnsi="宋体" w:eastAsia="宋体" w:cs="宋体"/>
                <w:sz w:val="24"/>
                <w:szCs w:val="24"/>
                <w:lang w:val="en-US" w:eastAsia="zh-CN" w:bidi="ar"/>
              </w:rPr>
              <w:t xml:space="preserve">两</w:t>
            </w:r>
            <w:r>
              <w:rPr>
                <w:rFonts w:hint="eastAsia" w:ascii="宋体" w:hAnsi="宋体" w:eastAsia="宋体" w:cs="宋体"/>
                <w:sz w:val="24"/>
                <w:szCs w:val="24"/>
                <w:lang w:bidi="ar"/>
              </w:rPr>
              <w:t xml:space="preserve">者须同时具备，否则不得分，内容不清晰或未提供的不得分）。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3</w:t>
            </w:r>
            <w:r/>
          </w:p>
        </w:tc>
      </w:tr>
      <w:tr>
        <w:trPr>
          <w:trHeight w:val="78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bidi="ar"/>
              </w:rPr>
              <w:t xml:space="preserve">指挥中心改造的设计方案</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b w:val="0"/>
                <w:bCs/>
                <w:sz w:val="24"/>
                <w:szCs w:val="24"/>
                <w:lang w:bidi="ar"/>
              </w:rPr>
              <w:suppressLineNumbers w:val="0"/>
            </w:pPr>
            <w:r>
              <w:rPr>
                <w:rFonts w:hint="eastAsia" w:ascii="宋体" w:hAnsi="宋体" w:eastAsia="宋体" w:cs="宋体"/>
                <w:b w:val="0"/>
                <w:bCs/>
                <w:sz w:val="24"/>
                <w:szCs w:val="24"/>
                <w:lang w:bidi="ar"/>
              </w:rPr>
              <w:t xml:space="preserve">根据投标人所提供的指挥中心改造的设计方案（平面布置图及效果图等）综合进行评审： 深化设计详尽且规范、美观，切实符合用户实际需求的得</w:t>
            </w:r>
            <w:r>
              <w:rPr>
                <w:rFonts w:hint="eastAsia" w:ascii="宋体" w:hAnsi="宋体" w:eastAsia="宋体" w:cs="宋体"/>
                <w:b w:val="0"/>
                <w:bCs/>
                <w:sz w:val="24"/>
                <w:szCs w:val="24"/>
                <w:lang w:val="en-US" w:eastAsia="zh-CN" w:bidi="ar"/>
              </w:rPr>
              <w:t xml:space="preserve">10</w:t>
            </w:r>
            <w:r>
              <w:rPr>
                <w:rFonts w:hint="eastAsia" w:ascii="宋体" w:hAnsi="宋体" w:eastAsia="宋体" w:cs="宋体"/>
                <w:b w:val="0"/>
                <w:bCs/>
                <w:sz w:val="24"/>
                <w:szCs w:val="24"/>
                <w:lang w:bidi="ar"/>
              </w:rPr>
              <w:t xml:space="preserve"> 分； 深化设计较规范、美观、基本符合现场实际情况无遗漏的得</w:t>
            </w:r>
            <w:r>
              <w:rPr>
                <w:rFonts w:hint="eastAsia" w:ascii="宋体" w:hAnsi="宋体" w:eastAsia="宋体" w:cs="宋体"/>
                <w:b w:val="0"/>
                <w:bCs/>
                <w:sz w:val="24"/>
                <w:szCs w:val="24"/>
                <w:lang w:val="en-US" w:eastAsia="zh-CN" w:bidi="ar"/>
              </w:rPr>
              <w:t xml:space="preserve">6</w:t>
            </w:r>
            <w:r>
              <w:rPr>
                <w:rFonts w:hint="eastAsia" w:ascii="宋体" w:hAnsi="宋体" w:eastAsia="宋体" w:cs="宋体"/>
                <w:b w:val="0"/>
                <w:bCs/>
                <w:sz w:val="24"/>
                <w:szCs w:val="24"/>
                <w:lang w:bidi="ar"/>
              </w:rPr>
              <w:t xml:space="preserve"> 分； 深化设计基本规范的得 </w:t>
            </w:r>
            <w:r>
              <w:rPr>
                <w:rFonts w:hint="eastAsia" w:ascii="宋体" w:hAnsi="宋体" w:eastAsia="宋体" w:cs="宋体"/>
                <w:b w:val="0"/>
                <w:bCs/>
                <w:sz w:val="24"/>
                <w:szCs w:val="24"/>
                <w:lang w:val="en-US" w:eastAsia="zh-CN" w:bidi="ar"/>
              </w:rPr>
              <w:t xml:space="preserve">2</w:t>
            </w:r>
            <w:r>
              <w:rPr>
                <w:rFonts w:hint="eastAsia" w:ascii="宋体" w:hAnsi="宋体" w:eastAsia="宋体" w:cs="宋体"/>
                <w:b w:val="0"/>
                <w:bCs/>
                <w:sz w:val="24"/>
                <w:szCs w:val="24"/>
                <w:lang w:bidi="ar"/>
              </w:rPr>
              <w:t xml:space="preserve"> 分。缺项或未提供不得分。 </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sz w:val="24"/>
                <w:szCs w:val="24"/>
                <w:lang w:val="en-US" w:eastAsia="zh-CN"/>
              </w:rPr>
              <w:suppressLineNumbers w:val="0"/>
            </w:pPr>
            <w:r>
              <w:rPr>
                <w:rFonts w:hint="eastAsia" w:ascii="宋体" w:hAnsi="宋体" w:eastAsia="宋体" w:cs="宋体"/>
                <w:b w:val="0"/>
                <w:bCs/>
                <w:sz w:val="24"/>
                <w:szCs w:val="24"/>
                <w:lang w:val="en-US" w:eastAsia="zh-CN"/>
              </w:rPr>
              <w:t xml:space="preserve">10</w:t>
            </w:r>
            <w:r/>
          </w:p>
        </w:tc>
      </w:tr>
      <w:tr>
        <w:trPr>
          <w:trHeight w:val="78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b w:val="0"/>
                <w:bCs/>
                <w:sz w:val="24"/>
                <w:szCs w:val="24"/>
                <w:lang w:bidi="ar"/>
              </w:rPr>
              <w:t xml:space="preserve">核心产品控制台的设计</w:t>
            </w:r>
            <w:r>
              <w:rPr>
                <w:rFonts w:hint="eastAsia" w:ascii="宋体" w:hAnsi="宋体" w:eastAsia="宋体" w:cs="宋体"/>
                <w:b w:val="0"/>
                <w:bCs/>
                <w:sz w:val="24"/>
                <w:szCs w:val="24"/>
                <w:lang w:val="en-US" w:eastAsia="zh-CN" w:bidi="ar"/>
              </w:rPr>
              <w:t xml:space="preserve">图纸比较</w:t>
            </w:r>
            <w:r/>
          </w:p>
        </w:tc>
        <w:tc>
          <w:tcPr>
            <w:tcW w:w="4678" w:type="dxa"/>
            <w:vAlign w:val="center"/>
            <w:textDirection w:val="lrTb"/>
            <w:noWrap w:val="false"/>
          </w:tcPr>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lang w:bidi="ar"/>
              </w:rPr>
              <w:suppressLineNumbers w:val="0"/>
            </w:pPr>
            <w:r>
              <w:rPr>
                <w:rFonts w:hint="eastAsia" w:ascii="宋体" w:hAnsi="宋体" w:eastAsia="宋体" w:cs="宋体"/>
                <w:b w:val="0"/>
                <w:bCs/>
                <w:sz w:val="24"/>
                <w:szCs w:val="24"/>
                <w:lang w:bidi="ar"/>
              </w:rPr>
              <w:t xml:space="preserve">根据投标人所提供核心产品控制台的设计图纸（轮廓线条图、三视图、部件分解图、用料说明、彩图及实物图</w:t>
            </w:r>
            <w:r>
              <w:rPr>
                <w:rFonts w:hint="eastAsia" w:ascii="宋体" w:hAnsi="宋体" w:cs="宋体"/>
                <w:b w:val="0"/>
                <w:bCs/>
                <w:sz w:val="24"/>
                <w:szCs w:val="24"/>
                <w:lang w:val="en-US" w:eastAsia="zh-CN" w:bidi="ar"/>
              </w:rPr>
              <w:t xml:space="preserve">等</w:t>
            </w:r>
            <w:r>
              <w:rPr>
                <w:rFonts w:hint="eastAsia" w:ascii="宋体" w:hAnsi="宋体" w:eastAsia="宋体" w:cs="宋体"/>
                <w:b w:val="0"/>
                <w:bCs/>
                <w:sz w:val="24"/>
                <w:szCs w:val="24"/>
                <w:lang w:bidi="ar"/>
              </w:rPr>
              <w:t xml:space="preserve">）综合进行评审：外观设计造型优美、内部结构科学、颜色搭配合理的得</w:t>
            </w:r>
            <w:r>
              <w:rPr>
                <w:rFonts w:hint="eastAsia" w:ascii="宋体" w:hAnsi="宋体" w:eastAsia="宋体" w:cs="宋体"/>
                <w:b w:val="0"/>
                <w:bCs/>
                <w:sz w:val="24"/>
                <w:szCs w:val="24"/>
                <w:lang w:val="en-US" w:eastAsia="zh-CN" w:bidi="ar"/>
              </w:rPr>
              <w:t xml:space="preserve">10</w:t>
            </w:r>
            <w:r>
              <w:rPr>
                <w:rFonts w:hint="eastAsia" w:ascii="宋体" w:hAnsi="宋体" w:eastAsia="宋体" w:cs="宋体"/>
                <w:b w:val="0"/>
                <w:bCs/>
                <w:sz w:val="24"/>
                <w:szCs w:val="24"/>
                <w:lang w:bidi="ar"/>
              </w:rPr>
              <w:t xml:space="preserve"> 分，外观设计造型合理、内部结构较科学、颜色搭配一般的得</w:t>
            </w:r>
            <w:r>
              <w:rPr>
                <w:rFonts w:hint="eastAsia" w:ascii="宋体" w:hAnsi="宋体" w:eastAsia="宋体" w:cs="宋体"/>
                <w:b w:val="0"/>
                <w:bCs/>
                <w:sz w:val="24"/>
                <w:szCs w:val="24"/>
                <w:lang w:val="en-US" w:eastAsia="zh-CN" w:bidi="ar"/>
              </w:rPr>
              <w:t xml:space="preserve">6</w:t>
            </w:r>
            <w:r>
              <w:rPr>
                <w:rFonts w:hint="eastAsia" w:ascii="宋体" w:hAnsi="宋体" w:eastAsia="宋体" w:cs="宋体"/>
                <w:b w:val="0"/>
                <w:bCs/>
                <w:sz w:val="24"/>
                <w:szCs w:val="24"/>
                <w:lang w:bidi="ar"/>
              </w:rPr>
              <w:t xml:space="preserve"> 分，外观设计普通、内部结构基本满足项目需求、颜色搭配较差的得 </w:t>
            </w:r>
            <w:r>
              <w:rPr>
                <w:rFonts w:hint="eastAsia" w:ascii="宋体" w:hAnsi="宋体" w:eastAsia="宋体" w:cs="宋体"/>
                <w:b w:val="0"/>
                <w:bCs/>
                <w:sz w:val="24"/>
                <w:szCs w:val="24"/>
                <w:lang w:val="en-US" w:eastAsia="zh-CN" w:bidi="ar"/>
              </w:rPr>
              <w:t xml:space="preserve">2</w:t>
            </w:r>
            <w:r>
              <w:rPr>
                <w:rFonts w:hint="eastAsia" w:ascii="宋体" w:hAnsi="宋体" w:eastAsia="宋体" w:cs="宋体"/>
                <w:b w:val="0"/>
                <w:bCs/>
                <w:sz w:val="24"/>
                <w:szCs w:val="24"/>
                <w:lang w:bidi="ar"/>
              </w:rPr>
              <w:t xml:space="preserve">分，缺项或未提供不得分。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r>
      <w:tr>
        <w:trPr>
          <w:trHeight w:val="328"/>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项目实施方案</w:t>
            </w:r>
            <w:r/>
          </w:p>
        </w:tc>
        <w:tc>
          <w:tcPr>
            <w:tcW w:w="4678" w:type="dxa"/>
            <w:vAlign w:val="center"/>
            <w:textDirection w:val="lrTb"/>
            <w:noWrap w:val="false"/>
          </w:tcPr>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的项目实施方案（实施方案应包括组织实施保证措施、时间进度计划、质量管控措施、协调配合能力、应急保证措施、配送和安装方案等几方面内容）进行评审。</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（1）方案内容清晰、完整的，措施合理、可行，针对性强，整体方案体现出针对本项目的特殊优化，突出对本项目的理解，得</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分；</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（2）方案较清晰、完整，措施可行性、具备部分针对本项目的优化，得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（3）方案基本全面、清晰，措施基本可行，缺乏对本项目的针对性的，得2分；未提供不得分。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11</w:t>
            </w:r>
            <w:r/>
          </w:p>
        </w:tc>
      </w:tr>
      <w:tr>
        <w:trPr>
          <w:trHeight w:val="274"/>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售后服务方案</w:t>
            </w:r>
            <w:r/>
          </w:p>
        </w:tc>
        <w:tc>
          <w:tcPr>
            <w:tcW w:w="4678" w:type="dxa"/>
            <w:vAlign w:val="center"/>
            <w:textDirection w:val="lrTb"/>
            <w:noWrap w:val="false"/>
          </w:tcPr>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提供的售后服务方案，包括售后服务体系、服务内容、故障解决方案、售后服务承诺（质保期内和质保期外）、售后服务团队规模、故障维修响应时间、到场时间、备件到位时间、配件储备情况以及其他优惠的售后服务措施等综合情况进行</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 </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具备完善的服务体系，故障解决方案可行性强、专门面向本项目，配备技术优秀的专业技术人员和专线售后保障服务电话，得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具备较为完善的服务体系，故障解决方案具备一定实用性、可靠的专业技术人员保障和服务电话的，得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具备基本完善的服务体系，故障解决方案具备一定的缺失性、售后技术人员和售后服务电话出现缺失的，得2分；未提供不得分。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r>
      <w:tr>
        <w:trPr>
          <w:trHeight w:val="29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培训方案</w:t>
            </w:r>
            <w:r/>
          </w:p>
        </w:tc>
        <w:tc>
          <w:tcPr>
            <w:tcW w:w="4678" w:type="dxa"/>
            <w:vAlign w:val="center"/>
            <w:textDirection w:val="lrTb"/>
            <w:noWrap w:val="false"/>
          </w:tcPr>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投标人提供详尽的培训方案，确保使用人员能够独立操作软硬件，内容包括但不限于:培训人数、培训时间、培训内容、培训方式。</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方案科学合理，针对性和合理性强的，得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方案较为科学合理，针对性和合理性较强的，得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865"/>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方案基本满足项目需求的，得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分；未提供方案不得分。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r>
      <w:tr>
        <w:trPr>
          <w:trHeight w:val="977"/>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sz w:val="24"/>
                <w:szCs w:val="24"/>
                <w:lang w:val="en-US" w:eastAsia="zh-CN"/>
              </w:rPr>
              <w:suppressLineNumbers w:val="0"/>
            </w:pPr>
            <w:r>
              <w:rPr>
                <w:rFonts w:hint="default" w:ascii="宋体" w:hAnsi="宋体" w:eastAsia="宋体" w:cs="宋体"/>
                <w:bCs/>
                <w:sz w:val="24"/>
                <w:szCs w:val="24"/>
                <w:lang w:val="en-US" w:eastAsia="zh-CN"/>
              </w:rPr>
              <w:t xml:space="preserve">系统割接方案</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b/>
                <w:sz w:val="24"/>
                <w:szCs w:val="24"/>
                <w:lang w:val="zh-CN" w:bidi="zh-CN"/>
              </w:rPr>
              <w:suppressLineNumbers w:val="0"/>
            </w:pPr>
            <w:r>
              <w:rPr>
                <w:rFonts w:hint="eastAsia" w:ascii="宋体" w:hAnsi="宋体" w:eastAsia="宋体" w:cs="宋体"/>
                <w:b w:val="0"/>
                <w:bCs/>
                <w:sz w:val="24"/>
                <w:szCs w:val="24"/>
                <w:lang w:val="zh-CN" w:bidi="zh-CN"/>
              </w:rPr>
              <w:t xml:space="preserve">方案完整覆盖现状摸排、风险管控、分系统割接、数据保障、应急回退、错峰施工、分段切换贴合交通业务场景，无业务中断风险、落地性极强得</w:t>
            </w:r>
            <w:r>
              <w:rPr>
                <w:rFonts w:hint="eastAsia" w:ascii="宋体" w:hAnsi="宋体" w:cs="宋体"/>
                <w:b w:val="0"/>
                <w:bCs/>
                <w:sz w:val="24"/>
                <w:szCs w:val="24"/>
                <w:lang w:val="en-US" w:bidi="zh-CN"/>
              </w:rPr>
              <w:t xml:space="preserve">7</w:t>
            </w:r>
            <w:r>
              <w:rPr>
                <w:rFonts w:hint="eastAsia" w:ascii="宋体" w:hAnsi="宋体" w:eastAsia="宋体" w:cs="宋体"/>
                <w:b w:val="0"/>
                <w:bCs/>
                <w:sz w:val="24"/>
                <w:szCs w:val="24"/>
                <w:lang w:val="zh-CN" w:bidi="zh-CN"/>
              </w:rPr>
              <w:t xml:space="preserve">分；方案常规、保障措施简单，仅基础满足要求得3分；</w:t>
            </w:r>
            <w:r>
              <w:rPr>
                <w:rFonts w:hint="eastAsia" w:ascii="宋体" w:hAnsi="宋体" w:cs="宋体"/>
                <w:b w:val="0"/>
                <w:bCs/>
                <w:sz w:val="24"/>
                <w:szCs w:val="24"/>
                <w:lang w:val="en-US" w:bidi="zh-CN"/>
              </w:rPr>
              <w:t xml:space="preserve">方案较差，</w:t>
            </w:r>
            <w:r>
              <w:rPr>
                <w:rFonts w:hint="eastAsia" w:ascii="宋体" w:hAnsi="宋体" w:eastAsia="宋体" w:cs="宋体"/>
                <w:b w:val="0"/>
                <w:bCs/>
                <w:sz w:val="24"/>
                <w:szCs w:val="24"/>
                <w:lang w:val="zh-CN" w:bidi="zh-CN"/>
              </w:rPr>
              <w:t xml:space="preserve">不间断保障措施</w:t>
            </w:r>
            <w:r>
              <w:rPr>
                <w:rFonts w:hint="eastAsia" w:ascii="宋体" w:hAnsi="宋体" w:cs="宋体"/>
                <w:b w:val="0"/>
                <w:bCs/>
                <w:sz w:val="24"/>
                <w:szCs w:val="24"/>
                <w:lang w:val="en-US" w:bidi="zh-CN"/>
              </w:rPr>
              <w:t xml:space="preserve">落地性差得1分。未提供方案</w:t>
            </w:r>
            <w:r>
              <w:rPr>
                <w:rFonts w:hint="eastAsia" w:ascii="宋体" w:hAnsi="宋体" w:eastAsia="宋体" w:cs="宋体"/>
                <w:b w:val="0"/>
                <w:bCs/>
                <w:sz w:val="24"/>
                <w:szCs w:val="24"/>
                <w:lang w:val="zh-CN" w:bidi="zh-CN"/>
              </w:rPr>
              <w:t xml:space="preserve">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cs="宋体"/>
                <w:sz w:val="24"/>
                <w:szCs w:val="24"/>
                <w:highlight w:val="none"/>
                <w:lang w:val="en-US" w:eastAsia="zh-CN"/>
              </w:rPr>
              <w:t xml:space="preserve">7</w:t>
            </w:r>
            <w:r/>
          </w:p>
        </w:tc>
      </w:tr>
    </w:tbl>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sectPr>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8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8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8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lang w:eastAsia="zh-CN"/>
      </w:rPr>
      <w:t xml:space="preserve">苏州市永诚建设咨询有限公司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both"/>
      <w:pBdr>
        <w:bottom w:val="single" w:color="auto" w:sz="4" w:space="0"/>
      </w:pBdr>
    </w:pPr>
    <w:r>
      <w:rPr>
        <w:rFonts w:ascii="宋体" w:hAnsi="宋体"/>
        <w:sz w:val="18"/>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uiPriority w:val="0"/>
    <w:qFormat/>
    <w:pPr>
      <w:ind w:left="1024"/>
      <w:jc w:val="both"/>
    </w:pPr>
    <w:rPr>
      <w:rFonts w:hint="default" w:ascii="Calibri" w:hAnsi="Calibri" w:eastAsia="宋体" w:cs="宋体"/>
    </w:rPr>
  </w:style>
  <w:style w:type="paragraph" w:styleId="839">
    <w:name w:val="Heading 1"/>
    <w:basedOn w:val="850"/>
    <w:next w:val="838"/>
    <w:uiPriority w:val="0"/>
    <w:qFormat/>
    <w:pPr>
      <w:ind w:left="432" w:firstLine="18"/>
      <w:spacing w:before="340" w:after="330" w:line="578" w:lineRule="auto"/>
      <w:outlineLvl w:val="0"/>
    </w:pPr>
  </w:style>
  <w:style w:type="paragraph" w:styleId="840">
    <w:name w:val="Heading 2"/>
    <w:basedOn w:val="838"/>
    <w:next w:val="838"/>
    <w:uiPriority w:val="0"/>
    <w:qFormat/>
    <w:pPr>
      <w:ind w:left="576" w:firstLine="24"/>
      <w:spacing w:before="260" w:after="260" w:line="416" w:lineRule="auto"/>
      <w:outlineLvl w:val="1"/>
    </w:pPr>
    <w:rPr>
      <w:rFonts w:ascii="Times New Roman" w:hAnsi="Times New Roman" w:cs="Times New Roman"/>
    </w:rPr>
  </w:style>
  <w:style w:type="paragraph" w:styleId="841">
    <w:name w:val="Heading 3"/>
    <w:basedOn w:val="838"/>
    <w:next w:val="851"/>
    <w:uiPriority w:val="0"/>
    <w:qFormat/>
    <w:pPr>
      <w:ind w:left="720"/>
      <w:spacing w:before="260" w:after="260" w:line="416" w:lineRule="auto"/>
      <w:outlineLvl w:val="2"/>
    </w:pPr>
    <w:rPr>
      <w:rFonts w:ascii="Times New Roman" w:hAnsi="Times New Roman" w:cs="Times New Roman"/>
    </w:rPr>
  </w:style>
  <w:style w:type="paragraph" w:styleId="842">
    <w:name w:val="Heading 4"/>
    <w:basedOn w:val="839"/>
    <w:next w:val="838"/>
    <w:uiPriority w:val="0"/>
    <w:qFormat/>
    <w:pPr>
      <w:ind w:left="864" w:firstLine="24"/>
      <w:spacing w:before="280" w:after="290" w:line="376" w:lineRule="auto"/>
      <w:outlineLvl w:val="3"/>
    </w:pPr>
    <w:rPr>
      <w:rFonts w:ascii="Times New Roman" w:hAnsi="Times New Roman" w:cs="Times New Roman"/>
    </w:rPr>
  </w:style>
  <w:style w:type="paragraph" w:styleId="843">
    <w:name w:val="Heading 5"/>
    <w:basedOn w:val="839"/>
    <w:next w:val="838"/>
    <w:uiPriority w:val="0"/>
    <w:qFormat/>
    <w:pPr>
      <w:ind w:left="1008"/>
      <w:spacing w:before="280" w:after="290" w:line="376" w:lineRule="auto"/>
      <w:outlineLvl w:val="4"/>
    </w:pPr>
    <w:rPr>
      <w:rFonts w:ascii="Times New Roman" w:hAnsi="Times New Roman" w:cs="Times New Roman"/>
    </w:rPr>
  </w:style>
  <w:style w:type="paragraph" w:styleId="844">
    <w:name w:val="Heading 6"/>
    <w:basedOn w:val="839"/>
    <w:next w:val="838"/>
    <w:uiPriority w:val="0"/>
    <w:qFormat/>
    <w:pPr>
      <w:ind w:left="1152" w:firstLine="20"/>
      <w:spacing w:before="240" w:after="64" w:line="320" w:lineRule="auto"/>
      <w:outlineLvl w:val="5"/>
    </w:pPr>
    <w:rPr>
      <w:rFonts w:ascii="Times New Roman" w:hAnsi="Times New Roman" w:cs="Times New Roman"/>
    </w:rPr>
  </w:style>
  <w:style w:type="paragraph" w:styleId="845">
    <w:name w:val="Heading 7"/>
    <w:basedOn w:val="839"/>
    <w:next w:val="838"/>
    <w:uiPriority w:val="0"/>
    <w:qFormat/>
    <w:pPr>
      <w:ind w:left="1296" w:firstLine="14"/>
      <w:spacing w:before="240" w:after="64" w:line="320" w:lineRule="auto"/>
      <w:outlineLvl w:val="6"/>
    </w:pPr>
    <w:rPr>
      <w:rFonts w:ascii="Times New Roman" w:hAnsi="Times New Roman" w:cs="Times New Roman"/>
    </w:rPr>
  </w:style>
  <w:style w:type="paragraph" w:styleId="846">
    <w:name w:val="Heading 8"/>
    <w:basedOn w:val="839"/>
    <w:next w:val="838"/>
    <w:uiPriority w:val="0"/>
    <w:qFormat/>
    <w:pPr>
      <w:ind w:left="1440"/>
      <w:spacing w:before="240" w:after="64" w:line="320" w:lineRule="auto"/>
      <w:outlineLvl w:val="7"/>
    </w:pPr>
    <w:rPr>
      <w:rFonts w:ascii="Times New Roman" w:hAnsi="Times New Roman" w:cs="Times New Roman"/>
    </w:rPr>
  </w:style>
  <w:style w:type="paragraph" w:styleId="847">
    <w:name w:val="Heading 9"/>
    <w:basedOn w:val="839"/>
    <w:next w:val="838"/>
    <w:uiPriority w:val="0"/>
    <w:qFormat/>
    <w:pPr>
      <w:ind w:left="1584" w:firstLine="22"/>
      <w:spacing w:before="240" w:after="64" w:line="320" w:lineRule="auto"/>
      <w:outlineLvl w:val="8"/>
    </w:pPr>
    <w:rPr>
      <w:rFonts w:ascii="Times New Roman" w:hAnsi="Times New Roman" w:cs="Times New Roman"/>
    </w:rPr>
  </w:style>
  <w:style w:type="character" w:styleId="848" w:default="1">
    <w:name w:val="Default Paragraph Font"/>
    <w:uiPriority w:val="1"/>
    <w:semiHidden/>
    <w:unhideWhenUsed/>
    <w:qFormat/>
  </w:style>
  <w:style w:type="table" w:styleId="84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0">
    <w:name w:val="Block Text"/>
    <w:basedOn w:val="838"/>
    <w:uiPriority w:val="0"/>
    <w:qFormat/>
    <w:pPr>
      <w:ind w:left="420" w:right="33" w:firstLine="2560"/>
      <w:spacing w:before="0" w:after="0" w:line="240" w:lineRule="auto"/>
    </w:pPr>
    <w:rPr>
      <w:rFonts w:ascii="Times New Roman" w:hAnsi="Times New Roman" w:cs="Times New Roman"/>
    </w:rPr>
  </w:style>
  <w:style w:type="paragraph" w:styleId="851" w:customStyle="1">
    <w:name w:val="正文2"/>
    <w:basedOn w:val="838"/>
    <w:next w:val="838"/>
    <w:uiPriority w:val="0"/>
    <w:qFormat/>
    <w:pPr>
      <w:ind w:left="0" w:hanging="2155"/>
      <w:spacing w:line="360" w:lineRule="auto"/>
      <w:shd w:val="clear" w:color="auto" w:fill="ffffff"/>
    </w:pPr>
    <w:rPr>
      <w:rFonts w:ascii="宋体" w:hAnsi="宋体"/>
    </w:rPr>
  </w:style>
  <w:style w:type="paragraph" w:styleId="852">
    <w:name w:val="toc 7"/>
    <w:basedOn w:val="839"/>
    <w:next w:val="838"/>
    <w:uiPriority w:val="0"/>
    <w:qFormat/>
    <w:pPr>
      <w:ind w:left="1640" w:firstLine="3784"/>
      <w:spacing w:before="0" w:after="0" w:line="360" w:lineRule="auto"/>
    </w:pPr>
    <w:rPr>
      <w:rFonts w:ascii="Times New Roman" w:hAnsi="Times New Roman" w:cs="Times New Roman"/>
    </w:rPr>
  </w:style>
  <w:style w:type="paragraph" w:styleId="853">
    <w:name w:val="List Bullet 4"/>
    <w:basedOn w:val="839"/>
    <w:next w:val="854"/>
    <w:uiPriority w:val="0"/>
    <w:qFormat/>
    <w:pPr>
      <w:ind w:left="1620" w:firstLine="2652"/>
      <w:spacing w:before="0" w:after="0" w:line="360" w:lineRule="auto"/>
    </w:pPr>
    <w:rPr>
      <w:rFonts w:ascii="Times New Roman" w:hAnsi="Times New Roman" w:cs="Times New Roman"/>
    </w:rPr>
  </w:style>
  <w:style w:type="paragraph" w:styleId="854">
    <w:name w:val="List Bullet 2"/>
    <w:basedOn w:val="839"/>
    <w:next w:val="838"/>
    <w:uiPriority w:val="0"/>
    <w:qFormat/>
    <w:pPr>
      <w:ind w:left="900" w:firstLine="2652"/>
      <w:spacing w:before="0" w:after="0" w:line="360" w:lineRule="auto"/>
    </w:pPr>
    <w:rPr>
      <w:rFonts w:ascii="Times New Roman" w:hAnsi="Times New Roman" w:cs="Times New Roman"/>
    </w:rPr>
  </w:style>
  <w:style w:type="paragraph" w:styleId="855">
    <w:name w:val="List Number"/>
    <w:basedOn w:val="839"/>
    <w:next w:val="838"/>
    <w:uiPriority w:val="0"/>
    <w:qFormat/>
    <w:pPr>
      <w:ind w:left="454" w:firstLine="2788"/>
      <w:spacing w:before="0" w:after="0" w:line="240" w:lineRule="auto"/>
    </w:pPr>
    <w:rPr>
      <w:rFonts w:ascii="Times New Roman" w:hAnsi="Times New Roman" w:cs="Times New Roman"/>
    </w:rPr>
  </w:style>
  <w:style w:type="paragraph" w:styleId="856">
    <w:name w:val="Normal Indent"/>
    <w:basedOn w:val="838"/>
    <w:next w:val="838"/>
    <w:link w:val="1055"/>
    <w:uiPriority w:val="0"/>
    <w:qFormat/>
    <w:pPr>
      <w:ind w:left="420" w:firstLine="4772"/>
    </w:pPr>
  </w:style>
  <w:style w:type="paragraph" w:styleId="857">
    <w:name w:val="Caption"/>
    <w:basedOn w:val="839"/>
    <w:next w:val="838"/>
    <w:uiPriority w:val="0"/>
    <w:qFormat/>
    <w:pPr>
      <w:ind w:left="200" w:firstLine="2248"/>
      <w:jc w:val="center"/>
      <w:spacing w:before="0" w:after="0" w:line="240" w:lineRule="auto"/>
    </w:pPr>
    <w:rPr>
      <w:rFonts w:ascii="Times New Roman" w:hAnsi="Times New Roman" w:cs="Times New Roman"/>
    </w:rPr>
  </w:style>
  <w:style w:type="paragraph" w:styleId="858">
    <w:name w:val="List Bullet"/>
    <w:basedOn w:val="839"/>
    <w:next w:val="838"/>
    <w:uiPriority w:val="0"/>
    <w:qFormat/>
    <w:pPr>
      <w:ind w:left="900" w:firstLine="2652"/>
      <w:spacing w:before="0" w:after="0" w:line="360" w:lineRule="auto"/>
    </w:pPr>
    <w:rPr>
      <w:rFonts w:ascii="Times New Roman" w:hAnsi="Times New Roman" w:cs="Times New Roman"/>
    </w:rPr>
  </w:style>
  <w:style w:type="paragraph" w:styleId="859">
    <w:name w:val="Document Map"/>
    <w:basedOn w:val="839"/>
    <w:next w:val="860"/>
    <w:uiPriority w:val="0"/>
    <w:qFormat/>
    <w:pPr>
      <w:ind w:left="0" w:firstLine="4"/>
      <w:spacing w:before="0" w:after="0" w:line="240" w:lineRule="auto"/>
      <w:shd w:val="clear" w:color="000000" w:fill="000080"/>
    </w:pPr>
    <w:rPr>
      <w:rFonts w:ascii="Times New Roman" w:hAnsi="Times New Roman" w:cs="Times New Roman"/>
    </w:rPr>
  </w:style>
  <w:style w:type="paragraph" w:styleId="860">
    <w:name w:val="annotation subject"/>
    <w:next w:val="838"/>
    <w:uiPriority w:val="0"/>
    <w:qFormat/>
    <w:pPr>
      <w:ind w:firstLine="4608"/>
      <w:spacing w:line="360" w:lineRule="auto"/>
    </w:pPr>
    <w:rPr>
      <w:rFonts w:hint="default" w:ascii="Calibri" w:hAnsi="Calibri" w:eastAsia="宋体" w:cs="宋体"/>
    </w:rPr>
  </w:style>
  <w:style w:type="paragraph" w:styleId="861">
    <w:name w:val="annotation text"/>
    <w:basedOn w:val="839"/>
    <w:next w:val="838"/>
    <w:uiPriority w:val="99"/>
    <w:qFormat/>
    <w:pPr>
      <w:ind w:left="0" w:firstLine="3584"/>
      <w:spacing w:before="0" w:after="0" w:line="360" w:lineRule="auto"/>
    </w:pPr>
    <w:rPr>
      <w:rFonts w:ascii="Times New Roman" w:hAnsi="Times New Roman" w:cs="Times New Roman"/>
    </w:rPr>
  </w:style>
  <w:style w:type="paragraph" w:styleId="862">
    <w:name w:val="Body Text 3"/>
    <w:basedOn w:val="839"/>
    <w:next w:val="838"/>
    <w:uiPriority w:val="0"/>
    <w:qFormat/>
    <w:pPr>
      <w:ind w:left="0" w:firstLine="2048"/>
      <w:spacing w:before="0" w:after="0" w:line="500" w:lineRule="exact"/>
    </w:pPr>
    <w:rPr>
      <w:rFonts w:ascii="Times New Roman" w:hAnsi="Times New Roman" w:cs="Times New Roman"/>
    </w:rPr>
  </w:style>
  <w:style w:type="paragraph" w:styleId="863">
    <w:name w:val="List Bullet 3"/>
    <w:basedOn w:val="839"/>
    <w:next w:val="838"/>
    <w:uiPriority w:val="0"/>
    <w:qFormat/>
    <w:pPr>
      <w:ind w:left="900" w:firstLine="2652"/>
      <w:spacing w:before="0" w:after="0" w:line="360" w:lineRule="auto"/>
    </w:pPr>
    <w:rPr>
      <w:rFonts w:ascii="Times New Roman" w:hAnsi="Times New Roman" w:cs="Times New Roman"/>
    </w:rPr>
  </w:style>
  <w:style w:type="paragraph" w:styleId="864">
    <w:name w:val="Body Text"/>
    <w:basedOn w:val="838"/>
    <w:next w:val="838"/>
    <w:uiPriority w:val="0"/>
    <w:qFormat/>
    <w:pPr>
      <w:ind w:left="0" w:firstLine="2560"/>
    </w:pPr>
    <w:rPr>
      <w:rFonts w:ascii="Times New Roman" w:hAnsi="Times New Roman" w:cs="Times New Roman"/>
    </w:rPr>
  </w:style>
  <w:style w:type="paragraph" w:styleId="865">
    <w:name w:val="Body Text Indent"/>
    <w:basedOn w:val="838"/>
    <w:next w:val="838"/>
    <w:uiPriority w:val="0"/>
    <w:qFormat/>
    <w:pPr>
      <w:ind w:left="420" w:firstLine="1188"/>
      <w:spacing w:line="360" w:lineRule="exact"/>
    </w:pPr>
    <w:rPr>
      <w:rFonts w:ascii="Times New Roman" w:hAnsi="Times New Roman" w:cs="Times New Roman"/>
    </w:rPr>
  </w:style>
  <w:style w:type="paragraph" w:styleId="866">
    <w:name w:val="List Number 3"/>
    <w:basedOn w:val="839"/>
    <w:next w:val="838"/>
    <w:uiPriority w:val="0"/>
    <w:qFormat/>
    <w:pPr>
      <w:ind w:left="420" w:firstLine="3584"/>
      <w:spacing w:before="0" w:after="0" w:line="240" w:lineRule="auto"/>
    </w:pPr>
    <w:rPr>
      <w:rFonts w:ascii="Times New Roman" w:hAnsi="Times New Roman" w:cs="Times New Roman"/>
    </w:rPr>
  </w:style>
  <w:style w:type="paragraph" w:styleId="867">
    <w:name w:val="List 2"/>
    <w:basedOn w:val="839"/>
    <w:next w:val="852"/>
    <w:uiPriority w:val="0"/>
    <w:qFormat/>
    <w:pPr>
      <w:ind w:left="100" w:firstLine="3640"/>
      <w:spacing w:before="0" w:after="0" w:line="240" w:lineRule="auto"/>
    </w:pPr>
    <w:rPr>
      <w:rFonts w:ascii="Times New Roman" w:hAnsi="Times New Roman" w:cs="Times New Roman"/>
    </w:rPr>
  </w:style>
  <w:style w:type="paragraph" w:styleId="868">
    <w:name w:val="toc 5"/>
    <w:basedOn w:val="839"/>
    <w:next w:val="838"/>
    <w:uiPriority w:val="0"/>
    <w:qFormat/>
    <w:pPr>
      <w:ind w:left="1160" w:firstLine="3784"/>
      <w:spacing w:before="0" w:after="0" w:line="360" w:lineRule="auto"/>
    </w:pPr>
    <w:rPr>
      <w:rFonts w:ascii="Times New Roman" w:hAnsi="Times New Roman" w:cs="Times New Roman"/>
    </w:rPr>
  </w:style>
  <w:style w:type="paragraph" w:styleId="869">
    <w:name w:val="toc 3"/>
    <w:basedOn w:val="839"/>
    <w:next w:val="838"/>
    <w:uiPriority w:val="0"/>
    <w:qFormat/>
    <w:pPr>
      <w:ind w:left="0" w:firstLine="1024"/>
      <w:spacing w:before="0" w:after="0" w:line="360" w:lineRule="auto"/>
    </w:pPr>
    <w:rPr>
      <w:rFonts w:ascii="Times New Roman" w:hAnsi="Times New Roman" w:cs="Times New Roman"/>
    </w:rPr>
  </w:style>
  <w:style w:type="paragraph" w:styleId="870">
    <w:name w:val="Plain Text"/>
    <w:basedOn w:val="839"/>
    <w:next w:val="871"/>
    <w:uiPriority w:val="0"/>
    <w:qFormat/>
    <w:pPr>
      <w:ind w:left="0" w:firstLine="2048"/>
      <w:spacing w:before="0" w:after="0" w:line="240" w:lineRule="auto"/>
    </w:pPr>
    <w:rPr>
      <w:rFonts w:ascii="Times New Roman" w:hAnsi="Times New Roman" w:cs="Times New Roman"/>
    </w:rPr>
  </w:style>
  <w:style w:type="paragraph" w:styleId="871">
    <w:name w:val="toc 1"/>
    <w:basedOn w:val="839"/>
    <w:next w:val="838"/>
    <w:uiPriority w:val="39"/>
    <w:qFormat/>
    <w:pPr>
      <w:ind w:left="0" w:firstLine="4608"/>
      <w:spacing w:before="0" w:after="0" w:line="240" w:lineRule="auto"/>
    </w:pPr>
    <w:rPr>
      <w:rFonts w:ascii="Times New Roman" w:hAnsi="Times New Roman" w:cs="Times New Roman"/>
    </w:rPr>
  </w:style>
  <w:style w:type="paragraph" w:styleId="872">
    <w:name w:val="List Bullet 5"/>
    <w:basedOn w:val="839"/>
    <w:next w:val="873"/>
    <w:uiPriority w:val="0"/>
    <w:qFormat/>
    <w:pPr>
      <w:ind w:left="2040" w:firstLine="2560"/>
      <w:spacing w:before="0" w:after="0" w:line="360" w:lineRule="auto"/>
    </w:pPr>
    <w:rPr>
      <w:rFonts w:ascii="Times New Roman" w:hAnsi="Times New Roman" w:cs="Times New Roman"/>
    </w:rPr>
  </w:style>
  <w:style w:type="paragraph" w:styleId="873" w:customStyle="1">
    <w:name w:val="正文首行缩进1"/>
    <w:basedOn w:val="874"/>
    <w:uiPriority w:val="0"/>
    <w:qFormat/>
    <w:pPr>
      <w:ind w:left="420" w:firstLine="2724"/>
      <w:spacing w:after="120" w:line="360" w:lineRule="auto"/>
    </w:pPr>
    <w:rPr>
      <w:rFonts w:hint="default" w:ascii="Calibri" w:hAnsi="Calibri" w:eastAsia="宋体" w:cs="宋体"/>
    </w:rPr>
  </w:style>
  <w:style w:type="paragraph" w:styleId="874" w:customStyle="1">
    <w:name w:val="正文文本1"/>
    <w:basedOn w:val="838"/>
    <w:next w:val="838"/>
    <w:uiPriority w:val="0"/>
    <w:qFormat/>
    <w:pPr>
      <w:jc w:val="left"/>
      <w:spacing w:after="120"/>
    </w:pPr>
    <w:rPr>
      <w:rFonts w:hint="eastAsia" w:ascii="宋体" w:hAnsi="宋体" w:eastAsia="宋体" w:cs="Times New Roman"/>
      <w:sz w:val="22"/>
      <w:szCs w:val="22"/>
    </w:rPr>
  </w:style>
  <w:style w:type="paragraph" w:styleId="875">
    <w:name w:val="toc 8"/>
    <w:basedOn w:val="839"/>
    <w:next w:val="838"/>
    <w:uiPriority w:val="0"/>
    <w:qFormat/>
    <w:pPr>
      <w:ind w:left="1880" w:firstLine="3784"/>
      <w:spacing w:before="0" w:after="0" w:line="360" w:lineRule="auto"/>
    </w:pPr>
    <w:rPr>
      <w:rFonts w:ascii="Times New Roman" w:hAnsi="Times New Roman" w:cs="Times New Roman"/>
    </w:rPr>
  </w:style>
  <w:style w:type="paragraph" w:styleId="876">
    <w:name w:val="Date"/>
    <w:basedOn w:val="839"/>
    <w:next w:val="838"/>
    <w:uiPriority w:val="0"/>
    <w:qFormat/>
    <w:pPr>
      <w:ind w:left="0" w:firstLine="2560"/>
      <w:spacing w:before="0" w:after="0" w:line="240" w:lineRule="auto"/>
    </w:pPr>
    <w:rPr>
      <w:rFonts w:ascii="Times New Roman" w:hAnsi="Times New Roman" w:cs="Times New Roman"/>
    </w:rPr>
  </w:style>
  <w:style w:type="paragraph" w:styleId="877">
    <w:name w:val="Body Text Indent 2"/>
    <w:basedOn w:val="839"/>
    <w:next w:val="865"/>
    <w:uiPriority w:val="0"/>
    <w:qFormat/>
    <w:pPr>
      <w:ind w:left="481" w:firstLine="2784"/>
      <w:spacing w:before="0" w:after="0" w:line="400" w:lineRule="exact"/>
    </w:pPr>
    <w:rPr>
      <w:rFonts w:ascii="Times New Roman" w:hAnsi="Times New Roman" w:cs="Times New Roman"/>
    </w:rPr>
  </w:style>
  <w:style w:type="paragraph" w:styleId="878">
    <w:name w:val="endnote text"/>
    <w:basedOn w:val="839"/>
    <w:next w:val="879"/>
    <w:uiPriority w:val="0"/>
    <w:qFormat/>
    <w:pPr>
      <w:ind w:left="0" w:firstLine="2560"/>
      <w:spacing w:before="0" w:after="0" w:line="360" w:lineRule="auto"/>
    </w:pPr>
    <w:rPr>
      <w:rFonts w:ascii="Times New Roman" w:hAnsi="Times New Roman" w:cs="Times New Roman"/>
    </w:rPr>
  </w:style>
  <w:style w:type="paragraph" w:styleId="879" w:customStyle="1">
    <w:name w:val="Char11"/>
    <w:basedOn w:val="839"/>
    <w:next w:val="838"/>
    <w:uiPriority w:val="0"/>
    <w:qFormat/>
    <w:pPr>
      <w:ind w:left="0" w:firstLine="3584"/>
      <w:spacing w:before="0" w:after="0" w:line="240" w:lineRule="auto"/>
    </w:pPr>
    <w:rPr>
      <w:rFonts w:ascii="Times New Roman" w:hAnsi="Times New Roman" w:cs="Times New Roman"/>
    </w:rPr>
  </w:style>
  <w:style w:type="paragraph" w:styleId="880">
    <w:name w:val="Balloon Text"/>
    <w:basedOn w:val="839"/>
    <w:next w:val="855"/>
    <w:uiPriority w:val="0"/>
    <w:qFormat/>
    <w:pPr>
      <w:ind w:left="0" w:firstLine="2048"/>
      <w:spacing w:before="0" w:after="0" w:line="240" w:lineRule="auto"/>
    </w:pPr>
    <w:rPr>
      <w:rFonts w:ascii="Times New Roman" w:hAnsi="Times New Roman" w:cs="Times New Roman"/>
    </w:rPr>
  </w:style>
  <w:style w:type="paragraph" w:styleId="881">
    <w:name w:val="Footer"/>
    <w:basedOn w:val="838"/>
    <w:next w:val="882"/>
    <w:link w:val="1056"/>
    <w:uiPriority w:val="0"/>
    <w:qFormat/>
    <w:pPr>
      <w:ind w:left="0" w:firstLine="3584"/>
    </w:pPr>
  </w:style>
  <w:style w:type="paragraph" w:styleId="882" w:customStyle="1">
    <w:name w:val="Char Char Char Char Char Char Char Char Char Char Char Char Char"/>
    <w:basedOn w:val="839"/>
    <w:next w:val="838"/>
    <w:uiPriority w:val="0"/>
    <w:qFormat/>
    <w:pPr>
      <w:ind w:left="0" w:firstLine="3584"/>
      <w:spacing w:before="0" w:after="160" w:line="240" w:lineRule="exact"/>
    </w:pPr>
    <w:rPr>
      <w:rFonts w:ascii="Times New Roman" w:hAnsi="Times New Roman" w:cs="Times New Roman"/>
    </w:rPr>
  </w:style>
  <w:style w:type="paragraph" w:styleId="883">
    <w:name w:val="Header"/>
    <w:basedOn w:val="839"/>
    <w:next w:val="876"/>
    <w:link w:val="1057"/>
    <w:uiPriority w:val="0"/>
    <w:qFormat/>
    <w:pPr>
      <w:ind w:left="0" w:firstLine="3584"/>
      <w:jc w:val="center"/>
      <w:spacing w:before="0" w:after="0" w:line="240" w:lineRule="auto"/>
    </w:pPr>
  </w:style>
  <w:style w:type="paragraph" w:styleId="884">
    <w:name w:val="toc 4"/>
    <w:basedOn w:val="839"/>
    <w:next w:val="838"/>
    <w:uiPriority w:val="0"/>
    <w:qFormat/>
    <w:pPr>
      <w:ind w:left="1260" w:firstLine="1024"/>
      <w:spacing w:before="0" w:after="0" w:line="240" w:lineRule="auto"/>
    </w:pPr>
    <w:rPr>
      <w:rFonts w:ascii="Times New Roman" w:hAnsi="Times New Roman" w:cs="Times New Roman"/>
    </w:rPr>
  </w:style>
  <w:style w:type="paragraph" w:styleId="885">
    <w:name w:val="Subtitle"/>
    <w:next w:val="838"/>
    <w:uiPriority w:val="0"/>
    <w:qFormat/>
    <w:pPr>
      <w:ind w:left="1024"/>
      <w:jc w:val="center"/>
      <w:spacing w:after="60"/>
    </w:pPr>
    <w:rPr>
      <w:rFonts w:hint="default" w:ascii="Calibri" w:hAnsi="Calibri" w:eastAsia="宋体" w:cs="宋体"/>
    </w:rPr>
  </w:style>
  <w:style w:type="paragraph" w:styleId="886">
    <w:name w:val="List"/>
    <w:basedOn w:val="839"/>
    <w:next w:val="887"/>
    <w:uiPriority w:val="0"/>
    <w:qFormat/>
    <w:pPr>
      <w:ind w:left="200" w:firstLine="3640"/>
      <w:spacing w:before="0" w:after="0" w:line="240" w:lineRule="auto"/>
    </w:pPr>
    <w:rPr>
      <w:rFonts w:ascii="Times New Roman" w:hAnsi="Times New Roman" w:cs="Times New Roman"/>
    </w:rPr>
  </w:style>
  <w:style w:type="paragraph" w:styleId="887">
    <w:name w:val="Body Text First Indent"/>
    <w:next w:val="838"/>
    <w:uiPriority w:val="0"/>
    <w:qFormat/>
    <w:pPr>
      <w:ind w:left="420" w:firstLine="3748"/>
      <w:spacing w:after="120"/>
    </w:pPr>
    <w:rPr>
      <w:rFonts w:hint="default" w:ascii="Calibri" w:hAnsi="Calibri" w:eastAsia="宋体" w:cs="宋体"/>
    </w:rPr>
  </w:style>
  <w:style w:type="paragraph" w:styleId="888">
    <w:name w:val="footnote text"/>
    <w:basedOn w:val="839"/>
    <w:next w:val="850"/>
    <w:uiPriority w:val="0"/>
    <w:qFormat/>
    <w:pPr>
      <w:ind w:left="0" w:firstLine="3584"/>
      <w:spacing w:before="0" w:after="0" w:line="360" w:lineRule="auto"/>
    </w:pPr>
    <w:rPr>
      <w:rFonts w:ascii="Times New Roman" w:hAnsi="Times New Roman" w:cs="Times New Roman"/>
    </w:rPr>
  </w:style>
  <w:style w:type="paragraph" w:styleId="889">
    <w:name w:val="toc 6"/>
    <w:basedOn w:val="839"/>
    <w:next w:val="838"/>
    <w:uiPriority w:val="0"/>
    <w:qFormat/>
    <w:pPr>
      <w:ind w:left="1400" w:firstLine="3784"/>
      <w:spacing w:before="0" w:after="0" w:line="360" w:lineRule="auto"/>
    </w:pPr>
    <w:rPr>
      <w:rFonts w:ascii="Times New Roman" w:hAnsi="Times New Roman" w:cs="Times New Roman"/>
    </w:rPr>
  </w:style>
  <w:style w:type="paragraph" w:styleId="890">
    <w:name w:val="List 5"/>
    <w:basedOn w:val="839"/>
    <w:next w:val="864"/>
    <w:uiPriority w:val="0"/>
    <w:qFormat/>
    <w:pPr>
      <w:ind w:left="2100" w:firstLine="3676"/>
      <w:spacing w:before="0" w:after="0" w:line="240" w:lineRule="auto"/>
    </w:pPr>
    <w:rPr>
      <w:rFonts w:ascii="Times New Roman" w:hAnsi="Times New Roman" w:cs="Times New Roman"/>
    </w:rPr>
  </w:style>
  <w:style w:type="paragraph" w:styleId="891">
    <w:name w:val="Body Text Indent 3"/>
    <w:basedOn w:val="839"/>
    <w:next w:val="889"/>
    <w:uiPriority w:val="0"/>
    <w:qFormat/>
    <w:pPr>
      <w:ind w:left="480" w:firstLine="2784"/>
      <w:spacing w:before="0" w:after="0" w:line="400" w:lineRule="exact"/>
    </w:pPr>
    <w:rPr>
      <w:rFonts w:ascii="Times New Roman" w:hAnsi="Times New Roman" w:cs="Times New Roman"/>
    </w:rPr>
  </w:style>
  <w:style w:type="paragraph" w:styleId="892">
    <w:name w:val="table of figures"/>
    <w:basedOn w:val="838"/>
    <w:next w:val="838"/>
    <w:uiPriority w:val="99"/>
    <w:unhideWhenUsed/>
    <w:qFormat/>
    <w:pPr>
      <w:spacing w:after="0" w:afterAutospacing="0"/>
    </w:pPr>
  </w:style>
  <w:style w:type="paragraph" w:styleId="893">
    <w:name w:val="toc 2"/>
    <w:basedOn w:val="839"/>
    <w:next w:val="838"/>
    <w:uiPriority w:val="0"/>
    <w:qFormat/>
    <w:pPr>
      <w:ind w:left="0" w:firstLine="1024"/>
      <w:spacing w:before="0" w:after="0" w:line="360" w:lineRule="auto"/>
    </w:pPr>
    <w:rPr>
      <w:rFonts w:ascii="Times New Roman" w:hAnsi="Times New Roman" w:cs="Times New Roman"/>
    </w:rPr>
  </w:style>
  <w:style w:type="paragraph" w:styleId="894">
    <w:name w:val="toc 9"/>
    <w:basedOn w:val="839"/>
    <w:next w:val="838"/>
    <w:uiPriority w:val="0"/>
    <w:qFormat/>
    <w:pPr>
      <w:ind w:left="2120" w:firstLine="3784"/>
      <w:spacing w:before="0" w:after="0" w:line="360" w:lineRule="auto"/>
    </w:pPr>
    <w:rPr>
      <w:rFonts w:ascii="Times New Roman" w:hAnsi="Times New Roman" w:cs="Times New Roman"/>
    </w:rPr>
  </w:style>
  <w:style w:type="paragraph" w:styleId="895">
    <w:name w:val="Body Text 2"/>
    <w:basedOn w:val="839"/>
    <w:next w:val="858"/>
    <w:uiPriority w:val="0"/>
    <w:qFormat/>
    <w:pPr>
      <w:ind w:left="0" w:firstLine="1024"/>
      <w:spacing w:before="0" w:after="120" w:line="480" w:lineRule="auto"/>
    </w:pPr>
    <w:rPr>
      <w:rFonts w:ascii="Times New Roman" w:hAnsi="Times New Roman" w:cs="Times New Roman"/>
    </w:rPr>
  </w:style>
  <w:style w:type="paragraph" w:styleId="896">
    <w:name w:val="HTML Preformatted"/>
    <w:basedOn w:val="839"/>
    <w:next w:val="857"/>
    <w:uiPriority w:val="0"/>
    <w:qFormat/>
    <w:pPr>
      <w:ind w:left="0" w:firstLine="2048"/>
      <w:spacing w:before="0" w:after="0" w:line="253" w:lineRule="atLeast"/>
    </w:pPr>
    <w:rPr>
      <w:rFonts w:ascii="Times New Roman" w:hAnsi="Times New Roman" w:cs="Times New Roman"/>
    </w:rPr>
  </w:style>
  <w:style w:type="paragraph" w:styleId="897">
    <w:name w:val="Normal (Web)"/>
    <w:basedOn w:val="838"/>
    <w:next w:val="867"/>
    <w:uiPriority w:val="99"/>
    <w:qFormat/>
    <w:pPr>
      <w:ind w:left="15" w:right="15" w:firstLine="4608"/>
      <w:spacing w:before="60" w:after="60" w:line="312" w:lineRule="auto"/>
    </w:pPr>
    <w:rPr>
      <w:rFonts w:ascii="Times New Roman" w:hAnsi="Times New Roman" w:cs="Times New Roman"/>
    </w:rPr>
  </w:style>
  <w:style w:type="paragraph" w:styleId="898">
    <w:name w:val="index 1"/>
    <w:basedOn w:val="839"/>
    <w:next w:val="838"/>
    <w:uiPriority w:val="0"/>
    <w:qFormat/>
    <w:pPr>
      <w:ind w:left="0" w:firstLine="3584"/>
      <w:spacing w:before="0" w:after="0" w:line="240" w:lineRule="auto"/>
    </w:pPr>
    <w:rPr>
      <w:rFonts w:ascii="Times New Roman" w:hAnsi="Times New Roman" w:cs="Times New Roman"/>
    </w:rPr>
  </w:style>
  <w:style w:type="paragraph" w:styleId="899">
    <w:name w:val="Title"/>
    <w:basedOn w:val="838"/>
    <w:next w:val="838"/>
    <w:link w:val="920"/>
    <w:uiPriority w:val="10"/>
    <w:qFormat/>
    <w:pPr>
      <w:contextualSpacing/>
      <w:spacing w:before="300" w:after="200"/>
    </w:pPr>
    <w:rPr>
      <w:sz w:val="48"/>
      <w:szCs w:val="48"/>
    </w:rPr>
  </w:style>
  <w:style w:type="paragraph" w:styleId="900">
    <w:name w:val="Body Text First Indent 2"/>
    <w:basedOn w:val="865"/>
    <w:uiPriority w:val="0"/>
    <w:unhideWhenUsed/>
    <w:qFormat/>
    <w:pPr>
      <w:ind w:firstLine="420"/>
    </w:pPr>
  </w:style>
  <w:style w:type="table" w:styleId="90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2">
    <w:name w:val="Strong"/>
    <w:uiPriority w:val="22"/>
    <w:qFormat/>
    <w:rPr>
      <w:rFonts w:ascii="Times New Roman" w:hAnsi="Times New Roman" w:eastAsia="宋体" w:cs="Times New Roman"/>
      <w:b/>
      <w:sz w:val="20"/>
    </w:rPr>
  </w:style>
  <w:style w:type="character" w:styleId="903">
    <w:name w:val="endnote reference"/>
    <w:basedOn w:val="848"/>
    <w:uiPriority w:val="99"/>
    <w:semiHidden/>
    <w:unhideWhenUsed/>
    <w:qFormat/>
    <w:rPr>
      <w:vertAlign w:val="superscript"/>
    </w:rPr>
  </w:style>
  <w:style w:type="character" w:styleId="904">
    <w:name w:val="page number"/>
    <w:uiPriority w:val="0"/>
    <w:qFormat/>
    <w:rPr>
      <w:rFonts w:ascii="Times New Roman" w:hAnsi="Times New Roman" w:eastAsia="宋体" w:cs="Times New Roman"/>
      <w:sz w:val="20"/>
    </w:rPr>
  </w:style>
  <w:style w:type="character" w:styleId="905">
    <w:name w:val="FollowedHyperlink"/>
    <w:uiPriority w:val="0"/>
    <w:qFormat/>
    <w:rPr>
      <w:rFonts w:ascii="Times New Roman" w:hAnsi="Times New Roman" w:eastAsia="宋体" w:cs="Times New Roman"/>
      <w:color w:val="800080"/>
      <w:sz w:val="20"/>
      <w:u w:val="single"/>
    </w:rPr>
  </w:style>
  <w:style w:type="character" w:styleId="906">
    <w:name w:val="Emphasis"/>
    <w:uiPriority w:val="20"/>
    <w:qFormat/>
    <w:rPr>
      <w:rFonts w:ascii="Times New Roman" w:hAnsi="Times New Roman" w:eastAsia="宋体" w:cs="Times New Roman"/>
      <w:i/>
      <w:sz w:val="21"/>
    </w:rPr>
  </w:style>
  <w:style w:type="character" w:styleId="907">
    <w:name w:val="Hyperlink"/>
    <w:uiPriority w:val="99"/>
    <w:qFormat/>
    <w:rPr>
      <w:rFonts w:ascii="Times New Roman" w:hAnsi="Times New Roman" w:eastAsia="宋体" w:cs="Times New Roman"/>
      <w:color w:val="0000ff"/>
      <w:sz w:val="20"/>
      <w:u w:val="single"/>
    </w:rPr>
  </w:style>
  <w:style w:type="character" w:styleId="908">
    <w:name w:val="annotation reference"/>
    <w:uiPriority w:val="0"/>
    <w:qFormat/>
    <w:rPr>
      <w:rFonts w:ascii="Times New Roman" w:hAnsi="Times New Roman" w:eastAsia="宋体" w:cs="Times New Roman"/>
      <w:sz w:val="20"/>
    </w:rPr>
  </w:style>
  <w:style w:type="character" w:styleId="909">
    <w:name w:val="footnote reference"/>
    <w:uiPriority w:val="0"/>
    <w:qFormat/>
    <w:rPr>
      <w:rFonts w:ascii="Times New Roman" w:hAnsi="Times New Roman" w:eastAsia="宋体" w:cs="Times New Roman"/>
      <w:vertAlign w:val="superscript"/>
    </w:rPr>
  </w:style>
  <w:style w:type="character" w:styleId="910" w:customStyle="1">
    <w:name w:val="Heading 1 Char"/>
    <w:basedOn w:val="848"/>
    <w:uiPriority w:val="9"/>
    <w:qFormat/>
    <w:rPr>
      <w:rFonts w:ascii="Arial" w:hAnsi="Arial" w:eastAsia="Arial" w:cs="Arial"/>
      <w:sz w:val="40"/>
      <w:szCs w:val="40"/>
    </w:rPr>
  </w:style>
  <w:style w:type="character" w:styleId="911" w:customStyle="1">
    <w:name w:val="Heading 2 Char"/>
    <w:basedOn w:val="848"/>
    <w:uiPriority w:val="9"/>
    <w:qFormat/>
    <w:rPr>
      <w:rFonts w:ascii="Arial" w:hAnsi="Arial" w:eastAsia="Arial" w:cs="Arial"/>
      <w:sz w:val="34"/>
    </w:rPr>
  </w:style>
  <w:style w:type="character" w:styleId="912" w:customStyle="1">
    <w:name w:val="Heading 3 Char"/>
    <w:basedOn w:val="848"/>
    <w:uiPriority w:val="9"/>
    <w:qFormat/>
    <w:rPr>
      <w:rFonts w:ascii="Arial" w:hAnsi="Arial" w:eastAsia="Arial" w:cs="Arial"/>
      <w:sz w:val="30"/>
      <w:szCs w:val="30"/>
    </w:rPr>
  </w:style>
  <w:style w:type="character" w:styleId="913" w:customStyle="1">
    <w:name w:val="Heading 4 Char"/>
    <w:basedOn w:val="848"/>
    <w:uiPriority w:val="9"/>
    <w:qFormat/>
    <w:rPr>
      <w:rFonts w:ascii="Arial" w:hAnsi="Arial" w:eastAsia="Arial" w:cs="Arial"/>
      <w:b/>
      <w:bCs/>
      <w:sz w:val="26"/>
      <w:szCs w:val="26"/>
    </w:rPr>
  </w:style>
  <w:style w:type="character" w:styleId="914" w:customStyle="1">
    <w:name w:val="Heading 5 Char"/>
    <w:basedOn w:val="848"/>
    <w:uiPriority w:val="9"/>
    <w:qFormat/>
    <w:rPr>
      <w:rFonts w:ascii="Arial" w:hAnsi="Arial" w:eastAsia="Arial" w:cs="Arial"/>
      <w:b/>
      <w:bCs/>
      <w:sz w:val="24"/>
      <w:szCs w:val="24"/>
    </w:rPr>
  </w:style>
  <w:style w:type="character" w:styleId="915" w:customStyle="1">
    <w:name w:val="Heading 6 Char"/>
    <w:basedOn w:val="848"/>
    <w:uiPriority w:val="9"/>
    <w:qFormat/>
    <w:rPr>
      <w:rFonts w:ascii="Arial" w:hAnsi="Arial" w:eastAsia="Arial" w:cs="Arial"/>
      <w:b/>
      <w:bCs/>
      <w:sz w:val="22"/>
      <w:szCs w:val="22"/>
    </w:rPr>
  </w:style>
  <w:style w:type="character" w:styleId="916" w:customStyle="1">
    <w:name w:val="Heading 7 Char"/>
    <w:basedOn w:val="848"/>
    <w:uiPriority w:val="9"/>
    <w:qFormat/>
    <w:rPr>
      <w:rFonts w:ascii="Arial" w:hAnsi="Arial" w:eastAsia="Arial" w:cs="Arial"/>
      <w:b/>
      <w:bCs/>
      <w:i/>
      <w:iCs/>
      <w:sz w:val="22"/>
      <w:szCs w:val="22"/>
    </w:rPr>
  </w:style>
  <w:style w:type="character" w:styleId="917" w:customStyle="1">
    <w:name w:val="Heading 8 Char"/>
    <w:basedOn w:val="848"/>
    <w:uiPriority w:val="9"/>
    <w:qFormat/>
    <w:rPr>
      <w:rFonts w:ascii="Arial" w:hAnsi="Arial" w:eastAsia="Arial" w:cs="Arial"/>
      <w:i/>
      <w:iCs/>
      <w:sz w:val="22"/>
      <w:szCs w:val="22"/>
    </w:rPr>
  </w:style>
  <w:style w:type="character" w:styleId="918" w:customStyle="1">
    <w:name w:val="Heading 9 Char"/>
    <w:basedOn w:val="848"/>
    <w:uiPriority w:val="9"/>
    <w:qFormat/>
    <w:rPr>
      <w:rFonts w:ascii="Arial" w:hAnsi="Arial" w:eastAsia="Arial" w:cs="Arial"/>
      <w:i/>
      <w:iCs/>
      <w:sz w:val="21"/>
      <w:szCs w:val="21"/>
    </w:rPr>
  </w:style>
  <w:style w:type="paragraph" w:styleId="919">
    <w:name w:val="No Spacing"/>
    <w:uiPriority w:val="1"/>
    <w:qFormat/>
    <w:pPr>
      <w:spacing w:before="0" w:after="0" w:line="240" w:lineRule="auto"/>
    </w:pPr>
    <w:rPr>
      <w:rFonts w:hint="default" w:ascii="宋体" w:hAnsi="宋体" w:eastAsia="宋体" w:cs="宋体"/>
    </w:rPr>
  </w:style>
  <w:style w:type="character" w:styleId="920" w:customStyle="1">
    <w:name w:val="Title Char"/>
    <w:basedOn w:val="848"/>
    <w:link w:val="899"/>
    <w:uiPriority w:val="10"/>
    <w:qFormat/>
    <w:rPr>
      <w:sz w:val="48"/>
      <w:szCs w:val="48"/>
    </w:rPr>
  </w:style>
  <w:style w:type="character" w:styleId="921" w:customStyle="1">
    <w:name w:val="Subtitle Char"/>
    <w:basedOn w:val="848"/>
    <w:uiPriority w:val="11"/>
    <w:qFormat/>
    <w:rPr>
      <w:sz w:val="24"/>
      <w:szCs w:val="24"/>
    </w:rPr>
  </w:style>
  <w:style w:type="character" w:styleId="922" w:customStyle="1">
    <w:name w:val="Quote Char"/>
    <w:uiPriority w:val="29"/>
    <w:qFormat/>
    <w:rPr>
      <w:i/>
    </w:rPr>
  </w:style>
  <w:style w:type="character" w:styleId="923" w:customStyle="1">
    <w:name w:val="Intense Quote Char"/>
    <w:uiPriority w:val="30"/>
    <w:qFormat/>
    <w:rPr>
      <w:i/>
    </w:rPr>
  </w:style>
  <w:style w:type="character" w:styleId="924" w:customStyle="1">
    <w:name w:val="Header Char"/>
    <w:basedOn w:val="848"/>
    <w:uiPriority w:val="99"/>
    <w:qFormat/>
  </w:style>
  <w:style w:type="character" w:styleId="925" w:customStyle="1">
    <w:name w:val="Footer Char"/>
    <w:basedOn w:val="848"/>
    <w:uiPriority w:val="99"/>
    <w:qFormat/>
  </w:style>
  <w:style w:type="character" w:styleId="926" w:customStyle="1">
    <w:name w:val="Caption Char"/>
    <w:uiPriority w:val="99"/>
    <w:qFormat/>
  </w:style>
  <w:style w:type="table" w:styleId="927" w:customStyle="1">
    <w:name w:val="Table Grid Light"/>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Plain Table 1"/>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2"/>
    <w:basedOn w:val="8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3"/>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Plain Table 4"/>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Plain Table 5"/>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Grid Table 1 Light"/>
    <w:basedOn w:val="8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basedOn w:val="8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basedOn w:val="8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basedOn w:val="8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basedOn w:val="8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basedOn w:val="8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basedOn w:val="8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0" w:customStyle="1">
    <w:name w:val="Grid Table 2"/>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1"/>
    <w:basedOn w:val="8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2" w:customStyle="1">
    <w:name w:val="Grid Table 2 - Accent 2"/>
    <w:basedOn w:val="8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2 - Accent 3"/>
    <w:basedOn w:val="8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2 - Accent 4"/>
    <w:basedOn w:val="8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2 - Accent 5"/>
    <w:basedOn w:val="8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Grid Table 2 - Accent 6"/>
    <w:basedOn w:val="8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Grid Table 3"/>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1"/>
    <w:basedOn w:val="8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basedOn w:val="8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basedOn w:val="8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basedOn w:val="8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basedOn w:val="8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basedOn w:val="8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w:basedOn w:val="8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4 - Accent 1"/>
    <w:basedOn w:val="8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6" w:customStyle="1">
    <w:name w:val="Grid Table 4 - Accent 2"/>
    <w:basedOn w:val="8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7" w:customStyle="1">
    <w:name w:val="Grid Table 4 - Accent 3"/>
    <w:basedOn w:val="8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8" w:customStyle="1">
    <w:name w:val="Grid Table 4 - Accent 4"/>
    <w:basedOn w:val="8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9" w:customStyle="1">
    <w:name w:val="Grid Table 4 - Accent 5"/>
    <w:basedOn w:val="8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0" w:customStyle="1">
    <w:name w:val="Grid Table 4 - Accent 6"/>
    <w:basedOn w:val="8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1" w:customStyle="1">
    <w:name w:val="Grid Table 5 Dark"/>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Grid Table 5 Dark- Accent 1"/>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3" w:customStyle="1">
    <w:name w:val="Grid Table 5 Dark - Accent 2"/>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4" w:customStyle="1">
    <w:name w:val="Grid Table 5 Dark - Accent 3"/>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5" w:customStyle="1">
    <w:name w:val="Grid Table 5 Dark- Accent 4"/>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6" w:customStyle="1">
    <w:name w:val="Grid Table 5 Dark - Accent 5"/>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7" w:customStyle="1">
    <w:name w:val="Grid Table 5 Dark - Accent 6"/>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8" w:customStyle="1">
    <w:name w:val="Grid Table 6 Colorful"/>
    <w:basedOn w:val="8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6 Colorful - Accent 1"/>
    <w:basedOn w:val="8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0" w:customStyle="1">
    <w:name w:val="Grid Table 6 Colorful - Accent 2"/>
    <w:basedOn w:val="8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1" w:customStyle="1">
    <w:name w:val="Grid Table 6 Colorful - Accent 3"/>
    <w:basedOn w:val="8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2" w:customStyle="1">
    <w:name w:val="Grid Table 6 Colorful - Accent 4"/>
    <w:basedOn w:val="8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3" w:customStyle="1">
    <w:name w:val="Grid Table 6 Colorful - Accent 5"/>
    <w:basedOn w:val="8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6 Colorful - Accent 6"/>
    <w:basedOn w:val="8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Grid Table 7 Colorful"/>
    <w:basedOn w:val="8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Grid Table 7 Colorful - Accent 1"/>
    <w:basedOn w:val="8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7" w:customStyle="1">
    <w:name w:val="Grid Table 7 Colorful - Accent 2"/>
    <w:basedOn w:val="8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Grid Table 7 Colorful - Accent 3"/>
    <w:basedOn w:val="8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9" w:customStyle="1">
    <w:name w:val="Grid Table 7 Colorful - Accent 4"/>
    <w:basedOn w:val="8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Grid Table 7 Colorful - Accent 5"/>
    <w:basedOn w:val="8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1" w:customStyle="1">
    <w:name w:val="Grid Table 7 Colorful - Accent 6"/>
    <w:basedOn w:val="8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2" w:customStyle="1">
    <w:name w:val="List Table 1 Light"/>
    <w:basedOn w:val="8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List Table 1 Light - Accent 1"/>
    <w:basedOn w:val="8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1 Light - Accent 2"/>
    <w:basedOn w:val="8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5" w:customStyle="1">
    <w:name w:val="List Table 1 Light - Accent 3"/>
    <w:basedOn w:val="8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6" w:customStyle="1">
    <w:name w:val="List Table 1 Light - Accent 4"/>
    <w:basedOn w:val="8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7" w:customStyle="1">
    <w:name w:val="List Table 1 Light - Accent 5"/>
    <w:basedOn w:val="8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List Table 1 Light - Accent 6"/>
    <w:basedOn w:val="8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List Table 2"/>
    <w:basedOn w:val="8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0" w:customStyle="1">
    <w:name w:val="List Table 2 - Accent 1"/>
    <w:basedOn w:val="8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1" w:customStyle="1">
    <w:name w:val="List Table 2 - Accent 2"/>
    <w:basedOn w:val="8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2" w:customStyle="1">
    <w:name w:val="List Table 2 - Accent 3"/>
    <w:basedOn w:val="8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3" w:customStyle="1">
    <w:name w:val="List Table 2 - Accent 4"/>
    <w:basedOn w:val="8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4" w:customStyle="1">
    <w:name w:val="List Table 2 - Accent 5"/>
    <w:basedOn w:val="8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5" w:customStyle="1">
    <w:name w:val="List Table 2 - Accent 6"/>
    <w:basedOn w:val="8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6" w:customStyle="1">
    <w:name w:val="List Table 3"/>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3 - Accent 1"/>
    <w:basedOn w:val="8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3 - Accent 2"/>
    <w:basedOn w:val="8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9" w:customStyle="1">
    <w:name w:val="List Table 3 - Accent 3"/>
    <w:basedOn w:val="8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0" w:customStyle="1">
    <w:name w:val="List Table 3 - Accent 4"/>
    <w:basedOn w:val="8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1" w:customStyle="1">
    <w:name w:val="List Table 3 - Accent 5"/>
    <w:basedOn w:val="8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2" w:customStyle="1">
    <w:name w:val="List Table 3 - Accent 6"/>
    <w:basedOn w:val="8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3" w:customStyle="1">
    <w:name w:val="List Table 4"/>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 Accent 1"/>
    <w:basedOn w:val="8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4 - Accent 2"/>
    <w:basedOn w:val="8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6" w:customStyle="1">
    <w:name w:val="List Table 4 - Accent 3"/>
    <w:basedOn w:val="8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7" w:customStyle="1">
    <w:name w:val="List Table 4 - Accent 4"/>
    <w:basedOn w:val="8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8" w:customStyle="1">
    <w:name w:val="List Table 4 - Accent 5"/>
    <w:basedOn w:val="8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9" w:customStyle="1">
    <w:name w:val="List Table 4 - Accent 6"/>
    <w:basedOn w:val="8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0" w:customStyle="1">
    <w:name w:val="List Table 5 Dark"/>
    <w:basedOn w:val="8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1"/>
    <w:basedOn w:val="8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2"/>
    <w:basedOn w:val="8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3"/>
    <w:basedOn w:val="8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4"/>
    <w:basedOn w:val="8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5"/>
    <w:basedOn w:val="8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6"/>
    <w:basedOn w:val="8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6 Colorful"/>
    <w:basedOn w:val="8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8" w:customStyle="1">
    <w:name w:val="List Table 6 Colorful - Accent 1"/>
    <w:basedOn w:val="8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9" w:customStyle="1">
    <w:name w:val="List Table 6 Colorful - Accent 2"/>
    <w:basedOn w:val="8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0" w:customStyle="1">
    <w:name w:val="List Table 6 Colorful - Accent 3"/>
    <w:basedOn w:val="8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1" w:customStyle="1">
    <w:name w:val="List Table 6 Colorful - Accent 4"/>
    <w:basedOn w:val="8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2" w:customStyle="1">
    <w:name w:val="List Table 6 Colorful - Accent 5"/>
    <w:basedOn w:val="8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3" w:customStyle="1">
    <w:name w:val="List Table 6 Colorful - Accent 6"/>
    <w:basedOn w:val="8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4" w:customStyle="1">
    <w:name w:val="List Table 7 Colorful"/>
    <w:basedOn w:val="8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7 Colorful - Accent 1"/>
    <w:basedOn w:val="8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basedOn w:val="8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basedOn w:val="8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basedOn w:val="8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basedOn w:val="8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basedOn w:val="8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1" w:customStyle="1">
    <w:name w:val="Lined - Accent"/>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Lined - Accent 2"/>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Lined - Accent 3"/>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Lined - Accent 4"/>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Lined - Accent 5"/>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Lined - Accent 6"/>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amp; Lined - Accent"/>
    <w:basedOn w:val="8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basedOn w:val="8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Bordered &amp; Lined - Accent 2"/>
    <w:basedOn w:val="8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Bordered &amp; Lined - Accent 3"/>
    <w:basedOn w:val="8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Bordered &amp; Lined - Accent 4"/>
    <w:basedOn w:val="8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Bordered &amp; Lined - Accent 5"/>
    <w:basedOn w:val="8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Bordered &amp; Lined - Accent 6"/>
    <w:basedOn w:val="8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w:basedOn w:val="8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basedOn w:val="8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7" w:customStyle="1">
    <w:name w:val="Bordered - Accent 2"/>
    <w:basedOn w:val="8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8" w:customStyle="1">
    <w:name w:val="Bordered - Accent 3"/>
    <w:basedOn w:val="8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9" w:customStyle="1">
    <w:name w:val="Bordered - Accent 4"/>
    <w:basedOn w:val="8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0" w:customStyle="1">
    <w:name w:val="Bordered - Accent 5"/>
    <w:basedOn w:val="8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1" w:customStyle="1">
    <w:name w:val="Bordered - Accent 6"/>
    <w:basedOn w:val="8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2" w:customStyle="1">
    <w:name w:val="Footnote Text Char"/>
    <w:uiPriority w:val="99"/>
    <w:qFormat/>
    <w:rPr>
      <w:sz w:val="18"/>
    </w:rPr>
  </w:style>
  <w:style w:type="character" w:styleId="1053" w:customStyle="1">
    <w:name w:val="Endnote Text Char"/>
    <w:uiPriority w:val="99"/>
    <w:qFormat/>
    <w:rPr>
      <w:sz w:val="20"/>
    </w:rPr>
  </w:style>
  <w:style w:type="paragraph" w:styleId="1054" w:customStyle="1">
    <w:name w:val="TOC Heading"/>
    <w:uiPriority w:val="39"/>
    <w:unhideWhenUsed/>
    <w:qFormat/>
    <w:rPr>
      <w:rFonts w:hint="default" w:ascii="宋体" w:hAnsi="宋体" w:eastAsia="宋体" w:cs="宋体"/>
    </w:rPr>
  </w:style>
  <w:style w:type="character" w:styleId="1055" w:customStyle="1">
    <w:name w:val="正文缩进 Char1"/>
    <w:link w:val="856"/>
    <w:uiPriority w:val="0"/>
    <w:qFormat/>
    <w:rPr>
      <w:rFonts w:ascii="Calibri" w:hAnsi="Calibri" w:eastAsia="宋体" w:cs="Times New Roman"/>
    </w:rPr>
  </w:style>
  <w:style w:type="character" w:styleId="1056" w:customStyle="1">
    <w:name w:val="页脚 Char2"/>
    <w:link w:val="881"/>
    <w:uiPriority w:val="0"/>
    <w:qFormat/>
    <w:rPr>
      <w:rFonts w:ascii="Calibri" w:hAnsi="Calibri" w:eastAsia="宋体" w:cs="Times New Roman"/>
    </w:rPr>
  </w:style>
  <w:style w:type="character" w:styleId="1057" w:customStyle="1">
    <w:name w:val="页眉 Char2"/>
    <w:link w:val="883"/>
    <w:uiPriority w:val="0"/>
    <w:qFormat/>
    <w:rPr>
      <w:rFonts w:ascii="Calibri" w:hAnsi="Calibri" w:eastAsia="宋体" w:cs="Times New Roman"/>
    </w:rPr>
  </w:style>
  <w:style w:type="character" w:styleId="1058" w:customStyle="1">
    <w:name w:val="日期 Char"/>
    <w:uiPriority w:val="0"/>
    <w:qFormat/>
    <w:rPr>
      <w:rFonts w:ascii="Times New Roman" w:hAnsi="Times New Roman" w:eastAsia="宋体" w:cs="Times New Roman"/>
      <w:sz w:val="20"/>
    </w:rPr>
  </w:style>
  <w:style w:type="character" w:styleId="1059" w:customStyle="1">
    <w:name w:val="批注引用1"/>
    <w:uiPriority w:val="0"/>
    <w:qFormat/>
    <w:rPr>
      <w:rFonts w:ascii="Times New Roman" w:hAnsi="Times New Roman" w:eastAsia="宋体" w:cs="Times New Roman"/>
      <w:sz w:val="20"/>
    </w:rPr>
  </w:style>
  <w:style w:type="character" w:styleId="1060" w:customStyle="1">
    <w:name w:val="应答文本 Char Char"/>
    <w:uiPriority w:val="0"/>
    <w:qFormat/>
    <w:rPr>
      <w:rFonts w:ascii="Times New Roman" w:hAnsi="Times New Roman" w:eastAsia="宋体" w:cs="Times New Roman"/>
      <w:sz w:val="20"/>
    </w:rPr>
  </w:style>
  <w:style w:type="character" w:styleId="1061" w:customStyle="1">
    <w:name w:val="图片0 Char Char"/>
    <w:uiPriority w:val="0"/>
    <w:qFormat/>
    <w:rPr>
      <w:rFonts w:ascii="Times New Roman" w:hAnsi="Times New Roman" w:eastAsia="宋体" w:cs="Times New Roman"/>
      <w:sz w:val="20"/>
    </w:rPr>
  </w:style>
  <w:style w:type="character" w:styleId="1062" w:customStyle="1">
    <w:name w:val="尾注文本 Char"/>
    <w:uiPriority w:val="0"/>
    <w:qFormat/>
    <w:rPr>
      <w:rFonts w:ascii="Times New Roman" w:hAnsi="Times New Roman" w:eastAsia="宋体" w:cs="Times New Roman"/>
      <w:sz w:val="20"/>
    </w:rPr>
  </w:style>
  <w:style w:type="character" w:styleId="1063" w:customStyle="1">
    <w:name w:val="文档结构图 字符"/>
    <w:uiPriority w:val="0"/>
    <w:qFormat/>
    <w:rPr>
      <w:rFonts w:ascii="Microsoft YaHei UI" w:hAnsi="Times New Roman" w:eastAsia="Microsoft YaHei UI" w:cs="Times New Roman"/>
      <w:sz w:val="18"/>
      <w:szCs w:val="18"/>
    </w:rPr>
  </w:style>
  <w:style w:type="character" w:styleId="1064" w:customStyle="1">
    <w:name w:val="_Style 337"/>
    <w:uiPriority w:val="0"/>
    <w:qFormat/>
    <w:rPr>
      <w:rFonts w:ascii="Times New Roman" w:hAnsi="Times New Roman" w:eastAsia="宋体" w:cs="Times New Roman"/>
      <w:color w:val="auto"/>
      <w:sz w:val="21"/>
    </w:rPr>
  </w:style>
  <w:style w:type="character" w:styleId="1065" w:customStyle="1">
    <w:name w:val="正文文本 字符"/>
    <w:uiPriority w:val="0"/>
    <w:qFormat/>
    <w:rPr>
      <w:rFonts w:ascii="Times New Roman" w:hAnsi="Times New Roman" w:eastAsia="宋体" w:cs="Times New Roman"/>
      <w:sz w:val="21"/>
    </w:rPr>
  </w:style>
  <w:style w:type="character" w:styleId="1066" w:customStyle="1">
    <w:name w:val="批注文字 字符"/>
    <w:uiPriority w:val="0"/>
    <w:qFormat/>
    <w:rPr>
      <w:rFonts w:ascii="Times New Roman" w:hAnsi="Times New Roman" w:eastAsia="宋体" w:cs="Times New Roman"/>
      <w:sz w:val="20"/>
    </w:rPr>
  </w:style>
  <w:style w:type="character" w:styleId="1067" w:customStyle="1">
    <w:name w:val="批注文字 Char1"/>
    <w:uiPriority w:val="0"/>
    <w:qFormat/>
    <w:rPr>
      <w:rFonts w:ascii="Times New Roman" w:hAnsi="Times New Roman" w:eastAsia="宋体" w:cs="Times New Roman"/>
      <w:sz w:val="20"/>
    </w:rPr>
  </w:style>
  <w:style w:type="character" w:styleId="1068" w:customStyle="1">
    <w:name w:val="txt"/>
    <w:uiPriority w:val="0"/>
    <w:qFormat/>
    <w:rPr>
      <w:rFonts w:ascii="Times New Roman" w:hAnsi="Times New Roman" w:eastAsia="宋体" w:cs="Times New Roman"/>
      <w:sz w:val="20"/>
    </w:rPr>
  </w:style>
  <w:style w:type="character" w:styleId="1069" w:customStyle="1">
    <w:name w:val="标书正文 Char"/>
    <w:uiPriority w:val="0"/>
    <w:qFormat/>
    <w:rPr>
      <w:rFonts w:ascii="Times New Roman" w:hAnsi="Times New Roman" w:eastAsia="宋体" w:cs="Times New Roman"/>
      <w:sz w:val="20"/>
    </w:rPr>
  </w:style>
  <w:style w:type="character" w:styleId="1070" w:customStyle="1">
    <w:name w:val="font21"/>
    <w:uiPriority w:val="0"/>
    <w:qFormat/>
    <w:rPr>
      <w:rFonts w:hint="eastAsia" w:ascii="宋体" w:hAnsi="宋体" w:eastAsia="宋体" w:cs="宋体"/>
      <w:color w:val="ff0000"/>
      <w:sz w:val="24"/>
      <w:szCs w:val="24"/>
      <w:u w:val="none"/>
    </w:rPr>
  </w:style>
  <w:style w:type="character" w:styleId="1071" w:customStyle="1">
    <w:name w:val="apple-converted-space"/>
    <w:uiPriority w:val="0"/>
    <w:qFormat/>
    <w:rPr>
      <w:rFonts w:ascii="Times New Roman" w:hAnsi="Times New Roman" w:eastAsia="宋体" w:cs="Times New Roman"/>
      <w:sz w:val="20"/>
    </w:rPr>
  </w:style>
  <w:style w:type="character" w:styleId="1072" w:customStyle="1">
    <w:name w:val="纯文本 Char1"/>
    <w:uiPriority w:val="0"/>
    <w:qFormat/>
    <w:rPr>
      <w:rFonts w:ascii="Times New Roman" w:hAnsi="Times New Roman" w:eastAsia="宋体" w:cs="Times New Roman"/>
      <w:sz w:val="20"/>
    </w:rPr>
  </w:style>
  <w:style w:type="character" w:styleId="1073" w:customStyle="1">
    <w:name w:val="para1"/>
    <w:uiPriority w:val="0"/>
    <w:qFormat/>
    <w:rPr>
      <w:rFonts w:ascii="Times New Roman" w:hAnsi="Times New Roman" w:eastAsia="宋体" w:cs="Times New Roman"/>
      <w:sz w:val="20"/>
    </w:rPr>
  </w:style>
  <w:style w:type="character" w:styleId="1074" w:customStyle="1">
    <w:name w:val="HTML 预设格式 Char1"/>
    <w:uiPriority w:val="0"/>
    <w:qFormat/>
    <w:rPr>
      <w:rFonts w:ascii="Times New Roman" w:hAnsi="Times New Roman" w:eastAsia="宋体" w:cs="Times New Roman"/>
      <w:sz w:val="20"/>
    </w:rPr>
  </w:style>
  <w:style w:type="character" w:styleId="1075" w:customStyle="1">
    <w:name w:val="批注文字 Char"/>
    <w:uiPriority w:val="0"/>
    <w:qFormat/>
    <w:rPr>
      <w:rFonts w:ascii="Times New Roman" w:hAnsi="Times New Roman" w:eastAsia="宋体" w:cs="Times New Roman"/>
      <w:sz w:val="20"/>
    </w:rPr>
  </w:style>
  <w:style w:type="character" w:styleId="1076" w:customStyle="1">
    <w:name w:val="文档结构图 Char"/>
    <w:uiPriority w:val="0"/>
    <w:qFormat/>
    <w:rPr>
      <w:rFonts w:ascii="Times New Roman" w:hAnsi="Times New Roman" w:eastAsia="宋体" w:cs="Times New Roman"/>
      <w:sz w:val="20"/>
    </w:rPr>
  </w:style>
  <w:style w:type="character" w:styleId="1077" w:customStyle="1">
    <w:name w:val="超级链接"/>
    <w:uiPriority w:val="0"/>
    <w:qFormat/>
    <w:rPr>
      <w:rFonts w:ascii="Times New Roman" w:hAnsi="Times New Roman" w:eastAsia="宋体" w:cs="Times New Roman"/>
      <w:color w:val="0000ff"/>
      <w:sz w:val="20"/>
      <w:u w:val="single"/>
    </w:rPr>
  </w:style>
  <w:style w:type="character" w:styleId="1078" w:customStyle="1">
    <w:name w:val="p141"/>
    <w:uiPriority w:val="0"/>
    <w:qFormat/>
    <w:rPr>
      <w:rFonts w:ascii="Times New Roman" w:hAnsi="Times New Roman" w:eastAsia="宋体" w:cs="Times New Roman"/>
      <w:color w:val="000000"/>
      <w:sz w:val="20"/>
      <w:u w:val="none"/>
    </w:rPr>
  </w:style>
  <w:style w:type="character" w:styleId="1079" w:customStyle="1">
    <w:name w:val="宏文本 Char"/>
    <w:uiPriority w:val="0"/>
    <w:qFormat/>
    <w:rPr>
      <w:rFonts w:ascii="Times New Roman" w:hAnsi="Times New Roman" w:eastAsia="宋体" w:cs="Times New Roman"/>
      <w:sz w:val="20"/>
    </w:rPr>
  </w:style>
  <w:style w:type="character" w:styleId="1080" w:customStyle="1">
    <w:name w:val="_Style 313"/>
    <w:uiPriority w:val="0"/>
    <w:qFormat/>
    <w:rPr>
      <w:rFonts w:ascii="Times New Roman" w:hAnsi="Times New Roman" w:eastAsia="宋体" w:cs="Times New Roman"/>
      <w:b/>
      <w:i/>
      <w:sz w:val="21"/>
    </w:rPr>
  </w:style>
  <w:style w:type="character" w:styleId="1081" w:customStyle="1">
    <w:name w:val="页脚 Char1"/>
    <w:uiPriority w:val="0"/>
    <w:qFormat/>
    <w:rPr>
      <w:rFonts w:ascii="Times New Roman" w:hAnsi="Times New Roman" w:eastAsia="宋体" w:cs="Times New Roman"/>
      <w:sz w:val="20"/>
    </w:rPr>
  </w:style>
  <w:style w:type="character" w:styleId="1082" w:customStyle="1">
    <w:name w:val="页眉 Char"/>
    <w:uiPriority w:val="0"/>
    <w:qFormat/>
    <w:rPr>
      <w:rFonts w:ascii="Times New Roman" w:hAnsi="Times New Roman" w:eastAsia="宋体" w:cs="Times New Roman"/>
      <w:sz w:val="20"/>
    </w:rPr>
  </w:style>
  <w:style w:type="character" w:styleId="1083" w:customStyle="1">
    <w:name w:val="标题 7 Char"/>
    <w:uiPriority w:val="0"/>
    <w:qFormat/>
    <w:rPr>
      <w:rFonts w:ascii="Times New Roman" w:hAnsi="Times New Roman" w:eastAsia="宋体" w:cs="Times New Roman"/>
      <w:b/>
      <w:sz w:val="20"/>
    </w:rPr>
  </w:style>
  <w:style w:type="character" w:styleId="1084" w:customStyle="1">
    <w:name w:val="Char Char12"/>
    <w:uiPriority w:val="0"/>
    <w:qFormat/>
    <w:rPr>
      <w:rFonts w:ascii="Times New Roman" w:hAnsi="Times New Roman" w:eastAsia="宋体" w:cs="Times New Roman"/>
      <w:sz w:val="20"/>
    </w:rPr>
  </w:style>
  <w:style w:type="character" w:styleId="1085" w:customStyle="1">
    <w:name w:val="标题 3 Char"/>
    <w:uiPriority w:val="0"/>
    <w:qFormat/>
    <w:rPr>
      <w:rFonts w:ascii="Times New Roman" w:hAnsi="Times New Roman" w:eastAsia="宋体" w:cs="Times New Roman"/>
      <w:b/>
      <w:sz w:val="20"/>
    </w:rPr>
  </w:style>
  <w:style w:type="character" w:styleId="1086" w:customStyle="1">
    <w:name w:val="正文（首行缩进 2 字符） Char Char"/>
    <w:uiPriority w:val="0"/>
    <w:qFormat/>
    <w:rPr>
      <w:rFonts w:ascii="Times New Roman" w:hAnsi="Times New Roman" w:eastAsia="宋体" w:cs="Times New Roman"/>
      <w:sz w:val="20"/>
    </w:rPr>
  </w:style>
  <w:style w:type="character" w:styleId="1087" w:customStyle="1">
    <w:name w:val="表格用 Char Char"/>
    <w:uiPriority w:val="0"/>
    <w:qFormat/>
    <w:rPr>
      <w:rFonts w:ascii="Times New Roman" w:hAnsi="Times New Roman" w:eastAsia="宋体" w:cs="Times New Roman"/>
      <w:sz w:val="20"/>
    </w:rPr>
  </w:style>
  <w:style w:type="character" w:styleId="1088" w:customStyle="1">
    <w:name w:val="正文文本缩进 3 Char1"/>
    <w:uiPriority w:val="0"/>
    <w:qFormat/>
    <w:rPr>
      <w:rFonts w:ascii="Times New Roman" w:hAnsi="Times New Roman" w:eastAsia="宋体" w:cs="Times New Roman"/>
      <w:sz w:val="20"/>
    </w:rPr>
  </w:style>
  <w:style w:type="character" w:styleId="1089" w:customStyle="1">
    <w:name w:val="正文缩进 Char"/>
    <w:uiPriority w:val="0"/>
    <w:qFormat/>
    <w:rPr>
      <w:rFonts w:ascii="Times New Roman" w:hAnsi="Times New Roman" w:eastAsia="宋体" w:cs="Times New Roman"/>
      <w:sz w:val="20"/>
    </w:rPr>
  </w:style>
  <w:style w:type="character" w:styleId="1090" w:customStyle="1">
    <w:name w:val="批注框文本 Char1"/>
    <w:uiPriority w:val="0"/>
    <w:qFormat/>
    <w:rPr>
      <w:rFonts w:ascii="Times New Roman" w:hAnsi="Times New Roman" w:eastAsia="宋体" w:cs="Times New Roman"/>
      <w:sz w:val="20"/>
    </w:rPr>
  </w:style>
  <w:style w:type="character" w:styleId="1091" w:customStyle="1">
    <w:name w:val="Char Char13"/>
    <w:uiPriority w:val="0"/>
    <w:qFormat/>
    <w:rPr>
      <w:rFonts w:ascii="Times New Roman" w:hAnsi="Times New Roman" w:eastAsia="宋体" w:cs="Times New Roman"/>
      <w:sz w:val="20"/>
    </w:rPr>
  </w:style>
  <w:style w:type="character" w:styleId="1092" w:customStyle="1">
    <w:name w:val="样式2 Char"/>
    <w:uiPriority w:val="0"/>
    <w:qFormat/>
    <w:rPr>
      <w:rFonts w:ascii="Times New Roman" w:hAnsi="Times New Roman" w:eastAsia="宋体" w:cs="Times New Roman"/>
      <w:b/>
      <w:sz w:val="20"/>
    </w:rPr>
  </w:style>
  <w:style w:type="character" w:styleId="1093" w:customStyle="1">
    <w:name w:val="页脚 Char"/>
    <w:uiPriority w:val="0"/>
    <w:qFormat/>
    <w:rPr>
      <w:rFonts w:ascii="Times New Roman" w:hAnsi="Times New Roman" w:eastAsia="宋体" w:cs="Times New Roman"/>
      <w:sz w:val="20"/>
    </w:rPr>
  </w:style>
  <w:style w:type="character" w:styleId="1094" w:customStyle="1">
    <w:name w:val="标准文本 Char"/>
    <w:uiPriority w:val="0"/>
    <w:qFormat/>
    <w:rPr>
      <w:rFonts w:ascii="Times New Roman" w:hAnsi="Times New Roman" w:eastAsia="宋体" w:cs="Times New Roman"/>
      <w:sz w:val="20"/>
    </w:rPr>
  </w:style>
  <w:style w:type="character" w:styleId="1095" w:customStyle="1">
    <w:name w:val="font01"/>
    <w:uiPriority w:val="0"/>
    <w:qFormat/>
    <w:rPr>
      <w:rFonts w:hint="eastAsia" w:ascii="宋体" w:hAnsi="宋体" w:eastAsia="宋体" w:cs="宋体"/>
      <w:color w:val="000000"/>
      <w:sz w:val="24"/>
      <w:szCs w:val="24"/>
      <w:u w:val="none"/>
    </w:rPr>
  </w:style>
  <w:style w:type="character" w:styleId="1096" w:customStyle="1">
    <w:name w:val="标题 3 Char1"/>
    <w:uiPriority w:val="0"/>
    <w:qFormat/>
    <w:rPr>
      <w:rFonts w:ascii="Times New Roman" w:hAnsi="Times New Roman" w:eastAsia="宋体" w:cs="Times New Roman"/>
      <w:b/>
      <w:sz w:val="20"/>
      <w:u w:val="single"/>
    </w:rPr>
  </w:style>
  <w:style w:type="character" w:styleId="1097" w:customStyle="1">
    <w:name w:val="表格 Char Char"/>
    <w:uiPriority w:val="0"/>
    <w:qFormat/>
    <w:rPr>
      <w:rFonts w:ascii="Times New Roman" w:hAnsi="Times New Roman" w:eastAsia="宋体" w:cs="Times New Roman"/>
      <w:sz w:val="20"/>
    </w:rPr>
  </w:style>
  <w:style w:type="character" w:styleId="1098" w:customStyle="1">
    <w:name w:val="正文首行缩进 Char"/>
    <w:uiPriority w:val="0"/>
    <w:qFormat/>
    <w:rPr>
      <w:rFonts w:ascii="Times New Roman" w:hAnsi="Times New Roman" w:eastAsia="宋体" w:cs="Times New Roman"/>
      <w:sz w:val="20"/>
    </w:rPr>
  </w:style>
  <w:style w:type="character" w:styleId="1099" w:customStyle="1">
    <w:name w:val="标题 9 Char"/>
    <w:uiPriority w:val="0"/>
    <w:qFormat/>
    <w:rPr>
      <w:rFonts w:ascii="Times New Roman" w:hAnsi="Times New Roman" w:eastAsia="宋体" w:cs="Times New Roman"/>
      <w:sz w:val="20"/>
    </w:rPr>
  </w:style>
  <w:style w:type="character" w:styleId="1100" w:customStyle="1">
    <w:name w:val="lh151"/>
    <w:uiPriority w:val="0"/>
    <w:qFormat/>
    <w:rPr>
      <w:rFonts w:ascii="Times New Roman" w:hAnsi="Times New Roman" w:eastAsia="宋体" w:cs="Times New Roman"/>
      <w:color w:val="666666"/>
      <w:sz w:val="20"/>
    </w:rPr>
  </w:style>
  <w:style w:type="character" w:styleId="1101" w:customStyle="1">
    <w:name w:val="日期 Char1"/>
    <w:uiPriority w:val="0"/>
    <w:qFormat/>
    <w:rPr>
      <w:rFonts w:ascii="Times New Roman" w:hAnsi="Times New Roman" w:eastAsia="宋体" w:cs="Times New Roman"/>
      <w:sz w:val="20"/>
    </w:rPr>
  </w:style>
  <w:style w:type="character" w:styleId="1102" w:customStyle="1">
    <w:name w:val="图片 Char Char"/>
    <w:uiPriority w:val="0"/>
    <w:qFormat/>
    <w:rPr>
      <w:rFonts w:ascii="Times New Roman" w:hAnsi="Times New Roman" w:eastAsia="宋体" w:cs="Times New Roman"/>
      <w:sz w:val="20"/>
    </w:rPr>
  </w:style>
  <w:style w:type="character" w:styleId="1103" w:customStyle="1">
    <w:name w:val="批注框文本 字符"/>
    <w:uiPriority w:val="0"/>
    <w:qFormat/>
    <w:rPr>
      <w:rFonts w:ascii="Times New Roman" w:hAnsi="Times New Roman" w:eastAsia="宋体" w:cs="Times New Roman"/>
      <w:sz w:val="20"/>
    </w:rPr>
  </w:style>
  <w:style w:type="character" w:styleId="1104" w:customStyle="1">
    <w:name w:val="HTML 预设格式 Char"/>
    <w:uiPriority w:val="0"/>
    <w:qFormat/>
    <w:rPr>
      <w:rFonts w:ascii="Times New Roman" w:hAnsi="Times New Roman" w:eastAsia="宋体" w:cs="Times New Roman"/>
      <w:sz w:val="20"/>
    </w:rPr>
  </w:style>
  <w:style w:type="character" w:styleId="1105" w:customStyle="1">
    <w:name w:val="列出段落 Char"/>
    <w:uiPriority w:val="0"/>
    <w:qFormat/>
    <w:rPr>
      <w:rFonts w:ascii="Times New Roman" w:hAnsi="Times New Roman" w:eastAsia="宋体" w:cs="Times New Roman"/>
      <w:sz w:val="20"/>
    </w:rPr>
  </w:style>
  <w:style w:type="character" w:styleId="1106" w:customStyle="1">
    <w:name w:val="标题 5 Char"/>
    <w:uiPriority w:val="0"/>
    <w:qFormat/>
    <w:rPr>
      <w:rFonts w:ascii="Times New Roman" w:hAnsi="Times New Roman" w:eastAsia="宋体" w:cs="Times New Roman"/>
      <w:b/>
      <w:sz w:val="20"/>
    </w:rPr>
  </w:style>
  <w:style w:type="character" w:styleId="1107" w:customStyle="1">
    <w:name w:val="链接"/>
    <w:uiPriority w:val="0"/>
    <w:qFormat/>
    <w:rPr>
      <w:rFonts w:ascii="Times New Roman" w:hAnsi="Times New Roman" w:eastAsia="宋体" w:cs="Times New Roman"/>
      <w:color w:val="0000ff"/>
      <w:sz w:val="20"/>
      <w:u w:val="single"/>
    </w:rPr>
  </w:style>
  <w:style w:type="character" w:styleId="1108" w:customStyle="1">
    <w:name w:val="18h1"/>
    <w:uiPriority w:val="0"/>
    <w:qFormat/>
    <w:rPr>
      <w:rFonts w:ascii="Times New Roman" w:hAnsi="Times New Roman" w:eastAsia="宋体" w:cs="Times New Roman"/>
      <w:color w:val="3b3b3b"/>
      <w:sz w:val="20"/>
    </w:rPr>
  </w:style>
  <w:style w:type="character" w:styleId="1109" w:customStyle="1">
    <w:name w:val="表格文字（两侧对齐） Char Char"/>
    <w:uiPriority w:val="0"/>
    <w:qFormat/>
    <w:rPr>
      <w:rFonts w:ascii="Times New Roman" w:hAnsi="Times New Roman" w:eastAsia="宋体" w:cs="Times New Roman"/>
      <w:sz w:val="20"/>
    </w:rPr>
  </w:style>
  <w:style w:type="character" w:styleId="1110" w:customStyle="1">
    <w:name w:val="正文文本缩进 2 Char"/>
    <w:uiPriority w:val="0"/>
    <w:qFormat/>
    <w:rPr>
      <w:rFonts w:ascii="Times New Roman" w:hAnsi="Times New Roman" w:eastAsia="宋体" w:cs="Times New Roman"/>
      <w:sz w:val="20"/>
    </w:rPr>
  </w:style>
  <w:style w:type="character" w:styleId="1111" w:customStyle="1">
    <w:name w:val="Char Char14"/>
    <w:uiPriority w:val="0"/>
    <w:qFormat/>
    <w:rPr>
      <w:rFonts w:ascii="Times New Roman" w:hAnsi="Times New Roman" w:eastAsia="宋体" w:cs="Times New Roman"/>
      <w:sz w:val="20"/>
    </w:rPr>
  </w:style>
  <w:style w:type="character" w:styleId="1112" w:customStyle="1">
    <w:name w:val="标题 1 Char1"/>
    <w:uiPriority w:val="0"/>
    <w:qFormat/>
    <w:rPr>
      <w:rFonts w:ascii="Times New Roman" w:hAnsi="Times New Roman" w:eastAsia="宋体" w:cs="Times New Roman"/>
      <w:b/>
      <w:sz w:val="20"/>
    </w:rPr>
  </w:style>
  <w:style w:type="character" w:styleId="1113" w:customStyle="1">
    <w:name w:val="批注框文本 Char"/>
    <w:uiPriority w:val="0"/>
    <w:qFormat/>
    <w:rPr>
      <w:rFonts w:ascii="Times New Roman" w:hAnsi="Times New Roman" w:eastAsia="宋体" w:cs="Times New Roman"/>
      <w:sz w:val="20"/>
    </w:rPr>
  </w:style>
  <w:style w:type="character" w:styleId="1114" w:customStyle="1">
    <w:name w:val="apple-style-span"/>
    <w:uiPriority w:val="0"/>
    <w:qFormat/>
    <w:rPr>
      <w:rFonts w:ascii="Times New Roman" w:hAnsi="Times New Roman" w:eastAsia="宋体" w:cs="Times New Roman"/>
      <w:sz w:val="20"/>
    </w:rPr>
  </w:style>
  <w:style w:type="character" w:styleId="1115" w:customStyle="1">
    <w:name w:val="插图 Char Char"/>
    <w:uiPriority w:val="0"/>
    <w:qFormat/>
    <w:rPr>
      <w:rFonts w:ascii="Times New Roman" w:hAnsi="Times New Roman" w:eastAsia="宋体" w:cs="Times New Roman"/>
      <w:sz w:val="20"/>
    </w:rPr>
  </w:style>
  <w:style w:type="character" w:styleId="1116" w:customStyle="1">
    <w:name w:val="标题 2 Char1"/>
    <w:uiPriority w:val="0"/>
    <w:qFormat/>
    <w:rPr>
      <w:rFonts w:ascii="Times New Roman" w:hAnsi="Times New Roman" w:eastAsia="宋体" w:cs="Times New Roman"/>
      <w:b/>
      <w:sz w:val="20"/>
    </w:rPr>
  </w:style>
  <w:style w:type="character" w:styleId="1117" w:customStyle="1">
    <w:name w:val="_Style 332"/>
    <w:uiPriority w:val="0"/>
    <w:qFormat/>
    <w:rPr>
      <w:rFonts w:ascii="Times New Roman" w:hAnsi="Times New Roman" w:eastAsia="宋体" w:cs="Times New Roman"/>
      <w:i/>
      <w:color w:val="auto"/>
      <w:sz w:val="21"/>
    </w:rPr>
  </w:style>
  <w:style w:type="character" w:styleId="1118" w:customStyle="1">
    <w:name w:val="正文文本 3 Char1"/>
    <w:uiPriority w:val="0"/>
    <w:qFormat/>
    <w:rPr>
      <w:rFonts w:ascii="Times New Roman" w:hAnsi="Times New Roman" w:eastAsia="宋体" w:cs="Times New Roman"/>
      <w:sz w:val="20"/>
    </w:rPr>
  </w:style>
  <w:style w:type="character" w:styleId="1119" w:customStyle="1">
    <w:name w:val="标题 5 Char1"/>
    <w:uiPriority w:val="0"/>
    <w:qFormat/>
    <w:rPr>
      <w:rFonts w:ascii="Times New Roman" w:hAnsi="Times New Roman" w:eastAsia="宋体" w:cs="Times New Roman"/>
      <w:b/>
      <w:sz w:val="20"/>
    </w:rPr>
  </w:style>
  <w:style w:type="character" w:styleId="1120" w:customStyle="1">
    <w:name w:val="批注主题 Char"/>
    <w:uiPriority w:val="0"/>
    <w:qFormat/>
    <w:rPr>
      <w:rFonts w:ascii="Times New Roman" w:hAnsi="Times New Roman" w:eastAsia="宋体" w:cs="Times New Roman"/>
      <w:b/>
      <w:sz w:val="20"/>
    </w:rPr>
  </w:style>
  <w:style w:type="character" w:styleId="1121" w:customStyle="1">
    <w:name w:val="标题 1 Char"/>
    <w:uiPriority w:val="0"/>
    <w:qFormat/>
    <w:rPr>
      <w:rFonts w:ascii="Times New Roman" w:hAnsi="Times New Roman" w:eastAsia="宋体" w:cs="Times New Roman"/>
      <w:b/>
      <w:sz w:val="20"/>
    </w:rPr>
  </w:style>
  <w:style w:type="character" w:styleId="1122" w:customStyle="1">
    <w:name w:val="正文文本 2 Char1"/>
    <w:uiPriority w:val="0"/>
    <w:qFormat/>
    <w:rPr>
      <w:rFonts w:ascii="Times New Roman" w:hAnsi="Times New Roman" w:eastAsia="宋体" w:cs="Times New Roman"/>
      <w:sz w:val="20"/>
    </w:rPr>
  </w:style>
  <w:style w:type="character" w:styleId="1123" w:customStyle="1">
    <w:name w:val="标题 4 Char1"/>
    <w:uiPriority w:val="0"/>
    <w:qFormat/>
    <w:rPr>
      <w:rFonts w:ascii="Times New Roman" w:hAnsi="Times New Roman" w:eastAsia="宋体" w:cs="Times New Roman"/>
      <w:b/>
      <w:sz w:val="20"/>
    </w:rPr>
  </w:style>
  <w:style w:type="character" w:styleId="1124" w:customStyle="1">
    <w:name w:val="正文文本 2 Char"/>
    <w:uiPriority w:val="0"/>
    <w:qFormat/>
    <w:rPr>
      <w:rFonts w:ascii="Times New Roman" w:hAnsi="Times New Roman" w:eastAsia="宋体" w:cs="Times New Roman"/>
      <w:sz w:val="20"/>
    </w:rPr>
  </w:style>
  <w:style w:type="character" w:styleId="1125" w:customStyle="1">
    <w:name w:val="_Style 376"/>
    <w:uiPriority w:val="0"/>
    <w:qFormat/>
    <w:rPr>
      <w:rFonts w:ascii="Times New Roman" w:hAnsi="Times New Roman" w:eastAsia="宋体" w:cs="Times New Roman"/>
      <w:b/>
      <w:color w:val="auto"/>
      <w:sz w:val="21"/>
    </w:rPr>
  </w:style>
  <w:style w:type="character" w:styleId="1126" w:customStyle="1">
    <w:name w:val="062"/>
    <w:uiPriority w:val="0"/>
    <w:qFormat/>
    <w:rPr>
      <w:rFonts w:ascii="Times New Roman" w:hAnsi="Times New Roman" w:eastAsia="宋体" w:cs="Times New Roman"/>
      <w:b/>
      <w:sz w:val="20"/>
    </w:rPr>
  </w:style>
  <w:style w:type="character" w:styleId="1127" w:customStyle="1">
    <w:name w:val="正文文本 Char1"/>
    <w:uiPriority w:val="0"/>
    <w:qFormat/>
    <w:rPr>
      <w:rFonts w:ascii="Times New Roman" w:hAnsi="Times New Roman" w:eastAsia="宋体" w:cs="Times New Roman"/>
      <w:sz w:val="20"/>
    </w:rPr>
  </w:style>
  <w:style w:type="character" w:styleId="1128" w:customStyle="1">
    <w:name w:val="题注 Char"/>
    <w:uiPriority w:val="0"/>
    <w:qFormat/>
    <w:rPr>
      <w:rFonts w:ascii="Times New Roman" w:hAnsi="Times New Roman" w:eastAsia="宋体" w:cs="Times New Roman"/>
      <w:sz w:val="20"/>
    </w:rPr>
  </w:style>
  <w:style w:type="character" w:styleId="1129" w:customStyle="1">
    <w:name w:val="脚注文本 Char"/>
    <w:uiPriority w:val="0"/>
    <w:qFormat/>
    <w:rPr>
      <w:rFonts w:ascii="Times New Roman" w:hAnsi="Times New Roman" w:eastAsia="宋体" w:cs="Times New Roman"/>
      <w:sz w:val="20"/>
    </w:rPr>
  </w:style>
  <w:style w:type="character" w:styleId="1130" w:customStyle="1">
    <w:name w:val="_Style 336"/>
    <w:uiPriority w:val="0"/>
    <w:qFormat/>
    <w:rPr>
      <w:rFonts w:ascii="Times New Roman" w:hAnsi="Times New Roman" w:eastAsia="宋体" w:cs="Times New Roman"/>
      <w:i/>
      <w:color w:val="auto"/>
      <w:sz w:val="21"/>
    </w:rPr>
  </w:style>
  <w:style w:type="character" w:styleId="1131" w:customStyle="1">
    <w:name w:val="表格 Char"/>
    <w:uiPriority w:val="0"/>
    <w:qFormat/>
    <w:rPr>
      <w:rFonts w:ascii="Times New Roman" w:hAnsi="Times New Roman" w:eastAsia="宋体" w:cs="Times New Roman"/>
      <w:color w:val="000000"/>
      <w:sz w:val="20"/>
    </w:rPr>
  </w:style>
  <w:style w:type="character" w:styleId="1132" w:customStyle="1">
    <w:name w:val="批注主题 字符"/>
    <w:uiPriority w:val="0"/>
    <w:qFormat/>
    <w:rPr>
      <w:rFonts w:ascii="Times New Roman" w:hAnsi="Times New Roman" w:eastAsia="宋体" w:cs="Times New Roman"/>
      <w:b/>
      <w:sz w:val="20"/>
    </w:rPr>
  </w:style>
  <w:style w:type="character" w:styleId="1133" w:customStyle="1">
    <w:name w:val="图注 Char Char"/>
    <w:uiPriority w:val="0"/>
    <w:qFormat/>
    <w:rPr>
      <w:rFonts w:ascii="Times New Roman" w:hAnsi="Times New Roman" w:eastAsia="宋体" w:cs="Times New Roman"/>
      <w:sz w:val="20"/>
    </w:rPr>
  </w:style>
  <w:style w:type="character" w:styleId="1134" w:customStyle="1">
    <w:name w:val="页码1"/>
    <w:uiPriority w:val="0"/>
    <w:qFormat/>
    <w:rPr>
      <w:rFonts w:ascii="Times New Roman" w:hAnsi="Times New Roman" w:eastAsia="宋体" w:cs="Times New Roman"/>
      <w:sz w:val="20"/>
    </w:rPr>
  </w:style>
  <w:style w:type="character" w:styleId="1135" w:customStyle="1">
    <w:name w:val="列表框1 Char Char"/>
    <w:uiPriority w:val="0"/>
    <w:qFormat/>
    <w:rPr>
      <w:rFonts w:ascii="Times New Roman" w:hAnsi="Times New Roman" w:eastAsia="宋体" w:cs="Times New Roman"/>
      <w:sz w:val="20"/>
    </w:rPr>
  </w:style>
  <w:style w:type="character" w:styleId="1136" w:customStyle="1">
    <w:name w:val="1ji Char"/>
    <w:uiPriority w:val="0"/>
    <w:qFormat/>
    <w:rPr>
      <w:rFonts w:ascii="Times New Roman" w:hAnsi="Times New Roman" w:eastAsia="宋体" w:cs="Times New Roman"/>
      <w:b/>
      <w:sz w:val="20"/>
    </w:rPr>
  </w:style>
  <w:style w:type="character" w:styleId="1137" w:customStyle="1">
    <w:name w:val="正文文本缩进 Char"/>
    <w:uiPriority w:val="0"/>
    <w:qFormat/>
    <w:rPr>
      <w:rFonts w:ascii="Times New Roman" w:hAnsi="Times New Roman" w:eastAsia="宋体" w:cs="Times New Roman"/>
      <w:sz w:val="20"/>
    </w:rPr>
  </w:style>
  <w:style w:type="character" w:styleId="1138" w:customStyle="1">
    <w:name w:val="标准文本 Char Char"/>
    <w:uiPriority w:val="0"/>
    <w:qFormat/>
    <w:rPr>
      <w:rFonts w:ascii="Times New Roman" w:hAnsi="Times New Roman" w:eastAsia="宋体" w:cs="Times New Roman"/>
      <w:sz w:val="20"/>
    </w:rPr>
  </w:style>
  <w:style w:type="character" w:styleId="1139" w:customStyle="1">
    <w:name w:val="表格用 Char"/>
    <w:uiPriority w:val="0"/>
    <w:qFormat/>
    <w:rPr>
      <w:rFonts w:ascii="Times New Roman" w:hAnsi="Times New Roman" w:eastAsia="宋体" w:cs="Times New Roman"/>
      <w:color w:val="000000"/>
      <w:sz w:val="20"/>
    </w:rPr>
  </w:style>
  <w:style w:type="character" w:styleId="1140" w:customStyle="1">
    <w:name w:val="标题 7 Char1"/>
    <w:uiPriority w:val="0"/>
    <w:qFormat/>
    <w:rPr>
      <w:rFonts w:ascii="Times New Roman" w:hAnsi="Times New Roman" w:eastAsia="宋体" w:cs="Times New Roman"/>
      <w:b/>
      <w:sz w:val="20"/>
    </w:rPr>
  </w:style>
  <w:style w:type="character" w:styleId="1141" w:customStyle="1">
    <w:name w:val="H 3 Char"/>
    <w:uiPriority w:val="0"/>
    <w:qFormat/>
    <w:rPr>
      <w:rFonts w:ascii="Times New Roman" w:hAnsi="Times New Roman" w:eastAsia="宋体" w:cs="Times New Roman"/>
      <w:b/>
      <w:sz w:val="20"/>
    </w:rPr>
  </w:style>
  <w:style w:type="character" w:styleId="1142" w:customStyle="1">
    <w:name w:val="正文文本缩进 3 字符"/>
    <w:uiPriority w:val="0"/>
    <w:qFormat/>
    <w:rPr>
      <w:rFonts w:ascii="Times New Roman" w:hAnsi="Times New Roman" w:eastAsia="宋体" w:cs="Times New Roman"/>
      <w:sz w:val="16"/>
      <w:szCs w:val="16"/>
    </w:rPr>
  </w:style>
  <w:style w:type="character" w:styleId="1143" w:customStyle="1">
    <w:name w:val="标题 Char"/>
    <w:uiPriority w:val="0"/>
    <w:qFormat/>
    <w:rPr>
      <w:rFonts w:ascii="Times New Roman" w:hAnsi="Times New Roman" w:eastAsia="宋体" w:cs="Times New Roman"/>
      <w:b/>
      <w:sz w:val="20"/>
    </w:rPr>
  </w:style>
  <w:style w:type="character" w:styleId="1144" w:customStyle="1">
    <w:name w:val="H 4 Char"/>
    <w:uiPriority w:val="0"/>
    <w:qFormat/>
    <w:rPr>
      <w:rFonts w:ascii="Times New Roman" w:hAnsi="Times New Roman" w:eastAsia="宋体" w:cs="Times New Roman"/>
      <w:b/>
      <w:sz w:val="20"/>
    </w:rPr>
  </w:style>
  <w:style w:type="character" w:styleId="1145" w:customStyle="1">
    <w:name w:val="批注主题 Char1"/>
    <w:uiPriority w:val="0"/>
    <w:qFormat/>
    <w:rPr>
      <w:rFonts w:ascii="Times New Roman" w:hAnsi="Times New Roman" w:eastAsia="宋体" w:cs="Times New Roman"/>
      <w:b/>
      <w:sz w:val="20"/>
    </w:rPr>
  </w:style>
  <w:style w:type="character" w:styleId="1146" w:customStyle="1">
    <w:name w:val="正文文本缩进 Char1"/>
    <w:uiPriority w:val="0"/>
    <w:qFormat/>
    <w:rPr>
      <w:rFonts w:ascii="Times New Roman" w:hAnsi="Times New Roman" w:eastAsia="宋体" w:cs="Times New Roman"/>
      <w:sz w:val="20"/>
    </w:rPr>
  </w:style>
  <w:style w:type="character" w:styleId="1147" w:customStyle="1">
    <w:name w:val="正文文本 3 Char"/>
    <w:uiPriority w:val="0"/>
    <w:qFormat/>
    <w:rPr>
      <w:rFonts w:ascii="Times New Roman" w:hAnsi="Times New Roman" w:eastAsia="宋体" w:cs="Times New Roman"/>
      <w:sz w:val="20"/>
    </w:rPr>
  </w:style>
  <w:style w:type="character" w:styleId="1148" w:customStyle="1">
    <w:name w:val="正文首行缩进 2 Char"/>
    <w:uiPriority w:val="0"/>
    <w:qFormat/>
    <w:rPr>
      <w:rFonts w:ascii="Times New Roman" w:hAnsi="Times New Roman" w:eastAsia="宋体" w:cs="Times New Roman"/>
      <w:sz w:val="20"/>
    </w:rPr>
  </w:style>
  <w:style w:type="character" w:styleId="1149" w:customStyle="1">
    <w:name w:val="页眉 Char1"/>
    <w:uiPriority w:val="0"/>
    <w:qFormat/>
    <w:rPr>
      <w:rFonts w:ascii="Times New Roman" w:hAnsi="Times New Roman" w:eastAsia="宋体" w:cs="Times New Roman"/>
      <w:sz w:val="20"/>
    </w:rPr>
  </w:style>
  <w:style w:type="character" w:styleId="1150" w:customStyle="1">
    <w:name w:val="Char Char2"/>
    <w:uiPriority w:val="0"/>
    <w:qFormat/>
    <w:rPr>
      <w:rFonts w:ascii="Times New Roman" w:hAnsi="Times New Roman" w:eastAsia="宋体" w:cs="Times New Roman"/>
      <w:sz w:val="20"/>
    </w:rPr>
  </w:style>
  <w:style w:type="character" w:styleId="1151" w:customStyle="1">
    <w:name w:val="样式 首行缩进:  2 字符 Char1"/>
    <w:uiPriority w:val="0"/>
    <w:qFormat/>
    <w:rPr>
      <w:rFonts w:ascii="Times New Roman" w:hAnsi="Times New Roman" w:eastAsia="宋体" w:cs="Times New Roman"/>
      <w:sz w:val="20"/>
    </w:rPr>
  </w:style>
  <w:style w:type="character" w:styleId="1152" w:customStyle="1">
    <w:name w:val="标题 2 Char"/>
    <w:uiPriority w:val="0"/>
    <w:qFormat/>
    <w:rPr>
      <w:rFonts w:ascii="Times New Roman" w:hAnsi="Times New Roman" w:eastAsia="宋体" w:cs="Times New Roman"/>
      <w:b/>
      <w:sz w:val="20"/>
    </w:rPr>
  </w:style>
  <w:style w:type="character" w:styleId="1153" w:customStyle="1">
    <w:name w:val="表格文字图表文字 Char Char"/>
    <w:uiPriority w:val="0"/>
    <w:qFormat/>
    <w:rPr>
      <w:rFonts w:ascii="Times New Roman" w:hAnsi="Times New Roman" w:eastAsia="宋体" w:cs="Times New Roman"/>
      <w:sz w:val="20"/>
    </w:rPr>
  </w:style>
  <w:style w:type="character" w:styleId="1154" w:customStyle="1">
    <w:name w:val="图片 Char"/>
    <w:uiPriority w:val="0"/>
    <w:qFormat/>
    <w:rPr>
      <w:rFonts w:ascii="Times New Roman" w:hAnsi="Times New Roman" w:eastAsia="宋体" w:cs="Times New Roman"/>
      <w:sz w:val="20"/>
    </w:rPr>
  </w:style>
  <w:style w:type="character" w:styleId="1155" w:customStyle="1">
    <w:name w:val="标题 6 Char"/>
    <w:uiPriority w:val="0"/>
    <w:qFormat/>
    <w:rPr>
      <w:rFonts w:ascii="Times New Roman" w:hAnsi="Times New Roman" w:eastAsia="宋体" w:cs="Times New Roman"/>
      <w:b/>
      <w:sz w:val="20"/>
    </w:rPr>
  </w:style>
  <w:style w:type="character" w:styleId="1156" w:customStyle="1">
    <w:name w:val="标题 4 Char"/>
    <w:uiPriority w:val="0"/>
    <w:qFormat/>
    <w:rPr>
      <w:rFonts w:ascii="Times New Roman" w:hAnsi="Times New Roman" w:eastAsia="宋体" w:cs="Times New Roman"/>
      <w:b/>
      <w:sz w:val="20"/>
    </w:rPr>
  </w:style>
  <w:style w:type="character" w:styleId="1157" w:customStyle="1">
    <w:name w:val="文档结构图 Char1"/>
    <w:uiPriority w:val="0"/>
    <w:qFormat/>
    <w:rPr>
      <w:rFonts w:ascii="Times New Roman" w:hAnsi="Times New Roman" w:eastAsia="宋体" w:cs="Times New Roman"/>
      <w:sz w:val="20"/>
    </w:rPr>
  </w:style>
  <w:style w:type="character" w:styleId="1158" w:customStyle="1">
    <w:name w:val="项目符0 Char"/>
    <w:uiPriority w:val="0"/>
    <w:qFormat/>
    <w:rPr>
      <w:rFonts w:ascii="Times New Roman" w:hAnsi="Times New Roman" w:eastAsia="宋体" w:cs="Times New Roman"/>
      <w:sz w:val="20"/>
    </w:rPr>
  </w:style>
  <w:style w:type="character" w:styleId="1159" w:customStyle="1">
    <w:name w:val="正文文本缩进 3 Char"/>
    <w:uiPriority w:val="0"/>
    <w:qFormat/>
    <w:rPr>
      <w:rFonts w:ascii="Times New Roman" w:hAnsi="Times New Roman" w:eastAsia="宋体" w:cs="Times New Roman"/>
      <w:sz w:val="20"/>
    </w:rPr>
  </w:style>
  <w:style w:type="character" w:styleId="1160" w:customStyle="1">
    <w:name w:val="Char Char3"/>
    <w:uiPriority w:val="0"/>
    <w:qFormat/>
    <w:rPr>
      <w:rFonts w:ascii="Times New Roman" w:hAnsi="Times New Roman" w:eastAsia="宋体" w:cs="Times New Roman"/>
      <w:sz w:val="20"/>
    </w:rPr>
  </w:style>
  <w:style w:type="character" w:styleId="1161" w:customStyle="1">
    <w:name w:val="纯文本 Char"/>
    <w:uiPriority w:val="0"/>
    <w:qFormat/>
    <w:rPr>
      <w:rFonts w:ascii="Times New Roman" w:hAnsi="Times New Roman" w:eastAsia="宋体" w:cs="Times New Roman"/>
      <w:sz w:val="20"/>
    </w:rPr>
  </w:style>
  <w:style w:type="character" w:styleId="1162" w:customStyle="1">
    <w:name w:val="正文文本缩进 2 Char1"/>
    <w:uiPriority w:val="0"/>
    <w:qFormat/>
    <w:rPr>
      <w:rFonts w:ascii="Times New Roman" w:hAnsi="Times New Roman" w:eastAsia="宋体" w:cs="Times New Roman"/>
      <w:sz w:val="20"/>
    </w:rPr>
  </w:style>
  <w:style w:type="character" w:styleId="1163" w:customStyle="1">
    <w:name w:val="标题 8 Char"/>
    <w:uiPriority w:val="0"/>
    <w:qFormat/>
    <w:rPr>
      <w:rFonts w:ascii="Times New Roman" w:hAnsi="Times New Roman" w:eastAsia="宋体" w:cs="Times New Roman"/>
      <w:sz w:val="20"/>
    </w:rPr>
  </w:style>
  <w:style w:type="character" w:styleId="1164" w:customStyle="1">
    <w:name w:val="标题 6 Char1"/>
    <w:uiPriority w:val="0"/>
    <w:qFormat/>
    <w:rPr>
      <w:rFonts w:ascii="Times New Roman" w:hAnsi="Times New Roman" w:eastAsia="宋体" w:cs="Times New Roman"/>
      <w:b/>
      <w:sz w:val="20"/>
    </w:rPr>
  </w:style>
  <w:style w:type="character" w:styleId="1165" w:customStyle="1">
    <w:name w:val="case31"/>
    <w:uiPriority w:val="0"/>
    <w:qFormat/>
    <w:rPr>
      <w:rFonts w:ascii="Times New Roman" w:hAnsi="Times New Roman" w:eastAsia="宋体" w:cs="Times New Roman"/>
      <w:sz w:val="20"/>
    </w:rPr>
  </w:style>
  <w:style w:type="character" w:styleId="1166" w:customStyle="1">
    <w:name w:val="正文文本 Char"/>
    <w:uiPriority w:val="0"/>
    <w:qFormat/>
    <w:rPr>
      <w:rFonts w:ascii="Times New Roman" w:hAnsi="Times New Roman" w:eastAsia="宋体" w:cs="Times New Roman"/>
      <w:sz w:val="20"/>
    </w:rPr>
  </w:style>
  <w:style w:type="paragraph" w:styleId="1167" w:customStyle="1">
    <w:name w:val="节标题"/>
    <w:basedOn w:val="839"/>
    <w:next w:val="1168"/>
    <w:uiPriority w:val="0"/>
    <w:qFormat/>
    <w:pPr>
      <w:ind w:left="0" w:firstLine="5120"/>
      <w:jc w:val="center"/>
      <w:spacing w:before="0" w:after="0" w:line="289" w:lineRule="atLeast"/>
    </w:pPr>
    <w:rPr>
      <w:rFonts w:ascii="Times New Roman" w:hAnsi="Times New Roman" w:cs="Times New Roman"/>
    </w:rPr>
  </w:style>
  <w:style w:type="paragraph" w:styleId="1168" w:customStyle="1">
    <w:name w:val="文档标题6"/>
    <w:basedOn w:val="845"/>
    <w:next w:val="838"/>
    <w:uiPriority w:val="0"/>
    <w:qFormat/>
    <w:pPr>
      <w:ind w:left="1134" w:firstLine="20"/>
      <w:spacing w:before="280" w:after="280" w:line="360" w:lineRule="auto"/>
      <w:outlineLvl w:val="5"/>
    </w:pPr>
  </w:style>
  <w:style w:type="paragraph" w:styleId="1169" w:customStyle="1">
    <w:name w:val="正文段"/>
    <w:basedOn w:val="839"/>
    <w:next w:val="1170"/>
    <w:uiPriority w:val="0"/>
    <w:qFormat/>
    <w:pPr>
      <w:ind w:left="454" w:firstLine="1222"/>
      <w:spacing w:before="0" w:after="240" w:line="240" w:lineRule="atLeast"/>
    </w:pPr>
    <w:rPr>
      <w:rFonts w:ascii="Times New Roman" w:hAnsi="Times New Roman" w:cs="Times New Roman"/>
    </w:rPr>
  </w:style>
  <w:style w:type="paragraph" w:styleId="1170" w:customStyle="1">
    <w:name w:val="批注主题1"/>
    <w:next w:val="838"/>
    <w:uiPriority w:val="0"/>
    <w:qFormat/>
    <w:pPr>
      <w:ind w:left="200" w:firstLine="4808"/>
      <w:spacing w:line="360" w:lineRule="auto"/>
    </w:pPr>
    <w:rPr>
      <w:rFonts w:hint="default" w:ascii="Calibri" w:hAnsi="Calibri" w:eastAsia="宋体" w:cs="宋体"/>
    </w:rPr>
  </w:style>
  <w:style w:type="paragraph" w:styleId="1171" w:customStyle="1">
    <w:name w:val="_Style 224"/>
    <w:next w:val="1172"/>
    <w:uiPriority w:val="0"/>
    <w:qFormat/>
    <w:pPr>
      <w:ind w:firstLine="3584"/>
    </w:pPr>
    <w:rPr>
      <w:rFonts w:hint="default" w:ascii="Calibri" w:hAnsi="Calibri" w:eastAsia="宋体" w:cs="宋体"/>
    </w:rPr>
  </w:style>
  <w:style w:type="paragraph" w:styleId="1172" w:customStyle="1">
    <w:name w:val="编号1"/>
    <w:basedOn w:val="839"/>
    <w:next w:val="1173"/>
    <w:uiPriority w:val="0"/>
    <w:qFormat/>
    <w:pPr>
      <w:ind w:left="360" w:right="210" w:firstLine="2200"/>
      <w:spacing w:before="0" w:after="0" w:line="240" w:lineRule="auto"/>
    </w:pPr>
    <w:rPr>
      <w:rFonts w:ascii="Times New Roman" w:hAnsi="Times New Roman" w:cs="Times New Roman"/>
    </w:rPr>
  </w:style>
  <w:style w:type="paragraph" w:styleId="1173" w:customStyle="1">
    <w:name w:val="图片"/>
    <w:basedOn w:val="839"/>
    <w:next w:val="1174"/>
    <w:uiPriority w:val="0"/>
    <w:qFormat/>
    <w:pPr>
      <w:ind w:left="-283" w:firstLine="2674"/>
      <w:jc w:val="center"/>
      <w:spacing w:before="0" w:after="0" w:line="360" w:lineRule="auto"/>
    </w:pPr>
    <w:rPr>
      <w:rFonts w:ascii="Times New Roman" w:hAnsi="Times New Roman" w:cs="Times New Roman"/>
    </w:rPr>
  </w:style>
  <w:style w:type="paragraph" w:styleId="1174" w:customStyle="1">
    <w:name w:val="样式 目录 3 + 左侧:  2 字符"/>
    <w:next w:val="891"/>
    <w:uiPriority w:val="0"/>
    <w:qFormat/>
    <w:pPr>
      <w:ind w:left="400" w:firstLine="5120"/>
      <w:spacing w:line="360" w:lineRule="auto"/>
      <w:widowControl w:val="off"/>
    </w:pPr>
    <w:rPr>
      <w:rFonts w:hint="default" w:ascii="Calibri" w:hAnsi="Calibri" w:eastAsia="宋体" w:cs="宋体"/>
    </w:rPr>
  </w:style>
  <w:style w:type="paragraph" w:styleId="1175" w:customStyle="1">
    <w:name w:val="图注"/>
    <w:next w:val="1176"/>
    <w:uiPriority w:val="0"/>
    <w:qFormat/>
    <w:pPr>
      <w:ind w:left="360" w:firstLine="2152"/>
      <w:jc w:val="center"/>
    </w:pPr>
    <w:rPr>
      <w:rFonts w:hint="default" w:ascii="Calibri" w:hAnsi="Calibri" w:eastAsia="宋体" w:cs="宋体"/>
    </w:rPr>
  </w:style>
  <w:style w:type="paragraph" w:styleId="1176" w:customStyle="1">
    <w:name w:val="列表编号 41"/>
    <w:basedOn w:val="839"/>
    <w:next w:val="1177"/>
    <w:uiPriority w:val="0"/>
    <w:qFormat/>
    <w:pPr>
      <w:ind w:left="1620" w:firstLine="2712"/>
      <w:spacing w:before="0" w:after="0" w:line="360" w:lineRule="auto"/>
    </w:pPr>
    <w:rPr>
      <w:rFonts w:ascii="Times New Roman" w:hAnsi="Times New Roman" w:cs="Times New Roman"/>
    </w:rPr>
  </w:style>
  <w:style w:type="paragraph" w:styleId="1177" w:customStyle="1">
    <w:name w:val="项目符0"/>
    <w:basedOn w:val="839"/>
    <w:next w:val="1178"/>
    <w:uiPriority w:val="0"/>
    <w:qFormat/>
    <w:pPr>
      <w:ind w:left="300" w:right="57" w:firstLine="2760"/>
      <w:spacing w:before="0" w:after="0" w:line="300" w:lineRule="auto"/>
    </w:pPr>
    <w:rPr>
      <w:rFonts w:ascii="Times New Roman" w:hAnsi="Times New Roman" w:cs="Times New Roman"/>
    </w:rPr>
  </w:style>
  <w:style w:type="paragraph" w:styleId="1178" w:customStyle="1">
    <w:name w:val="宏文本1"/>
    <w:next w:val="1179"/>
    <w:uiPriority w:val="0"/>
    <w:qFormat/>
    <w:pPr>
      <w:ind w:firstLine="5632"/>
      <w:widowControl w:val="off"/>
    </w:pPr>
    <w:rPr>
      <w:rFonts w:hint="default" w:ascii="Calibri" w:hAnsi="Calibri" w:eastAsia="宋体" w:cs="宋体"/>
    </w:rPr>
  </w:style>
  <w:style w:type="paragraph" w:styleId="1179" w:customStyle="1">
    <w:name w:val="Item Step in Table"/>
    <w:next w:val="1180"/>
    <w:uiPriority w:val="0"/>
    <w:qFormat/>
    <w:pPr>
      <w:ind w:left="397" w:firstLine="3699"/>
      <w:jc w:val="both"/>
      <w:spacing w:before="40" w:after="40"/>
    </w:pPr>
    <w:rPr>
      <w:rFonts w:hint="default" w:ascii="Calibri" w:hAnsi="Calibri" w:eastAsia="宋体" w:cs="宋体"/>
    </w:rPr>
  </w:style>
  <w:style w:type="paragraph" w:styleId="1180" w:customStyle="1">
    <w:name w:val="Char Char Char Char Char Char1 Char Char Char Char Char Char"/>
    <w:basedOn w:val="839"/>
    <w:next w:val="1181"/>
    <w:uiPriority w:val="0"/>
    <w:qFormat/>
    <w:pPr>
      <w:ind w:left="0" w:firstLine="2560"/>
      <w:spacing w:before="0" w:after="0" w:line="240" w:lineRule="auto"/>
    </w:pPr>
    <w:rPr>
      <w:rFonts w:ascii="Times New Roman" w:hAnsi="Times New Roman" w:cs="Times New Roman"/>
    </w:rPr>
  </w:style>
  <w:style w:type="paragraph" w:styleId="1181" w:customStyle="1">
    <w:name w:val="Char Char1"/>
    <w:basedOn w:val="839"/>
    <w:next w:val="1182"/>
    <w:uiPriority w:val="0"/>
    <w:qFormat/>
    <w:pPr>
      <w:ind w:left="0" w:firstLine="3584"/>
      <w:spacing w:before="0" w:after="160" w:line="240" w:lineRule="exact"/>
    </w:pPr>
    <w:rPr>
      <w:rFonts w:ascii="Times New Roman" w:hAnsi="Times New Roman" w:cs="Times New Roman"/>
    </w:rPr>
  </w:style>
  <w:style w:type="paragraph" w:styleId="1182" w:customStyle="1">
    <w:name w:val="样式 标题 3 + 行距: 1.5 倍行距"/>
    <w:basedOn w:val="842"/>
    <w:next w:val="898"/>
    <w:uiPriority w:val="0"/>
    <w:qFormat/>
    <w:pPr>
      <w:ind w:left="200" w:firstLine="18"/>
      <w:spacing w:before="0" w:after="0" w:line="360" w:lineRule="auto"/>
      <w:outlineLvl w:val="2"/>
    </w:pPr>
  </w:style>
  <w:style w:type="paragraph" w:styleId="1183" w:customStyle="1">
    <w:name w:val="xl76"/>
    <w:basedOn w:val="839"/>
    <w:next w:val="895"/>
    <w:uiPriority w:val="0"/>
    <w:qFormat/>
    <w:pPr>
      <w:ind w:left="0" w:firstLine="3584"/>
      <w:jc w:val="center"/>
      <w:spacing w:before="280" w:after="280" w:line="240" w:lineRule="auto"/>
    </w:pPr>
    <w:rPr>
      <w:rFonts w:ascii="Times New Roman" w:hAnsi="Times New Roman" w:cs="Times New Roman"/>
    </w:rPr>
  </w:style>
  <w:style w:type="paragraph" w:styleId="1184" w:customStyle="1">
    <w:name w:val="xl26"/>
    <w:basedOn w:val="839"/>
    <w:next w:val="118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5" w:customStyle="1">
    <w:name w:val="Char1 Char Char"/>
    <w:basedOn w:val="839"/>
    <w:next w:val="877"/>
    <w:uiPriority w:val="0"/>
    <w:qFormat/>
    <w:pPr>
      <w:ind w:left="0" w:firstLine="2560"/>
      <w:spacing w:before="0" w:after="0" w:line="240" w:lineRule="auto"/>
    </w:pPr>
    <w:rPr>
      <w:rFonts w:ascii="Times New Roman" w:hAnsi="Times New Roman" w:cs="Times New Roman"/>
    </w:rPr>
  </w:style>
  <w:style w:type="paragraph" w:styleId="1186" w:customStyle="1">
    <w:name w:val="纯文本2"/>
    <w:basedOn w:val="839"/>
    <w:next w:val="1187"/>
    <w:uiPriority w:val="0"/>
    <w:qFormat/>
    <w:pPr>
      <w:ind w:left="0" w:firstLine="3584"/>
      <w:spacing w:before="0" w:after="0" w:line="240" w:lineRule="auto"/>
    </w:pPr>
    <w:rPr>
      <w:rFonts w:ascii="Times New Roman" w:hAnsi="Times New Roman" w:cs="Times New Roman"/>
    </w:rPr>
  </w:style>
  <w:style w:type="paragraph" w:styleId="1187" w:customStyle="1">
    <w:name w:val="xl69"/>
    <w:basedOn w:val="839"/>
    <w:next w:val="1188"/>
    <w:uiPriority w:val="0"/>
    <w:qFormat/>
    <w:pPr>
      <w:ind w:left="0" w:firstLine="3584"/>
      <w:spacing w:before="280" w:after="280" w:line="240" w:lineRule="auto"/>
    </w:pPr>
    <w:rPr>
      <w:rFonts w:ascii="Times New Roman" w:hAnsi="Times New Roman" w:cs="Times New Roman"/>
    </w:rPr>
  </w:style>
  <w:style w:type="paragraph" w:styleId="1188" w:customStyle="1">
    <w:name w:val="Char Char Char"/>
    <w:basedOn w:val="839"/>
    <w:next w:val="1189"/>
    <w:uiPriority w:val="0"/>
    <w:qFormat/>
    <w:pPr>
      <w:ind w:left="0" w:firstLine="2560"/>
      <w:spacing w:before="0" w:after="0" w:line="240" w:lineRule="auto"/>
    </w:pPr>
    <w:rPr>
      <w:rFonts w:ascii="Times New Roman" w:hAnsi="Times New Roman" w:cs="Times New Roman"/>
    </w:rPr>
  </w:style>
  <w:style w:type="paragraph" w:styleId="1189" w:customStyle="1">
    <w:name w:val="表格"/>
    <w:basedOn w:val="839"/>
    <w:next w:val="1184"/>
    <w:uiPriority w:val="0"/>
    <w:qFormat/>
    <w:pPr>
      <w:ind w:left="0" w:firstLine="2560"/>
      <w:spacing w:before="0" w:after="0" w:line="360" w:lineRule="auto"/>
    </w:pPr>
    <w:rPr>
      <w:rFonts w:ascii="Times New Roman" w:hAnsi="Times New Roman" w:cs="Times New Roman"/>
    </w:rPr>
  </w:style>
  <w:style w:type="paragraph" w:styleId="1190" w:customStyle="1">
    <w:name w:val="xl68"/>
    <w:basedOn w:val="839"/>
    <w:next w:val="1191"/>
    <w:uiPriority w:val="0"/>
    <w:qFormat/>
    <w:pPr>
      <w:ind w:left="100" w:firstLine="5220"/>
      <w:spacing w:before="280" w:after="280" w:line="240" w:lineRule="auto"/>
    </w:pPr>
    <w:rPr>
      <w:rFonts w:ascii="Times New Roman" w:hAnsi="Times New Roman" w:cs="Times New Roman"/>
    </w:rPr>
  </w:style>
  <w:style w:type="paragraph" w:styleId="1191" w:customStyle="1">
    <w:name w:val="Char1"/>
    <w:basedOn w:val="839"/>
    <w:next w:val="1192"/>
    <w:uiPriority w:val="0"/>
    <w:qFormat/>
    <w:pPr>
      <w:ind w:left="0" w:firstLine="2560"/>
      <w:spacing w:before="0" w:after="0" w:line="240" w:lineRule="auto"/>
    </w:pPr>
    <w:rPr>
      <w:rFonts w:ascii="Times New Roman" w:hAnsi="Times New Roman" w:cs="Times New Roman"/>
    </w:rPr>
  </w:style>
  <w:style w:type="paragraph" w:styleId="1192" w:customStyle="1">
    <w:name w:val="需求文档正文样式"/>
    <w:basedOn w:val="839"/>
    <w:next w:val="1193"/>
    <w:uiPriority w:val="0"/>
    <w:qFormat/>
    <w:pPr>
      <w:ind w:left="437" w:firstLine="2741"/>
      <w:spacing w:before="0" w:after="0" w:line="360" w:lineRule="auto"/>
    </w:pPr>
    <w:rPr>
      <w:rFonts w:ascii="Times New Roman" w:hAnsi="Times New Roman" w:cs="Times New Roman"/>
    </w:rPr>
  </w:style>
  <w:style w:type="paragraph" w:styleId="1193" w:customStyle="1">
    <w:name w:val="xl74"/>
    <w:basedOn w:val="839"/>
    <w:next w:val="1194"/>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4" w:customStyle="1">
    <w:name w:val="xl88"/>
    <w:basedOn w:val="839"/>
    <w:next w:val="1195"/>
    <w:uiPriority w:val="0"/>
    <w:qFormat/>
    <w:pPr>
      <w:ind w:left="0" w:firstLine="5120"/>
      <w:spacing w:before="280" w:after="280" w:line="240" w:lineRule="auto"/>
    </w:pPr>
    <w:rPr>
      <w:rFonts w:ascii="Times New Roman" w:hAnsi="Times New Roman" w:cs="Times New Roman"/>
    </w:rPr>
  </w:style>
  <w:style w:type="paragraph" w:styleId="1195" w:customStyle="1">
    <w:name w:val="xl70"/>
    <w:basedOn w:val="839"/>
    <w:next w:val="894"/>
    <w:uiPriority w:val="0"/>
    <w:qFormat/>
    <w:pPr>
      <w:ind w:left="0" w:firstLine="1024"/>
      <w:spacing w:before="280" w:after="280" w:line="240" w:lineRule="auto"/>
    </w:pPr>
    <w:rPr>
      <w:rFonts w:ascii="Times New Roman" w:hAnsi="Times New Roman" w:cs="Times New Roman"/>
    </w:rPr>
  </w:style>
  <w:style w:type="paragraph" w:styleId="1196" w:customStyle="1">
    <w:name w:val="文档标题5"/>
    <w:basedOn w:val="844"/>
    <w:next w:val="838"/>
    <w:uiPriority w:val="0"/>
    <w:qFormat/>
    <w:pPr>
      <w:ind w:left="992" w:firstLine="18"/>
      <w:spacing w:before="280" w:after="280" w:line="360" w:lineRule="auto"/>
      <w:outlineLvl w:val="4"/>
    </w:pPr>
  </w:style>
  <w:style w:type="paragraph" w:styleId="1197" w:customStyle="1">
    <w:name w:val="样式 加粗 居中"/>
    <w:basedOn w:val="839"/>
    <w:next w:val="1198"/>
    <w:uiPriority w:val="0"/>
    <w:qFormat/>
    <w:pPr>
      <w:ind w:left="0" w:firstLine="2560"/>
      <w:jc w:val="center"/>
      <w:spacing w:before="0" w:after="0" w:line="360" w:lineRule="auto"/>
    </w:pPr>
    <w:rPr>
      <w:rFonts w:ascii="Times New Roman" w:hAnsi="Times New Roman" w:cs="Times New Roman"/>
    </w:rPr>
  </w:style>
  <w:style w:type="paragraph" w:styleId="1198" w:customStyle="1">
    <w:name w:val="_Style 12"/>
    <w:next w:val="1199"/>
    <w:uiPriority w:val="0"/>
    <w:qFormat/>
    <w:pPr>
      <w:ind w:firstLine="14"/>
      <w:spacing w:line="360" w:lineRule="auto"/>
      <w:shd w:val="clear" w:color="000000" w:fill="000080"/>
    </w:pPr>
    <w:rPr>
      <w:rFonts w:hint="default" w:ascii="Calibri" w:hAnsi="Calibri" w:eastAsia="宋体" w:cs="宋体"/>
    </w:rPr>
  </w:style>
  <w:style w:type="paragraph" w:styleId="1199" w:customStyle="1">
    <w:name w:val="正文文本缩进1"/>
    <w:basedOn w:val="839"/>
    <w:next w:val="1200"/>
    <w:uiPriority w:val="0"/>
    <w:qFormat/>
    <w:pPr>
      <w:ind w:left="420" w:firstLine="3584"/>
      <w:spacing w:before="0" w:after="120" w:line="240" w:lineRule="auto"/>
    </w:pPr>
    <w:rPr>
      <w:rFonts w:ascii="Times New Roman" w:hAnsi="Times New Roman" w:cs="Times New Roman"/>
    </w:rPr>
  </w:style>
  <w:style w:type="paragraph" w:styleId="1200" w:customStyle="1">
    <w:name w:val="列表编号 31"/>
    <w:basedOn w:val="839"/>
    <w:next w:val="896"/>
    <w:uiPriority w:val="0"/>
    <w:qFormat/>
    <w:pPr>
      <w:ind w:left="1200" w:firstLine="2712"/>
      <w:spacing w:before="0" w:after="0" w:line="360" w:lineRule="auto"/>
    </w:pPr>
    <w:rPr>
      <w:rFonts w:ascii="Times New Roman" w:hAnsi="Times New Roman" w:cs="Times New Roman"/>
    </w:rPr>
  </w:style>
  <w:style w:type="paragraph" w:styleId="1201" w:customStyle="1">
    <w:name w:val="三号 居中"/>
    <w:basedOn w:val="839"/>
    <w:next w:val="1202"/>
    <w:uiPriority w:val="0"/>
    <w:qFormat/>
    <w:pPr>
      <w:ind w:left="0" w:firstLine="6144"/>
      <w:jc w:val="center"/>
      <w:spacing w:before="0" w:after="0" w:line="360" w:lineRule="auto"/>
    </w:pPr>
    <w:rPr>
      <w:rFonts w:ascii="Times New Roman" w:hAnsi="Times New Roman" w:cs="Times New Roman"/>
    </w:rPr>
  </w:style>
  <w:style w:type="paragraph" w:styleId="1202" w:customStyle="1">
    <w:name w:val="列出段落1"/>
    <w:basedOn w:val="839"/>
    <w:next w:val="1203"/>
    <w:uiPriority w:val="0"/>
    <w:qFormat/>
    <w:pPr>
      <w:ind w:left="420" w:firstLine="3748"/>
      <w:spacing w:before="0" w:after="0" w:line="240" w:lineRule="auto"/>
    </w:pPr>
    <w:rPr>
      <w:rFonts w:ascii="Times New Roman" w:hAnsi="Times New Roman" w:cs="Times New Roman"/>
    </w:rPr>
  </w:style>
  <w:style w:type="paragraph" w:styleId="1203" w:customStyle="1">
    <w:name w:val="Char Char Char Char Char Char1 Char Char Char1 Char Char Char"/>
    <w:basedOn w:val="839"/>
    <w:next w:val="1204"/>
    <w:uiPriority w:val="0"/>
    <w:qFormat/>
    <w:pPr>
      <w:ind w:left="0" w:firstLine="2560"/>
      <w:spacing w:before="0" w:after="0" w:line="240" w:lineRule="auto"/>
    </w:pPr>
    <w:rPr>
      <w:rFonts w:ascii="Times New Roman" w:hAnsi="Times New Roman" w:cs="Times New Roman"/>
    </w:rPr>
  </w:style>
  <w:style w:type="paragraph" w:styleId="1204" w:customStyle="1">
    <w:name w:val="Char Char Char Char Char Char1 Char Char Char1 Char"/>
    <w:basedOn w:val="839"/>
    <w:next w:val="1205"/>
    <w:uiPriority w:val="0"/>
    <w:qFormat/>
    <w:pPr>
      <w:ind w:left="0" w:firstLine="2560"/>
      <w:spacing w:before="0" w:after="0" w:line="240" w:lineRule="auto"/>
    </w:pPr>
    <w:rPr>
      <w:rFonts w:ascii="Times New Roman" w:hAnsi="Times New Roman" w:cs="Times New Roman"/>
    </w:rPr>
  </w:style>
  <w:style w:type="paragraph" w:styleId="1205" w:customStyle="1">
    <w:name w:val="正文符号4"/>
    <w:basedOn w:val="839"/>
    <w:next w:val="1197"/>
    <w:uiPriority w:val="0"/>
    <w:qFormat/>
    <w:pPr>
      <w:ind w:left="0" w:firstLine="5632"/>
      <w:spacing w:before="0" w:after="0" w:line="240" w:lineRule="auto"/>
    </w:pPr>
    <w:rPr>
      <w:rFonts w:ascii="Times New Roman" w:hAnsi="Times New Roman" w:cs="Times New Roman"/>
    </w:rPr>
  </w:style>
  <w:style w:type="paragraph" w:styleId="1206" w:customStyle="1">
    <w:name w:val="加粗（居中）"/>
    <w:next w:val="1207"/>
    <w:uiPriority w:val="0"/>
    <w:qFormat/>
    <w:pPr>
      <w:ind w:firstLine="2560"/>
    </w:pPr>
    <w:rPr>
      <w:rFonts w:hint="default" w:ascii="Calibri" w:hAnsi="Calibri" w:eastAsia="宋体" w:cs="宋体"/>
    </w:rPr>
  </w:style>
  <w:style w:type="paragraph" w:styleId="1207" w:customStyle="1">
    <w:name w:val="xl65"/>
    <w:basedOn w:val="839"/>
    <w:next w:val="1167"/>
    <w:uiPriority w:val="0"/>
    <w:qFormat/>
    <w:pPr>
      <w:ind w:left="0" w:firstLine="5120"/>
      <w:spacing w:before="280" w:after="280" w:line="240" w:lineRule="auto"/>
    </w:pPr>
    <w:rPr>
      <w:rFonts w:ascii="Times New Roman" w:hAnsi="Times New Roman" w:cs="Times New Roman"/>
    </w:rPr>
  </w:style>
  <w:style w:type="paragraph" w:styleId="1208" w:customStyle="1">
    <w:name w:val="WPSOffice手动目录 3"/>
    <w:uiPriority w:val="0"/>
    <w:qFormat/>
    <w:pPr>
      <w:ind w:left="400"/>
    </w:pPr>
    <w:rPr>
      <w:rFonts w:hint="default" w:ascii="宋体" w:hAnsi="宋体" w:eastAsia="宋体" w:cs="宋体"/>
    </w:rPr>
  </w:style>
  <w:style w:type="paragraph" w:styleId="1209" w:customStyle="1">
    <w:name w:val="xl77"/>
    <w:basedOn w:val="839"/>
    <w:next w:val="1210"/>
    <w:uiPriority w:val="0"/>
    <w:qFormat/>
    <w:pPr>
      <w:ind w:left="0" w:firstLine="3584"/>
      <w:spacing w:before="280" w:after="280" w:line="240" w:lineRule="auto"/>
    </w:pPr>
    <w:rPr>
      <w:rFonts w:ascii="Times New Roman" w:hAnsi="Times New Roman" w:cs="Times New Roman"/>
    </w:rPr>
  </w:style>
  <w:style w:type="paragraph" w:styleId="1210" w:customStyle="1">
    <w:name w:val="Char Char Char1"/>
    <w:basedOn w:val="839"/>
    <w:next w:val="1211"/>
    <w:uiPriority w:val="0"/>
    <w:qFormat/>
    <w:pPr>
      <w:ind w:left="900" w:firstLine="2096"/>
      <w:spacing w:before="0" w:after="0" w:line="240" w:lineRule="auto"/>
    </w:pPr>
    <w:rPr>
      <w:rFonts w:ascii="Times New Roman" w:hAnsi="Times New Roman" w:cs="Times New Roman"/>
    </w:rPr>
  </w:style>
  <w:style w:type="paragraph" w:styleId="1211" w:customStyle="1">
    <w:name w:val="索引 21"/>
    <w:basedOn w:val="839"/>
    <w:next w:val="838"/>
    <w:uiPriority w:val="0"/>
    <w:qFormat/>
    <w:pPr>
      <w:ind w:left="200" w:firstLine="2560"/>
      <w:jc w:val="center"/>
      <w:spacing w:before="0" w:after="0" w:line="360" w:lineRule="auto"/>
    </w:pPr>
    <w:rPr>
      <w:rFonts w:ascii="Times New Roman" w:hAnsi="Times New Roman" w:cs="Times New Roman"/>
    </w:rPr>
  </w:style>
  <w:style w:type="paragraph" w:styleId="1212" w:customStyle="1">
    <w:name w:val="正文（首行缩进 2 字符）"/>
    <w:next w:val="1213"/>
    <w:uiPriority w:val="0"/>
    <w:qFormat/>
    <w:pPr>
      <w:ind w:left="480" w:firstLine="2784"/>
      <w:jc w:val="center"/>
      <w:spacing w:line="300" w:lineRule="auto"/>
    </w:pPr>
    <w:rPr>
      <w:rFonts w:hint="default" w:ascii="Calibri" w:hAnsi="Calibri" w:eastAsia="宋体" w:cs="宋体"/>
    </w:rPr>
  </w:style>
  <w:style w:type="paragraph" w:styleId="1213" w:customStyle="1">
    <w:name w:val="xl28"/>
    <w:basedOn w:val="839"/>
    <w:next w:val="1214"/>
    <w:uiPriority w:val="0"/>
    <w:qFormat/>
    <w:pPr>
      <w:ind w:left="0" w:firstLine="20"/>
      <w:spacing w:before="280" w:after="280" w:line="240" w:lineRule="auto"/>
      <w:shd w:val="clear" w:color="000000" w:fill="ffffff"/>
    </w:pPr>
    <w:rPr>
      <w:rFonts w:ascii="Times New Roman" w:hAnsi="Times New Roman" w:cs="Times New Roman"/>
    </w:rPr>
  </w:style>
  <w:style w:type="paragraph" w:styleId="1214" w:customStyle="1">
    <w:name w:val="HTML 预设格式1"/>
    <w:basedOn w:val="839"/>
    <w:next w:val="1215"/>
    <w:uiPriority w:val="0"/>
    <w:qFormat/>
    <w:pPr>
      <w:ind w:left="0" w:firstLine="3584"/>
      <w:spacing w:before="0" w:after="0" w:line="253" w:lineRule="atLeast"/>
    </w:pPr>
    <w:rPr>
      <w:rFonts w:ascii="Times New Roman" w:hAnsi="Times New Roman" w:cs="Times New Roman"/>
    </w:rPr>
  </w:style>
  <w:style w:type="paragraph" w:styleId="1215" w:customStyle="1">
    <w:name w:val="项目符号：一级"/>
    <w:basedOn w:val="839"/>
    <w:next w:val="838"/>
    <w:uiPriority w:val="0"/>
    <w:qFormat/>
    <w:pPr>
      <w:ind w:left="425" w:firstLine="1111"/>
      <w:spacing w:before="0" w:after="0" w:line="360" w:lineRule="auto"/>
    </w:pPr>
    <w:rPr>
      <w:rFonts w:ascii="Times New Roman" w:hAnsi="Times New Roman" w:cs="Times New Roman"/>
    </w:rPr>
  </w:style>
  <w:style w:type="paragraph" w:styleId="1216" w:customStyle="1">
    <w:name w:val="Default"/>
    <w:next w:val="872"/>
    <w:uiPriority w:val="0"/>
    <w:qFormat/>
    <w:pPr>
      <w:ind w:firstLine="5120"/>
      <w:widowControl w:val="off"/>
    </w:pPr>
    <w:rPr>
      <w:rFonts w:hint="default" w:ascii="Calibri" w:hAnsi="Calibri" w:eastAsia="宋体" w:cs="宋体"/>
    </w:rPr>
  </w:style>
  <w:style w:type="paragraph" w:styleId="1217" w:customStyle="1">
    <w:name w:val="xl84"/>
    <w:basedOn w:val="839"/>
    <w:next w:val="1218"/>
    <w:uiPriority w:val="0"/>
    <w:qFormat/>
    <w:pPr>
      <w:ind w:left="0" w:firstLine="2048"/>
      <w:jc w:val="center"/>
      <w:spacing w:before="280" w:after="280" w:line="240" w:lineRule="auto"/>
    </w:pPr>
    <w:rPr>
      <w:rFonts w:ascii="Times New Roman" w:hAnsi="Times New Roman" w:cs="Times New Roman"/>
    </w:rPr>
  </w:style>
  <w:style w:type="paragraph" w:styleId="1218" w:customStyle="1">
    <w:name w:val="2-2ji"/>
    <w:basedOn w:val="841"/>
    <w:next w:val="1219"/>
    <w:uiPriority w:val="0"/>
    <w:qFormat/>
    <w:pPr>
      <w:ind w:left="0" w:firstLine="24"/>
      <w:jc w:val="center"/>
      <w:spacing w:before="0" w:after="0" w:line="360" w:lineRule="auto"/>
      <w:outlineLvl w:val="1"/>
    </w:pPr>
  </w:style>
  <w:style w:type="paragraph" w:styleId="1219" w:customStyle="1">
    <w:name w:val="应答文本"/>
    <w:basedOn w:val="839"/>
    <w:next w:val="1220"/>
    <w:uiPriority w:val="0"/>
    <w:qFormat/>
    <w:pPr>
      <w:ind w:left="1296" w:firstLine="2112"/>
      <w:spacing w:before="0" w:after="0" w:line="460" w:lineRule="exact"/>
    </w:pPr>
    <w:rPr>
      <w:rFonts w:ascii="Times New Roman" w:hAnsi="Times New Roman" w:cs="Times New Roman"/>
    </w:rPr>
  </w:style>
  <w:style w:type="paragraph" w:styleId="1220" w:customStyle="1">
    <w:name w:val="引文目录1"/>
    <w:basedOn w:val="839"/>
    <w:next w:val="838"/>
    <w:uiPriority w:val="0"/>
    <w:qFormat/>
    <w:pPr>
      <w:ind w:left="420" w:firstLine="2560"/>
      <w:jc w:val="center"/>
      <w:spacing w:before="0" w:after="0" w:line="360" w:lineRule="auto"/>
    </w:pPr>
    <w:rPr>
      <w:rFonts w:ascii="Times New Roman" w:hAnsi="Times New Roman" w:cs="Times New Roman"/>
    </w:rPr>
  </w:style>
  <w:style w:type="paragraph" w:styleId="1221" w:customStyle="1">
    <w:name w:val="首行缩进"/>
    <w:basedOn w:val="838"/>
    <w:uiPriority w:val="0"/>
    <w:qFormat/>
    <w:pPr>
      <w:ind w:firstLine="480"/>
    </w:pPr>
    <w:rPr>
      <w:rFonts w:ascii="Times New Roman" w:hAnsi="Times New Roman" w:cs="Times New Roman"/>
      <w:lang w:val="zh-CN"/>
    </w:rPr>
  </w:style>
  <w:style w:type="paragraph" w:styleId="1222" w:customStyle="1">
    <w:name w:val="font9"/>
    <w:basedOn w:val="839"/>
    <w:next w:val="1223"/>
    <w:uiPriority w:val="0"/>
    <w:qFormat/>
    <w:pPr>
      <w:ind w:left="0" w:firstLine="7168"/>
      <w:spacing w:before="280" w:after="280" w:line="240" w:lineRule="auto"/>
    </w:pPr>
    <w:rPr>
      <w:rFonts w:ascii="Times New Roman" w:hAnsi="Times New Roman" w:cs="Times New Roman"/>
    </w:rPr>
  </w:style>
  <w:style w:type="paragraph" w:styleId="1223" w:customStyle="1">
    <w:name w:val="样式 标题 3 + (中文) 黑体 小四 非加粗 段前: 7.8 磅 段后: 0 磅 行距: 固定值 20 磅"/>
    <w:basedOn w:val="842"/>
    <w:next w:val="1224"/>
    <w:uiPriority w:val="0"/>
    <w:qFormat/>
    <w:pPr>
      <w:ind w:left="0"/>
      <w:spacing w:before="0" w:after="0" w:line="400" w:lineRule="exact"/>
      <w:outlineLvl w:val="2"/>
    </w:pPr>
  </w:style>
  <w:style w:type="paragraph" w:styleId="1224" w:customStyle="1">
    <w:name w:val="标书正文"/>
    <w:basedOn w:val="839"/>
    <w:next w:val="1225"/>
    <w:uiPriority w:val="0"/>
    <w:qFormat/>
    <w:pPr>
      <w:ind w:left="440" w:right="100" w:firstLine="2760"/>
      <w:spacing w:before="0" w:after="0" w:line="360" w:lineRule="auto"/>
    </w:pPr>
    <w:rPr>
      <w:rFonts w:ascii="Times New Roman" w:hAnsi="Times New Roman" w:cs="Times New Roman"/>
    </w:rPr>
  </w:style>
  <w:style w:type="paragraph" w:styleId="1225" w:customStyle="1">
    <w:name w:val="xl67"/>
    <w:basedOn w:val="839"/>
    <w:next w:val="1226"/>
    <w:uiPriority w:val="0"/>
    <w:qFormat/>
    <w:pPr>
      <w:ind w:left="0" w:firstLine="5120"/>
      <w:spacing w:before="280" w:after="280" w:line="240" w:lineRule="auto"/>
    </w:pPr>
    <w:rPr>
      <w:rFonts w:ascii="Times New Roman" w:hAnsi="Times New Roman" w:cs="Times New Roman"/>
    </w:rPr>
  </w:style>
  <w:style w:type="paragraph" w:styleId="1226" w:customStyle="1">
    <w:name w:val="索引 61"/>
    <w:basedOn w:val="839"/>
    <w:next w:val="838"/>
    <w:uiPriority w:val="0"/>
    <w:qFormat/>
    <w:pPr>
      <w:ind w:left="1000" w:firstLine="2560"/>
      <w:jc w:val="center"/>
      <w:spacing w:before="0" w:after="0" w:line="360" w:lineRule="auto"/>
    </w:pPr>
    <w:rPr>
      <w:rFonts w:ascii="Times New Roman" w:hAnsi="Times New Roman" w:cs="Times New Roman"/>
    </w:rPr>
  </w:style>
  <w:style w:type="paragraph" w:styleId="1227" w:customStyle="1">
    <w:name w:val="目录3"/>
    <w:basedOn w:val="839"/>
    <w:next w:val="838"/>
    <w:uiPriority w:val="0"/>
    <w:qFormat/>
    <w:pPr>
      <w:ind w:left="419" w:firstLine="5283"/>
      <w:spacing w:before="0" w:after="0" w:line="317" w:lineRule="atLeast"/>
    </w:pPr>
    <w:rPr>
      <w:rFonts w:ascii="Times New Roman" w:hAnsi="Times New Roman" w:cs="Times New Roman"/>
    </w:rPr>
  </w:style>
  <w:style w:type="paragraph" w:styleId="1228" w:customStyle="1">
    <w:name w:val="xl90"/>
    <w:basedOn w:val="839"/>
    <w:next w:val="1229"/>
    <w:uiPriority w:val="0"/>
    <w:qFormat/>
    <w:pPr>
      <w:ind w:left="0" w:firstLine="3584"/>
      <w:spacing w:before="280" w:after="280" w:line="240" w:lineRule="auto"/>
    </w:pPr>
    <w:rPr>
      <w:rFonts w:ascii="Times New Roman" w:hAnsi="Times New Roman" w:cs="Times New Roman"/>
    </w:rPr>
  </w:style>
  <w:style w:type="paragraph" w:styleId="1229" w:customStyle="1">
    <w:name w:val="列表框1"/>
    <w:next w:val="1220"/>
    <w:uiPriority w:val="0"/>
    <w:qFormat/>
    <w:pPr>
      <w:ind w:firstLine="2048"/>
      <w:spacing w:line="460" w:lineRule="exact"/>
    </w:pPr>
    <w:rPr>
      <w:rFonts w:hint="default" w:ascii="Calibri" w:hAnsi="Calibri" w:eastAsia="宋体" w:cs="宋体"/>
    </w:rPr>
  </w:style>
  <w:style w:type="paragraph" w:styleId="1230" w:customStyle="1">
    <w:name w:val="1ji"/>
    <w:basedOn w:val="840"/>
    <w:next w:val="1209"/>
    <w:uiPriority w:val="0"/>
    <w:qFormat/>
    <w:pPr>
      <w:ind w:left="0" w:firstLine="18"/>
      <w:jc w:val="center"/>
      <w:spacing w:before="0" w:after="0" w:line="240" w:lineRule="auto"/>
      <w:outlineLvl w:val="0"/>
    </w:pPr>
  </w:style>
  <w:style w:type="paragraph" w:styleId="1231" w:customStyle="1">
    <w:name w:val="索引 81"/>
    <w:basedOn w:val="839"/>
    <w:next w:val="838"/>
    <w:uiPriority w:val="0"/>
    <w:qFormat/>
    <w:pPr>
      <w:ind w:left="1400" w:firstLine="2560"/>
      <w:jc w:val="center"/>
      <w:spacing w:before="0" w:after="0" w:line="360" w:lineRule="auto"/>
    </w:pPr>
    <w:rPr>
      <w:rFonts w:ascii="Times New Roman" w:hAnsi="Times New Roman" w:cs="Times New Roman"/>
    </w:rPr>
  </w:style>
  <w:style w:type="paragraph" w:styleId="1232" w:customStyle="1">
    <w:name w:val="正文1"/>
    <w:basedOn w:val="838"/>
    <w:next w:val="838"/>
    <w:uiPriority w:val="0"/>
    <w:qFormat/>
    <w:pPr>
      <w:spacing w:line="312" w:lineRule="atLeast"/>
    </w:pPr>
    <w:rPr>
      <w:rFonts w:ascii="楷体_GB2312" w:hAnsi="Times New Roman" w:eastAsia="楷体_GB2312" w:cs="Times New Roman"/>
      <w:sz w:val="24"/>
    </w:rPr>
  </w:style>
  <w:style w:type="paragraph" w:styleId="1233" w:customStyle="1">
    <w:name w:val="Char Char Char Char Char Char1 Char Char Char1 Char Char Char Char Char Char Char Char Char Char Char Char Char Char Char Char Char Char"/>
    <w:basedOn w:val="839"/>
    <w:next w:val="1234"/>
    <w:uiPriority w:val="0"/>
    <w:qFormat/>
    <w:pPr>
      <w:ind w:left="0" w:firstLine="2560"/>
      <w:spacing w:before="0" w:after="0" w:line="240" w:lineRule="auto"/>
    </w:pPr>
    <w:rPr>
      <w:rFonts w:ascii="Times New Roman" w:hAnsi="Times New Roman" w:cs="Times New Roman"/>
    </w:rPr>
  </w:style>
  <w:style w:type="paragraph" w:styleId="1234" w:customStyle="1">
    <w:name w:val="样式 加粗 居中11"/>
    <w:basedOn w:val="839"/>
    <w:next w:val="1235"/>
    <w:uiPriority w:val="0"/>
    <w:qFormat/>
    <w:pPr>
      <w:ind w:left="0" w:firstLine="2560"/>
      <w:jc w:val="center"/>
      <w:spacing w:before="0" w:after="0" w:line="360" w:lineRule="auto"/>
    </w:pPr>
    <w:rPr>
      <w:rFonts w:ascii="Times New Roman" w:hAnsi="Times New Roman" w:cs="Times New Roman"/>
    </w:rPr>
  </w:style>
  <w:style w:type="paragraph" w:styleId="1235" w:customStyle="1">
    <w:name w:val="xl89"/>
    <w:basedOn w:val="839"/>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 Char Char Char Char Char Char"/>
    <w:basedOn w:val="839"/>
    <w:next w:val="1237"/>
    <w:uiPriority w:val="0"/>
    <w:qFormat/>
    <w:pPr>
      <w:ind w:left="0" w:firstLine="2560"/>
      <w:spacing w:before="0" w:after="0" w:line="240" w:lineRule="auto"/>
    </w:pPr>
    <w:rPr>
      <w:rFonts w:ascii="Times New Roman" w:hAnsi="Times New Roman" w:cs="Times New Roman"/>
    </w:rPr>
  </w:style>
  <w:style w:type="paragraph" w:styleId="1237" w:customStyle="1">
    <w:name w:val="文章附标题"/>
    <w:basedOn w:val="839"/>
    <w:next w:val="839"/>
    <w:uiPriority w:val="0"/>
    <w:qFormat/>
    <w:pPr>
      <w:ind w:left="0" w:firstLine="5120"/>
      <w:jc w:val="center"/>
      <w:spacing w:before="187" w:after="175" w:line="374" w:lineRule="atLeast"/>
    </w:pPr>
    <w:rPr>
      <w:rFonts w:ascii="Times New Roman" w:hAnsi="Times New Roman" w:cs="Times New Roman"/>
    </w:rPr>
  </w:style>
  <w:style w:type="paragraph" w:styleId="1238">
    <w:name w:val="Quote"/>
    <w:next w:val="838"/>
    <w:uiPriority w:val="0"/>
    <w:qFormat/>
    <w:pPr>
      <w:ind w:left="3680" w:right="864"/>
      <w:jc w:val="center"/>
      <w:spacing w:before="200" w:after="160"/>
    </w:pPr>
    <w:rPr>
      <w:rFonts w:hint="default" w:ascii="Calibri" w:hAnsi="Calibri" w:eastAsia="宋体" w:cs="宋体"/>
      <w:i/>
    </w:rPr>
  </w:style>
  <w:style w:type="paragraph" w:styleId="1239" w:customStyle="1">
    <w:name w:val="Default Paragraph Font Para Char Char Char Char Char Char"/>
    <w:basedOn w:val="839"/>
    <w:next w:val="1240"/>
    <w:uiPriority w:val="0"/>
    <w:qFormat/>
    <w:pPr>
      <w:ind w:left="0" w:firstLine="3584"/>
      <w:spacing w:before="0" w:after="160" w:line="240" w:lineRule="exact"/>
    </w:pPr>
    <w:rPr>
      <w:rFonts w:ascii="Times New Roman" w:hAnsi="Times New Roman" w:cs="Times New Roman"/>
    </w:rPr>
  </w:style>
  <w:style w:type="paragraph" w:styleId="1240" w:customStyle="1">
    <w:name w:val="xl23"/>
    <w:basedOn w:val="839"/>
    <w:next w:val="875"/>
    <w:uiPriority w:val="0"/>
    <w:qFormat/>
    <w:pPr>
      <w:ind w:left="0" w:firstLine="20"/>
      <w:spacing w:before="280" w:after="280" w:line="240" w:lineRule="auto"/>
      <w:shd w:val="clear" w:color="000000" w:fill="ffffff"/>
    </w:pPr>
    <w:rPr>
      <w:rFonts w:ascii="Times New Roman" w:hAnsi="Times New Roman" w:cs="Times New Roman"/>
    </w:rPr>
  </w:style>
  <w:style w:type="paragraph" w:styleId="1241" w:customStyle="1">
    <w:name w:val="列出段落11"/>
    <w:basedOn w:val="839"/>
    <w:next w:val="1242"/>
    <w:uiPriority w:val="0"/>
    <w:qFormat/>
    <w:pPr>
      <w:ind w:left="420" w:firstLine="3748"/>
      <w:spacing w:before="0" w:after="0" w:line="240" w:lineRule="auto"/>
    </w:pPr>
    <w:rPr>
      <w:rFonts w:ascii="Times New Roman" w:hAnsi="Times New Roman" w:cs="Times New Roman"/>
    </w:rPr>
  </w:style>
  <w:style w:type="paragraph" w:styleId="1242" w:customStyle="1">
    <w:name w:val="样式 标题 2 + (西文) 宋体 非加粗 居中"/>
    <w:basedOn w:val="841"/>
    <w:next w:val="1243"/>
    <w:uiPriority w:val="0"/>
    <w:qFormat/>
    <w:pPr>
      <w:ind w:left="0" w:firstLine="24"/>
      <w:jc w:val="center"/>
      <w:spacing w:line="412" w:lineRule="auto"/>
      <w:outlineLvl w:val="1"/>
    </w:pPr>
  </w:style>
  <w:style w:type="paragraph" w:styleId="1243" w:customStyle="1">
    <w:name w:val="页脚 Char Char"/>
    <w:basedOn w:val="839"/>
    <w:next w:val="1244"/>
    <w:uiPriority w:val="0"/>
    <w:qFormat/>
    <w:pPr>
      <w:ind w:left="0" w:firstLine="5120"/>
      <w:spacing w:before="0" w:after="0" w:line="240" w:lineRule="auto"/>
    </w:pPr>
    <w:rPr>
      <w:rFonts w:ascii="Times New Roman" w:hAnsi="Times New Roman" w:cs="Times New Roman"/>
    </w:rPr>
  </w:style>
  <w:style w:type="paragraph" w:styleId="1244" w:customStyle="1">
    <w:name w:val="样式 标题 1 + 段前: 16 磅 段后: 16 磅"/>
    <w:basedOn w:val="840"/>
    <w:next w:val="1245"/>
    <w:uiPriority w:val="0"/>
    <w:qFormat/>
    <w:pPr>
      <w:ind w:left="0" w:firstLine="18"/>
      <w:jc w:val="center"/>
      <w:spacing w:before="120" w:after="0" w:line="360" w:lineRule="auto"/>
      <w:outlineLvl w:val="0"/>
    </w:pPr>
  </w:style>
  <w:style w:type="paragraph" w:styleId="1245" w:customStyle="1">
    <w:name w:val="Char1 Char Char Char Char Char Char"/>
    <w:basedOn w:val="839"/>
    <w:next w:val="1246"/>
    <w:uiPriority w:val="0"/>
    <w:qFormat/>
    <w:pPr>
      <w:ind w:left="0" w:firstLine="2560"/>
      <w:spacing w:before="0" w:after="0" w:line="240" w:lineRule="auto"/>
    </w:pPr>
    <w:rPr>
      <w:rFonts w:ascii="Times New Roman" w:hAnsi="Times New Roman" w:cs="Times New Roman"/>
    </w:rPr>
  </w:style>
  <w:style w:type="paragraph" w:styleId="1246" w:customStyle="1">
    <w:name w:val="文档标题4"/>
    <w:basedOn w:val="843"/>
    <w:next w:val="838"/>
    <w:uiPriority w:val="0"/>
    <w:qFormat/>
    <w:pPr>
      <w:ind w:left="851" w:firstLine="30"/>
      <w:spacing w:after="280" w:line="360" w:lineRule="auto"/>
      <w:outlineLvl w:val="3"/>
    </w:pPr>
  </w:style>
  <w:style w:type="paragraph" w:styleId="1247" w:customStyle="1">
    <w:name w:val="font0"/>
    <w:basedOn w:val="839"/>
    <w:next w:val="1222"/>
    <w:uiPriority w:val="0"/>
    <w:qFormat/>
    <w:pPr>
      <w:ind w:left="0" w:firstLine="1024"/>
      <w:spacing w:before="280" w:after="280" w:line="240" w:lineRule="auto"/>
    </w:pPr>
    <w:rPr>
      <w:rFonts w:ascii="Times New Roman" w:hAnsi="Times New Roman" w:cs="Times New Roman"/>
    </w:rPr>
  </w:style>
  <w:style w:type="paragraph" w:styleId="1248" w:customStyle="1">
    <w:name w:val="CM5"/>
    <w:basedOn w:val="839"/>
    <w:next w:val="838"/>
    <w:uiPriority w:val="0"/>
    <w:qFormat/>
    <w:pPr>
      <w:ind w:left="200" w:firstLine="2760"/>
      <w:spacing w:before="0" w:after="0" w:line="400" w:lineRule="atLeast"/>
    </w:pPr>
    <w:rPr>
      <w:rFonts w:ascii="Times New Roman" w:hAnsi="Times New Roman" w:cs="Times New Roman"/>
    </w:rPr>
  </w:style>
  <w:style w:type="paragraph" w:styleId="1249" w:customStyle="1">
    <w:name w:val="Pa0"/>
    <w:basedOn w:val="839"/>
    <w:next w:val="838"/>
    <w:uiPriority w:val="0"/>
    <w:qFormat/>
    <w:pPr>
      <w:ind w:left="0" w:firstLine="4608"/>
      <w:spacing w:before="0" w:after="0" w:line="241" w:lineRule="atLeast"/>
    </w:pPr>
    <w:rPr>
      <w:rFonts w:ascii="Times New Roman" w:hAnsi="Times New Roman" w:cs="Times New Roman"/>
    </w:rPr>
  </w:style>
  <w:style w:type="paragraph" w:styleId="1250" w:customStyle="1">
    <w:name w:val="招标文件》"/>
    <w:basedOn w:val="839"/>
    <w:next w:val="1186"/>
    <w:uiPriority w:val="0"/>
    <w:qFormat/>
    <w:pPr>
      <w:ind w:left="420" w:firstLine="2140"/>
      <w:spacing w:before="120" w:after="120" w:line="300" w:lineRule="auto"/>
    </w:pPr>
    <w:rPr>
      <w:rFonts w:ascii="Times New Roman" w:hAnsi="Times New Roman" w:cs="Times New Roman"/>
    </w:rPr>
  </w:style>
  <w:style w:type="paragraph" w:styleId="1251" w:customStyle="1">
    <w:name w:val="段"/>
    <w:next w:val="838"/>
    <w:uiPriority w:val="0"/>
    <w:qFormat/>
    <w:pPr>
      <w:ind w:firstLine="200"/>
      <w:jc w:val="both"/>
      <w:spacing w:line="360" w:lineRule="auto"/>
    </w:pPr>
    <w:rPr>
      <w:rFonts w:hint="default" w:ascii="宋体" w:hAnsi="宋体" w:eastAsia="宋体" w:cs="宋体"/>
      <w:sz w:val="24"/>
      <w:szCs w:val="22"/>
    </w:rPr>
  </w:style>
  <w:style w:type="paragraph" w:styleId="1252" w:customStyle="1">
    <w:name w:val="标书_正文"/>
    <w:basedOn w:val="839"/>
    <w:next w:val="1253"/>
    <w:uiPriority w:val="0"/>
    <w:qFormat/>
    <w:pPr>
      <w:ind w:left="420" w:firstLine="1188"/>
      <w:spacing w:before="0" w:after="0" w:line="360" w:lineRule="auto"/>
    </w:pPr>
    <w:rPr>
      <w:rFonts w:ascii="Times New Roman" w:hAnsi="Times New Roman" w:cs="Times New Roman"/>
    </w:rPr>
  </w:style>
  <w:style w:type="paragraph" w:styleId="1253" w:customStyle="1">
    <w:name w:val="样式 标题 2 + Times New Roman 四号 非加粗 段前: 5 磅 段后: 0 磅 行距: 固定值 20..."/>
    <w:basedOn w:val="841"/>
    <w:next w:val="1201"/>
    <w:uiPriority w:val="0"/>
    <w:qFormat/>
    <w:pPr>
      <w:ind w:left="0" w:firstLine="24"/>
      <w:spacing w:before="100" w:after="0" w:line="400" w:lineRule="exact"/>
      <w:outlineLvl w:val="1"/>
    </w:pPr>
  </w:style>
  <w:style w:type="paragraph" w:styleId="1254" w:customStyle="1">
    <w:name w:val="图片0"/>
    <w:basedOn w:val="839"/>
    <w:next w:val="886"/>
    <w:uiPriority w:val="0"/>
    <w:qFormat/>
    <w:pPr>
      <w:ind w:left="-161" w:firstLine="1187"/>
      <w:spacing w:before="0" w:after="0" w:line="276" w:lineRule="auto"/>
    </w:pPr>
    <w:rPr>
      <w:rFonts w:ascii="Times New Roman" w:hAnsi="Times New Roman" w:cs="Times New Roman"/>
    </w:rPr>
  </w:style>
  <w:style w:type="paragraph" w:styleId="1255" w:customStyle="1">
    <w:name w:val="Char Char Char2 Char Char Char2 Char"/>
    <w:basedOn w:val="839"/>
    <w:next w:val="1227"/>
    <w:uiPriority w:val="0"/>
    <w:qFormat/>
    <w:pPr>
      <w:ind w:left="560" w:firstLine="3632"/>
      <w:spacing w:before="0" w:after="160" w:line="240" w:lineRule="exact"/>
    </w:pPr>
    <w:rPr>
      <w:rFonts w:ascii="Times New Roman" w:hAnsi="Times New Roman" w:cs="Times New Roman"/>
    </w:rPr>
  </w:style>
  <w:style w:type="paragraph" w:styleId="1256" w:customStyle="1">
    <w:name w:val="Char Char Char Char"/>
    <w:next w:val="1257"/>
    <w:uiPriority w:val="0"/>
    <w:qFormat/>
    <w:pPr>
      <w:ind w:firstLine="10"/>
      <w:spacing w:line="360" w:lineRule="auto"/>
      <w:shd w:val="clear" w:color="000000" w:fill="000080"/>
    </w:pPr>
    <w:rPr>
      <w:rFonts w:hint="default" w:ascii="Calibri" w:hAnsi="Calibri" w:eastAsia="宋体" w:cs="宋体"/>
    </w:rPr>
  </w:style>
  <w:style w:type="paragraph" w:styleId="1257" w:customStyle="1">
    <w:name w:val="杨昂超式样黑体主"/>
    <w:basedOn w:val="839"/>
    <w:next w:val="1258"/>
    <w:uiPriority w:val="0"/>
    <w:qFormat/>
    <w:pPr>
      <w:ind w:left="0" w:firstLine="4608"/>
      <w:spacing w:before="0" w:after="0" w:line="240" w:lineRule="auto"/>
    </w:pPr>
    <w:rPr>
      <w:rFonts w:ascii="Times New Roman" w:hAnsi="Times New Roman" w:cs="Times New Roman"/>
    </w:rPr>
  </w:style>
  <w:style w:type="paragraph" w:styleId="1258" w:customStyle="1">
    <w:name w:val="Char Char Char Char Char Char1 Char Char Char Char Char Char Char Char Char Char"/>
    <w:basedOn w:val="839"/>
    <w:next w:val="1259"/>
    <w:uiPriority w:val="0"/>
    <w:qFormat/>
    <w:pPr>
      <w:ind w:left="0" w:firstLine="2560"/>
      <w:spacing w:before="0" w:after="0" w:line="240" w:lineRule="auto"/>
    </w:pPr>
    <w:rPr>
      <w:rFonts w:ascii="Times New Roman" w:hAnsi="Times New Roman" w:cs="Times New Roman"/>
    </w:rPr>
  </w:style>
  <w:style w:type="paragraph" w:styleId="1259" w:customStyle="1">
    <w:name w:val="目录1"/>
    <w:basedOn w:val="839"/>
    <w:next w:val="838"/>
    <w:uiPriority w:val="0"/>
    <w:qFormat/>
    <w:pPr>
      <w:ind w:left="0" w:firstLine="7168"/>
      <w:spacing w:before="0" w:after="136" w:line="289" w:lineRule="atLeast"/>
    </w:pPr>
    <w:rPr>
      <w:rFonts w:ascii="Times New Roman" w:hAnsi="Times New Roman" w:cs="Times New Roman"/>
    </w:rPr>
  </w:style>
  <w:style w:type="paragraph" w:styleId="1260" w:customStyle="1">
    <w:name w:val="文档结构图1"/>
    <w:basedOn w:val="839"/>
    <w:next w:val="1261"/>
    <w:uiPriority w:val="0"/>
    <w:qFormat/>
    <w:pPr>
      <w:ind w:left="200" w:firstLine="2248"/>
      <w:spacing w:before="0" w:after="0" w:line="360" w:lineRule="auto"/>
    </w:pPr>
    <w:rPr>
      <w:rFonts w:ascii="Times New Roman" w:hAnsi="Times New Roman" w:cs="Times New Roman"/>
    </w:rPr>
  </w:style>
  <w:style w:type="paragraph" w:styleId="1261" w:customStyle="1">
    <w:name w:val="2ji"/>
    <w:basedOn w:val="841"/>
    <w:next w:val="881"/>
    <w:uiPriority w:val="0"/>
    <w:qFormat/>
    <w:pPr>
      <w:ind w:left="0" w:firstLine="24"/>
      <w:spacing w:before="0" w:after="0" w:line="360" w:lineRule="auto"/>
      <w:outlineLvl w:val="1"/>
    </w:pPr>
  </w:style>
  <w:style w:type="paragraph" w:styleId="1262" w:customStyle="1">
    <w:name w:val="xl91"/>
    <w:basedOn w:val="839"/>
    <w:next w:val="1183"/>
    <w:uiPriority w:val="0"/>
    <w:qFormat/>
    <w:pPr>
      <w:ind w:left="0" w:firstLine="3584"/>
      <w:spacing w:before="280" w:after="280" w:line="240" w:lineRule="auto"/>
    </w:pPr>
    <w:rPr>
      <w:rFonts w:ascii="Times New Roman" w:hAnsi="Times New Roman" w:cs="Times New Roman"/>
    </w:rPr>
  </w:style>
  <w:style w:type="paragraph" w:styleId="1263" w:customStyle="1">
    <w:name w:val="Text Body"/>
    <w:basedOn w:val="839"/>
    <w:next w:val="1264"/>
    <w:uiPriority w:val="0"/>
    <w:qFormat/>
    <w:pPr>
      <w:ind w:left="0" w:firstLine="4096"/>
      <w:spacing w:before="0" w:after="120" w:line="240" w:lineRule="auto"/>
    </w:pPr>
    <w:rPr>
      <w:rFonts w:ascii="Times New Roman" w:hAnsi="Times New Roman" w:cs="Times New Roman"/>
    </w:rPr>
  </w:style>
  <w:style w:type="paragraph" w:styleId="1264" w:customStyle="1">
    <w:name w:val="项目符1"/>
    <w:basedOn w:val="839"/>
    <w:next w:val="1265"/>
    <w:uiPriority w:val="0"/>
    <w:qFormat/>
    <w:pPr>
      <w:ind w:left="1365" w:right="100" w:firstLine="2728"/>
      <w:spacing w:before="78" w:after="78" w:line="300" w:lineRule="auto"/>
    </w:pPr>
    <w:rPr>
      <w:rFonts w:ascii="Times New Roman" w:hAnsi="Times New Roman" w:cs="Times New Roman"/>
    </w:rPr>
  </w:style>
  <w:style w:type="paragraph" w:styleId="1265" w:customStyle="1">
    <w:name w:val="引文目录标题1"/>
    <w:basedOn w:val="839"/>
    <w:next w:val="838"/>
    <w:uiPriority w:val="0"/>
    <w:qFormat/>
    <w:pPr>
      <w:ind w:left="0" w:firstLine="4608"/>
      <w:jc w:val="center"/>
      <w:spacing w:before="120" w:after="0" w:line="360" w:lineRule="auto"/>
    </w:pPr>
    <w:rPr>
      <w:rFonts w:ascii="Times New Roman" w:hAnsi="Times New Roman" w:cs="Times New Roman"/>
    </w:rPr>
  </w:style>
  <w:style w:type="paragraph" w:styleId="1266" w:customStyle="1">
    <w:name w:val="样式 标题 3 + (西文) 黑体 (中文) 黑体 (符号) 宋体 小四 段前: 5 磅 段后: 5 磅 行距: 1..."/>
    <w:basedOn w:val="842"/>
    <w:next w:val="1267"/>
    <w:uiPriority w:val="0"/>
    <w:qFormat/>
    <w:pPr>
      <w:ind w:left="1429" w:firstLine="18"/>
      <w:spacing w:before="100" w:after="100" w:line="360" w:lineRule="auto"/>
      <w:outlineLvl w:val="2"/>
    </w:pPr>
  </w:style>
  <w:style w:type="paragraph" w:styleId="1267" w:customStyle="1">
    <w:name w:val="xl22"/>
    <w:basedOn w:val="839"/>
    <w:next w:val="1268"/>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8" w:customStyle="1">
    <w:name w:val="自定义一"/>
    <w:basedOn w:val="839"/>
    <w:next w:val="838"/>
    <w:uiPriority w:val="0"/>
    <w:qFormat/>
    <w:pPr>
      <w:ind w:left="0"/>
      <w:spacing w:before="0" w:after="0" w:line="360" w:lineRule="auto"/>
    </w:pPr>
    <w:rPr>
      <w:rFonts w:ascii="Times New Roman" w:hAnsi="Times New Roman" w:cs="Times New Roman"/>
    </w:rPr>
  </w:style>
  <w:style w:type="paragraph" w:styleId="1269" w:customStyle="1">
    <w:name w:val="xl78"/>
    <w:basedOn w:val="839"/>
    <w:next w:val="1270"/>
    <w:uiPriority w:val="0"/>
    <w:qFormat/>
    <w:pPr>
      <w:ind w:left="0" w:firstLine="3584"/>
      <w:jc w:val="center"/>
      <w:spacing w:before="280" w:after="280" w:line="240" w:lineRule="auto"/>
    </w:pPr>
    <w:rPr>
      <w:rFonts w:ascii="Times New Roman" w:hAnsi="Times New Roman" w:cs="Times New Roman"/>
    </w:rPr>
  </w:style>
  <w:style w:type="paragraph" w:styleId="1270" w:customStyle="1">
    <w:name w:val="段落正文"/>
    <w:next w:val="1212"/>
    <w:uiPriority w:val="0"/>
    <w:qFormat/>
    <w:pPr>
      <w:ind w:firstLine="4608"/>
      <w:jc w:val="center"/>
      <w:spacing w:line="360" w:lineRule="auto"/>
    </w:pPr>
    <w:rPr>
      <w:rFonts w:hint="default" w:ascii="Calibri" w:hAnsi="Calibri" w:eastAsia="宋体" w:cs="宋体"/>
    </w:rPr>
  </w:style>
  <w:style w:type="paragraph" w:styleId="1271" w:customStyle="1">
    <w:name w:val="_Style 169"/>
    <w:next w:val="838"/>
    <w:uiPriority w:val="0"/>
    <w:qFormat/>
    <w:pPr>
      <w:ind w:left="2560"/>
    </w:pPr>
    <w:rPr>
      <w:rFonts w:hint="default" w:ascii="Calibri" w:hAnsi="Calibri" w:eastAsia="宋体" w:cs="宋体"/>
    </w:rPr>
  </w:style>
  <w:style w:type="paragraph" w:styleId="1272" w:customStyle="1">
    <w:name w:val="样式 小四 行距: 1.5 倍行距 首行缩进:  2 字符"/>
    <w:basedOn w:val="839"/>
    <w:next w:val="1217"/>
    <w:uiPriority w:val="0"/>
    <w:qFormat/>
    <w:pPr>
      <w:ind w:left="480" w:firstLine="2784"/>
      <w:spacing w:before="0" w:after="0" w:line="360" w:lineRule="auto"/>
    </w:pPr>
    <w:rPr>
      <w:rFonts w:ascii="Times New Roman" w:hAnsi="Times New Roman" w:cs="Times New Roman"/>
    </w:rPr>
  </w:style>
  <w:style w:type="paragraph" w:styleId="1273" w:customStyle="1">
    <w:name w:val="小节标题"/>
    <w:basedOn w:val="839"/>
    <w:next w:val="838"/>
    <w:uiPriority w:val="0"/>
    <w:qFormat/>
    <w:pPr>
      <w:ind w:left="0" w:firstLine="7168"/>
      <w:spacing w:before="175" w:after="102" w:line="351" w:lineRule="atLeast"/>
    </w:pPr>
    <w:rPr>
      <w:rFonts w:ascii="Times New Roman" w:hAnsi="Times New Roman" w:cs="Times New Roman"/>
    </w:rPr>
  </w:style>
  <w:style w:type="paragraph" w:styleId="1274" w:customStyle="1">
    <w:name w:val="TOC 标题2"/>
    <w:basedOn w:val="839"/>
    <w:next w:val="83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5" w:customStyle="1">
    <w:name w:val="表格文字（两侧对齐）"/>
    <w:basedOn w:val="839"/>
    <w:next w:val="1276"/>
    <w:uiPriority w:val="0"/>
    <w:qFormat/>
    <w:pPr>
      <w:ind w:left="0" w:firstLine="3584"/>
      <w:spacing w:before="0" w:after="0" w:line="240" w:lineRule="auto"/>
    </w:pPr>
    <w:rPr>
      <w:rFonts w:ascii="Times New Roman" w:hAnsi="Times New Roman" w:cs="Times New Roman"/>
    </w:rPr>
  </w:style>
  <w:style w:type="paragraph" w:styleId="1276" w:customStyle="1">
    <w:name w:val="Char"/>
    <w:basedOn w:val="839"/>
    <w:next w:val="1255"/>
    <w:uiPriority w:val="0"/>
    <w:qFormat/>
    <w:pPr>
      <w:ind w:left="900" w:firstLine="2608"/>
      <w:spacing w:before="0" w:after="0" w:line="240" w:lineRule="auto"/>
    </w:pPr>
    <w:rPr>
      <w:rFonts w:ascii="Times New Roman" w:hAnsi="Times New Roman" w:cs="Times New Roman"/>
    </w:rPr>
  </w:style>
  <w:style w:type="paragraph" w:styleId="1277" w:customStyle="1">
    <w:name w:val="xl86"/>
    <w:basedOn w:val="839"/>
    <w:next w:val="1278"/>
    <w:uiPriority w:val="0"/>
    <w:qFormat/>
    <w:pPr>
      <w:ind w:left="0" w:firstLine="5120"/>
      <w:spacing w:before="280" w:after="280" w:line="240" w:lineRule="auto"/>
    </w:pPr>
    <w:rPr>
      <w:rFonts w:ascii="Times New Roman" w:hAnsi="Times New Roman" w:cs="Times New Roman"/>
    </w:rPr>
  </w:style>
  <w:style w:type="paragraph" w:styleId="1278" w:customStyle="1">
    <w:name w:val="索引 71"/>
    <w:basedOn w:val="839"/>
    <w:next w:val="838"/>
    <w:uiPriority w:val="0"/>
    <w:qFormat/>
    <w:pPr>
      <w:ind w:left="1200" w:firstLine="2560"/>
      <w:jc w:val="center"/>
      <w:spacing w:before="0" w:after="0" w:line="360" w:lineRule="auto"/>
    </w:pPr>
    <w:rPr>
      <w:rFonts w:ascii="Times New Roman" w:hAnsi="Times New Roman" w:cs="Times New Roman"/>
    </w:rPr>
  </w:style>
  <w:style w:type="paragraph" w:styleId="1279" w:customStyle="1">
    <w:name w:val="111"/>
    <w:next w:val="1280"/>
    <w:uiPriority w:val="0"/>
    <w:qFormat/>
    <w:pPr>
      <w:ind w:left="480" w:firstLine="4320"/>
      <w:spacing w:line="440" w:lineRule="exact"/>
    </w:pPr>
    <w:rPr>
      <w:rFonts w:hint="default" w:ascii="Calibri" w:hAnsi="Calibri" w:eastAsia="宋体" w:cs="宋体"/>
    </w:rPr>
  </w:style>
  <w:style w:type="paragraph" w:styleId="1280" w:customStyle="1">
    <w:name w:val="4"/>
    <w:basedOn w:val="839"/>
    <w:next w:val="865"/>
    <w:uiPriority w:val="0"/>
    <w:qFormat/>
    <w:pPr>
      <w:ind w:left="409" w:firstLine="3737"/>
      <w:spacing w:before="0" w:after="0" w:line="420" w:lineRule="exact"/>
    </w:pPr>
    <w:rPr>
      <w:rFonts w:ascii="Times New Roman" w:hAnsi="Times New Roman" w:cs="Times New Roman"/>
    </w:rPr>
  </w:style>
  <w:style w:type="paragraph" w:styleId="1281" w:customStyle="1">
    <w:name w:val="Char Char Char Char Char Char1 Char Char Char1 Char Char Char Char Char Char"/>
    <w:basedOn w:val="839"/>
    <w:next w:val="1266"/>
    <w:uiPriority w:val="0"/>
    <w:qFormat/>
    <w:pPr>
      <w:ind w:left="0" w:firstLine="2560"/>
      <w:spacing w:before="0" w:after="0" w:line="240" w:lineRule="auto"/>
    </w:pPr>
    <w:rPr>
      <w:rFonts w:ascii="Times New Roman" w:hAnsi="Times New Roman" w:cs="Times New Roman"/>
    </w:rPr>
  </w:style>
  <w:style w:type="paragraph" w:styleId="1282" w:customStyle="1">
    <w:name w:val="Char Char Char Char Char Char1 Char Char Char Char Char Char1 Char Char Char"/>
    <w:basedOn w:val="839"/>
    <w:next w:val="1283"/>
    <w:uiPriority w:val="0"/>
    <w:qFormat/>
    <w:pPr>
      <w:ind w:left="0" w:firstLine="2560"/>
      <w:spacing w:before="0" w:after="0" w:line="240" w:lineRule="auto"/>
    </w:pPr>
    <w:rPr>
      <w:rFonts w:ascii="Times New Roman" w:hAnsi="Times New Roman" w:cs="Times New Roman"/>
    </w:rPr>
  </w:style>
  <w:style w:type="paragraph" w:styleId="1283" w:customStyle="1">
    <w:name w:val="正文符号1"/>
    <w:basedOn w:val="839"/>
    <w:next w:val="1284"/>
    <w:uiPriority w:val="0"/>
    <w:qFormat/>
    <w:pPr>
      <w:ind w:left="987" w:firstLine="5724"/>
      <w:spacing w:before="0" w:after="0" w:line="240" w:lineRule="auto"/>
    </w:pPr>
    <w:rPr>
      <w:rFonts w:ascii="Times New Roman" w:hAnsi="Times New Roman" w:cs="Times New Roman"/>
    </w:rPr>
  </w:style>
  <w:style w:type="paragraph" w:styleId="1284" w:customStyle="1">
    <w:name w:val="索引 31"/>
    <w:basedOn w:val="839"/>
    <w:next w:val="838"/>
    <w:uiPriority w:val="0"/>
    <w:qFormat/>
    <w:pPr>
      <w:ind w:left="400" w:firstLine="2560"/>
      <w:jc w:val="center"/>
      <w:spacing w:before="0" w:after="0" w:line="360" w:lineRule="auto"/>
    </w:pPr>
    <w:rPr>
      <w:rFonts w:ascii="Times New Roman" w:hAnsi="Times New Roman" w:cs="Times New Roman"/>
    </w:rPr>
  </w:style>
  <w:style w:type="paragraph" w:styleId="1285" w:customStyle="1">
    <w:name w:val="目录4"/>
    <w:basedOn w:val="839"/>
    <w:next w:val="838"/>
    <w:uiPriority w:val="0"/>
    <w:qFormat/>
    <w:pPr>
      <w:ind w:left="629" w:firstLine="5237"/>
      <w:spacing w:before="0" w:after="0" w:line="317" w:lineRule="atLeast"/>
    </w:pPr>
    <w:rPr>
      <w:rFonts w:ascii="Times New Roman" w:hAnsi="Times New Roman" w:cs="Times New Roman"/>
    </w:rPr>
  </w:style>
  <w:style w:type="paragraph" w:styleId="1286" w:customStyle="1">
    <w:name w:val="p15"/>
    <w:basedOn w:val="838"/>
    <w:uiPriority w:val="0"/>
    <w:qFormat/>
    <w:pPr>
      <w:ind w:left="0"/>
    </w:pPr>
    <w:rPr>
      <w:rFonts w:ascii="宋体" w:hAnsi="宋体"/>
      <w:sz w:val="28"/>
      <w:szCs w:val="28"/>
    </w:rPr>
  </w:style>
  <w:style w:type="paragraph" w:styleId="1287" w:customStyle="1">
    <w:name w:val="四号 居中"/>
    <w:basedOn w:val="839"/>
    <w:next w:val="1281"/>
    <w:uiPriority w:val="0"/>
    <w:qFormat/>
    <w:pPr>
      <w:ind w:left="0" w:firstLine="6144"/>
      <w:jc w:val="center"/>
      <w:spacing w:before="0" w:after="0" w:line="360" w:lineRule="auto"/>
    </w:pPr>
    <w:rPr>
      <w:rFonts w:ascii="Times New Roman" w:hAnsi="Times New Roman" w:cs="Times New Roman"/>
    </w:rPr>
  </w:style>
  <w:style w:type="paragraph" w:styleId="1288" w:customStyle="1">
    <w:name w:val="p0"/>
    <w:next w:val="838"/>
    <w:uiPriority w:val="0"/>
    <w:qFormat/>
    <w:pPr>
      <w:ind w:firstLine="2048"/>
      <w:spacing w:line="360" w:lineRule="auto"/>
    </w:pPr>
    <w:rPr>
      <w:rFonts w:hint="default" w:ascii="Calibri" w:hAnsi="Calibri" w:eastAsia="宋体" w:cs="宋体"/>
    </w:rPr>
  </w:style>
  <w:style w:type="paragraph" w:styleId="1289" w:customStyle="1">
    <w:name w:val="列表编号 21"/>
    <w:basedOn w:val="839"/>
    <w:next w:val="1290"/>
    <w:uiPriority w:val="0"/>
    <w:qFormat/>
    <w:pPr>
      <w:ind w:left="0" w:firstLine="2560"/>
      <w:spacing w:before="0" w:after="0" w:line="360" w:lineRule="auto"/>
    </w:pPr>
    <w:rPr>
      <w:rFonts w:ascii="Times New Roman" w:hAnsi="Times New Roman" w:cs="Times New Roman"/>
    </w:rPr>
  </w:style>
  <w:style w:type="paragraph" w:styleId="1290" w:customStyle="1">
    <w:name w:val="正文文本 21"/>
    <w:basedOn w:val="839"/>
    <w:next w:val="1171"/>
    <w:uiPriority w:val="0"/>
    <w:qFormat/>
    <w:pPr>
      <w:ind w:left="0" w:firstLine="2560"/>
      <w:jc w:val="center"/>
      <w:spacing w:before="0" w:after="120" w:line="480" w:lineRule="auto"/>
    </w:pPr>
    <w:rPr>
      <w:rFonts w:ascii="Times New Roman" w:hAnsi="Times New Roman" w:cs="Times New Roman"/>
    </w:rPr>
  </w:style>
  <w:style w:type="paragraph" w:styleId="1291" w:customStyle="1">
    <w:name w:val="a2"/>
    <w:basedOn w:val="839"/>
    <w:next w:val="878"/>
    <w:uiPriority w:val="0"/>
    <w:qFormat/>
    <w:pPr>
      <w:ind w:left="0" w:firstLine="1024"/>
      <w:spacing w:before="280" w:after="280" w:line="240" w:lineRule="auto"/>
    </w:pPr>
    <w:rPr>
      <w:rFonts w:ascii="Times New Roman" w:hAnsi="Times New Roman" w:cs="Times New Roman"/>
    </w:rPr>
  </w:style>
  <w:style w:type="paragraph" w:styleId="1292" w:customStyle="1">
    <w:name w:val="font8"/>
    <w:basedOn w:val="839"/>
    <w:next w:val="1216"/>
    <w:uiPriority w:val="0"/>
    <w:qFormat/>
    <w:pPr>
      <w:ind w:left="0" w:firstLine="2048"/>
      <w:spacing w:before="280" w:after="280" w:line="240" w:lineRule="auto"/>
    </w:pPr>
    <w:rPr>
      <w:rFonts w:ascii="Times New Roman" w:hAnsi="Times New Roman" w:cs="Times New Roman"/>
    </w:rPr>
  </w:style>
  <w:style w:type="paragraph" w:styleId="1293" w:customStyle="1">
    <w:name w:val="Char Char Char Char Char Char1 Char Char Char Char Char Char1 Char Char Char Char Char Char Char"/>
    <w:basedOn w:val="839"/>
    <w:next w:val="1294"/>
    <w:uiPriority w:val="0"/>
    <w:qFormat/>
    <w:pPr>
      <w:ind w:left="0" w:firstLine="2560"/>
      <w:spacing w:before="0" w:after="0" w:line="240" w:lineRule="auto"/>
    </w:pPr>
    <w:rPr>
      <w:rFonts w:ascii="Times New Roman" w:hAnsi="Times New Roman" w:cs="Times New Roman"/>
    </w:rPr>
  </w:style>
  <w:style w:type="paragraph" w:styleId="1294" w:customStyle="1">
    <w:name w:val="xl87"/>
    <w:basedOn w:val="839"/>
    <w:next w:val="1250"/>
    <w:uiPriority w:val="0"/>
    <w:qFormat/>
    <w:pPr>
      <w:ind w:left="0" w:firstLine="5120"/>
      <w:spacing w:before="280" w:after="280" w:line="240" w:lineRule="auto"/>
    </w:pPr>
    <w:rPr>
      <w:rFonts w:ascii="Times New Roman" w:hAnsi="Times New Roman" w:cs="Times New Roman"/>
    </w:rPr>
  </w:style>
  <w:style w:type="paragraph" w:styleId="1295" w:customStyle="1">
    <w:name w:val="444"/>
    <w:basedOn w:val="839"/>
    <w:next w:val="859"/>
    <w:uiPriority w:val="0"/>
    <w:qFormat/>
    <w:pPr>
      <w:ind w:left="0" w:firstLine="4608"/>
      <w:jc w:val="center"/>
      <w:spacing w:before="0" w:after="0" w:line="312" w:lineRule="atLeast"/>
    </w:pPr>
    <w:rPr>
      <w:rFonts w:ascii="Times New Roman" w:hAnsi="Times New Roman" w:cs="Times New Roman"/>
    </w:rPr>
  </w:style>
  <w:style w:type="paragraph" w:styleId="1296" w:customStyle="1">
    <w:name w:val="表格文字图表文字"/>
    <w:basedOn w:val="839"/>
    <w:next w:val="1297"/>
    <w:uiPriority w:val="0"/>
    <w:qFormat/>
    <w:pPr>
      <w:ind w:left="0" w:firstLine="3584"/>
      <w:jc w:val="center"/>
      <w:spacing w:before="0" w:after="0" w:line="240" w:lineRule="auto"/>
    </w:pPr>
    <w:rPr>
      <w:rFonts w:ascii="Times New Roman" w:hAnsi="Times New Roman" w:cs="Times New Roman"/>
    </w:rPr>
  </w:style>
  <w:style w:type="paragraph" w:styleId="1297" w:customStyle="1">
    <w:name w:val="样式 目录 3 + 左侧:  2 字符1"/>
    <w:next w:val="1298"/>
    <w:uiPriority w:val="0"/>
    <w:qFormat/>
    <w:pPr>
      <w:ind w:left="960" w:firstLine="5120"/>
      <w:spacing w:line="360" w:lineRule="auto"/>
      <w:widowControl w:val="off"/>
    </w:pPr>
    <w:rPr>
      <w:rFonts w:hint="default" w:ascii="Calibri" w:hAnsi="Calibri" w:eastAsia="宋体" w:cs="宋体"/>
    </w:rPr>
  </w:style>
  <w:style w:type="paragraph" w:styleId="1298" w:customStyle="1">
    <w:name w:val="文档正文"/>
    <w:basedOn w:val="839"/>
    <w:next w:val="1299"/>
    <w:uiPriority w:val="0"/>
    <w:qFormat/>
    <w:pPr>
      <w:ind w:left="567" w:firstLine="3639"/>
      <w:spacing w:before="0" w:after="0" w:line="480" w:lineRule="atLeast"/>
    </w:pPr>
    <w:rPr>
      <w:rFonts w:ascii="Times New Roman" w:hAnsi="Times New Roman" w:cs="Times New Roman"/>
    </w:rPr>
  </w:style>
  <w:style w:type="paragraph" w:styleId="1299" w:customStyle="1">
    <w:name w:val="列表框2"/>
    <w:next w:val="1300"/>
    <w:uiPriority w:val="0"/>
    <w:qFormat/>
    <w:pPr>
      <w:ind w:firstLine="2048"/>
      <w:spacing w:line="460" w:lineRule="exact"/>
    </w:pPr>
    <w:rPr>
      <w:rFonts w:hint="default" w:ascii="Calibri" w:hAnsi="Calibri" w:eastAsia="宋体" w:cs="宋体"/>
    </w:rPr>
  </w:style>
  <w:style w:type="paragraph" w:styleId="1300" w:customStyle="1">
    <w:name w:val="font10"/>
    <w:basedOn w:val="839"/>
    <w:next w:val="870"/>
    <w:uiPriority w:val="0"/>
    <w:qFormat/>
    <w:pPr>
      <w:ind w:left="0" w:firstLine="3584"/>
      <w:spacing w:before="280" w:after="280" w:line="240" w:lineRule="auto"/>
    </w:pPr>
    <w:rPr>
      <w:rFonts w:ascii="Times New Roman" w:hAnsi="Times New Roman" w:cs="Times New Roman"/>
    </w:rPr>
  </w:style>
  <w:style w:type="paragraph" w:styleId="1301" w:customStyle="1">
    <w:name w:val="纯文本1"/>
    <w:basedOn w:val="839"/>
    <w:next w:val="883"/>
    <w:uiPriority w:val="0"/>
    <w:qFormat/>
    <w:pPr>
      <w:ind w:left="0" w:firstLine="3584"/>
      <w:spacing w:before="0" w:after="0" w:line="240" w:lineRule="auto"/>
    </w:pPr>
    <w:rPr>
      <w:rFonts w:ascii="Times New Roman" w:hAnsi="Times New Roman" w:cs="Times New Roman"/>
    </w:rPr>
  </w:style>
  <w:style w:type="paragraph" w:styleId="1302" w:customStyle="1">
    <w:name w:val="索引 91"/>
    <w:basedOn w:val="839"/>
    <w:next w:val="838"/>
    <w:uiPriority w:val="0"/>
    <w:qFormat/>
    <w:pPr>
      <w:ind w:left="1600" w:firstLine="2560"/>
      <w:jc w:val="center"/>
      <w:spacing w:before="0" w:after="0" w:line="360" w:lineRule="auto"/>
    </w:pPr>
    <w:rPr>
      <w:rFonts w:ascii="Times New Roman" w:hAnsi="Times New Roman" w:cs="Times New Roman"/>
    </w:rPr>
  </w:style>
  <w:style w:type="paragraph" w:styleId="1303" w:customStyle="1">
    <w:name w:val="xl79"/>
    <w:basedOn w:val="839"/>
    <w:next w:val="1279"/>
    <w:uiPriority w:val="0"/>
    <w:qFormat/>
    <w:pPr>
      <w:ind w:left="0" w:firstLine="3584"/>
      <w:jc w:val="center"/>
      <w:spacing w:before="280" w:after="280" w:line="240" w:lineRule="auto"/>
    </w:pPr>
    <w:rPr>
      <w:rFonts w:ascii="Times New Roman" w:hAnsi="Times New Roman" w:cs="Times New Roman"/>
    </w:rPr>
  </w:style>
  <w:style w:type="paragraph" w:styleId="1304" w:customStyle="1">
    <w:name w:val="表格文字（4号居中）"/>
    <w:next w:val="1305"/>
    <w:uiPriority w:val="0"/>
    <w:qFormat/>
    <w:pPr>
      <w:ind w:firstLine="2560"/>
      <w:jc w:val="center"/>
    </w:pPr>
    <w:rPr>
      <w:rFonts w:hint="default" w:ascii="Calibri" w:hAnsi="Calibri" w:eastAsia="宋体" w:cs="宋体"/>
    </w:rPr>
  </w:style>
  <w:style w:type="paragraph" w:styleId="1305" w:customStyle="1">
    <w:name w:val="!方块加粗"/>
    <w:basedOn w:val="839"/>
    <w:next w:val="1272"/>
    <w:uiPriority w:val="0"/>
    <w:qFormat/>
    <w:pPr>
      <w:ind w:left="600" w:firstLine="5212"/>
      <w:spacing w:before="0" w:after="0" w:line="360" w:lineRule="auto"/>
    </w:pPr>
    <w:rPr>
      <w:rFonts w:ascii="Times New Roman" w:hAnsi="Times New Roman" w:cs="Times New Roman"/>
    </w:rPr>
  </w:style>
  <w:style w:type="paragraph" w:styleId="1306" w:customStyle="1">
    <w:name w:val="xl75"/>
    <w:basedOn w:val="839"/>
    <w:next w:val="884"/>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xl81"/>
    <w:basedOn w:val="839"/>
    <w:next w:val="1308"/>
    <w:uiPriority w:val="0"/>
    <w:qFormat/>
    <w:pPr>
      <w:ind w:left="0" w:firstLine="5120"/>
      <w:spacing w:before="280" w:after="280" w:line="240" w:lineRule="auto"/>
    </w:pPr>
    <w:rPr>
      <w:rFonts w:ascii="Times New Roman" w:hAnsi="Times New Roman" w:cs="Times New Roman"/>
    </w:rPr>
  </w:style>
  <w:style w:type="paragraph" w:styleId="1308" w:customStyle="1">
    <w:name w:val="xl25"/>
    <w:basedOn w:val="839"/>
    <w:next w:val="1309"/>
    <w:uiPriority w:val="0"/>
    <w:qFormat/>
    <w:pPr>
      <w:ind w:left="0" w:firstLine="14"/>
      <w:spacing w:before="280" w:after="280" w:line="240" w:lineRule="auto"/>
      <w:shd w:val="clear" w:color="000000" w:fill="ffffff"/>
    </w:pPr>
    <w:rPr>
      <w:rFonts w:ascii="Times New Roman" w:hAnsi="Times New Roman" w:cs="Times New Roman"/>
    </w:rPr>
  </w:style>
  <w:style w:type="paragraph" w:styleId="1309" w:customStyle="1">
    <w:name w:val="普通(网站)1"/>
    <w:basedOn w:val="839"/>
    <w:next w:val="1310"/>
    <w:uiPriority w:val="0"/>
    <w:qFormat/>
    <w:pPr>
      <w:ind w:left="200" w:firstLine="1224"/>
      <w:spacing w:before="280" w:after="280" w:line="240" w:lineRule="auto"/>
    </w:pPr>
    <w:rPr>
      <w:rFonts w:ascii="Times New Roman" w:hAnsi="Times New Roman" w:cs="Times New Roman"/>
    </w:rPr>
  </w:style>
  <w:style w:type="paragraph" w:styleId="1310" w:customStyle="1">
    <w:name w:val="xl27"/>
    <w:basedOn w:val="839"/>
    <w:next w:val="1296"/>
    <w:uiPriority w:val="0"/>
    <w:qFormat/>
    <w:pPr>
      <w:ind w:left="0" w:firstLine="20"/>
      <w:spacing w:before="280" w:after="280" w:line="240" w:lineRule="auto"/>
      <w:shd w:val="clear" w:color="000000" w:fill="ffffff"/>
    </w:pPr>
    <w:rPr>
      <w:rFonts w:ascii="Times New Roman" w:hAnsi="Times New Roman" w:cs="Times New Roman"/>
    </w:rPr>
  </w:style>
  <w:style w:type="paragraph" w:styleId="1311" w:customStyle="1">
    <w:name w:val="H 4"/>
    <w:basedOn w:val="843"/>
    <w:next w:val="1312"/>
    <w:uiPriority w:val="0"/>
    <w:qFormat/>
    <w:pPr>
      <w:ind w:left="426" w:firstLine="24"/>
      <w:spacing w:before="0" w:after="0" w:line="360" w:lineRule="auto"/>
      <w:outlineLvl w:val="3"/>
    </w:pPr>
  </w:style>
  <w:style w:type="paragraph" w:styleId="1312" w:customStyle="1">
    <w:name w:val="xl82"/>
    <w:basedOn w:val="839"/>
    <w:next w:val="1307"/>
    <w:uiPriority w:val="0"/>
    <w:qFormat/>
    <w:pPr>
      <w:ind w:left="0" w:firstLine="5120"/>
      <w:spacing w:before="280" w:after="280" w:line="240" w:lineRule="auto"/>
    </w:pPr>
    <w:rPr>
      <w:rFonts w:ascii="Times New Roman" w:hAnsi="Times New Roman" w:cs="Times New Roman"/>
    </w:rPr>
  </w:style>
  <w:style w:type="paragraph" w:styleId="1313" w:customStyle="1">
    <w:name w:val="Char Char Char Char Char Char Char Char"/>
    <w:next w:val="1314"/>
    <w:uiPriority w:val="0"/>
    <w:qFormat/>
    <w:pPr>
      <w:ind w:firstLine="14"/>
      <w:jc w:val="both"/>
      <w:shd w:val="clear" w:color="000000" w:fill="000080"/>
      <w:widowControl w:val="off"/>
    </w:pPr>
    <w:rPr>
      <w:rFonts w:hint="default" w:ascii="Calibri" w:hAnsi="Calibri" w:eastAsia="宋体" w:cs="宋体"/>
    </w:rPr>
  </w:style>
  <w:style w:type="paragraph" w:styleId="1314" w:customStyle="1">
    <w:name w:val="Char Char Char Char Char Char1 Char Char Char1 Char Char Char Char Char Char Char Char Char Char Char Char Char Char Char"/>
    <w:basedOn w:val="839"/>
    <w:next w:val="1315"/>
    <w:uiPriority w:val="0"/>
    <w:qFormat/>
    <w:pPr>
      <w:ind w:left="0" w:firstLine="2560"/>
      <w:spacing w:before="0" w:after="0" w:line="240" w:lineRule="auto"/>
    </w:pPr>
    <w:rPr>
      <w:rFonts w:ascii="Times New Roman" w:hAnsi="Times New Roman" w:cs="Times New Roman"/>
    </w:rPr>
  </w:style>
  <w:style w:type="paragraph" w:styleId="1315" w:customStyle="1">
    <w:name w:val="样式1"/>
    <w:basedOn w:val="839"/>
    <w:next w:val="1316"/>
    <w:uiPriority w:val="0"/>
    <w:qFormat/>
    <w:pPr>
      <w:ind w:left="0" w:firstLine="1536"/>
      <w:spacing w:before="120" w:after="120" w:line="300" w:lineRule="auto"/>
    </w:pPr>
    <w:rPr>
      <w:rFonts w:ascii="Times New Roman" w:hAnsi="Times New Roman" w:cs="Times New Roman"/>
    </w:rPr>
  </w:style>
  <w:style w:type="paragraph" w:styleId="1316" w:customStyle="1">
    <w:name w:val="索引 41"/>
    <w:basedOn w:val="839"/>
    <w:next w:val="838"/>
    <w:uiPriority w:val="0"/>
    <w:qFormat/>
    <w:pPr>
      <w:ind w:left="600" w:firstLine="2560"/>
      <w:jc w:val="center"/>
      <w:spacing w:before="0" w:after="0" w:line="360" w:lineRule="auto"/>
    </w:pPr>
    <w:rPr>
      <w:rFonts w:ascii="Times New Roman" w:hAnsi="Times New Roman" w:cs="Times New Roman"/>
    </w:rPr>
  </w:style>
  <w:style w:type="paragraph" w:styleId="1317" w:customStyle="1">
    <w:name w:val="自定义二"/>
    <w:basedOn w:val="839"/>
    <w:next w:val="838"/>
    <w:uiPriority w:val="0"/>
    <w:qFormat/>
    <w:pPr>
      <w:ind w:left="0" w:firstLine="14"/>
      <w:spacing w:before="0" w:after="0" w:line="360" w:lineRule="auto"/>
      <w:outlineLvl w:val="1"/>
    </w:pPr>
    <w:rPr>
      <w:rFonts w:ascii="Times New Roman" w:hAnsi="Times New Roman" w:cs="Times New Roman"/>
    </w:rPr>
  </w:style>
  <w:style w:type="paragraph" w:styleId="1318" w:customStyle="1">
    <w:name w:val="Bullet"/>
    <w:next w:val="1256"/>
    <w:uiPriority w:val="0"/>
    <w:qFormat/>
    <w:pPr>
      <w:ind w:left="567" w:right="2835" w:firstLine="3584"/>
      <w:spacing w:after="60"/>
    </w:pPr>
    <w:rPr>
      <w:rFonts w:hint="default" w:ascii="Calibri" w:hAnsi="Calibri" w:eastAsia="宋体" w:cs="宋体"/>
    </w:rPr>
  </w:style>
  <w:style w:type="paragraph" w:styleId="1319" w:customStyle="1">
    <w:name w:val="Char Char Char Char Char Char1"/>
    <w:basedOn w:val="839"/>
    <w:next w:val="1320"/>
    <w:uiPriority w:val="0"/>
    <w:qFormat/>
    <w:pPr>
      <w:ind w:left="0" w:firstLine="2560"/>
      <w:spacing w:before="0" w:after="0" w:line="240" w:lineRule="auto"/>
    </w:pPr>
    <w:rPr>
      <w:rFonts w:ascii="Times New Roman" w:hAnsi="Times New Roman" w:cs="Times New Roman"/>
    </w:rPr>
  </w:style>
  <w:style w:type="paragraph" w:styleId="1320" w:customStyle="1">
    <w:name w:val="正文缩进2"/>
    <w:basedOn w:val="839"/>
    <w:next w:val="1321"/>
    <w:uiPriority w:val="0"/>
    <w:qFormat/>
    <w:pPr>
      <w:ind w:left="420" w:firstLine="1188"/>
      <w:spacing w:before="0" w:after="0" w:line="240" w:lineRule="auto"/>
    </w:pPr>
    <w:rPr>
      <w:rFonts w:ascii="Times New Roman" w:hAnsi="Times New Roman" w:cs="Times New Roman"/>
    </w:rPr>
  </w:style>
  <w:style w:type="paragraph" w:styleId="1321" w:customStyle="1">
    <w:name w:val="列出段落2"/>
    <w:basedOn w:val="839"/>
    <w:next w:val="1322"/>
    <w:uiPriority w:val="0"/>
    <w:qFormat/>
    <w:pPr>
      <w:ind w:left="420" w:firstLine="3748"/>
      <w:spacing w:before="0" w:after="0" w:line="240" w:lineRule="auto"/>
    </w:pPr>
    <w:rPr>
      <w:rFonts w:ascii="Times New Roman" w:hAnsi="Times New Roman" w:cs="Times New Roman"/>
    </w:rPr>
  </w:style>
  <w:style w:type="paragraph" w:styleId="1322" w:customStyle="1">
    <w:name w:val="正文文本缩进 31"/>
    <w:basedOn w:val="839"/>
    <w:next w:val="1323"/>
    <w:uiPriority w:val="0"/>
    <w:qFormat/>
    <w:pPr>
      <w:ind w:left="1200" w:firstLine="1248"/>
      <w:spacing w:before="120" w:after="0" w:line="22" w:lineRule="atLeast"/>
    </w:pPr>
    <w:rPr>
      <w:rFonts w:ascii="Times New Roman" w:hAnsi="Times New Roman" w:cs="Times New Roman"/>
    </w:rPr>
  </w:style>
  <w:style w:type="paragraph" w:styleId="1323" w:customStyle="1">
    <w:name w:val="样式 正文首行缩进 + 首行缩进:  2 字符5"/>
    <w:next w:val="1324"/>
    <w:uiPriority w:val="0"/>
    <w:qFormat/>
    <w:pPr>
      <w:ind w:left="200" w:firstLine="3784"/>
      <w:spacing w:line="300" w:lineRule="auto"/>
    </w:pPr>
    <w:rPr>
      <w:rFonts w:hint="default" w:ascii="Calibri" w:hAnsi="Calibri" w:eastAsia="宋体" w:cs="宋体"/>
    </w:rPr>
  </w:style>
  <w:style w:type="paragraph" w:styleId="1324" w:customStyle="1">
    <w:name w:val="Char2"/>
    <w:basedOn w:val="839"/>
    <w:next w:val="1318"/>
    <w:uiPriority w:val="0"/>
    <w:qFormat/>
    <w:pPr>
      <w:ind w:left="0" w:firstLine="3584"/>
      <w:spacing w:before="0" w:after="160" w:line="240" w:lineRule="exact"/>
    </w:pPr>
    <w:rPr>
      <w:rFonts w:ascii="Times New Roman" w:hAnsi="Times New Roman" w:cs="Times New Roman"/>
    </w:rPr>
  </w:style>
  <w:style w:type="paragraph" w:styleId="1325" w:customStyle="1">
    <w:name w:val="WPSOffice手动目录 1"/>
    <w:uiPriority w:val="0"/>
    <w:qFormat/>
    <w:rPr>
      <w:rFonts w:hint="default" w:ascii="宋体" w:hAnsi="宋体" w:eastAsia="宋体" w:cs="宋体"/>
    </w:rPr>
  </w:style>
  <w:style w:type="paragraph" w:styleId="1326" w:customStyle="1">
    <w:name w:val="纯文本4"/>
    <w:basedOn w:val="838"/>
    <w:uiPriority w:val="0"/>
    <w:qFormat/>
    <w:pPr>
      <w:ind w:left="0"/>
      <w:widowControl w:val="off"/>
    </w:pPr>
    <w:rPr>
      <w:rFonts w:ascii="宋体" w:hAnsi="Courier New" w:eastAsia="楷体_GB2312" w:cs="Times New Roman"/>
      <w:sz w:val="26"/>
    </w:rPr>
  </w:style>
  <w:style w:type="paragraph" w:styleId="1327" w:customStyle="1">
    <w:name w:val="Char Char Char Char Char Char Char Char Char Char Char Char Char Char Char Char"/>
    <w:basedOn w:val="839"/>
    <w:next w:val="1328"/>
    <w:uiPriority w:val="0"/>
    <w:qFormat/>
    <w:pPr>
      <w:ind w:left="682" w:firstLine="1224"/>
      <w:spacing w:before="0" w:after="0" w:line="360" w:lineRule="auto"/>
    </w:pPr>
    <w:rPr>
      <w:rFonts w:ascii="Times New Roman" w:hAnsi="Times New Roman" w:cs="Times New Roman"/>
    </w:rPr>
  </w:style>
  <w:style w:type="paragraph" w:styleId="1328" w:customStyle="1">
    <w:name w:val="列表编号 51"/>
    <w:basedOn w:val="839"/>
    <w:next w:val="1329"/>
    <w:uiPriority w:val="0"/>
    <w:qFormat/>
    <w:pPr>
      <w:ind w:left="900" w:firstLine="2652"/>
      <w:spacing w:before="0" w:after="0" w:line="360" w:lineRule="auto"/>
    </w:pPr>
    <w:rPr>
      <w:rFonts w:ascii="Times New Roman" w:hAnsi="Times New Roman" w:cs="Times New Roman"/>
    </w:rPr>
  </w:style>
  <w:style w:type="paragraph" w:styleId="1329" w:customStyle="1">
    <w:name w:val="样式 标题 1 + 黑体 (符号) 宋体 三号 段前: 7.8 磅 段后: 7.8 磅 行距: 1.5 倍行距"/>
    <w:basedOn w:val="840"/>
    <w:next w:val="1330"/>
    <w:uiPriority w:val="0"/>
    <w:qFormat/>
    <w:pPr>
      <w:ind w:left="432" w:firstLine="18"/>
      <w:spacing w:before="40" w:after="40" w:line="360" w:lineRule="auto"/>
      <w:outlineLvl w:val="0"/>
    </w:pPr>
  </w:style>
  <w:style w:type="paragraph" w:styleId="1330" w:customStyle="1">
    <w:name w:val="表格用"/>
    <w:basedOn w:val="839"/>
    <w:next w:val="1287"/>
    <w:uiPriority w:val="0"/>
    <w:qFormat/>
    <w:pPr>
      <w:ind w:left="0" w:firstLine="1024"/>
      <w:spacing w:before="0" w:after="0" w:line="360" w:lineRule="auto"/>
    </w:pPr>
    <w:rPr>
      <w:rFonts w:ascii="Times New Roman" w:hAnsi="Times New Roman" w:cs="Times New Roman"/>
    </w:rPr>
  </w:style>
  <w:style w:type="paragraph" w:styleId="1331" w:customStyle="1">
    <w:name w:val="xl71"/>
    <w:basedOn w:val="839"/>
    <w:next w:val="1332"/>
    <w:uiPriority w:val="0"/>
    <w:qFormat/>
    <w:pPr>
      <w:ind w:left="0" w:firstLine="1536"/>
      <w:spacing w:before="280" w:after="280" w:line="240" w:lineRule="auto"/>
    </w:pPr>
    <w:rPr>
      <w:rFonts w:ascii="Times New Roman" w:hAnsi="Times New Roman" w:cs="Times New Roman"/>
    </w:rPr>
  </w:style>
  <w:style w:type="paragraph" w:styleId="1332" w:customStyle="1">
    <w:name w:val="正文文本 31"/>
    <w:basedOn w:val="839"/>
    <w:next w:val="1333"/>
    <w:uiPriority w:val="0"/>
    <w:qFormat/>
    <w:pPr>
      <w:ind w:left="0" w:firstLine="3584"/>
      <w:jc w:val="center"/>
      <w:spacing w:before="0" w:after="120" w:line="360" w:lineRule="auto"/>
    </w:pPr>
    <w:rPr>
      <w:rFonts w:ascii="Times New Roman" w:hAnsi="Times New Roman" w:cs="Times New Roman"/>
    </w:rPr>
  </w:style>
  <w:style w:type="paragraph" w:styleId="1333" w:customStyle="1">
    <w:name w:val="列出段落111"/>
    <w:basedOn w:val="839"/>
    <w:next w:val="1269"/>
    <w:uiPriority w:val="0"/>
    <w:qFormat/>
    <w:pPr>
      <w:ind w:left="420" w:firstLine="3748"/>
      <w:spacing w:before="0" w:after="0" w:line="240" w:lineRule="auto"/>
    </w:pPr>
    <w:rPr>
      <w:rFonts w:ascii="Times New Roman" w:hAnsi="Times New Roman" w:cs="Times New Roman"/>
    </w:rPr>
  </w:style>
  <w:style w:type="paragraph" w:styleId="1334" w:customStyle="1">
    <w:name w:val="修订1"/>
    <w:uiPriority w:val="0"/>
    <w:qFormat/>
    <w:rPr>
      <w:rFonts w:hint="default" w:ascii="Calibri" w:hAnsi="Calibri" w:eastAsia="宋体" w:cs="宋体"/>
    </w:rPr>
  </w:style>
  <w:style w:type="paragraph" w:styleId="1335" w:customStyle="1">
    <w:name w:val="正文文本缩进 21"/>
    <w:basedOn w:val="839"/>
    <w:next w:val="1275"/>
    <w:uiPriority w:val="0"/>
    <w:qFormat/>
    <w:pPr>
      <w:ind w:left="480" w:firstLine="4832"/>
      <w:spacing w:before="0" w:after="0" w:line="240" w:lineRule="auto"/>
    </w:pPr>
    <w:rPr>
      <w:rFonts w:ascii="Times New Roman" w:hAnsi="Times New Roman" w:cs="Times New Roman"/>
    </w:rPr>
  </w:style>
  <w:style w:type="paragraph" w:styleId="1336" w:customStyle="1">
    <w:name w:val="Char Char4 Char Char"/>
    <w:basedOn w:val="839"/>
    <w:next w:val="1285"/>
    <w:uiPriority w:val="0"/>
    <w:qFormat/>
    <w:pPr>
      <w:ind w:left="0" w:firstLine="2560"/>
      <w:spacing w:before="0" w:after="0" w:line="240" w:lineRule="auto"/>
    </w:pPr>
    <w:rPr>
      <w:rFonts w:ascii="Times New Roman" w:hAnsi="Times New Roman" w:cs="Times New Roman"/>
    </w:rPr>
  </w:style>
  <w:style w:type="paragraph" w:styleId="1337" w:customStyle="1">
    <w:name w:val="样式"/>
    <w:next w:val="838"/>
    <w:uiPriority w:val="0"/>
    <w:qFormat/>
    <w:pPr>
      <w:ind w:firstLine="3584"/>
      <w:widowControl w:val="off"/>
    </w:pPr>
    <w:rPr>
      <w:rFonts w:hint="default" w:ascii="Calibri" w:hAnsi="Calibri" w:eastAsia="宋体" w:cs="宋体"/>
    </w:rPr>
  </w:style>
  <w:style w:type="paragraph" w:styleId="1338" w:customStyle="1">
    <w:name w:val="TOC 标题1"/>
    <w:basedOn w:val="840"/>
    <w:next w:val="838"/>
    <w:uiPriority w:val="0"/>
    <w:qFormat/>
    <w:pPr>
      <w:ind w:left="0" w:firstLine="6144"/>
      <w:spacing w:before="480" w:after="0" w:line="276" w:lineRule="auto"/>
    </w:pPr>
    <w:rPr>
      <w:b/>
      <w:sz w:val="30"/>
    </w:rPr>
  </w:style>
  <w:style w:type="paragraph" w:styleId="1339" w:customStyle="1">
    <w:name w:val="纯文本3"/>
    <w:basedOn w:val="838"/>
    <w:uiPriority w:val="0"/>
    <w:qFormat/>
    <w:rPr>
      <w:rFonts w:ascii="宋体" w:hAnsi="Courier New" w:cs="Times New Roman"/>
    </w:rPr>
  </w:style>
  <w:style w:type="paragraph" w:styleId="1340" w:customStyle="1">
    <w:name w:val="afont"/>
    <w:basedOn w:val="839"/>
    <w:next w:val="863"/>
    <w:uiPriority w:val="0"/>
    <w:qFormat/>
    <w:pPr>
      <w:ind w:left="0" w:firstLine="2048"/>
      <w:spacing w:before="100" w:after="100" w:line="285" w:lineRule="atLeast"/>
    </w:pPr>
    <w:rPr>
      <w:rFonts w:ascii="Times New Roman" w:hAnsi="Times New Roman" w:cs="Times New Roman"/>
    </w:rPr>
  </w:style>
  <w:style w:type="paragraph" w:styleId="1341" w:customStyle="1">
    <w:name w:val="xl85"/>
    <w:basedOn w:val="839"/>
    <w:next w:val="1342"/>
    <w:uiPriority w:val="0"/>
    <w:qFormat/>
    <w:pPr>
      <w:ind w:left="0" w:firstLine="2048"/>
      <w:jc w:val="center"/>
      <w:spacing w:before="280" w:after="280" w:line="240" w:lineRule="auto"/>
    </w:pPr>
    <w:rPr>
      <w:rFonts w:ascii="Times New Roman" w:hAnsi="Times New Roman" w:cs="Times New Roman"/>
    </w:rPr>
  </w:style>
  <w:style w:type="paragraph" w:styleId="1342" w:customStyle="1">
    <w:name w:val="文章总标题"/>
    <w:basedOn w:val="839"/>
    <w:next w:val="1343"/>
    <w:uiPriority w:val="0"/>
    <w:qFormat/>
    <w:pPr>
      <w:ind w:left="0" w:firstLine="7168"/>
      <w:jc w:val="center"/>
      <w:spacing w:before="566" w:after="544" w:line="566" w:lineRule="atLeast"/>
    </w:pPr>
    <w:rPr>
      <w:rFonts w:ascii="Times New Roman" w:hAnsi="Times New Roman" w:cs="Times New Roman"/>
    </w:rPr>
  </w:style>
  <w:style w:type="paragraph" w:styleId="1343" w:customStyle="1">
    <w:name w:val="样式 首行缩进:  2 字符"/>
    <w:basedOn w:val="839"/>
    <w:next w:val="1306"/>
    <w:uiPriority w:val="0"/>
    <w:qFormat/>
    <w:pPr>
      <w:ind w:left="200" w:firstLine="1224"/>
      <w:spacing w:before="0" w:after="0" w:line="400" w:lineRule="exact"/>
    </w:pPr>
    <w:rPr>
      <w:rFonts w:ascii="Times New Roman" w:hAnsi="Times New Roman" w:cs="Times New Roman"/>
    </w:rPr>
  </w:style>
  <w:style w:type="paragraph" w:styleId="1344" w:customStyle="1">
    <w:name w:val="二级条标题"/>
    <w:basedOn w:val="839"/>
    <w:next w:val="838"/>
    <w:uiPriority w:val="0"/>
    <w:qFormat/>
    <w:pPr>
      <w:ind w:left="0" w:firstLine="8"/>
      <w:spacing w:before="0" w:after="0" w:line="240" w:lineRule="auto"/>
      <w:outlineLvl w:val="3"/>
    </w:pPr>
    <w:rPr>
      <w:rFonts w:ascii="Times New Roman" w:hAnsi="Times New Roman" w:cs="Times New Roman"/>
    </w:rPr>
  </w:style>
  <w:style w:type="paragraph" w:styleId="1345" w:customStyle="1">
    <w:name w:val="Plain Text*"/>
    <w:basedOn w:val="838"/>
    <w:uiPriority w:val="0"/>
    <w:qFormat/>
    <w:pPr>
      <w:ind w:left="0"/>
      <w:jc w:val="left"/>
    </w:pPr>
    <w:rPr>
      <w:rFonts w:ascii="宋体" w:hAnsi="宋体" w:eastAsia="楷体_GB2312" w:cs="Courier New"/>
      <w:sz w:val="26"/>
      <w:lang w:val="zh-CN"/>
    </w:rPr>
  </w:style>
  <w:style w:type="paragraph" w:styleId="1346" w:customStyle="1">
    <w:name w:val="样式 加粗 居中2"/>
    <w:basedOn w:val="839"/>
    <w:next w:val="1198"/>
    <w:uiPriority w:val="0"/>
    <w:qFormat/>
    <w:pPr>
      <w:ind w:left="0" w:firstLine="2560"/>
      <w:jc w:val="center"/>
      <w:spacing w:before="0" w:after="0" w:line="360" w:lineRule="auto"/>
    </w:pPr>
    <w:rPr>
      <w:rFonts w:ascii="Times New Roman" w:hAnsi="Times New Roman" w:cs="Times New Roman"/>
    </w:rPr>
  </w:style>
  <w:style w:type="paragraph" w:styleId="1347" w:customStyle="1">
    <w:name w:val="标准文本"/>
    <w:basedOn w:val="839"/>
    <w:next w:val="1301"/>
    <w:uiPriority w:val="0"/>
    <w:qFormat/>
    <w:pPr>
      <w:ind w:left="480" w:firstLine="2784"/>
      <w:spacing w:before="0" w:after="0" w:line="360" w:lineRule="auto"/>
    </w:pPr>
    <w:rPr>
      <w:rFonts w:ascii="Times New Roman" w:hAnsi="Times New Roman" w:cs="Times New Roman"/>
    </w:rPr>
  </w:style>
  <w:style w:type="paragraph" w:styleId="1348" w:customStyle="1">
    <w:name w:val="font5"/>
    <w:basedOn w:val="839"/>
    <w:next w:val="1349"/>
    <w:uiPriority w:val="0"/>
    <w:qFormat/>
    <w:pPr>
      <w:ind w:left="0" w:firstLine="5120"/>
      <w:spacing w:before="280" w:after="280" w:line="240" w:lineRule="auto"/>
    </w:pPr>
    <w:rPr>
      <w:rFonts w:ascii="Times New Roman" w:hAnsi="Times New Roman" w:cs="Times New Roman"/>
    </w:rPr>
  </w:style>
  <w:style w:type="paragraph" w:styleId="1349" w:customStyle="1">
    <w:name w:val="索引标题1"/>
    <w:basedOn w:val="839"/>
    <w:next w:val="1228"/>
    <w:uiPriority w:val="0"/>
    <w:qFormat/>
    <w:pPr>
      <w:ind w:left="0" w:firstLine="4608"/>
      <w:jc w:val="center"/>
      <w:spacing w:before="0" w:after="0" w:line="360" w:lineRule="auto"/>
    </w:pPr>
    <w:rPr>
      <w:rFonts w:ascii="Times New Roman" w:hAnsi="Times New Roman" w:cs="Times New Roman"/>
    </w:rPr>
  </w:style>
  <w:style w:type="paragraph" w:styleId="1350" w:customStyle="1">
    <w:name w:val="Char Char Char Char Char Char1 Char Char Char1 Char Char Char Char Char Char Char Char Char Char Char Char Char Char Char Char"/>
    <w:basedOn w:val="839"/>
    <w:next w:val="1351"/>
    <w:uiPriority w:val="0"/>
    <w:qFormat/>
    <w:pPr>
      <w:ind w:left="0" w:firstLine="2560"/>
      <w:spacing w:before="0" w:after="0" w:line="240" w:lineRule="auto"/>
    </w:pPr>
    <w:rPr>
      <w:rFonts w:ascii="Times New Roman" w:hAnsi="Times New Roman" w:cs="Times New Roman"/>
    </w:rPr>
  </w:style>
  <w:style w:type="paragraph" w:styleId="1351" w:customStyle="1">
    <w:name w:val="1正文"/>
    <w:basedOn w:val="839"/>
    <w:next w:val="1352"/>
    <w:uiPriority w:val="0"/>
    <w:qFormat/>
    <w:pPr>
      <w:ind w:left="480" w:firstLine="2784"/>
      <w:spacing w:before="0" w:after="0" w:line="300" w:lineRule="auto"/>
    </w:pPr>
    <w:rPr>
      <w:rFonts w:ascii="Times New Roman" w:hAnsi="Times New Roman" w:cs="Times New Roman"/>
    </w:rPr>
  </w:style>
  <w:style w:type="paragraph" w:styleId="1352" w:customStyle="1">
    <w:name w:val="目录2"/>
    <w:basedOn w:val="839"/>
    <w:next w:val="838"/>
    <w:uiPriority w:val="0"/>
    <w:qFormat/>
    <w:pPr>
      <w:ind w:left="209" w:firstLine="5329"/>
      <w:spacing w:before="0" w:after="0" w:line="317" w:lineRule="atLeast"/>
    </w:pPr>
    <w:rPr>
      <w:rFonts w:ascii="Times New Roman" w:hAnsi="Times New Roman" w:cs="Times New Roman"/>
    </w:rPr>
  </w:style>
  <w:style w:type="paragraph" w:styleId="1353" w:customStyle="1">
    <w:name w:val="图表目录1"/>
    <w:basedOn w:val="839"/>
    <w:next w:val="838"/>
    <w:uiPriority w:val="0"/>
    <w:qFormat/>
    <w:pPr>
      <w:ind w:left="200" w:firstLine="2616"/>
      <w:jc w:val="center"/>
      <w:spacing w:before="0" w:after="0" w:line="360" w:lineRule="auto"/>
    </w:pPr>
    <w:rPr>
      <w:rFonts w:ascii="Times New Roman" w:hAnsi="Times New Roman" w:cs="Times New Roman"/>
    </w:rPr>
  </w:style>
  <w:style w:type="paragraph" w:styleId="1354" w:customStyle="1">
    <w:name w:val="xl63"/>
    <w:basedOn w:val="839"/>
    <w:next w:val="1304"/>
    <w:uiPriority w:val="0"/>
    <w:qFormat/>
    <w:pPr>
      <w:ind w:left="0" w:firstLine="5120"/>
      <w:spacing w:before="280" w:after="280" w:line="240" w:lineRule="auto"/>
    </w:pPr>
    <w:rPr>
      <w:rFonts w:ascii="Times New Roman" w:hAnsi="Times New Roman" w:cs="Times New Roman"/>
    </w:rPr>
  </w:style>
  <w:style w:type="paragraph" w:styleId="1355">
    <w:name w:val="List Paragraph"/>
    <w:basedOn w:val="838"/>
    <w:next w:val="1262"/>
    <w:uiPriority w:val="0"/>
    <w:qFormat/>
    <w:pPr>
      <w:ind w:left="420" w:firstLine="3748"/>
    </w:pPr>
    <w:rPr>
      <w:rFonts w:ascii="Times New Roman" w:hAnsi="Times New Roman" w:cs="Times New Roman"/>
    </w:rPr>
  </w:style>
  <w:style w:type="paragraph" w:styleId="1356" w:customStyle="1">
    <w:name w:val="xl73"/>
    <w:basedOn w:val="839"/>
    <w:next w:val="1357"/>
    <w:uiPriority w:val="0"/>
    <w:qFormat/>
    <w:pPr>
      <w:ind w:left="0" w:firstLine="3584"/>
      <w:spacing w:before="280" w:after="280" w:line="240" w:lineRule="auto"/>
    </w:pPr>
    <w:rPr>
      <w:rFonts w:ascii="Times New Roman" w:hAnsi="Times New Roman" w:cs="Times New Roman"/>
    </w:rPr>
  </w:style>
  <w:style w:type="paragraph" w:styleId="1357" w:customStyle="1">
    <w:name w:val="xl80"/>
    <w:basedOn w:val="839"/>
    <w:next w:val="1358"/>
    <w:uiPriority w:val="0"/>
    <w:qFormat/>
    <w:pPr>
      <w:ind w:left="0" w:firstLine="3584"/>
      <w:jc w:val="center"/>
      <w:spacing w:before="280" w:after="280" w:line="240" w:lineRule="auto"/>
    </w:pPr>
    <w:rPr>
      <w:rFonts w:ascii="Times New Roman" w:hAnsi="Times New Roman" w:cs="Times New Roman"/>
    </w:rPr>
  </w:style>
  <w:style w:type="paragraph" w:styleId="1358" w:customStyle="1">
    <w:name w:val="样式2"/>
    <w:basedOn w:val="844"/>
    <w:next w:val="1359"/>
    <w:uiPriority w:val="0"/>
    <w:qFormat/>
    <w:pPr>
      <w:ind w:left="1134" w:firstLine="18"/>
      <w:spacing w:before="0" w:after="0" w:line="360" w:lineRule="auto"/>
      <w:outlineLvl w:val="4"/>
    </w:pPr>
  </w:style>
  <w:style w:type="paragraph" w:styleId="1359" w:customStyle="1">
    <w:name w:val="日期1"/>
    <w:basedOn w:val="839"/>
    <w:next w:val="838"/>
    <w:uiPriority w:val="0"/>
    <w:qFormat/>
    <w:pPr>
      <w:ind w:left="100" w:firstLine="6144"/>
      <w:spacing w:before="0" w:after="0" w:line="240" w:lineRule="auto"/>
    </w:pPr>
    <w:rPr>
      <w:rFonts w:ascii="Times New Roman" w:hAnsi="Times New Roman" w:cs="Times New Roman"/>
    </w:rPr>
  </w:style>
  <w:style w:type="paragraph" w:styleId="1360" w:customStyle="1">
    <w:name w:val="图1"/>
    <w:basedOn w:val="839"/>
    <w:next w:val="838"/>
    <w:uiPriority w:val="0"/>
    <w:qFormat/>
    <w:pPr>
      <w:ind w:left="1105" w:firstLine="2580"/>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w:basedOn w:val="839"/>
    <w:next w:val="1341"/>
    <w:uiPriority w:val="0"/>
    <w:qFormat/>
    <w:pPr>
      <w:ind w:left="0" w:firstLine="2560"/>
      <w:spacing w:before="0" w:after="0" w:line="240" w:lineRule="auto"/>
    </w:pPr>
    <w:rPr>
      <w:rFonts w:ascii="Times New Roman" w:hAnsi="Times New Roman" w:cs="Times New Roman"/>
    </w:rPr>
  </w:style>
  <w:style w:type="paragraph" w:styleId="1362" w:customStyle="1">
    <w:name w:val="Char Char Char Char Char Char Char"/>
    <w:basedOn w:val="839"/>
    <w:next w:val="1247"/>
    <w:uiPriority w:val="0"/>
    <w:qFormat/>
    <w:pPr>
      <w:ind w:left="200" w:firstLine="4808"/>
      <w:spacing w:before="0" w:after="0" w:line="360" w:lineRule="auto"/>
    </w:pPr>
    <w:rPr>
      <w:rFonts w:ascii="Times New Roman" w:hAnsi="Times New Roman" w:cs="Times New Roman"/>
    </w:rPr>
  </w:style>
  <w:style w:type="paragraph" w:styleId="1363" w:customStyle="1">
    <w:name w:val="Char Char Char Char Char Char Char Char Char Char Char Char Char Char Char"/>
    <w:basedOn w:val="839"/>
    <w:next w:val="1338"/>
    <w:uiPriority w:val="0"/>
    <w:qFormat/>
    <w:pPr>
      <w:ind w:left="0" w:firstLine="3584"/>
      <w:jc w:val="center"/>
      <w:spacing w:before="0" w:after="0" w:line="400" w:lineRule="exact"/>
    </w:pPr>
    <w:rPr>
      <w:rFonts w:ascii="Times New Roman" w:hAnsi="Times New Roman" w:cs="Times New Roman"/>
    </w:rPr>
  </w:style>
  <w:style w:type="paragraph" w:styleId="1364">
    <w:name w:val="Intense Quote"/>
    <w:next w:val="838"/>
    <w:uiPriority w:val="0"/>
    <w:qFormat/>
    <w:pPr>
      <w:ind w:left="3766" w:right="950"/>
      <w:jc w:val="center"/>
      <w:spacing w:before="360" w:after="360"/>
    </w:pPr>
    <w:rPr>
      <w:rFonts w:hint="default" w:ascii="Calibri" w:hAnsi="Calibri" w:eastAsia="宋体" w:cs="宋体"/>
      <w:i/>
    </w:rPr>
  </w:style>
  <w:style w:type="paragraph" w:styleId="1365" w:customStyle="1">
    <w:name w:val="索引 51"/>
    <w:basedOn w:val="839"/>
    <w:next w:val="838"/>
    <w:uiPriority w:val="0"/>
    <w:qFormat/>
    <w:pPr>
      <w:ind w:left="800" w:firstLine="2560"/>
      <w:jc w:val="center"/>
      <w:spacing w:before="0" w:after="0" w:line="360" w:lineRule="auto"/>
    </w:pPr>
    <w:rPr>
      <w:rFonts w:ascii="Times New Roman" w:hAnsi="Times New Roman" w:cs="Times New Roman"/>
    </w:rPr>
  </w:style>
  <w:style w:type="paragraph" w:styleId="1366" w:customStyle="1">
    <w:name w:val="图表"/>
    <w:basedOn w:val="839"/>
    <w:next w:val="1367"/>
    <w:uiPriority w:val="0"/>
    <w:qFormat/>
    <w:pPr>
      <w:ind w:left="0" w:firstLine="2048"/>
      <w:jc w:val="center"/>
      <w:spacing w:before="0" w:after="0" w:line="240" w:lineRule="auto"/>
    </w:pPr>
    <w:rPr>
      <w:rFonts w:ascii="Times New Roman" w:hAnsi="Times New Roman" w:cs="Times New Roman"/>
    </w:rPr>
  </w:style>
  <w:style w:type="paragraph" w:styleId="1367" w:customStyle="1">
    <w:name w:val="reader-word-layer"/>
    <w:basedOn w:val="839"/>
    <w:next w:val="1368"/>
    <w:uiPriority w:val="0"/>
    <w:qFormat/>
    <w:pPr>
      <w:ind w:left="0" w:firstLine="1024"/>
      <w:spacing w:before="280" w:after="280" w:line="240" w:lineRule="auto"/>
    </w:pPr>
    <w:rPr>
      <w:rFonts w:ascii="Times New Roman" w:hAnsi="Times New Roman" w:cs="Times New Roman"/>
    </w:rPr>
  </w:style>
  <w:style w:type="paragraph" w:styleId="1368" w:customStyle="1">
    <w:name w:val="样式 加粗 居中1"/>
    <w:next w:val="1207"/>
    <w:uiPriority w:val="0"/>
    <w:qFormat/>
    <w:pPr>
      <w:ind w:firstLine="2560"/>
      <w:jc w:val="center"/>
    </w:pPr>
    <w:rPr>
      <w:rFonts w:hint="default" w:ascii="Calibri" w:hAnsi="Calibri" w:eastAsia="宋体" w:cs="宋体"/>
    </w:rPr>
  </w:style>
  <w:style w:type="paragraph" w:styleId="1369" w:customStyle="1">
    <w:name w:val="修订2"/>
    <w:uiPriority w:val="0"/>
    <w:qFormat/>
    <w:rPr>
      <w:rFonts w:hint="default" w:ascii="Calibri" w:hAnsi="Calibri" w:eastAsia="宋体" w:cs="宋体"/>
    </w:rPr>
  </w:style>
  <w:style w:type="paragraph" w:styleId="1370" w:customStyle="1">
    <w:name w:val="Body"/>
    <w:next w:val="1302"/>
    <w:uiPriority w:val="0"/>
    <w:qFormat/>
    <w:pPr>
      <w:ind w:left="567" w:right="2835" w:firstLine="3584"/>
      <w:spacing w:after="60"/>
    </w:pPr>
    <w:rPr>
      <w:rFonts w:hint="default" w:ascii="Calibri" w:hAnsi="Calibri" w:eastAsia="宋体" w:cs="宋体"/>
    </w:rPr>
  </w:style>
  <w:style w:type="paragraph" w:styleId="1371" w:customStyle="1">
    <w:name w:val="font6"/>
    <w:basedOn w:val="839"/>
    <w:next w:val="1372"/>
    <w:uiPriority w:val="0"/>
    <w:qFormat/>
    <w:pPr>
      <w:ind w:left="0" w:firstLine="5120"/>
      <w:spacing w:before="280" w:after="280" w:line="240" w:lineRule="auto"/>
    </w:pPr>
    <w:rPr>
      <w:rFonts w:ascii="Times New Roman" w:hAnsi="Times New Roman" w:cs="Times New Roman"/>
    </w:rPr>
  </w:style>
  <w:style w:type="paragraph" w:styleId="1372" w:customStyle="1">
    <w:name w:val="正文首行缩进 21"/>
    <w:basedOn w:val="865"/>
    <w:next w:val="1370"/>
    <w:uiPriority w:val="0"/>
    <w:qFormat/>
    <w:pPr>
      <w:ind w:left="200" w:firstLine="3784"/>
      <w:jc w:val="center"/>
      <w:spacing w:after="120" w:line="360" w:lineRule="auto"/>
    </w:pPr>
    <w:rPr>
      <w:rFonts w:ascii="Calibri" w:hAnsi="Calibri"/>
    </w:rPr>
  </w:style>
  <w:style w:type="paragraph" w:styleId="1373" w:customStyle="1">
    <w:name w:val="Char Char"/>
    <w:next w:val="1366"/>
    <w:uiPriority w:val="0"/>
    <w:qFormat/>
    <w:pPr>
      <w:ind w:firstLine="14"/>
      <w:spacing w:line="360" w:lineRule="auto"/>
      <w:shd w:val="clear" w:color="000000" w:fill="000080"/>
    </w:pPr>
    <w:rPr>
      <w:rFonts w:hint="default" w:ascii="Calibri" w:hAnsi="Calibri" w:eastAsia="宋体" w:cs="宋体"/>
    </w:rPr>
  </w:style>
  <w:style w:type="paragraph" w:styleId="1374" w:customStyle="1">
    <w:name w:val="正文_0_0"/>
    <w:next w:val="1206"/>
    <w:uiPriority w:val="0"/>
    <w:qFormat/>
    <w:pPr>
      <w:ind w:firstLine="3584"/>
      <w:jc w:val="both"/>
      <w:widowControl w:val="off"/>
    </w:pPr>
    <w:rPr>
      <w:rFonts w:hint="default" w:ascii="Calibri" w:hAnsi="Calibri" w:eastAsia="宋体" w:cs="宋体"/>
    </w:rPr>
  </w:style>
  <w:style w:type="paragraph" w:styleId="1375" w:customStyle="1">
    <w:name w:val="font7"/>
    <w:basedOn w:val="839"/>
    <w:next w:val="1376"/>
    <w:uiPriority w:val="0"/>
    <w:qFormat/>
    <w:pPr>
      <w:ind w:left="0" w:firstLine="3584"/>
      <w:spacing w:before="280" w:after="280" w:line="240" w:lineRule="auto"/>
    </w:pPr>
    <w:rPr>
      <w:rFonts w:ascii="Times New Roman" w:hAnsi="Times New Roman" w:cs="Times New Roman"/>
    </w:rPr>
  </w:style>
  <w:style w:type="paragraph" w:styleId="1376" w:customStyle="1">
    <w:name w:val="Char Char Char Char Char Char1 Char Char Char Char Char Char1 Char Char Char1"/>
    <w:basedOn w:val="839"/>
    <w:next w:val="1377"/>
    <w:uiPriority w:val="0"/>
    <w:qFormat/>
    <w:pPr>
      <w:ind w:left="0" w:firstLine="2560"/>
      <w:spacing w:before="0" w:after="0" w:line="240" w:lineRule="auto"/>
    </w:pPr>
    <w:rPr>
      <w:rFonts w:ascii="Times New Roman" w:hAnsi="Times New Roman" w:cs="Times New Roman"/>
    </w:rPr>
  </w:style>
  <w:style w:type="paragraph" w:styleId="1377" w:customStyle="1">
    <w:name w:val="xl64"/>
    <w:basedOn w:val="839"/>
    <w:next w:val="1344"/>
    <w:uiPriority w:val="0"/>
    <w:qFormat/>
    <w:pPr>
      <w:ind w:left="0" w:firstLine="3584"/>
      <w:spacing w:before="280" w:after="280" w:line="240" w:lineRule="auto"/>
    </w:pPr>
    <w:rPr>
      <w:rFonts w:ascii="Times New Roman" w:hAnsi="Times New Roman" w:cs="Times New Roman"/>
    </w:rPr>
  </w:style>
  <w:style w:type="paragraph" w:styleId="1378" w:customStyle="1">
    <w:name w:val="style16"/>
    <w:basedOn w:val="839"/>
    <w:next w:val="1371"/>
    <w:uiPriority w:val="0"/>
    <w:qFormat/>
    <w:pPr>
      <w:ind w:left="0" w:firstLine="2048"/>
      <w:spacing w:before="280" w:after="280" w:line="240" w:lineRule="auto"/>
    </w:pPr>
    <w:rPr>
      <w:rFonts w:ascii="Times New Roman" w:hAnsi="Times New Roman" w:cs="Times New Roman"/>
    </w:rPr>
  </w:style>
  <w:style w:type="paragraph" w:styleId="1379" w:customStyle="1">
    <w:name w:val="索引 11"/>
    <w:basedOn w:val="839"/>
    <w:next w:val="838"/>
    <w:uiPriority w:val="0"/>
    <w:qFormat/>
    <w:pPr>
      <w:ind w:left="0" w:firstLine="3584"/>
      <w:spacing w:before="0" w:after="0" w:line="240" w:lineRule="auto"/>
    </w:pPr>
    <w:rPr>
      <w:rFonts w:ascii="Times New Roman" w:hAnsi="Times New Roman" w:cs="Times New Roman"/>
    </w:rPr>
  </w:style>
  <w:style w:type="paragraph" w:styleId="1380" w:customStyle="1">
    <w:name w:val="H 3"/>
    <w:basedOn w:val="842"/>
    <w:next w:val="1381"/>
    <w:uiPriority w:val="0"/>
    <w:qFormat/>
    <w:pPr>
      <w:ind w:left="1429" w:firstLine="18"/>
      <w:spacing w:before="0" w:after="0" w:line="360" w:lineRule="auto"/>
      <w:outlineLvl w:val="2"/>
    </w:pPr>
  </w:style>
  <w:style w:type="paragraph" w:styleId="1381" w:customStyle="1">
    <w:name w:val="xl83"/>
    <w:basedOn w:val="839"/>
    <w:next w:val="1362"/>
    <w:uiPriority w:val="0"/>
    <w:qFormat/>
    <w:pPr>
      <w:ind w:left="0" w:firstLine="5120"/>
      <w:spacing w:before="280" w:after="280" w:line="240" w:lineRule="auto"/>
    </w:pPr>
    <w:rPr>
      <w:rFonts w:ascii="Times New Roman" w:hAnsi="Times New Roman" w:cs="Times New Roman"/>
    </w:rPr>
  </w:style>
  <w:style w:type="paragraph" w:styleId="1382" w:customStyle="1">
    <w:name w:val="表格文字（居中）"/>
    <w:basedOn w:val="839"/>
    <w:next w:val="1378"/>
    <w:uiPriority w:val="0"/>
    <w:qFormat/>
    <w:pPr>
      <w:ind w:left="0" w:firstLine="2560"/>
      <w:jc w:val="center"/>
      <w:spacing w:before="0" w:after="0" w:line="360" w:lineRule="auto"/>
    </w:pPr>
    <w:rPr>
      <w:rFonts w:ascii="Times New Roman" w:hAnsi="Times New Roman" w:cs="Times New Roman"/>
    </w:rPr>
  </w:style>
  <w:style w:type="paragraph" w:styleId="1383" w:customStyle="1">
    <w:name w:val="正文首行缩进两字符"/>
    <w:basedOn w:val="839"/>
    <w:next w:val="1365"/>
    <w:uiPriority w:val="0"/>
    <w:qFormat/>
    <w:pPr>
      <w:ind w:left="200" w:firstLine="3784"/>
      <w:spacing w:before="0" w:after="0" w:line="360" w:lineRule="auto"/>
    </w:pPr>
    <w:rPr>
      <w:rFonts w:ascii="Times New Roman" w:hAnsi="Times New Roman" w:cs="Times New Roman"/>
    </w:rPr>
  </w:style>
  <w:style w:type="paragraph" w:styleId="1384" w:customStyle="1">
    <w:name w:val="1"/>
    <w:basedOn w:val="839"/>
    <w:next w:val="871"/>
    <w:uiPriority w:val="0"/>
    <w:qFormat/>
    <w:pPr>
      <w:ind w:left="0" w:firstLine="2048"/>
      <w:spacing w:before="0" w:after="0" w:line="240" w:lineRule="auto"/>
    </w:pPr>
    <w:rPr>
      <w:rFonts w:ascii="Times New Roman" w:hAnsi="Times New Roman" w:cs="Times New Roman"/>
    </w:rPr>
  </w:style>
  <w:style w:type="paragraph" w:styleId="1385" w:customStyle="1">
    <w:name w:val="_Style 398"/>
    <w:basedOn w:val="839"/>
    <w:next w:val="83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6" w:customStyle="1">
    <w:name w:val="Table Paragraph"/>
    <w:basedOn w:val="838"/>
    <w:uiPriority w:val="1"/>
    <w:qFormat/>
    <w:rPr>
      <w:rFonts w:ascii="宋体" w:hAnsi="宋体"/>
      <w:lang w:val="zh-CN" w:bidi="zh-CN"/>
    </w:rPr>
  </w:style>
  <w:style w:type="paragraph" w:styleId="1387" w:customStyle="1">
    <w:name w:val="_Style 400"/>
    <w:uiPriority w:val="0"/>
    <w:qFormat/>
    <w:rPr>
      <w:rFonts w:hint="default" w:ascii="Calibri" w:hAnsi="Calibri" w:eastAsia="宋体" w:cs="宋体"/>
    </w:rPr>
  </w:style>
  <w:style w:type="paragraph" w:styleId="1388" w:customStyle="1">
    <w:name w:val="Style1"/>
    <w:basedOn w:val="83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9" w:customStyle="1">
    <w:name w:val="msolistparagraph"/>
    <w:basedOn w:val="839"/>
    <w:next w:val="1254"/>
    <w:uiPriority w:val="0"/>
    <w:qFormat/>
    <w:pPr>
      <w:ind w:left="420" w:firstLine="3748"/>
      <w:spacing w:before="0" w:after="0" w:line="240" w:lineRule="auto"/>
    </w:pPr>
    <w:rPr>
      <w:rFonts w:ascii="Times New Roman" w:hAnsi="Times New Roman" w:cs="Times New Roman"/>
    </w:rPr>
  </w:style>
  <w:style w:type="paragraph" w:styleId="1390" w:customStyle="1">
    <w:name w:val="Char1 Char Char Char"/>
    <w:basedOn w:val="839"/>
    <w:next w:val="1391"/>
    <w:uiPriority w:val="0"/>
    <w:qFormat/>
    <w:pPr>
      <w:ind w:left="0" w:firstLine="2560"/>
      <w:spacing w:before="0" w:after="0" w:line="240" w:lineRule="auto"/>
    </w:pPr>
    <w:rPr>
      <w:rFonts w:ascii="Times New Roman" w:hAnsi="Times New Roman" w:cs="Times New Roman"/>
    </w:rPr>
  </w:style>
  <w:style w:type="paragraph" w:styleId="1391" w:customStyle="1">
    <w:name w:val="xl24"/>
    <w:basedOn w:val="839"/>
    <w:next w:val="133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2" w:customStyle="1">
    <w:name w:val="表格文字"/>
    <w:next w:val="1350"/>
    <w:uiPriority w:val="0"/>
    <w:qFormat/>
    <w:pPr>
      <w:ind w:firstLine="3584"/>
    </w:pPr>
    <w:rPr>
      <w:rFonts w:hint="default" w:ascii="Calibri" w:hAnsi="Calibri" w:eastAsia="宋体" w:cs="宋体"/>
    </w:rPr>
  </w:style>
  <w:style w:type="paragraph" w:styleId="1393" w:customStyle="1">
    <w:name w:val="xl72"/>
    <w:basedOn w:val="839"/>
    <w:next w:val="1249"/>
    <w:uiPriority w:val="0"/>
    <w:qFormat/>
    <w:pPr>
      <w:ind w:left="0" w:firstLine="3584"/>
      <w:spacing w:before="280" w:after="280" w:line="240" w:lineRule="auto"/>
    </w:pPr>
    <w:rPr>
      <w:rFonts w:ascii="Times New Roman" w:hAnsi="Times New Roman" w:cs="Times New Roman"/>
    </w:rPr>
  </w:style>
  <w:style w:type="paragraph" w:styleId="1394" w:customStyle="1">
    <w:name w:val="插图"/>
    <w:next w:val="838"/>
    <w:uiPriority w:val="0"/>
    <w:qFormat/>
    <w:pPr>
      <w:ind w:firstLine="4608"/>
      <w:jc w:val="center"/>
    </w:pPr>
    <w:rPr>
      <w:rFonts w:hint="default" w:ascii="Calibri" w:hAnsi="Calibri" w:eastAsia="宋体" w:cs="宋体"/>
    </w:rPr>
  </w:style>
  <w:style w:type="paragraph" w:styleId="1395" w:customStyle="1">
    <w:name w:val="列出段落3"/>
    <w:basedOn w:val="839"/>
    <w:next w:val="1289"/>
    <w:uiPriority w:val="0"/>
    <w:qFormat/>
    <w:pPr>
      <w:ind w:left="420" w:firstLine="3748"/>
      <w:spacing w:before="0" w:after="0" w:line="240" w:lineRule="auto"/>
    </w:pPr>
    <w:rPr>
      <w:rFonts w:ascii="Times New Roman" w:hAnsi="Times New Roman" w:cs="Times New Roman"/>
    </w:rPr>
  </w:style>
  <w:style w:type="paragraph" w:styleId="1396" w:customStyle="1">
    <w:name w:val="目录标题"/>
    <w:basedOn w:val="839"/>
    <w:next w:val="838"/>
    <w:uiPriority w:val="0"/>
    <w:qFormat/>
    <w:pPr>
      <w:ind w:left="419" w:firstLine="7331"/>
      <w:jc w:val="center"/>
      <w:spacing w:before="566" w:after="544" w:line="566" w:lineRule="atLeast"/>
    </w:pPr>
    <w:rPr>
      <w:rFonts w:ascii="Times New Roman" w:hAnsi="Times New Roman" w:cs="Times New Roman"/>
    </w:rPr>
  </w:style>
  <w:style w:type="paragraph" w:styleId="1397" w:customStyle="1">
    <w:name w:val="默认段落字体 Para Char Char Char Char Char Char Char Char Char1 Char Char Char Char"/>
    <w:basedOn w:val="839"/>
    <w:next w:val="1292"/>
    <w:uiPriority w:val="0"/>
    <w:qFormat/>
    <w:pPr>
      <w:ind w:left="0" w:firstLine="2560"/>
      <w:spacing w:before="0" w:after="0" w:line="240" w:lineRule="auto"/>
    </w:pPr>
    <w:rPr>
      <w:rFonts w:ascii="Times New Roman" w:hAnsi="Times New Roman" w:cs="Times New Roman"/>
    </w:rPr>
  </w:style>
  <w:style w:type="paragraph" w:styleId="1398" w:customStyle="1">
    <w:name w:val="WPSOffice手动目录 2"/>
    <w:uiPriority w:val="0"/>
    <w:qFormat/>
    <w:pPr>
      <w:ind w:left="200"/>
    </w:pPr>
    <w:rPr>
      <w:rFonts w:hint="default" w:ascii="宋体" w:hAnsi="宋体" w:eastAsia="宋体" w:cs="宋体"/>
    </w:rPr>
  </w:style>
  <w:style w:type="paragraph" w:styleId="1399" w:customStyle="1">
    <w:name w:val="表内文字"/>
    <w:basedOn w:val="839"/>
    <w:next w:val="880"/>
    <w:uiPriority w:val="0"/>
    <w:qFormat/>
    <w:pPr>
      <w:ind w:left="0" w:firstLine="7680"/>
      <w:jc w:val="center"/>
      <w:spacing w:before="50" w:after="50" w:line="240" w:lineRule="auto"/>
    </w:pPr>
    <w:rPr>
      <w:rFonts w:ascii="Times New Roman" w:hAnsi="Times New Roman" w:cs="Times New Roman"/>
    </w:rPr>
  </w:style>
  <w:style w:type="paragraph" w:styleId="1400" w:customStyle="1">
    <w:name w:val="xl66"/>
    <w:basedOn w:val="839"/>
    <w:next w:val="1382"/>
    <w:uiPriority w:val="0"/>
    <w:qFormat/>
    <w:pPr>
      <w:ind w:left="0" w:firstLine="3584"/>
      <w:spacing w:before="280" w:after="280" w:line="240" w:lineRule="auto"/>
    </w:pPr>
    <w:rPr>
      <w:rFonts w:ascii="Times New Roman" w:hAnsi="Times New Roman" w:cs="Times New Roman"/>
    </w:rPr>
  </w:style>
  <w:style w:type="paragraph" w:styleId="1401" w:customStyle="1">
    <w:name w:val="*正文"/>
    <w:basedOn w:val="838"/>
    <w:uiPriority w:val="0"/>
    <w:qFormat/>
    <w:pPr>
      <w:ind w:left="0" w:firstLine="200"/>
      <w:spacing w:line="360" w:lineRule="auto"/>
    </w:pPr>
    <w:rPr>
      <w:rFonts w:ascii="仿宋_GB2312" w:hAnsi="Times New Roman" w:eastAsia="仿宋_GB2312" w:cs="Times New Roman"/>
      <w:sz w:val="24"/>
      <w:szCs w:val="28"/>
    </w:rPr>
  </w:style>
  <w:style w:type="paragraph" w:styleId="1402" w:customStyle="1">
    <w:name w:val="0"/>
    <w:basedOn w:val="839"/>
    <w:next w:val="1295"/>
    <w:uiPriority w:val="0"/>
    <w:qFormat/>
    <w:pPr>
      <w:ind w:left="0" w:firstLine="2815"/>
      <w:spacing w:before="0" w:after="0" w:line="360" w:lineRule="auto"/>
    </w:pPr>
    <w:rPr>
      <w:rFonts w:ascii="Times New Roman" w:hAnsi="Times New Roman" w:cs="Times New Roman"/>
    </w:rPr>
  </w:style>
  <w:style w:type="table" w:styleId="1403" w:customStyle="1">
    <w:name w:val="网格型1"/>
    <w:basedOn w:val="84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4" w:customStyle="1">
    <w:name w:val="font61"/>
    <w:uiPriority w:val="0"/>
    <w:qFormat/>
    <w:rPr>
      <w:rFonts w:hint="default" w:ascii="Times New Roman" w:hAnsi="Times New Roman" w:cs="Times New Roman"/>
      <w:b/>
      <w:bCs/>
      <w:color w:val="000000"/>
      <w:sz w:val="24"/>
      <w:szCs w:val="24"/>
      <w:u w:val="none"/>
    </w:rPr>
  </w:style>
  <w:style w:type="character" w:styleId="1405" w:customStyle="1">
    <w:name w:val="10"/>
    <w:basedOn w:val="848"/>
    <w:uiPriority w:val="0"/>
    <w:qFormat/>
    <w:rPr>
      <w:rFonts w:hint="default" w:ascii="Times New Roman" w:hAnsi="Times New Roman" w:cs="Times New Roman"/>
    </w:rPr>
  </w:style>
  <w:style w:type="character" w:styleId="1406" w:customStyle="1">
    <w:name w:val="15"/>
    <w:basedOn w:val="848"/>
    <w:uiPriority w:val="0"/>
    <w:qFormat/>
    <w:rPr>
      <w:rFonts w:hint="default" w:ascii="Times New Roman" w:hAnsi="Times New Roman" w:cs="Times New Roman"/>
    </w:rPr>
  </w:style>
  <w:style w:type="character" w:styleId="1407" w:customStyle="1">
    <w:name w:val="NormalCharacter"/>
    <w:uiPriority w:val="0"/>
    <w:semiHidden/>
    <w:qFormat/>
    <w:rPr>
      <w:sz w:val="28"/>
      <w:lang w:val="en-US" w:eastAsia="zh-CN" w:bidi="ar-SA"/>
    </w:rPr>
  </w:style>
  <w:style w:type="numbering" w:styleId="13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朱琳</cp:lastModifiedBy>
  <cp:revision>2</cp:revision>
  <dcterms:created xsi:type="dcterms:W3CDTF">2023-12-20T13:18:00Z</dcterms:created>
  <dcterms:modified xsi:type="dcterms:W3CDTF">2026-09-22T02:26:19Z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A51CB88967CF4E9381A7013E56564501_13</vt:lpwstr>
  </property>
  <property fmtid="{D5CDD505-2E9C-101B-9397-08002B2CF9AE}" pid="4" name="commondata">
    <vt:lpwstr>eyJoZGlkIjoiMmU4NDdkODk2MjZlOTI5YjA5ZDk0Y2IwMDEyMjA1NGUifQ==</vt:lpwstr>
  </property>
  <property fmtid="{D5CDD505-2E9C-101B-9397-08002B2CF9AE}" pid="5" name="KSOTemplateDocerSaveRecord">
    <vt:lpwstr>eyJoZGlkIjoiZGMyYjQ4Y2EzNmNlYzM2YWIzOWYwNmEzMmVmMDcxYjYiLCJ1c2VySWQiOiI2NTkzODcwMTgifQ==</vt:lpwstr>
  </property>
</Properties>
</file>