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9"/>
        <w:ind w:firstLine="420"/>
        <w:jc w:val="center"/>
        <w:rPr>
          <w:rFonts w:hint="eastAsia" w:ascii="宋体" w:hAnsi="宋体"/>
          <w:b/>
          <w:bCs/>
          <w:sz w:val="72"/>
          <w:szCs w:val="72"/>
        </w:rPr>
      </w:pPr>
      <w:r>
        <w:rPr>
          <w:rFonts w:hint="eastAsia" w:ascii="宋体" w:hAnsi="宋体"/>
          <w:b/>
          <w:bCs/>
          <w:sz w:val="72"/>
          <w:szCs w:val="72"/>
        </w:rPr>
      </w:r>
      <w:r/>
    </w:p>
    <w:p>
      <w:pPr>
        <w:pStyle w:val="1009"/>
        <w:ind w:firstLine="0"/>
        <w:jc w:val="center"/>
        <w:rPr>
          <w:rStyle w:val="1008"/>
          <w:color w:val="000000"/>
        </w:rPr>
      </w:pPr>
      <w:r>
        <w:rPr>
          <w:rFonts w:hint="eastAsia" w:ascii="宋体" w:hAnsi="宋体"/>
          <w:b/>
          <w:bCs/>
          <w:sz w:val="72"/>
          <w:szCs w:val="72"/>
        </w:rPr>
        <w:t xml:space="preserve">招　标　文　件</w:t>
      </w:r>
      <w:r/>
    </w:p>
    <w:p>
      <w:pPr>
        <w:jc w:val="center"/>
        <w:spacing w:before="120" w:after="120" w:line="360" w:lineRule="auto"/>
        <w:rPr>
          <w:rFonts w:hint="eastAsia" w:ascii="宋体" w:hAnsi="宋体"/>
          <w:b/>
          <w:bCs/>
          <w:sz w:val="84"/>
          <w:szCs w:val="84"/>
        </w:rPr>
      </w:pPr>
      <w:r>
        <w:rPr>
          <w:rFonts w:hint="eastAsia" w:ascii="宋体" w:hAnsi="宋体"/>
          <w:b/>
          <w:bCs/>
          <w:sz w:val="84"/>
          <w:szCs w:val="84"/>
        </w:rPr>
        <w:t xml:space="preserve"> </w:t>
      </w:r>
      <w:r/>
    </w:p>
    <w:p>
      <w:pPr>
        <w:pStyle w:val="1009"/>
        <w:ind w:firstLine="0"/>
        <w:jc w:val="center"/>
        <w:rPr>
          <w:rFonts w:hint="eastAsia" w:ascii="宋体" w:hAnsi="宋体"/>
          <w:b/>
          <w:bCs/>
          <w:sz w:val="32"/>
          <w:szCs w:val="32"/>
        </w:rPr>
      </w:pPr>
      <w:r>
        <w:rPr>
          <w:rFonts w:hint="eastAsia" w:ascii="宋体" w:hAnsi="宋体"/>
          <w:b/>
          <w:bCs/>
          <w:sz w:val="32"/>
          <w:szCs w:val="32"/>
        </w:rPr>
      </w:r>
      <w:r/>
    </w:p>
    <w:p>
      <w:pPr>
        <w:pStyle w:val="1009"/>
        <w:ind w:firstLine="0"/>
        <w:jc w:val="center"/>
        <w:rPr>
          <w:rFonts w:hint="eastAsia" w:ascii="宋体" w:hAnsi="宋体"/>
          <w:b/>
          <w:bCs/>
          <w:sz w:val="32"/>
          <w:szCs w:val="32"/>
        </w:rPr>
      </w:pPr>
      <w:r>
        <w:rPr>
          <w:rFonts w:hint="eastAsia" w:ascii="宋体" w:hAnsi="宋体"/>
          <w:b/>
          <w:bCs/>
          <w:sz w:val="32"/>
          <w:szCs w:val="32"/>
        </w:rPr>
        <w:t xml:space="preserve">项目名称：锦丰学校（二期）初中部弱电系统（智能化）配置项目</w:t>
      </w:r>
      <w:r/>
    </w:p>
    <w:p>
      <w:pPr>
        <w:pStyle w:val="1009"/>
        <w:ind w:firstLine="0"/>
        <w:jc w:val="center"/>
        <w:rPr>
          <w:rFonts w:hint="default" w:ascii="宋体" w:hAnsi="宋体" w:eastAsia="宋体"/>
          <w:b/>
          <w:sz w:val="32"/>
          <w:szCs w:val="32"/>
          <w:lang w:val="en-US" w:eastAsia="zh-CN"/>
        </w:rPr>
      </w:pPr>
      <w:r>
        <w:rPr>
          <w:rFonts w:hint="eastAsia" w:ascii="宋体" w:hAnsi="宋体"/>
          <w:b/>
          <w:sz w:val="32"/>
          <w:szCs w:val="32"/>
        </w:rPr>
        <w:t xml:space="preserve">项目编号： JSZC-320582-JZCG-G2026-00</w:t>
      </w:r>
      <w:r>
        <w:rPr>
          <w:rFonts w:hint="eastAsia" w:ascii="宋体" w:hAnsi="宋体"/>
          <w:b/>
          <w:sz w:val="32"/>
          <w:szCs w:val="32"/>
          <w:lang w:val="en-US" w:eastAsia="zh-CN"/>
        </w:rPr>
        <w:t xml:space="preserve">40</w:t>
      </w:r>
      <w:r/>
    </w:p>
    <w:p>
      <w:pPr>
        <w:pStyle w:val="1009"/>
        <w:ind w:firstLine="0"/>
        <w:spacing w:before="0" w:after="0"/>
        <w:rPr>
          <w:rFonts w:hint="eastAsia" w:ascii="宋体" w:hAnsi="宋体"/>
          <w:sz w:val="32"/>
          <w:szCs w:val="32"/>
        </w:rPr>
      </w:pPr>
      <w:r>
        <w:rPr>
          <w:rFonts w:hint="eastAsia" w:ascii="宋体" w:hAnsi="宋体"/>
          <w:sz w:val="32"/>
          <w:szCs w:val="32"/>
        </w:rPr>
        <w:t xml:space="preserve">                        </w:t>
      </w:r>
      <w:r>
        <w:rPr>
          <w:rFonts w:hint="eastAsia" w:ascii="宋体" w:hAnsi="宋体"/>
          <w:b/>
          <w:sz w:val="32"/>
          <w:szCs w:val="32"/>
        </w:rPr>
        <w:t xml:space="preserve">项目属性：货物</w:t>
      </w:r>
      <w:r/>
    </w:p>
    <w:p>
      <w:pPr>
        <w:pStyle w:val="1009"/>
        <w:ind w:firstLine="0"/>
        <w:spacing w:before="0" w:after="0"/>
        <w:rPr>
          <w:rFonts w:hint="eastAsia" w:ascii="宋体" w:hAnsi="宋体"/>
          <w:sz w:val="32"/>
          <w:szCs w:val="32"/>
        </w:rPr>
      </w:pPr>
      <w:r>
        <w:rPr>
          <w:rFonts w:hint="eastAsia" w:ascii="宋体" w:hAnsi="宋体"/>
          <w:sz w:val="32"/>
          <w:szCs w:val="32"/>
        </w:rPr>
      </w:r>
      <w:r/>
    </w:p>
    <w:p>
      <w:pPr>
        <w:pStyle w:val="1009"/>
        <w:ind w:firstLine="0"/>
        <w:spacing w:before="0" w:after="0"/>
        <w:rPr>
          <w:rFonts w:hint="eastAsia" w:ascii="宋体" w:hAnsi="宋体"/>
          <w:sz w:val="32"/>
          <w:szCs w:val="32"/>
        </w:rPr>
      </w:pPr>
      <w:r>
        <w:rPr>
          <w:rFonts w:hint="eastAsia" w:ascii="宋体" w:hAnsi="宋体"/>
          <w:sz w:val="32"/>
          <w:szCs w:val="32"/>
        </w:rPr>
      </w:r>
      <w:r/>
    </w:p>
    <w:p>
      <w:pPr>
        <w:pStyle w:val="1009"/>
        <w:ind w:firstLine="0"/>
        <w:spacing w:before="0" w:after="0"/>
        <w:rPr>
          <w:rFonts w:hint="eastAsia" w:ascii="宋体" w:hAnsi="宋体"/>
          <w:sz w:val="32"/>
          <w:szCs w:val="32"/>
        </w:rPr>
      </w:pPr>
      <w:r>
        <w:rPr>
          <w:rFonts w:hint="eastAsia" w:ascii="宋体" w:hAnsi="宋体"/>
          <w:sz w:val="32"/>
          <w:szCs w:val="32"/>
        </w:rPr>
      </w:r>
      <w:r/>
    </w:p>
    <w:p>
      <w:pPr>
        <w:pStyle w:val="1009"/>
        <w:ind w:firstLine="0"/>
        <w:spacing w:before="0" w:after="0"/>
        <w:rPr>
          <w:rFonts w:hint="eastAsia" w:ascii="宋体" w:hAnsi="宋体"/>
          <w:sz w:val="32"/>
          <w:szCs w:val="32"/>
        </w:rPr>
      </w:pPr>
      <w:r>
        <w:rPr>
          <w:rFonts w:hint="eastAsia" w:ascii="宋体" w:hAnsi="宋体"/>
          <w:sz w:val="32"/>
          <w:szCs w:val="32"/>
        </w:rPr>
      </w:r>
      <w:r/>
    </w:p>
    <w:p>
      <w:pPr>
        <w:pStyle w:val="1009"/>
        <w:ind w:firstLine="0"/>
        <w:spacing w:before="0" w:after="0"/>
        <w:rPr>
          <w:rFonts w:hint="eastAsia" w:ascii="宋体" w:hAnsi="宋体"/>
          <w:sz w:val="32"/>
          <w:szCs w:val="32"/>
        </w:rPr>
      </w:pPr>
      <w:r>
        <w:rPr>
          <w:rFonts w:hint="eastAsia" w:ascii="宋体" w:hAnsi="宋体"/>
          <w:sz w:val="32"/>
          <w:szCs w:val="32"/>
        </w:rPr>
      </w:r>
      <w:r/>
    </w:p>
    <w:p>
      <w:pPr>
        <w:pStyle w:val="1009"/>
        <w:ind w:firstLine="0"/>
        <w:spacing w:before="0" w:after="0"/>
        <w:rPr>
          <w:rFonts w:hint="eastAsia" w:ascii="宋体" w:hAnsi="宋体"/>
          <w:sz w:val="32"/>
          <w:szCs w:val="32"/>
        </w:rPr>
      </w:pPr>
      <w:r>
        <w:rPr>
          <w:rFonts w:hint="eastAsia" w:ascii="宋体" w:hAnsi="宋体"/>
          <w:sz w:val="32"/>
          <w:szCs w:val="32"/>
        </w:rPr>
      </w:r>
      <w:r/>
    </w:p>
    <w:p>
      <w:pPr>
        <w:pStyle w:val="1010"/>
        <w:jc w:val="center"/>
        <w:spacing w:line="360" w:lineRule="auto"/>
        <w:rPr>
          <w:rFonts w:hint="eastAsia" w:ascii="宋体" w:hAnsi="宋体"/>
          <w:b/>
          <w:bCs/>
          <w:sz w:val="32"/>
          <w:szCs w:val="32"/>
        </w:rPr>
      </w:pPr>
      <w:r/>
      <w:bookmarkStart w:id="0" w:name="EB8ecef8d8d20b42199abb5fc67b67d8bb"/>
      <w:r>
        <w:rPr>
          <w:rFonts w:hint="eastAsia" w:ascii="宋体" w:hAnsi="宋体"/>
          <w:b/>
          <w:bCs/>
          <w:sz w:val="32"/>
          <w:szCs w:val="32"/>
        </w:rPr>
        <w:t xml:space="preserve">苏州市公共资源交易中心张家港分中心</w:t>
      </w:r>
      <w:bookmarkEnd w:id="0"/>
      <w:r/>
      <w:r/>
    </w:p>
    <w:p>
      <w:pPr>
        <w:pStyle w:val="1009"/>
        <w:ind w:firstLine="0"/>
        <w:jc w:val="center"/>
        <w:rPr>
          <w:rFonts w:hint="eastAsia" w:ascii="宋体" w:hAnsi="宋体"/>
          <w:b/>
          <w:bCs/>
          <w:sz w:val="32"/>
        </w:rPr>
      </w:pPr>
      <w:r/>
      <w:bookmarkStart w:id="1" w:name="EB52307051e0d04806912e5842f73c8551"/>
      <w:r>
        <w:rPr>
          <w:rFonts w:hint="eastAsia" w:ascii="宋体" w:hAnsi="宋体"/>
          <w:b/>
          <w:bCs/>
          <w:sz w:val="32"/>
        </w:rPr>
        <w:t xml:space="preserve">2026年</w:t>
      </w:r>
      <w:r>
        <w:rPr>
          <w:rFonts w:hint="eastAsia" w:ascii="宋体" w:hAnsi="宋体"/>
          <w:b/>
          <w:bCs/>
          <w:sz w:val="32"/>
          <w:lang w:val="en-US" w:eastAsia="zh-CN"/>
        </w:rPr>
        <w:t xml:space="preserve">10</w:t>
      </w:r>
      <w:r>
        <w:rPr>
          <w:rFonts w:hint="eastAsia" w:ascii="宋体" w:hAnsi="宋体"/>
          <w:b/>
          <w:bCs/>
          <w:sz w:val="32"/>
        </w:rPr>
        <w:t xml:space="preserve">月</w:t>
      </w:r>
      <w:bookmarkEnd w:id="1"/>
      <w:r/>
      <w:r/>
    </w:p>
    <w:p>
      <w:pPr>
        <w:spacing w:before="120" w:after="120"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b/>
          <w:bCs/>
          <w:sz w:val="44"/>
          <w:szCs w:val="44"/>
        </w:rPr>
        <w:sectPr>
          <w:headerReference w:type="default" r:id="rId9"/>
          <w:footerReference w:type="even" r:id="rId10"/>
          <w:footnotePr/>
          <w:endnotePr/>
          <w:type w:val="nextPage"/>
          <w:pgSz w:w="11906" w:h="16838" w:orient="portrait"/>
          <w:pgMar w:top="1440" w:right="737" w:bottom="1440" w:left="1077" w:header="851" w:footer="992" w:gutter="0"/>
          <w:cols w:num="1" w:sep="0" w:space="720" w:equalWidth="1"/>
          <w:docGrid w:linePitch="360"/>
          <w:titlePg/>
        </w:sectPr>
      </w:pPr>
      <w:r>
        <w:rPr>
          <w:rFonts w:hint="eastAsia" w:ascii="宋体" w:hAnsi="宋体"/>
          <w:b/>
          <w:bCs/>
          <w:sz w:val="44"/>
          <w:szCs w:val="44"/>
        </w:rPr>
      </w:r>
      <w:r/>
    </w:p>
    <w:p>
      <w:pPr>
        <w:jc w:val="center"/>
        <w:spacing w:line="360" w:lineRule="auto"/>
        <w:rPr>
          <w:rFonts w:hint="eastAsia" w:ascii="宋体" w:hAnsi="宋体"/>
          <w:b/>
          <w:bCs/>
          <w:sz w:val="44"/>
          <w:szCs w:val="44"/>
        </w:rPr>
      </w:pPr>
      <w:r>
        <w:rPr>
          <w:rFonts w:hint="eastAsia" w:ascii="宋体" w:hAnsi="宋体"/>
          <w:b/>
          <w:bCs/>
          <w:sz w:val="44"/>
          <w:szCs w:val="44"/>
        </w:rPr>
        <w:t xml:space="preserve">总  目  录</w:t>
      </w:r>
      <w:r/>
    </w:p>
    <w:p>
      <w:pPr>
        <w:jc w:val="center"/>
      </w:pPr>
      <w:r/>
      <w:r/>
    </w:p>
    <w:p>
      <w:pPr>
        <w:pStyle w:val="829"/>
        <w:spacing w:line="360" w:lineRule="auto"/>
        <w:tabs>
          <w:tab w:val="right" w:pos="10092" w:leader="dot"/>
        </w:tabs>
        <w:rPr>
          <w:rFonts w:hint="eastAsia" w:ascii="宋体" w:hAnsi="宋体" w:cs="宋体"/>
          <w:sz w:val="28"/>
          <w:szCs w:val="28"/>
        </w:rPr>
      </w:pPr>
      <w:r>
        <w:rPr>
          <w:rFonts w:hint="eastAsia" w:ascii="宋体" w:hAnsi="宋体" w:cs="宋体"/>
          <w:b/>
          <w:bCs/>
          <w:sz w:val="28"/>
          <w:szCs w:val="28"/>
        </w:rPr>
        <w:fldChar w:fldCharType="begin"/>
      </w:r>
      <w:r>
        <w:rPr>
          <w:rFonts w:hint="eastAsia" w:ascii="宋体" w:hAnsi="宋体" w:cs="宋体"/>
          <w:b/>
          <w:bCs/>
          <w:sz w:val="28"/>
          <w:szCs w:val="28"/>
        </w:rPr>
        <w:instrText xml:space="preserve">TOC \o "1-1" \h \u </w:instrText>
      </w:r>
      <w:r>
        <w:rPr>
          <w:rFonts w:hint="eastAsia" w:ascii="宋体" w:hAnsi="宋体" w:cs="宋体"/>
          <w:b/>
          <w:bCs/>
          <w:sz w:val="28"/>
          <w:szCs w:val="28"/>
        </w:rPr>
        <w:fldChar w:fldCharType="separate"/>
      </w:r>
      <w:r>
        <w:fldChar w:fldCharType="begin"/>
      </w:r>
      <w:r>
        <w:instrText xml:space="preserve"> HYPERLINK \l "_Toc2781" </w:instrText>
      </w:r>
      <w:r>
        <w:fldChar w:fldCharType="separate"/>
      </w:r>
      <w:r>
        <w:rPr>
          <w:rFonts w:hint="eastAsia" w:ascii="宋体" w:hAnsi="宋体" w:cs="宋体"/>
          <w:sz w:val="28"/>
          <w:szCs w:val="28"/>
        </w:rPr>
        <w:t xml:space="preserve">第一章  投标邀请</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_Toc2781 \h </w:instrText>
      </w:r>
      <w:r>
        <w:rPr>
          <w:rFonts w:hint="eastAsia" w:ascii="宋体" w:hAnsi="宋体" w:cs="宋体"/>
          <w:sz w:val="28"/>
          <w:szCs w:val="28"/>
        </w:rPr>
        <w:fldChar w:fldCharType="separate"/>
      </w:r>
      <w:r>
        <w:rPr>
          <w:rFonts w:hint="eastAsia" w:ascii="宋体" w:hAnsi="宋体" w:cs="宋体"/>
          <w:sz w:val="28"/>
          <w:szCs w:val="28"/>
        </w:rPr>
        <w:t xml:space="preserve">1</w:t>
      </w:r>
      <w:r>
        <w:rPr>
          <w:rFonts w:hint="eastAsia" w:ascii="宋体" w:hAnsi="宋体" w:cs="宋体"/>
          <w:sz w:val="28"/>
          <w:szCs w:val="28"/>
        </w:rPr>
        <w:fldChar w:fldCharType="end"/>
      </w:r>
      <w:r>
        <w:rPr>
          <w:rFonts w:hint="eastAsia" w:ascii="宋体" w:hAnsi="宋体" w:cs="宋体"/>
          <w:sz w:val="28"/>
          <w:szCs w:val="28"/>
        </w:rPr>
        <w:fldChar w:fldCharType="end"/>
      </w:r>
      <w:r/>
    </w:p>
    <w:p>
      <w:pPr>
        <w:pStyle w:val="829"/>
        <w:spacing w:line="360" w:lineRule="auto"/>
        <w:tabs>
          <w:tab w:val="right" w:pos="10092" w:leader="dot"/>
        </w:tabs>
        <w:rPr>
          <w:rFonts w:hint="eastAsia" w:ascii="宋体" w:hAnsi="宋体" w:cs="宋体"/>
          <w:sz w:val="28"/>
          <w:szCs w:val="28"/>
        </w:rPr>
      </w:pPr>
      <w:r>
        <w:fldChar w:fldCharType="begin"/>
      </w:r>
      <w:r>
        <w:instrText xml:space="preserve"> HYPERLINK \l "_Toc10079" </w:instrText>
      </w:r>
      <w:r>
        <w:fldChar w:fldCharType="separate"/>
      </w:r>
      <w:r>
        <w:rPr>
          <w:rFonts w:hint="eastAsia" w:ascii="宋体" w:hAnsi="宋体" w:cs="宋体"/>
          <w:sz w:val="28"/>
          <w:szCs w:val="28"/>
        </w:rPr>
        <w:t xml:space="preserve">第二章  投标人须知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_Toc10079 \h </w:instrText>
      </w:r>
      <w:r>
        <w:rPr>
          <w:rFonts w:hint="eastAsia" w:ascii="宋体" w:hAnsi="宋体" w:cs="宋体"/>
          <w:sz w:val="28"/>
          <w:szCs w:val="28"/>
        </w:rPr>
        <w:fldChar w:fldCharType="separate"/>
      </w:r>
      <w:r>
        <w:rPr>
          <w:rFonts w:hint="eastAsia" w:ascii="宋体" w:hAnsi="宋体" w:cs="宋体"/>
          <w:sz w:val="28"/>
          <w:szCs w:val="28"/>
        </w:rPr>
        <w:t xml:space="preserve">5</w:t>
      </w:r>
      <w:r>
        <w:rPr>
          <w:rFonts w:hint="eastAsia" w:ascii="宋体" w:hAnsi="宋体" w:cs="宋体"/>
          <w:sz w:val="28"/>
          <w:szCs w:val="28"/>
        </w:rPr>
        <w:fldChar w:fldCharType="end"/>
      </w:r>
      <w:r>
        <w:rPr>
          <w:rFonts w:hint="eastAsia" w:ascii="宋体" w:hAnsi="宋体" w:cs="宋体"/>
          <w:sz w:val="28"/>
          <w:szCs w:val="28"/>
        </w:rPr>
        <w:fldChar w:fldCharType="end"/>
      </w:r>
      <w:r/>
    </w:p>
    <w:p>
      <w:pPr>
        <w:pStyle w:val="829"/>
        <w:spacing w:line="360" w:lineRule="auto"/>
        <w:tabs>
          <w:tab w:val="right" w:pos="10092" w:leader="dot"/>
        </w:tabs>
        <w:rPr>
          <w:rFonts w:hint="eastAsia" w:ascii="宋体" w:hAnsi="宋体" w:cs="宋体"/>
          <w:sz w:val="28"/>
          <w:szCs w:val="28"/>
        </w:rPr>
      </w:pPr>
      <w:r>
        <w:fldChar w:fldCharType="begin"/>
      </w:r>
      <w:r>
        <w:instrText xml:space="preserve"> HYPERLINK \l "_Toc31775" </w:instrText>
      </w:r>
      <w:r>
        <w:fldChar w:fldCharType="separate"/>
      </w:r>
      <w:r>
        <w:rPr>
          <w:rFonts w:hint="eastAsia" w:ascii="宋体" w:hAnsi="宋体" w:cs="宋体"/>
          <w:sz w:val="28"/>
          <w:szCs w:val="28"/>
        </w:rPr>
        <w:t xml:space="preserve">第三章 合同条款及格式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_Toc31775 \h </w:instrText>
      </w:r>
      <w:r>
        <w:rPr>
          <w:rFonts w:hint="eastAsia" w:ascii="宋体" w:hAnsi="宋体" w:cs="宋体"/>
          <w:sz w:val="28"/>
          <w:szCs w:val="28"/>
        </w:rPr>
        <w:fldChar w:fldCharType="separate"/>
      </w:r>
      <w:r>
        <w:rPr>
          <w:rFonts w:hint="eastAsia" w:ascii="宋体" w:hAnsi="宋体" w:cs="宋体"/>
          <w:sz w:val="28"/>
          <w:szCs w:val="28"/>
        </w:rPr>
        <w:t xml:space="preserve">17</w:t>
      </w:r>
      <w:r>
        <w:rPr>
          <w:rFonts w:hint="eastAsia" w:ascii="宋体" w:hAnsi="宋体" w:cs="宋体"/>
          <w:sz w:val="28"/>
          <w:szCs w:val="28"/>
        </w:rPr>
        <w:fldChar w:fldCharType="end"/>
      </w:r>
      <w:r>
        <w:rPr>
          <w:rFonts w:hint="eastAsia" w:ascii="宋体" w:hAnsi="宋体" w:cs="宋体"/>
          <w:sz w:val="28"/>
          <w:szCs w:val="28"/>
        </w:rPr>
        <w:fldChar w:fldCharType="end"/>
      </w:r>
      <w:r/>
    </w:p>
    <w:p>
      <w:pPr>
        <w:pStyle w:val="829"/>
        <w:spacing w:line="360" w:lineRule="auto"/>
        <w:tabs>
          <w:tab w:val="right" w:pos="10092" w:leader="dot"/>
        </w:tabs>
        <w:rPr>
          <w:rFonts w:hint="eastAsia" w:ascii="宋体" w:hAnsi="宋体" w:cs="宋体"/>
          <w:sz w:val="28"/>
          <w:szCs w:val="28"/>
        </w:rPr>
      </w:pPr>
      <w:r>
        <w:fldChar w:fldCharType="begin"/>
      </w:r>
      <w:r>
        <w:instrText xml:space="preserve"> HYPERLINK \l "_Toc31993" </w:instrText>
      </w:r>
      <w:r>
        <w:fldChar w:fldCharType="separate"/>
      </w:r>
      <w:r>
        <w:rPr>
          <w:rFonts w:hint="eastAsia" w:ascii="宋体" w:hAnsi="宋体" w:cs="宋体"/>
          <w:sz w:val="28"/>
          <w:szCs w:val="28"/>
        </w:rPr>
        <w:t xml:space="preserve">第四章 项目需求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_Toc31993 \h </w:instrText>
      </w:r>
      <w:r>
        <w:rPr>
          <w:rFonts w:hint="eastAsia" w:ascii="宋体" w:hAnsi="宋体" w:cs="宋体"/>
          <w:sz w:val="28"/>
          <w:szCs w:val="28"/>
        </w:rPr>
        <w:fldChar w:fldCharType="separate"/>
      </w:r>
      <w:r>
        <w:rPr>
          <w:rFonts w:hint="eastAsia" w:ascii="宋体" w:hAnsi="宋体" w:cs="宋体"/>
          <w:sz w:val="28"/>
          <w:szCs w:val="28"/>
        </w:rPr>
        <w:t xml:space="preserve">22</w:t>
      </w:r>
      <w:r>
        <w:rPr>
          <w:rFonts w:hint="eastAsia" w:ascii="宋体" w:hAnsi="宋体" w:cs="宋体"/>
          <w:sz w:val="28"/>
          <w:szCs w:val="28"/>
        </w:rPr>
        <w:fldChar w:fldCharType="end"/>
      </w:r>
      <w:r>
        <w:rPr>
          <w:rFonts w:hint="eastAsia" w:ascii="宋体" w:hAnsi="宋体" w:cs="宋体"/>
          <w:sz w:val="28"/>
          <w:szCs w:val="28"/>
        </w:rPr>
        <w:fldChar w:fldCharType="end"/>
      </w:r>
      <w:r/>
    </w:p>
    <w:p>
      <w:pPr>
        <w:pStyle w:val="829"/>
        <w:spacing w:line="360" w:lineRule="auto"/>
        <w:tabs>
          <w:tab w:val="right" w:pos="10092" w:leader="dot"/>
        </w:tabs>
        <w:rPr>
          <w:rFonts w:hint="eastAsia" w:ascii="宋体" w:hAnsi="宋体" w:cs="宋体"/>
          <w:sz w:val="28"/>
          <w:szCs w:val="28"/>
        </w:rPr>
      </w:pPr>
      <w:r>
        <w:fldChar w:fldCharType="begin"/>
      </w:r>
      <w:r>
        <w:instrText xml:space="preserve"> HYPERLINK \l "_Toc17224" </w:instrText>
      </w:r>
      <w:r>
        <w:fldChar w:fldCharType="separate"/>
      </w:r>
      <w:r>
        <w:rPr>
          <w:rFonts w:hint="eastAsia" w:ascii="宋体" w:hAnsi="宋体" w:cs="宋体"/>
          <w:sz w:val="28"/>
          <w:szCs w:val="28"/>
        </w:rPr>
        <w:t xml:space="preserve">第五章 评标方法与评标标准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_Toc17224 \h </w:instrText>
      </w:r>
      <w:r>
        <w:rPr>
          <w:rFonts w:hint="eastAsia" w:ascii="宋体" w:hAnsi="宋体" w:cs="宋体"/>
          <w:sz w:val="28"/>
          <w:szCs w:val="28"/>
        </w:rPr>
        <w:fldChar w:fldCharType="separate"/>
      </w:r>
      <w:r>
        <w:rPr>
          <w:rFonts w:hint="eastAsia" w:ascii="宋体" w:hAnsi="宋体" w:cs="宋体"/>
          <w:sz w:val="28"/>
          <w:szCs w:val="28"/>
        </w:rPr>
        <w:t xml:space="preserve">147</w:t>
      </w:r>
      <w:r>
        <w:rPr>
          <w:rFonts w:hint="eastAsia" w:ascii="宋体" w:hAnsi="宋体" w:cs="宋体"/>
          <w:sz w:val="28"/>
          <w:szCs w:val="28"/>
        </w:rPr>
        <w:fldChar w:fldCharType="end"/>
      </w:r>
      <w:r>
        <w:rPr>
          <w:rFonts w:hint="eastAsia" w:ascii="宋体" w:hAnsi="宋体" w:cs="宋体"/>
          <w:sz w:val="28"/>
          <w:szCs w:val="28"/>
        </w:rPr>
        <w:fldChar w:fldCharType="end"/>
      </w:r>
      <w:r/>
    </w:p>
    <w:p>
      <w:pPr>
        <w:pStyle w:val="829"/>
        <w:spacing w:line="360" w:lineRule="auto"/>
        <w:tabs>
          <w:tab w:val="right" w:pos="10092" w:leader="dot"/>
        </w:tabs>
        <w:rPr>
          <w:rFonts w:hint="eastAsia" w:ascii="宋体" w:hAnsi="宋体" w:cs="宋体"/>
          <w:sz w:val="28"/>
          <w:szCs w:val="28"/>
        </w:rPr>
      </w:pPr>
      <w:r>
        <w:fldChar w:fldCharType="begin"/>
      </w:r>
      <w:r>
        <w:instrText xml:space="preserve"> HYPERLINK \l "_Toc822" </w:instrText>
      </w:r>
      <w:r>
        <w:fldChar w:fldCharType="separate"/>
      </w:r>
      <w:r>
        <w:rPr>
          <w:rFonts w:hint="eastAsia" w:ascii="宋体" w:hAnsi="宋体" w:cs="宋体"/>
          <w:sz w:val="28"/>
          <w:szCs w:val="28"/>
        </w:rPr>
        <w:t xml:space="preserve">第六章 投标文件格式</w:t>
      </w:r>
      <w:r>
        <w:rPr>
          <w:rFonts w:hint="eastAsia" w:ascii="宋体" w:hAnsi="宋体" w:cs="宋体"/>
          <w:sz w:val="28"/>
          <w:szCs w:val="28"/>
        </w:rPr>
        <w:tab/>
      </w:r>
      <w:r>
        <w:rPr>
          <w:rFonts w:hint="eastAsia" w:ascii="宋体" w:hAnsi="宋体" w:cs="宋体"/>
          <w:sz w:val="28"/>
          <w:szCs w:val="28"/>
        </w:rPr>
        <w:t xml:space="preserve">1</w:t>
      </w:r>
      <w:r>
        <w:rPr>
          <w:rFonts w:hint="eastAsia" w:ascii="宋体" w:hAnsi="宋体" w:cs="宋体"/>
          <w:sz w:val="28"/>
          <w:szCs w:val="28"/>
          <w:lang w:val="en-US" w:eastAsia="zh-CN"/>
        </w:rPr>
        <w:t xml:space="preserve">52</w:t>
      </w:r>
      <w:r>
        <w:rPr>
          <w:rFonts w:hint="eastAsia" w:ascii="宋体" w:hAnsi="宋体" w:cs="宋体"/>
          <w:sz w:val="28"/>
          <w:szCs w:val="28"/>
        </w:rPr>
        <w:fldChar w:fldCharType="end"/>
      </w:r>
      <w:r/>
    </w:p>
    <w:p>
      <w:pPr>
        <w:spacing w:line="360" w:lineRule="auto"/>
        <w:rPr>
          <w:rFonts w:hint="eastAsia" w:ascii="宋体" w:hAnsi="宋体" w:cs="宋体"/>
          <w:b/>
          <w:bCs/>
          <w:sz w:val="28"/>
          <w:szCs w:val="28"/>
        </w:rPr>
      </w:pPr>
      <w:r>
        <w:rPr>
          <w:rFonts w:hint="eastAsia" w:ascii="宋体" w:hAnsi="宋体" w:cs="宋体"/>
          <w:bCs/>
          <w:sz w:val="28"/>
          <w:szCs w:val="28"/>
        </w:rPr>
        <w:fldChar w:fldCharType="end"/>
      </w:r>
      <w:r/>
    </w:p>
    <w:p>
      <w:pPr>
        <w:pStyle w:val="1011"/>
        <w:tabs>
          <w:tab w:val="right" w:pos="10092" w:leader="dot"/>
        </w:tabs>
      </w:pPr>
      <w:r/>
      <w:r/>
    </w:p>
    <w:p>
      <w:r/>
      <w:r/>
    </w:p>
    <w:p>
      <w:r/>
      <w:r/>
    </w:p>
    <w:p>
      <w:r/>
      <w:r/>
    </w:p>
    <w:p>
      <w:r/>
      <w:r/>
    </w:p>
    <w:p>
      <w:pPr>
        <w:jc w:val="left"/>
        <w:tabs>
          <w:tab w:val="center" w:pos="5046" w:leader="none"/>
        </w:tabs>
        <w:sectPr>
          <w:footerReference w:type="default" r:id="rId11"/>
          <w:footerReference w:type="first" r:id="rId12"/>
          <w:footnotePr/>
          <w:endnotePr/>
          <w:type w:val="nextPage"/>
          <w:pgSz w:w="11906" w:h="16838" w:orient="portrait"/>
          <w:pgMar w:top="1440" w:right="737" w:bottom="1440" w:left="1077" w:header="851" w:footer="992" w:gutter="0"/>
          <w:cols w:num="1" w:sep="0" w:space="720" w:equalWidth="1"/>
          <w:docGrid w:linePitch="360"/>
          <w:titlePg/>
        </w:sectPr>
      </w:pPr>
      <w:r>
        <w:rPr>
          <w:rFonts w:hint="eastAsia"/>
        </w:rPr>
        <w:tab/>
      </w:r>
      <w:r/>
    </w:p>
    <w:p>
      <w:pPr>
        <w:pStyle w:val="1012"/>
        <w:spacing w:line="440" w:lineRule="exact"/>
        <w:rPr>
          <w:rStyle w:val="1006"/>
          <w:rFonts w:hint="eastAsia" w:ascii="宋体" w:hAnsi="宋体"/>
          <w:spacing w:val="7"/>
        </w:rPr>
      </w:pPr>
      <w:r>
        <w:rPr>
          <w:rFonts w:hint="eastAsia" w:ascii="宋体" w:hAnsi="宋体"/>
          <w:spacing w:val="7"/>
        </w:rPr>
      </w:r>
      <w:r/>
    </w:p>
    <w:p>
      <w:pPr>
        <w:pStyle w:val="993"/>
        <w:ind w:firstLine="2676"/>
        <w:jc w:val="both"/>
        <w:keepLines w:val="0"/>
        <w:keepNext w:val="0"/>
        <w:spacing w:before="0" w:after="0" w:line="580" w:lineRule="exact"/>
        <w:widowControl/>
        <w:tabs>
          <w:tab w:val="left" w:pos="0" w:leader="none"/>
        </w:tabs>
        <w:rPr>
          <w:rStyle w:val="1004"/>
          <w:rFonts w:hint="eastAsia" w:ascii="华文中宋" w:hAnsi="华文中宋" w:eastAsia="华文中宋"/>
          <w:sz w:val="48"/>
          <w:szCs w:val="48"/>
        </w:rPr>
      </w:pPr>
      <w:r/>
      <w:bookmarkStart w:id="2" w:name="_Toc21529"/>
      <w:r/>
      <w:bookmarkStart w:id="3" w:name="_Toc2781"/>
      <w:r>
        <w:rPr>
          <w:rStyle w:val="1004"/>
          <w:rFonts w:hint="eastAsia" w:ascii="华文中宋" w:hAnsi="华文中宋" w:eastAsia="华文中宋"/>
          <w:sz w:val="48"/>
          <w:szCs w:val="48"/>
        </w:rPr>
        <w:t xml:space="preserve">第一章  投标邀请</w:t>
      </w:r>
      <w:bookmarkEnd w:id="2"/>
      <w:r/>
      <w:bookmarkEnd w:id="3"/>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锦丰学校（二期）初中部弱电系统（智能化）配置项目JSZC-320582-JZCG-G2026-00</w:t>
      </w:r>
      <w:r>
        <w:rPr>
          <w:rFonts w:hint="eastAsia" w:ascii="宋体" w:hAnsi="宋体"/>
          <w:szCs w:val="24"/>
          <w:lang w:val="en-US" w:eastAsia="zh-CN"/>
        </w:rPr>
        <w:t xml:space="preserve">40</w:t>
      </w:r>
      <w:r>
        <w:rPr>
          <w:rFonts w:hint="eastAsia" w:ascii="宋体" w:hAnsi="宋体"/>
          <w:szCs w:val="24"/>
        </w:rPr>
        <w:t xml:space="preserve">招标项目的潜在投标人应在苏采云政府采购一体化平台（网址：http://jszfcg.jsczt.cn/） 获取招标文件，并于</w:t>
      </w:r>
      <w:r>
        <w:rPr>
          <w:rFonts w:hint="eastAsia" w:ascii="宋体" w:hAnsi="宋体"/>
          <w:color w:val="auto"/>
          <w:szCs w:val="24"/>
        </w:rPr>
        <w:t xml:space="preserve">2026-</w:t>
      </w:r>
      <w:r>
        <w:rPr>
          <w:rFonts w:hint="eastAsia" w:ascii="宋体" w:hAnsi="宋体"/>
          <w:color w:val="auto"/>
          <w:szCs w:val="24"/>
          <w:lang w:val="en-US" w:eastAsia="zh-CN"/>
        </w:rPr>
        <w:t xml:space="preserve">11</w:t>
      </w:r>
      <w:r>
        <w:rPr>
          <w:rFonts w:hint="eastAsia" w:ascii="宋体" w:hAnsi="宋体"/>
          <w:color w:val="auto"/>
          <w:szCs w:val="24"/>
        </w:rPr>
        <w:t xml:space="preserve">-</w:t>
      </w:r>
      <w:r>
        <w:rPr>
          <w:rFonts w:hint="eastAsia" w:ascii="宋体" w:hAnsi="宋体"/>
          <w:color w:val="auto"/>
          <w:szCs w:val="24"/>
          <w:lang w:val="en-US" w:eastAsia="zh-CN"/>
        </w:rPr>
        <w:t xml:space="preserve">19</w:t>
      </w:r>
      <w:r>
        <w:rPr>
          <w:rFonts w:hint="eastAsia" w:ascii="宋体" w:hAnsi="宋体"/>
          <w:color w:val="auto"/>
          <w:szCs w:val="24"/>
        </w:rPr>
        <w:t xml:space="preserve"> </w:t>
      </w:r>
      <w:r>
        <w:rPr>
          <w:rFonts w:hint="eastAsia" w:ascii="宋体" w:hAnsi="宋体"/>
          <w:szCs w:val="24"/>
        </w:rPr>
        <w:t xml:space="preserve">09:30（北京时间）前递交投标文件。</w:t>
      </w:r>
      <w:r/>
    </w:p>
    <w:p>
      <w:pPr>
        <w:pStyle w:val="1001"/>
        <w:ind w:firstLine="482"/>
        <w:spacing w:beforeAutospacing="0" w:afterAutospacing="0" w:line="440" w:lineRule="exact"/>
        <w:widowControl/>
        <w:rPr>
          <w:rFonts w:hint="eastAsia" w:ascii="宋体" w:hAnsi="宋体"/>
          <w:b/>
          <w:bCs/>
          <w:szCs w:val="24"/>
        </w:rPr>
        <w:outlineLvl w:val="1"/>
      </w:pPr>
      <w:r/>
      <w:bookmarkStart w:id="4" w:name="_Toc28831"/>
      <w:r>
        <w:rPr>
          <w:rFonts w:hint="eastAsia" w:ascii="宋体" w:hAnsi="宋体"/>
          <w:b/>
          <w:bCs/>
          <w:szCs w:val="24"/>
        </w:rPr>
        <w:t xml:space="preserve">一、项目基本情况</w:t>
      </w:r>
      <w:bookmarkEnd w:id="4"/>
      <w:r/>
      <w:r/>
    </w:p>
    <w:p>
      <w:pPr>
        <w:pStyle w:val="1001"/>
        <w:ind w:firstLine="480"/>
        <w:spacing w:beforeAutospacing="0" w:afterAutospacing="0" w:line="440" w:lineRule="exact"/>
        <w:widowControl/>
        <w:rPr>
          <w:rFonts w:hint="default" w:ascii="宋体" w:hAnsi="宋体"/>
          <w:szCs w:val="24"/>
          <w:lang w:val="en-US"/>
        </w:rPr>
      </w:pPr>
      <w:r>
        <w:rPr>
          <w:rFonts w:hint="eastAsia" w:ascii="宋体" w:hAnsi="宋体"/>
          <w:szCs w:val="24"/>
        </w:rPr>
        <w:t xml:space="preserve">项目编号：</w:t>
      </w:r>
      <w:r>
        <w:rPr>
          <w:rStyle w:val="1006"/>
          <w:rFonts w:hint="eastAsia" w:ascii="宋体" w:hAnsi="宋体"/>
          <w:spacing w:val="7"/>
          <w:sz w:val="24"/>
          <w:szCs w:val="24"/>
        </w:rPr>
        <w:t xml:space="preserve">JSZC-320582-JZCG-G2026-00</w:t>
      </w:r>
      <w:r>
        <w:rPr>
          <w:rStyle w:val="1006"/>
          <w:rFonts w:hint="eastAsia" w:ascii="宋体" w:hAnsi="宋体"/>
          <w:spacing w:val="7"/>
          <w:sz w:val="24"/>
          <w:szCs w:val="24"/>
          <w:lang w:val="en-US"/>
        </w:rPr>
        <w:t xml:space="preserve">40</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项目名称：锦丰学校（二期）初中部弱电系统（智能化）配置项目</w:t>
      </w:r>
      <w:r/>
    </w:p>
    <w:p>
      <w:pPr>
        <w:pStyle w:val="1001"/>
        <w:ind w:firstLine="480"/>
        <w:spacing w:beforeAutospacing="0" w:afterAutospacing="0" w:line="440" w:lineRule="exact"/>
        <w:widowControl/>
        <w:rPr>
          <w:rFonts w:hint="eastAsia" w:ascii="宋体" w:hAnsi="宋体"/>
          <w:szCs w:val="24"/>
        </w:rPr>
      </w:pPr>
      <w:r/>
      <w:bookmarkStart w:id="5" w:name="OLE_LINK3"/>
      <w:r>
        <w:rPr>
          <w:rFonts w:hint="eastAsia" w:ascii="宋体" w:hAnsi="宋体"/>
          <w:szCs w:val="24"/>
        </w:rPr>
        <w:t xml:space="preserve">预算金额：342万元</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最高限价（如有）：</w:t>
      </w:r>
      <w:bookmarkEnd w:id="5"/>
      <w:r>
        <w:rPr>
          <w:rFonts w:hint="eastAsia" w:ascii="宋体" w:hAnsi="宋体"/>
          <w:szCs w:val="24"/>
        </w:rPr>
        <w:t xml:space="preserve">342万元</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采购方式：公开招标 </w:t>
      </w:r>
      <w:r/>
    </w:p>
    <w:p>
      <w:pPr>
        <w:ind w:firstLine="480"/>
        <w:spacing w:line="440" w:lineRule="exact"/>
        <w:rPr>
          <w:rFonts w:hint="eastAsia" w:ascii="宋体" w:hAnsi="宋体"/>
          <w:sz w:val="24"/>
          <w:szCs w:val="24"/>
        </w:rPr>
      </w:pPr>
      <w:r>
        <w:rPr>
          <w:rFonts w:hint="eastAsia" w:ascii="宋体" w:hAnsi="宋体"/>
          <w:sz w:val="24"/>
          <w:szCs w:val="24"/>
        </w:rPr>
        <w:t xml:space="preserve">采购需求：锦丰学校（二期）初中部弱电系统建设</w:t>
      </w:r>
      <w:r/>
    </w:p>
    <w:p>
      <w:pPr>
        <w:ind w:firstLine="480"/>
        <w:spacing w:line="440" w:lineRule="exact"/>
        <w:rPr>
          <w:rFonts w:hint="eastAsia" w:ascii="宋体" w:hAnsi="宋体"/>
          <w:sz w:val="24"/>
          <w:szCs w:val="24"/>
        </w:rPr>
      </w:pPr>
      <w:r>
        <w:rPr>
          <w:rFonts w:hint="eastAsia" w:ascii="宋体" w:hAnsi="宋体"/>
          <w:sz w:val="24"/>
          <w:szCs w:val="24"/>
        </w:rPr>
        <w:t xml:space="preserve">合同履行期限：</w:t>
      </w:r>
      <w:bookmarkStart w:id="6" w:name="OLE_LINK20"/>
      <w:r/>
      <w:bookmarkStart w:id="7" w:name="OLE_LINK25"/>
      <w:r>
        <w:rPr>
          <w:rFonts w:hint="eastAsia" w:ascii="宋体" w:hAnsi="宋体"/>
          <w:sz w:val="24"/>
          <w:szCs w:val="24"/>
        </w:rPr>
        <w:t xml:space="preserve">合同签订生效后120日内供货安装调试结束。遇不可抗力原因需延迟交货的，经采购人同意后可适当延期。</w:t>
      </w:r>
      <w:bookmarkEnd w:id="6"/>
      <w:r/>
      <w:bookmarkEnd w:id="7"/>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本项目（是/否）接受联合体投标：不接受联合体</w:t>
      </w:r>
      <w:r/>
    </w:p>
    <w:p>
      <w:pPr>
        <w:pStyle w:val="1001"/>
        <w:ind w:firstLine="482"/>
        <w:spacing w:beforeAutospacing="0" w:afterAutospacing="0" w:line="440" w:lineRule="exact"/>
        <w:widowControl/>
        <w:rPr>
          <w:rStyle w:val="1004"/>
          <w:rFonts w:hint="eastAsia" w:ascii="宋体" w:hAnsi="宋体"/>
          <w:szCs w:val="24"/>
        </w:rPr>
      </w:pPr>
      <w:r>
        <w:rPr>
          <w:rStyle w:val="1004"/>
          <w:rFonts w:hint="eastAsia" w:ascii="宋体" w:hAnsi="宋体"/>
          <w:szCs w:val="24"/>
        </w:rPr>
        <w:t xml:space="preserve">二、申请人的资格要求</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（一）满足《中华人民共和国政府采购法》第二十二条规定；</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2.财务状况报告（成立不满一年不需提供）</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3.依法缴纳税收和社会保障资金的相关材料（如依法享受缓缴、免缴税收、社会保障资金的，应提供相关证明材料）；</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4.具备履行合同所必需的设备和专业技术能力的书面声明</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5.参加政府采购活动前3年内在经营活动中没有重大违法记录的书面声明</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6.资格证明文件的书面承诺</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7.授权委托书（被授权人非法定代表人的，应提供授权委托书；被授权人是法定代表人的，应提供授权委托书或法定代表人身份证明书）</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（二）未被“信用中国”网站（www.creditchina.gov.cn）列入失信被执行人、重大税收违法案件当事人名单、政府采购严重失信行为记录名单。</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（三）落实政府采购政策需满足的资格要求：</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无</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（四）本项目的特定资格要求： </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无</w:t>
      </w:r>
      <w:r/>
    </w:p>
    <w:p>
      <w:pPr>
        <w:pStyle w:val="1001"/>
        <w:ind w:firstLine="482"/>
        <w:spacing w:beforeAutospacing="0" w:afterAutospacing="0" w:line="440" w:lineRule="exact"/>
        <w:widowControl/>
        <w:rPr>
          <w:rStyle w:val="1004"/>
          <w:rFonts w:hint="eastAsia" w:ascii="宋体" w:hAnsi="宋体"/>
          <w:szCs w:val="24"/>
        </w:rPr>
      </w:pPr>
      <w:r>
        <w:rPr>
          <w:rStyle w:val="1004"/>
          <w:rFonts w:hint="eastAsia" w:ascii="宋体" w:hAnsi="宋体"/>
          <w:szCs w:val="24"/>
        </w:rPr>
        <w:t xml:space="preserve">三、获取招标文件</w:t>
      </w:r>
      <w:r/>
    </w:p>
    <w:p>
      <w:pPr>
        <w:ind w:firstLine="480"/>
        <w:jc w:val="left"/>
        <w:spacing w:line="440" w:lineRule="exact"/>
        <w:widowControl/>
        <w:rPr>
          <w:rFonts w:hint="eastAsia" w:ascii="宋体" w:hAnsi="宋体"/>
          <w:sz w:val="24"/>
          <w:szCs w:val="24"/>
          <w:lang w:bidi="ar"/>
        </w:rPr>
      </w:pPr>
      <w:r>
        <w:rPr>
          <w:rFonts w:hint="eastAsia" w:ascii="宋体" w:hAnsi="宋体"/>
          <w:sz w:val="24"/>
          <w:szCs w:val="24"/>
          <w:lang w:bidi="ar"/>
        </w:rPr>
        <w:t xml:space="preserve">时间：自招标文件公告发布之日起5个工作日</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地点：苏采云政府采购一体化平台（网址http://jszfcg.jsczt.cn/） </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方式：苏采云政府采购一体化平台（网址http://jszfcg.jsczt.cn/） </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售价：0.00元 </w:t>
      </w:r>
      <w:r/>
    </w:p>
    <w:p>
      <w:pPr>
        <w:pStyle w:val="1001"/>
        <w:ind w:firstLine="482"/>
        <w:spacing w:beforeAutospacing="0" w:afterAutospacing="0" w:line="440" w:lineRule="exact"/>
        <w:widowControl/>
        <w:rPr>
          <w:rStyle w:val="1004"/>
          <w:rFonts w:hint="eastAsia" w:ascii="宋体" w:hAnsi="宋体"/>
          <w:szCs w:val="24"/>
        </w:rPr>
      </w:pPr>
      <w:r>
        <w:rPr>
          <w:rStyle w:val="1004"/>
          <w:rFonts w:hint="eastAsia" w:ascii="宋体" w:hAnsi="宋体"/>
          <w:szCs w:val="24"/>
        </w:rPr>
        <w:t xml:space="preserve">四、提交投标文件截止时间、开标时间和地点</w:t>
      </w:r>
      <w:r/>
    </w:p>
    <w:p>
      <w:pPr>
        <w:pStyle w:val="1001"/>
        <w:ind w:firstLine="480"/>
        <w:spacing w:beforeAutospacing="0" w:afterAutospacing="0" w:line="440" w:lineRule="exact"/>
        <w:widowControl/>
        <w:rPr>
          <w:rFonts w:hint="eastAsia" w:ascii="宋体" w:hAnsi="宋体"/>
          <w:color w:val="auto"/>
          <w:szCs w:val="24"/>
        </w:rPr>
      </w:pPr>
      <w:r>
        <w:rPr>
          <w:rFonts w:hint="eastAsia" w:ascii="宋体" w:hAnsi="宋体"/>
          <w:color w:val="auto"/>
          <w:szCs w:val="24"/>
        </w:rPr>
        <w:t xml:space="preserve">2026-</w:t>
      </w:r>
      <w:r>
        <w:rPr>
          <w:rFonts w:hint="eastAsia" w:ascii="宋体" w:hAnsi="宋体"/>
          <w:color w:val="auto"/>
          <w:szCs w:val="24"/>
          <w:lang w:val="en-US" w:eastAsia="zh-CN"/>
        </w:rPr>
        <w:t xml:space="preserve">11</w:t>
      </w:r>
      <w:r>
        <w:rPr>
          <w:rFonts w:hint="eastAsia" w:ascii="宋体" w:hAnsi="宋体"/>
          <w:color w:val="auto"/>
          <w:szCs w:val="24"/>
        </w:rPr>
        <w:t xml:space="preserve">-</w:t>
      </w:r>
      <w:r>
        <w:rPr>
          <w:rFonts w:hint="eastAsia" w:ascii="宋体" w:hAnsi="宋体"/>
          <w:color w:val="auto"/>
          <w:szCs w:val="24"/>
          <w:lang w:val="en-US" w:eastAsia="zh-CN"/>
        </w:rPr>
        <w:t xml:space="preserve">19</w:t>
      </w:r>
      <w:r>
        <w:rPr>
          <w:rFonts w:hint="eastAsia" w:ascii="宋体" w:hAnsi="宋体"/>
          <w:color w:val="auto"/>
          <w:szCs w:val="24"/>
        </w:rPr>
        <w:t xml:space="preserve"> 09:30（北京时间）</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地点：苏采云系统 </w:t>
      </w:r>
      <w:r/>
    </w:p>
    <w:p>
      <w:pPr>
        <w:pStyle w:val="1001"/>
        <w:ind w:firstLine="482"/>
        <w:spacing w:beforeAutospacing="0" w:afterAutospacing="0" w:line="440" w:lineRule="exact"/>
        <w:widowControl/>
        <w:rPr>
          <w:rStyle w:val="1004"/>
          <w:rFonts w:hint="eastAsia" w:ascii="宋体" w:hAnsi="宋体"/>
          <w:szCs w:val="24"/>
        </w:rPr>
      </w:pPr>
      <w:r>
        <w:rPr>
          <w:rStyle w:val="1004"/>
          <w:rFonts w:hint="eastAsia" w:ascii="宋体" w:hAnsi="宋体"/>
          <w:szCs w:val="24"/>
        </w:rPr>
        <w:t xml:space="preserve">五、公告期限</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自本公告发布之日起5个工作日。</w:t>
      </w:r>
      <w:r/>
    </w:p>
    <w:p>
      <w:pPr>
        <w:pStyle w:val="1001"/>
        <w:ind w:firstLine="482"/>
        <w:spacing w:beforeAutospacing="0" w:afterAutospacing="0" w:line="440" w:lineRule="exact"/>
        <w:widowControl/>
        <w:rPr>
          <w:rStyle w:val="1004"/>
          <w:rFonts w:hint="eastAsia" w:ascii="宋体" w:hAnsi="宋体"/>
          <w:szCs w:val="24"/>
        </w:rPr>
      </w:pPr>
      <w:r>
        <w:rPr>
          <w:rStyle w:val="1004"/>
          <w:rFonts w:hint="eastAsia" w:ascii="宋体" w:hAnsi="宋体"/>
          <w:szCs w:val="24"/>
        </w:rPr>
        <w:t xml:space="preserve">六、其他补充事宜</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1.CA证书办理</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2.参与采购活动</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3.电子投标准备</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在系统操作过程中如有疑问，请按以下方式联系：</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注册咨询：18261002950；</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CA技术咨询电话：400-608-6099；</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签章使用问题：025-83633811、025-83633812、15380932027、15371015030；</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系统使用指导与咨询：18261002950、13914088964；QQ：3048755361、1315179389、895706745。</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4.本项目采用电子招投标形式，电子交易活动在省财政厅统一部署开发的“苏采云”系统实施，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请供应商确保电脑、系统及其他设备（视频输入输出设备等）无误，且开标直至项目结束始终保持系统在线状态。</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6.招标文件澄清或者修改内容的告知方式：招标文件的实质性变动或修改将在政府采购公告媒体网通知，投标人可自行下载。</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7.本次招标不收取投标保证金。</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8.本项目不允许进口产品投标。</w:t>
      </w:r>
      <w:r/>
    </w:p>
    <w:p>
      <w:pPr>
        <w:pStyle w:val="1001"/>
        <w:ind w:firstLine="482"/>
        <w:spacing w:beforeAutospacing="0" w:afterAutospacing="0" w:line="440" w:lineRule="exact"/>
        <w:widowControl/>
        <w:rPr>
          <w:rStyle w:val="1004"/>
          <w:rFonts w:hint="eastAsia" w:ascii="宋体" w:hAnsi="宋体"/>
          <w:szCs w:val="24"/>
        </w:rPr>
      </w:pPr>
      <w:r>
        <w:rPr>
          <w:rStyle w:val="1004"/>
          <w:rFonts w:hint="eastAsia" w:ascii="宋体" w:hAnsi="宋体"/>
          <w:szCs w:val="24"/>
        </w:rPr>
        <w:t xml:space="preserve">七、对本次招标提出询问，请按以下方式联系</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1.采购人信息 </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单位名称：张家港市锦丰镇人民政府</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单位地址：张家港市锦丰镇沙洲大厦（华昌路718号）1307室</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联系人：张筱楚</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联系电话：13862269413</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2.采购代理机构信息（如有）</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单位名称：苏州市公共资源交易中心张家港分中心</w:t>
      </w:r>
      <w:r/>
    </w:p>
    <w:p>
      <w:pPr>
        <w:pStyle w:val="1001"/>
        <w:ind w:firstLine="480"/>
        <w:spacing w:beforeAutospacing="0" w:afterAutospacing="0" w:line="440" w:lineRule="exact"/>
        <w:widowControl/>
        <w:rPr>
          <w:rFonts w:hint="eastAsia" w:ascii="宋体" w:hAnsi="宋体"/>
          <w:szCs w:val="24"/>
        </w:rPr>
      </w:pPr>
      <w:r>
        <w:rPr>
          <w:rFonts w:hint="eastAsia" w:ascii="宋体" w:hAnsi="宋体"/>
          <w:szCs w:val="24"/>
        </w:rPr>
        <w:t xml:space="preserve">单位地址：张家港市杨舍镇滨河路1号(国泰金融广场C座)</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lang w:bidi="ar"/>
        </w:rPr>
        <w:t xml:space="preserve">联系人：</w:t>
      </w:r>
      <w:r>
        <w:rPr>
          <w:rFonts w:hint="eastAsia" w:ascii="宋体" w:hAnsi="宋体" w:cs="宋体"/>
          <w:sz w:val="24"/>
          <w:szCs w:val="24"/>
        </w:rPr>
        <w:t xml:space="preserve">欧心怡</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lang w:bidi="ar"/>
        </w:rPr>
        <w:t xml:space="preserve">联系电话：0512-58915390</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lang w:bidi="ar"/>
        </w:rPr>
        <w:t xml:space="preserve">3.项目联系方式</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lang w:bidi="ar"/>
        </w:rPr>
        <w:t xml:space="preserve">项目联系人：</w:t>
      </w:r>
      <w:r>
        <w:rPr>
          <w:rFonts w:hint="eastAsia" w:ascii="宋体" w:hAnsi="宋体" w:cs="宋体"/>
          <w:sz w:val="24"/>
          <w:szCs w:val="24"/>
        </w:rPr>
        <w:t xml:space="preserve">欧心怡</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lang w:bidi="ar"/>
        </w:rPr>
        <w:t xml:space="preserve">电话：0512-58915390</w:t>
      </w:r>
      <w:r/>
    </w:p>
    <w:p>
      <w:pPr>
        <w:pStyle w:val="1012"/>
        <w:ind w:firstLine="500"/>
        <w:spacing w:line="440" w:lineRule="exact"/>
        <w:rPr>
          <w:rStyle w:val="1006"/>
          <w:rFonts w:hint="eastAsia" w:ascii="宋体" w:hAnsi="宋体"/>
          <w:spacing w:val="7"/>
        </w:rPr>
      </w:pPr>
      <w:r>
        <w:rPr>
          <w:rFonts w:hint="eastAsia" w:ascii="宋体" w:hAnsi="宋体"/>
          <w:spacing w:val="7"/>
        </w:rPr>
      </w:r>
      <w:r/>
    </w:p>
    <w:p>
      <w:pPr>
        <w:pStyle w:val="1012"/>
        <w:ind w:firstLine="500"/>
        <w:spacing w:line="440" w:lineRule="exact"/>
        <w:rPr>
          <w:rStyle w:val="1006"/>
          <w:rFonts w:hint="eastAsia" w:ascii="宋体" w:hAnsi="宋体"/>
          <w:spacing w:val="7"/>
        </w:rPr>
      </w:pPr>
      <w:r>
        <w:rPr>
          <w:rFonts w:hint="eastAsia" w:ascii="宋体" w:hAnsi="宋体"/>
          <w:spacing w:val="7"/>
        </w:rPr>
      </w:r>
      <w:r/>
    </w:p>
    <w:p>
      <w:pPr>
        <w:pStyle w:val="1013"/>
        <w:pageBreakBefore/>
        <w:spacing w:line="360" w:lineRule="auto"/>
        <w:rPr>
          <w:rFonts w:hint="eastAsia" w:ascii="宋体" w:hAnsi="宋体" w:eastAsia="宋体"/>
        </w:rPr>
      </w:pPr>
      <w:r/>
      <w:bookmarkStart w:id="8" w:name="_Toc10079"/>
      <w:r/>
      <w:bookmarkStart w:id="9" w:name="_Toc4059"/>
      <w:r>
        <w:rPr>
          <w:rFonts w:hint="eastAsia" w:ascii="宋体" w:hAnsi="宋体" w:eastAsia="宋体"/>
        </w:rPr>
        <w:t xml:space="preserve">第二章  </w:t>
      </w:r>
      <w:bookmarkStart w:id="10" w:name="_Toc20823274"/>
      <w:r/>
      <w:bookmarkStart w:id="11" w:name="_Toc513029202"/>
      <w:r/>
      <w:bookmarkStart w:id="12" w:name="_Toc16938518"/>
      <w:r/>
      <w:bookmarkStart w:id="13" w:name="_Toc120614213"/>
      <w:r>
        <w:rPr>
          <w:rFonts w:hint="eastAsia" w:ascii="宋体" w:hAnsi="宋体" w:eastAsia="宋体"/>
        </w:rPr>
        <w:t xml:space="preserve">投标人须知</w:t>
      </w:r>
      <w:bookmarkEnd w:id="8"/>
      <w:r/>
      <w:bookmarkEnd w:id="9"/>
      <w:r/>
      <w:bookmarkEnd w:id="10"/>
      <w:r/>
      <w:bookmarkEnd w:id="11"/>
      <w:r/>
      <w:bookmarkEnd w:id="12"/>
      <w:r/>
      <w:bookmarkEnd w:id="13"/>
      <w:r/>
      <w:r/>
    </w:p>
    <w:p>
      <w:pPr>
        <w:pStyle w:val="1014"/>
        <w:ind w:firstLine="482"/>
        <w:jc w:val="left"/>
        <w:spacing w:before="0" w:after="0" w:line="440" w:lineRule="exact"/>
        <w:rPr>
          <w:rStyle w:val="1015"/>
          <w:rFonts w:hint="eastAsia" w:ascii="宋体" w:hAnsi="宋体"/>
          <w:b w:val="0"/>
          <w:bCs w:val="0"/>
          <w:sz w:val="24"/>
          <w:szCs w:val="24"/>
        </w:rPr>
      </w:pPr>
      <w:r/>
      <w:bookmarkStart w:id="14" w:name="_Toc513029203"/>
      <w:r/>
      <w:bookmarkStart w:id="15" w:name="_Toc35266020"/>
      <w:r/>
      <w:bookmarkStart w:id="16" w:name="_Toc120614214"/>
      <w:r/>
      <w:bookmarkStart w:id="17" w:name="_Toc16938519"/>
      <w:r/>
      <w:bookmarkStart w:id="18" w:name="_Toc38368120"/>
      <w:r/>
      <w:bookmarkStart w:id="19" w:name="_Toc20823275"/>
      <w:r/>
      <w:bookmarkStart w:id="20" w:name="_Toc54615239"/>
      <w:r/>
      <w:bookmarkStart w:id="21" w:name="_Toc29619"/>
      <w:r>
        <w:rPr>
          <w:rStyle w:val="1015"/>
          <w:rFonts w:hint="eastAsia" w:ascii="宋体" w:hAnsi="宋体"/>
          <w:b w:val="0"/>
          <w:bCs w:val="0"/>
          <w:sz w:val="24"/>
          <w:szCs w:val="24"/>
        </w:rPr>
        <w:t xml:space="preserve">一、总则</w:t>
      </w:r>
      <w:bookmarkEnd w:id="14"/>
      <w:r/>
      <w:bookmarkEnd w:id="15"/>
      <w:r/>
      <w:bookmarkEnd w:id="16"/>
      <w:r/>
      <w:bookmarkEnd w:id="17"/>
      <w:r/>
      <w:bookmarkEnd w:id="18"/>
      <w:r/>
      <w:bookmarkEnd w:id="19"/>
      <w:r/>
      <w:bookmarkEnd w:id="20"/>
      <w:r/>
      <w:bookmarkEnd w:id="21"/>
      <w:r/>
      <w:r/>
    </w:p>
    <w:p>
      <w:pPr>
        <w:ind w:firstLine="482"/>
        <w:keepLines/>
        <w:keepNext/>
        <w:spacing w:line="440" w:lineRule="exact"/>
        <w:rPr>
          <w:rFonts w:hint="eastAsia" w:ascii="宋体" w:hAnsi="宋体"/>
          <w:b/>
          <w:bCs/>
          <w:sz w:val="24"/>
          <w:szCs w:val="24"/>
        </w:rPr>
        <w:outlineLvl w:val="3"/>
      </w:pPr>
      <w:r/>
      <w:bookmarkStart w:id="22" w:name="_Hlt16619475"/>
      <w:r/>
      <w:bookmarkEnd w:id="22"/>
      <w:r/>
      <w:bookmarkStart w:id="23" w:name="_Toc458694821"/>
      <w:r/>
      <w:bookmarkStart w:id="24" w:name="_Toc20823276"/>
      <w:r/>
      <w:bookmarkStart w:id="25" w:name="_Toc513029204"/>
      <w:r/>
      <w:bookmarkStart w:id="26" w:name="_Toc16938520"/>
      <w:r>
        <w:rPr>
          <w:rFonts w:hint="eastAsia" w:ascii="宋体" w:hAnsi="宋体"/>
          <w:b/>
          <w:bCs/>
          <w:sz w:val="24"/>
          <w:szCs w:val="24"/>
        </w:rPr>
        <w:t xml:space="preserve">1</w:t>
      </w:r>
      <w:bookmarkEnd w:id="23"/>
      <w:r>
        <w:rPr>
          <w:rFonts w:hint="eastAsia" w:ascii="宋体" w:hAnsi="宋体"/>
          <w:b/>
          <w:bCs/>
          <w:sz w:val="24"/>
          <w:szCs w:val="24"/>
        </w:rPr>
        <w:t xml:space="preserve">.招标方式</w:t>
      </w:r>
      <w:bookmarkEnd w:id="24"/>
      <w:r/>
      <w:bookmarkEnd w:id="25"/>
      <w:r/>
      <w:bookmarkEnd w:id="26"/>
      <w:r/>
      <w:r/>
    </w:p>
    <w:p>
      <w:pPr>
        <w:ind w:firstLine="480"/>
        <w:spacing w:line="440" w:lineRule="exact"/>
        <w:rPr>
          <w:rFonts w:hint="eastAsia"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482"/>
        <w:keepLines/>
        <w:keepNext/>
        <w:spacing w:line="440" w:lineRule="exact"/>
        <w:rPr>
          <w:rFonts w:hint="eastAsia" w:ascii="宋体" w:hAnsi="宋体"/>
          <w:b/>
          <w:bCs/>
          <w:sz w:val="24"/>
          <w:szCs w:val="24"/>
        </w:rPr>
        <w:outlineLvl w:val="3"/>
      </w:pPr>
      <w:r/>
      <w:bookmarkStart w:id="27" w:name="_Toc20823277"/>
      <w:r/>
      <w:bookmarkStart w:id="28" w:name="_Toc16938521"/>
      <w:r/>
      <w:bookmarkStart w:id="29" w:name="_Toc513029205"/>
      <w:r>
        <w:rPr>
          <w:rFonts w:hint="eastAsia" w:ascii="宋体" w:hAnsi="宋体"/>
          <w:b/>
          <w:bCs/>
          <w:sz w:val="24"/>
          <w:szCs w:val="24"/>
        </w:rPr>
        <w:t xml:space="preserve">2.合格的投标人</w:t>
      </w:r>
      <w:bookmarkEnd w:id="27"/>
      <w:r/>
      <w:bookmarkEnd w:id="28"/>
      <w:r/>
      <w:bookmarkEnd w:id="29"/>
      <w:r/>
      <w:r/>
    </w:p>
    <w:p>
      <w:pPr>
        <w:ind w:firstLine="480"/>
        <w:spacing w:line="440" w:lineRule="exact"/>
        <w:rPr>
          <w:rFonts w:hint="eastAsia" w:ascii="宋体" w:hAnsi="宋体"/>
          <w:sz w:val="24"/>
          <w:szCs w:val="24"/>
        </w:rPr>
      </w:pPr>
      <w:r>
        <w:rPr>
          <w:rFonts w:hint="eastAsia" w:ascii="宋体" w:hAnsi="宋体"/>
          <w:sz w:val="24"/>
          <w:szCs w:val="24"/>
        </w:rPr>
        <w:t xml:space="preserve">2.1满足招标公告中投标人的资格要求的规定。</w:t>
      </w:r>
      <w:r/>
    </w:p>
    <w:p>
      <w:pPr>
        <w:ind w:firstLine="480"/>
        <w:spacing w:line="44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b/>
          <w:sz w:val="24"/>
          <w:szCs w:val="24"/>
        </w:rPr>
        <w:t xml:space="preserve">（本招标文件中斜体且有下划线部分为实质性要求）。</w:t>
      </w:r>
      <w:r/>
    </w:p>
    <w:p>
      <w:pPr>
        <w:ind w:firstLine="420"/>
        <w:keepLines/>
        <w:keepNext/>
        <w:spacing w:line="440" w:lineRule="exact"/>
        <w:rPr>
          <w:rFonts w:hint="eastAsia" w:ascii="宋体" w:hAnsi="宋体"/>
          <w:b/>
          <w:bCs/>
          <w:sz w:val="24"/>
          <w:szCs w:val="24"/>
        </w:rPr>
        <w:outlineLvl w:val="3"/>
      </w:pPr>
      <w:r/>
      <w:bookmarkStart w:id="30" w:name="_Toc513029206"/>
      <w:r/>
      <w:bookmarkStart w:id="31" w:name="_Toc20823278"/>
      <w:r/>
      <w:bookmarkStart w:id="32" w:name="_Toc16938522"/>
      <w:r>
        <w:rPr>
          <w:rFonts w:hint="eastAsia" w:ascii="宋体" w:hAnsi="宋体"/>
          <w:b/>
          <w:bCs/>
          <w:sz w:val="24"/>
          <w:szCs w:val="24"/>
        </w:rPr>
        <w:t xml:space="preserve">3.适用法律</w:t>
      </w:r>
      <w:bookmarkEnd w:id="30"/>
      <w:r/>
      <w:bookmarkEnd w:id="31"/>
      <w:r/>
      <w:bookmarkEnd w:id="32"/>
      <w:r/>
      <w:r/>
    </w:p>
    <w:p>
      <w:pPr>
        <w:ind w:firstLine="420"/>
        <w:spacing w:line="440" w:lineRule="exact"/>
        <w:rPr>
          <w:rFonts w:hint="eastAsia" w:ascii="宋体" w:hAnsi="宋体"/>
          <w:sz w:val="24"/>
          <w:szCs w:val="24"/>
        </w:rPr>
      </w:pPr>
      <w:r>
        <w:rPr>
          <w:rFonts w:hint="eastAsia" w:ascii="宋体" w:hAnsi="宋体"/>
          <w:sz w:val="24"/>
          <w:szCs w:val="24"/>
        </w:rPr>
        <w:t xml:space="preserve">3.1本次招标及由此产生的合同受中华人民共和国有关的法律法规制约和保护。</w:t>
      </w:r>
      <w:r/>
    </w:p>
    <w:p>
      <w:pPr>
        <w:ind w:firstLine="482"/>
        <w:keepLines/>
        <w:keepNext/>
        <w:spacing w:line="440" w:lineRule="exact"/>
        <w:rPr>
          <w:rFonts w:hint="eastAsia" w:ascii="宋体" w:hAnsi="宋体"/>
          <w:b/>
          <w:bCs/>
          <w:sz w:val="24"/>
          <w:szCs w:val="24"/>
        </w:rPr>
        <w:outlineLvl w:val="3"/>
      </w:pPr>
      <w:r/>
      <w:bookmarkStart w:id="33" w:name="_Toc20823279"/>
      <w:r/>
      <w:bookmarkStart w:id="34" w:name="_Toc513029207"/>
      <w:r/>
      <w:bookmarkStart w:id="35" w:name="_Toc462564067"/>
      <w:r/>
      <w:bookmarkStart w:id="36" w:name="_Toc16938523"/>
      <w:r>
        <w:rPr>
          <w:rFonts w:hint="eastAsia" w:ascii="宋体" w:hAnsi="宋体"/>
          <w:b/>
          <w:bCs/>
          <w:sz w:val="24"/>
          <w:szCs w:val="24"/>
        </w:rPr>
        <w:t xml:space="preserve">4.投标费用</w:t>
      </w:r>
      <w:bookmarkEnd w:id="33"/>
      <w:r/>
      <w:bookmarkEnd w:id="34"/>
      <w:r/>
      <w:bookmarkEnd w:id="35"/>
      <w:r/>
      <w:bookmarkEnd w:id="36"/>
      <w:r/>
      <w:r/>
    </w:p>
    <w:p>
      <w:pPr>
        <w:ind w:firstLine="480"/>
        <w:spacing w:line="440" w:lineRule="exact"/>
        <w:rPr>
          <w:rFonts w:hint="eastAsia" w:ascii="宋体" w:hAnsi="宋体"/>
          <w:bCs/>
          <w:sz w:val="24"/>
          <w:szCs w:val="24"/>
        </w:rPr>
      </w:pPr>
      <w:r>
        <w:rPr>
          <w:rFonts w:hint="eastAsia" w:ascii="宋体" w:hAnsi="宋体"/>
          <w:bCs/>
          <w:sz w:val="24"/>
          <w:szCs w:val="24"/>
        </w:rPr>
        <w:t xml:space="preserve">4.1</w:t>
      </w:r>
      <w:r>
        <w:rPr>
          <w:rFonts w:hint="eastAsia" w:ascii="宋体" w:hAnsi="宋体"/>
          <w:sz w:val="24"/>
          <w:szCs w:val="24"/>
        </w:rPr>
        <w:t xml:space="preserve"> 投标人应自行承担所有与参加投标有关的费用，无论投标过程中的做法和结果如何，</w:t>
      </w:r>
      <w:bookmarkStart w:id="37" w:name="EBb149e03d16f547ac9a9b50964f44d5b2"/>
      <w:r>
        <w:rPr>
          <w:rFonts w:hint="eastAsia" w:ascii="宋体" w:hAnsi="宋体"/>
          <w:sz w:val="24"/>
          <w:szCs w:val="24"/>
        </w:rPr>
        <w:t xml:space="preserve">苏州市公共资源交易中心张家港分中心(以下简称公共资源交易中心)</w:t>
      </w:r>
      <w:bookmarkEnd w:id="37"/>
      <w:r>
        <w:rPr>
          <w:rFonts w:hint="eastAsia" w:ascii="宋体" w:hAnsi="宋体"/>
          <w:sz w:val="24"/>
          <w:szCs w:val="24"/>
        </w:rPr>
        <w:t xml:space="preserve">在任何情况下均无义务和责任承担这些费用。</w:t>
      </w:r>
      <w:r/>
    </w:p>
    <w:p>
      <w:pPr>
        <w:ind w:firstLine="508"/>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4.2本次招标公共资源交易中心和采购人不收取标书工本费与中标服务费。</w:t>
      </w:r>
      <w:bookmarkStart w:id="38" w:name="EB4bef91ec166246f78c716ddc8194a87a"/>
      <w:r/>
      <w:bookmarkEnd w:id="38"/>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5.招标文件的约束力</w:t>
      </w:r>
      <w:r/>
    </w:p>
    <w:p>
      <w:pPr>
        <w:ind w:firstLine="480"/>
        <w:spacing w:line="440" w:lineRule="exact"/>
        <w:rPr>
          <w:rFonts w:hint="eastAsia" w:ascii="宋体" w:hAnsi="宋体"/>
          <w:bCs/>
          <w:sz w:val="24"/>
          <w:szCs w:val="24"/>
        </w:rPr>
      </w:pPr>
      <w:r>
        <w:rPr>
          <w:rFonts w:hint="eastAsia" w:ascii="宋体" w:hAnsi="宋体"/>
          <w:bCs/>
          <w:sz w:val="24"/>
          <w:szCs w:val="24"/>
        </w:rPr>
        <w:t xml:space="preserve">5.1</w:t>
      </w:r>
      <w:r>
        <w:rPr>
          <w:rFonts w:hint="eastAsia" w:ascii="宋体" w:hAnsi="宋体"/>
          <w:sz w:val="24"/>
          <w:szCs w:val="24"/>
        </w:rPr>
        <w:t xml:space="preserve"> 投标人一旦在“苏采云”系统下载本招标文件决定参加投标，即被认为接受了本招标文件的规定和约束，并且视为已经知道或应当知道自身权益是否受到了损害。</w:t>
      </w:r>
      <w:r/>
    </w:p>
    <w:p>
      <w:pPr>
        <w:pStyle w:val="1014"/>
        <w:ind w:firstLine="482"/>
        <w:jc w:val="left"/>
        <w:spacing w:before="0" w:after="0" w:line="440" w:lineRule="exact"/>
        <w:rPr>
          <w:rStyle w:val="1015"/>
          <w:rFonts w:hint="eastAsia" w:ascii="宋体" w:hAnsi="宋体"/>
          <w:b w:val="0"/>
          <w:bCs w:val="0"/>
          <w:sz w:val="24"/>
          <w:szCs w:val="24"/>
        </w:rPr>
      </w:pPr>
      <w:r/>
      <w:bookmarkStart w:id="39" w:name="_Toc54615240"/>
      <w:r/>
      <w:bookmarkStart w:id="40" w:name="_Toc38368121"/>
      <w:r/>
      <w:bookmarkStart w:id="41" w:name="_Toc120614215"/>
      <w:r/>
      <w:bookmarkStart w:id="42" w:name="_Toc35266021"/>
      <w:r/>
      <w:bookmarkStart w:id="43" w:name="_Toc513029209"/>
      <w:r/>
      <w:bookmarkStart w:id="44" w:name="_Toc12536"/>
      <w:r/>
      <w:bookmarkStart w:id="45" w:name="_Toc20823281"/>
      <w:r/>
      <w:bookmarkStart w:id="46" w:name="_Toc16938525"/>
      <w:r>
        <w:rPr>
          <w:rStyle w:val="1015"/>
          <w:rFonts w:hint="eastAsia" w:ascii="宋体" w:hAnsi="宋体"/>
          <w:b w:val="0"/>
          <w:bCs w:val="0"/>
          <w:sz w:val="24"/>
          <w:szCs w:val="24"/>
        </w:rPr>
        <w:t xml:space="preserve">二、招标文件</w:t>
      </w:r>
      <w:bookmarkEnd w:id="39"/>
      <w:r/>
      <w:bookmarkEnd w:id="40"/>
      <w:r/>
      <w:bookmarkEnd w:id="41"/>
      <w:r/>
      <w:bookmarkEnd w:id="42"/>
      <w:r/>
      <w:bookmarkEnd w:id="43"/>
      <w:r/>
      <w:bookmarkEnd w:id="44"/>
      <w:r/>
      <w:bookmarkEnd w:id="45"/>
      <w:r/>
      <w:bookmarkEnd w:id="46"/>
      <w:r/>
      <w:r/>
    </w:p>
    <w:p>
      <w:pPr>
        <w:ind w:firstLine="482"/>
        <w:keepLines/>
        <w:keepNext/>
        <w:spacing w:line="440" w:lineRule="exact"/>
        <w:rPr>
          <w:rFonts w:hint="eastAsia" w:ascii="宋体" w:hAnsi="宋体"/>
          <w:b/>
          <w:bCs/>
          <w:sz w:val="24"/>
          <w:szCs w:val="24"/>
        </w:rPr>
        <w:outlineLvl w:val="3"/>
      </w:pPr>
      <w:r/>
      <w:bookmarkStart w:id="47" w:name="_Toc20823282"/>
      <w:r/>
      <w:bookmarkStart w:id="48" w:name="_Toc513029210"/>
      <w:r/>
      <w:bookmarkStart w:id="49" w:name="_Toc16938526"/>
      <w:r>
        <w:rPr>
          <w:rFonts w:hint="eastAsia" w:ascii="宋体" w:hAnsi="宋体"/>
          <w:b/>
          <w:bCs/>
          <w:sz w:val="24"/>
          <w:szCs w:val="24"/>
        </w:rPr>
        <w:t xml:space="preserve">6.招标文件构成</w:t>
      </w:r>
      <w:bookmarkEnd w:id="47"/>
      <w:r/>
      <w:bookmarkEnd w:id="48"/>
      <w:r/>
      <w:bookmarkEnd w:id="49"/>
      <w:r/>
      <w:r/>
    </w:p>
    <w:p>
      <w:pPr>
        <w:ind w:firstLine="480"/>
        <w:spacing w:line="440" w:lineRule="exact"/>
        <w:rPr>
          <w:rFonts w:hint="eastAsia" w:ascii="宋体" w:hAnsi="宋体"/>
          <w:bCs/>
          <w:sz w:val="24"/>
          <w:szCs w:val="24"/>
        </w:rPr>
      </w:pPr>
      <w:r>
        <w:rPr>
          <w:rFonts w:hint="eastAsia" w:ascii="宋体" w:hAnsi="宋体"/>
          <w:bCs/>
          <w:sz w:val="24"/>
          <w:szCs w:val="24"/>
        </w:rPr>
        <w:t xml:space="preserve">6.1</w:t>
      </w:r>
      <w:r>
        <w:rPr>
          <w:rFonts w:hint="eastAsia" w:ascii="宋体" w:hAnsi="宋体"/>
          <w:sz w:val="24"/>
          <w:szCs w:val="24"/>
        </w:rPr>
        <w:t xml:space="preserve"> 招标文件有以下部分组成：</w:t>
      </w:r>
      <w:r/>
    </w:p>
    <w:p>
      <w:pPr>
        <w:ind w:firstLine="360"/>
        <w:spacing w:line="440" w:lineRule="exact"/>
        <w:rPr>
          <w:rFonts w:hint="eastAsia" w:ascii="宋体" w:hAnsi="宋体"/>
          <w:sz w:val="24"/>
          <w:szCs w:val="24"/>
        </w:rPr>
      </w:pPr>
      <w:r>
        <w:rPr>
          <w:rFonts w:hint="eastAsia" w:ascii="宋体" w:hAnsi="宋体"/>
          <w:sz w:val="24"/>
          <w:szCs w:val="24"/>
        </w:rPr>
        <w:t xml:space="preserve">（1）投标邀请</w:t>
      </w:r>
      <w:r/>
    </w:p>
    <w:p>
      <w:pPr>
        <w:ind w:firstLine="360"/>
        <w:spacing w:line="440" w:lineRule="exact"/>
        <w:rPr>
          <w:rFonts w:hint="eastAsia" w:ascii="宋体" w:hAnsi="宋体"/>
          <w:sz w:val="24"/>
          <w:szCs w:val="24"/>
        </w:rPr>
      </w:pPr>
      <w:r>
        <w:rPr>
          <w:rFonts w:hint="eastAsia" w:ascii="宋体" w:hAnsi="宋体"/>
          <w:sz w:val="24"/>
          <w:szCs w:val="24"/>
        </w:rPr>
        <w:t xml:space="preserve">（2）投标人须知</w:t>
      </w:r>
      <w:r/>
    </w:p>
    <w:p>
      <w:pPr>
        <w:ind w:firstLine="360"/>
        <w:spacing w:line="440" w:lineRule="exact"/>
        <w:rPr>
          <w:rFonts w:hint="eastAsia" w:ascii="宋体" w:hAnsi="宋体"/>
          <w:sz w:val="24"/>
          <w:szCs w:val="24"/>
        </w:rPr>
      </w:pPr>
      <w:r>
        <w:rPr>
          <w:rFonts w:hint="eastAsia" w:ascii="宋体" w:hAnsi="宋体"/>
          <w:sz w:val="24"/>
          <w:szCs w:val="24"/>
        </w:rPr>
        <w:t xml:space="preserve">（3）合同条款及格式</w:t>
      </w:r>
      <w:r/>
    </w:p>
    <w:p>
      <w:pPr>
        <w:ind w:firstLine="360"/>
        <w:spacing w:line="440" w:lineRule="exact"/>
        <w:rPr>
          <w:rFonts w:hint="eastAsia" w:ascii="宋体" w:hAnsi="宋体"/>
          <w:sz w:val="24"/>
          <w:szCs w:val="24"/>
        </w:rPr>
      </w:pPr>
      <w:r>
        <w:rPr>
          <w:rFonts w:hint="eastAsia" w:ascii="宋体" w:hAnsi="宋体"/>
          <w:sz w:val="24"/>
          <w:szCs w:val="24"/>
        </w:rPr>
        <w:t xml:space="preserve">（4）项目需求</w:t>
      </w:r>
      <w:r/>
    </w:p>
    <w:p>
      <w:pPr>
        <w:ind w:firstLine="360"/>
        <w:spacing w:line="44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4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40" w:lineRule="exact"/>
        <w:rPr>
          <w:rFonts w:hint="eastAsia" w:ascii="宋体" w:hAnsi="宋体"/>
          <w:sz w:val="24"/>
          <w:szCs w:val="24"/>
        </w:rPr>
      </w:pPr>
      <w:r>
        <w:rPr>
          <w:rFonts w:hint="eastAsia" w:ascii="宋体" w:hAnsi="宋体"/>
          <w:sz w:val="24"/>
          <w:szCs w:val="24"/>
        </w:rPr>
        <w:t xml:space="preserve">请仔细检查招标文件是否齐全，如有缺漏请立即与</w:t>
      </w:r>
      <w:bookmarkStart w:id="50" w:name="EBbdde166065d14b62851231a61e89e609"/>
      <w:r>
        <w:rPr>
          <w:rFonts w:hint="eastAsia" w:ascii="宋体" w:hAnsi="宋体"/>
          <w:sz w:val="24"/>
          <w:szCs w:val="24"/>
        </w:rPr>
        <w:t xml:space="preserve">公共资源交易中心</w:t>
      </w:r>
      <w:bookmarkEnd w:id="50"/>
      <w:r>
        <w:rPr>
          <w:rFonts w:hint="eastAsia" w:ascii="宋体" w:hAnsi="宋体"/>
          <w:sz w:val="24"/>
          <w:szCs w:val="24"/>
        </w:rPr>
        <w:t xml:space="preserve">联系解决。</w:t>
      </w:r>
      <w:r/>
    </w:p>
    <w:p>
      <w:pPr>
        <w:ind w:firstLine="480"/>
        <w:spacing w:line="440" w:lineRule="exact"/>
        <w:rPr>
          <w:rFonts w:hint="eastAsia" w:ascii="宋体" w:hAnsi="宋体"/>
          <w:bCs/>
          <w:sz w:val="24"/>
          <w:szCs w:val="24"/>
        </w:rPr>
      </w:pPr>
      <w:r>
        <w:rPr>
          <w:rFonts w:hint="eastAsia" w:ascii="宋体" w:hAnsi="宋体"/>
          <w:bCs/>
          <w:sz w:val="24"/>
          <w:szCs w:val="24"/>
        </w:rPr>
        <w:t xml:space="preserve">6.2</w:t>
      </w:r>
      <w:r>
        <w:rPr>
          <w:rFonts w:hint="eastAsia" w:ascii="宋体" w:hAnsi="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spacing w:line="440" w:lineRule="exact"/>
        <w:rPr>
          <w:rFonts w:hint="eastAsia" w:ascii="宋体" w:hAnsi="宋体"/>
          <w:b/>
          <w:bCs/>
          <w:sz w:val="24"/>
          <w:szCs w:val="24"/>
        </w:rPr>
        <w:outlineLvl w:val="3"/>
      </w:pPr>
      <w:r/>
      <w:bookmarkStart w:id="51" w:name="_Toc462564071"/>
      <w:r/>
      <w:bookmarkStart w:id="52" w:name="_Toc20823284"/>
      <w:r/>
      <w:bookmarkStart w:id="53" w:name="_Toc16938528"/>
      <w:r/>
      <w:bookmarkStart w:id="54" w:name="_Toc513029212"/>
      <w:r>
        <w:rPr>
          <w:rFonts w:hint="eastAsia" w:ascii="宋体" w:hAnsi="宋体"/>
          <w:b/>
          <w:bCs/>
          <w:sz w:val="24"/>
          <w:szCs w:val="24"/>
        </w:rPr>
        <w:t xml:space="preserve">7.招标文件的澄清或修改</w:t>
      </w:r>
      <w:bookmarkEnd w:id="51"/>
      <w:r/>
      <w:bookmarkEnd w:id="52"/>
      <w:r/>
      <w:bookmarkEnd w:id="53"/>
      <w:r/>
      <w:bookmarkEnd w:id="54"/>
      <w:r/>
      <w:r/>
    </w:p>
    <w:p>
      <w:pPr>
        <w:ind w:firstLine="480"/>
        <w:spacing w:line="440" w:lineRule="exact"/>
        <w:rPr>
          <w:rFonts w:hint="eastAsia" w:ascii="宋体" w:hAnsi="宋体"/>
          <w:bCs/>
          <w:sz w:val="24"/>
          <w:szCs w:val="24"/>
        </w:rPr>
      </w:pPr>
      <w:r>
        <w:rPr>
          <w:rFonts w:hint="eastAsia" w:ascii="宋体" w:hAnsi="宋体"/>
          <w:bCs/>
          <w:sz w:val="24"/>
          <w:szCs w:val="24"/>
        </w:rPr>
        <w:t xml:space="preserve">7.1</w:t>
      </w:r>
      <w:r>
        <w:rPr>
          <w:rFonts w:hint="eastAsia" w:ascii="宋体" w:hAnsi="宋体"/>
          <w:sz w:val="24"/>
          <w:szCs w:val="24"/>
        </w:rPr>
        <w:t xml:space="preserve">在投标截止时间前</w:t>
      </w:r>
      <w:bookmarkStart w:id="55" w:name="EBeec936f32a574d52a4992a8b94773f89"/>
      <w:r>
        <w:rPr>
          <w:rFonts w:hint="eastAsia" w:ascii="宋体" w:hAnsi="宋体"/>
          <w:sz w:val="24"/>
          <w:szCs w:val="24"/>
        </w:rPr>
        <w:t xml:space="preserve">，公共资源交易中心</w:t>
      </w:r>
      <w:bookmarkEnd w:id="55"/>
      <w:r>
        <w:rPr>
          <w:rFonts w:hint="eastAsia" w:ascii="宋体" w:hAnsi="宋体"/>
          <w:sz w:val="24"/>
          <w:szCs w:val="24"/>
        </w:rPr>
        <w:t xml:space="preserve">可以对招标文件进行澄清或修改。</w:t>
      </w:r>
      <w:r/>
    </w:p>
    <w:p>
      <w:pPr>
        <w:ind w:firstLine="480"/>
        <w:spacing w:line="440" w:lineRule="exact"/>
        <w:rPr>
          <w:rFonts w:hint="eastAsia" w:ascii="宋体" w:hAnsi="宋体"/>
          <w:bCs/>
          <w:sz w:val="24"/>
          <w:szCs w:val="24"/>
        </w:rPr>
      </w:pPr>
      <w:r>
        <w:rPr>
          <w:rFonts w:hint="eastAsia" w:ascii="宋体" w:hAnsi="宋体"/>
          <w:bCs/>
          <w:sz w:val="24"/>
          <w:szCs w:val="24"/>
        </w:rPr>
        <w:t xml:space="preserve">7.2</w:t>
      </w:r>
      <w:bookmarkStart w:id="56" w:name="EB14f04c7329d342c2b5d53bfcbbeaa167"/>
      <w:r>
        <w:rPr>
          <w:rFonts w:hint="eastAsia" w:ascii="宋体" w:hAnsi="宋体"/>
          <w:bCs/>
          <w:sz w:val="24"/>
          <w:szCs w:val="24"/>
        </w:rPr>
        <w:t xml:space="preserve">公共资源交易中心</w:t>
      </w:r>
      <w:bookmarkEnd w:id="56"/>
      <w:r>
        <w:rPr>
          <w:rFonts w:hint="eastAsia" w:ascii="宋体" w:hAnsi="宋体"/>
          <w:sz w:val="24"/>
          <w:szCs w:val="24"/>
        </w:rPr>
        <w:t xml:space="preserve">有权按照法定的要求推迟投标截止日期和开标日期。</w:t>
      </w:r>
      <w:r/>
    </w:p>
    <w:p>
      <w:pPr>
        <w:ind w:firstLine="480"/>
        <w:spacing w:line="440" w:lineRule="exact"/>
        <w:rPr>
          <w:rFonts w:hint="eastAsia" w:ascii="宋体" w:hAnsi="宋体"/>
          <w:bCs/>
          <w:sz w:val="24"/>
          <w:szCs w:val="24"/>
        </w:rPr>
      </w:pPr>
      <w:r>
        <w:rPr>
          <w:rFonts w:hint="eastAsia" w:ascii="宋体" w:hAnsi="宋体"/>
          <w:bCs/>
          <w:sz w:val="24"/>
          <w:szCs w:val="24"/>
        </w:rPr>
        <w:t xml:space="preserve">7.3</w:t>
      </w:r>
      <w:r>
        <w:rPr>
          <w:rFonts w:hint="eastAsia" w:ascii="宋体" w:hAnsi="宋体"/>
          <w:sz w:val="24"/>
          <w:szCs w:val="24"/>
        </w:rPr>
        <w:t xml:space="preserve">招标文件的实质性变动或修改将在政府采购公告媒体网通知，投标人可自行下载。补充文件将作为招标文件的组成部分，并对投标人具有约束力。</w:t>
      </w:r>
      <w:r/>
    </w:p>
    <w:p>
      <w:pPr>
        <w:pStyle w:val="1014"/>
        <w:ind w:firstLine="480"/>
        <w:jc w:val="left"/>
        <w:spacing w:before="0" w:after="0" w:line="440" w:lineRule="exact"/>
        <w:rPr>
          <w:rStyle w:val="1015"/>
          <w:rFonts w:hint="eastAsia" w:ascii="宋体" w:hAnsi="宋体"/>
          <w:b w:val="0"/>
          <w:bCs w:val="0"/>
          <w:sz w:val="24"/>
          <w:szCs w:val="24"/>
        </w:rPr>
      </w:pPr>
      <w:r/>
      <w:bookmarkStart w:id="57" w:name="_Toc38368122"/>
      <w:r/>
      <w:bookmarkStart w:id="58" w:name="_Toc462564072"/>
      <w:r/>
      <w:bookmarkStart w:id="59" w:name="_Toc54615241"/>
      <w:r/>
      <w:bookmarkStart w:id="60" w:name="_Toc12827"/>
      <w:r/>
      <w:bookmarkStart w:id="61" w:name="_Toc16938529"/>
      <w:r/>
      <w:bookmarkStart w:id="62" w:name="_Toc20823285"/>
      <w:r/>
      <w:bookmarkStart w:id="63" w:name="_Toc35266022"/>
      <w:r/>
      <w:bookmarkStart w:id="64" w:name="_Toc120614216"/>
      <w:r/>
      <w:bookmarkStart w:id="65" w:name="_Toc513029213"/>
      <w:r>
        <w:rPr>
          <w:rStyle w:val="1015"/>
          <w:rFonts w:hint="eastAsia" w:ascii="宋体" w:hAnsi="宋体"/>
          <w:b w:val="0"/>
          <w:bCs w:val="0"/>
          <w:sz w:val="24"/>
          <w:szCs w:val="24"/>
        </w:rPr>
        <w:t xml:space="preserve">三、投标文件的编制</w:t>
      </w:r>
      <w:bookmarkEnd w:id="57"/>
      <w:r/>
      <w:bookmarkEnd w:id="58"/>
      <w:r/>
      <w:bookmarkEnd w:id="59"/>
      <w:r/>
      <w:bookmarkEnd w:id="60"/>
      <w:r/>
      <w:bookmarkEnd w:id="61"/>
      <w:r/>
      <w:bookmarkEnd w:id="62"/>
      <w:r/>
      <w:bookmarkEnd w:id="63"/>
      <w:r/>
      <w:bookmarkEnd w:id="64"/>
      <w:r/>
      <w:bookmarkEnd w:id="65"/>
      <w:r/>
      <w:r/>
    </w:p>
    <w:p>
      <w:pPr>
        <w:ind w:firstLine="482"/>
        <w:keepLines/>
        <w:keepNext/>
        <w:spacing w:line="440" w:lineRule="exact"/>
        <w:rPr>
          <w:rFonts w:hint="eastAsia" w:ascii="宋体" w:hAnsi="宋体"/>
          <w:b/>
          <w:bCs/>
          <w:sz w:val="24"/>
          <w:szCs w:val="24"/>
        </w:rPr>
        <w:outlineLvl w:val="3"/>
      </w:pPr>
      <w:r/>
      <w:bookmarkStart w:id="66" w:name="_Toc462564073"/>
      <w:r/>
      <w:bookmarkStart w:id="67" w:name="_Toc513029214"/>
      <w:r/>
      <w:bookmarkStart w:id="68" w:name="_Toc20823286"/>
      <w:r/>
      <w:bookmarkStart w:id="69" w:name="_Toc16938530"/>
      <w:r>
        <w:rPr>
          <w:rFonts w:hint="eastAsia" w:ascii="宋体" w:hAnsi="宋体"/>
          <w:b/>
          <w:bCs/>
          <w:sz w:val="24"/>
          <w:szCs w:val="24"/>
        </w:rPr>
        <w:t xml:space="preserve">8.投标文件的语言及度量衡单位</w:t>
      </w:r>
      <w:bookmarkEnd w:id="66"/>
      <w:r/>
      <w:bookmarkEnd w:id="67"/>
      <w:r/>
      <w:bookmarkEnd w:id="68"/>
      <w:r/>
      <w:bookmarkEnd w:id="69"/>
      <w:r/>
      <w:r/>
    </w:p>
    <w:p>
      <w:pPr>
        <w:ind w:firstLine="480"/>
        <w:spacing w:line="440" w:lineRule="exact"/>
        <w:rPr>
          <w:rFonts w:hint="eastAsia" w:ascii="宋体" w:hAnsi="宋体"/>
          <w:bCs/>
          <w:sz w:val="24"/>
          <w:szCs w:val="24"/>
        </w:rPr>
      </w:pPr>
      <w:r>
        <w:rPr>
          <w:rFonts w:hint="eastAsia" w:ascii="宋体" w:hAnsi="宋体"/>
          <w:bCs/>
          <w:sz w:val="24"/>
          <w:szCs w:val="24"/>
        </w:rPr>
        <w:t xml:space="preserve">8.1</w:t>
      </w:r>
      <w:r>
        <w:rPr>
          <w:rFonts w:hint="eastAsia" w:ascii="宋体" w:hAnsi="宋体"/>
          <w:sz w:val="24"/>
          <w:szCs w:val="24"/>
        </w:rPr>
        <w:t xml:space="preserve"> 投标人提交的投标文件以及投标人与</w:t>
      </w:r>
      <w:bookmarkStart w:id="70" w:name="EB93850d2cac274df984aa2f93878c3cfe"/>
      <w:r>
        <w:rPr>
          <w:rFonts w:hint="eastAsia" w:ascii="宋体" w:hAnsi="宋体"/>
          <w:sz w:val="24"/>
          <w:szCs w:val="24"/>
        </w:rPr>
        <w:t xml:space="preserve">公共资源交易中心</w:t>
      </w:r>
      <w:bookmarkEnd w:id="70"/>
      <w:r>
        <w:rPr>
          <w:rFonts w:hint="eastAsia" w:ascii="宋体" w:hAnsi="宋体"/>
          <w:sz w:val="24"/>
          <w:szCs w:val="24"/>
        </w:rPr>
        <w:t xml:space="preserve">就有关投标的所有来往通知、函件和文件均应使用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0"/>
        <w:spacing w:line="440" w:lineRule="exact"/>
        <w:rPr>
          <w:rFonts w:hint="eastAsia" w:ascii="宋体" w:hAnsi="宋体"/>
          <w:bCs/>
          <w:sz w:val="24"/>
          <w:szCs w:val="24"/>
        </w:rPr>
      </w:pPr>
      <w:r>
        <w:rPr>
          <w:rFonts w:hint="eastAsia" w:ascii="宋体" w:hAnsi="宋体"/>
          <w:bCs/>
          <w:sz w:val="24"/>
          <w:szCs w:val="24"/>
        </w:rPr>
        <w:t xml:space="preserve">8.2</w:t>
      </w:r>
      <w:r>
        <w:rPr>
          <w:rFonts w:hint="eastAsia" w:ascii="宋体" w:hAnsi="宋体"/>
          <w:sz w:val="24"/>
          <w:szCs w:val="24"/>
        </w:rPr>
        <w:t xml:space="preserve"> 除技术性能另有规定外，投标文件所使用的度量衡单位，均须采用国家法定计量单位。</w:t>
      </w:r>
      <w:r/>
    </w:p>
    <w:p>
      <w:pPr>
        <w:ind w:firstLine="482"/>
        <w:keepLines/>
        <w:keepNext/>
        <w:spacing w:line="440" w:lineRule="exact"/>
        <w:rPr>
          <w:rFonts w:hint="eastAsia" w:ascii="宋体" w:hAnsi="宋体"/>
          <w:b/>
          <w:bCs/>
          <w:sz w:val="24"/>
          <w:szCs w:val="24"/>
        </w:rPr>
        <w:outlineLvl w:val="3"/>
      </w:pPr>
      <w:r/>
      <w:bookmarkStart w:id="71" w:name="_Toc462564074"/>
      <w:r/>
      <w:bookmarkStart w:id="72" w:name="_Toc513029215"/>
      <w:r/>
      <w:bookmarkStart w:id="73" w:name="_Toc16938531"/>
      <w:r/>
      <w:bookmarkStart w:id="74" w:name="_Toc20823287"/>
      <w:r>
        <w:rPr>
          <w:rFonts w:hint="eastAsia" w:ascii="宋体" w:hAnsi="宋体"/>
          <w:b/>
          <w:bCs/>
          <w:sz w:val="24"/>
          <w:szCs w:val="24"/>
        </w:rPr>
        <w:t xml:space="preserve">9.投标文件构成</w:t>
      </w:r>
      <w:bookmarkEnd w:id="71"/>
      <w:r/>
      <w:bookmarkEnd w:id="72"/>
      <w:r/>
      <w:bookmarkEnd w:id="73"/>
      <w:r/>
      <w:bookmarkEnd w:id="74"/>
      <w:r/>
      <w:r/>
    </w:p>
    <w:p>
      <w:pPr>
        <w:ind w:firstLine="480"/>
        <w:spacing w:line="440" w:lineRule="exact"/>
        <w:rPr>
          <w:rFonts w:hint="eastAsia" w:ascii="宋体" w:hAnsi="宋体"/>
          <w:bCs/>
          <w:sz w:val="24"/>
          <w:szCs w:val="24"/>
        </w:rPr>
      </w:pPr>
      <w:r>
        <w:rPr>
          <w:rFonts w:hint="eastAsia" w:ascii="宋体" w:hAnsi="宋体"/>
          <w:bCs/>
          <w:sz w:val="24"/>
          <w:szCs w:val="24"/>
        </w:rPr>
        <w:t xml:space="preserve">9.1</w:t>
      </w:r>
      <w:r>
        <w:rPr>
          <w:rFonts w:hint="eastAsia" w:ascii="宋体" w:hAnsi="宋体"/>
          <w:sz w:val="24"/>
          <w:szCs w:val="24"/>
        </w:rPr>
        <w:t xml:space="preserve"> 投标人编写的投标文件应包括投标函、开标一览表、资格证明文件、技术人员介绍、第四章项目需求中实质性要求响应对照表、技术及服务方案、投标人情况介绍等部分。</w:t>
      </w:r>
      <w:r/>
    </w:p>
    <w:p>
      <w:pPr>
        <w:ind w:firstLine="480"/>
        <w:spacing w:line="440" w:lineRule="exact"/>
        <w:rPr>
          <w:rFonts w:hint="eastAsia" w:ascii="宋体" w:hAnsi="宋体"/>
          <w:sz w:val="24"/>
          <w:szCs w:val="24"/>
        </w:rPr>
      </w:pPr>
      <w:r>
        <w:rPr>
          <w:rFonts w:hint="eastAsia" w:ascii="宋体" w:hAnsi="宋体"/>
          <w:sz w:val="24"/>
          <w:szCs w:val="24"/>
        </w:rPr>
        <w:t xml:space="preserve">9.2</w:t>
      </w:r>
      <w:r>
        <w:rPr>
          <w:rFonts w:hint="eastAsia" w:ascii="宋体" w:hAnsi="宋体"/>
          <w:b/>
          <w:bCs/>
          <w:sz w:val="24"/>
          <w:szCs w:val="24"/>
        </w:rPr>
        <w:t xml:space="preserve"> </w:t>
      </w:r>
      <w:r>
        <w:rPr>
          <w:rFonts w:hint="eastAsia" w:ascii="宋体" w:hAnsi="宋体"/>
          <w:sz w:val="24"/>
          <w:szCs w:val="24"/>
        </w:rPr>
        <w:t xml:space="preserve">特别提醒：投标人必须在投标文件接收截止时间之前在系统中提交所有与开评标相关的资料。开评标现场不接收任何资料。</w:t>
      </w:r>
      <w:r/>
    </w:p>
    <w:p>
      <w:pPr>
        <w:ind w:firstLine="482"/>
        <w:keepLines/>
        <w:keepNext/>
        <w:spacing w:line="440" w:lineRule="exact"/>
        <w:rPr>
          <w:rFonts w:hint="eastAsia" w:ascii="宋体" w:hAnsi="宋体"/>
          <w:b/>
          <w:bCs/>
          <w:sz w:val="24"/>
          <w:szCs w:val="24"/>
        </w:rPr>
        <w:outlineLvl w:val="3"/>
      </w:pPr>
      <w:r/>
      <w:bookmarkStart w:id="75" w:name="_Hlt26668975"/>
      <w:r/>
      <w:bookmarkEnd w:id="75"/>
      <w:r/>
      <w:bookmarkStart w:id="76" w:name="_Hlt26954838"/>
      <w:r/>
      <w:bookmarkEnd w:id="76"/>
      <w:r/>
      <w:bookmarkStart w:id="77" w:name="_Hlt26670360"/>
      <w:r/>
      <w:bookmarkEnd w:id="77"/>
      <w:r>
        <w:rPr>
          <w:rFonts w:hint="eastAsia" w:ascii="宋体" w:hAnsi="宋体"/>
          <w:b/>
          <w:bCs/>
          <w:sz w:val="24"/>
          <w:szCs w:val="24"/>
        </w:rPr>
        <w:t xml:space="preserve">10.投标函和开标一览表</w:t>
      </w:r>
      <w:r/>
    </w:p>
    <w:p>
      <w:pPr>
        <w:ind w:firstLine="480"/>
        <w:spacing w:line="440" w:lineRule="exact"/>
        <w:rPr>
          <w:rFonts w:hint="eastAsia" w:ascii="宋体" w:hAnsi="宋体"/>
          <w:bCs/>
          <w:sz w:val="24"/>
          <w:szCs w:val="24"/>
        </w:rPr>
      </w:pPr>
      <w:r>
        <w:rPr>
          <w:rFonts w:hint="eastAsia" w:ascii="宋体" w:hAnsi="宋体"/>
          <w:bCs/>
          <w:sz w:val="24"/>
          <w:szCs w:val="24"/>
        </w:rPr>
        <w:t xml:space="preserve">10.1</w:t>
      </w:r>
      <w:r>
        <w:rPr>
          <w:rFonts w:hint="eastAsia" w:ascii="宋体" w:hAnsi="宋体"/>
          <w:sz w:val="24"/>
          <w:szCs w:val="24"/>
        </w:rPr>
        <w:t xml:space="preserve">投标人应按照招标文件中提供的格式完整、正确填写投标函、开标一览表。</w:t>
      </w:r>
      <w:r/>
    </w:p>
    <w:p>
      <w:pPr>
        <w:ind w:firstLine="480"/>
        <w:spacing w:line="440" w:lineRule="exact"/>
        <w:rPr>
          <w:rFonts w:hint="eastAsia" w:ascii="宋体" w:hAnsi="宋体"/>
          <w:bCs/>
          <w:sz w:val="24"/>
          <w:szCs w:val="24"/>
        </w:rPr>
      </w:pPr>
      <w:r>
        <w:rPr>
          <w:rFonts w:hint="eastAsia" w:ascii="宋体" w:hAnsi="宋体"/>
          <w:bCs/>
          <w:sz w:val="24"/>
          <w:szCs w:val="24"/>
        </w:rPr>
        <w:t xml:space="preserve">10.2开标一览表中的价格应与投标文件中投标配置与分项报价表（或经费测算表）中的价格一致，若出现价格不一致的情况，评标时一律按开标一览表中价格为准</w:t>
      </w:r>
      <w:r>
        <w:rPr>
          <w:rFonts w:hint="eastAsia" w:ascii="宋体" w:hAnsi="宋体"/>
          <w:b/>
          <w:bCs/>
          <w:sz w:val="24"/>
          <w:szCs w:val="24"/>
        </w:rPr>
        <w:t xml:space="preserve">。</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11.投标人资格证明文件</w:t>
      </w:r>
      <w:r/>
    </w:p>
    <w:p>
      <w:pPr>
        <w:ind w:firstLine="480"/>
        <w:spacing w:line="440" w:lineRule="exact"/>
        <w:rPr>
          <w:rFonts w:hint="eastAsia" w:ascii="宋体" w:hAnsi="宋体"/>
          <w:sz w:val="24"/>
          <w:szCs w:val="24"/>
        </w:rPr>
      </w:pPr>
      <w:r>
        <w:rPr>
          <w:rFonts w:hint="eastAsia" w:ascii="宋体" w:hAnsi="宋体"/>
          <w:sz w:val="24"/>
          <w:szCs w:val="24"/>
        </w:rPr>
        <w:t xml:space="preserve">11.1</w:t>
      </w:r>
      <w:bookmarkStart w:id="78" w:name="_Hlt26668999"/>
      <w:r/>
      <w:bookmarkEnd w:id="78"/>
      <w:r>
        <w:rPr>
          <w:rFonts w:hint="eastAsia" w:ascii="宋体" w:hAnsi="宋体"/>
          <w:sz w:val="24"/>
          <w:szCs w:val="24"/>
        </w:rPr>
        <w:t xml:space="preserve">投标人应按招标文件的要求提交资格证明文件。</w:t>
      </w:r>
      <w:r/>
    </w:p>
    <w:p>
      <w:pPr>
        <w:ind w:firstLine="482"/>
        <w:keepLines/>
        <w:keepNext/>
        <w:spacing w:line="440" w:lineRule="exact"/>
        <w:rPr>
          <w:rFonts w:hint="eastAsia" w:ascii="宋体" w:hAnsi="宋体"/>
          <w:b/>
          <w:bCs/>
          <w:sz w:val="24"/>
          <w:szCs w:val="24"/>
        </w:rPr>
        <w:outlineLvl w:val="3"/>
      </w:pPr>
      <w:r/>
      <w:bookmarkStart w:id="79" w:name="_Toc49090508"/>
      <w:r/>
      <w:bookmarkStart w:id="80" w:name="_Toc14577355"/>
      <w:r>
        <w:rPr>
          <w:rFonts w:hint="eastAsia" w:ascii="宋体" w:hAnsi="宋体"/>
          <w:b/>
          <w:bCs/>
          <w:sz w:val="24"/>
          <w:szCs w:val="24"/>
        </w:rPr>
        <w:t xml:space="preserve">12.投标配置与分项报价</w:t>
      </w:r>
      <w:bookmarkStart w:id="81" w:name="_Hlt26670373"/>
      <w:r/>
      <w:bookmarkEnd w:id="81"/>
      <w:r>
        <w:rPr>
          <w:rFonts w:hint="eastAsia" w:ascii="宋体" w:hAnsi="宋体"/>
          <w:b/>
          <w:bCs/>
          <w:sz w:val="24"/>
          <w:szCs w:val="24"/>
        </w:rPr>
        <w:t xml:space="preserve">表</w:t>
      </w:r>
      <w:bookmarkEnd w:id="79"/>
      <w:r/>
      <w:bookmarkEnd w:id="80"/>
      <w:r>
        <w:rPr>
          <w:rFonts w:hint="eastAsia" w:ascii="宋体" w:hAnsi="宋体"/>
          <w:b/>
          <w:bCs/>
          <w:sz w:val="24"/>
          <w:szCs w:val="24"/>
        </w:rPr>
        <w:t xml:space="preserve">（或经费测算表）</w:t>
      </w:r>
      <w:r/>
    </w:p>
    <w:p>
      <w:pPr>
        <w:ind w:firstLine="480"/>
        <w:spacing w:line="440" w:lineRule="exact"/>
        <w:rPr>
          <w:rFonts w:hint="eastAsia" w:ascii="宋体" w:hAnsi="宋体"/>
          <w:bCs/>
          <w:sz w:val="24"/>
          <w:szCs w:val="24"/>
        </w:rPr>
      </w:pPr>
      <w:r>
        <w:rPr>
          <w:rFonts w:hint="eastAsia" w:ascii="宋体" w:hAnsi="宋体"/>
          <w:bCs/>
          <w:sz w:val="24"/>
          <w:szCs w:val="24"/>
        </w:rPr>
        <w:t xml:space="preserve">12.1</w:t>
      </w:r>
      <w:r>
        <w:rPr>
          <w:rFonts w:hint="eastAsia" w:ascii="宋体" w:hAnsi="宋体"/>
          <w:b/>
          <w:sz w:val="24"/>
          <w:szCs w:val="24"/>
        </w:rPr>
        <w:t xml:space="preserve">投标人应按照招标文件规定格式填报。每项货物和服务等只允许有一个报价。</w:t>
      </w:r>
      <w:r/>
    </w:p>
    <w:p>
      <w:pPr>
        <w:ind w:firstLine="480"/>
        <w:spacing w:line="440" w:lineRule="exact"/>
        <w:rPr>
          <w:rFonts w:hint="eastAsia" w:ascii="宋体" w:hAnsi="宋体"/>
          <w:sz w:val="24"/>
          <w:szCs w:val="24"/>
        </w:rPr>
      </w:pPr>
      <w:r>
        <w:rPr>
          <w:rFonts w:hint="eastAsia" w:ascii="宋体" w:hAnsi="宋体"/>
          <w:sz w:val="24"/>
          <w:szCs w:val="24"/>
        </w:rPr>
        <w:t xml:space="preserve">12.2 标的物</w:t>
      </w:r>
      <w:r/>
    </w:p>
    <w:p>
      <w:pPr>
        <w:ind w:firstLine="480"/>
        <w:spacing w:line="440" w:lineRule="exact"/>
        <w:rPr>
          <w:rFonts w:hint="eastAsia" w:ascii="宋体" w:hAnsi="宋体"/>
          <w:sz w:val="24"/>
          <w:szCs w:val="24"/>
        </w:rPr>
      </w:pPr>
      <w:r>
        <w:rPr>
          <w:rFonts w:hint="eastAsia" w:ascii="宋体" w:hAnsi="宋体"/>
          <w:sz w:val="24"/>
          <w:szCs w:val="24"/>
        </w:rPr>
        <w:t xml:space="preserve">12.2.1采购人需求的有关货物等。</w:t>
      </w:r>
      <w:r/>
    </w:p>
    <w:p>
      <w:pPr>
        <w:ind w:firstLine="480"/>
        <w:spacing w:line="440" w:lineRule="exact"/>
        <w:rPr>
          <w:rFonts w:hint="eastAsia" w:ascii="宋体" w:hAnsi="宋体"/>
          <w:bCs/>
          <w:sz w:val="24"/>
          <w:szCs w:val="24"/>
        </w:rPr>
      </w:pPr>
      <w:r>
        <w:rPr>
          <w:rFonts w:hint="eastAsia" w:ascii="宋体" w:hAnsi="宋体"/>
          <w:bCs/>
          <w:sz w:val="24"/>
          <w:szCs w:val="24"/>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hint="eastAsia" w:ascii="宋体" w:hAnsi="宋体"/>
          <w:sz w:val="24"/>
          <w:szCs w:val="24"/>
        </w:rPr>
      </w:pPr>
      <w:r>
        <w:rPr>
          <w:rFonts w:hint="eastAsia" w:ascii="宋体" w:hAnsi="宋体"/>
          <w:sz w:val="24"/>
          <w:szCs w:val="24"/>
        </w:rPr>
        <w:t xml:space="preserve">12.3投标货币</w:t>
      </w:r>
      <w:r/>
    </w:p>
    <w:p>
      <w:pPr>
        <w:ind w:firstLine="480"/>
        <w:spacing w:line="440" w:lineRule="exact"/>
        <w:rPr>
          <w:rFonts w:hint="eastAsia" w:ascii="宋体" w:hAnsi="宋体"/>
          <w:sz w:val="24"/>
          <w:szCs w:val="24"/>
        </w:rPr>
      </w:pPr>
      <w:r>
        <w:rPr>
          <w:rFonts w:hint="eastAsia" w:ascii="宋体" w:hAnsi="宋体"/>
          <w:sz w:val="24"/>
          <w:szCs w:val="24"/>
        </w:rPr>
        <w:t xml:space="preserve">投标文件中的货物单价和总价无特殊规定的采用人民币报价，以元为</w:t>
      </w:r>
      <w:r>
        <w:rPr>
          <w:rFonts w:hint="eastAsia" w:ascii="宋体" w:hAnsi="宋体"/>
          <w:bCs/>
          <w:sz w:val="24"/>
          <w:szCs w:val="24"/>
        </w:rPr>
        <w:t xml:space="preserve">单位标注。招标文件中另有规定的按规定执行。</w:t>
      </w:r>
      <w:r/>
    </w:p>
    <w:p>
      <w:pPr>
        <w:ind w:firstLine="472"/>
        <w:spacing w:before="120" w:after="120"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12.4项目总价应包括但不限于</w:t>
      </w:r>
      <w:r>
        <w:rPr>
          <w:rFonts w:hint="eastAsia" w:ascii="宋体" w:hAnsi="宋体"/>
          <w:sz w:val="24"/>
          <w:szCs w:val="24"/>
        </w:rPr>
        <w:t xml:space="preserve">货物、配件、附件、备品备件、专用工具、耗品、辅材、包装、运输、装卸、安装、调试、检测、验收、人员培训、售后服务、保修、政策性文件规定及合同包含的所有风险责任的各项费用、技术指导、利润、税金等全部费用。 </w:t>
      </w:r>
      <w:bookmarkStart w:id="82" w:name="EB8486dd9157984dc9aa62437fb6aa6f0f"/>
      <w:r/>
      <w:bookmarkEnd w:id="82"/>
      <w:r/>
      <w:r/>
    </w:p>
    <w:p>
      <w:pPr>
        <w:ind w:firstLine="480"/>
        <w:spacing w:line="440" w:lineRule="exact"/>
        <w:rPr>
          <w:rFonts w:hint="eastAsia" w:ascii="宋体" w:hAnsi="宋体"/>
          <w:bCs/>
          <w:sz w:val="24"/>
          <w:szCs w:val="24"/>
        </w:rPr>
      </w:pPr>
      <w:r>
        <w:rPr>
          <w:rFonts w:hint="eastAsia" w:ascii="宋体" w:hAnsi="宋体"/>
          <w:bCs/>
          <w:sz w:val="24"/>
          <w:szCs w:val="24"/>
        </w:rPr>
        <w:t xml:space="preserve">12.5本报价必须充分考虑所有可能影响到报价的价格因素，一旦投标结束最终成交，如发生漏、缺、少项，都将被认为是中标人的报价让利行为。</w:t>
      </w:r>
      <w:bookmarkStart w:id="83" w:name="_Hlt26954731"/>
      <w:r/>
      <w:bookmarkEnd w:id="83"/>
      <w:r/>
      <w:bookmarkStart w:id="84" w:name="_Hlt26954848"/>
      <w:r/>
      <w:bookmarkEnd w:id="84"/>
      <w:r/>
      <w:bookmarkStart w:id="85" w:name="_Hlt26954846"/>
      <w:r/>
      <w:bookmarkEnd w:id="85"/>
      <w:r/>
      <w:bookmarkStart w:id="86" w:name="_Hlt26670486"/>
      <w:r/>
      <w:bookmarkEnd w:id="86"/>
      <w:r/>
      <w:bookmarkStart w:id="87" w:name="_Hlt26670482"/>
      <w:r/>
      <w:bookmarkEnd w:id="87"/>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13.技术及服务方案</w:t>
      </w:r>
      <w:r/>
    </w:p>
    <w:p>
      <w:pPr>
        <w:pStyle w:val="1016"/>
        <w:ind w:firstLine="480"/>
        <w:spacing w:line="440" w:lineRule="exact"/>
        <w:rPr>
          <w:rFonts w:hint="eastAsia" w:ascii="宋体" w:hAnsi="宋体"/>
          <w:sz w:val="24"/>
          <w:szCs w:val="24"/>
        </w:rPr>
      </w:pPr>
      <w:r>
        <w:rPr>
          <w:rFonts w:hint="eastAsia" w:ascii="宋体" w:hAnsi="宋体"/>
          <w:sz w:val="24"/>
          <w:szCs w:val="24"/>
        </w:rPr>
        <w:t xml:space="preserve">13.1根据自己对需求的理解撰写需求分析和服务方案。</w:t>
      </w:r>
      <w:r/>
    </w:p>
    <w:p>
      <w:pPr>
        <w:pStyle w:val="1016"/>
        <w:ind w:firstLine="480"/>
        <w:spacing w:line="440" w:lineRule="exact"/>
        <w:rPr>
          <w:rFonts w:hint="eastAsia" w:ascii="宋体" w:hAnsi="宋体"/>
          <w:sz w:val="24"/>
          <w:szCs w:val="24"/>
        </w:rPr>
      </w:pPr>
      <w:r>
        <w:rPr>
          <w:rFonts w:hint="eastAsia" w:ascii="宋体" w:hAnsi="宋体"/>
          <w:sz w:val="24"/>
          <w:szCs w:val="24"/>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14.投标人情况介绍</w:t>
      </w:r>
      <w:r/>
    </w:p>
    <w:p>
      <w:pPr>
        <w:ind w:firstLine="508"/>
        <w:keepLines/>
        <w:keepNext/>
        <w:spacing w:line="440" w:lineRule="exact"/>
        <w:rPr>
          <w:rStyle w:val="1006"/>
          <w:rFonts w:hint="eastAsia" w:ascii="宋体" w:hAnsi="宋体"/>
          <w:spacing w:val="7"/>
          <w:sz w:val="24"/>
          <w:szCs w:val="24"/>
        </w:rPr>
        <w:outlineLvl w:val="3"/>
      </w:pPr>
      <w:r>
        <w:rPr>
          <w:rStyle w:val="1006"/>
          <w:rFonts w:hint="eastAsia" w:ascii="宋体" w:hAnsi="宋体"/>
          <w:spacing w:val="7"/>
          <w:sz w:val="24"/>
          <w:szCs w:val="24"/>
        </w:rPr>
        <w:t xml:space="preserve">14.1 投标人的总体情况应在电子投标文件中作出说明。</w:t>
      </w:r>
      <w:bookmarkStart w:id="88" w:name="EBf6e5e332cb7245ab8f3a9801503c122b"/>
      <w:r/>
      <w:bookmarkEnd w:id="88"/>
      <w:r/>
      <w:bookmarkStart w:id="89" w:name="_Hlt26954850"/>
      <w:r/>
      <w:bookmarkEnd w:id="89"/>
      <w:r/>
      <w:bookmarkStart w:id="90" w:name="_Hlt26954734"/>
      <w:r/>
      <w:bookmarkEnd w:id="90"/>
      <w:r/>
      <w:bookmarkStart w:id="91" w:name="_Hlt26670489"/>
      <w:r/>
      <w:bookmarkEnd w:id="91"/>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15.投标保证金</w:t>
      </w:r>
      <w:r/>
    </w:p>
    <w:p>
      <w:pPr>
        <w:pStyle w:val="1016"/>
        <w:ind w:firstLine="480"/>
        <w:spacing w:line="440" w:lineRule="exact"/>
        <w:rPr>
          <w:rFonts w:hint="eastAsia" w:ascii="宋体" w:hAnsi="宋体"/>
          <w:sz w:val="24"/>
          <w:szCs w:val="24"/>
        </w:rPr>
      </w:pPr>
      <w:r>
        <w:rPr>
          <w:rFonts w:hint="eastAsia" w:ascii="宋体" w:hAnsi="宋体"/>
          <w:sz w:val="24"/>
          <w:szCs w:val="24"/>
        </w:rPr>
        <w:t xml:space="preserve">15.1本次招标不收取投标保证金。</w:t>
      </w:r>
      <w:r/>
    </w:p>
    <w:p>
      <w:pPr>
        <w:pStyle w:val="1016"/>
        <w:ind w:firstLine="482"/>
        <w:spacing w:line="440" w:lineRule="exact"/>
        <w:rPr>
          <w:rFonts w:hint="eastAsia" w:ascii="宋体" w:hAnsi="宋体"/>
          <w:b/>
          <w:bCs/>
          <w:sz w:val="24"/>
          <w:szCs w:val="24"/>
        </w:rPr>
      </w:pPr>
      <w:r>
        <w:rPr>
          <w:rFonts w:hint="eastAsia" w:ascii="宋体" w:hAnsi="宋体"/>
          <w:b/>
          <w:bCs/>
          <w:sz w:val="24"/>
          <w:szCs w:val="24"/>
        </w:rPr>
        <w:t xml:space="preserve">16.投标有效期</w:t>
      </w:r>
      <w:r/>
    </w:p>
    <w:p>
      <w:pPr>
        <w:ind w:firstLine="480"/>
        <w:spacing w:line="440" w:lineRule="exact"/>
        <w:rPr>
          <w:rFonts w:hint="eastAsia" w:ascii="宋体" w:hAnsi="宋体"/>
          <w:sz w:val="24"/>
          <w:szCs w:val="24"/>
        </w:rPr>
      </w:pPr>
      <w:r>
        <w:rPr>
          <w:rFonts w:hint="eastAsia" w:ascii="宋体" w:hAnsi="宋体"/>
          <w:sz w:val="24"/>
          <w:szCs w:val="24"/>
        </w:rPr>
        <w:t xml:space="preserve">16.1</w:t>
      </w:r>
      <w:r>
        <w:rPr>
          <w:rFonts w:hint="eastAsia" w:ascii="宋体" w:hAnsi="宋体"/>
          <w:bCs/>
          <w:sz w:val="24"/>
          <w:szCs w:val="24"/>
        </w:rPr>
        <w:t xml:space="preserve">投标有效期为</w:t>
      </w:r>
      <w:bookmarkStart w:id="92" w:name="EB42bffacbc3774d8f9be92be41fabfc13"/>
      <w:r>
        <w:rPr>
          <w:rFonts w:hint="eastAsia" w:ascii="宋体" w:hAnsi="宋体"/>
          <w:bCs/>
          <w:sz w:val="24"/>
          <w:szCs w:val="24"/>
        </w:rPr>
        <w:t xml:space="preserve">公共资源交易中心</w:t>
      </w:r>
      <w:bookmarkEnd w:id="92"/>
      <w:r>
        <w:rPr>
          <w:rFonts w:hint="eastAsia" w:ascii="宋体" w:hAnsi="宋体"/>
          <w:bCs/>
          <w:sz w:val="24"/>
          <w:szCs w:val="24"/>
        </w:rPr>
        <w:t xml:space="preserve">规定的开标之日后</w:t>
      </w:r>
      <w:r>
        <w:rPr>
          <w:rFonts w:hint="eastAsia" w:ascii="宋体" w:hAnsi="宋体"/>
          <w:b/>
          <w:bCs/>
          <w:sz w:val="24"/>
          <w:szCs w:val="24"/>
        </w:rPr>
        <w:t xml:space="preserve">九十（90）天</w:t>
      </w:r>
      <w:r>
        <w:rPr>
          <w:rFonts w:hint="eastAsia" w:ascii="宋体" w:hAnsi="宋体"/>
          <w:bCs/>
          <w:sz w:val="24"/>
          <w:szCs w:val="24"/>
        </w:rPr>
        <w:t xml:space="preserve">。投标有效期比规定短的将被视为非响应性投标而予以拒绝。</w:t>
      </w:r>
      <w:r/>
    </w:p>
    <w:p>
      <w:pPr>
        <w:ind w:firstLine="480"/>
        <w:spacing w:line="440" w:lineRule="exact"/>
        <w:rPr>
          <w:rFonts w:hint="eastAsia" w:ascii="宋体" w:hAnsi="宋体"/>
          <w:sz w:val="24"/>
          <w:szCs w:val="24"/>
        </w:rPr>
      </w:pPr>
      <w:r>
        <w:rPr>
          <w:rFonts w:hint="eastAsia" w:ascii="宋体" w:hAnsi="宋体"/>
          <w:sz w:val="24"/>
          <w:szCs w:val="24"/>
        </w:rPr>
        <w:t xml:space="preserve">16.2</w:t>
      </w:r>
      <w:r>
        <w:rPr>
          <w:rFonts w:hint="eastAsia" w:ascii="宋体" w:hAnsi="宋体"/>
          <w:bCs/>
          <w:sz w:val="24"/>
          <w:szCs w:val="24"/>
        </w:rPr>
        <w:t xml:space="preserve">在特殊情况下，</w:t>
      </w:r>
      <w:bookmarkStart w:id="93" w:name="EB1a73f2f6d8ff43b6a705c8d1929594b0"/>
      <w:r>
        <w:rPr>
          <w:rFonts w:hint="eastAsia" w:ascii="宋体" w:hAnsi="宋体"/>
          <w:bCs/>
          <w:sz w:val="24"/>
          <w:szCs w:val="24"/>
        </w:rPr>
        <w:t xml:space="preserve">公共资源交易中心</w:t>
      </w:r>
      <w:bookmarkEnd w:id="93"/>
      <w:r>
        <w:rPr>
          <w:rFonts w:hint="eastAsia" w:ascii="宋体" w:hAnsi="宋体"/>
          <w:bCs/>
          <w:sz w:val="24"/>
          <w:szCs w:val="24"/>
        </w:rPr>
        <w:t xml:space="preserve">于原投标有效期满之前，可向投标人提出延长投标有效期的要求。这种要求与答复均应采用书面形式。投标人可以拒绝</w:t>
      </w:r>
      <w:bookmarkStart w:id="94" w:name="EBcd0282bdfe9441e3bba982eac64d1aaa"/>
      <w:r>
        <w:rPr>
          <w:rFonts w:hint="eastAsia" w:ascii="宋体" w:hAnsi="宋体"/>
          <w:bCs/>
          <w:sz w:val="24"/>
          <w:szCs w:val="24"/>
        </w:rPr>
        <w:t xml:space="preserve">公共资源交易中心</w:t>
      </w:r>
      <w:bookmarkEnd w:id="94"/>
      <w:r>
        <w:rPr>
          <w:rFonts w:hint="eastAsia" w:ascii="宋体" w:hAnsi="宋体"/>
          <w:bCs/>
          <w:sz w:val="24"/>
          <w:szCs w:val="24"/>
        </w:rPr>
        <w:t xml:space="preserve">的这一要求而放弃投标</w:t>
      </w:r>
      <w:r>
        <w:rPr>
          <w:rFonts w:hint="eastAsia" w:ascii="宋体" w:hAnsi="宋体"/>
          <w:sz w:val="24"/>
          <w:szCs w:val="24"/>
        </w:rPr>
        <w:t xml:space="preserve">。</w:t>
      </w:r>
      <w:r>
        <w:rPr>
          <w:rFonts w:hint="eastAsia" w:ascii="宋体" w:hAnsi="宋体"/>
          <w:bCs/>
          <w:sz w:val="24"/>
          <w:szCs w:val="24"/>
        </w:rPr>
        <w:t xml:space="preserve">同意延长投标有效期的投标人既不能要求也不允许修改其投标文件。</w:t>
      </w:r>
      <w:r/>
    </w:p>
    <w:p>
      <w:pPr>
        <w:ind w:firstLine="482"/>
        <w:spacing w:line="440" w:lineRule="exact"/>
        <w:rPr>
          <w:rFonts w:hint="eastAsia" w:ascii="宋体" w:hAnsi="宋体"/>
          <w:b/>
          <w:bCs/>
          <w:sz w:val="24"/>
          <w:szCs w:val="24"/>
        </w:rPr>
      </w:pPr>
      <w:r>
        <w:rPr>
          <w:rFonts w:hint="eastAsia" w:ascii="宋体" w:hAnsi="宋体"/>
          <w:b/>
          <w:bCs/>
          <w:sz w:val="24"/>
          <w:szCs w:val="24"/>
        </w:rPr>
        <w:t xml:space="preserve">17.投标文件的签署</w:t>
      </w:r>
      <w:r/>
    </w:p>
    <w:p>
      <w:pPr>
        <w:ind w:firstLine="508"/>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17.1本招标文件所表述（指定）的公章是指法定名称章，不包括合同专用章、业务专用章等印章。</w:t>
      </w:r>
      <w:bookmarkStart w:id="95" w:name="EBfdb2e00cf1ee477a9cdb47d13b603829"/>
      <w:r/>
      <w:bookmarkEnd w:id="95"/>
      <w:r/>
      <w:bookmarkStart w:id="96" w:name="_Hlt26954739"/>
      <w:r/>
      <w:bookmarkEnd w:id="96"/>
      <w:r/>
      <w:bookmarkStart w:id="97" w:name="_Hlt26954852"/>
      <w:r/>
      <w:bookmarkEnd w:id="97"/>
      <w:r/>
      <w:r/>
    </w:p>
    <w:p>
      <w:pPr>
        <w:pStyle w:val="1017"/>
        <w:ind w:firstLine="482"/>
        <w:spacing w:line="440" w:lineRule="exact"/>
        <w:rPr>
          <w:rStyle w:val="1015"/>
          <w:rFonts w:hint="eastAsia" w:ascii="宋体" w:hAnsi="宋体"/>
          <w:sz w:val="24"/>
          <w:szCs w:val="24"/>
        </w:rPr>
      </w:pPr>
      <w:r>
        <w:rPr>
          <w:rStyle w:val="1015"/>
          <w:rFonts w:hint="eastAsia" w:ascii="宋体" w:hAnsi="宋体"/>
          <w:sz w:val="24"/>
          <w:szCs w:val="24"/>
        </w:rPr>
        <w:t xml:space="preserve">四、投标文件的制作、上传、递交</w:t>
      </w:r>
      <w:r/>
    </w:p>
    <w:p>
      <w:pPr>
        <w:pStyle w:val="1018"/>
        <w:ind w:firstLine="500"/>
        <w:spacing w:line="440" w:lineRule="exact"/>
        <w:rPr>
          <w:rStyle w:val="1006"/>
          <w:rFonts w:hint="eastAsia" w:ascii="宋体" w:hAnsi="宋体"/>
          <w:b/>
          <w:bCs/>
          <w:spacing w:val="7"/>
          <w:sz w:val="24"/>
          <w:szCs w:val="24"/>
        </w:rPr>
        <w:outlineLvl w:val="3"/>
      </w:pPr>
      <w:r>
        <w:rPr>
          <w:rStyle w:val="1006"/>
          <w:rFonts w:hint="eastAsia" w:ascii="宋体" w:hAnsi="宋体"/>
          <w:b/>
          <w:bCs/>
          <w:spacing w:val="7"/>
          <w:sz w:val="24"/>
          <w:szCs w:val="24"/>
        </w:rPr>
        <w:t xml:space="preserve">18.投标文件的递交</w:t>
      </w:r>
      <w:r/>
    </w:p>
    <w:p>
      <w:pPr>
        <w:pStyle w:val="1018"/>
        <w:ind w:firstLine="50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18.1电子投标文件的递交</w:t>
      </w:r>
      <w:r/>
    </w:p>
    <w:p>
      <w:pPr>
        <w:pStyle w:val="1018"/>
        <w:ind w:firstLine="50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投标人应当按照《苏采云系统供应商操作手册》规定，在投标截止时间前制作并上传电子投标文件。</w:t>
      </w:r>
      <w:bookmarkStart w:id="98" w:name="EB5e78b12e89984a20ab881c475623475b"/>
      <w:r/>
      <w:bookmarkEnd w:id="98"/>
      <w:r/>
      <w:r/>
    </w:p>
    <w:p>
      <w:pPr>
        <w:pStyle w:val="1018"/>
        <w:ind w:firstLine="500"/>
        <w:spacing w:line="440" w:lineRule="exact"/>
        <w:rPr>
          <w:rFonts w:hint="eastAsia" w:ascii="宋体" w:hAnsi="宋体" w:eastAsia="宋体"/>
          <w:b/>
          <w:bCs/>
        </w:rPr>
      </w:pPr>
      <w:r>
        <w:rPr>
          <w:rFonts w:hint="eastAsia" w:ascii="宋体" w:hAnsi="宋体" w:eastAsia="宋体"/>
          <w:b/>
          <w:bCs/>
        </w:rPr>
        <w:t xml:space="preserve">19.投标截止日期</w:t>
      </w:r>
      <w:r/>
    </w:p>
    <w:p>
      <w:pPr>
        <w:pStyle w:val="1019"/>
        <w:ind w:firstLine="50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19.1投标人上传电子投标文件的时间不得迟于招标公告中规定的投标截止时间。</w:t>
      </w:r>
      <w:r/>
    </w:p>
    <w:p>
      <w:pPr>
        <w:pStyle w:val="1019"/>
        <w:ind w:firstLine="50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投标人应充分考虑到网络环境、网络带宽等风险因素，如因投标人自身原因造成的电子投标文件上传不成功由投标人自行承担全部责任。</w:t>
      </w:r>
      <w:bookmarkStart w:id="99" w:name="EB4c6421107b4c4e38bf2769d0237905a7"/>
      <w:r/>
      <w:bookmarkEnd w:id="99"/>
      <w:r/>
      <w:r/>
    </w:p>
    <w:p>
      <w:pPr>
        <w:pStyle w:val="1019"/>
        <w:ind w:firstLine="482"/>
        <w:spacing w:line="440" w:lineRule="exact"/>
        <w:rPr>
          <w:rFonts w:hint="eastAsia" w:ascii="宋体" w:hAnsi="宋体" w:eastAsia="宋体"/>
          <w:b/>
          <w:bCs/>
        </w:rPr>
      </w:pPr>
      <w:r>
        <w:rPr>
          <w:rFonts w:hint="eastAsia" w:ascii="宋体" w:hAnsi="宋体" w:eastAsia="宋体"/>
          <w:b/>
          <w:bCs/>
        </w:rPr>
        <w:t xml:space="preserve">20.投标文件的递交</w:t>
      </w:r>
      <w:r/>
    </w:p>
    <w:p>
      <w:pPr>
        <w:pStyle w:val="1019"/>
        <w:ind w:firstLine="480"/>
        <w:spacing w:line="440" w:lineRule="exact"/>
        <w:rPr>
          <w:rFonts w:hint="eastAsia" w:ascii="宋体" w:hAnsi="宋体" w:eastAsia="宋体"/>
        </w:rPr>
      </w:pPr>
      <w:r>
        <w:rPr>
          <w:rFonts w:hint="eastAsia" w:ascii="宋体" w:hAnsi="宋体" w:eastAsia="宋体"/>
        </w:rPr>
        <w:t xml:space="preserve">20.1</w:t>
      </w:r>
      <w:bookmarkStart w:id="100" w:name="EBfffe463a2deb4e7cad93cb8e37ffda5e"/>
      <w:r>
        <w:rPr>
          <w:rFonts w:hint="eastAsia" w:ascii="宋体" w:hAnsi="宋体" w:eastAsia="宋体"/>
        </w:rPr>
        <w:t xml:space="preserve">公共资源交易中心</w:t>
      </w:r>
      <w:bookmarkEnd w:id="100"/>
      <w:r>
        <w:rPr>
          <w:rFonts w:hint="eastAsia" w:ascii="宋体" w:hAnsi="宋体" w:eastAsia="宋体"/>
        </w:rPr>
        <w:t xml:space="preserve">拒绝接收在其规定的投标截止时间后递交的任何投标文件。</w:t>
      </w:r>
      <w:r/>
    </w:p>
    <w:p>
      <w:pPr>
        <w:pStyle w:val="1019"/>
        <w:ind w:left="500"/>
        <w:spacing w:line="440" w:lineRule="exact"/>
        <w:rPr>
          <w:rFonts w:hint="eastAsia" w:ascii="宋体" w:hAnsi="宋体" w:eastAsia="宋体"/>
          <w:b/>
          <w:bCs/>
        </w:rPr>
      </w:pPr>
      <w:r>
        <w:rPr>
          <w:rFonts w:hint="eastAsia" w:ascii="宋体" w:hAnsi="宋体" w:eastAsia="宋体"/>
          <w:b/>
          <w:bCs/>
        </w:rPr>
        <w:t xml:space="preserve">21.投标文件的修改和撤回</w:t>
      </w:r>
      <w:r/>
    </w:p>
    <w:p>
      <w:pPr>
        <w:pStyle w:val="1019"/>
        <w:ind w:firstLine="508"/>
        <w:spacing w:line="440" w:lineRule="exact"/>
        <w:rPr>
          <w:rStyle w:val="1006"/>
          <w:rFonts w:hint="eastAsia" w:ascii="宋体" w:hAnsi="宋体"/>
          <w:spacing w:val="7"/>
          <w:sz w:val="24"/>
          <w:szCs w:val="28"/>
        </w:rPr>
      </w:pPr>
      <w:r>
        <w:rPr>
          <w:rStyle w:val="1006"/>
          <w:rFonts w:hint="eastAsia" w:ascii="宋体" w:hAnsi="宋体"/>
          <w:spacing w:val="7"/>
          <w:sz w:val="24"/>
          <w:szCs w:val="28"/>
        </w:rPr>
        <w:t xml:space="preserve">21.1 投标人在递交投标文件后，可以修改或撤回其投标文件，但这种修改和撤回，必须在规定的投标截止时间前，具体操作方法见《苏采云系统供应商操作手册》。</w:t>
      </w:r>
      <w:r/>
    </w:p>
    <w:p>
      <w:pPr>
        <w:pStyle w:val="1020"/>
        <w:ind w:firstLine="500"/>
        <w:spacing w:line="440" w:lineRule="exact"/>
        <w:rPr>
          <w:rStyle w:val="1006"/>
          <w:rFonts w:hint="eastAsia" w:ascii="宋体" w:hAnsi="宋体"/>
          <w:spacing w:val="7"/>
          <w:sz w:val="24"/>
          <w:szCs w:val="28"/>
        </w:rPr>
      </w:pPr>
      <w:r>
        <w:rPr>
          <w:rStyle w:val="1006"/>
          <w:rFonts w:hint="eastAsia" w:ascii="宋体" w:hAnsi="宋体"/>
          <w:spacing w:val="7"/>
          <w:sz w:val="24"/>
          <w:szCs w:val="28"/>
        </w:rPr>
        <w:t xml:space="preserve">21.2 投标人撤回电子投标文件，则认为其不再参与本项目投标活动。</w:t>
      </w:r>
      <w:r/>
    </w:p>
    <w:p>
      <w:pPr>
        <w:pStyle w:val="1020"/>
        <w:ind w:firstLine="500"/>
        <w:spacing w:line="440" w:lineRule="exact"/>
        <w:rPr>
          <w:rStyle w:val="1006"/>
          <w:rFonts w:hint="eastAsia" w:ascii="宋体" w:hAnsi="宋体"/>
          <w:spacing w:val="7"/>
          <w:sz w:val="24"/>
          <w:szCs w:val="28"/>
        </w:rPr>
      </w:pPr>
      <w:r>
        <w:rPr>
          <w:rStyle w:val="1006"/>
          <w:rFonts w:hint="eastAsia" w:ascii="宋体" w:hAnsi="宋体"/>
          <w:spacing w:val="7"/>
          <w:sz w:val="24"/>
          <w:szCs w:val="28"/>
        </w:rPr>
        <w:t xml:space="preserve">21.3 在投标截止时间之后，投标人不得对其电子投标文件作任何修改。</w:t>
      </w:r>
      <w:r/>
    </w:p>
    <w:p>
      <w:pPr>
        <w:pStyle w:val="1020"/>
        <w:ind w:firstLine="500"/>
        <w:spacing w:line="440" w:lineRule="exact"/>
        <w:rPr>
          <w:rStyle w:val="1006"/>
          <w:rFonts w:hint="eastAsia" w:ascii="宋体" w:hAnsi="宋体"/>
          <w:spacing w:val="7"/>
          <w:sz w:val="24"/>
          <w:szCs w:val="28"/>
        </w:rPr>
      </w:pPr>
      <w:r>
        <w:rPr>
          <w:rStyle w:val="1006"/>
          <w:rFonts w:hint="eastAsia" w:ascii="宋体" w:hAnsi="宋体"/>
          <w:spacing w:val="7"/>
          <w:sz w:val="24"/>
          <w:szCs w:val="28"/>
        </w:rPr>
        <w:t xml:space="preserve">21.4 在投标截止时间至招标文件中规定的投标有效期满之间的这段时间内，投标人不得撤销其投标。</w:t>
      </w:r>
      <w:r/>
    </w:p>
    <w:p>
      <w:pPr>
        <w:pStyle w:val="1020"/>
        <w:ind w:firstLine="500"/>
        <w:spacing w:line="440" w:lineRule="exact"/>
        <w:rPr>
          <w:rStyle w:val="1006"/>
          <w:rFonts w:hint="eastAsia" w:ascii="宋体" w:hAnsi="宋体"/>
          <w:spacing w:val="7"/>
          <w:sz w:val="24"/>
          <w:szCs w:val="28"/>
        </w:rPr>
      </w:pPr>
      <w:r>
        <w:rPr>
          <w:rStyle w:val="1006"/>
          <w:rFonts w:hint="eastAsia" w:ascii="宋体" w:hAnsi="宋体"/>
          <w:spacing w:val="7"/>
          <w:sz w:val="24"/>
          <w:szCs w:val="28"/>
        </w:rPr>
        <w:t xml:space="preserve">21.5 不论投标人中标与否，投标文件均不退回。</w:t>
      </w:r>
      <w:r/>
    </w:p>
    <w:p>
      <w:pPr>
        <w:pStyle w:val="1014"/>
        <w:ind w:firstLine="482"/>
        <w:jc w:val="left"/>
        <w:spacing w:before="0" w:after="0" w:line="440" w:lineRule="exact"/>
        <w:rPr>
          <w:rStyle w:val="1015"/>
          <w:rFonts w:hint="eastAsia" w:ascii="宋体" w:hAnsi="宋体"/>
          <w:b w:val="0"/>
          <w:bCs w:val="0"/>
          <w:sz w:val="24"/>
          <w:szCs w:val="24"/>
        </w:rPr>
      </w:pPr>
      <w:r/>
      <w:bookmarkStart w:id="101" w:name="EB7c302f080cf342679641097daf23b42b"/>
      <w:r/>
      <w:bookmarkEnd w:id="101"/>
      <w:r/>
      <w:bookmarkStart w:id="102" w:name="_Toc513029229"/>
      <w:r/>
      <w:bookmarkStart w:id="103" w:name="_Toc120614218"/>
      <w:r/>
      <w:bookmarkStart w:id="104" w:name="_Toc17299"/>
      <w:r/>
      <w:bookmarkStart w:id="105" w:name="_Toc38368124"/>
      <w:r/>
      <w:bookmarkStart w:id="106" w:name="_Toc16938545"/>
      <w:r/>
      <w:bookmarkStart w:id="107" w:name="_Toc20823301"/>
      <w:r/>
      <w:bookmarkStart w:id="108" w:name="_Toc54615243"/>
      <w:r/>
      <w:bookmarkStart w:id="109" w:name="_Toc35266024"/>
      <w:r>
        <w:rPr>
          <w:rStyle w:val="1015"/>
          <w:rFonts w:hint="eastAsia" w:ascii="宋体" w:hAnsi="宋体"/>
          <w:b w:val="0"/>
          <w:bCs w:val="0"/>
          <w:sz w:val="24"/>
          <w:szCs w:val="24"/>
        </w:rPr>
        <w:t xml:space="preserve">五、开标与评标</w:t>
      </w:r>
      <w:bookmarkEnd w:id="102"/>
      <w:r/>
      <w:bookmarkEnd w:id="103"/>
      <w:r/>
      <w:bookmarkEnd w:id="104"/>
      <w:r/>
      <w:bookmarkEnd w:id="105"/>
      <w:r/>
      <w:bookmarkEnd w:id="106"/>
      <w:r/>
      <w:bookmarkEnd w:id="107"/>
      <w:r/>
      <w:bookmarkEnd w:id="108"/>
      <w:r/>
      <w:bookmarkEnd w:id="109"/>
      <w:r/>
      <w:r/>
    </w:p>
    <w:p>
      <w:pPr>
        <w:ind w:firstLine="482"/>
        <w:keepLines/>
        <w:keepNext/>
        <w:spacing w:line="440" w:lineRule="exact"/>
        <w:rPr>
          <w:rFonts w:hint="eastAsia" w:ascii="宋体" w:hAnsi="宋体"/>
          <w:b/>
          <w:bCs/>
          <w:sz w:val="24"/>
          <w:szCs w:val="24"/>
        </w:rPr>
        <w:outlineLvl w:val="3"/>
      </w:pPr>
      <w:r/>
      <w:bookmarkStart w:id="110" w:name="_Toc513029230"/>
      <w:r/>
      <w:bookmarkStart w:id="111" w:name="_Toc20823302"/>
      <w:r/>
      <w:bookmarkStart w:id="112" w:name="_Toc16938546"/>
      <w:r>
        <w:rPr>
          <w:rFonts w:hint="eastAsia" w:ascii="宋体" w:hAnsi="宋体"/>
          <w:b/>
          <w:bCs/>
          <w:sz w:val="24"/>
          <w:szCs w:val="24"/>
        </w:rPr>
        <w:t xml:space="preserve">22.开标</w:t>
      </w:r>
      <w:bookmarkEnd w:id="110"/>
      <w:r/>
      <w:bookmarkEnd w:id="111"/>
      <w:r/>
      <w:bookmarkEnd w:id="112"/>
      <w:r/>
      <w:r/>
    </w:p>
    <w:p>
      <w:pPr>
        <w:ind w:firstLine="480"/>
        <w:spacing w:line="440" w:lineRule="exact"/>
        <w:rPr>
          <w:rStyle w:val="1006"/>
          <w:rFonts w:hint="eastAsia" w:ascii="宋体" w:hAnsi="宋体"/>
          <w:spacing w:val="7"/>
          <w:sz w:val="24"/>
          <w:szCs w:val="24"/>
        </w:rPr>
      </w:pPr>
      <w:r/>
      <w:bookmarkStart w:id="113" w:name="EB45a41a7a147945c0bb92535f2d40058d"/>
      <w:r/>
      <w:bookmarkEnd w:id="113"/>
      <w:r>
        <w:rPr>
          <w:rStyle w:val="1006"/>
          <w:rFonts w:hint="eastAsia" w:ascii="宋体" w:hAnsi="宋体"/>
          <w:spacing w:val="7"/>
          <w:sz w:val="24"/>
          <w:szCs w:val="24"/>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23.评标委员会</w:t>
      </w:r>
      <w:r/>
    </w:p>
    <w:p>
      <w:pPr>
        <w:spacing w:line="440" w:lineRule="exact"/>
        <w:rPr>
          <w:rFonts w:hint="eastAsia" w:ascii="宋体" w:hAnsi="宋体"/>
          <w:b/>
          <w:bCs/>
          <w:sz w:val="24"/>
          <w:szCs w:val="24"/>
        </w:rPr>
      </w:pPr>
      <w:r>
        <w:rPr>
          <w:rFonts w:hint="eastAsia" w:ascii="宋体" w:hAnsi="宋体"/>
          <w:b/>
          <w:bCs/>
          <w:sz w:val="24"/>
          <w:szCs w:val="24"/>
        </w:rPr>
        <w:t xml:space="preserve">  </w:t>
      </w:r>
      <w:r>
        <w:rPr>
          <w:rFonts w:hint="eastAsia" w:ascii="宋体" w:hAnsi="宋体"/>
          <w:sz w:val="24"/>
          <w:szCs w:val="24"/>
        </w:rPr>
        <w:t xml:space="preserve">  23.1开标后，</w:t>
      </w:r>
      <w:bookmarkStart w:id="114" w:name="EBd93f728e80de47e5afd77299c0ffdfa6"/>
      <w:r>
        <w:rPr>
          <w:rFonts w:hint="eastAsia" w:ascii="宋体" w:hAnsi="宋体"/>
          <w:sz w:val="24"/>
          <w:szCs w:val="24"/>
        </w:rPr>
        <w:t xml:space="preserve">公共资源交易中心</w:t>
      </w:r>
      <w:bookmarkEnd w:id="114"/>
      <w:r>
        <w:rPr>
          <w:rFonts w:hint="eastAsia" w:ascii="宋体" w:hAnsi="宋体"/>
          <w:sz w:val="24"/>
          <w:szCs w:val="24"/>
        </w:rPr>
        <w:t xml:space="preserve">将立即组织评标委员会（以下简称评委会）进行评标。</w:t>
      </w:r>
      <w:r/>
    </w:p>
    <w:p>
      <w:pPr>
        <w:spacing w:line="440" w:lineRule="exact"/>
        <w:rPr>
          <w:rFonts w:hint="eastAsia" w:ascii="宋体" w:hAnsi="宋体"/>
          <w:b/>
          <w:bCs/>
          <w:sz w:val="24"/>
          <w:szCs w:val="24"/>
        </w:rPr>
      </w:pPr>
      <w:r>
        <w:rPr>
          <w:rFonts w:hint="eastAsia" w:ascii="宋体" w:hAnsi="宋体"/>
          <w:b/>
          <w:bCs/>
          <w:sz w:val="24"/>
          <w:szCs w:val="24"/>
        </w:rPr>
        <w:t xml:space="preserve">   </w:t>
      </w:r>
      <w:r>
        <w:rPr>
          <w:rFonts w:hint="eastAsia" w:ascii="宋体" w:hAnsi="宋体"/>
          <w:sz w:val="24"/>
          <w:szCs w:val="24"/>
        </w:rPr>
        <w:t xml:space="preserve"> 23.2评委会由评审专家、采购人代表组成，且人员构成符合政府采购有关规定。</w:t>
      </w:r>
      <w:r/>
    </w:p>
    <w:p>
      <w:pPr>
        <w:spacing w:line="440" w:lineRule="exact"/>
        <w:rPr>
          <w:rFonts w:hint="eastAsia" w:ascii="宋体" w:hAnsi="宋体"/>
          <w:b/>
          <w:bCs/>
          <w:sz w:val="24"/>
          <w:szCs w:val="24"/>
        </w:rPr>
      </w:pPr>
      <w:r>
        <w:rPr>
          <w:rFonts w:hint="eastAsia" w:ascii="宋体" w:hAnsi="宋体"/>
          <w:b/>
          <w:bCs/>
          <w:sz w:val="24"/>
          <w:szCs w:val="24"/>
        </w:rPr>
        <w:t xml:space="preserve">   </w:t>
      </w:r>
      <w:r>
        <w:rPr>
          <w:rFonts w:hint="eastAsia" w:ascii="宋体" w:hAnsi="宋体"/>
          <w:sz w:val="24"/>
          <w:szCs w:val="24"/>
        </w:rPr>
        <w:t xml:space="preserve"> 23.3评委会应以科学、公正的态度参加评审工作并推荐中标候选人。评审专家和采购人代表在评审过程中不受任何干扰，独立、负责地提出评审意见，并对自己的评审意见承担责任。</w:t>
      </w:r>
      <w:r/>
    </w:p>
    <w:p>
      <w:pPr>
        <w:spacing w:line="440" w:lineRule="exact"/>
        <w:rPr>
          <w:rFonts w:hint="eastAsia" w:ascii="宋体" w:hAnsi="宋体"/>
          <w:sz w:val="24"/>
          <w:szCs w:val="24"/>
        </w:rPr>
      </w:pPr>
      <w:r>
        <w:rPr>
          <w:rFonts w:hint="eastAsia" w:ascii="宋体" w:hAnsi="宋体"/>
          <w:sz w:val="24"/>
          <w:szCs w:val="24"/>
        </w:rPr>
        <w:t xml:space="preserve">    23.4评委会将对投标人的商业、技术秘密予以保密。</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24．评标过程的保密与公正</w:t>
      </w:r>
      <w:r/>
    </w:p>
    <w:p>
      <w:pPr>
        <w:ind w:firstLine="480"/>
        <w:spacing w:line="440" w:lineRule="exact"/>
        <w:rPr>
          <w:rFonts w:hint="eastAsia" w:ascii="宋体" w:hAnsi="宋体"/>
          <w:sz w:val="24"/>
          <w:szCs w:val="24"/>
        </w:rPr>
      </w:pPr>
      <w:r>
        <w:rPr>
          <w:rFonts w:hint="eastAsia" w:ascii="宋体" w:hAnsi="宋体"/>
          <w:sz w:val="24"/>
          <w:szCs w:val="24"/>
        </w:rPr>
        <w:t xml:space="preserve">24.1</w:t>
      </w:r>
      <w:r>
        <w:rPr>
          <w:rFonts w:hint="eastAsia" w:ascii="宋体" w:hAnsi="宋体"/>
          <w:bCs/>
          <w:sz w:val="24"/>
          <w:szCs w:val="24"/>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hint="eastAsia" w:ascii="宋体" w:hAnsi="宋体"/>
          <w:sz w:val="24"/>
          <w:szCs w:val="24"/>
        </w:rPr>
      </w:pPr>
      <w:r>
        <w:rPr>
          <w:rFonts w:hint="eastAsia" w:ascii="宋体" w:hAnsi="宋体"/>
          <w:sz w:val="24"/>
          <w:szCs w:val="24"/>
        </w:rPr>
        <w:t xml:space="preserve">24.2在评标过程中，如果投标人试图向</w:t>
      </w:r>
      <w:bookmarkStart w:id="115" w:name="EB8495c46e8cb146ec80ae8c0f7928221c"/>
      <w:r>
        <w:rPr>
          <w:rFonts w:hint="eastAsia" w:ascii="宋体" w:hAnsi="宋体"/>
          <w:sz w:val="24"/>
          <w:szCs w:val="24"/>
        </w:rPr>
        <w:t xml:space="preserve">公共资源交易中心</w:t>
      </w:r>
      <w:bookmarkEnd w:id="115"/>
      <w:r>
        <w:rPr>
          <w:rFonts w:hint="eastAsia" w:ascii="宋体" w:hAnsi="宋体"/>
          <w:sz w:val="24"/>
          <w:szCs w:val="24"/>
        </w:rPr>
        <w:t xml:space="preserve">和参与评标的人员施加任何影响，都将会导致其投标被拒绝。</w:t>
      </w:r>
      <w:r/>
    </w:p>
    <w:p>
      <w:pPr>
        <w:ind w:firstLine="482"/>
        <w:keepLines/>
        <w:keepNext/>
        <w:spacing w:line="440" w:lineRule="exact"/>
        <w:rPr>
          <w:rFonts w:hint="eastAsia" w:ascii="宋体" w:hAnsi="宋体"/>
          <w:b/>
          <w:bCs/>
          <w:sz w:val="24"/>
          <w:szCs w:val="24"/>
        </w:rPr>
        <w:outlineLvl w:val="3"/>
      </w:pPr>
      <w:r/>
      <w:bookmarkStart w:id="116" w:name="_Toc20823304"/>
      <w:r/>
      <w:bookmarkStart w:id="117" w:name="_Toc16938548"/>
      <w:r/>
      <w:bookmarkStart w:id="118" w:name="_Toc513029232"/>
      <w:r>
        <w:rPr>
          <w:rFonts w:hint="eastAsia" w:ascii="宋体" w:hAnsi="宋体"/>
          <w:b/>
          <w:bCs/>
          <w:sz w:val="24"/>
          <w:szCs w:val="24"/>
        </w:rPr>
        <w:t xml:space="preserve">25．投标的澄清</w:t>
      </w:r>
      <w:bookmarkEnd w:id="116"/>
      <w:r/>
      <w:bookmarkEnd w:id="117"/>
      <w:r/>
      <w:bookmarkEnd w:id="118"/>
      <w:r/>
      <w:r/>
    </w:p>
    <w:p>
      <w:pPr>
        <w:ind w:firstLine="480"/>
        <w:spacing w:line="440" w:lineRule="exact"/>
        <w:rPr>
          <w:rFonts w:hint="eastAsia" w:ascii="宋体" w:hAnsi="宋体"/>
          <w:sz w:val="24"/>
          <w:szCs w:val="24"/>
        </w:rPr>
      </w:pPr>
      <w:r>
        <w:rPr>
          <w:rFonts w:hint="eastAsia" w:ascii="宋体" w:hAnsi="宋体"/>
          <w:sz w:val="24"/>
          <w:szCs w:val="24"/>
        </w:rPr>
        <w:t xml:space="preserve">25.1评标期间，为有助于对投标文件的审查、评价和比较，评委会有权要求投标人对其投标文件进行澄清，但并非对每个投标人都作澄清要求。</w:t>
      </w:r>
      <w:r/>
    </w:p>
    <w:p>
      <w:pPr>
        <w:pStyle w:val="1021"/>
        <w:ind w:firstLine="50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440" w:lineRule="exact"/>
        <w:rPr>
          <w:rStyle w:val="1006"/>
          <w:rFonts w:hint="eastAsia" w:ascii="宋体" w:hAnsi="宋体"/>
          <w:b/>
          <w:bCs/>
          <w:spacing w:val="7"/>
          <w:sz w:val="24"/>
          <w:szCs w:val="24"/>
          <w:lang w:val="zh-CN"/>
        </w:rPr>
      </w:pPr>
      <w:r>
        <w:rPr>
          <w:rStyle w:val="1006"/>
          <w:rFonts w:hint="eastAsia" w:ascii="宋体" w:hAnsi="宋体"/>
          <w:b/>
          <w:bCs/>
          <w:spacing w:val="7"/>
          <w:sz w:val="24"/>
          <w:szCs w:val="24"/>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1006"/>
          <w:rFonts w:hint="eastAsia" w:ascii="宋体" w:hAnsi="宋体"/>
          <w:spacing w:val="7"/>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19" w:name="EB3164982f155e42e086cd4685f4d2aafa"/>
      <w:r/>
      <w:bookmarkEnd w:id="119"/>
      <w:r/>
      <w:r/>
    </w:p>
    <w:p>
      <w:pPr>
        <w:spacing w:line="440" w:lineRule="exact"/>
        <w:rPr>
          <w:rFonts w:hint="eastAsia" w:ascii="宋体" w:hAnsi="宋体"/>
          <w:sz w:val="24"/>
          <w:szCs w:val="24"/>
        </w:rPr>
      </w:pPr>
      <w:r>
        <w:rPr>
          <w:rFonts w:hint="eastAsia" w:ascii="宋体" w:hAnsi="宋体"/>
          <w:sz w:val="24"/>
          <w:szCs w:val="24"/>
        </w:rPr>
        <w:t xml:space="preserve">    25.3接到评委会澄清要求的投标人如未按规定做出澄清，其风险由投标人自行承担。</w:t>
      </w:r>
      <w:r/>
    </w:p>
    <w:p>
      <w:pPr>
        <w:ind w:firstLine="482"/>
        <w:keepLines/>
        <w:keepNext/>
        <w:spacing w:line="440" w:lineRule="exact"/>
        <w:rPr>
          <w:rFonts w:hint="eastAsia" w:ascii="宋体" w:hAnsi="宋体"/>
          <w:b/>
          <w:bCs/>
          <w:sz w:val="24"/>
          <w:szCs w:val="24"/>
        </w:rPr>
        <w:outlineLvl w:val="3"/>
      </w:pPr>
      <w:r/>
      <w:bookmarkStart w:id="120" w:name="_Toc20823305"/>
      <w:r/>
      <w:bookmarkStart w:id="121" w:name="_Toc513029233"/>
      <w:r/>
      <w:bookmarkStart w:id="122" w:name="_Toc16938549"/>
      <w:r>
        <w:rPr>
          <w:rFonts w:hint="eastAsia" w:ascii="宋体" w:hAnsi="宋体"/>
          <w:b/>
          <w:bCs/>
          <w:sz w:val="24"/>
          <w:szCs w:val="24"/>
        </w:rPr>
        <w:t xml:space="preserve">26</w:t>
      </w:r>
      <w:bookmarkEnd w:id="120"/>
      <w:r/>
      <w:bookmarkEnd w:id="121"/>
      <w:r/>
      <w:bookmarkEnd w:id="122"/>
      <w:r>
        <w:rPr>
          <w:rFonts w:hint="eastAsia" w:ascii="宋体" w:hAnsi="宋体"/>
          <w:b/>
          <w:bCs/>
          <w:sz w:val="24"/>
          <w:szCs w:val="24"/>
        </w:rPr>
        <w:t xml:space="preserve">.对投标文件的初审</w:t>
      </w:r>
      <w:r/>
    </w:p>
    <w:p>
      <w:pPr>
        <w:ind w:firstLine="480"/>
        <w:jc w:val="left"/>
        <w:spacing w:line="440" w:lineRule="exact"/>
        <w:rPr>
          <w:rFonts w:hint="eastAsia" w:ascii="宋体" w:hAnsi="宋体"/>
          <w:sz w:val="24"/>
          <w:szCs w:val="24"/>
        </w:rPr>
      </w:pPr>
      <w:r>
        <w:rPr>
          <w:rFonts w:hint="eastAsia" w:ascii="宋体" w:hAnsi="宋体"/>
          <w:sz w:val="24"/>
          <w:szCs w:val="24"/>
        </w:rPr>
        <w:t xml:space="preserve">26.1</w:t>
      </w:r>
      <w:r>
        <w:rPr>
          <w:rFonts w:hint="eastAsia" w:ascii="宋体" w:hAnsi="宋体"/>
          <w:bCs/>
          <w:sz w:val="24"/>
          <w:szCs w:val="24"/>
        </w:rPr>
        <w:t xml:space="preserve">投标文件初审分为资格审查和符合性审查。</w:t>
      </w:r>
      <w:r/>
    </w:p>
    <w:p>
      <w:pPr>
        <w:ind w:firstLine="480"/>
        <w:spacing w:line="440" w:lineRule="exact"/>
        <w:rPr>
          <w:rFonts w:hint="eastAsia" w:ascii="宋体" w:hAnsi="宋体"/>
          <w:sz w:val="24"/>
          <w:szCs w:val="24"/>
        </w:rPr>
      </w:pPr>
      <w:r>
        <w:rPr>
          <w:rFonts w:hint="eastAsia" w:ascii="宋体" w:hAnsi="宋体"/>
          <w:sz w:val="24"/>
          <w:szCs w:val="24"/>
        </w:rPr>
        <w:t xml:space="preserve">26.1.1</w:t>
      </w:r>
      <w:r>
        <w:rPr>
          <w:rFonts w:hint="eastAsia" w:ascii="宋体" w:hAnsi="宋体"/>
          <w:bCs/>
          <w:sz w:val="24"/>
          <w:szCs w:val="24"/>
        </w:rPr>
        <w:t xml:space="preserve">资格性审查</w:t>
      </w:r>
      <w:r/>
    </w:p>
    <w:p>
      <w:pPr>
        <w:ind w:firstLine="480"/>
        <w:spacing w:line="440" w:lineRule="exact"/>
        <w:rPr>
          <w:rFonts w:hint="eastAsia" w:ascii="宋体" w:hAnsi="宋体"/>
          <w:sz w:val="24"/>
          <w:szCs w:val="24"/>
        </w:rPr>
      </w:pPr>
      <w:r>
        <w:rPr>
          <w:rFonts w:hint="eastAsia" w:ascii="宋体" w:hAnsi="宋体"/>
          <w:sz w:val="24"/>
          <w:szCs w:val="24"/>
        </w:rPr>
        <w:t xml:space="preserve">采购人或者采购代理机构依法对投标人的资格进行审查。</w:t>
      </w:r>
      <w:r/>
    </w:p>
    <w:p>
      <w:pPr>
        <w:ind w:firstLine="505"/>
        <w:spacing w:line="440" w:lineRule="exact"/>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.1.</w:t>
      </w:r>
      <w:r>
        <w:rPr>
          <w:rFonts w:hint="eastAsia" w:ascii="宋体" w:hAnsi="宋体"/>
          <w:sz w:val="24"/>
          <w:szCs w:val="24"/>
        </w:rPr>
        <w:t xml:space="preserve">1.1</w:t>
      </w:r>
      <w:r>
        <w:rPr>
          <w:rFonts w:hint="eastAsia" w:ascii="宋体" w:hAnsi="宋体"/>
          <w:sz w:val="24"/>
          <w:szCs w:val="24"/>
          <w:lang w:val="zh-CN"/>
        </w:rPr>
        <w:t xml:space="preserve">关于信用查询：</w:t>
      </w:r>
      <w:r/>
    </w:p>
    <w:p>
      <w:pPr>
        <w:ind w:firstLine="505"/>
        <w:spacing w:line="440" w:lineRule="exact"/>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.1.</w:t>
      </w:r>
      <w:r>
        <w:rPr>
          <w:rFonts w:hint="eastAsia" w:ascii="宋体" w:hAnsi="宋体"/>
          <w:sz w:val="24"/>
          <w:szCs w:val="24"/>
        </w:rPr>
        <w:t xml:space="preserve">1.1.2</w:t>
      </w:r>
      <w:r>
        <w:rPr>
          <w:rFonts w:hint="eastAsia" w:ascii="宋体" w:hAnsi="宋体"/>
          <w:sz w:val="24"/>
          <w:szCs w:val="24"/>
          <w:lang w:val="zh-CN"/>
        </w:rPr>
        <w:t xml:space="preserve">查询时间：投标文件递交截止时间。</w:t>
      </w:r>
      <w:r/>
    </w:p>
    <w:p>
      <w:pPr>
        <w:ind w:firstLine="505"/>
        <w:spacing w:line="440" w:lineRule="exact"/>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.1.1.1.</w:t>
      </w:r>
      <w:r>
        <w:rPr>
          <w:rFonts w:hint="eastAsia" w:ascii="宋体" w:hAnsi="宋体"/>
          <w:sz w:val="24"/>
          <w:szCs w:val="24"/>
        </w:rPr>
        <w:t xml:space="preserve">3</w:t>
      </w:r>
      <w:r>
        <w:rPr>
          <w:rFonts w:hint="eastAsia" w:ascii="宋体" w:hAnsi="宋体"/>
          <w:sz w:val="24"/>
          <w:szCs w:val="24"/>
          <w:lang w:val="zh-CN"/>
        </w:rPr>
        <w:t xml:space="preserve">查询渠道：通过“信用中国”网站等渠道查询相关主体信用记录。</w:t>
      </w:r>
      <w:r/>
    </w:p>
    <w:p>
      <w:pPr>
        <w:ind w:firstLine="480"/>
        <w:spacing w:line="440" w:lineRule="exact"/>
        <w:rPr>
          <w:rFonts w:hint="eastAsia" w:ascii="宋体" w:hAnsi="宋体"/>
          <w:sz w:val="24"/>
          <w:szCs w:val="24"/>
        </w:rPr>
      </w:pPr>
      <w:r>
        <w:rPr>
          <w:rFonts w:hint="eastAsia" w:ascii="宋体" w:hAnsi="宋体"/>
          <w:sz w:val="24"/>
          <w:szCs w:val="24"/>
        </w:rPr>
        <w:t xml:space="preserve">26.1.2</w:t>
      </w:r>
      <w:r>
        <w:rPr>
          <w:rFonts w:hint="eastAsia" w:ascii="宋体" w:hAnsi="宋体"/>
          <w:bCs/>
          <w:sz w:val="24"/>
          <w:szCs w:val="24"/>
        </w:rPr>
        <w:t xml:space="preserve">符合性审查：</w:t>
      </w:r>
      <w:r/>
    </w:p>
    <w:p>
      <w:pPr>
        <w:ind w:firstLine="480"/>
        <w:spacing w:line="440" w:lineRule="exact"/>
        <w:rPr>
          <w:rFonts w:hint="eastAsia" w:ascii="宋体" w:hAnsi="宋体"/>
          <w:bCs/>
          <w:sz w:val="24"/>
          <w:szCs w:val="24"/>
        </w:rPr>
      </w:pPr>
      <w:r>
        <w:rPr>
          <w:rFonts w:hint="eastAsia" w:ascii="宋体" w:hAnsi="宋体"/>
          <w:bCs/>
          <w:sz w:val="24"/>
          <w:szCs w:val="24"/>
        </w:rPr>
        <w:t xml:space="preserve">依据招标文件的规定，由评委会对投标文件进行审查，以确定是否对招标文件的实质性要求作出响应。</w:t>
      </w:r>
      <w:r/>
    </w:p>
    <w:p>
      <w:pPr>
        <w:ind w:firstLine="480"/>
        <w:spacing w:line="440" w:lineRule="exact"/>
        <w:rPr>
          <w:rFonts w:hint="eastAsia" w:ascii="宋体" w:hAnsi="宋体"/>
          <w:sz w:val="24"/>
          <w:szCs w:val="24"/>
        </w:rPr>
      </w:pPr>
      <w:r>
        <w:rPr>
          <w:rFonts w:hint="eastAsia" w:ascii="宋体" w:hAnsi="宋体"/>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sz w:val="24"/>
          <w:szCs w:val="24"/>
        </w:rPr>
        <w:t xml:space="preserve">评委会决定投标文件的响应性只根据投标文件本身的内容，而不寻求外部的证据。</w:t>
      </w:r>
      <w:r/>
    </w:p>
    <w:p>
      <w:pPr>
        <w:ind w:firstLine="480"/>
        <w:spacing w:line="440" w:lineRule="exact"/>
        <w:rPr>
          <w:rFonts w:hint="eastAsia" w:ascii="宋体" w:hAnsi="宋体"/>
          <w:sz w:val="24"/>
          <w:szCs w:val="24"/>
        </w:rPr>
      </w:pPr>
      <w:r>
        <w:rPr>
          <w:rFonts w:hint="eastAsia" w:ascii="宋体" w:hAnsi="宋体"/>
          <w:sz w:val="24"/>
          <w:szCs w:val="24"/>
        </w:rPr>
        <w:t xml:space="preserve">26.3</w:t>
      </w:r>
      <w:r>
        <w:rPr>
          <w:rFonts w:hint="eastAsia" w:ascii="宋体" w:hAnsi="宋体"/>
          <w:bCs/>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sz w:val="24"/>
          <w:szCs w:val="24"/>
        </w:rPr>
      </w:pPr>
      <w:r>
        <w:rPr>
          <w:rFonts w:hint="eastAsia" w:ascii="宋体" w:hAnsi="宋体"/>
          <w:sz w:val="24"/>
          <w:szCs w:val="24"/>
        </w:rPr>
        <w:t xml:space="preserve">26.4 投标文件报价出现前后不一致的，按下列规定修正：</w:t>
      </w:r>
      <w:r>
        <w:rPr>
          <w:rFonts w:hint="eastAsia" w:ascii="宋体" w:hAnsi="宋体"/>
          <w:bCs/>
          <w:sz w:val="24"/>
          <w:szCs w:val="24"/>
        </w:rPr>
        <w:t xml:space="preserve"> </w:t>
      </w:r>
      <w:r/>
    </w:p>
    <w:p>
      <w:pPr>
        <w:jc w:val="left"/>
        <w:spacing w:line="440" w:lineRule="exact"/>
        <w:rPr>
          <w:rFonts w:hint="eastAsia" w:ascii="宋体" w:hAnsi="宋体"/>
          <w:sz w:val="24"/>
          <w:szCs w:val="24"/>
        </w:rPr>
      </w:pPr>
      <w:r>
        <w:rPr>
          <w:rFonts w:hint="eastAsia" w:ascii="宋体" w:hAnsi="宋体"/>
          <w:sz w:val="24"/>
          <w:szCs w:val="24"/>
        </w:rPr>
        <w:t xml:space="preserve">  （1）投标文件中开标一览表（报价表）内容与投标文件中相应内容不一致的，以开标一览表（报价表）为准；</w:t>
      </w:r>
      <w:r/>
    </w:p>
    <w:p>
      <w:pPr>
        <w:jc w:val="left"/>
        <w:spacing w:line="440" w:lineRule="exact"/>
        <w:rPr>
          <w:rFonts w:hint="eastAsia" w:ascii="宋体" w:hAnsi="宋体"/>
          <w:sz w:val="24"/>
          <w:szCs w:val="24"/>
        </w:rPr>
      </w:pPr>
      <w:r>
        <w:rPr>
          <w:rFonts w:hint="eastAsia" w:ascii="宋体" w:hAnsi="宋体"/>
          <w:sz w:val="24"/>
          <w:szCs w:val="24"/>
        </w:rPr>
        <w:t xml:space="preserve">　　（2）大写金额和小写金额不一致的，以大写金额为准；</w:t>
      </w:r>
      <w:r/>
    </w:p>
    <w:p>
      <w:pPr>
        <w:jc w:val="left"/>
        <w:spacing w:line="440" w:lineRule="exact"/>
        <w:rPr>
          <w:rFonts w:hint="eastAsia" w:ascii="宋体" w:hAnsi="宋体"/>
          <w:sz w:val="24"/>
          <w:szCs w:val="24"/>
        </w:rPr>
      </w:pPr>
      <w:r>
        <w:rPr>
          <w:rFonts w:hint="eastAsia" w:ascii="宋体" w:hAnsi="宋体"/>
          <w:sz w:val="24"/>
          <w:szCs w:val="24"/>
        </w:rPr>
        <w:t xml:space="preserve">　　（3）单价金额小数点或者百分比有明显错位的，以开标一览表的总价为准，并修改单价；</w:t>
      </w:r>
      <w:r/>
    </w:p>
    <w:p>
      <w:pPr>
        <w:jc w:val="left"/>
        <w:spacing w:line="440" w:lineRule="exact"/>
        <w:rPr>
          <w:rFonts w:hint="eastAsia" w:ascii="宋体" w:hAnsi="宋体"/>
          <w:sz w:val="24"/>
          <w:szCs w:val="24"/>
        </w:rPr>
      </w:pPr>
      <w:r>
        <w:rPr>
          <w:rFonts w:hint="eastAsia" w:ascii="宋体" w:hAnsi="宋体"/>
          <w:sz w:val="24"/>
          <w:szCs w:val="24"/>
        </w:rPr>
        <w:t xml:space="preserve">　　（4）总价金额与按单价汇总金额不一致的，以单价金额计算结果为准。</w:t>
      </w:r>
      <w:r/>
    </w:p>
    <w:p>
      <w:pPr>
        <w:ind w:firstLine="480"/>
        <w:jc w:val="left"/>
        <w:spacing w:line="440" w:lineRule="exact"/>
        <w:rPr>
          <w:rFonts w:hint="eastAsia" w:ascii="宋体" w:hAnsi="宋体"/>
          <w:sz w:val="24"/>
          <w:szCs w:val="24"/>
        </w:rPr>
      </w:pPr>
      <w:r>
        <w:rPr>
          <w:rFonts w:hint="eastAsia" w:ascii="宋体" w:hAnsi="宋体"/>
          <w:sz w:val="24"/>
          <w:szCs w:val="24"/>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hint="eastAsia" w:ascii="宋体" w:hAnsi="宋体"/>
          <w:sz w:val="24"/>
          <w:szCs w:val="24"/>
        </w:rPr>
      </w:pPr>
      <w:r>
        <w:rPr>
          <w:rFonts w:hint="eastAsia" w:ascii="宋体" w:hAnsi="宋体"/>
          <w:sz w:val="24"/>
          <w:szCs w:val="24"/>
        </w:rPr>
        <w:t xml:space="preserve">26.5评委会将允许修正投标文件中不构成重大偏离的、微小的、非正规的、不一致的或不规则的地方，但这些修改不能影响任何投标人相应的名次排列。</w:t>
      </w:r>
      <w:bookmarkStart w:id="123" w:name="EB8e3ec86c09a94dac9cc9034e6027ee19"/>
      <w:r/>
      <w:bookmarkEnd w:id="123"/>
      <w:r/>
      <w:r/>
    </w:p>
    <w:p>
      <w:pPr>
        <w:pStyle w:val="817"/>
        <w:spacing w:line="440" w:lineRule="exact"/>
        <w:rPr>
          <w:rFonts w:hint="eastAsia"/>
          <w:b/>
          <w:bCs/>
        </w:rPr>
      </w:pPr>
      <w:r>
        <w:rPr>
          <w:rFonts w:hint="eastAsia"/>
          <w:b/>
          <w:bCs/>
        </w:rPr>
        <w:t xml:space="preserve">26.6 异常低价投标审查</w:t>
      </w:r>
      <w:r/>
    </w:p>
    <w:p>
      <w:pPr>
        <w:pStyle w:val="817"/>
        <w:spacing w:line="440" w:lineRule="exact"/>
        <w:rPr>
          <w:rFonts w:hint="eastAsia" w:cs="宋体"/>
          <w:szCs w:val="28"/>
        </w:rPr>
      </w:pPr>
      <w:r/>
      <w:bookmarkStart w:id="124" w:name="_Toc16938550"/>
      <w:r/>
      <w:bookmarkStart w:id="125" w:name="_Toc20823306"/>
      <w:r/>
      <w:bookmarkStart w:id="126" w:name="_Toc513029234"/>
      <w:r>
        <w:rPr>
          <w:rFonts w:hint="eastAsia"/>
        </w:rPr>
        <w:t xml:space="preserve">26.6.1</w:t>
      </w:r>
      <w:r>
        <w:rPr>
          <w:rFonts w:hint="eastAsia" w:cs="宋体"/>
          <w:szCs w:val="28"/>
        </w:rPr>
        <w:t xml:space="preserve">评审过程中出现下列情形之一的，评审委员会应当启动异常低价投标审查程序：</w:t>
      </w:r>
      <w:r/>
    </w:p>
    <w:p>
      <w:pPr>
        <w:ind w:firstLine="420"/>
        <w:spacing w:line="360" w:lineRule="auto"/>
        <w:rPr>
          <w:rFonts w:hint="eastAsia" w:ascii="宋体" w:hAnsi="宋体" w:cs="宋体"/>
          <w:sz w:val="24"/>
          <w:szCs w:val="28"/>
        </w:rPr>
      </w:pPr>
      <w:r>
        <w:rPr>
          <w:rFonts w:hint="eastAsia" w:ascii="宋体" w:hAnsi="宋体" w:cs="宋体"/>
          <w:sz w:val="24"/>
          <w:szCs w:val="28"/>
        </w:rPr>
        <w:t xml:space="preserve">1.投标（响应）报价低于全部通过符合性审查供应商投标（响应）报价平均50%的，即投标（响应）报价&lt;全部通过符合性审查供应商投标（响应）报价平均值×50%；</w:t>
      </w:r>
      <w:r/>
    </w:p>
    <w:p>
      <w:pPr>
        <w:ind w:firstLine="420"/>
        <w:spacing w:line="360" w:lineRule="auto"/>
        <w:rPr>
          <w:rFonts w:hint="eastAsia" w:ascii="宋体" w:hAnsi="宋体" w:cs="宋体"/>
          <w:sz w:val="24"/>
          <w:szCs w:val="28"/>
        </w:rPr>
      </w:pPr>
      <w:r>
        <w:rPr>
          <w:rFonts w:hint="eastAsia" w:ascii="宋体" w:hAnsi="宋体" w:cs="宋体"/>
          <w:sz w:val="24"/>
          <w:szCs w:val="28"/>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sz w:val="24"/>
          <w:szCs w:val="28"/>
        </w:rPr>
      </w:pPr>
      <w:r>
        <w:rPr>
          <w:rFonts w:hint="eastAsia" w:ascii="宋体" w:hAnsi="宋体" w:cs="宋体"/>
          <w:sz w:val="24"/>
          <w:szCs w:val="28"/>
        </w:rPr>
        <w:t xml:space="preserve">3.投标（响应）报价低于采购项目最高限价45%的，即投标（响应）报价&lt;采购项目最高限价×45%；</w:t>
      </w:r>
      <w:r/>
    </w:p>
    <w:p>
      <w:pPr>
        <w:ind w:firstLine="420"/>
        <w:spacing w:line="360" w:lineRule="auto"/>
        <w:rPr>
          <w:rFonts w:hint="eastAsia" w:ascii="宋体" w:hAnsi="宋体" w:cs="宋体"/>
          <w:sz w:val="24"/>
          <w:szCs w:val="28"/>
        </w:rPr>
      </w:pPr>
      <w:r>
        <w:rPr>
          <w:rFonts w:hint="eastAsia" w:ascii="宋体" w:hAnsi="宋体" w:cs="宋体"/>
          <w:sz w:val="24"/>
          <w:szCs w:val="28"/>
        </w:rPr>
        <w:t xml:space="preserve">4.评审委员会基于专业判断，认为供应商报价过低，有可能影响产品质量或者不能诚信履约的其他情形。</w:t>
      </w:r>
      <w:r/>
    </w:p>
    <w:p>
      <w:pPr>
        <w:ind w:firstLine="420"/>
        <w:spacing w:line="360" w:lineRule="auto"/>
        <w:rPr>
          <w:rFonts w:hint="eastAsia" w:ascii="宋体" w:hAnsi="宋体" w:cs="宋体"/>
          <w:color w:val="000000"/>
          <w:sz w:val="24"/>
          <w:szCs w:val="24"/>
        </w:rPr>
      </w:pPr>
      <w:r>
        <w:rPr>
          <w:rFonts w:hint="eastAsia" w:ascii="宋体" w:hAnsi="宋体" w:cs="宋体"/>
          <w:sz w:val="24"/>
          <w:szCs w:val="28"/>
        </w:rPr>
        <w:t xml:space="preserve">26.6.2</w:t>
      </w:r>
      <w:r>
        <w:rPr>
          <w:rFonts w:hint="eastAsia" w:ascii="宋体" w:hAnsi="宋体" w:cs="宋体"/>
          <w:color w:val="000000"/>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highlight w:val="yellow"/>
        </w:rPr>
      </w:pPr>
      <w:r>
        <w:rPr>
          <w:rFonts w:hint="eastAsia" w:ascii="宋体" w:hAnsi="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27</w:t>
      </w:r>
      <w:bookmarkEnd w:id="124"/>
      <w:r/>
      <w:bookmarkEnd w:id="125"/>
      <w:r/>
      <w:bookmarkEnd w:id="126"/>
      <w:r>
        <w:rPr>
          <w:rFonts w:hint="eastAsia" w:ascii="宋体" w:hAnsi="宋体"/>
          <w:b/>
          <w:bCs/>
          <w:sz w:val="24"/>
          <w:szCs w:val="24"/>
        </w:rPr>
        <w:t xml:space="preserve">.无效投标条款和废标条款</w:t>
      </w:r>
      <w:r/>
    </w:p>
    <w:p>
      <w:pPr>
        <w:pStyle w:val="1022"/>
        <w:ind w:firstLine="50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27.1 无效投标条款</w:t>
      </w:r>
      <w:r/>
    </w:p>
    <w:p>
      <w:pPr>
        <w:pStyle w:val="1023"/>
        <w:ind w:firstLine="50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27.1.1 投标人未按照招标文件要求上传电子投标文件的；</w:t>
      </w:r>
      <w:r/>
    </w:p>
    <w:p>
      <w:pPr>
        <w:pStyle w:val="1023"/>
        <w:ind w:firstLine="508"/>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27.1.2 投标人在规定时间内不解密投标文件或未成功解密投标文件的（因系统原因导致的除外)；</w:t>
      </w:r>
      <w:r/>
    </w:p>
    <w:p>
      <w:pPr>
        <w:pStyle w:val="1023"/>
        <w:ind w:firstLine="50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27.1.3 投标文件中没有《开标一览表》或《开标一览表》未加盖投标人公章的； </w:t>
      </w:r>
      <w:r/>
    </w:p>
    <w:p>
      <w:pPr>
        <w:pStyle w:val="1023"/>
        <w:ind w:firstLine="50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27.1.4 投标文件中任何有选择的报价；</w:t>
      </w:r>
      <w:r/>
    </w:p>
    <w:p>
      <w:pPr>
        <w:pStyle w:val="1023"/>
        <w:ind w:firstLine="50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27.1.5 投标文件报价出现前后不一致的，按招标文件规定修正后投标人不确认的； </w:t>
      </w:r>
      <w:r/>
    </w:p>
    <w:p>
      <w:pPr>
        <w:pStyle w:val="1023"/>
        <w:ind w:firstLine="50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27.1.6 不同投标人的投标文件由同一单位或者个人编制； </w:t>
      </w:r>
      <w:r/>
    </w:p>
    <w:p>
      <w:pPr>
        <w:pStyle w:val="1023"/>
        <w:ind w:firstLine="50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27.1.7 不同投标人委托同一单位或者个人办理投标事宜； </w:t>
      </w:r>
      <w:r/>
    </w:p>
    <w:p>
      <w:pPr>
        <w:pStyle w:val="1023"/>
        <w:ind w:firstLine="50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27.1.8 不同投标人的投标文件制作机器码一致的；</w:t>
      </w:r>
      <w:r/>
    </w:p>
    <w:p>
      <w:pPr>
        <w:pStyle w:val="1023"/>
        <w:ind w:firstLine="50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27.1.9 不同投标人的投标文件载明的项目管理成员或者联系人员为同一人；</w:t>
      </w:r>
      <w:r/>
    </w:p>
    <w:p>
      <w:pPr>
        <w:pStyle w:val="1023"/>
        <w:ind w:firstLine="50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27.1.10 不同投标人的投标文件异常一致或者投标报价呈规律性差异；</w:t>
      </w:r>
      <w:r/>
    </w:p>
    <w:p>
      <w:pPr>
        <w:pStyle w:val="1023"/>
        <w:ind w:firstLine="50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27.1.11 </w:t>
      </w:r>
      <w:r>
        <w:rPr>
          <w:rStyle w:val="1006"/>
          <w:rFonts w:hint="eastAsia" w:ascii="宋体" w:hAnsi="宋体"/>
          <w:b/>
          <w:bCs/>
          <w:spacing w:val="7"/>
          <w:sz w:val="24"/>
          <w:szCs w:val="24"/>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Style w:val="1006"/>
          <w:rFonts w:hint="eastAsia" w:ascii="宋体" w:hAnsi="宋体"/>
          <w:spacing w:val="7"/>
          <w:sz w:val="24"/>
          <w:szCs w:val="24"/>
        </w:rPr>
        <w:t xml:space="preserve">；</w:t>
      </w:r>
      <w:r/>
    </w:p>
    <w:p>
      <w:pPr>
        <w:pStyle w:val="1023"/>
        <w:ind w:firstLine="50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023"/>
        <w:ind w:firstLine="50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27.1.13 供应商被列入失信被执行人名单、重大税收违法案件当事人名单、政府采购严重违法失信行为记录名单以及其他不符合《中华人民共和国政府采购法》第二十二条规定条件的信用记录的；</w:t>
      </w:r>
      <w:r/>
    </w:p>
    <w:p>
      <w:pPr>
        <w:pStyle w:val="1023"/>
        <w:ind w:firstLine="50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27.1.14 不同供应商的单位负责人为同一人或者存在直接控股、管理关系的； </w:t>
      </w:r>
      <w:r/>
    </w:p>
    <w:p>
      <w:pPr>
        <w:pStyle w:val="1023"/>
        <w:ind w:firstLine="50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27.1.15 为采购项目提供整体设计、规范编制或者项目管理、监理、检测等服务的；</w:t>
      </w:r>
      <w:r/>
    </w:p>
    <w:p>
      <w:pPr>
        <w:pStyle w:val="1023"/>
        <w:ind w:firstLine="50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27.1.16 资格证明文件中要求加盖公章而未加盖公章的； </w:t>
      </w:r>
      <w:r/>
    </w:p>
    <w:p>
      <w:pPr>
        <w:pStyle w:val="1023"/>
        <w:ind w:firstLine="50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27.1.17 投标文件未按招标文件要求签署、盖章的； </w:t>
      </w:r>
      <w:r/>
    </w:p>
    <w:p>
      <w:pPr>
        <w:pStyle w:val="1023"/>
        <w:ind w:firstLine="50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27.1.18 不具备招标文件中规定的资格要求或未按招标文件规定的要求提供资格证明文件的； </w:t>
      </w:r>
      <w:r/>
    </w:p>
    <w:p>
      <w:pPr>
        <w:pStyle w:val="1023"/>
        <w:ind w:firstLine="50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27.1.19 报价超过招标文件中规定的预算金额或者最高限价的； </w:t>
      </w:r>
      <w:r/>
    </w:p>
    <w:p>
      <w:pPr>
        <w:pStyle w:val="1023"/>
        <w:ind w:firstLine="50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27.1.20 投标文件含有采购人不能接受的附加条件的； </w:t>
      </w:r>
      <w:r/>
    </w:p>
    <w:p>
      <w:pPr>
        <w:pStyle w:val="1023"/>
        <w:ind w:firstLine="500"/>
        <w:spacing w:line="440" w:lineRule="exact"/>
        <w:rPr>
          <w:rStyle w:val="1006"/>
          <w:rFonts w:hint="eastAsia" w:ascii="宋体" w:hAnsi="宋体"/>
          <w:b/>
          <w:bCs/>
          <w:spacing w:val="7"/>
          <w:sz w:val="24"/>
          <w:szCs w:val="24"/>
        </w:rPr>
      </w:pPr>
      <w:r>
        <w:rPr>
          <w:rStyle w:val="1006"/>
          <w:rFonts w:hint="eastAsia" w:ascii="宋体" w:hAnsi="宋体"/>
          <w:b/>
          <w:bCs/>
          <w:spacing w:val="7"/>
          <w:sz w:val="24"/>
          <w:szCs w:val="24"/>
        </w:rPr>
        <w:t xml:space="preserve">27.1.21 不响应招标文件中规定的实质性要求的（本招标文件中斜体且有下划线部分为实质性要求）；</w:t>
      </w:r>
      <w:r>
        <w:rPr>
          <w:rStyle w:val="1006"/>
          <w:rFonts w:hint="eastAsia" w:ascii="宋体" w:hAnsi="宋体"/>
          <w:spacing w:val="7"/>
          <w:sz w:val="24"/>
          <w:szCs w:val="24"/>
        </w:rPr>
        <w:t xml:space="preserve"> </w:t>
      </w:r>
      <w:r/>
    </w:p>
    <w:p>
      <w:pPr>
        <w:pStyle w:val="1023"/>
        <w:ind w:firstLine="50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27.1.22 法律、法规和采购文件规定的其他无效情形; </w:t>
      </w:r>
      <w:r/>
    </w:p>
    <w:p>
      <w:pPr>
        <w:pStyle w:val="1024"/>
        <w:ind w:firstLine="50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27.2 废标条款：</w:t>
      </w:r>
      <w:r/>
    </w:p>
    <w:p>
      <w:pPr>
        <w:pStyle w:val="1024"/>
        <w:ind w:firstLine="508"/>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(1)符合专业条件的供应商或者对招标文件作实质响应的供应商不足三家的； </w:t>
      </w:r>
      <w:r/>
    </w:p>
    <w:p>
      <w:pPr>
        <w:pStyle w:val="1024"/>
        <w:ind w:firstLine="50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(2)出现影响采购公正的违法、违规行为的；</w:t>
      </w:r>
      <w:r/>
    </w:p>
    <w:p>
      <w:pPr>
        <w:pStyle w:val="1024"/>
        <w:ind w:firstLine="50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(3)投标人的报价均超过了采购预算，采购人不能支付的；</w:t>
      </w:r>
      <w:r/>
    </w:p>
    <w:p>
      <w:pPr>
        <w:pStyle w:val="1024"/>
        <w:ind w:firstLine="50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(4)因重大变故，采购任务取消的。</w:t>
      </w:r>
      <w:r/>
    </w:p>
    <w:p>
      <w:pPr>
        <w:pStyle w:val="1024"/>
        <w:ind w:firstLine="50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(5)因苏采云系统系统故障原因造成开标不成功的。</w:t>
      </w:r>
      <w:r/>
    </w:p>
    <w:p>
      <w:pPr>
        <w:pStyle w:val="1024"/>
        <w:ind w:firstLine="50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27.3 投标截止时间结束后参加投标的供应商不足三家的处理：</w:t>
      </w:r>
      <w:r/>
    </w:p>
    <w:p>
      <w:pPr>
        <w:pStyle w:val="1024"/>
        <w:ind w:firstLine="50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27.3.1 如出现投标截止时间结束后参加投标的供应商或者在评标期间对招标文件做出实质响应的供应商不足三家情况，按财政部第87号令第四十三条的规定执行。</w:t>
      </w:r>
      <w:r/>
    </w:p>
    <w:p>
      <w:pPr>
        <w:pStyle w:val="1014"/>
        <w:ind w:firstLine="482"/>
        <w:jc w:val="left"/>
        <w:spacing w:before="0" w:after="0" w:line="440" w:lineRule="exact"/>
        <w:rPr>
          <w:rStyle w:val="1015"/>
          <w:rFonts w:hint="eastAsia" w:ascii="宋体" w:hAnsi="宋体"/>
          <w:b w:val="0"/>
          <w:bCs w:val="0"/>
          <w:sz w:val="24"/>
          <w:szCs w:val="24"/>
        </w:rPr>
      </w:pPr>
      <w:r/>
      <w:bookmarkStart w:id="127" w:name="_Toc20823307"/>
      <w:r/>
      <w:bookmarkStart w:id="128" w:name="_Toc513029235"/>
      <w:r/>
      <w:bookmarkStart w:id="129" w:name="_Toc16938551"/>
      <w:r/>
      <w:bookmarkStart w:id="130" w:name="_Toc120614219"/>
      <w:r/>
      <w:bookmarkStart w:id="131" w:name="_Toc35266025"/>
      <w:r/>
      <w:bookmarkStart w:id="132" w:name="_Toc38368125"/>
      <w:r/>
      <w:bookmarkStart w:id="133" w:name="_Toc28184"/>
      <w:r/>
      <w:bookmarkStart w:id="134" w:name="_Toc54615244"/>
      <w:r>
        <w:rPr>
          <w:rStyle w:val="1015"/>
          <w:rFonts w:hint="eastAsia" w:ascii="宋体" w:hAnsi="宋体"/>
          <w:b w:val="0"/>
          <w:bCs w:val="0"/>
          <w:sz w:val="24"/>
          <w:szCs w:val="24"/>
        </w:rPr>
        <w:t xml:space="preserve">六、</w:t>
      </w:r>
      <w:bookmarkEnd w:id="127"/>
      <w:r/>
      <w:bookmarkEnd w:id="128"/>
      <w:r/>
      <w:bookmarkEnd w:id="129"/>
      <w:r>
        <w:rPr>
          <w:rStyle w:val="1015"/>
          <w:rFonts w:hint="eastAsia" w:ascii="宋体" w:hAnsi="宋体"/>
          <w:b w:val="0"/>
          <w:bCs w:val="0"/>
          <w:sz w:val="24"/>
          <w:szCs w:val="24"/>
        </w:rPr>
        <w:t xml:space="preserve">定标</w:t>
      </w:r>
      <w:bookmarkEnd w:id="130"/>
      <w:r/>
      <w:bookmarkEnd w:id="131"/>
      <w:r/>
      <w:bookmarkEnd w:id="132"/>
      <w:r/>
      <w:bookmarkEnd w:id="133"/>
      <w:r/>
      <w:bookmarkEnd w:id="134"/>
      <w:r/>
      <w:r/>
    </w:p>
    <w:p>
      <w:pPr>
        <w:ind w:firstLine="482"/>
        <w:keepLines/>
        <w:keepNext/>
        <w:spacing w:line="440" w:lineRule="exact"/>
        <w:rPr>
          <w:rFonts w:hint="eastAsia" w:ascii="宋体" w:hAnsi="宋体"/>
          <w:b/>
          <w:bCs/>
          <w:sz w:val="24"/>
          <w:szCs w:val="24"/>
        </w:rPr>
        <w:outlineLvl w:val="3"/>
      </w:pPr>
      <w:r/>
      <w:bookmarkStart w:id="135" w:name="_Toc513029238"/>
      <w:r/>
      <w:bookmarkStart w:id="136" w:name="_Toc20823310"/>
      <w:r/>
      <w:bookmarkStart w:id="137" w:name="_Toc16938554"/>
      <w:r>
        <w:rPr>
          <w:rFonts w:hint="eastAsia" w:ascii="宋体" w:hAnsi="宋体"/>
          <w:b/>
          <w:bCs/>
          <w:sz w:val="24"/>
          <w:szCs w:val="24"/>
        </w:rPr>
        <w:t xml:space="preserve">28</w:t>
      </w:r>
      <w:bookmarkEnd w:id="135"/>
      <w:r>
        <w:rPr>
          <w:rFonts w:hint="eastAsia" w:ascii="宋体" w:hAnsi="宋体"/>
          <w:b/>
          <w:bCs/>
          <w:sz w:val="24"/>
          <w:szCs w:val="24"/>
        </w:rPr>
        <w:t xml:space="preserve">.确定</w:t>
      </w:r>
      <w:bookmarkEnd w:id="136"/>
      <w:r/>
      <w:bookmarkEnd w:id="137"/>
      <w:r>
        <w:rPr>
          <w:rFonts w:hint="eastAsia" w:ascii="宋体" w:hAnsi="宋体"/>
          <w:b/>
          <w:bCs/>
          <w:sz w:val="24"/>
          <w:szCs w:val="24"/>
        </w:rPr>
        <w:t xml:space="preserve">中标单位</w:t>
      </w:r>
      <w:r/>
    </w:p>
    <w:p>
      <w:pPr>
        <w:ind w:firstLine="480"/>
        <w:spacing w:line="440" w:lineRule="exact"/>
        <w:rPr>
          <w:rFonts w:hint="eastAsia" w:ascii="宋体" w:hAnsi="宋体"/>
          <w:bCs/>
          <w:sz w:val="24"/>
          <w:szCs w:val="24"/>
        </w:rPr>
      </w:pPr>
      <w:r>
        <w:rPr>
          <w:rFonts w:hint="eastAsia" w:ascii="宋体" w:hAnsi="宋体"/>
          <w:bCs/>
          <w:sz w:val="24"/>
          <w:szCs w:val="24"/>
        </w:rPr>
        <w:t xml:space="preserve">28.1评委会根据本招标文件规定评标办法与评标标准向采购人推荐出1名中标候选人。</w:t>
      </w:r>
      <w:r/>
    </w:p>
    <w:p>
      <w:pPr>
        <w:ind w:firstLine="480"/>
        <w:spacing w:line="440" w:lineRule="exact"/>
        <w:rPr>
          <w:rFonts w:hint="eastAsia" w:ascii="宋体" w:hAnsi="宋体"/>
          <w:bCs/>
          <w:sz w:val="24"/>
          <w:szCs w:val="24"/>
        </w:rPr>
      </w:pPr>
      <w:r>
        <w:rPr>
          <w:rFonts w:hint="eastAsia" w:ascii="宋体" w:hAnsi="宋体"/>
          <w:bCs/>
          <w:sz w:val="24"/>
          <w:szCs w:val="24"/>
        </w:rPr>
        <w:t xml:space="preserve">28.2采购人应根据评委会推荐的中标候选人确定中标人。</w:t>
      </w:r>
      <w:r/>
    </w:p>
    <w:p>
      <w:pPr>
        <w:ind w:firstLine="480"/>
        <w:spacing w:line="440" w:lineRule="exact"/>
        <w:rPr>
          <w:rFonts w:hint="eastAsia" w:ascii="宋体" w:hAnsi="宋体"/>
          <w:bCs/>
          <w:sz w:val="24"/>
          <w:szCs w:val="24"/>
        </w:rPr>
      </w:pPr>
      <w:r>
        <w:rPr>
          <w:rFonts w:hint="eastAsia" w:ascii="宋体" w:hAnsi="宋体"/>
          <w:bCs/>
          <w:sz w:val="24"/>
          <w:szCs w:val="24"/>
        </w:rPr>
        <w:t xml:space="preserve">28.3</w:t>
      </w:r>
      <w:r>
        <w:rPr>
          <w:rFonts w:hint="eastAsia" w:ascii="宋体" w:hAnsi="宋体"/>
          <w:sz w:val="24"/>
          <w:szCs w:val="24"/>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sz w:val="24"/>
          <w:szCs w:val="24"/>
        </w:rPr>
      </w:pPr>
      <w:r>
        <w:rPr>
          <w:rFonts w:hint="eastAsia" w:ascii="宋体" w:hAnsi="宋体"/>
          <w:sz w:val="24"/>
          <w:szCs w:val="24"/>
        </w:rPr>
        <w:t xml:space="preserve">28.4若有充分证据证明，中标人出现下列情况之一的，一经查实，中标无效：</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（1）提供虚假材料谋取中标的；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（2）采取不正当手段诋毁、排挤其他供应商的；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（3）与采购人、其他供应商或者采购代理机构恶意串通的；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（4）向采购人、采购代理机构行贿或者提供其他不正当利益的；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（5）在招标采购过程中与采购人进行协商谈判的；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（6）向评标委员会行贿或者提供其他不正当利益。</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29.质疑</w:t>
      </w:r>
      <w:r/>
    </w:p>
    <w:p>
      <w:pPr>
        <w:ind w:firstLine="480"/>
        <w:spacing w:line="440" w:lineRule="exact"/>
        <w:rPr>
          <w:rFonts w:hint="eastAsia" w:ascii="宋体" w:hAnsi="宋体"/>
          <w:sz w:val="24"/>
          <w:szCs w:val="24"/>
        </w:rPr>
      </w:pPr>
      <w:r>
        <w:rPr>
          <w:rFonts w:hint="eastAsia" w:ascii="宋体" w:hAnsi="宋体"/>
          <w:sz w:val="24"/>
          <w:szCs w:val="24"/>
        </w:rPr>
        <w:t xml:space="preserve">29.1质疑形式</w:t>
      </w:r>
      <w:r/>
    </w:p>
    <w:p>
      <w:pPr>
        <w:ind w:firstLine="480"/>
        <w:spacing w:line="440" w:lineRule="exact"/>
        <w:rPr>
          <w:rFonts w:hint="eastAsia" w:ascii="宋体" w:hAnsi="宋体"/>
          <w:sz w:val="24"/>
          <w:szCs w:val="24"/>
        </w:rPr>
      </w:pPr>
      <w:r>
        <w:rPr>
          <w:rFonts w:hint="eastAsia" w:ascii="宋体" w:hAnsi="宋体"/>
          <w:sz w:val="24"/>
          <w:szCs w:val="24"/>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spacing w:line="440" w:lineRule="exact"/>
        <w:rPr>
          <w:rFonts w:hint="eastAsia" w:ascii="宋体" w:hAnsi="宋体"/>
          <w:sz w:val="24"/>
          <w:szCs w:val="24"/>
        </w:rPr>
      </w:pPr>
      <w:r>
        <w:rPr>
          <w:rFonts w:hint="eastAsia" w:ascii="宋体" w:hAnsi="宋体"/>
          <w:sz w:val="24"/>
          <w:szCs w:val="24"/>
        </w:rPr>
        <w:t xml:space="preserve">29.1.2质疑必须按《政府采购法》、《政府采购法实施条例》及财政部94号令的相关规定提交，未按上述要求提交的质疑函</w:t>
      </w:r>
      <w:bookmarkStart w:id="138" w:name="EB0a0bb8d9f8954ef79aa564dbfd72d9f1"/>
      <w:r>
        <w:rPr>
          <w:rFonts w:hint="eastAsia" w:ascii="宋体" w:hAnsi="宋体"/>
          <w:sz w:val="24"/>
          <w:szCs w:val="24"/>
        </w:rPr>
        <w:t xml:space="preserve">公共资源交易中心</w:t>
      </w:r>
      <w:bookmarkEnd w:id="138"/>
      <w:r>
        <w:rPr>
          <w:rFonts w:hint="eastAsia" w:ascii="宋体" w:hAnsi="宋体"/>
          <w:sz w:val="24"/>
          <w:szCs w:val="24"/>
        </w:rPr>
        <w:t xml:space="preserve">有权不予受理</w:t>
      </w:r>
      <w:r/>
    </w:p>
    <w:p>
      <w:pPr>
        <w:ind w:firstLine="480"/>
        <w:spacing w:line="440" w:lineRule="exact"/>
        <w:rPr>
          <w:rFonts w:hint="eastAsia" w:ascii="宋体" w:hAnsi="宋体"/>
          <w:sz w:val="24"/>
          <w:szCs w:val="24"/>
        </w:rPr>
      </w:pPr>
      <w:r>
        <w:rPr>
          <w:rFonts w:hint="eastAsia" w:ascii="宋体" w:hAnsi="宋体"/>
          <w:sz w:val="24"/>
          <w:szCs w:val="24"/>
        </w:rPr>
        <w:t xml:space="preserve">29.1.3质疑函应当包括下列内容：</w:t>
      </w:r>
      <w:r/>
    </w:p>
    <w:p>
      <w:pPr>
        <w:ind w:firstLine="480"/>
        <w:spacing w:line="440" w:lineRule="exact"/>
        <w:rPr>
          <w:rFonts w:hint="eastAsia" w:ascii="宋体" w:hAnsi="宋体"/>
          <w:sz w:val="24"/>
          <w:szCs w:val="24"/>
        </w:rPr>
      </w:pPr>
      <w:r>
        <w:rPr>
          <w:rFonts w:hint="eastAsia" w:ascii="宋体" w:hAnsi="宋体"/>
          <w:sz w:val="24"/>
          <w:szCs w:val="24"/>
        </w:rPr>
        <w:t xml:space="preserve">29.1.3.1供应商的姓名或者名称、地址、邮编、联系人及联系电话；</w:t>
      </w:r>
      <w:r/>
    </w:p>
    <w:p>
      <w:pPr>
        <w:ind w:firstLine="480"/>
        <w:spacing w:line="440" w:lineRule="exact"/>
        <w:rPr>
          <w:rFonts w:hint="eastAsia" w:ascii="宋体" w:hAnsi="宋体"/>
          <w:sz w:val="24"/>
          <w:szCs w:val="24"/>
        </w:rPr>
      </w:pPr>
      <w:r>
        <w:rPr>
          <w:rFonts w:hint="eastAsia" w:ascii="宋体" w:hAnsi="宋体"/>
          <w:sz w:val="24"/>
          <w:szCs w:val="24"/>
        </w:rPr>
        <w:t xml:space="preserve">29.1.3.2质疑项目的名称、编号；</w:t>
      </w:r>
      <w:r/>
    </w:p>
    <w:p>
      <w:pPr>
        <w:ind w:firstLine="480"/>
        <w:spacing w:line="440" w:lineRule="exact"/>
        <w:rPr>
          <w:rFonts w:hint="eastAsia" w:ascii="宋体" w:hAnsi="宋体"/>
          <w:sz w:val="24"/>
          <w:szCs w:val="24"/>
        </w:rPr>
      </w:pPr>
      <w:r>
        <w:rPr>
          <w:rFonts w:hint="eastAsia" w:ascii="宋体" w:hAnsi="宋体"/>
          <w:sz w:val="24"/>
          <w:szCs w:val="24"/>
        </w:rPr>
        <w:t xml:space="preserve">29.1.3.3具体、明确的质疑事项和与质疑事项相关的请求；</w:t>
      </w:r>
      <w:r/>
    </w:p>
    <w:p>
      <w:pPr>
        <w:ind w:firstLine="480"/>
        <w:spacing w:line="440" w:lineRule="exact"/>
        <w:rPr>
          <w:rFonts w:hint="eastAsia" w:ascii="宋体" w:hAnsi="宋体"/>
          <w:sz w:val="24"/>
          <w:szCs w:val="24"/>
        </w:rPr>
      </w:pPr>
      <w:r>
        <w:rPr>
          <w:rFonts w:hint="eastAsia" w:ascii="宋体" w:hAnsi="宋体"/>
          <w:sz w:val="24"/>
          <w:szCs w:val="24"/>
        </w:rPr>
        <w:t xml:space="preserve">29.1.3.4事实依据；</w:t>
      </w:r>
      <w:r/>
    </w:p>
    <w:p>
      <w:pPr>
        <w:ind w:firstLine="480"/>
        <w:spacing w:line="440" w:lineRule="exact"/>
        <w:rPr>
          <w:rFonts w:hint="eastAsia" w:ascii="宋体" w:hAnsi="宋体"/>
          <w:sz w:val="24"/>
          <w:szCs w:val="24"/>
        </w:rPr>
      </w:pPr>
      <w:r>
        <w:rPr>
          <w:rFonts w:hint="eastAsia" w:ascii="宋体" w:hAnsi="宋体"/>
          <w:sz w:val="24"/>
          <w:szCs w:val="24"/>
        </w:rPr>
        <w:t xml:space="preserve">29.1.3.5必要的法律依据；</w:t>
      </w:r>
      <w:r/>
    </w:p>
    <w:p>
      <w:pPr>
        <w:ind w:firstLine="480"/>
        <w:spacing w:line="440" w:lineRule="exact"/>
        <w:rPr>
          <w:rFonts w:hint="eastAsia" w:ascii="宋体" w:hAnsi="宋体"/>
          <w:sz w:val="24"/>
          <w:szCs w:val="24"/>
        </w:rPr>
      </w:pPr>
      <w:r>
        <w:rPr>
          <w:rFonts w:hint="eastAsia" w:ascii="宋体" w:hAnsi="宋体"/>
          <w:sz w:val="24"/>
          <w:szCs w:val="24"/>
        </w:rPr>
        <w:t xml:space="preserve">29.1.3.6提出质疑的日期。</w:t>
      </w:r>
      <w:r/>
    </w:p>
    <w:p>
      <w:pPr>
        <w:ind w:firstLine="480"/>
        <w:spacing w:line="440" w:lineRule="exact"/>
        <w:rPr>
          <w:rFonts w:hint="eastAsia" w:ascii="宋体" w:hAnsi="宋体"/>
          <w:sz w:val="24"/>
          <w:szCs w:val="24"/>
        </w:rPr>
      </w:pPr>
      <w:r>
        <w:rPr>
          <w:rFonts w:hint="eastAsia" w:ascii="宋体" w:hAnsi="宋体"/>
          <w:sz w:val="24"/>
          <w:szCs w:val="24"/>
        </w:rPr>
        <w:t xml:space="preserve">29.1.4质疑函应当由法定代表人、主要负责人，或者其授权代表签字或者盖章，并加盖公章。匿名提交的质疑将不予受理。</w:t>
      </w:r>
      <w:r/>
    </w:p>
    <w:p>
      <w:pPr>
        <w:ind w:firstLine="480"/>
        <w:spacing w:line="440" w:lineRule="exact"/>
        <w:rPr>
          <w:rFonts w:hint="eastAsia" w:ascii="宋体" w:hAnsi="宋体"/>
          <w:sz w:val="24"/>
          <w:szCs w:val="24"/>
        </w:rPr>
      </w:pPr>
      <w:r>
        <w:rPr>
          <w:rFonts w:hint="eastAsia" w:ascii="宋体" w:hAnsi="宋体"/>
          <w:sz w:val="24"/>
          <w:szCs w:val="24"/>
        </w:rPr>
        <w:t xml:space="preserve">29.1.5质疑的送达方式</w:t>
      </w:r>
      <w:r/>
    </w:p>
    <w:p>
      <w:pPr>
        <w:ind w:firstLine="480"/>
        <w:spacing w:line="440" w:lineRule="exact"/>
        <w:rPr>
          <w:rFonts w:hint="eastAsia" w:ascii="宋体" w:hAnsi="宋体"/>
          <w:sz w:val="24"/>
          <w:szCs w:val="24"/>
        </w:rPr>
      </w:pPr>
      <w:r>
        <w:rPr>
          <w:rFonts w:hint="eastAsia" w:ascii="宋体" w:hAnsi="宋体"/>
          <w:sz w:val="24"/>
          <w:szCs w:val="24"/>
        </w:rPr>
        <w:t xml:space="preserve">29.1.5.1质疑函应采用邮寄送达或直接送达的方式递交，采用其他方式送达（含传真、电子邮件等）的，公共资源交易中心有权不予受理。</w:t>
      </w:r>
      <w:r/>
    </w:p>
    <w:p>
      <w:pPr>
        <w:ind w:firstLine="480"/>
        <w:spacing w:line="440" w:lineRule="exact"/>
        <w:rPr>
          <w:rFonts w:hint="eastAsia" w:ascii="宋体" w:hAnsi="宋体"/>
          <w:sz w:val="24"/>
          <w:szCs w:val="24"/>
        </w:rPr>
      </w:pPr>
      <w:r>
        <w:rPr>
          <w:rFonts w:hint="eastAsia" w:ascii="宋体" w:hAnsi="宋体"/>
          <w:sz w:val="24"/>
          <w:szCs w:val="24"/>
        </w:rPr>
        <w:t xml:space="preserve">29.2特别提示</w:t>
      </w:r>
      <w:r/>
    </w:p>
    <w:p>
      <w:pPr>
        <w:ind w:firstLine="480"/>
        <w:spacing w:line="440" w:lineRule="exact"/>
        <w:rPr>
          <w:rFonts w:hint="eastAsia" w:ascii="宋体" w:hAnsi="宋体"/>
          <w:sz w:val="24"/>
          <w:szCs w:val="24"/>
        </w:rPr>
      </w:pPr>
      <w:r>
        <w:rPr>
          <w:rFonts w:hint="eastAsia" w:ascii="宋体" w:hAnsi="宋体"/>
          <w:sz w:val="24"/>
          <w:szCs w:val="24"/>
        </w:rPr>
        <w:t xml:space="preserve">29.2.1根据财政部94号令第十一条规定，提出质疑的供应商应当是参与所质疑项目采购活动的供应商。</w:t>
      </w:r>
      <w:r>
        <w:rPr>
          <w:rFonts w:hint="eastAsia" w:ascii="宋体" w:hAnsi="宋体"/>
          <w:b/>
          <w:bCs/>
          <w:sz w:val="24"/>
          <w:szCs w:val="24"/>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宋体" w:hAnsi="宋体"/>
          <w:sz w:val="24"/>
          <w:szCs w:val="24"/>
        </w:rPr>
      </w:pPr>
      <w:r>
        <w:rPr>
          <w:rFonts w:hint="eastAsia" w:ascii="宋体" w:hAnsi="宋体"/>
          <w:sz w:val="24"/>
          <w:szCs w:val="24"/>
        </w:rPr>
        <w:t xml:space="preserve">29.2.2供应商在法定质疑期内应一次性提出针对同一采购程序环节的质疑。</w:t>
      </w:r>
      <w:r/>
    </w:p>
    <w:p>
      <w:pPr>
        <w:ind w:firstLine="240"/>
        <w:spacing w:line="440" w:lineRule="exact"/>
        <w:rPr>
          <w:rFonts w:hint="eastAsia" w:ascii="宋体" w:hAnsi="宋体"/>
          <w:sz w:val="24"/>
          <w:szCs w:val="24"/>
        </w:rPr>
      </w:pPr>
      <w:r>
        <w:rPr>
          <w:rFonts w:hint="eastAsia" w:ascii="宋体" w:hAnsi="宋体"/>
          <w:sz w:val="24"/>
          <w:szCs w:val="24"/>
        </w:rPr>
        <w:t xml:space="preserve">  29.2.3供应商提出质疑必须有理、有据，不得恶意质疑或提交虚假质疑。否则，一经查实，采购人或</w:t>
      </w:r>
      <w:bookmarkStart w:id="139" w:name="EB099f29e99fec42e0b68e9bb29a0c4ea8"/>
      <w:r>
        <w:rPr>
          <w:rFonts w:hint="eastAsia" w:ascii="宋体" w:hAnsi="宋体"/>
          <w:sz w:val="24"/>
          <w:szCs w:val="24"/>
        </w:rPr>
        <w:t xml:space="preserve">公共资源交易中心</w:t>
      </w:r>
      <w:bookmarkEnd w:id="139"/>
      <w:r>
        <w:rPr>
          <w:rFonts w:hint="eastAsia" w:ascii="宋体" w:hAnsi="宋体"/>
          <w:sz w:val="24"/>
          <w:szCs w:val="24"/>
        </w:rPr>
        <w:t xml:space="preserve">有权依据政府采购的有关规定，报请政府采购监管部门对该投标人进行相应的行政处罚。</w:t>
      </w:r>
      <w:r/>
    </w:p>
    <w:p>
      <w:pPr>
        <w:ind w:firstLine="480"/>
        <w:spacing w:line="440" w:lineRule="exact"/>
        <w:rPr>
          <w:rFonts w:hint="eastAsia" w:ascii="宋体" w:hAnsi="宋体"/>
          <w:sz w:val="24"/>
          <w:szCs w:val="24"/>
        </w:rPr>
      </w:pPr>
      <w:r>
        <w:rPr>
          <w:rFonts w:hint="eastAsia" w:ascii="宋体" w:hAnsi="宋体"/>
          <w:sz w:val="24"/>
          <w:szCs w:val="24"/>
        </w:rPr>
        <w:t xml:space="preserve">29.3其他</w:t>
      </w:r>
      <w:r/>
    </w:p>
    <w:p>
      <w:pPr>
        <w:ind w:firstLine="480"/>
        <w:spacing w:line="440" w:lineRule="exact"/>
        <w:rPr>
          <w:rFonts w:hint="eastAsia" w:ascii="宋体" w:hAnsi="宋体"/>
          <w:sz w:val="24"/>
          <w:szCs w:val="24"/>
        </w:rPr>
      </w:pPr>
      <w:r>
        <w:rPr>
          <w:rFonts w:hint="eastAsia" w:ascii="宋体" w:hAnsi="宋体"/>
          <w:sz w:val="24"/>
          <w:szCs w:val="24"/>
        </w:rPr>
        <w:t xml:space="preserve">29.3.1采购人或</w:t>
      </w:r>
      <w:bookmarkStart w:id="140" w:name="EB8773124fd4fb4b248e75c3aa7fb3bbda"/>
      <w:r>
        <w:rPr>
          <w:rFonts w:hint="eastAsia" w:ascii="宋体" w:hAnsi="宋体"/>
          <w:sz w:val="24"/>
          <w:szCs w:val="24"/>
        </w:rPr>
        <w:t xml:space="preserve">公共资源交易中心</w:t>
      </w:r>
      <w:bookmarkEnd w:id="140"/>
      <w:r>
        <w:rPr>
          <w:rFonts w:hint="eastAsia" w:ascii="宋体" w:hAnsi="宋体"/>
          <w:sz w:val="24"/>
          <w:szCs w:val="24"/>
        </w:rPr>
        <w:t xml:space="preserve">将在收到供应商的质疑后七个工作日内作出答复，答复的内容不涉及商业秘密。</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30.中标通知书</w:t>
      </w:r>
      <w:r/>
    </w:p>
    <w:p>
      <w:pPr>
        <w:ind w:firstLine="480"/>
        <w:spacing w:line="440" w:lineRule="exact"/>
        <w:rPr>
          <w:rFonts w:hint="eastAsia" w:ascii="宋体" w:hAnsi="宋体"/>
          <w:sz w:val="24"/>
          <w:szCs w:val="24"/>
        </w:rPr>
      </w:pPr>
      <w:r>
        <w:rPr>
          <w:rFonts w:hint="eastAsia" w:ascii="宋体" w:hAnsi="宋体"/>
          <w:sz w:val="24"/>
          <w:szCs w:val="24"/>
        </w:rPr>
        <w:t xml:space="preserve">30.l在中标结果确定后2个工作日内，</w:t>
      </w:r>
      <w:bookmarkStart w:id="141" w:name="EB74ca8e7cbd0c43048dde3bacda3415fd"/>
      <w:r>
        <w:rPr>
          <w:rFonts w:hint="eastAsia" w:ascii="宋体" w:hAnsi="宋体"/>
          <w:sz w:val="24"/>
          <w:szCs w:val="24"/>
        </w:rPr>
        <w:t xml:space="preserve">公共资源交易中心</w:t>
      </w:r>
      <w:bookmarkEnd w:id="141"/>
      <w:r>
        <w:rPr>
          <w:rFonts w:hint="eastAsia" w:ascii="宋体" w:hAnsi="宋体"/>
          <w:sz w:val="24"/>
          <w:szCs w:val="24"/>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sz w:val="24"/>
          <w:szCs w:val="24"/>
        </w:rPr>
      </w:pPr>
      <w:r>
        <w:rPr>
          <w:rFonts w:hint="eastAsia" w:ascii="宋体" w:hAnsi="宋体"/>
          <w:sz w:val="24"/>
          <w:szCs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rPr>
          <w:rFonts w:hint="eastAsia" w:ascii="宋体" w:hAnsi="宋体"/>
          <w:b/>
          <w:sz w:val="24"/>
          <w:szCs w:val="24"/>
        </w:rPr>
      </w:pPr>
      <w:r>
        <w:rPr>
          <w:rFonts w:hint="eastAsia" w:ascii="宋体" w:hAnsi="宋体"/>
          <w:b/>
          <w:sz w:val="24"/>
          <w:szCs w:val="24"/>
        </w:rPr>
        <w:t xml:space="preserve">七、授予合同</w:t>
      </w:r>
      <w:r/>
    </w:p>
    <w:p>
      <w:pPr>
        <w:ind w:firstLine="482"/>
        <w:keepLines/>
        <w:keepNext/>
        <w:spacing w:line="440" w:lineRule="exact"/>
        <w:rPr>
          <w:rFonts w:hint="eastAsia" w:ascii="宋体" w:hAnsi="宋体"/>
          <w:b/>
          <w:sz w:val="24"/>
          <w:szCs w:val="24"/>
        </w:rPr>
        <w:outlineLvl w:val="3"/>
      </w:pPr>
      <w:r>
        <w:rPr>
          <w:rFonts w:hint="eastAsia" w:ascii="宋体" w:hAnsi="宋体"/>
          <w:b/>
          <w:sz w:val="24"/>
          <w:szCs w:val="24"/>
        </w:rPr>
        <w:t xml:space="preserve">31. 签订合同</w:t>
      </w:r>
      <w:r/>
    </w:p>
    <w:p>
      <w:pPr>
        <w:ind w:firstLine="480"/>
        <w:spacing w:line="440" w:lineRule="exact"/>
        <w:rPr>
          <w:rFonts w:hint="eastAsia" w:ascii="宋体" w:hAnsi="宋体"/>
          <w:bCs/>
          <w:sz w:val="24"/>
          <w:szCs w:val="24"/>
        </w:rPr>
      </w:pPr>
      <w:r>
        <w:rPr>
          <w:rFonts w:hint="eastAsia" w:ascii="宋体" w:hAnsi="宋体"/>
          <w:bCs/>
          <w:sz w:val="24"/>
          <w:szCs w:val="24"/>
        </w:rPr>
        <w:t xml:space="preserve">31.l</w:t>
      </w:r>
      <w:r>
        <w:rPr>
          <w:rFonts w:hint="eastAsia" w:ascii="宋体" w:hAnsi="宋体"/>
          <w:b/>
          <w:sz w:val="24"/>
          <w:szCs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bCs/>
          <w:sz w:val="24"/>
          <w:szCs w:val="24"/>
        </w:rPr>
      </w:pPr>
      <w:r>
        <w:rPr>
          <w:rFonts w:hint="eastAsia" w:ascii="宋体" w:hAnsi="宋体"/>
          <w:bCs/>
          <w:sz w:val="24"/>
          <w:szCs w:val="24"/>
        </w:rPr>
        <w:t xml:space="preserve">31.2 招标文件、中标人的投标文件及招标过程中有关澄清、承诺文件均应作为合同附件。</w:t>
      </w:r>
      <w:r/>
    </w:p>
    <w:p>
      <w:pPr>
        <w:ind w:firstLine="480"/>
        <w:spacing w:line="440" w:lineRule="exact"/>
        <w:rPr>
          <w:rFonts w:hint="eastAsia" w:ascii="宋体" w:hAnsi="宋体"/>
          <w:bCs/>
          <w:sz w:val="24"/>
          <w:szCs w:val="24"/>
        </w:rPr>
      </w:pPr>
      <w:r>
        <w:rPr>
          <w:rFonts w:hint="eastAsia" w:ascii="宋体" w:hAnsi="宋体"/>
          <w:bCs/>
          <w:sz w:val="24"/>
          <w:szCs w:val="24"/>
        </w:rPr>
        <w:t xml:space="preserve">31.3 签订合同后，中标人不得将货物及其他相关服务进行转包和分包</w:t>
      </w:r>
      <w:r>
        <w:rPr>
          <w:rFonts w:hint="eastAsia" w:ascii="宋体" w:hAnsi="宋体"/>
          <w:sz w:val="24"/>
          <w:szCs w:val="24"/>
        </w:rPr>
        <w:t xml:space="preserve">。</w:t>
      </w:r>
      <w:r/>
    </w:p>
    <w:p>
      <w:pPr>
        <w:ind w:firstLine="482"/>
        <w:keepLines/>
        <w:keepNext/>
        <w:spacing w:line="440" w:lineRule="exact"/>
        <w:rPr>
          <w:rFonts w:hint="eastAsia" w:ascii="宋体" w:hAnsi="宋体"/>
          <w:b/>
          <w:sz w:val="24"/>
          <w:szCs w:val="24"/>
        </w:rPr>
        <w:outlineLvl w:val="3"/>
      </w:pPr>
      <w:r>
        <w:rPr>
          <w:rFonts w:hint="eastAsia" w:ascii="宋体" w:hAnsi="宋体"/>
          <w:b/>
          <w:sz w:val="24"/>
          <w:szCs w:val="24"/>
        </w:rPr>
        <w:t xml:space="preserve">32.履约保证金</w:t>
      </w:r>
      <w:r/>
    </w:p>
    <w:p>
      <w:pPr>
        <w:pStyle w:val="1025"/>
        <w:ind w:firstLine="500"/>
        <w:spacing w:line="440" w:lineRule="exact"/>
        <w:rPr>
          <w:rStyle w:val="1006"/>
          <w:rFonts w:hint="eastAsia" w:ascii="宋体" w:hAnsi="宋体"/>
          <w:spacing w:val="7"/>
          <w:sz w:val="24"/>
          <w:szCs w:val="24"/>
        </w:rPr>
      </w:pPr>
      <w:r>
        <w:rPr>
          <w:rStyle w:val="1006"/>
          <w:rFonts w:hint="eastAsia" w:ascii="宋体" w:hAnsi="宋体"/>
          <w:spacing w:val="7"/>
          <w:sz w:val="24"/>
          <w:szCs w:val="24"/>
        </w:rPr>
        <w:t xml:space="preserve">32.1合同签订前，中标人向采购单位交付的履约保证金为合同总价款的2％。</w:t>
      </w:r>
      <w:bookmarkStart w:id="142" w:name="EB8c6891da72364e93a7598f4884fbe954"/>
      <w:r/>
      <w:bookmarkEnd w:id="142"/>
      <w:r>
        <w:rPr>
          <w:rStyle w:val="1006"/>
          <w:rFonts w:hint="eastAsia" w:ascii="宋体" w:hAnsi="宋体"/>
          <w:spacing w:val="7"/>
          <w:sz w:val="24"/>
          <w:szCs w:val="24"/>
        </w:rPr>
        <w:t xml:space="preserve"> </w:t>
      </w:r>
      <w:r/>
    </w:p>
    <w:p>
      <w:pPr>
        <w:ind w:firstLine="480"/>
        <w:spacing w:line="440" w:lineRule="exact"/>
        <w:rPr>
          <w:rFonts w:hint="eastAsia" w:ascii="宋体" w:hAnsi="宋体"/>
          <w:bCs/>
          <w:sz w:val="24"/>
          <w:szCs w:val="24"/>
        </w:rPr>
      </w:pPr>
      <w:r>
        <w:rPr>
          <w:rFonts w:hint="eastAsia" w:ascii="宋体" w:hAnsi="宋体"/>
          <w:bCs/>
          <w:sz w:val="24"/>
          <w:szCs w:val="24"/>
        </w:rPr>
        <w:t xml:space="preserve">32.2履约保证金必须是人民币。</w:t>
      </w:r>
      <w:r>
        <w:rPr>
          <w:rFonts w:hint="eastAsia" w:ascii="宋体" w:hAnsi="宋体"/>
          <w:sz w:val="24"/>
          <w:szCs w:val="24"/>
        </w:rPr>
        <w:t xml:space="preserve">履约保证金应当以支票、汇票、本票或者金融机构、担保机构出具的保函等非现金形式提交。</w:t>
      </w:r>
      <w:r/>
    </w:p>
    <w:p>
      <w:pPr>
        <w:ind w:firstLine="480"/>
        <w:spacing w:line="440" w:lineRule="exact"/>
        <w:rPr>
          <w:rFonts w:hint="eastAsia" w:ascii="宋体" w:hAnsi="宋体"/>
          <w:bCs/>
          <w:sz w:val="24"/>
        </w:rPr>
      </w:pPr>
      <w:r>
        <w:rPr>
          <w:rFonts w:hint="eastAsia" w:ascii="宋体" w:hAnsi="宋体"/>
          <w:bCs/>
          <w:sz w:val="24"/>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keepLines/>
        <w:keepNext/>
        <w:spacing w:line="440" w:lineRule="exact"/>
        <w:rPr>
          <w:rFonts w:hint="eastAsia" w:ascii="宋体" w:hAnsi="宋体"/>
          <w:b/>
          <w:sz w:val="24"/>
          <w:szCs w:val="24"/>
        </w:rPr>
        <w:outlineLvl w:val="3"/>
      </w:pPr>
      <w:r>
        <w:rPr>
          <w:rFonts w:hint="eastAsia" w:ascii="宋体" w:hAnsi="宋体"/>
          <w:b/>
          <w:sz w:val="24"/>
          <w:szCs w:val="24"/>
        </w:rPr>
        <w:t xml:space="preserve">33.货物和服务的追加、添购</w:t>
      </w:r>
      <w:r/>
    </w:p>
    <w:p>
      <w:pPr>
        <w:ind w:firstLine="480"/>
        <w:spacing w:line="440" w:lineRule="exact"/>
        <w:rPr>
          <w:rFonts w:hint="eastAsia" w:ascii="宋体" w:hAnsi="宋体"/>
          <w:bCs/>
          <w:sz w:val="24"/>
          <w:szCs w:val="24"/>
        </w:rPr>
      </w:pPr>
      <w:r>
        <w:rPr>
          <w:rFonts w:hint="eastAsia" w:ascii="宋体" w:hAnsi="宋体"/>
          <w:bCs/>
          <w:sz w:val="24"/>
          <w:szCs w:val="24"/>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2"/>
        <w:keepLines/>
        <w:keepNext/>
        <w:spacing w:line="440" w:lineRule="exact"/>
        <w:rPr>
          <w:rFonts w:hint="eastAsia" w:ascii="宋体" w:hAnsi="宋体"/>
          <w:b/>
          <w:sz w:val="24"/>
          <w:szCs w:val="24"/>
        </w:rPr>
        <w:outlineLvl w:val="3"/>
      </w:pPr>
      <w:r>
        <w:rPr>
          <w:rFonts w:hint="eastAsia" w:ascii="宋体" w:hAnsi="宋体"/>
          <w:b/>
          <w:sz w:val="24"/>
          <w:szCs w:val="24"/>
        </w:rPr>
        <w:t xml:space="preserve">34.监督和公证</w:t>
      </w:r>
      <w:r/>
    </w:p>
    <w:p>
      <w:pPr>
        <w:ind w:firstLine="480"/>
        <w:spacing w:line="440" w:lineRule="exact"/>
        <w:rPr>
          <w:rFonts w:hint="eastAsia" w:ascii="宋体" w:hAnsi="宋体"/>
          <w:bCs/>
          <w:sz w:val="24"/>
          <w:szCs w:val="24"/>
        </w:rPr>
      </w:pPr>
      <w:r>
        <w:rPr>
          <w:rFonts w:hint="eastAsia" w:ascii="宋体" w:hAnsi="宋体"/>
          <w:bCs/>
          <w:sz w:val="24"/>
          <w:szCs w:val="24"/>
        </w:rPr>
        <w:t xml:space="preserve">34.1政府有关监督部门将对投标全过程进行监督。</w:t>
      </w:r>
      <w:r/>
    </w:p>
    <w:p>
      <w:pPr>
        <w:ind w:firstLine="480"/>
        <w:spacing w:line="440" w:lineRule="exact"/>
        <w:rPr>
          <w:rFonts w:hint="eastAsia" w:ascii="宋体" w:hAnsi="宋体"/>
          <w:sz w:val="24"/>
          <w:szCs w:val="24"/>
        </w:rPr>
      </w:pPr>
      <w:r>
        <w:rPr>
          <w:rFonts w:hint="eastAsia" w:ascii="宋体" w:hAnsi="宋体"/>
          <w:sz w:val="24"/>
          <w:szCs w:val="24"/>
        </w:rPr>
        <w:t xml:space="preserve">34.2 招标代理机构的采购过程将通过公证机关进行公证。</w:t>
      </w:r>
      <w:r/>
    </w:p>
    <w:p>
      <w:pPr>
        <w:pStyle w:val="1013"/>
        <w:pageBreakBefore/>
        <w:spacing w:line="360" w:lineRule="auto"/>
        <w:rPr>
          <w:rFonts w:hint="eastAsia" w:ascii="宋体" w:hAnsi="宋体" w:eastAsia="宋体"/>
        </w:rPr>
      </w:pPr>
      <w:r/>
      <w:bookmarkStart w:id="143" w:name="_Toc3449"/>
      <w:r/>
      <w:bookmarkStart w:id="144" w:name="_Toc38368127"/>
      <w:r/>
      <w:bookmarkStart w:id="145" w:name="_Toc35266027"/>
      <w:r/>
      <w:bookmarkStart w:id="146" w:name="_Toc31775"/>
      <w:r/>
      <w:bookmarkStart w:id="147" w:name="_Toc12745"/>
      <w:r/>
      <w:bookmarkStart w:id="148" w:name="_Toc22460"/>
      <w:r/>
      <w:bookmarkStart w:id="149" w:name="_Toc54615245"/>
      <w:r>
        <w:rPr>
          <w:rFonts w:hint="eastAsia" w:ascii="宋体" w:hAnsi="宋体" w:eastAsia="宋体"/>
        </w:rPr>
        <w:t xml:space="preserve">第三章 合同条款及格式</w:t>
      </w:r>
      <w:bookmarkEnd w:id="143"/>
      <w:r/>
      <w:bookmarkEnd w:id="144"/>
      <w:r/>
      <w:bookmarkEnd w:id="145"/>
      <w:r/>
      <w:bookmarkEnd w:id="146"/>
      <w:r/>
      <w:bookmarkEnd w:id="147"/>
      <w:r/>
      <w:bookmarkEnd w:id="148"/>
      <w:r/>
      <w:bookmarkEnd w:id="149"/>
      <w:r/>
      <w:r/>
    </w:p>
    <w:p>
      <w:pPr>
        <w:pStyle w:val="1026"/>
        <w:ind w:firstLine="480"/>
        <w:spacing w:line="440" w:lineRule="exact"/>
        <w:rPr>
          <w:rStyle w:val="1006"/>
          <w:rFonts w:hAnsi="宋体" w:eastAsia="Times New Roman"/>
          <w:sz w:val="24"/>
        </w:rPr>
      </w:pPr>
      <w:r>
        <w:rPr>
          <w:rStyle w:val="1006"/>
          <w:rFonts w:hAnsi="宋体" w:eastAsia="Times New Roman"/>
          <w:sz w:val="24"/>
        </w:rPr>
        <w:t xml:space="preserve">以下为中标</w:t>
      </w:r>
      <w:r>
        <w:rPr>
          <w:rStyle w:val="1006"/>
          <w:rFonts w:hint="eastAsia" w:ascii="宋体" w:hAnsi="宋体"/>
          <w:sz w:val="24"/>
        </w:rPr>
        <w:t xml:space="preserve">(</w:t>
      </w:r>
      <w:r>
        <w:rPr>
          <w:rStyle w:val="1006"/>
          <w:rFonts w:hAnsi="宋体" w:eastAsia="Times New Roman"/>
          <w:sz w:val="24"/>
        </w:rPr>
        <w:t xml:space="preserve">成交</w:t>
      </w:r>
      <w:r>
        <w:rPr>
          <w:rStyle w:val="1006"/>
          <w:rFonts w:hint="eastAsia" w:ascii="宋体" w:hAnsi="宋体"/>
          <w:sz w:val="24"/>
        </w:rPr>
        <w:t xml:space="preserve">)</w:t>
      </w:r>
      <w:r>
        <w:rPr>
          <w:rStyle w:val="1006"/>
          <w:rFonts w:hAnsi="宋体" w:eastAsia="Times New Roman"/>
          <w:sz w:val="24"/>
        </w:rPr>
        <w:t xml:space="preserve">后签定本项目合同的通用条款，中标</w:t>
      </w:r>
      <w:r>
        <w:rPr>
          <w:rStyle w:val="1006"/>
          <w:rFonts w:hint="eastAsia" w:ascii="宋体" w:hAnsi="宋体"/>
          <w:sz w:val="24"/>
        </w:rPr>
        <w:t xml:space="preserve">(</w:t>
      </w:r>
      <w:r>
        <w:rPr>
          <w:rStyle w:val="1006"/>
          <w:rFonts w:hAnsi="宋体" w:eastAsia="Times New Roman"/>
          <w:sz w:val="24"/>
        </w:rPr>
        <w:t xml:space="preserve">成交</w:t>
      </w:r>
      <w:r>
        <w:rPr>
          <w:rStyle w:val="1006"/>
          <w:rFonts w:hint="eastAsia" w:ascii="宋体" w:hAnsi="宋体"/>
          <w:sz w:val="24"/>
        </w:rPr>
        <w:t xml:space="preserve">)</w:t>
      </w:r>
      <w:r>
        <w:rPr>
          <w:rStyle w:val="1006"/>
          <w:rFonts w:hAnsi="宋体" w:eastAsia="Times New Roman"/>
          <w:sz w:val="24"/>
        </w:rPr>
        <w:t xml:space="preserve">供应商不得提出实质性的修改。</w:t>
      </w:r>
      <w:r/>
    </w:p>
    <w:p>
      <w:pPr>
        <w:pStyle w:val="1026"/>
        <w:jc w:val="center"/>
        <w:rPr>
          <w:rStyle w:val="1006"/>
          <w:b/>
          <w:sz w:val="32"/>
        </w:rPr>
      </w:pPr>
      <w:r>
        <w:rPr>
          <w:rStyle w:val="1006"/>
          <w:rFonts w:hint="eastAsia"/>
          <w:b/>
          <w:sz w:val="32"/>
        </w:rPr>
        <w:t xml:space="preserve">张家港市政府采购合同</w:t>
      </w:r>
      <w:r/>
    </w:p>
    <w:p>
      <w:pPr>
        <w:pStyle w:val="1026"/>
        <w:spacing w:line="440" w:lineRule="exact"/>
        <w:rPr>
          <w:rStyle w:val="1006"/>
          <w:rFonts w:hint="eastAsia" w:ascii="宋体" w:hAnsi="宋体"/>
          <w:sz w:val="24"/>
        </w:rPr>
      </w:pPr>
      <w:r>
        <w:rPr>
          <w:rStyle w:val="1006"/>
          <w:rFonts w:hint="eastAsia" w:ascii="宋体" w:hAnsi="宋体"/>
          <w:sz w:val="24"/>
        </w:rPr>
        <w:t xml:space="preserve">项目名称：</w:t>
      </w:r>
      <w:bookmarkStart w:id="150" w:name="biaoduanname_1"/>
      <w:r>
        <w:rPr>
          <w:rStyle w:val="1006"/>
          <w:rFonts w:hint="eastAsia" w:ascii="宋体" w:hAnsi="宋体"/>
          <w:sz w:val="24"/>
        </w:rPr>
        <w:t xml:space="preserve">                   </w:t>
      </w:r>
      <w:bookmarkEnd w:id="150"/>
      <w:r>
        <w:rPr>
          <w:rStyle w:val="1006"/>
          <w:rFonts w:hint="eastAsia" w:ascii="宋体" w:hAnsi="宋体"/>
          <w:sz w:val="24"/>
        </w:rPr>
        <w:t xml:space="preserve">         </w:t>
      </w:r>
      <w:r/>
    </w:p>
    <w:p>
      <w:pPr>
        <w:pStyle w:val="1026"/>
        <w:spacing w:line="440" w:lineRule="exact"/>
        <w:rPr>
          <w:rStyle w:val="1006"/>
          <w:rFonts w:hint="eastAsia" w:ascii="宋体" w:hAnsi="宋体"/>
          <w:sz w:val="24"/>
        </w:rPr>
      </w:pPr>
      <w:r>
        <w:rPr>
          <w:rStyle w:val="1006"/>
          <w:rFonts w:hint="eastAsia" w:ascii="宋体" w:hAnsi="宋体"/>
          <w:sz w:val="24"/>
        </w:rPr>
        <w:t xml:space="preserve">项目编号：</w:t>
      </w:r>
      <w:bookmarkStart w:id="151" w:name="projectno"/>
      <w:r>
        <w:rPr>
          <w:rStyle w:val="1006"/>
          <w:rFonts w:hint="eastAsia" w:ascii="宋体" w:hAnsi="宋体"/>
          <w:sz w:val="24"/>
        </w:rPr>
        <w:t xml:space="preserve">                  </w:t>
      </w:r>
      <w:bookmarkEnd w:id="151"/>
      <w:r/>
      <w:r/>
    </w:p>
    <w:p>
      <w:pPr>
        <w:pStyle w:val="1026"/>
        <w:spacing w:line="440" w:lineRule="exact"/>
        <w:rPr>
          <w:rStyle w:val="1006"/>
          <w:rFonts w:hint="eastAsia" w:ascii="宋体" w:hAnsi="宋体"/>
          <w:sz w:val="24"/>
        </w:rPr>
      </w:pPr>
      <w:r>
        <w:rPr>
          <w:rStyle w:val="1006"/>
          <w:rFonts w:hint="eastAsia" w:ascii="宋体" w:hAnsi="宋体"/>
          <w:sz w:val="24"/>
        </w:rPr>
        <w:t xml:space="preserve">甲方：（买方）</w:t>
      </w:r>
      <w:r>
        <w:rPr>
          <w:rStyle w:val="1006"/>
          <w:rFonts w:hint="eastAsia" w:ascii="宋体" w:hAnsi="宋体"/>
          <w:sz w:val="24"/>
          <w:u w:val="single"/>
        </w:rPr>
        <w:t xml:space="preserve"> </w:t>
      </w:r>
      <w:bookmarkStart w:id="152" w:name="jianshedanwei_1"/>
      <w:r>
        <w:rPr>
          <w:rStyle w:val="1006"/>
          <w:rFonts w:hint="eastAsia" w:ascii="宋体" w:hAnsi="宋体"/>
          <w:sz w:val="24"/>
          <w:u w:val="single"/>
        </w:rPr>
        <w:t xml:space="preserve">                  </w:t>
      </w:r>
      <w:bookmarkEnd w:id="152"/>
      <w:r>
        <w:rPr>
          <w:rStyle w:val="1006"/>
          <w:rFonts w:hint="eastAsia" w:ascii="宋体" w:hAnsi="宋体"/>
          <w:sz w:val="24"/>
          <w:u w:val="single"/>
        </w:rPr>
        <w:t xml:space="preserve"> </w:t>
      </w:r>
      <w:r/>
    </w:p>
    <w:p>
      <w:pPr>
        <w:pStyle w:val="1026"/>
        <w:spacing w:line="440" w:lineRule="exact"/>
        <w:rPr>
          <w:rStyle w:val="1006"/>
          <w:rFonts w:hint="eastAsia" w:ascii="宋体" w:hAnsi="宋体"/>
          <w:sz w:val="24"/>
        </w:rPr>
      </w:pPr>
      <w:r>
        <w:rPr>
          <w:rStyle w:val="1006"/>
          <w:rFonts w:hint="eastAsia" w:ascii="宋体" w:hAnsi="宋体"/>
          <w:sz w:val="24"/>
        </w:rPr>
        <w:t xml:space="preserve">乙方：（卖方）</w:t>
      </w:r>
      <w:r>
        <w:rPr>
          <w:rStyle w:val="1006"/>
          <w:rFonts w:hint="eastAsia" w:ascii="宋体" w:hAnsi="宋体"/>
          <w:sz w:val="24"/>
          <w:u w:val="single"/>
        </w:rPr>
        <w:t xml:space="preserve"> </w:t>
      </w:r>
      <w:bookmarkStart w:id="153" w:name="zhongbiaodanweiname_1"/>
      <w:r>
        <w:rPr>
          <w:rStyle w:val="1006"/>
          <w:rFonts w:hint="eastAsia" w:ascii="宋体" w:hAnsi="宋体"/>
          <w:sz w:val="24"/>
          <w:u w:val="single"/>
        </w:rPr>
        <w:t xml:space="preserve">                    </w:t>
      </w:r>
      <w:bookmarkEnd w:id="153"/>
      <w:r>
        <w:rPr>
          <w:rStyle w:val="1006"/>
          <w:rFonts w:hint="eastAsia" w:ascii="宋体" w:hAnsi="宋体"/>
          <w:sz w:val="24"/>
          <w:u w:val="single"/>
        </w:rPr>
        <w:t xml:space="preserve"> </w:t>
      </w:r>
      <w:r/>
    </w:p>
    <w:p>
      <w:pPr>
        <w:pStyle w:val="1026"/>
        <w:spacing w:line="440" w:lineRule="exact"/>
        <w:rPr>
          <w:rFonts w:hint="eastAsia" w:ascii="宋体" w:hAnsi="宋体"/>
          <w:sz w:val="24"/>
        </w:rPr>
      </w:pPr>
      <w:r>
        <w:rPr>
          <w:rFonts w:hint="eastAsia" w:ascii="宋体" w:hAnsi="宋体"/>
          <w:sz w:val="24"/>
        </w:rPr>
        <w:t xml:space="preserve">甲、乙双方根据苏州市公共资源交易中心张家港分中心 </w:t>
      </w:r>
      <w:r>
        <w:rPr>
          <w:rFonts w:hint="eastAsia" w:ascii="宋体" w:hAnsi="宋体"/>
          <w:sz w:val="24"/>
          <w:u w:val="single"/>
        </w:rPr>
        <w:t xml:space="preserve">     </w:t>
      </w:r>
      <w:r>
        <w:rPr>
          <w:rFonts w:hint="eastAsia" w:ascii="宋体" w:hAnsi="宋体"/>
          <w:sz w:val="24"/>
        </w:rPr>
        <w:t xml:space="preserve">项目公开招标的结果，签署本合同。</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一、货物内容</w:t>
      </w:r>
      <w:r/>
    </w:p>
    <w:tbl>
      <w:tblPr>
        <w:tblStyle w:val="816"/>
        <w:tblW w:w="810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trHeight w:val="789"/>
        </w:trPr>
        <w:tc>
          <w:tcPr>
            <w:tcBorders>
              <w:bottom w:val="single" w:color="auto" w:sz="4" w:space="0"/>
              <w:right w:val="single" w:color="auto" w:sz="4" w:space="0"/>
            </w:tcBorders>
            <w:tcW w:w="3216"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t xml:space="preserve">投标货物名称</w:t>
            </w:r>
            <w:r/>
          </w:p>
        </w:tc>
        <w:tc>
          <w:tcPr>
            <w:tcBorders>
              <w:left w:val="single" w:color="auto" w:sz="4" w:space="0"/>
              <w:bottom w:val="single" w:color="auto" w:sz="4" w:space="0"/>
              <w:right w:val="single" w:color="auto" w:sz="4" w:space="0"/>
            </w:tcBorders>
            <w:tcW w:w="2883"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t xml:space="preserve">总价（元）</w:t>
            </w:r>
            <w:r/>
          </w:p>
        </w:tc>
        <w:tc>
          <w:tcPr>
            <w:tcBorders>
              <w:left w:val="single" w:color="auto" w:sz="4" w:space="0"/>
              <w:bottom w:val="single" w:color="auto" w:sz="4" w:space="0"/>
            </w:tcBorders>
            <w:tcW w:w="2001"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t xml:space="preserve">备注</w:t>
            </w:r>
            <w:r/>
          </w:p>
        </w:tc>
      </w:tr>
      <w:tr>
        <w:trPr>
          <w:cantSplit/>
          <w:trHeight w:val="679"/>
        </w:trPr>
        <w:tc>
          <w:tcPr>
            <w:tcBorders>
              <w:top w:val="single" w:color="auto" w:sz="4" w:space="0"/>
              <w:right w:val="single" w:color="auto" w:sz="4" w:space="0"/>
            </w:tcBorders>
            <w:tcW w:w="3216" w:type="dxa"/>
            <w:vAlign w:val="center"/>
            <w:textDirection w:val="lrTb"/>
            <w:noWrap w:val="false"/>
          </w:tcPr>
          <w:p>
            <w:pPr>
              <w:spacing w:before="120" w:after="120" w:line="440" w:lineRule="exact"/>
              <w:rPr>
                <w:rFonts w:hint="eastAsia" w:ascii="宋体" w:hAnsi="宋体"/>
                <w:sz w:val="24"/>
                <w:szCs w:val="24"/>
              </w:rPr>
            </w:pPr>
            <w:r>
              <w:rPr>
                <w:rFonts w:hint="eastAsia" w:ascii="宋体" w:hAnsi="宋体"/>
                <w:sz w:val="24"/>
                <w:szCs w:val="24"/>
              </w:rPr>
              <w:t xml:space="preserve"> </w:t>
            </w:r>
            <w:bookmarkStart w:id="154" w:name="itemname"/>
            <w:r>
              <w:rPr>
                <w:rFonts w:hint="eastAsia" w:ascii="宋体" w:hAnsi="宋体"/>
                <w:sz w:val="24"/>
                <w:szCs w:val="24"/>
              </w:rPr>
              <w:t xml:space="preserve">      </w:t>
            </w:r>
            <w:bookmarkEnd w:id="154"/>
            <w:r>
              <w:rPr>
                <w:rFonts w:hint="eastAsia" w:ascii="宋体" w:hAnsi="宋体"/>
                <w:sz w:val="24"/>
                <w:szCs w:val="24"/>
              </w:rPr>
              <w:t xml:space="preserve">     </w:t>
            </w:r>
            <w:r>
              <w:rPr>
                <w:rFonts w:ascii="宋体" w:hAnsi="宋体"/>
                <w:sz w:val="24"/>
                <w:szCs w:val="24"/>
              </w:rPr>
              <w:t xml:space="preserve">           </w:t>
            </w:r>
            <w:r/>
          </w:p>
        </w:tc>
        <w:tc>
          <w:tcPr>
            <w:tcBorders>
              <w:top w:val="single" w:color="auto" w:sz="4" w:space="0"/>
              <w:left w:val="single" w:color="auto" w:sz="4" w:space="0"/>
              <w:right w:val="single" w:color="auto" w:sz="4" w:space="0"/>
            </w:tcBorders>
            <w:tcW w:w="2883" w:type="dxa"/>
            <w:vAlign w:val="center"/>
            <w:textDirection w:val="lrTb"/>
            <w:noWrap w:val="false"/>
          </w:tcPr>
          <w:p>
            <w:pPr>
              <w:spacing w:before="120" w:after="120" w:line="440" w:lineRule="exact"/>
              <w:rPr>
                <w:rFonts w:hint="eastAsia" w:ascii="宋体" w:hAnsi="宋体"/>
                <w:sz w:val="24"/>
                <w:szCs w:val="24"/>
              </w:rPr>
            </w:pPr>
            <w:r>
              <w:rPr>
                <w:rFonts w:hint="eastAsia" w:ascii="宋体" w:hAnsi="宋体"/>
                <w:sz w:val="24"/>
                <w:szCs w:val="24"/>
              </w:rPr>
              <w:t xml:space="preserve">   </w:t>
            </w:r>
            <w:bookmarkStart w:id="155" w:name="zhongbiaopricelow_1"/>
            <w:r>
              <w:rPr>
                <w:rFonts w:hint="eastAsia" w:ascii="宋体" w:hAnsi="宋体"/>
                <w:sz w:val="24"/>
                <w:szCs w:val="24"/>
              </w:rPr>
              <w:t xml:space="preserve">     </w:t>
            </w:r>
            <w:r>
              <w:rPr>
                <w:rFonts w:ascii="宋体" w:hAnsi="宋体"/>
                <w:sz w:val="24"/>
                <w:szCs w:val="24"/>
              </w:rPr>
              <w:t xml:space="preserve">            </w:t>
            </w:r>
            <w:bookmarkEnd w:id="155"/>
            <w:r>
              <w:rPr>
                <w:rFonts w:ascii="宋体" w:hAnsi="宋体"/>
                <w:sz w:val="24"/>
                <w:szCs w:val="24"/>
              </w:rPr>
              <w:t xml:space="preserve"> </w:t>
            </w:r>
            <w:r/>
          </w:p>
        </w:tc>
        <w:tc>
          <w:tcPr>
            <w:tcBorders>
              <w:top w:val="single" w:color="auto" w:sz="4" w:space="0"/>
              <w:left w:val="single" w:color="auto" w:sz="4" w:space="0"/>
            </w:tcBorders>
            <w:tcW w:w="2001"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r>
            <w:r/>
          </w:p>
        </w:tc>
      </w:tr>
    </w:tbl>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二、合同金额</w:t>
      </w:r>
      <w:r/>
    </w:p>
    <w:p>
      <w:pPr>
        <w:pStyle w:val="1026"/>
        <w:ind w:firstLine="480"/>
        <w:spacing w:line="440" w:lineRule="exact"/>
        <w:rPr>
          <w:rStyle w:val="1006"/>
          <w:rFonts w:hint="eastAsia" w:ascii="宋体" w:hAnsi="宋体"/>
          <w:sz w:val="24"/>
        </w:rPr>
      </w:pPr>
      <w:r>
        <w:rPr>
          <w:rStyle w:val="1006"/>
          <w:rFonts w:hint="eastAsia" w:ascii="宋体" w:hAnsi="宋体"/>
          <w:sz w:val="24"/>
        </w:rPr>
        <w:t xml:space="preserve">2.1 本合同金额为（大写）：</w:t>
      </w:r>
      <w:r>
        <w:rPr>
          <w:rStyle w:val="1006"/>
          <w:rFonts w:hint="eastAsia" w:ascii="宋体" w:hAnsi="宋体"/>
          <w:sz w:val="24"/>
          <w:u w:val="single"/>
        </w:rPr>
        <w:t xml:space="preserve"> </w:t>
      </w:r>
      <w:bookmarkStart w:id="156" w:name="zhongbiaopriceup"/>
      <w:r>
        <w:rPr>
          <w:rStyle w:val="1006"/>
          <w:rFonts w:hint="eastAsia" w:ascii="宋体" w:hAnsi="宋体"/>
          <w:sz w:val="24"/>
          <w:u w:val="single"/>
        </w:rPr>
        <w:t xml:space="preserve">             </w:t>
      </w:r>
      <w:bookmarkEnd w:id="156"/>
      <w:r>
        <w:rPr>
          <w:rStyle w:val="1006"/>
          <w:rFonts w:hint="eastAsia" w:ascii="宋体" w:hAnsi="宋体"/>
          <w:sz w:val="24"/>
        </w:rPr>
        <w:t xml:space="preserve">（</w:t>
      </w:r>
      <w:r>
        <w:rPr>
          <w:rStyle w:val="1006"/>
          <w:rFonts w:hint="eastAsia" w:ascii="宋体" w:hAnsi="宋体"/>
          <w:sz w:val="24"/>
          <w:u w:val="single"/>
        </w:rPr>
        <w:t xml:space="preserve"> </w:t>
      </w:r>
      <w:bookmarkStart w:id="157" w:name="zhongbiaopricelow"/>
      <w:r>
        <w:rPr>
          <w:rStyle w:val="1006"/>
          <w:rFonts w:hint="eastAsia" w:ascii="宋体" w:hAnsi="宋体"/>
          <w:sz w:val="24"/>
          <w:u w:val="single"/>
        </w:rPr>
        <w:t xml:space="preserve">           </w:t>
      </w:r>
      <w:bookmarkEnd w:id="157"/>
      <w:r>
        <w:rPr>
          <w:rStyle w:val="1006"/>
          <w:rFonts w:hint="eastAsia" w:ascii="宋体" w:hAnsi="宋体"/>
          <w:sz w:val="24"/>
          <w:u w:val="single"/>
        </w:rPr>
        <w:t xml:space="preserve"> </w:t>
      </w:r>
      <w:r>
        <w:rPr>
          <w:rStyle w:val="1006"/>
          <w:rFonts w:hint="eastAsia" w:ascii="宋体" w:hAnsi="宋体"/>
          <w:sz w:val="24"/>
        </w:rPr>
        <w:t xml:space="preserve">元）人民币。</w:t>
      </w:r>
      <w:r/>
    </w:p>
    <w:p>
      <w:pPr>
        <w:ind w:firstLine="472"/>
        <w:spacing w:before="120" w:after="120" w:line="440" w:lineRule="exact"/>
        <w:rPr>
          <w:rFonts w:hint="eastAsia" w:ascii="宋体" w:hAnsi="宋体"/>
          <w:sz w:val="24"/>
          <w:szCs w:val="24"/>
        </w:rPr>
      </w:pPr>
      <w:r>
        <w:rPr>
          <w:rFonts w:hint="eastAsia" w:ascii="宋体" w:hAnsi="宋体"/>
          <w:sz w:val="24"/>
          <w:szCs w:val="24"/>
        </w:rPr>
        <w:t xml:space="preserve">总价为综合报价，应包括但不限于：货物、配件、附件、备品备件、专用工具、耗品、辅材、包装、运输、装卸、安装、调试、检测、验收、人员培训、售后服务、保修、政策性文件规定及合同包含的所有风险责任的各项费用、技术指导、利润、税金等全部费用。 </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三、技术资料</w:t>
      </w:r>
      <w:r/>
    </w:p>
    <w:p>
      <w:pPr>
        <w:ind w:left="407"/>
        <w:spacing w:before="120" w:after="120" w:line="440" w:lineRule="exact"/>
        <w:rPr>
          <w:rFonts w:hint="eastAsia" w:ascii="宋体" w:hAnsi="宋体"/>
          <w:sz w:val="24"/>
          <w:szCs w:val="24"/>
        </w:rPr>
      </w:pPr>
      <w:r>
        <w:rPr>
          <w:rFonts w:hint="eastAsia" w:ascii="宋体" w:hAnsi="宋体"/>
          <w:sz w:val="24"/>
          <w:szCs w:val="24"/>
        </w:rPr>
        <w:t xml:space="preserve">3.1乙方应按招标文件规定的时间向甲方提供使用货物的有关技术资料。</w:t>
      </w:r>
      <w:r/>
    </w:p>
    <w:p>
      <w:pPr>
        <w:ind w:firstLine="360"/>
        <w:spacing w:before="120" w:after="120" w:line="440" w:lineRule="exact"/>
        <w:rPr>
          <w:rFonts w:hint="eastAsia" w:ascii="宋体" w:hAnsi="宋体"/>
          <w:sz w:val="24"/>
          <w:szCs w:val="24"/>
        </w:rPr>
      </w:pPr>
      <w:r>
        <w:rPr>
          <w:rFonts w:hint="eastAsia" w:ascii="宋体"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spacing w:before="120" w:after="120" w:line="440" w:lineRule="exact"/>
        <w:rPr>
          <w:rFonts w:hint="eastAsia" w:ascii="宋体" w:hAnsi="宋体"/>
          <w:b/>
          <w:bCs/>
          <w:sz w:val="24"/>
          <w:szCs w:val="24"/>
        </w:rPr>
      </w:pPr>
      <w:r>
        <w:rPr>
          <w:rFonts w:hint="eastAsia" w:ascii="宋体" w:hAnsi="宋体"/>
          <w:b/>
          <w:bCs/>
          <w:sz w:val="24"/>
          <w:szCs w:val="24"/>
        </w:rPr>
        <w:t xml:space="preserve">四、知识产权</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五、产权担保</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5.1 乙方保证所交付的货物的所有权完全属于乙方且无任何抵押、查封等产权瑕疵。</w:t>
      </w:r>
      <w:r/>
    </w:p>
    <w:p>
      <w:pPr>
        <w:pStyle w:val="1026"/>
        <w:ind w:left="407"/>
        <w:spacing w:line="440" w:lineRule="exact"/>
        <w:rPr>
          <w:rStyle w:val="1006"/>
          <w:rFonts w:hint="eastAsia" w:ascii="宋体" w:hAnsi="宋体"/>
          <w:b/>
          <w:sz w:val="24"/>
        </w:rPr>
      </w:pPr>
      <w:r>
        <w:rPr>
          <w:rStyle w:val="1006"/>
          <w:rFonts w:hint="eastAsia" w:ascii="宋体" w:hAnsi="宋体"/>
          <w:b/>
          <w:sz w:val="24"/>
        </w:rPr>
        <w:t xml:space="preserve">六、履约保证金</w:t>
      </w:r>
      <w:r/>
    </w:p>
    <w:p>
      <w:pPr>
        <w:pStyle w:val="1026"/>
        <w:ind w:firstLine="480"/>
        <w:spacing w:line="440" w:lineRule="exact"/>
        <w:rPr>
          <w:rStyle w:val="1006"/>
          <w:rFonts w:hint="eastAsia" w:ascii="宋体" w:hAnsi="宋体"/>
          <w:sz w:val="24"/>
        </w:rPr>
      </w:pPr>
      <w:r>
        <w:rPr>
          <w:rStyle w:val="1006"/>
          <w:rFonts w:hint="eastAsia" w:ascii="宋体" w:hAnsi="宋体"/>
          <w:sz w:val="24"/>
        </w:rPr>
        <w:t xml:space="preserve">6.1合同签订前，乙方向采购单位交纳人民币</w:t>
      </w:r>
      <w:r>
        <w:rPr>
          <w:rStyle w:val="1006"/>
          <w:rFonts w:hint="eastAsia" w:ascii="宋体" w:hAnsi="宋体"/>
          <w:sz w:val="24"/>
          <w:u w:val="single"/>
        </w:rPr>
        <w:t xml:space="preserve"> </w:t>
      </w:r>
      <w:bookmarkStart w:id="158" w:name="lvbzj"/>
      <w:r>
        <w:rPr>
          <w:rStyle w:val="1006"/>
          <w:rFonts w:hint="eastAsia" w:ascii="宋体" w:hAnsi="宋体"/>
          <w:sz w:val="24"/>
          <w:u w:val="single"/>
        </w:rPr>
        <w:t xml:space="preserve">  </w:t>
      </w:r>
      <w:bookmarkEnd w:id="158"/>
      <w:r>
        <w:rPr>
          <w:rStyle w:val="1006"/>
          <w:rFonts w:hint="eastAsia" w:ascii="宋体" w:hAnsi="宋体"/>
          <w:sz w:val="24"/>
          <w:u w:val="single"/>
        </w:rPr>
        <w:t xml:space="preserve"> </w:t>
      </w:r>
      <w:r>
        <w:rPr>
          <w:rStyle w:val="1006"/>
          <w:rFonts w:hint="eastAsia" w:ascii="宋体" w:hAnsi="宋体"/>
          <w:sz w:val="24"/>
        </w:rPr>
        <w:t xml:space="preserve">元作为本合同的履约保证金。履约保证金应当以支票、汇票、本票或者金融机构、担保机构出具的保函等非现金形式提交。</w:t>
      </w:r>
      <w:r/>
    </w:p>
    <w:p>
      <w:pPr>
        <w:pStyle w:val="1027"/>
        <w:ind w:left="0" w:firstLine="480"/>
        <w:spacing w:line="440" w:lineRule="exact"/>
        <w:rPr>
          <w:rFonts w:hint="eastAsia"/>
        </w:rPr>
      </w:pPr>
      <w:r>
        <w:rPr>
          <w:rFonts w:hint="eastAsia"/>
        </w:rPr>
        <w:t xml:space="preserve">6.2合同履行完毕返还履约保证金。逾期退还的，应当支付逾期利息，且逾期利息的利率不得低于合同订立时 1 年期贷款市场报价利率。</w:t>
      </w:r>
      <w:r/>
    </w:p>
    <w:p>
      <w:pPr>
        <w:pStyle w:val="1027"/>
        <w:spacing w:line="440" w:lineRule="exact"/>
        <w:rPr>
          <w:rFonts w:hint="eastAsia"/>
        </w:rPr>
      </w:pPr>
      <w:r>
        <w:rPr>
          <w:rFonts w:hint="eastAsia"/>
        </w:rPr>
        <w:t xml:space="preserve">6.3乙方不履行与甲方订立的合同的，履约保证金不予退还。</w:t>
      </w:r>
      <w:r/>
    </w:p>
    <w:p>
      <w:pPr>
        <w:pStyle w:val="1027"/>
        <w:spacing w:line="440" w:lineRule="exact"/>
        <w:rPr>
          <w:rFonts w:hint="eastAsia"/>
        </w:rPr>
      </w:pPr>
      <w:r>
        <w:rPr>
          <w:rFonts w:hint="eastAsia"/>
        </w:rPr>
        <w:t xml:space="preserve">6.4按照《江苏省财政厅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1027"/>
        <w:spacing w:line="440" w:lineRule="exact"/>
        <w:rPr>
          <w:rFonts w:hint="eastAsia"/>
          <w:b/>
        </w:rPr>
      </w:pPr>
      <w:r>
        <w:rPr>
          <w:rFonts w:hint="eastAsia"/>
          <w:b/>
        </w:rPr>
        <w:t xml:space="preserve">七、转包或分包 </w:t>
      </w:r>
      <w:r/>
    </w:p>
    <w:p>
      <w:pPr>
        <w:pStyle w:val="1027"/>
        <w:spacing w:line="440" w:lineRule="exact"/>
        <w:rPr>
          <w:rFonts w:hint="eastAsia"/>
        </w:rPr>
      </w:pPr>
      <w:r>
        <w:rPr>
          <w:rFonts w:hint="eastAsia"/>
        </w:rPr>
        <w:t xml:space="preserve">7.1 本合同范围的服务，应由乙方直接提供，不得转让他人提供；</w:t>
      </w:r>
      <w:r/>
    </w:p>
    <w:p>
      <w:pPr>
        <w:pStyle w:val="1027"/>
        <w:spacing w:line="440" w:lineRule="exact"/>
        <w:rPr>
          <w:rFonts w:hint="eastAsia"/>
        </w:rPr>
      </w:pPr>
      <w:r>
        <w:rPr>
          <w:rFonts w:hint="eastAsia"/>
        </w:rPr>
        <w:t xml:space="preserve">7.2 如有转包和分包行为，甲方有权给予终止合同。</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八、交货期、交货方式及交货地点</w:t>
      </w:r>
      <w:r/>
    </w:p>
    <w:p>
      <w:pPr>
        <w:ind w:firstLine="480"/>
        <w:spacing w:before="120" w:after="120" w:line="440" w:lineRule="exact"/>
        <w:rPr>
          <w:rFonts w:hint="eastAsia" w:ascii="宋体" w:hAnsi="宋体"/>
          <w:bCs/>
          <w:sz w:val="24"/>
          <w:szCs w:val="24"/>
        </w:rPr>
      </w:pPr>
      <w:r>
        <w:rPr>
          <w:rFonts w:hint="eastAsia" w:ascii="宋体" w:hAnsi="宋体"/>
          <w:bCs/>
          <w:sz w:val="24"/>
          <w:szCs w:val="24"/>
        </w:rPr>
        <w:t xml:space="preserve">8.1 交货期：</w:t>
      </w:r>
      <w:r>
        <w:rPr>
          <w:rFonts w:hint="eastAsia" w:ascii="宋体" w:hAnsi="宋体"/>
          <w:sz w:val="24"/>
          <w:szCs w:val="24"/>
          <w:u w:val="single"/>
        </w:rPr>
        <w:t xml:space="preserve"> </w:t>
      </w:r>
      <w:bookmarkStart w:id="159" w:name="jiaohuoqi"/>
      <w:r>
        <w:rPr>
          <w:rFonts w:hint="eastAsia" w:ascii="宋体" w:hAnsi="宋体"/>
          <w:sz w:val="24"/>
          <w:szCs w:val="24"/>
          <w:u w:val="single"/>
        </w:rPr>
        <w:t xml:space="preserve">                    </w:t>
      </w:r>
      <w:bookmarkEnd w:id="159"/>
      <w:r>
        <w:rPr>
          <w:rFonts w:hint="eastAsia" w:ascii="宋体" w:hAnsi="宋体"/>
          <w:sz w:val="24"/>
          <w:szCs w:val="24"/>
          <w:u w:val="single"/>
        </w:rPr>
        <w:t xml:space="preserve"> </w:t>
      </w:r>
      <w:r/>
    </w:p>
    <w:p>
      <w:pPr>
        <w:ind w:firstLine="480"/>
        <w:spacing w:before="120" w:after="120" w:line="440" w:lineRule="exact"/>
        <w:rPr>
          <w:rFonts w:hint="eastAsia" w:ascii="宋体" w:hAnsi="宋体"/>
          <w:bCs/>
          <w:sz w:val="24"/>
          <w:szCs w:val="24"/>
        </w:rPr>
      </w:pPr>
      <w:r>
        <w:rPr>
          <w:rFonts w:hint="eastAsia" w:ascii="宋体" w:hAnsi="宋体"/>
          <w:bCs/>
          <w:sz w:val="24"/>
          <w:szCs w:val="24"/>
        </w:rPr>
        <w:t xml:space="preserve">8.2 交货方式：</w:t>
      </w:r>
      <w:r>
        <w:rPr>
          <w:rFonts w:hint="eastAsia" w:ascii="宋体" w:hAnsi="宋体"/>
          <w:sz w:val="24"/>
          <w:szCs w:val="24"/>
          <w:u w:val="single"/>
        </w:rPr>
        <w:t xml:space="preserve"> </w:t>
      </w:r>
      <w:bookmarkStart w:id="160" w:name="jiaohuofangshi"/>
      <w:r>
        <w:rPr>
          <w:rFonts w:hint="eastAsia" w:ascii="宋体" w:hAnsi="宋体"/>
          <w:sz w:val="24"/>
          <w:szCs w:val="24"/>
          <w:u w:val="single"/>
        </w:rPr>
        <w:t xml:space="preserve">                    </w:t>
      </w:r>
      <w:bookmarkEnd w:id="160"/>
      <w:r>
        <w:rPr>
          <w:rFonts w:hint="eastAsia" w:ascii="宋体" w:hAnsi="宋体"/>
          <w:sz w:val="24"/>
          <w:szCs w:val="24"/>
          <w:u w:val="single"/>
        </w:rPr>
        <w:t xml:space="preserve"> </w:t>
      </w:r>
      <w:r/>
    </w:p>
    <w:p>
      <w:pPr>
        <w:ind w:firstLine="480"/>
        <w:spacing w:before="120" w:after="120" w:line="440" w:lineRule="exact"/>
        <w:rPr>
          <w:rFonts w:hint="eastAsia" w:ascii="宋体" w:hAnsi="宋体"/>
          <w:bCs/>
          <w:sz w:val="24"/>
          <w:szCs w:val="24"/>
        </w:rPr>
      </w:pPr>
      <w:r>
        <w:rPr>
          <w:rFonts w:hint="eastAsia" w:ascii="宋体" w:hAnsi="宋体"/>
          <w:bCs/>
          <w:sz w:val="24"/>
          <w:szCs w:val="24"/>
        </w:rPr>
        <w:t xml:space="preserve">8.3 交货地点：</w:t>
      </w:r>
      <w:r>
        <w:rPr>
          <w:rFonts w:hint="eastAsia" w:ascii="宋体" w:hAnsi="宋体"/>
          <w:sz w:val="24"/>
          <w:szCs w:val="24"/>
          <w:u w:val="single"/>
        </w:rPr>
        <w:t xml:space="preserve"> </w:t>
      </w:r>
      <w:bookmarkStart w:id="161" w:name="jiaohuodidian"/>
      <w:r>
        <w:rPr>
          <w:rFonts w:hint="eastAsia" w:ascii="宋体" w:hAnsi="宋体"/>
          <w:sz w:val="24"/>
          <w:szCs w:val="24"/>
          <w:u w:val="single"/>
        </w:rPr>
        <w:t xml:space="preserve">                   </w:t>
      </w:r>
      <w:bookmarkEnd w:id="161"/>
      <w:r>
        <w:rPr>
          <w:rFonts w:hint="eastAsia" w:ascii="宋体" w:hAnsi="宋体"/>
          <w:sz w:val="24"/>
          <w:szCs w:val="24"/>
          <w:u w:val="single"/>
        </w:rPr>
        <w:t xml:space="preserve"> </w:t>
      </w:r>
      <w:r/>
    </w:p>
    <w:p>
      <w:pPr>
        <w:pStyle w:val="1027"/>
        <w:spacing w:line="440" w:lineRule="exact"/>
        <w:rPr>
          <w:rFonts w:hint="eastAsia"/>
          <w:b/>
        </w:rPr>
      </w:pPr>
      <w:r>
        <w:rPr>
          <w:rFonts w:hint="eastAsia"/>
          <w:b/>
        </w:rPr>
        <w:t xml:space="preserve">九、货款支付 </w:t>
      </w:r>
      <w:r/>
    </w:p>
    <w:p>
      <w:pPr>
        <w:pStyle w:val="1027"/>
        <w:spacing w:line="440" w:lineRule="exact"/>
        <w:rPr>
          <w:rFonts w:hint="eastAsia"/>
        </w:rPr>
      </w:pPr>
      <w:r>
        <w:rPr>
          <w:rFonts w:hint="eastAsia"/>
        </w:rPr>
        <w:t xml:space="preserve">9.1 结付程序：</w:t>
      </w:r>
      <w:r>
        <w:rPr>
          <w:rFonts w:hint="eastAsia"/>
          <w:u w:val="single"/>
        </w:rPr>
        <w:t xml:space="preserve">       </w:t>
      </w:r>
      <w:r/>
    </w:p>
    <w:p>
      <w:pPr>
        <w:pStyle w:val="1027"/>
        <w:spacing w:line="440" w:lineRule="exact"/>
        <w:rPr>
          <w:rFonts w:hint="eastAsia"/>
        </w:rPr>
      </w:pPr>
      <w:r>
        <w:rPr>
          <w:rFonts w:hint="eastAsia"/>
        </w:rPr>
        <w:t xml:space="preserve">9.2 结付期限：</w:t>
      </w:r>
      <w:r>
        <w:rPr>
          <w:rFonts w:hint="eastAsia"/>
          <w:u w:val="single"/>
        </w:rPr>
        <w:t xml:space="preserve">      </w:t>
      </w:r>
      <w:r>
        <w:rPr>
          <w:rFonts w:hint="eastAsia"/>
        </w:rPr>
        <w:t xml:space="preserve">  </w:t>
      </w:r>
      <w:r/>
    </w:p>
    <w:p>
      <w:pPr>
        <w:pStyle w:val="1027"/>
        <w:spacing w:line="440" w:lineRule="exact"/>
        <w:rPr>
          <w:rFonts w:hint="eastAsia"/>
        </w:rPr>
      </w:pPr>
      <w:r>
        <w:rPr>
          <w:rFonts w:hint="eastAsia"/>
        </w:rPr>
        <w:t xml:space="preserve">9.3 乙方收款账户：</w:t>
      </w:r>
      <w:r>
        <w:rPr>
          <w:rFonts w:hint="eastAsia"/>
          <w:u w:val="single"/>
        </w:rPr>
        <w:t xml:space="preserve">      </w:t>
      </w:r>
      <w:r/>
    </w:p>
    <w:p>
      <w:pPr>
        <w:pStyle w:val="1027"/>
        <w:spacing w:line="440" w:lineRule="exact"/>
        <w:rPr>
          <w:rFonts w:hint="eastAsia"/>
        </w:rPr>
      </w:pPr>
      <w:r>
        <w:rPr>
          <w:rFonts w:hint="eastAsia"/>
        </w:rPr>
        <w:t xml:space="preserve">9.4 甲方合同款支付方式：</w:t>
      </w:r>
      <w:r>
        <w:rPr>
          <w:rFonts w:hint="eastAsia"/>
          <w:u w:val="single"/>
        </w:rPr>
        <w:t xml:space="preserve">         </w:t>
      </w:r>
      <w:r>
        <w:rPr>
          <w:rFonts w:hint="eastAsia"/>
        </w:rPr>
        <w:t xml:space="preserve">（若乙方为中小企业，不得强制其接受非现金支付方式）</w:t>
      </w:r>
      <w:r/>
    </w:p>
    <w:p>
      <w:pPr>
        <w:pStyle w:val="1027"/>
        <w:spacing w:line="440" w:lineRule="exact"/>
        <w:rPr>
          <w:rFonts w:hint="eastAsia"/>
          <w:b/>
        </w:rPr>
      </w:pPr>
      <w:r>
        <w:rPr>
          <w:rFonts w:hint="eastAsia"/>
          <w:b/>
        </w:rPr>
        <w:t xml:space="preserve">十、税 </w:t>
      </w:r>
      <w:r/>
    </w:p>
    <w:p>
      <w:pPr>
        <w:pStyle w:val="1027"/>
        <w:spacing w:line="440" w:lineRule="exact"/>
        <w:rPr>
          <w:rFonts w:hint="eastAsia"/>
        </w:rPr>
      </w:pPr>
      <w:r>
        <w:rPr>
          <w:rFonts w:hint="eastAsia"/>
        </w:rPr>
        <w:t xml:space="preserve">10.1 本合同执行中相关的一切税费均由乙方负担。</w:t>
      </w:r>
      <w:r/>
    </w:p>
    <w:p>
      <w:pPr>
        <w:ind w:left="409"/>
        <w:spacing w:before="120" w:after="120" w:line="440" w:lineRule="exact"/>
        <w:rPr>
          <w:rFonts w:hint="eastAsia" w:ascii="宋体" w:hAnsi="宋体"/>
          <w:b/>
          <w:bCs/>
          <w:sz w:val="24"/>
          <w:szCs w:val="24"/>
        </w:rPr>
      </w:pPr>
      <w:r>
        <w:rPr>
          <w:rFonts w:hint="eastAsia" w:ascii="宋体" w:hAnsi="宋体"/>
          <w:b/>
          <w:bCs/>
          <w:sz w:val="24"/>
          <w:szCs w:val="24"/>
        </w:rPr>
        <w:t xml:space="preserve">十一、质量保证及售后服务</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11.1 乙方应按招标文件规定的货物性能、技术要求、质量标准向甲方提供未经使用的全新产品。</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11.2 乙方提供的货物在免费质保期内因货物本身的质量问题发生故障，乙方应负责免费更换。对达不到技术要求者，根据实际情况，经双方协商，可按以下办法处理：</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(1)更换：由乙方承担所发生的全部费用。</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(2)贬值处理：由甲乙双方合议定价。</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(3)退货处理：乙方应退还甲方支付的合同款，同时应承担该货物的直接费用（运输、保险、检验、货款利息及银行手续费等）。</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11.3响应时间：</w:t>
      </w:r>
      <w:r>
        <w:rPr>
          <w:rFonts w:hint="eastAsia" w:ascii="宋体" w:hAnsi="宋体"/>
          <w:sz w:val="24"/>
          <w:szCs w:val="24"/>
          <w:u w:val="single"/>
        </w:rPr>
        <w:t xml:space="preserve"> </w:t>
      </w:r>
      <w:bookmarkStart w:id="162" w:name="xiangyingdate"/>
      <w:r>
        <w:rPr>
          <w:rFonts w:hint="eastAsia" w:ascii="宋体" w:hAnsi="宋体"/>
          <w:sz w:val="24"/>
          <w:szCs w:val="24"/>
          <w:u w:val="single"/>
        </w:rPr>
        <w:t xml:space="preserve">           </w:t>
      </w:r>
      <w:bookmarkEnd w:id="162"/>
      <w:r>
        <w:rPr>
          <w:rFonts w:hint="eastAsia" w:ascii="宋体" w:hAnsi="宋体"/>
          <w:sz w:val="24"/>
          <w:szCs w:val="24"/>
          <w:u w:val="single"/>
        </w:rPr>
        <w:t xml:space="preserve"> </w:t>
      </w:r>
      <w:r>
        <w:rPr>
          <w:rFonts w:hint="eastAsia" w:ascii="宋体" w:hAnsi="宋体"/>
          <w:sz w:val="24"/>
          <w:szCs w:val="24"/>
        </w:rPr>
        <w:t xml:space="preserve">。</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11.4 在免费质保期内，乙方应对货物出现的质量及安全问题负责处理解决并承担一切费用。</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11.5上述的货物免费质保期为：</w:t>
      </w:r>
      <w:r>
        <w:rPr>
          <w:rFonts w:hint="eastAsia" w:ascii="宋体" w:hAnsi="宋体"/>
          <w:sz w:val="24"/>
          <w:szCs w:val="24"/>
          <w:u w:val="single"/>
        </w:rPr>
        <w:t xml:space="preserve"> </w:t>
      </w:r>
      <w:bookmarkStart w:id="163" w:name="zhibaoqi"/>
      <w:r>
        <w:rPr>
          <w:rFonts w:ascii="宋体" w:hAnsi="宋体"/>
          <w:sz w:val="24"/>
          <w:szCs w:val="24"/>
          <w:u w:val="single"/>
        </w:rPr>
        <w:t xml:space="preserve">    </w:t>
      </w:r>
      <w:r>
        <w:rPr>
          <w:rFonts w:hint="eastAsia" w:ascii="宋体" w:hAnsi="宋体"/>
          <w:sz w:val="24"/>
          <w:szCs w:val="24"/>
          <w:u w:val="single"/>
        </w:rPr>
        <w:t xml:space="preserve">      </w:t>
      </w:r>
      <w:bookmarkEnd w:id="163"/>
      <w:r>
        <w:rPr>
          <w:rFonts w:hint="eastAsia" w:ascii="宋体" w:hAnsi="宋体"/>
          <w:sz w:val="24"/>
          <w:szCs w:val="24"/>
          <w:u w:val="single"/>
        </w:rPr>
        <w:t xml:space="preserve"> </w:t>
      </w:r>
      <w:r>
        <w:rPr>
          <w:rFonts w:hint="eastAsia" w:ascii="宋体" w:hAnsi="宋体"/>
          <w:sz w:val="24"/>
          <w:szCs w:val="24"/>
        </w:rPr>
        <w:t xml:space="preserve">。</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十二、调试和验收</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12.1 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b/>
          <w:sz w:val="24"/>
          <w:szCs w:val="24"/>
        </w:rPr>
        <w:t xml:space="preserve">货到后，甲方需在</w:t>
      </w:r>
      <w:r>
        <w:rPr>
          <w:rFonts w:hint="eastAsia" w:ascii="宋体" w:hAnsi="宋体"/>
          <w:b/>
          <w:sz w:val="24"/>
          <w:szCs w:val="24"/>
          <w:u w:val="single"/>
        </w:rPr>
        <w:t xml:space="preserve"> </w:t>
      </w:r>
      <w:bookmarkStart w:id="164" w:name="wanchengyanshou"/>
      <w:r>
        <w:rPr>
          <w:rFonts w:hint="eastAsia" w:ascii="宋体" w:hAnsi="宋体"/>
          <w:b/>
          <w:sz w:val="24"/>
          <w:szCs w:val="24"/>
          <w:u w:val="single"/>
        </w:rPr>
        <w:t xml:space="preserve">       </w:t>
      </w:r>
      <w:bookmarkEnd w:id="164"/>
      <w:r>
        <w:rPr>
          <w:rFonts w:hint="eastAsia" w:ascii="宋体" w:hAnsi="宋体"/>
          <w:b/>
          <w:sz w:val="24"/>
          <w:szCs w:val="24"/>
          <w:u w:val="single"/>
        </w:rPr>
        <w:t xml:space="preserve"> </w:t>
      </w:r>
      <w:r>
        <w:rPr>
          <w:rFonts w:hint="eastAsia" w:ascii="宋体" w:hAnsi="宋体"/>
          <w:b/>
          <w:sz w:val="24"/>
          <w:szCs w:val="24"/>
        </w:rPr>
        <w:t xml:space="preserve">个工作日内完成验收。</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12.2 乙方交货前应对产品作出全面检查和对验收文件进行整理，并列出清单，作为甲方收货验收和使用的技术条件依据，检验的结果应随货物交甲方。</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12.3 甲方对乙方提供的货物在使用前进行调试时，乙方需负责安装并培训甲方的使用操作人员，并协助甲方一起调试，直到符合技术要求，甲方才做最终验收。</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12.4甲方有权请国家认可的专业检测机构参与初步验收及最终验收，并由其出具质量检测报告。</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12.5 验收时乙方必须在现场，验收完毕后作出验收结果报告；验收费用由甲乙双方协商解决。</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十三、货物包装、发运及运输</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13.1 乙方应在货物发运前对其进行满足运输距离、防潮、防震、防锈和防破损装卸等要求包装，以保证货物安全运达甲方指定地点。</w:t>
      </w:r>
      <w:r/>
    </w:p>
    <w:p>
      <w:pPr>
        <w:ind w:left="479"/>
        <w:spacing w:before="120" w:after="120" w:line="440" w:lineRule="exact"/>
        <w:rPr>
          <w:rFonts w:hint="eastAsia" w:ascii="宋体" w:hAnsi="宋体"/>
          <w:sz w:val="24"/>
          <w:szCs w:val="24"/>
        </w:rPr>
      </w:pPr>
      <w:r>
        <w:rPr>
          <w:rFonts w:hint="eastAsia" w:ascii="宋体" w:hAnsi="宋体"/>
          <w:sz w:val="24"/>
          <w:szCs w:val="24"/>
        </w:rPr>
        <w:t xml:space="preserve">13.2 使用说明书、质量检验证明书、随配附件和工具以及清单一并附于货物内。</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13.3 乙方在货物发运手续办理完毕后24小时内或货到甲方48小时前通知甲方，以准备接货。</w:t>
      </w:r>
      <w:r/>
    </w:p>
    <w:p>
      <w:pPr>
        <w:ind w:left="479"/>
        <w:spacing w:before="120" w:after="120" w:line="440" w:lineRule="exact"/>
        <w:rPr>
          <w:rFonts w:hint="eastAsia" w:ascii="宋体" w:hAnsi="宋体"/>
          <w:sz w:val="24"/>
          <w:szCs w:val="24"/>
        </w:rPr>
      </w:pPr>
      <w:r>
        <w:rPr>
          <w:rFonts w:hint="eastAsia" w:ascii="宋体" w:hAnsi="宋体"/>
          <w:sz w:val="24"/>
          <w:szCs w:val="24"/>
        </w:rPr>
        <w:t xml:space="preserve">13.4 货物在交付甲方前发生的风险均由乙方负责。</w:t>
      </w:r>
      <w:r/>
    </w:p>
    <w:p>
      <w:pPr>
        <w:ind w:right="26" w:firstLine="480"/>
        <w:spacing w:before="120" w:after="120" w:line="440" w:lineRule="exact"/>
        <w:rPr>
          <w:rFonts w:hint="eastAsia" w:ascii="宋体" w:hAnsi="宋体"/>
          <w:sz w:val="24"/>
          <w:szCs w:val="24"/>
        </w:rPr>
      </w:pPr>
      <w:r>
        <w:rPr>
          <w:rFonts w:hint="eastAsia" w:ascii="宋体" w:hAnsi="宋体"/>
          <w:sz w:val="24"/>
          <w:szCs w:val="24"/>
        </w:rPr>
        <w:t xml:space="preserve">13.5 货物在规定的交付期限内由乙方送达甲方指定的地点视为交付，乙方同时需通知甲方货物已送达。</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十四、违约责任</w:t>
      </w:r>
      <w:r/>
    </w:p>
    <w:p>
      <w:pPr>
        <w:ind w:left="407"/>
        <w:spacing w:before="120" w:after="120" w:line="440" w:lineRule="exact"/>
        <w:rPr>
          <w:rFonts w:hint="eastAsia" w:ascii="宋体" w:hAnsi="宋体"/>
          <w:sz w:val="24"/>
          <w:szCs w:val="24"/>
        </w:rPr>
      </w:pPr>
      <w:r>
        <w:rPr>
          <w:rFonts w:hint="eastAsia" w:ascii="宋体" w:hAnsi="宋体"/>
          <w:sz w:val="24"/>
          <w:szCs w:val="24"/>
        </w:rPr>
        <w:t xml:space="preserve">14.1 甲方无正当理由拒收货物的，甲方向乙方偿付拒收货款总值的百分之五违约金。</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14.2 甲方逾期办理货款支付的,应当支付逾期利息，且逾期利息的利率不得低于合同订立时1年期贷款市场报价利率。</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十五、不可抗力事件处理</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15.1 在合同有效期内，任何一方因不可抗力事件导致不能履行合同，则合同履行期可延长，其延长期与不可抗力影响期相同。</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15.2 不可抗力事件发生后，应立即通知对方，并寄送有关权威机构出具的证明。</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15.3 不可抗力事件延续120天以上，双方应通过友好协商，确定是否继续履行合同。</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十六、诉讼</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16.1 双方在执行合同中所发生的一切争议，应通过协商解决。如协商不成，可向合同签订地法院起诉，合同签订地在此约定为张家港市。</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十七、合同其他文件</w:t>
      </w:r>
      <w:r/>
    </w:p>
    <w:p>
      <w:pPr>
        <w:ind w:firstLine="480"/>
        <w:spacing w:line="440" w:lineRule="exact"/>
        <w:rPr>
          <w:rFonts w:hint="eastAsia" w:ascii="宋体" w:hAnsi="宋体"/>
          <w:sz w:val="24"/>
          <w:szCs w:val="24"/>
        </w:rPr>
      </w:pPr>
      <w:r>
        <w:rPr>
          <w:rFonts w:hint="eastAsia" w:ascii="宋体" w:hAnsi="宋体"/>
          <w:sz w:val="24"/>
          <w:szCs w:val="24"/>
        </w:rPr>
        <w:t xml:space="preserve">17.1下列文件为本合同不可分割部份，与本合同具有同等效力。</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)中标通知书；</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)供方中标的投标书；</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)招标文件；</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)供方在招投标过程中所作的其他承诺、声明、书面澄清等。</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十八、合同生效及其它</w:t>
      </w:r>
      <w:r/>
    </w:p>
    <w:p>
      <w:pPr>
        <w:ind w:firstLine="480"/>
        <w:spacing w:line="440" w:lineRule="exact"/>
        <w:rPr>
          <w:rFonts w:hint="eastAsia" w:ascii="宋体" w:hAnsi="宋体"/>
          <w:sz w:val="24"/>
          <w:szCs w:val="24"/>
        </w:rPr>
      </w:pPr>
      <w:r>
        <w:rPr>
          <w:rFonts w:hint="eastAsia" w:ascii="宋体" w:hAnsi="宋体"/>
          <w:sz w:val="24"/>
          <w:szCs w:val="24"/>
        </w:rPr>
        <w:t xml:space="preserve">18.1合同经双方法定代表人</w:t>
      </w:r>
      <w:r>
        <w:rPr>
          <w:rFonts w:hint="eastAsia" w:ascii="宋体" w:hAnsi="宋体"/>
          <w:bCs/>
          <w:sz w:val="24"/>
          <w:szCs w:val="24"/>
        </w:rPr>
        <w:t xml:space="preserve">（或负责人）</w:t>
      </w:r>
      <w:r>
        <w:rPr>
          <w:rFonts w:hint="eastAsia" w:ascii="宋体" w:hAnsi="宋体"/>
          <w:sz w:val="24"/>
          <w:szCs w:val="24"/>
        </w:rPr>
        <w:t xml:space="preserve">或授权委托代表人签字并加盖单位公章后生效,生效后至张家港市政府采购管理中心备案。</w:t>
      </w:r>
      <w:r/>
    </w:p>
    <w:p>
      <w:pPr>
        <w:ind w:firstLine="480"/>
        <w:spacing w:line="440" w:lineRule="exact"/>
        <w:rPr>
          <w:rFonts w:hint="eastAsia" w:ascii="宋体" w:hAnsi="宋体"/>
          <w:sz w:val="24"/>
          <w:szCs w:val="24"/>
        </w:rPr>
      </w:pPr>
      <w:r>
        <w:rPr>
          <w:rFonts w:hint="eastAsia" w:ascii="宋体" w:hAnsi="宋体"/>
          <w:sz w:val="24"/>
          <w:szCs w:val="24"/>
        </w:rPr>
        <w:t xml:space="preserve">18.2 本合同未尽事宜，遵照《民法典》合同编有关条文执行。</w:t>
      </w:r>
      <w:r/>
    </w:p>
    <w:p>
      <w:pPr>
        <w:pStyle w:val="1027"/>
        <w:spacing w:line="440" w:lineRule="exact"/>
        <w:rPr>
          <w:rFonts w:hint="eastAsia"/>
        </w:rPr>
      </w:pPr>
      <w:r>
        <w:rPr>
          <w:rFonts w:hint="eastAsia"/>
        </w:rPr>
      </w:r>
      <w:r/>
    </w:p>
    <w:p>
      <w:pPr>
        <w:pStyle w:val="1027"/>
        <w:spacing w:line="440" w:lineRule="exact"/>
        <w:rPr>
          <w:rFonts w:hint="eastAsia"/>
        </w:rPr>
      </w:pPr>
      <w:r>
        <w:rPr>
          <w:rFonts w:hint="eastAsia"/>
        </w:rPr>
        <w:t xml:space="preserve">甲方： </w:t>
      </w:r>
      <w:r/>
    </w:p>
    <w:p>
      <w:pPr>
        <w:pStyle w:val="1027"/>
        <w:spacing w:line="440" w:lineRule="exact"/>
        <w:rPr>
          <w:rFonts w:hint="eastAsia"/>
        </w:rPr>
      </w:pPr>
      <w:r>
        <w:rPr>
          <w:rFonts w:hint="eastAsia"/>
        </w:rPr>
        <w:t xml:space="preserve">地址： </w:t>
      </w:r>
      <w:r/>
    </w:p>
    <w:p>
      <w:pPr>
        <w:pStyle w:val="1027"/>
        <w:spacing w:line="440" w:lineRule="exact"/>
        <w:rPr>
          <w:rFonts w:hint="eastAsia"/>
        </w:rPr>
      </w:pPr>
      <w:r>
        <w:rPr>
          <w:rFonts w:hint="eastAsia"/>
        </w:rPr>
        <w:t xml:space="preserve">法定代表人或授权代表： </w:t>
      </w:r>
      <w:r/>
    </w:p>
    <w:p>
      <w:pPr>
        <w:pStyle w:val="1027"/>
        <w:spacing w:line="440" w:lineRule="exact"/>
        <w:rPr>
          <w:rFonts w:hint="eastAsia"/>
        </w:rPr>
      </w:pPr>
      <w:r>
        <w:rPr>
          <w:rFonts w:hint="eastAsia"/>
        </w:rPr>
        <w:t xml:space="preserve">联系电话： </w:t>
      </w:r>
      <w:r/>
    </w:p>
    <w:p>
      <w:pPr>
        <w:pStyle w:val="1027"/>
        <w:spacing w:line="440" w:lineRule="exact"/>
        <w:rPr>
          <w:rFonts w:hint="eastAsia"/>
        </w:rPr>
      </w:pPr>
      <w:r>
        <w:rPr>
          <w:rFonts w:hint="eastAsia"/>
        </w:rPr>
        <w:t xml:space="preserve">签订日期： 年 月 日 </w:t>
      </w:r>
      <w:r/>
    </w:p>
    <w:p>
      <w:pPr>
        <w:pStyle w:val="1027"/>
        <w:spacing w:line="440" w:lineRule="exact"/>
        <w:rPr>
          <w:rFonts w:hint="eastAsia"/>
        </w:rPr>
      </w:pPr>
      <w:r>
        <w:rPr>
          <w:rFonts w:hint="eastAsia"/>
        </w:rPr>
      </w:r>
      <w:r/>
    </w:p>
    <w:p>
      <w:pPr>
        <w:pStyle w:val="1027"/>
        <w:spacing w:line="440" w:lineRule="exact"/>
        <w:rPr>
          <w:rFonts w:hint="eastAsia"/>
        </w:rPr>
      </w:pPr>
      <w:r>
        <w:rPr>
          <w:rFonts w:hint="eastAsia"/>
        </w:rPr>
        <w:t xml:space="preserve">乙方： </w:t>
      </w:r>
      <w:r/>
    </w:p>
    <w:p>
      <w:pPr>
        <w:pStyle w:val="1027"/>
        <w:spacing w:line="440" w:lineRule="exact"/>
        <w:rPr>
          <w:rFonts w:hint="eastAsia"/>
        </w:rPr>
      </w:pPr>
      <w:r>
        <w:rPr>
          <w:rFonts w:hint="eastAsia"/>
        </w:rPr>
        <w:t xml:space="preserve">地址： </w:t>
      </w:r>
      <w:r/>
    </w:p>
    <w:p>
      <w:pPr>
        <w:pStyle w:val="1027"/>
        <w:spacing w:line="440" w:lineRule="exact"/>
        <w:rPr>
          <w:rFonts w:hint="eastAsia"/>
        </w:rPr>
      </w:pPr>
      <w:r>
        <w:rPr>
          <w:rFonts w:hint="eastAsia"/>
        </w:rPr>
        <w:t xml:space="preserve">法定代表人（或负责人）或授权代表： </w:t>
      </w:r>
      <w:r/>
    </w:p>
    <w:p>
      <w:pPr>
        <w:pStyle w:val="1027"/>
        <w:spacing w:line="440" w:lineRule="exact"/>
        <w:rPr>
          <w:rFonts w:hint="eastAsia"/>
        </w:rPr>
      </w:pPr>
      <w:r>
        <w:rPr>
          <w:rFonts w:hint="eastAsia"/>
        </w:rPr>
        <w:t xml:space="preserve">联系电话： </w:t>
      </w:r>
      <w:r/>
    </w:p>
    <w:p>
      <w:pPr>
        <w:pStyle w:val="1027"/>
        <w:spacing w:line="440" w:lineRule="exact"/>
        <w:rPr>
          <w:rFonts w:hint="eastAsia"/>
        </w:rPr>
      </w:pPr>
      <w:r>
        <w:rPr>
          <w:rFonts w:hint="eastAsia"/>
        </w:rPr>
        <w:t xml:space="preserve">签订日期： 年 月 日</w:t>
      </w:r>
      <w:r/>
    </w:p>
    <w:p>
      <w:pPr>
        <w:contextualSpacing/>
        <w:ind w:firstLine="508"/>
        <w:jc w:val="left"/>
        <w:spacing w:line="360" w:lineRule="auto"/>
        <w:widowControl/>
        <w:tabs>
          <w:tab w:val="left" w:pos="420" w:leader="none"/>
        </w:tabs>
        <w:rPr>
          <w:rFonts w:hint="eastAsia" w:ascii="宋体" w:hAnsi="宋体" w:cs="宋体"/>
          <w:spacing w:val="7"/>
          <w:sz w:val="24"/>
          <w:szCs w:val="24"/>
        </w:rPr>
      </w:pPr>
      <w:r/>
      <w:bookmarkStart w:id="165" w:name="_Toc822"/>
      <w:r/>
      <w:r/>
    </w:p>
    <w:p>
      <w:pPr>
        <w:jc w:val="center"/>
        <w:pageBreakBefore/>
        <w:spacing w:before="240" w:after="60" w:line="360" w:lineRule="auto"/>
        <w:rPr>
          <w:rFonts w:hint="eastAsia" w:ascii="宋体" w:hAnsi="宋体"/>
          <w:b/>
          <w:bCs/>
          <w:sz w:val="44"/>
          <w:szCs w:val="32"/>
        </w:rPr>
        <w:outlineLvl w:val="0"/>
      </w:pPr>
      <w:r/>
      <w:bookmarkStart w:id="166" w:name="_Toc31993"/>
      <w:r>
        <w:rPr>
          <w:rFonts w:hint="eastAsia" w:ascii="宋体" w:hAnsi="宋体"/>
          <w:b/>
          <w:bCs/>
          <w:sz w:val="44"/>
          <w:szCs w:val="32"/>
        </w:rPr>
        <w:t xml:space="preserve">第四章 项目需求</w:t>
      </w:r>
      <w:bookmarkEnd w:id="166"/>
      <w:r/>
      <w:bookmarkStart w:id="167" w:name="_Toc319429198"/>
      <w:r/>
      <w:bookmarkEnd w:id="167"/>
      <w:r/>
      <w:bookmarkStart w:id="168" w:name="_Toc274321794"/>
      <w:r/>
      <w:bookmarkEnd w:id="168"/>
      <w:r/>
      <w:r/>
    </w:p>
    <w:p>
      <w:pPr>
        <w:spacing w:line="360" w:lineRule="auto"/>
        <w:rPr>
          <w:rFonts w:hint="eastAsia" w:ascii="宋体" w:hAnsi="宋体"/>
          <w:b/>
          <w:sz w:val="28"/>
          <w:szCs w:val="28"/>
        </w:rPr>
        <w:outlineLvl w:val="1"/>
      </w:pPr>
      <w:r>
        <w:rPr>
          <w:rFonts w:hint="eastAsia" w:ascii="宋体" w:hAnsi="宋体"/>
          <w:b/>
          <w:sz w:val="28"/>
          <w:szCs w:val="28"/>
        </w:rPr>
        <w:t xml:space="preserve">一、清单</w:t>
      </w:r>
      <w:r/>
    </w:p>
    <w:p>
      <w:pPr>
        <w:rPr>
          <w:rFonts w:hint="eastAsia" w:ascii="宋体" w:hAnsi="宋体"/>
          <w:b/>
          <w:bCs/>
          <w:spacing w:val="7"/>
          <w:sz w:val="24"/>
          <w:szCs w:val="24"/>
        </w:rPr>
      </w:pPr>
      <w:r>
        <w:rPr>
          <w:rFonts w:hint="eastAsia" w:ascii="宋体" w:hAnsi="宋体"/>
          <w:b/>
          <w:bCs/>
          <w:spacing w:val="7"/>
          <w:sz w:val="24"/>
          <w:szCs w:val="24"/>
        </w:rPr>
        <w:t xml:space="preserve">1.清单</w:t>
      </w:r>
      <w:r/>
    </w:p>
    <w:tbl>
      <w:tblPr>
        <w:tblStyle w:val="816"/>
        <w:tblW w:w="8961" w:type="dxa"/>
        <w:tblInd w:w="91" w:type="dxa"/>
        <w:tblLayout w:type="fixed"/>
        <w:tblCellMar>
          <w:left w:w="108" w:type="dxa"/>
          <w:top w:w="0" w:type="dxa"/>
          <w:right w:w="108" w:type="dxa"/>
          <w:bottom w:w="0" w:type="dxa"/>
        </w:tblCellMar>
        <w:tblLook w:val="04A0" w:firstRow="1" w:lastRow="0" w:firstColumn="1" w:lastColumn="0" w:noHBand="0" w:noVBand="1"/>
      </w:tblPr>
      <w:tblGrid>
        <w:gridCol w:w="575"/>
        <w:gridCol w:w="2026"/>
        <w:gridCol w:w="660"/>
        <w:gridCol w:w="570"/>
        <w:gridCol w:w="600"/>
        <w:gridCol w:w="2175"/>
        <w:gridCol w:w="1185"/>
        <w:gridCol w:w="1170"/>
      </w:tblGrid>
      <w:tr>
        <w:trPr>
          <w:trHeight w:val="23"/>
        </w:trPr>
        <w:tc>
          <w:tcPr>
            <w:tcBorders>
              <w:top w:val="single" w:color="000000" w:sz="8"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序号</w:t>
            </w:r>
            <w:r/>
          </w:p>
        </w:tc>
        <w:tc>
          <w:tcPr>
            <w:tcBorders>
              <w:top w:val="single" w:color="000000" w:sz="8" w:space="0"/>
              <w:left w:val="none" w:color="000000" w:sz="4" w:space="0"/>
              <w:bottom w:val="single" w:color="000000" w:sz="8" w:space="0"/>
              <w:right w:val="single" w:color="000000" w:sz="8" w:space="0"/>
            </w:tcBorders>
            <w:tcW w:w="2026" w:type="dxa"/>
            <w:vAlign w:val="center"/>
            <w:textDirection w:val="lrTb"/>
            <w:noWrap w:val="false"/>
          </w:tcPr>
          <w:p>
            <w:pPr>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名称</w:t>
            </w:r>
            <w:r/>
          </w:p>
        </w:tc>
        <w:tc>
          <w:tcPr>
            <w:tcBorders>
              <w:top w:val="single" w:color="000000" w:sz="8"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数量</w:t>
            </w:r>
            <w:r/>
          </w:p>
        </w:tc>
        <w:tc>
          <w:tcPr>
            <w:tcBorders>
              <w:top w:val="single" w:color="000000" w:sz="8"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单位</w:t>
            </w:r>
            <w:r/>
          </w:p>
        </w:tc>
        <w:tc>
          <w:tcPr>
            <w:tcBorders>
              <w:top w:val="single" w:color="000000" w:sz="8"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图片</w:t>
            </w:r>
            <w:r/>
          </w:p>
        </w:tc>
        <w:tc>
          <w:tcPr>
            <w:tcBorders>
              <w:top w:val="single" w:color="000000" w:sz="8"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所属行业</w:t>
            </w:r>
            <w:r/>
          </w:p>
        </w:tc>
        <w:tc>
          <w:tcPr>
            <w:tcBorders>
              <w:top w:val="single" w:color="000000" w:sz="8"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标的类型</w:t>
            </w:r>
            <w:r/>
          </w:p>
        </w:tc>
        <w:tc>
          <w:tcPr>
            <w:tcBorders>
              <w:top w:val="single" w:color="000000" w:sz="8"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标的属性</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张力围栏终端</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16</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主要采购标的</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6线单防控制杆包</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16</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包</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6线国标张力杆</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140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根</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4</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张力杆附件包</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140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包</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5</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6线国标转向杆</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5</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根</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6</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6线转向杆附件包</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5</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包</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7</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合金丝</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3300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米</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8</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接地桩</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16</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根</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9</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张力围栏警示牌</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120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10</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主机蓄电池</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16</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11</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警灯警号</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12</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周界防范控制键盘</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13</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LED灯亚格力电子看板</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14</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报警联动模块</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15</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红外对射</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对</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16</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固定式防撞柱</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13</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17</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防水箱</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16</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18</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单防区地址模块</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19</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张力弹簧</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96</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20</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不锈钢紧线器</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96</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21</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束线器</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384</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22</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转向滑轮</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23</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室外防水警灯</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16</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24</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管理平台</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25</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一键报警</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26</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通信线1</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480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米</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27</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单门防水磁力锁</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19</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28</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磁力锁支架</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19</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29</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门禁电源</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18</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30</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出门按钮</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31</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人脸识别终端</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32</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32</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巡更</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33</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智能烟感</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36</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34</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多媒体交互式智能一体机</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35</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插拔模块 </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36</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移动支架</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37</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无线投屏器</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38</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红外智能笔</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支</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39</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手持式无线话筒</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40</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无线会议话筒</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41</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8路调音台</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42</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音频处理器1</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43</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高效抑制处理器1</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44</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吸顶音箱</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6</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45</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数字功放1</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46</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电源时序器1</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4</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47</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桌面多媒体插座</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48</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信号线1</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1920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米</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49</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val="en-US" w:eastAsia="zh-CN" w:bidi="ar"/>
              </w:rPr>
              <w:t xml:space="preserve">台式</w:t>
            </w:r>
            <w:r>
              <w:rPr>
                <w:rFonts w:hint="eastAsia" w:ascii="宋体" w:hAnsi="宋体" w:cs="宋体"/>
                <w:color w:val="000000"/>
                <w:sz w:val="22"/>
                <w:lang w:bidi="ar"/>
              </w:rPr>
              <w:t xml:space="preserve">计算机</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rPr>
              <w:t xml:space="preserve">2</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50</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IP网络广播软件</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51</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7寸触摸屏网络话筒</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52</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IP网络有源音箱1（备份）</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对</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53</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壁挂式IP网络终端</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54</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tcPr>
          <w:p>
            <w:pPr>
              <w:jc w:val="left"/>
              <w:widowControl/>
              <w:rPr>
                <w:rFonts w:hint="eastAsia" w:ascii="宋体" w:hAnsi="宋体" w:cs="宋体"/>
                <w:color w:val="000000"/>
                <w:sz w:val="22"/>
              </w:rPr>
            </w:pPr>
            <w:r>
              <w:rPr>
                <w:rFonts w:hint="eastAsia" w:ascii="宋体" w:hAnsi="宋体" w:cs="宋体"/>
                <w:color w:val="000000"/>
                <w:sz w:val="22"/>
                <w:lang w:bidi="ar"/>
              </w:rPr>
              <w:t xml:space="preserve">会议话筒</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支</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55</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IP网络音频采集终端</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56</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tcPr>
          <w:p>
            <w:pPr>
              <w:jc w:val="left"/>
              <w:widowControl/>
              <w:rPr>
                <w:rFonts w:hint="eastAsia" w:ascii="宋体" w:hAnsi="宋体" w:cs="宋体"/>
                <w:color w:val="000000"/>
                <w:sz w:val="22"/>
              </w:rPr>
            </w:pPr>
            <w:r>
              <w:rPr>
                <w:rFonts w:hint="eastAsia" w:ascii="宋体" w:hAnsi="宋体" w:cs="宋体"/>
                <w:color w:val="000000"/>
                <w:sz w:val="22"/>
                <w:lang w:bidi="ar"/>
              </w:rPr>
              <w:t xml:space="preserve">IP网络调音台</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57</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蓝光DVD</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58</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tcPr>
          <w:p>
            <w:pPr>
              <w:jc w:val="left"/>
              <w:widowControl/>
              <w:rPr>
                <w:rFonts w:hint="eastAsia" w:ascii="宋体" w:hAnsi="宋体" w:cs="宋体"/>
                <w:color w:val="000000"/>
                <w:sz w:val="22"/>
              </w:rPr>
            </w:pPr>
            <w:r>
              <w:rPr>
                <w:rFonts w:hint="eastAsia" w:ascii="宋体" w:hAnsi="宋体" w:cs="宋体"/>
                <w:color w:val="000000"/>
                <w:sz w:val="22"/>
                <w:lang w:bidi="ar"/>
              </w:rPr>
              <w:t xml:space="preserve">液晶显示器</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59</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广播话筒</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60</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前置放大器</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61</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8主1备功放切换器</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62</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tcPr>
          <w:p>
            <w:pPr>
              <w:jc w:val="left"/>
              <w:widowControl/>
              <w:rPr>
                <w:rFonts w:hint="eastAsia" w:ascii="宋体" w:hAnsi="宋体" w:cs="宋体"/>
                <w:color w:val="000000"/>
                <w:sz w:val="22"/>
              </w:rPr>
            </w:pPr>
            <w:r>
              <w:rPr>
                <w:rFonts w:hint="eastAsia" w:ascii="宋体" w:hAnsi="宋体" w:cs="宋体"/>
                <w:color w:val="000000"/>
                <w:sz w:val="22"/>
                <w:lang w:bidi="ar"/>
              </w:rPr>
              <w:t xml:space="preserve">纯后级广播功放</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63</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电源时序器2</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64</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tcPr>
          <w:p>
            <w:pPr>
              <w:jc w:val="left"/>
              <w:widowControl/>
              <w:rPr>
                <w:rFonts w:hint="eastAsia" w:ascii="宋体" w:hAnsi="宋体" w:cs="宋体"/>
                <w:color w:val="000000"/>
                <w:sz w:val="22"/>
              </w:rPr>
            </w:pPr>
            <w:r>
              <w:rPr>
                <w:rFonts w:hint="eastAsia" w:ascii="宋体" w:hAnsi="宋体" w:cs="宋体"/>
                <w:color w:val="000000"/>
                <w:sz w:val="22"/>
                <w:lang w:bidi="ar"/>
              </w:rPr>
              <w:t xml:space="preserve">储能型应急切换单元</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65</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机柜1</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18</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66</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室内壁挂音箱（10W）</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47</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67</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广播IP功放</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5</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68</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无线双手持(一拖二)</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69</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U无线双头戴(一拖二)</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70</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指向性天线</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71</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48V演讲合唱话筒</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支</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72</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20路数字调音台</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73</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音频处理器2</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74</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高效抑制处理器2</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75</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环绕音箱</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12</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76</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环绕音箱功放</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6</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77</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返听音箱</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4</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78</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返听音箱功放</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主要采购标的</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79</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IP网络有源音箱2（备份）</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18</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对</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80</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IP网络有源音箱</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23</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对</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81</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网络终端音量控制器模块</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41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82</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真分集无线话筒</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83</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6路调音台</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84</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音频处理器3</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主要采购标的</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85</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音箱</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4</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86</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功放1</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87</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音频隔离器</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88</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室外防水音柱</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8</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89</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信号线2</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3700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米</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90</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无线手持话筒</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91</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16路数字调音台</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92</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音频处理器4</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93</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抑制处理器</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94</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会议音箱</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6</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主要采购标的</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95</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数字功放2</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96</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全数字网络有线会议主机</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97</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全数字网络会议主席单元</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支</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98</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全数字网络会议代表单元</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5</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支</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99</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20米黑色屏蔽Cat6FTP网线(屏蔽RJ45)</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条</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100</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会议专用地插</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101</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8路高清无缝混插矩阵</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102</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4路高清无缝HDMI输入</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103</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4路高清无缝HDMI输出</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104</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交互终端1</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105</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交互一体机</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106</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交互终端控制器1</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107</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交互终端3</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108</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交互终端4</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109</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交互终端控制器2</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110</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交互终端控制器3</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主要采购标的</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111</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接收卡</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eastAsia="宋体" w:cs="宋体"/>
                <w:color w:val="000000"/>
                <w:sz w:val="22"/>
                <w:lang w:val="en-US" w:eastAsia="zh-CN"/>
              </w:rPr>
            </w:pPr>
            <w:r>
              <w:rPr>
                <w:rFonts w:hint="eastAsia" w:ascii="宋体" w:hAnsi="宋体" w:cs="宋体"/>
                <w:color w:val="000000"/>
                <w:sz w:val="22"/>
                <w:lang w:val="en-US" w:eastAsia="zh-CN"/>
              </w:rPr>
              <w:t xml:space="preserve">4</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主要采购标的</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112</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交互终端结构1</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项</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113</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交互终端结构2</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项</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114</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网线1</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11760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米</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115</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网线2</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17300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米</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116</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模块</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612</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117</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面板1</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88</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118</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面板2</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260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119</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网络跳线</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300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根</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120</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光纤1</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8454</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米</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121</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设备箱</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32</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122</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光纤2</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2800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米</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123</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光纤配线架</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37</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124</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尾纤</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1120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根</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125</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熔纤盒</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88</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126</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大对数电缆</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792</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米</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127</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语音配线架</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9</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128</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插座</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32</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129</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网线3</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6300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米</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130</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网线4</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1840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米</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131</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电源线1</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2200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米</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132</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电源线2</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710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米</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133</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配电箱</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134</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网线5</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100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米</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135</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桥架1</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1250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米</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136</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桥架2</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米</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137</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固定支架</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100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138</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抗震支架</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100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139</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穿线管1</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9130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米</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140</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穿线管2</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500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米</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141</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穿线管3</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940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米</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142</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室外管道1</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2890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米</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143</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室外管道2</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193</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米</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144</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室外管道3</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258</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米</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145</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弱电井</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61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146</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电源线3</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2400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米</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147</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电源线4</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600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米</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148</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通信线2</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600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米</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149</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电源线5</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1500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米</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150</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机柜2</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151</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摄像机1</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111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主要采购标的</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152</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摄像机2</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24</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主要采购标的</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153</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摄像机3</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主要采购标的</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154</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摄像机4</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26</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主要采购标的</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155</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摄像机5</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主要采购标的</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156</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摄像机6</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8</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主要采购标的</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157</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摄像机9</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主要采购标的</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158</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摄像机7</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80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主要采购标的</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159</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摄像机8</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主要采购标的</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160</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防雷器</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41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161</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硬盘录像机</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9</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162</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硬盘1</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72</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163</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解码器1</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164</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会议显示屏</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165</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立杆1</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29</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根</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166</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立杆2</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12</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根</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167</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立杆3</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25</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根</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168</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立杆4</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根</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169</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工业交换机</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29</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170</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访客机</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171</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红外网络半球摄像机</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24</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主要采购标的</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172</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红外网络筒型摄像机</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主要采购标的</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173</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巡查分发存储单元</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174</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视频拼接解码器</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175</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液晶拼接显示单元</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4</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176</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监控拼接示屏支架</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177</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高清网上巡查客户端软件</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178</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SIP转发管理终端</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179</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硬盘2</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4</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180</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摄像机存储卡</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26</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181</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摄像机支架</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182</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摄像机电源</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26</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183</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拾音器</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184</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网络时钟</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44</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主要采购标的</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185</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电源适配器</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186</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管理终端</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187</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标准化考场网络核心交换机</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188</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光线路终端设备3</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189</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24口光网络单元设备</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8</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190</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1:16无源分光器</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19</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191</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屏蔽终端</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18</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192</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作弊防控系统软件</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193</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考务专线</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年</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信息传输业（包括电信、互联网和相关服务）</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服务类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194</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考务运维保障服务</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年</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软件和信息技术服务业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服务类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195</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实物展台</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41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196</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电子班牌</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27</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197</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网路时钟管理平台</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198</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计算机统一管理平台</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160</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199</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智慧教育录播终端</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200</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录播主机系统软件</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201</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智能行为识别软件</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202</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云台摄像机</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4</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主要采购标的</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203</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高清摄像机系统软件</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4</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204</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跟踪定位摄像机</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主要采购标的</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205</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录播控制面板</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206</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拾音话筒</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8</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207</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导播键盘</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208</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音频处理主机</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209</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功放2</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210</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音箱2</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对</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211</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教育资源管理平台</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212</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平台服务器</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213</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操作台</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214</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线材</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批</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215</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报警柱</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216</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通道摆闸</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7</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217</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通道摆闸等电位连接</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218</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车牌识别道闸一体机</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4</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219</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车位交互终端</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220</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室外车辆出入口道闸等电位连接</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221</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光线路终端设备1</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222</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8口光网络单元设备</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78</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223</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16口光网络单元设备</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224</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48口接入交换机</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225</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AP</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77</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226</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AC管理器</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227</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光线路终端设备2</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228</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24口POE光网络单元设备</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14</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台</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229</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多媒体箱</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75</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个</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230</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无线信号覆盖通信配套</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项</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货物类</w:t>
            </w:r>
            <w:r/>
          </w:p>
        </w:tc>
      </w:tr>
      <w:tr>
        <w:trPr>
          <w:trHeight w:val="23"/>
        </w:trPr>
        <w:tc>
          <w:tcPr>
            <w:tcBorders>
              <w:top w:val="none" w:color="000000" w:sz="4" w:space="0"/>
              <w:left w:val="single" w:color="000000" w:sz="8" w:space="0"/>
              <w:bottom w:val="single" w:color="000000" w:sz="8" w:space="0"/>
              <w:right w:val="single" w:color="000000" w:sz="8" w:space="0"/>
            </w:tcBorders>
            <w:tcW w:w="5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231</w:t>
            </w:r>
            <w:r/>
          </w:p>
        </w:tc>
        <w:tc>
          <w:tcPr>
            <w:tcBorders>
              <w:top w:val="none" w:color="000000" w:sz="4" w:space="0"/>
              <w:left w:val="none" w:color="000000" w:sz="4" w:space="0"/>
              <w:bottom w:val="single" w:color="000000" w:sz="8" w:space="0"/>
              <w:right w:val="single" w:color="000000" w:sz="8" w:space="0"/>
            </w:tcBorders>
            <w:tcW w:w="2026"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系统集成</w:t>
            </w:r>
            <w:r/>
          </w:p>
        </w:tc>
        <w:tc>
          <w:tcPr>
            <w:tcBorders>
              <w:top w:val="none" w:color="000000" w:sz="4" w:space="0"/>
              <w:left w:val="none" w:color="000000" w:sz="4" w:space="0"/>
              <w:bottom w:val="single" w:color="000000" w:sz="8" w:space="0"/>
              <w:right w:val="single" w:color="000000" w:sz="8" w:space="0"/>
            </w:tcBorders>
            <w:tcW w:w="66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none" w:color="000000" w:sz="4" w:space="0"/>
              <w:left w:val="none" w:color="000000" w:sz="4" w:space="0"/>
              <w:bottom w:val="single" w:color="000000" w:sz="8" w:space="0"/>
              <w:right w:val="single" w:color="000000" w:sz="8" w:space="0"/>
            </w:tcBorders>
            <w:tcW w:w="5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项</w:t>
            </w:r>
            <w:r/>
          </w:p>
        </w:tc>
        <w:tc>
          <w:tcPr>
            <w:tcBorders>
              <w:top w:val="none" w:color="000000" w:sz="4" w:space="0"/>
              <w:left w:val="none" w:color="000000" w:sz="4" w:space="0"/>
              <w:bottom w:val="single" w:color="000000" w:sz="8" w:space="0"/>
              <w:right w:val="single" w:color="000000" w:sz="8" w:space="0"/>
            </w:tcBorders>
            <w:tcW w:w="60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无</w:t>
            </w:r>
            <w:r/>
          </w:p>
        </w:tc>
        <w:tc>
          <w:tcPr>
            <w:tcBorders>
              <w:top w:val="none" w:color="000000" w:sz="4" w:space="0"/>
              <w:left w:val="none" w:color="000000" w:sz="4" w:space="0"/>
              <w:bottom w:val="single" w:color="000000" w:sz="8" w:space="0"/>
              <w:right w:val="single" w:color="000000" w:sz="8" w:space="0"/>
            </w:tcBorders>
            <w:tcW w:w="217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工业（包括采矿业，制造业，电力、热力、燃气及水生产和供应业）</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lang w:bidi="ar"/>
              </w:rPr>
              <w:t xml:space="preserve">配件、辅料</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服务类</w:t>
            </w:r>
            <w:r/>
          </w:p>
        </w:tc>
      </w:tr>
    </w:tbl>
    <w:p>
      <w:pPr>
        <w:ind w:firstLine="500"/>
        <w:spacing w:line="440" w:lineRule="exact"/>
        <w:rPr>
          <w:rFonts w:ascii="宋体" w:hAnsi="宋体" w:eastAsia="Times New Roman"/>
          <w:spacing w:val="7"/>
          <w:sz w:val="24"/>
          <w:szCs w:val="24"/>
        </w:rPr>
      </w:pPr>
      <w:r>
        <w:rPr>
          <w:rFonts w:ascii="宋体" w:hAnsi="宋体" w:eastAsia="Times New Roman"/>
          <w:spacing w:val="7"/>
          <w:sz w:val="24"/>
          <w:szCs w:val="24"/>
        </w:rPr>
      </w:r>
      <w:r/>
    </w:p>
    <w:p>
      <w:pPr>
        <w:ind w:firstLine="500"/>
        <w:spacing w:line="440" w:lineRule="exact"/>
        <w:rPr>
          <w:rFonts w:ascii="宋体" w:hAnsi="宋体" w:eastAsia="Times New Roman"/>
          <w:spacing w:val="7"/>
          <w:sz w:val="24"/>
          <w:szCs w:val="24"/>
        </w:rPr>
      </w:pPr>
      <w:r>
        <w:rPr>
          <w:rFonts w:ascii="宋体" w:hAnsi="宋体" w:eastAsia="Times New Roman"/>
          <w:spacing w:val="7"/>
          <w:sz w:val="24"/>
          <w:szCs w:val="24"/>
        </w:rPr>
      </w:r>
      <w:r/>
    </w:p>
    <w:p>
      <w:pPr>
        <w:ind w:firstLine="500"/>
        <w:spacing w:line="440" w:lineRule="exact"/>
        <w:rPr>
          <w:rFonts w:ascii="宋体" w:hAnsi="宋体" w:eastAsia="Times New Roman"/>
          <w:spacing w:val="7"/>
          <w:sz w:val="24"/>
          <w:szCs w:val="24"/>
        </w:rPr>
      </w:pPr>
      <w:r>
        <w:rPr>
          <w:rFonts w:ascii="宋体" w:hAnsi="宋体"/>
          <w:spacing w:val="7"/>
          <w:sz w:val="24"/>
          <w:szCs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numPr>
          <w:ilvl w:val="0"/>
          <w:numId w:val="2"/>
        </w:numPr>
        <w:ind w:firstLine="499"/>
        <w:spacing w:before="120" w:line="440" w:lineRule="exact"/>
        <w:rPr>
          <w:rFonts w:ascii="宋体" w:hAnsi="宋体" w:eastAsia="Times New Roman"/>
          <w:b/>
          <w:bCs/>
          <w:spacing w:val="7"/>
          <w:sz w:val="24"/>
          <w:szCs w:val="24"/>
        </w:rPr>
      </w:pPr>
      <w:r>
        <w:rPr>
          <w:rFonts w:ascii="宋体" w:hAnsi="宋体"/>
          <w:b/>
          <w:bCs/>
          <w:spacing w:val="7"/>
          <w:sz w:val="24"/>
          <w:szCs w:val="24"/>
        </w:rPr>
        <w:t xml:space="preserve">核心产品清单</w:t>
      </w:r>
      <w:r/>
    </w:p>
    <w:tbl>
      <w:tblPr>
        <w:tblStyle w:val="816"/>
        <w:tblpPr w:horzAnchor="page" w:tblpX="2274" w:vertAnchor="text" w:tblpY="136" w:leftFromText="180" w:topFromText="0" w:rightFromText="180" w:bottomFromText="0"/>
        <w:tblW w:w="8295" w:type="dxa"/>
        <w:tblInd w:w="0" w:type="dxa"/>
        <w:tblLayout w:type="autofit"/>
        <w:tblCellMar>
          <w:left w:w="108" w:type="dxa"/>
          <w:top w:w="0" w:type="dxa"/>
          <w:right w:w="108" w:type="dxa"/>
          <w:bottom w:w="0" w:type="dxa"/>
        </w:tblCellMar>
        <w:tblLook w:val="04A0" w:firstRow="1" w:lastRow="0" w:firstColumn="1" w:lastColumn="0" w:noHBand="0" w:noVBand="1"/>
      </w:tblPr>
      <w:tblGrid>
        <w:gridCol w:w="1080"/>
        <w:gridCol w:w="7215"/>
      </w:tblGrid>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名称</w:t>
            </w:r>
            <w:r/>
          </w:p>
        </w:tc>
      </w:tr>
      <w:tr>
        <w:trPr>
          <w:trHeight w:val="186"/>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215"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rPr>
              <w:t xml:space="preserve">张力围栏终端</w:t>
            </w:r>
            <w:r/>
          </w:p>
        </w:tc>
      </w:tr>
    </w:tbl>
    <w:p>
      <w:pPr>
        <w:jc w:val="center"/>
        <w:rPr>
          <w:rFonts w:hint="eastAsia" w:ascii="宋体" w:hAnsi="宋体" w:cs="宋体"/>
          <w:sz w:val="24"/>
          <w:szCs w:val="24"/>
        </w:rPr>
      </w:pPr>
      <w:r>
        <w:rPr>
          <w:rFonts w:hint="eastAsia" w:ascii="宋体" w:hAnsi="宋体" w:cs="宋体"/>
          <w:sz w:val="24"/>
          <w:szCs w:val="24"/>
        </w:rPr>
      </w:r>
      <w:r/>
    </w:p>
    <w:p>
      <w:pPr>
        <w:ind w:firstLine="500"/>
        <w:spacing w:line="440" w:lineRule="exact"/>
        <w:rPr>
          <w:rFonts w:ascii="宋体" w:hAnsi="宋体" w:eastAsia="Times New Roman"/>
          <w:spacing w:val="7"/>
          <w:sz w:val="24"/>
          <w:szCs w:val="24"/>
        </w:rPr>
      </w:pPr>
      <w:r>
        <w:rPr>
          <w:rFonts w:hint="eastAsia" w:ascii="宋体" w:hAnsi="宋体"/>
          <w:spacing w:val="7"/>
          <w:sz w:val="24"/>
          <w:szCs w:val="24"/>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ind w:firstLine="500"/>
        <w:spacing w:line="440" w:lineRule="exact"/>
        <w:rPr>
          <w:rFonts w:ascii="宋体" w:hAnsi="宋体" w:eastAsia="Times New Roman"/>
          <w:spacing w:val="7"/>
          <w:sz w:val="24"/>
          <w:szCs w:val="24"/>
        </w:rPr>
      </w:pPr>
      <w:r>
        <w:rPr>
          <w:rFonts w:hint="eastAsia" w:ascii="宋体" w:hAnsi="宋体"/>
          <w:spacing w:val="7"/>
          <w:sz w:val="24"/>
          <w:szCs w:val="24"/>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ind w:firstLine="499"/>
        <w:spacing w:before="120" w:line="440" w:lineRule="exact"/>
        <w:rPr>
          <w:rFonts w:ascii="宋体" w:hAnsi="宋体" w:eastAsia="Times New Roman"/>
          <w:b/>
          <w:bCs/>
          <w:spacing w:val="7"/>
          <w:sz w:val="24"/>
          <w:szCs w:val="24"/>
        </w:rPr>
      </w:pPr>
      <w:r>
        <w:rPr>
          <w:rFonts w:ascii="宋体" w:hAnsi="宋体"/>
          <w:b/>
          <w:bCs/>
          <w:spacing w:val="7"/>
          <w:sz w:val="24"/>
          <w:szCs w:val="24"/>
        </w:rPr>
        <w:t xml:space="preserve">3、节能、环境标志产品清单(请提供国家确定的认证机构出具的、处于有效期之内的节能产品、环境标志产品认证证书（若证书有附件（附录）的，附件（附录）须随证书一起提供)）</w:t>
      </w:r>
      <w:r/>
    </w:p>
    <w:p>
      <w:pPr>
        <w:ind w:firstLine="508"/>
        <w:rPr>
          <w:rFonts w:hint="eastAsia" w:ascii="宋体" w:hAnsi="宋体"/>
          <w:spacing w:val="7"/>
          <w:sz w:val="24"/>
          <w:szCs w:val="24"/>
        </w:rPr>
      </w:pPr>
      <w:r>
        <w:rPr>
          <w:rFonts w:ascii="宋体" w:hAnsi="宋体"/>
          <w:spacing w:val="7"/>
          <w:sz w:val="24"/>
          <w:szCs w:val="24"/>
        </w:rPr>
        <w:t xml:space="preserve">节能产品政府采购品目清单：</w:t>
      </w:r>
      <w:r/>
    </w:p>
    <w:tbl>
      <w:tblPr>
        <w:tblStyle w:val="816"/>
        <w:tblW w:w="4647" w:type="pct"/>
        <w:tblInd w:w="5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8"/>
        <w:gridCol w:w="6936"/>
      </w:tblGrid>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788" w:type="pct"/>
            <w:vAlign w:val="center"/>
            <w:textDirection w:val="lrTb"/>
            <w:noWrap w:val="false"/>
          </w:tcPr>
          <w:p>
            <w:pPr>
              <w:pStyle w:val="1102"/>
              <w:jc w:val="center"/>
              <w:rPr>
                <w:rFonts w:hint="eastAsia" w:ascii="宋体" w:hAnsi="宋体" w:eastAsia="宋体" w:cs="宋体"/>
              </w:rPr>
            </w:pPr>
            <w:r>
              <w:rPr>
                <w:rFonts w:ascii="宋体" w:hAnsi="宋体" w:eastAsia="宋体" w:cs="宋体"/>
                <w:color w:val="000000"/>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11" w:type="pct"/>
            <w:vAlign w:val="center"/>
            <w:textDirection w:val="lrTb"/>
            <w:noWrap w:val="false"/>
          </w:tcPr>
          <w:p>
            <w:pPr>
              <w:pStyle w:val="1102"/>
              <w:jc w:val="center"/>
              <w:rPr>
                <w:rFonts w:hint="eastAsia" w:ascii="宋体" w:hAnsi="宋体" w:eastAsia="宋体" w:cs="宋体"/>
              </w:rPr>
            </w:pPr>
            <w:r>
              <w:rPr>
                <w:rFonts w:ascii="宋体" w:hAnsi="宋体" w:eastAsia="宋体" w:cs="宋体"/>
                <w:color w:val="000000"/>
              </w:rPr>
              <w:t xml:space="preserve">名称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88" w:type="pct"/>
            <w:vAlign w:val="center"/>
            <w:textDirection w:val="lrTb"/>
            <w:noWrap w:val="false"/>
          </w:tcPr>
          <w:p>
            <w:pPr>
              <w:pStyle w:val="1102"/>
              <w:jc w:val="center"/>
              <w:rPr>
                <w:rFonts w:hint="eastAsia" w:ascii="宋体" w:hAnsi="宋体" w:eastAsia="宋体" w:cs="宋体"/>
              </w:rPr>
            </w:pPr>
            <w:r>
              <w:rPr>
                <w:rFonts w:ascii="宋体" w:hAnsi="宋体" w:eastAsia="宋体" w:cs="宋体"/>
                <w:color w:val="000000"/>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11" w:type="pct"/>
            <w:vAlign w:val="center"/>
            <w:textDirection w:val="lrTb"/>
            <w:noWrap w:val="false"/>
          </w:tcPr>
          <w:p>
            <w:pPr>
              <w:pStyle w:val="1102"/>
              <w:rPr>
                <w:rFonts w:hint="eastAsia" w:ascii="宋体" w:hAnsi="宋体" w:eastAsia="宋体" w:cs="宋体"/>
              </w:rPr>
            </w:pPr>
            <w:r>
              <w:rPr>
                <w:rFonts w:hint="eastAsia" w:ascii="宋体" w:hAnsi="宋体" w:eastAsia="宋体"/>
                <w:spacing w:val="7"/>
              </w:rPr>
              <w:t xml:space="preserve">★</w:t>
            </w:r>
            <w:r>
              <w:rPr>
                <w:rFonts w:hint="eastAsia" w:ascii="宋体" w:hAnsi="宋体" w:eastAsia="宋体" w:cs="宋体"/>
                <w:lang w:val="en-US" w:eastAsia="zh-CN"/>
              </w:rPr>
              <w:t xml:space="preserve">台式</w:t>
            </w:r>
            <w:r>
              <w:rPr>
                <w:rFonts w:hint="eastAsia" w:ascii="宋体" w:hAnsi="宋体" w:eastAsia="宋体" w:cs="宋体"/>
              </w:rPr>
              <w:t xml:space="preserve">计算机</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788" w:type="pct"/>
            <w:vAlign w:val="center"/>
            <w:textDirection w:val="lrTb"/>
            <w:noWrap w:val="false"/>
          </w:tcPr>
          <w:p>
            <w:pPr>
              <w:pStyle w:val="1102"/>
              <w:jc w:val="center"/>
              <w:rPr>
                <w:rFonts w:hint="eastAsia" w:ascii="宋体" w:hAnsi="宋体" w:eastAsia="宋体" w:cs="宋体"/>
                <w:color w:val="000000"/>
              </w:rPr>
            </w:pPr>
            <w:r>
              <w:rPr>
                <w:rFonts w:hint="eastAsia" w:ascii="宋体" w:hAnsi="宋体" w:eastAsia="宋体" w:cs="宋体"/>
                <w:color w:val="000000"/>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11" w:type="pct"/>
            <w:vAlign w:val="center"/>
            <w:textDirection w:val="lrTb"/>
            <w:noWrap w:val="false"/>
          </w:tcPr>
          <w:p>
            <w:pPr>
              <w:pStyle w:val="1102"/>
              <w:rPr>
                <w:rFonts w:hint="eastAsia" w:ascii="宋体" w:hAnsi="宋体" w:eastAsia="宋体" w:cs="宋体"/>
              </w:rPr>
            </w:pPr>
            <w:r>
              <w:rPr>
                <w:rFonts w:hint="eastAsia" w:ascii="宋体" w:hAnsi="宋体" w:eastAsia="宋体"/>
                <w:spacing w:val="7"/>
              </w:rPr>
              <w:t xml:space="preserve">★</w:t>
            </w:r>
            <w:r>
              <w:rPr>
                <w:rFonts w:hint="eastAsia" w:ascii="宋体" w:hAnsi="宋体" w:eastAsia="宋体" w:cs="宋体"/>
                <w:color w:val="000000"/>
                <w:lang w:bidi="ar"/>
              </w:rPr>
              <w:t xml:space="preserve">液晶显示器</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88" w:type="pct"/>
            <w:vAlign w:val="center"/>
            <w:textDirection w:val="lrTb"/>
            <w:noWrap w:val="false"/>
          </w:tcPr>
          <w:p>
            <w:pPr>
              <w:pStyle w:val="1102"/>
              <w:jc w:val="center"/>
              <w:rPr>
                <w:rFonts w:hint="eastAsia" w:ascii="宋体" w:hAnsi="宋体" w:eastAsia="宋体" w:cs="宋体"/>
                <w:color w:val="000000"/>
              </w:rPr>
            </w:pPr>
            <w:r>
              <w:rPr>
                <w:rFonts w:hint="eastAsia" w:ascii="宋体" w:hAnsi="宋体" w:eastAsia="宋体" w:cs="宋体"/>
                <w:color w:val="000000"/>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11" w:type="pct"/>
            <w:vAlign w:val="center"/>
            <w:textDirection w:val="lrTb"/>
            <w:noWrap w:val="false"/>
          </w:tcPr>
          <w:p>
            <w:pPr>
              <w:pStyle w:val="1102"/>
              <w:rPr>
                <w:rFonts w:hint="eastAsia" w:ascii="宋体" w:hAnsi="宋体" w:eastAsia="宋体" w:cs="宋体"/>
              </w:rPr>
            </w:pPr>
            <w:r>
              <w:rPr>
                <w:rFonts w:hint="eastAsia" w:ascii="宋体" w:hAnsi="宋体" w:eastAsia="宋体"/>
                <w:spacing w:val="7"/>
              </w:rPr>
              <w:t xml:space="preserve">★</w:t>
            </w:r>
            <w:r>
              <w:rPr>
                <w:rFonts w:hint="eastAsia" w:ascii="宋体" w:hAnsi="宋体" w:eastAsia="宋体" w:cs="宋体"/>
                <w:color w:val="000000"/>
                <w:lang w:bidi="ar"/>
              </w:rPr>
              <w:t xml:space="preserve">液晶拼接显示单元</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88" w:type="pct"/>
            <w:vAlign w:val="center"/>
            <w:textDirection w:val="lrTb"/>
            <w:noWrap w:val="false"/>
          </w:tcPr>
          <w:p>
            <w:pPr>
              <w:pStyle w:val="1102"/>
              <w:jc w:val="center"/>
              <w:rPr>
                <w:rFonts w:hint="eastAsia" w:ascii="宋体" w:hAnsi="宋体" w:eastAsia="宋体" w:cs="宋体"/>
                <w:color w:val="000000"/>
              </w:rPr>
            </w:pPr>
            <w:r>
              <w:rPr>
                <w:rFonts w:hint="eastAsia" w:ascii="宋体" w:hAnsi="宋体" w:eastAsia="宋体" w:cs="宋体"/>
                <w:color w:val="000000"/>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11" w:type="pct"/>
            <w:vAlign w:val="center"/>
            <w:textDirection w:val="lrTb"/>
            <w:noWrap w:val="false"/>
          </w:tcPr>
          <w:p>
            <w:pPr>
              <w:pStyle w:val="1102"/>
              <w:rPr>
                <w:rFonts w:hint="eastAsia" w:ascii="宋体" w:hAnsi="宋体" w:eastAsia="宋体"/>
                <w:spacing w:val="7"/>
              </w:rPr>
            </w:pPr>
            <w:r>
              <w:rPr>
                <w:rFonts w:hint="eastAsia" w:ascii="宋体" w:hAnsi="宋体" w:eastAsia="宋体"/>
                <w:spacing w:val="7"/>
              </w:rPr>
              <w:t xml:space="preserve">★</w:t>
            </w:r>
            <w:r>
              <w:rPr>
                <w:rFonts w:hint="eastAsia" w:ascii="宋体" w:hAnsi="宋体" w:eastAsia="宋体" w:cs="宋体"/>
                <w:color w:val="000000"/>
                <w:lang w:bidi="ar"/>
              </w:rPr>
              <w:t xml:space="preserve">会议显示屏</w:t>
            </w:r>
            <w:r/>
          </w:p>
        </w:tc>
      </w:tr>
    </w:tbl>
    <w:p>
      <w:pPr>
        <w:pStyle w:val="817"/>
        <w:rPr>
          <w:rFonts w:hint="eastAsia"/>
        </w:rPr>
      </w:pPr>
      <w:r>
        <w:rPr>
          <w:rFonts w:hint="eastAsia"/>
        </w:rPr>
      </w:r>
      <w:r/>
    </w:p>
    <w:p>
      <w:pPr>
        <w:ind w:firstLine="500"/>
        <w:spacing w:line="440" w:lineRule="exact"/>
        <w:rPr>
          <w:rFonts w:ascii="宋体" w:hAnsi="宋体" w:eastAsia="Times New Roman"/>
          <w:spacing w:val="7"/>
          <w:sz w:val="24"/>
          <w:szCs w:val="24"/>
        </w:rPr>
      </w:pPr>
      <w:r>
        <w:rPr>
          <w:rFonts w:hint="eastAsia" w:ascii="宋体" w:hAnsi="宋体"/>
          <w:spacing w:val="7"/>
          <w:sz w:val="24"/>
          <w:szCs w:val="24"/>
          <w:lang w:val="zh-CN"/>
        </w:rPr>
        <w:t xml:space="preserve">注：以</w:t>
      </w:r>
      <w:r>
        <w:rPr>
          <w:rFonts w:hint="eastAsia" w:ascii="宋体" w:hAnsi="宋体"/>
          <w:spacing w:val="7"/>
          <w:sz w:val="24"/>
          <w:szCs w:val="24"/>
        </w:rPr>
        <w:t xml:space="preserve">★</w:t>
      </w:r>
      <w:r>
        <w:rPr>
          <w:rFonts w:hint="eastAsia" w:ascii="宋体" w:hAnsi="宋体"/>
          <w:spacing w:val="7"/>
          <w:sz w:val="24"/>
          <w:szCs w:val="24"/>
          <w:lang w:val="zh-CN"/>
        </w:rPr>
        <w:t xml:space="preserve">标注的为政府强制采购产品</w:t>
      </w:r>
      <w:r/>
    </w:p>
    <w:p>
      <w:pPr>
        <w:ind w:firstLine="500"/>
        <w:spacing w:line="440" w:lineRule="exact"/>
        <w:rPr>
          <w:rFonts w:ascii="宋体" w:hAnsi="宋体" w:eastAsia="Times New Roman"/>
          <w:spacing w:val="7"/>
          <w:sz w:val="24"/>
          <w:szCs w:val="24"/>
        </w:rPr>
      </w:pPr>
      <w:r>
        <w:rPr>
          <w:rFonts w:ascii="宋体" w:hAnsi="宋体"/>
          <w:spacing w:val="7"/>
          <w:sz w:val="24"/>
          <w:szCs w:val="24"/>
        </w:rPr>
        <w:t xml:space="preserve">凡“节能产品政府采购品目清单”中以★标注的为政府强制采购产品</w:t>
      </w:r>
      <w:r/>
    </w:p>
    <w:p>
      <w:pPr>
        <w:ind w:firstLine="508"/>
        <w:rPr>
          <w:rFonts w:ascii="宋体" w:hAnsi="宋体" w:eastAsia="Times New Roman"/>
          <w:spacing w:val="7"/>
          <w:sz w:val="24"/>
          <w:szCs w:val="24"/>
        </w:rPr>
      </w:pPr>
      <w:r>
        <w:rPr>
          <w:rFonts w:ascii="宋体" w:hAnsi="宋体" w:eastAsia="Times New Roman"/>
          <w:spacing w:val="7"/>
          <w:sz w:val="24"/>
          <w:szCs w:val="24"/>
        </w:rPr>
      </w:r>
      <w:r/>
    </w:p>
    <w:p>
      <w:pPr>
        <w:ind w:firstLine="508"/>
        <w:rPr>
          <w:rFonts w:ascii="宋体" w:hAnsi="宋体" w:eastAsia="Times New Roman"/>
          <w:spacing w:val="7"/>
          <w:sz w:val="24"/>
          <w:szCs w:val="24"/>
          <w:highlight w:val="none"/>
        </w:rPr>
      </w:pPr>
      <w:r>
        <w:rPr>
          <w:rFonts w:ascii="宋体" w:hAnsi="宋体"/>
          <w:spacing w:val="7"/>
          <w:sz w:val="24"/>
          <w:szCs w:val="24"/>
          <w:highlight w:val="none"/>
        </w:rPr>
        <w:t xml:space="preserve">环境标志产品政府采购品目清单:</w:t>
      </w:r>
      <w:r/>
    </w:p>
    <w:tbl>
      <w:tblPr>
        <w:tblStyle w:val="816"/>
        <w:tblpPr w:horzAnchor="page" w:tblpX="2425" w:vertAnchor="text" w:tblpY="255" w:leftFromText="180" w:topFromText="0" w:rightFromText="180" w:bottomFromText="0"/>
        <w:tblW w:w="459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226"/>
        <w:gridCol w:w="6914"/>
      </w:tblGrid>
      <w:tr>
        <w:trPr/>
        <w:tc>
          <w:tcPr>
            <w:tcMar>
              <w:top w:w="100" w:type="dxa"/>
              <w:bottom w:w="100" w:type="dxa"/>
            </w:tcMar>
            <w:tcW w:w="753" w:type="pct"/>
            <w:vAlign w:val="center"/>
            <w:textDirection w:val="lrTb"/>
            <w:noWrap w:val="false"/>
          </w:tcPr>
          <w:p>
            <w:pPr>
              <w:jc w:val="center"/>
              <w:widowControl/>
              <w:rPr>
                <w:rFonts w:hint="eastAsia" w:ascii="宋体" w:hAnsi="宋体"/>
                <w:sz w:val="24"/>
                <w:szCs w:val="24"/>
                <w:highlight w:val="none"/>
              </w:rPr>
            </w:pPr>
            <w:r>
              <w:rPr>
                <w:rFonts w:ascii="宋体" w:hAnsi="宋体"/>
                <w:highlight w:val="none"/>
              </w:rPr>
              <w:t xml:space="preserve">序号</w:t>
            </w:r>
            <w:r/>
          </w:p>
        </w:tc>
        <w:tc>
          <w:tcPr>
            <w:tcMar>
              <w:top w:w="100" w:type="dxa"/>
              <w:bottom w:w="100" w:type="dxa"/>
            </w:tcMar>
            <w:tcW w:w="4246" w:type="pct"/>
            <w:vAlign w:val="center"/>
            <w:textDirection w:val="lrTb"/>
            <w:noWrap w:val="false"/>
          </w:tcPr>
          <w:p>
            <w:pPr>
              <w:jc w:val="center"/>
              <w:widowControl/>
              <w:rPr>
                <w:rFonts w:hint="eastAsia" w:ascii="宋体" w:hAnsi="宋体"/>
                <w:sz w:val="24"/>
                <w:szCs w:val="24"/>
                <w:highlight w:val="none"/>
              </w:rPr>
            </w:pPr>
            <w:r>
              <w:rPr>
                <w:rFonts w:ascii="宋体" w:hAnsi="宋体"/>
                <w:highlight w:val="none"/>
              </w:rPr>
              <w:t xml:space="preserve">名称</w:t>
            </w:r>
            <w:r/>
          </w:p>
        </w:tc>
      </w:tr>
      <w:tr>
        <w:trPr/>
        <w:tc>
          <w:tcPr>
            <w:tcMar>
              <w:top w:w="100" w:type="dxa"/>
              <w:bottom w:w="100" w:type="dxa"/>
            </w:tcMar>
            <w:tcW w:w="753" w:type="pct"/>
            <w:vAlign w:val="center"/>
            <w:textDirection w:val="lrTb"/>
            <w:noWrap w:val="false"/>
          </w:tcPr>
          <w:p>
            <w:pPr>
              <w:pStyle w:val="1032"/>
              <w:jc w:val="center"/>
              <w:rPr>
                <w:rFonts w:hint="eastAsia" w:ascii="宋体" w:hAnsi="宋体" w:eastAsia="宋体" w:cs="宋体"/>
                <w:highlight w:val="none"/>
              </w:rPr>
            </w:pPr>
            <w:r>
              <w:rPr>
                <w:rFonts w:ascii="宋体" w:hAnsi="宋体" w:eastAsia="宋体" w:cs="宋体"/>
                <w:color w:val="000000"/>
                <w:sz w:val="21"/>
                <w:szCs w:val="21"/>
                <w:highlight w:val="none"/>
              </w:rPr>
              <w:t xml:space="preserve">1</w:t>
            </w:r>
            <w:r/>
          </w:p>
        </w:tc>
        <w:tc>
          <w:tcPr>
            <w:tcMar>
              <w:top w:w="100" w:type="dxa"/>
              <w:bottom w:w="100" w:type="dxa"/>
            </w:tcMar>
            <w:tcW w:w="4246" w:type="pct"/>
            <w:vAlign w:val="center"/>
            <w:textDirection w:val="lrTb"/>
            <w:noWrap w:val="false"/>
          </w:tcPr>
          <w:p>
            <w:pPr>
              <w:pStyle w:val="1032"/>
              <w:rPr>
                <w:rFonts w:hint="eastAsia" w:ascii="宋体" w:hAnsi="宋体" w:eastAsia="宋体" w:cs="宋体"/>
                <w:highlight w:val="none"/>
              </w:rPr>
            </w:pPr>
            <w:r>
              <w:rPr>
                <w:rFonts w:hint="eastAsia" w:ascii="宋体" w:hAnsi="宋体" w:eastAsia="宋体" w:cs="宋体"/>
                <w:highlight w:val="none"/>
              </w:rPr>
              <w:t xml:space="preserve">平台服务器</w:t>
            </w:r>
            <w:r/>
          </w:p>
        </w:tc>
      </w:tr>
      <w:tr>
        <w:trPr/>
        <w:tc>
          <w:tcPr>
            <w:tcMar>
              <w:top w:w="100" w:type="dxa"/>
              <w:bottom w:w="100" w:type="dxa"/>
            </w:tcMar>
            <w:tcW w:w="753" w:type="pct"/>
            <w:vAlign w:val="center"/>
            <w:textDirection w:val="lrTb"/>
            <w:noWrap w:val="false"/>
          </w:tcPr>
          <w:p>
            <w:pPr>
              <w:pStyle w:val="103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Mar>
              <w:top w:w="100" w:type="dxa"/>
              <w:bottom w:w="100" w:type="dxa"/>
            </w:tcMar>
            <w:tcW w:w="4246" w:type="pct"/>
            <w:vAlign w:val="center"/>
            <w:textDirection w:val="lrTb"/>
            <w:noWrap w:val="false"/>
          </w:tcPr>
          <w:p>
            <w:pPr>
              <w:pStyle w:val="1032"/>
              <w:rPr>
                <w:rFonts w:eastAsia="宋体"/>
              </w:rPr>
            </w:pPr>
            <w:r>
              <w:rPr>
                <w:rFonts w:hint="eastAsia" w:ascii="宋体" w:hAnsi="宋体" w:eastAsia="宋体" w:cs="宋体"/>
                <w:color w:val="000000"/>
                <w:lang w:bidi="ar"/>
              </w:rPr>
              <w:t xml:space="preserve">液晶拼接显示单元</w:t>
            </w:r>
            <w:r/>
          </w:p>
        </w:tc>
      </w:tr>
      <w:tr>
        <w:trPr>
          <w:trHeight w:val="90"/>
        </w:trPr>
        <w:tc>
          <w:tcPr>
            <w:tcMar>
              <w:top w:w="100" w:type="dxa"/>
              <w:bottom w:w="100" w:type="dxa"/>
            </w:tcMar>
            <w:tcW w:w="753" w:type="pct"/>
            <w:vAlign w:val="center"/>
            <w:textDirection w:val="lrTb"/>
            <w:noWrap w:val="false"/>
          </w:tcPr>
          <w:p>
            <w:pPr>
              <w:pStyle w:val="103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Mar>
              <w:top w:w="100" w:type="dxa"/>
              <w:bottom w:w="100" w:type="dxa"/>
            </w:tcMar>
            <w:tcW w:w="4246" w:type="pct"/>
            <w:vAlign w:val="center"/>
            <w:textDirection w:val="lrTb"/>
            <w:noWrap w:val="false"/>
          </w:tcPr>
          <w:p>
            <w:pPr>
              <w:pStyle w:val="1032"/>
              <w:rPr>
                <w:rFonts w:hint="eastAsia" w:ascii="宋体" w:hAnsi="宋体" w:eastAsia="宋体" w:cs="宋体"/>
                <w:color w:val="000000"/>
                <w:lang w:bidi="ar"/>
              </w:rPr>
            </w:pPr>
            <w:r>
              <w:rPr>
                <w:rFonts w:hint="eastAsia" w:ascii="宋体" w:hAnsi="宋体" w:eastAsia="宋体" w:cs="宋体"/>
                <w:color w:val="000000"/>
                <w:lang w:bidi="ar"/>
              </w:rPr>
              <w:t xml:space="preserve">会议显示屏</w:t>
            </w:r>
            <w:r/>
          </w:p>
        </w:tc>
      </w:tr>
      <w:tr>
        <w:trPr/>
        <w:tc>
          <w:tcPr>
            <w:tcMar>
              <w:top w:w="100" w:type="dxa"/>
              <w:bottom w:w="100" w:type="dxa"/>
            </w:tcMar>
            <w:tcW w:w="753" w:type="pct"/>
            <w:vAlign w:val="center"/>
            <w:textDirection w:val="lrTb"/>
            <w:noWrap w:val="false"/>
          </w:tcPr>
          <w:p>
            <w:pPr>
              <w:pStyle w:val="103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Mar>
              <w:top w:w="100" w:type="dxa"/>
              <w:bottom w:w="100" w:type="dxa"/>
            </w:tcMar>
            <w:tcW w:w="4246" w:type="pct"/>
            <w:vAlign w:val="center"/>
            <w:textDirection w:val="lrTb"/>
            <w:noWrap w:val="false"/>
          </w:tcPr>
          <w:p>
            <w:pPr>
              <w:pStyle w:val="1032"/>
              <w:rPr>
                <w:rFonts w:hint="eastAsia" w:ascii="宋体" w:hAnsi="宋体" w:eastAsia="宋体" w:cs="宋体"/>
                <w:color w:val="000000"/>
                <w:lang w:bidi="ar"/>
              </w:rPr>
            </w:pPr>
            <w:r>
              <w:rPr>
                <w:rFonts w:hint="eastAsia" w:ascii="宋体" w:hAnsi="宋体" w:eastAsia="宋体" w:cs="宋体"/>
                <w:color w:val="000000"/>
                <w:lang w:val="en-US" w:eastAsia="zh-CN" w:bidi="ar"/>
              </w:rPr>
              <w:t xml:space="preserve">台式</w:t>
            </w:r>
            <w:r>
              <w:rPr>
                <w:rFonts w:hint="eastAsia" w:ascii="宋体" w:hAnsi="宋体" w:eastAsia="宋体" w:cs="宋体"/>
                <w:color w:val="000000"/>
                <w:lang w:bidi="ar"/>
              </w:rPr>
              <w:t xml:space="preserve">计算机</w:t>
            </w:r>
            <w:r/>
          </w:p>
        </w:tc>
      </w:tr>
      <w:tr>
        <w:trPr/>
        <w:tc>
          <w:tcPr>
            <w:tcMar>
              <w:top w:w="100" w:type="dxa"/>
              <w:bottom w:w="100" w:type="dxa"/>
            </w:tcMar>
            <w:tcW w:w="753" w:type="pct"/>
            <w:vAlign w:val="center"/>
            <w:textDirection w:val="lrTb"/>
            <w:noWrap w:val="false"/>
          </w:tcPr>
          <w:p>
            <w:pPr>
              <w:pStyle w:val="103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tcMar>
              <w:top w:w="100" w:type="dxa"/>
              <w:bottom w:w="100" w:type="dxa"/>
            </w:tcMar>
            <w:tcW w:w="4246" w:type="pct"/>
            <w:vAlign w:val="center"/>
            <w:textDirection w:val="lrTb"/>
            <w:noWrap w:val="false"/>
          </w:tcPr>
          <w:p>
            <w:pPr>
              <w:pStyle w:val="1032"/>
              <w:rPr>
                <w:rFonts w:hint="eastAsia" w:ascii="宋体" w:hAnsi="宋体" w:eastAsia="宋体" w:cs="宋体"/>
                <w:color w:val="000000"/>
                <w:lang w:bidi="ar"/>
              </w:rPr>
            </w:pPr>
            <w:r>
              <w:rPr>
                <w:rFonts w:hint="eastAsia" w:ascii="宋体" w:hAnsi="宋体" w:eastAsia="宋体" w:cs="宋体"/>
                <w:color w:val="000000"/>
                <w:lang w:bidi="ar"/>
              </w:rPr>
              <w:t xml:space="preserve">液晶显示器</w:t>
            </w:r>
            <w:r/>
          </w:p>
        </w:tc>
      </w:tr>
    </w:tbl>
    <w:p>
      <w:pPr>
        <w:ind w:firstLine="500"/>
        <w:spacing w:line="440" w:lineRule="exact"/>
        <w:rPr>
          <w:rFonts w:hint="eastAsia" w:ascii="宋体" w:hAnsi="宋体"/>
          <w:b/>
          <w:bCs/>
          <w:spacing w:val="7"/>
          <w:sz w:val="24"/>
        </w:rPr>
      </w:pPr>
      <w:r>
        <w:rPr>
          <w:rFonts w:hint="eastAsia" w:ascii="宋体" w:hAnsi="宋体"/>
          <w:b/>
          <w:bCs/>
          <w:spacing w:val="7"/>
          <w:sz w:val="24"/>
        </w:rPr>
      </w:r>
      <w:r/>
    </w:p>
    <w:p>
      <w:pPr>
        <w:ind w:firstLine="500"/>
        <w:spacing w:line="440" w:lineRule="exact"/>
        <w:rPr>
          <w:rFonts w:hint="eastAsia" w:ascii="宋体" w:hAnsi="宋体"/>
          <w:b/>
          <w:bCs/>
          <w:spacing w:val="7"/>
          <w:sz w:val="24"/>
        </w:rPr>
      </w:pPr>
      <w:r>
        <w:rPr>
          <w:rFonts w:hint="eastAsia" w:ascii="宋体" w:hAnsi="宋体"/>
          <w:b/>
          <w:bCs/>
          <w:spacing w:val="7"/>
          <w:sz w:val="24"/>
        </w:rPr>
        <w:t xml:space="preserve">4、绿色采购其他政策： </w:t>
      </w:r>
      <w:r/>
    </w:p>
    <w:p>
      <w:pPr>
        <w:ind w:firstLine="500"/>
        <w:spacing w:line="440" w:lineRule="exact"/>
        <w:rPr>
          <w:rFonts w:hint="eastAsia" w:ascii="宋体" w:hAnsi="宋体"/>
          <w:spacing w:val="7"/>
          <w:sz w:val="24"/>
        </w:rPr>
      </w:pPr>
      <w:r>
        <w:rPr>
          <w:rFonts w:hint="eastAsia" w:ascii="宋体" w:hAnsi="宋体"/>
          <w:spacing w:val="7"/>
          <w:sz w:val="24"/>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500"/>
        <w:spacing w:line="440" w:lineRule="exact"/>
        <w:rPr>
          <w:rFonts w:hint="eastAsia" w:ascii="宋体" w:hAnsi="宋体"/>
          <w:spacing w:val="7"/>
          <w:sz w:val="24"/>
        </w:rPr>
      </w:pPr>
      <w:r>
        <w:rPr>
          <w:rFonts w:hint="eastAsia" w:ascii="宋体" w:hAnsi="宋体"/>
          <w:spacing w:val="7"/>
          <w:sz w:val="24"/>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500"/>
        <w:spacing w:line="440" w:lineRule="exact"/>
        <w:rPr>
          <w:rFonts w:ascii="宋体" w:hAnsi="宋体" w:eastAsia="Times New Roman"/>
          <w:b/>
          <w:bCs/>
          <w:spacing w:val="7"/>
          <w:sz w:val="24"/>
          <w:szCs w:val="24"/>
        </w:rPr>
      </w:pPr>
      <w:r/>
      <w:bookmarkStart w:id="169" w:name="OLE_LINK22"/>
      <w:r>
        <w:rPr>
          <w:rFonts w:hint="eastAsia" w:ascii="宋体" w:hAnsi="宋体"/>
          <w:b/>
          <w:bCs/>
          <w:spacing w:val="7"/>
          <w:sz w:val="24"/>
          <w:szCs w:val="24"/>
        </w:rPr>
        <w:t xml:space="preserve">5、政府采购中实施本国产品标准及相关政策</w:t>
      </w:r>
      <w:r/>
    </w:p>
    <w:p>
      <w:pPr>
        <w:ind w:firstLine="500"/>
        <w:spacing w:line="440" w:lineRule="exact"/>
        <w:rPr>
          <w:rFonts w:ascii="宋体" w:hAnsi="宋体" w:eastAsia="Times New Roman"/>
          <w:spacing w:val="7"/>
          <w:sz w:val="24"/>
          <w:szCs w:val="24"/>
        </w:rPr>
      </w:pPr>
      <w:r>
        <w:rPr>
          <w:rFonts w:hint="eastAsia" w:ascii="宋体" w:hAnsi="宋体"/>
          <w:spacing w:val="7"/>
          <w:sz w:val="24"/>
          <w:szCs w:val="24"/>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0"/>
        <w:spacing w:line="440" w:lineRule="exact"/>
        <w:rPr>
          <w:rFonts w:hint="eastAsia" w:ascii="宋体" w:hAnsi="宋体"/>
          <w:spacing w:val="7"/>
          <w:sz w:val="24"/>
        </w:rPr>
      </w:pPr>
      <w:r>
        <w:rPr>
          <w:rFonts w:hint="eastAsia" w:ascii="宋体" w:hAnsi="宋体"/>
          <w:spacing w:val="7"/>
          <w:sz w:val="24"/>
          <w:szCs w:val="24"/>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10"/>
        <w:spacing w:line="440" w:lineRule="exact"/>
        <w:rPr>
          <w:spacing w:val="7"/>
          <w:sz w:val="24"/>
          <w:szCs w:val="24"/>
        </w:rPr>
      </w:pPr>
      <w:r>
        <w:rPr>
          <w:rFonts w:hint="eastAsia" w:ascii="宋体" w:hAnsi="宋体"/>
          <w:b/>
          <w:bCs/>
          <w:spacing w:val="7"/>
          <w:sz w:val="24"/>
          <w:szCs w:val="24"/>
        </w:rPr>
        <w:t xml:space="preserve">注意事项：</w:t>
      </w:r>
      <w:bookmarkEnd w:id="169"/>
      <w:r>
        <w:rPr>
          <w:rFonts w:hint="eastAsia"/>
          <w:spacing w:val="7"/>
          <w:sz w:val="24"/>
          <w:szCs w:val="24"/>
        </w:rPr>
        <w:t xml:space="preserve">在项目实施过程中，涉及到与第三方系统对接的，由采购单位负责与第三方系统主管单位、第三方系统供应商沟通协调，确保第三方系统接口免费开放。</w:t>
      </w:r>
      <w:r/>
    </w:p>
    <w:p>
      <w:pPr>
        <w:ind w:firstLine="480"/>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b/>
          <w:sz w:val="28"/>
          <w:szCs w:val="28"/>
          <w:highlight w:val="none"/>
        </w:rPr>
        <w:outlineLvl w:val="1"/>
      </w:pPr>
      <w:r/>
      <w:bookmarkStart w:id="170" w:name="EB547595d0f7824228afceafc3b60cc3d8"/>
      <w:r/>
      <w:bookmarkEnd w:id="170"/>
      <w:r>
        <w:rPr>
          <w:rFonts w:hint="eastAsia" w:ascii="宋体" w:hAnsi="宋体"/>
          <w:b/>
          <w:sz w:val="28"/>
          <w:szCs w:val="28"/>
          <w:highlight w:val="none"/>
        </w:rPr>
        <w:t xml:space="preserve">二、技术要求</w:t>
      </w:r>
      <w:r/>
    </w:p>
    <w:tbl>
      <w:tblPr>
        <w:tblStyle w:val="81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38"/>
        <w:gridCol w:w="1037"/>
        <w:gridCol w:w="2007"/>
        <w:gridCol w:w="1512"/>
        <w:gridCol w:w="3765"/>
      </w:tblGrid>
      <w:tr>
        <w:trPr>
          <w:trHeight w:val="327"/>
        </w:trPr>
        <w:tc>
          <w:tcPr>
            <w:tcBorders>
              <w:top w:val="single" w:color="000000" w:sz="8" w:space="0"/>
              <w:left w:val="single" w:color="000000" w:sz="8" w:space="0"/>
              <w:bottom w:val="single" w:color="000000" w:sz="8" w:space="0"/>
              <w:right w:val="single" w:color="000000" w:sz="8"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序号</w:t>
            </w:r>
            <w:r/>
          </w:p>
        </w:tc>
        <w:tc>
          <w:tcPr>
            <w:tcBorders>
              <w:top w:val="single" w:color="000000" w:sz="8" w:space="0"/>
              <w:left w:val="single" w:color="000000" w:sz="8" w:space="0"/>
              <w:bottom w:val="single" w:color="000000" w:sz="8" w:space="0"/>
              <w:right w:val="single" w:color="000000" w:sz="8"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名称</w:t>
            </w:r>
            <w:r/>
          </w:p>
        </w:tc>
        <w:tc>
          <w:tcPr>
            <w:gridSpan w:val="3"/>
            <w:tcBorders>
              <w:top w:val="single" w:color="000000" w:sz="8" w:space="0"/>
              <w:left w:val="single" w:color="000000" w:sz="8" w:space="0"/>
              <w:bottom w:val="single" w:color="000000" w:sz="8" w:space="0"/>
              <w:right w:val="single" w:color="000000" w:sz="8" w:space="0"/>
            </w:tcBorders>
            <w:tcW w:w="7284"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内容</w:t>
            </w:r>
            <w:r/>
          </w:p>
        </w:tc>
      </w:tr>
      <w:tr>
        <w:trPr>
          <w:trHeight w:val="55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张力围栏终端</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lang w:bidi="ar"/>
              </w:rPr>
            </w:pPr>
            <w:r>
              <w:rPr>
                <w:rFonts w:hint="eastAsia" w:ascii="宋体" w:hAnsi="宋体" w:cs="宋体"/>
                <w:i/>
                <w:iCs/>
                <w:color w:val="000000"/>
                <w:sz w:val="24"/>
                <w:szCs w:val="24"/>
                <w:u w:val="single"/>
                <w:lang w:bidi="ar"/>
              </w:rPr>
              <w:t xml:space="preserve">支撑防区长度：≤60m；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探测器：机械结构，无源工作，零功耗，零辐射；</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探测器防护等级：≥IP65；</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灵敏度：固定，不受气候条件影响；</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探测器平均无故障时间（MTBF）：≥10万小时；</w:t>
            </w:r>
            <w:r/>
          </w:p>
          <w:p>
            <w:pPr>
              <w:pStyle w:val="817"/>
              <w:ind w:firstLine="0"/>
              <w:spacing w:line="0" w:lineRule="atLeast"/>
              <w:rPr>
                <w:rFonts w:hint="eastAsia" w:cs="宋体"/>
                <w:i/>
                <w:iCs/>
                <w:color w:val="000000"/>
                <w:szCs w:val="24"/>
                <w:u w:val="single"/>
                <w:lang w:bidi="ar"/>
              </w:rPr>
            </w:pPr>
            <w:r>
              <w:rPr>
                <w:rFonts w:hint="eastAsia" w:cs="宋体"/>
                <w:i/>
                <w:iCs/>
                <w:color w:val="000000"/>
                <w:szCs w:val="24"/>
                <w:u w:val="single"/>
                <w:lang w:bidi="ar"/>
              </w:rPr>
              <w:t xml:space="preserve">报警输出：入侵报警开关量输出，防拆报警开关量输出</w:t>
            </w:r>
            <w:r/>
          </w:p>
          <w:p>
            <w:pPr>
              <w:pStyle w:val="817"/>
              <w:ind w:firstLine="0"/>
              <w:spacing w:line="0" w:lineRule="atLeast"/>
              <w:rPr>
                <w:rFonts w:hint="eastAsia" w:cs="宋体"/>
                <w:i/>
                <w:iCs/>
                <w:color w:val="000000"/>
                <w:szCs w:val="24"/>
                <w:u w:val="single"/>
                <w:lang w:bidi="ar"/>
              </w:rPr>
            </w:pPr>
            <w:r>
              <w:rPr>
                <w:rFonts w:hint="eastAsia" w:cs="宋体"/>
                <w:i/>
                <w:iCs/>
                <w:color w:val="000000"/>
                <w:szCs w:val="24"/>
                <w:u w:val="single"/>
                <w:lang w:bidi="ar"/>
              </w:rPr>
              <w:t xml:space="preserve">误报率：每1公里每3个月≤1次误报</w:t>
            </w:r>
            <w:r>
              <w:rPr>
                <w:rFonts w:hint="eastAsia" w:cs="宋体"/>
                <w:i/>
                <w:iCs/>
                <w:color w:val="000000"/>
                <w:szCs w:val="24"/>
                <w:u w:val="single"/>
                <w:lang w:bidi="ar"/>
              </w:rPr>
              <w:br/>
            </w:r>
            <w:r>
              <w:rPr>
                <w:rFonts w:hint="eastAsia" w:cs="宋体"/>
                <w:i/>
                <w:iCs/>
                <w:color w:val="000000"/>
                <w:szCs w:val="24"/>
                <w:u w:val="single"/>
                <w:lang w:bidi="ar"/>
              </w:rPr>
              <w:t xml:space="preserve">张力线间距15cm</w:t>
            </w:r>
            <w:r/>
          </w:p>
          <w:p>
            <w:pPr>
              <w:jc w:val="left"/>
              <w:widowControl/>
              <w:rPr>
                <w:rFonts w:hint="eastAsia" w:ascii="宋体" w:hAnsi="宋体" w:cs="宋体"/>
                <w:color w:val="000000"/>
                <w:sz w:val="24"/>
                <w:szCs w:val="24"/>
              </w:rPr>
            </w:pPr>
            <w:r>
              <w:rPr>
                <w:rFonts w:hint="eastAsia" w:ascii="宋体" w:hAnsi="宋体" w:cs="宋体"/>
                <w:sz w:val="24"/>
                <w:szCs w:val="24"/>
              </w:rPr>
              <w:t xml:space="preserve">◆</w:t>
            </w:r>
            <w:r>
              <w:rPr>
                <w:rFonts w:hint="eastAsia" w:ascii="宋体" w:hAnsi="宋体" w:cs="宋体"/>
                <w:color w:val="000000"/>
                <w:sz w:val="24"/>
                <w:szCs w:val="24"/>
                <w:lang w:bidi="ar"/>
              </w:rPr>
              <w:t xml:space="preserve">1、浪涌(冲击)抗扰度试验</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满足GB/T17626.5中的规范。电源端口:线-线:±1kV;线-地:±2kV直流、信号、数据、控制及其它输入线:±1kV试验中应不产生误报警和漏报警，试验后应功能正常。</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▲2、射频电磁场辐射抗扰度试验符合GB/T17626.3中严酷等级3的规定。80MHz~1000MHz;10V/m;80% AM(1kHz)试验中应不产生误报警和漏报警，试验后应功能正常。</w:t>
            </w:r>
            <w:r>
              <w:rPr>
                <w:rFonts w:hint="eastAsia" w:ascii="宋体" w:hAnsi="宋体" w:cs="宋体"/>
                <w:b/>
                <w:bCs/>
                <w:color w:val="000000"/>
                <w:sz w:val="24"/>
                <w:szCs w:val="24"/>
                <w:lang w:bidi="ar"/>
              </w:rPr>
              <w:t xml:space="preserve">（投标时须在响应文件中提供第三方检测机构出具的合格的检验报告或功能截图等相关证明材料）</w:t>
            </w:r>
            <w:r>
              <w:rPr>
                <w:rFonts w:hint="eastAsia" w:ascii="宋体" w:hAnsi="宋体" w:cs="宋体"/>
                <w:color w:val="000000"/>
                <w:sz w:val="24"/>
                <w:szCs w:val="24"/>
                <w:lang w:bidi="ar"/>
              </w:rPr>
              <w:br/>
            </w:r>
            <w:r>
              <w:rPr>
                <w:rFonts w:hint="eastAsia" w:ascii="宋体" w:hAnsi="宋体" w:cs="宋体"/>
                <w:sz w:val="24"/>
                <w:szCs w:val="24"/>
              </w:rPr>
              <w:t xml:space="preserve">◆3</w:t>
            </w:r>
            <w:r>
              <w:rPr>
                <w:rFonts w:hint="eastAsia" w:ascii="宋体" w:hAnsi="宋体" w:cs="宋体"/>
                <w:color w:val="000000"/>
                <w:sz w:val="24"/>
                <w:szCs w:val="24"/>
                <w:lang w:bidi="ar"/>
              </w:rPr>
              <w:t xml:space="preserve">、触发报警条件：</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a.张力丝被向下拉动且拉动距离&gt;12cm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b.使用&gt;150N力垂直或水平方向拉动张力丝</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c.张力丝被剪断</w:t>
            </w:r>
            <w:r>
              <w:rPr>
                <w:rFonts w:hint="eastAsia" w:ascii="宋体" w:hAnsi="宋体" w:cs="宋体"/>
                <w:color w:val="000000"/>
                <w:sz w:val="24"/>
                <w:szCs w:val="24"/>
                <w:lang w:bidi="ar"/>
              </w:rPr>
              <w:br/>
            </w:r>
            <w:r>
              <w:rPr>
                <w:rFonts w:hint="eastAsia" w:ascii="宋体" w:hAnsi="宋体" w:cs="宋体"/>
                <w:sz w:val="24"/>
                <w:szCs w:val="24"/>
              </w:rPr>
              <w:t xml:space="preserve">◆4</w:t>
            </w:r>
            <w:r>
              <w:rPr>
                <w:rFonts w:hint="eastAsia" w:ascii="宋体" w:hAnsi="宋体" w:cs="宋体"/>
                <w:color w:val="000000"/>
                <w:sz w:val="24"/>
                <w:szCs w:val="24"/>
                <w:lang w:bidi="ar"/>
              </w:rPr>
              <w:t xml:space="preserve">、静电放电抗扰度试验 接触放电:±6kV；空气放电:±8kV；试验中应不产生误报警和漏报警，试验后应功能正常。若有指示器件，则指示器件在试验期间闪烁是可接受的，但不应有任何输出的变化，试验后应功能正常。</w:t>
            </w:r>
            <w:r/>
          </w:p>
        </w:tc>
      </w:tr>
      <w:tr>
        <w:trPr>
          <w:trHeight w:val="30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6线单防控制杆包</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highlight w:val="none"/>
                <w:u w:val="single"/>
                <w:lang w:bidi="ar"/>
              </w:rPr>
              <w:t xml:space="preserve">1、与张力围栏终端同品牌；</w:t>
            </w:r>
            <w:r>
              <w:rPr>
                <w:rFonts w:hint="eastAsia" w:ascii="宋体" w:hAnsi="宋体" w:cs="宋体"/>
                <w:i/>
                <w:iCs/>
                <w:color w:val="000000"/>
                <w:sz w:val="24"/>
                <w:szCs w:val="24"/>
                <w:highlight w:val="none"/>
                <w:u w:val="single"/>
                <w:lang w:bidi="ar"/>
              </w:rPr>
              <w:br/>
            </w:r>
            <w:r>
              <w:rPr>
                <w:rFonts w:hint="eastAsia" w:ascii="宋体" w:hAnsi="宋体" w:cs="宋体"/>
                <w:i/>
                <w:iCs/>
                <w:color w:val="000000"/>
                <w:sz w:val="24"/>
                <w:szCs w:val="24"/>
                <w:highlight w:val="none"/>
                <w:u w:val="single"/>
                <w:lang w:bidi="ar"/>
              </w:rPr>
              <w:t xml:space="preserve">2、安装调试服务：针对此次配置的软件和硬件，必须提供原厂商现场软硬件安装调试；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3、AC24V或DC24V</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4、消耗电流：135mA </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5、主机防区：单/双可选 </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6、工作温度</w:t>
            </w:r>
            <w:r>
              <w:rPr>
                <w:rFonts w:hint="eastAsia" w:ascii="宋体" w:hAnsi="宋体" w:cs="宋体"/>
                <w:i/>
                <w:iCs/>
                <w:color w:val="000000"/>
                <w:sz w:val="24"/>
                <w:szCs w:val="24"/>
                <w:u w:val="single"/>
                <w:lang w:val="en-US" w:eastAsia="zh-CN" w:bidi="ar"/>
              </w:rPr>
              <w:t xml:space="preserve">优于</w:t>
            </w:r>
            <w:r>
              <w:rPr>
                <w:rFonts w:hint="eastAsia" w:ascii="宋体" w:hAnsi="宋体" w:cs="宋体"/>
                <w:i/>
                <w:iCs/>
                <w:color w:val="000000"/>
                <w:sz w:val="24"/>
                <w:szCs w:val="24"/>
                <w:u w:val="single"/>
                <w:lang w:bidi="ar"/>
              </w:rPr>
              <w:t xml:space="preserve">：-10℃~45℃</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7、使用湿度</w:t>
            </w:r>
            <w:r>
              <w:rPr>
                <w:rFonts w:hint="eastAsia" w:ascii="宋体" w:hAnsi="宋体" w:cs="宋体"/>
                <w:i/>
                <w:iCs/>
                <w:color w:val="000000"/>
                <w:sz w:val="24"/>
                <w:szCs w:val="24"/>
                <w:u w:val="single"/>
                <w:lang w:val="en-US" w:eastAsia="zh-CN" w:bidi="ar"/>
              </w:rPr>
              <w:t xml:space="preserve">优于</w:t>
            </w:r>
            <w:r>
              <w:rPr>
                <w:rFonts w:hint="eastAsia" w:ascii="宋体" w:hAnsi="宋体" w:cs="宋体"/>
                <w:i/>
                <w:iCs/>
                <w:color w:val="000000"/>
                <w:sz w:val="24"/>
                <w:szCs w:val="24"/>
                <w:u w:val="single"/>
                <w:lang w:bidi="ar"/>
              </w:rPr>
              <w:t xml:space="preserve">：40℃≤95%  </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8、输出端口：2路总线+开关信号输出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9、机箱材质：铝合金 </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10、报警输出：12V</w:t>
            </w:r>
            <w:r/>
          </w:p>
        </w:tc>
      </w:tr>
      <w:tr>
        <w:trPr>
          <w:trHeight w:val="6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6线国标张力杆</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1、铝合金材质，有防锈和耐腐蚀措施,坚固、美观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2、安装角度可调</w:t>
            </w:r>
            <w:r/>
          </w:p>
        </w:tc>
      </w:tr>
      <w:tr>
        <w:trPr>
          <w:trHeight w:val="6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张力杆附件包</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螺丝固定件</w:t>
            </w:r>
            <w:r/>
          </w:p>
        </w:tc>
      </w:tr>
      <w:tr>
        <w:trPr>
          <w:trHeight w:val="9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6线国标转向杆</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1、铝合金材质，有防锈和耐腐蚀措施,坚固、美观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2、适应于转角处安装</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3、安装角度可调，含固定件及底座</w:t>
            </w:r>
            <w:r/>
          </w:p>
        </w:tc>
      </w:tr>
      <w:tr>
        <w:trPr>
          <w:trHeight w:val="6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6线转向杆附件包</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螺丝固定件</w:t>
            </w:r>
            <w:r/>
          </w:p>
        </w:tc>
      </w:tr>
      <w:tr>
        <w:trPr>
          <w:trHeight w:val="9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7</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合金丝</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优质不锈钢SUS316材质，有防锈和耐腐蚀措施</w:t>
            </w:r>
            <w:r/>
          </w:p>
        </w:tc>
      </w:tr>
      <w:tr>
        <w:trPr>
          <w:trHeight w:val="417"/>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8</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接地桩</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eastAsia="宋体" w:cs="宋体"/>
                <w:i/>
                <w:iCs/>
                <w:color w:val="000000"/>
                <w:sz w:val="24"/>
                <w:szCs w:val="24"/>
                <w:u w:val="single"/>
                <w:lang w:val="en-US" w:eastAsia="zh-CN"/>
              </w:rPr>
            </w:pPr>
            <w:r>
              <w:rPr>
                <w:rFonts w:hint="eastAsia" w:ascii="宋体" w:hAnsi="宋体" w:cs="宋体"/>
                <w:i/>
                <w:iCs/>
                <w:color w:val="000000"/>
                <w:sz w:val="24"/>
                <w:szCs w:val="24"/>
                <w:u w:val="single"/>
                <w:lang w:bidi="ar"/>
              </w:rPr>
              <w:t xml:space="preserve">角铁</w:t>
            </w:r>
            <w:r>
              <w:rPr>
                <w:rFonts w:hint="eastAsia" w:ascii="宋体" w:hAnsi="宋体" w:cs="宋体"/>
                <w:i/>
                <w:iCs/>
                <w:color w:val="000000"/>
                <w:sz w:val="24"/>
                <w:szCs w:val="24"/>
                <w:u w:val="single"/>
                <w:lang w:val="en-US" w:eastAsia="zh-CN" w:bidi="ar"/>
              </w:rPr>
              <w:t xml:space="preserve">材质</w:t>
            </w:r>
            <w:r/>
          </w:p>
        </w:tc>
      </w:tr>
      <w:tr>
        <w:trPr>
          <w:trHeight w:val="65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9</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张力围栏警示牌</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1、PVC材料</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2</w:t>
            </w:r>
            <w:r>
              <w:rPr>
                <w:rFonts w:hint="eastAsia" w:ascii="宋体" w:hAnsi="宋体" w:cs="宋体"/>
                <w:i/>
                <w:iCs/>
                <w:color w:val="000000"/>
                <w:sz w:val="24"/>
                <w:szCs w:val="24"/>
                <w:u w:val="single"/>
                <w:lang w:bidi="ar"/>
              </w:rPr>
              <w:t xml:space="preserve">、字夜光型</w:t>
            </w:r>
            <w:r/>
          </w:p>
        </w:tc>
      </w:tr>
      <w:tr>
        <w:trPr>
          <w:trHeight w:val="6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10</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主机蓄电池</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报警专用蓄电池，DC12V/7A</w:t>
            </w:r>
            <w:r/>
          </w:p>
        </w:tc>
      </w:tr>
      <w:tr>
        <w:trPr>
          <w:trHeight w:val="21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11</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警灯警号</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1、与张力围栏终端同品牌；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2、工作电压:DC12V</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3、工作电流:≤70mA</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4、频闪频率:200次/分钟±10%</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5、声压指数:≥108dB(300mm)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6、工作温度</w:t>
            </w:r>
            <w:r>
              <w:rPr>
                <w:rFonts w:hint="eastAsia" w:ascii="宋体" w:hAnsi="宋体" w:cs="宋体"/>
                <w:i/>
                <w:iCs/>
                <w:color w:val="000000"/>
                <w:sz w:val="24"/>
                <w:szCs w:val="24"/>
                <w:u w:val="single"/>
                <w:lang w:val="en-US" w:eastAsia="zh-CN" w:bidi="ar"/>
              </w:rPr>
              <w:t xml:space="preserve">优于</w:t>
            </w:r>
            <w:r>
              <w:rPr>
                <w:rFonts w:hint="eastAsia" w:ascii="宋体" w:hAnsi="宋体" w:cs="宋体"/>
                <w:i/>
                <w:iCs/>
                <w:color w:val="000000"/>
                <w:sz w:val="24"/>
                <w:szCs w:val="24"/>
                <w:u w:val="single"/>
                <w:lang w:bidi="ar"/>
              </w:rPr>
              <w:t xml:space="preserve">:-20℃~ 55℃</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7、工作湿度:≥95%(无凝结)</w:t>
            </w:r>
            <w:r/>
          </w:p>
        </w:tc>
      </w:tr>
      <w:tr>
        <w:trPr>
          <w:trHeight w:val="27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12</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周界防范控制键盘</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与张力围栏终端同品牌；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安装调试服务：针对此次配置的软件和硬件，必须提供原厂商现场软硬件安装调试；</w:t>
            </w:r>
            <w:r>
              <w:rPr>
                <w:rFonts w:hint="eastAsia" w:ascii="宋体" w:hAnsi="宋体" w:cs="宋体"/>
                <w:color w:val="000000"/>
                <w:sz w:val="24"/>
                <w:szCs w:val="24"/>
                <w:lang w:bidi="ar"/>
              </w:rPr>
              <w:br/>
            </w:r>
            <w:r>
              <w:rPr>
                <w:rFonts w:hint="eastAsia" w:ascii="宋体" w:hAnsi="宋体" w:cs="宋体"/>
                <w:sz w:val="24"/>
                <w:szCs w:val="24"/>
              </w:rPr>
              <w:t xml:space="preserve">◆1</w:t>
            </w:r>
            <w:r>
              <w:rPr>
                <w:rFonts w:hint="eastAsia" w:ascii="宋体" w:hAnsi="宋体" w:cs="宋体"/>
                <w:color w:val="000000"/>
                <w:sz w:val="24"/>
                <w:szCs w:val="24"/>
                <w:lang w:bidi="ar"/>
              </w:rPr>
              <w:t xml:space="preserve">、主机具有全独立4路总线输入，具有极强的防雷抗干扰设计。大屏幕中文蓝屏显示，8个完全独立分区，可带8个分体键盘。</w:t>
            </w:r>
            <w:r>
              <w:rPr>
                <w:rFonts w:hint="eastAsia" w:ascii="宋体" w:hAnsi="宋体" w:cs="宋体"/>
                <w:color w:val="000000"/>
                <w:sz w:val="24"/>
                <w:szCs w:val="24"/>
                <w:lang w:bidi="ar"/>
              </w:rPr>
              <w:br/>
            </w:r>
            <w:r>
              <w:rPr>
                <w:rFonts w:hint="eastAsia" w:ascii="宋体" w:hAnsi="宋体" w:cs="宋体"/>
                <w:sz w:val="24"/>
                <w:szCs w:val="24"/>
              </w:rPr>
              <w:t xml:space="preserve">◆2</w:t>
            </w:r>
            <w:r>
              <w:rPr>
                <w:rFonts w:hint="eastAsia" w:ascii="宋体" w:hAnsi="宋体" w:cs="宋体"/>
                <w:color w:val="000000"/>
                <w:sz w:val="24"/>
                <w:szCs w:val="24"/>
                <w:lang w:bidi="ar"/>
              </w:rPr>
              <w:t xml:space="preserve">、具有250个总线防区，各个防区属性可设置(延时、即时、24小时防区)。不用任何中继或放大器，用线RWV2*1.0mm²可达到5公里两边布线可达到10公里。</w:t>
            </w:r>
            <w:r>
              <w:rPr>
                <w:rFonts w:hint="eastAsia" w:ascii="宋体" w:hAnsi="宋体" w:cs="宋体"/>
                <w:color w:val="000000"/>
                <w:sz w:val="24"/>
                <w:szCs w:val="24"/>
                <w:lang w:bidi="ar"/>
              </w:rPr>
              <w:br/>
            </w:r>
            <w:r>
              <w:rPr>
                <w:rFonts w:hint="eastAsia" w:ascii="宋体" w:hAnsi="宋体" w:cs="宋体"/>
                <w:sz w:val="24"/>
                <w:szCs w:val="24"/>
              </w:rPr>
              <w:t xml:space="preserve">◆3</w:t>
            </w:r>
            <w:r>
              <w:rPr>
                <w:rFonts w:hint="eastAsia" w:ascii="宋体" w:hAnsi="宋体" w:cs="宋体"/>
                <w:color w:val="000000"/>
                <w:sz w:val="24"/>
                <w:szCs w:val="24"/>
                <w:lang w:bidi="ar"/>
              </w:rPr>
              <w:t xml:space="preserve">、主机具有规定权限的用户应能对控制指示设备进行全部或部分设备操作。</w:t>
            </w:r>
            <w:r>
              <w:rPr>
                <w:rFonts w:hint="eastAsia" w:ascii="宋体" w:hAnsi="宋体" w:cs="宋体"/>
                <w:color w:val="000000"/>
                <w:sz w:val="24"/>
                <w:szCs w:val="24"/>
                <w:lang w:bidi="ar"/>
              </w:rPr>
              <w:br/>
            </w:r>
            <w:r>
              <w:rPr>
                <w:rFonts w:hint="eastAsia" w:ascii="宋体" w:hAnsi="宋体" w:cs="宋体"/>
                <w:sz w:val="24"/>
                <w:szCs w:val="24"/>
              </w:rPr>
              <w:t xml:space="preserve">◆4</w:t>
            </w:r>
            <w:r>
              <w:rPr>
                <w:rFonts w:hint="eastAsia" w:ascii="宋体" w:hAnsi="宋体" w:cs="宋体"/>
                <w:color w:val="000000"/>
                <w:sz w:val="24"/>
                <w:szCs w:val="24"/>
                <w:lang w:bidi="ar"/>
              </w:rPr>
              <w:t xml:space="preserve">、强制设防操作应在事件记录中记录。如果强制设防会导致出现报警状态，则不能强制设防(WD故障、入侵探测器故障、紧急报警装置故障相关项目不做要求)除上述允许的强制设防的情况外。</w:t>
            </w:r>
            <w:r/>
          </w:p>
        </w:tc>
      </w:tr>
      <w:tr>
        <w:trPr>
          <w:trHeight w:val="15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13</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LED灯亚格力电子看板</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1、led灯带</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2、亚格力材质看板</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3、铝合金边框</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4、报警时led灯对应点亮防区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5、尺寸：</w:t>
            </w:r>
            <w:r>
              <w:rPr>
                <w:rFonts w:hint="eastAsia" w:ascii="宋体" w:hAnsi="宋体" w:cs="宋体"/>
                <w:i/>
                <w:iCs/>
                <w:color w:val="000000"/>
                <w:sz w:val="24"/>
                <w:szCs w:val="24"/>
                <w:u w:val="single"/>
                <w:lang w:val="en-US" w:eastAsia="zh-CN" w:bidi="ar"/>
              </w:rPr>
              <w:t xml:space="preserve">长≥</w:t>
            </w:r>
            <w:r>
              <w:rPr>
                <w:rFonts w:hint="eastAsia" w:ascii="宋体" w:hAnsi="宋体" w:cs="宋体"/>
                <w:i/>
                <w:iCs/>
                <w:color w:val="000000"/>
                <w:sz w:val="24"/>
                <w:szCs w:val="24"/>
                <w:u w:val="single"/>
                <w:lang w:bidi="ar"/>
              </w:rPr>
              <w:t xml:space="preserve">90cm</w:t>
            </w:r>
            <w:r>
              <w:rPr>
                <w:rFonts w:hint="eastAsia" w:ascii="宋体" w:hAnsi="宋体" w:cs="宋体"/>
                <w:i/>
                <w:iCs/>
                <w:color w:val="000000"/>
                <w:sz w:val="24"/>
                <w:szCs w:val="24"/>
                <w:u w:val="single"/>
                <w:lang w:eastAsia="zh-CN" w:bidi="ar"/>
              </w:rPr>
              <w:t xml:space="preserve">；</w:t>
            </w:r>
            <w:r>
              <w:rPr>
                <w:rFonts w:hint="eastAsia" w:ascii="宋体" w:hAnsi="宋体" w:cs="宋体"/>
                <w:i/>
                <w:iCs/>
                <w:color w:val="000000"/>
                <w:sz w:val="24"/>
                <w:szCs w:val="24"/>
                <w:u w:val="single"/>
                <w:lang w:val="en-US" w:eastAsia="zh-CN" w:bidi="ar"/>
              </w:rPr>
              <w:t xml:space="preserve">宽≥</w:t>
            </w:r>
            <w:r>
              <w:rPr>
                <w:rFonts w:hint="eastAsia" w:ascii="宋体" w:hAnsi="宋体" w:cs="宋体"/>
                <w:i/>
                <w:iCs/>
                <w:color w:val="000000"/>
                <w:sz w:val="24"/>
                <w:szCs w:val="24"/>
                <w:u w:val="single"/>
                <w:lang w:bidi="ar"/>
              </w:rPr>
              <w:t xml:space="preserve">80cm</w:t>
            </w:r>
            <w:r/>
          </w:p>
        </w:tc>
      </w:tr>
      <w:tr>
        <w:trPr>
          <w:trHeight w:val="21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14</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报警联动模块</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1、与张力围栏终端同品牌；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2、工作电压：10-16V DC</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3、工作温度</w:t>
            </w:r>
            <w:r>
              <w:rPr>
                <w:rFonts w:hint="eastAsia" w:ascii="宋体" w:hAnsi="宋体" w:cs="宋体"/>
                <w:i/>
                <w:iCs/>
                <w:color w:val="000000"/>
                <w:sz w:val="24"/>
                <w:szCs w:val="24"/>
                <w:u w:val="single"/>
                <w:lang w:val="en-US" w:eastAsia="zh-CN" w:bidi="ar"/>
              </w:rPr>
              <w:t xml:space="preserve">优于</w:t>
            </w:r>
            <w:r>
              <w:rPr>
                <w:rFonts w:hint="eastAsia" w:ascii="宋体" w:hAnsi="宋体" w:cs="宋体"/>
                <w:i/>
                <w:iCs/>
                <w:color w:val="000000"/>
                <w:sz w:val="24"/>
                <w:szCs w:val="24"/>
                <w:u w:val="single"/>
                <w:lang w:bidi="ar"/>
              </w:rPr>
              <w:t xml:space="preserve">：-10℃～+50℃</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4、相对湿度：≤95%RH</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5、静态电流：100MA</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6报警输出：常开常闭可调</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7、外形尺寸</w:t>
            </w:r>
            <w:r>
              <w:rPr>
                <w:rFonts w:hint="eastAsia" w:ascii="宋体" w:hAnsi="宋体" w:cs="宋体"/>
                <w:i/>
                <w:iCs/>
                <w:color w:val="000000"/>
                <w:sz w:val="24"/>
                <w:szCs w:val="24"/>
                <w:highlight w:val="none"/>
                <w:u w:val="single"/>
                <w:lang w:bidi="ar"/>
              </w:rPr>
              <w:t xml:space="preserve">：</w:t>
            </w:r>
            <w:r>
              <w:rPr>
                <w:rFonts w:hint="eastAsia" w:ascii="宋体" w:hAnsi="宋体" w:cs="宋体"/>
                <w:i/>
                <w:iCs/>
                <w:color w:val="000000"/>
                <w:sz w:val="24"/>
                <w:szCs w:val="24"/>
                <w:highlight w:val="none"/>
                <w:u w:val="single"/>
                <w:lang w:val="en-US" w:eastAsia="zh-CN" w:bidi="ar"/>
              </w:rPr>
              <w:t xml:space="preserve">长≥</w:t>
            </w:r>
            <w:r>
              <w:rPr>
                <w:rFonts w:hint="eastAsia" w:ascii="宋体" w:hAnsi="宋体" w:cs="宋体"/>
                <w:i/>
                <w:iCs/>
                <w:color w:val="000000"/>
                <w:sz w:val="24"/>
                <w:szCs w:val="24"/>
                <w:highlight w:val="none"/>
                <w:u w:val="single"/>
                <w:lang w:bidi="ar"/>
              </w:rPr>
              <w:t xml:space="preserve">115mm</w:t>
            </w:r>
            <w:r>
              <w:rPr>
                <w:rFonts w:hint="eastAsia"/>
                <w:highlight w:val="none"/>
                <w:lang w:eastAsia="zh-CN"/>
              </w:rPr>
              <w:t xml:space="preserve">；</w:t>
            </w:r>
            <w:r>
              <w:rPr>
                <w:rFonts w:hint="eastAsia" w:ascii="宋体" w:hAnsi="宋体" w:cs="宋体"/>
                <w:i/>
                <w:iCs/>
                <w:color w:val="000000"/>
                <w:sz w:val="24"/>
                <w:szCs w:val="24"/>
                <w:highlight w:val="none"/>
                <w:u w:val="single"/>
                <w:lang w:val="en-US" w:eastAsia="zh-CN" w:bidi="ar"/>
              </w:rPr>
              <w:t xml:space="preserve">宽≥</w:t>
            </w:r>
            <w:r>
              <w:rPr>
                <w:rFonts w:hint="eastAsia" w:ascii="宋体" w:hAnsi="宋体" w:cs="宋体"/>
                <w:i/>
                <w:iCs/>
                <w:color w:val="000000"/>
                <w:sz w:val="24"/>
                <w:szCs w:val="24"/>
                <w:highlight w:val="none"/>
                <w:u w:val="single"/>
                <w:lang w:bidi="ar"/>
              </w:rPr>
              <w:t xml:space="preserve">90mm</w:t>
            </w:r>
            <w:r/>
          </w:p>
        </w:tc>
      </w:tr>
      <w:tr>
        <w:trPr>
          <w:trHeight w:val="6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15</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红外对射</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1、DC12-24V AC10V-15V</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2、消耗电流65-85毫安</w:t>
            </w:r>
            <w:r/>
          </w:p>
        </w:tc>
      </w:tr>
      <w:tr>
        <w:trPr>
          <w:trHeight w:val="15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16</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固定式防撞柱</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1、材质：304不锈钢+反光膜；</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2、立柱外露高度：≥600mm；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3、直径：≥210mm；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4、柱体表面工艺：抛光；</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5、拆解性能：可拆解。</w:t>
            </w:r>
            <w:r/>
          </w:p>
        </w:tc>
      </w:tr>
      <w:tr>
        <w:trPr>
          <w:trHeight w:val="6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17</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防水箱</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1、材质：不锈钢</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w:t>
            </w:r>
            <w:r>
              <w:rPr>
                <w:rFonts w:hint="eastAsia" w:ascii="宋体" w:hAnsi="宋体" w:cs="宋体"/>
                <w:i/>
                <w:iCs/>
                <w:color w:val="000000"/>
                <w:sz w:val="24"/>
                <w:szCs w:val="24"/>
                <w:u w:val="single"/>
                <w:lang w:val="en-US" w:eastAsia="zh-CN" w:bidi="ar"/>
              </w:rPr>
              <w:t xml:space="preserve">长≥</w:t>
            </w:r>
            <w:r>
              <w:rPr>
                <w:rFonts w:hint="eastAsia" w:ascii="宋体" w:hAnsi="宋体" w:cs="宋体"/>
                <w:i/>
                <w:iCs/>
                <w:color w:val="000000"/>
                <w:sz w:val="24"/>
                <w:szCs w:val="24"/>
                <w:u w:val="single"/>
                <w:lang w:bidi="ar"/>
              </w:rPr>
              <w:t xml:space="preserve">30cm</w:t>
            </w:r>
            <w:r>
              <w:rPr>
                <w:rFonts w:hint="eastAsia" w:ascii="宋体" w:hAnsi="宋体" w:cs="宋体"/>
                <w:i/>
                <w:iCs/>
                <w:color w:val="000000"/>
                <w:sz w:val="24"/>
                <w:szCs w:val="24"/>
                <w:u w:val="single"/>
                <w:lang w:eastAsia="zh-CN" w:bidi="ar"/>
              </w:rPr>
              <w:t xml:space="preserve">，</w:t>
            </w:r>
            <w:r>
              <w:rPr>
                <w:rFonts w:hint="eastAsia" w:ascii="宋体" w:hAnsi="宋体" w:cs="宋体"/>
                <w:i/>
                <w:iCs/>
                <w:color w:val="000000"/>
                <w:sz w:val="24"/>
                <w:szCs w:val="24"/>
                <w:u w:val="single"/>
                <w:lang w:val="en-US" w:eastAsia="zh-CN" w:bidi="ar"/>
              </w:rPr>
              <w:t xml:space="preserve">宽≥</w:t>
            </w:r>
            <w:r>
              <w:rPr>
                <w:rFonts w:hint="eastAsia" w:ascii="宋体" w:hAnsi="宋体" w:cs="宋体"/>
                <w:i/>
                <w:iCs/>
                <w:color w:val="000000"/>
                <w:sz w:val="24"/>
                <w:szCs w:val="24"/>
                <w:u w:val="single"/>
                <w:lang w:bidi="ar"/>
              </w:rPr>
              <w:t xml:space="preserve">40cm</w:t>
            </w:r>
            <w:r>
              <w:rPr>
                <w:rFonts w:hint="eastAsia" w:ascii="宋体" w:hAnsi="宋体" w:cs="宋体"/>
                <w:i/>
                <w:iCs/>
                <w:color w:val="000000"/>
                <w:sz w:val="24"/>
                <w:szCs w:val="24"/>
                <w:u w:val="single"/>
                <w:lang w:eastAsia="zh-CN" w:bidi="ar"/>
              </w:rPr>
              <w:t xml:space="preserve">，</w:t>
            </w:r>
            <w:r>
              <w:rPr>
                <w:rFonts w:hint="eastAsia" w:ascii="宋体" w:hAnsi="宋体" w:cs="宋体"/>
                <w:i/>
                <w:iCs/>
                <w:color w:val="000000"/>
                <w:sz w:val="24"/>
                <w:szCs w:val="24"/>
                <w:u w:val="single"/>
                <w:lang w:val="en-US" w:eastAsia="zh-CN" w:bidi="ar"/>
              </w:rPr>
              <w:t xml:space="preserve">高≥</w:t>
            </w:r>
            <w:r>
              <w:rPr>
                <w:rFonts w:hint="eastAsia" w:ascii="宋体" w:hAnsi="宋体" w:cs="宋体"/>
                <w:i/>
                <w:iCs/>
                <w:color w:val="000000"/>
                <w:sz w:val="24"/>
                <w:szCs w:val="24"/>
                <w:u w:val="single"/>
                <w:lang w:bidi="ar"/>
              </w:rPr>
              <w:t xml:space="preserve">20cm</w:t>
            </w:r>
            <w:r/>
          </w:p>
        </w:tc>
      </w:tr>
      <w:tr>
        <w:trPr>
          <w:trHeight w:val="27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18</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单防区地址模块</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1、与张力围栏终端同品牌；</w:t>
            </w:r>
            <w:r>
              <w:rPr>
                <w:rFonts w:hint="eastAsia" w:ascii="宋体" w:hAnsi="宋体" w:cs="宋体"/>
                <w:color w:val="000000"/>
                <w:sz w:val="24"/>
                <w:szCs w:val="24"/>
                <w:lang w:bidi="ar"/>
              </w:rPr>
              <w:br/>
            </w:r>
            <w:r>
              <w:rPr>
                <w:rFonts w:hint="eastAsia" w:ascii="宋体" w:hAnsi="宋体" w:cs="宋体"/>
                <w:i/>
                <w:iCs/>
                <w:color w:val="000000"/>
                <w:sz w:val="24"/>
                <w:szCs w:val="24"/>
                <w:u w:val="single"/>
                <w:lang w:bidi="ar"/>
              </w:rPr>
              <w:t xml:space="preserve">2、485通讯方式。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3、拨码开关设定地址。</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4、输入信号NC/NO可通过软件设置。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5、可与主机连接。工作电压：DC12V</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6、防区数量：1防区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7、消耗电流： ≤50mA</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8、工作温度</w:t>
            </w:r>
            <w:r>
              <w:rPr>
                <w:rFonts w:hint="eastAsia" w:ascii="宋体" w:hAnsi="宋体" w:cs="宋体"/>
                <w:i/>
                <w:iCs/>
                <w:color w:val="000000"/>
                <w:sz w:val="24"/>
                <w:szCs w:val="24"/>
                <w:u w:val="single"/>
                <w:lang w:val="en-US" w:eastAsia="zh-CN" w:bidi="ar"/>
              </w:rPr>
              <w:t xml:space="preserve">优于</w:t>
            </w:r>
            <w:r>
              <w:rPr>
                <w:rFonts w:hint="eastAsia" w:ascii="宋体" w:hAnsi="宋体" w:cs="宋体"/>
                <w:i/>
                <w:iCs/>
                <w:color w:val="000000"/>
                <w:sz w:val="24"/>
                <w:szCs w:val="24"/>
                <w:u w:val="single"/>
                <w:lang w:bidi="ar"/>
              </w:rPr>
              <w:t xml:space="preserve">：-10℃～+45℃</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9、工作湿度：</w:t>
            </w:r>
            <w:r>
              <w:rPr>
                <w:rFonts w:hint="eastAsia" w:ascii="宋体" w:hAnsi="宋体" w:cs="宋体"/>
                <w:i/>
                <w:iCs/>
                <w:color w:val="000000"/>
                <w:sz w:val="24"/>
                <w:szCs w:val="24"/>
                <w:u w:val="single"/>
                <w:lang w:val="en-US" w:eastAsia="zh-CN" w:bidi="ar"/>
              </w:rPr>
              <w:t xml:space="preserve">≥</w:t>
            </w:r>
            <w:r>
              <w:rPr>
                <w:rFonts w:hint="eastAsia" w:ascii="宋体" w:hAnsi="宋体" w:cs="宋体"/>
                <w:i/>
                <w:iCs/>
                <w:color w:val="000000"/>
                <w:sz w:val="24"/>
                <w:szCs w:val="24"/>
                <w:u w:val="single"/>
                <w:lang w:bidi="ar"/>
              </w:rPr>
              <w:t xml:space="preserve">90%</w:t>
            </w:r>
            <w:r/>
          </w:p>
        </w:tc>
      </w:tr>
      <w:tr>
        <w:trPr>
          <w:trHeight w:val="3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19</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张力弹簧</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优质不锈钢SUS304材质，具备防锈和耐腐蚀措施</w:t>
            </w:r>
            <w:r/>
          </w:p>
        </w:tc>
      </w:tr>
      <w:tr>
        <w:trPr>
          <w:trHeight w:val="6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20</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不锈钢紧线器</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不锈钢SUS304+精密单向组件</w:t>
            </w:r>
            <w:r/>
          </w:p>
        </w:tc>
      </w:tr>
      <w:tr>
        <w:trPr>
          <w:trHeight w:val="3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21</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束线器</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铝合金材质</w:t>
            </w:r>
            <w:r/>
          </w:p>
        </w:tc>
      </w:tr>
      <w:tr>
        <w:trPr>
          <w:trHeight w:val="3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22</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转向滑轮</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不锈钢SUS304+滑轮套件,高度可调节，直接固定于终端杆,适用于转角处90度安装面</w:t>
            </w:r>
            <w:r/>
          </w:p>
        </w:tc>
      </w:tr>
      <w:tr>
        <w:trPr>
          <w:trHeight w:val="21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23</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室外防水警灯</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w:t>
            </w:r>
            <w:r>
              <w:rPr>
                <w:rFonts w:hint="eastAsia" w:ascii="宋体" w:hAnsi="宋体" w:cs="宋体"/>
                <w:i/>
                <w:iCs/>
                <w:color w:val="000000"/>
                <w:sz w:val="24"/>
                <w:szCs w:val="24"/>
                <w:u w:val="single"/>
                <w:lang w:val="en-US" w:eastAsia="zh-CN" w:bidi="ar"/>
              </w:rPr>
              <w:t xml:space="preserve">形状为弧形</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2、工作电压:DC12V</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3、工作电流:≤70mA</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4、频闪频率:200次/分钟土10%</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5、声压指数:≥108dB(300mm)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6、工作温度</w:t>
            </w:r>
            <w:r>
              <w:rPr>
                <w:rFonts w:hint="eastAsia" w:ascii="宋体" w:hAnsi="宋体" w:cs="宋体"/>
                <w:i/>
                <w:iCs/>
                <w:color w:val="000000"/>
                <w:sz w:val="24"/>
                <w:szCs w:val="24"/>
                <w:u w:val="single"/>
                <w:lang w:val="en-US" w:eastAsia="zh-CN" w:bidi="ar"/>
              </w:rPr>
              <w:t xml:space="preserve">优于</w:t>
            </w:r>
            <w:r>
              <w:rPr>
                <w:rFonts w:hint="eastAsia" w:ascii="宋体" w:hAnsi="宋体" w:cs="宋体"/>
                <w:i/>
                <w:iCs/>
                <w:color w:val="000000"/>
                <w:sz w:val="24"/>
                <w:szCs w:val="24"/>
                <w:u w:val="single"/>
                <w:lang w:bidi="ar"/>
              </w:rPr>
              <w:t xml:space="preserve">:-20℃~ 55℃</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7、工作湿度:</w:t>
            </w:r>
            <w:r>
              <w:rPr>
                <w:rFonts w:hint="eastAsia" w:ascii="宋体" w:hAnsi="宋体" w:cs="宋体"/>
                <w:i/>
                <w:iCs/>
                <w:color w:val="000000"/>
                <w:sz w:val="24"/>
                <w:szCs w:val="24"/>
                <w:u w:val="single"/>
                <w:lang w:val="en-US" w:eastAsia="zh-CN" w:bidi="ar"/>
              </w:rPr>
              <w:t xml:space="preserve">≥</w:t>
            </w:r>
            <w:r>
              <w:rPr>
                <w:rFonts w:hint="eastAsia" w:ascii="宋体" w:hAnsi="宋体" w:cs="宋体"/>
                <w:i/>
                <w:iCs/>
                <w:color w:val="000000"/>
                <w:sz w:val="24"/>
                <w:szCs w:val="24"/>
                <w:u w:val="single"/>
                <w:lang w:bidi="ar"/>
              </w:rPr>
              <w:t xml:space="preserve">95%(无凝结)</w:t>
            </w:r>
            <w:r/>
          </w:p>
        </w:tc>
      </w:tr>
      <w:tr>
        <w:trPr>
          <w:trHeight w:val="9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24</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管理平台</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sz w:val="24"/>
                <w:szCs w:val="24"/>
              </w:rPr>
              <w:t xml:space="preserve">◆</w:t>
            </w:r>
            <w:r>
              <w:rPr>
                <w:rFonts w:hint="eastAsia" w:ascii="宋体" w:hAnsi="宋体" w:cs="宋体"/>
                <w:color w:val="000000"/>
                <w:sz w:val="24"/>
                <w:szCs w:val="24"/>
                <w:lang w:bidi="ar"/>
              </w:rPr>
              <w:t xml:space="preserve">1、可以对前端报警主机进行集中管理</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2、使用自定义格式的矢量电子地图作为报警系统的辅助管理，也可以使用工程施工的电子地图作为辅助手段。</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3、具有手动和自动二种模式配置用户资料，并可对用户资料进行导入导出操作，也可对全部用户进行分组设置。</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4、用户发生报警时，可通过用户添加到平台里的视频设备的网络地址，实时查看报警现场并对现场进行录象。</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5、电子地图报警用户闪烁指示，报警位置一目了然多级防区图，可以在里面添加多个用户并可对其标出防区位置。</w:t>
            </w:r>
            <w:r/>
          </w:p>
        </w:tc>
      </w:tr>
      <w:tr>
        <w:trPr>
          <w:trHeight w:val="9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25</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一键报警</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lang w:bidi="ar"/>
              </w:rPr>
            </w:pPr>
            <w:r>
              <w:rPr>
                <w:rFonts w:hint="eastAsia" w:ascii="宋体" w:hAnsi="宋体" w:cs="宋体"/>
                <w:i/>
                <w:iCs/>
                <w:color w:val="000000"/>
                <w:sz w:val="24"/>
                <w:szCs w:val="24"/>
                <w:u w:val="single"/>
                <w:lang w:bidi="ar"/>
              </w:rPr>
              <w:t xml:space="preserve">材质PVC</w:t>
            </w:r>
            <w:r/>
          </w:p>
          <w:p>
            <w:pPr>
              <w:jc w:val="left"/>
              <w:widowControl/>
              <w:rPr>
                <w:rFonts w:hint="eastAsia" w:ascii="宋体" w:hAnsi="宋体" w:cs="宋体"/>
                <w:color w:val="000000"/>
                <w:sz w:val="24"/>
                <w:szCs w:val="24"/>
              </w:rPr>
            </w:pPr>
            <w:r>
              <w:rPr>
                <w:rFonts w:hint="eastAsia" w:ascii="宋体" w:hAnsi="宋体" w:cs="宋体"/>
                <w:sz w:val="24"/>
                <w:szCs w:val="24"/>
              </w:rPr>
              <w:t xml:space="preserve">◆</w:t>
            </w:r>
            <w:r>
              <w:rPr>
                <w:rFonts w:hint="eastAsia" w:ascii="宋体" w:hAnsi="宋体" w:cs="宋体"/>
                <w:color w:val="000000"/>
                <w:sz w:val="24"/>
                <w:szCs w:val="24"/>
                <w:lang w:bidi="ar"/>
              </w:rPr>
              <w:t xml:space="preserve">1、设备应符合公安一键报警接入技术规范，具备对接公安 110 接警平台的技术条件</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2、支持物联网通信方式（4G/5G）传输报警信号</w:t>
            </w:r>
            <w:r/>
          </w:p>
        </w:tc>
      </w:tr>
      <w:tr>
        <w:trPr>
          <w:trHeight w:val="15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26</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通信线1</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1、RVVP4*0.75mm²</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2、导体为高纯度无氧铜；</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3、禁止铜包铝导体；</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4、符合GB/T5023-2008标准；</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5、阻燃聚氯乙烯绝缘及护套</w:t>
            </w:r>
            <w:r/>
          </w:p>
        </w:tc>
      </w:tr>
      <w:tr>
        <w:trPr>
          <w:trHeight w:val="9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27</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单门防水磁力锁</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1、吸附拉力≥280KG；</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2、工作电压 DC12V/24V 兼容；</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3、防水防护等级≥IP65；</w:t>
            </w:r>
            <w:r/>
          </w:p>
        </w:tc>
      </w:tr>
      <w:tr>
        <w:trPr>
          <w:trHeight w:val="12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28</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磁力锁支架</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1、适配≥280KG防水磁力锁；</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2、材质≥2.0mm 厚不锈钢；</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3、含全套安装固定螺丝、膨胀螺栓等安装配件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4、支架L型</w:t>
            </w:r>
            <w:r/>
          </w:p>
        </w:tc>
      </w:tr>
      <w:tr>
        <w:trPr>
          <w:trHeight w:val="6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29</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门禁电源</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lang w:bidi="ar"/>
              </w:rPr>
            </w:pPr>
            <w:r>
              <w:rPr>
                <w:rFonts w:hint="eastAsia" w:ascii="宋体" w:hAnsi="宋体" w:cs="宋体"/>
                <w:i/>
                <w:iCs/>
                <w:color w:val="000000"/>
                <w:sz w:val="24"/>
                <w:szCs w:val="24"/>
                <w:u w:val="single"/>
                <w:lang w:bidi="ar"/>
              </w:rPr>
              <w:t xml:space="preserve">输入 AC220V；输出 DC24V，输出电流≥5A</w:t>
            </w:r>
            <w:r/>
          </w:p>
          <w:p>
            <w:pPr>
              <w:jc w:val="left"/>
              <w:widowControl/>
              <w:rPr>
                <w:rFonts w:hint="eastAsia" w:ascii="宋体" w:hAnsi="宋体" w:cs="宋体"/>
                <w:color w:val="000000"/>
                <w:sz w:val="24"/>
                <w:szCs w:val="24"/>
              </w:rPr>
            </w:pPr>
            <w:r>
              <w:rPr>
                <w:rFonts w:hint="eastAsia" w:ascii="宋体" w:hAnsi="宋体" w:cs="宋体"/>
                <w:sz w:val="24"/>
                <w:szCs w:val="24"/>
              </w:rPr>
              <w:t xml:space="preserve">◆</w:t>
            </w:r>
            <w:r>
              <w:rPr>
                <w:rFonts w:hint="eastAsia" w:ascii="宋体" w:hAnsi="宋体" w:cs="宋体"/>
                <w:color w:val="000000"/>
                <w:sz w:val="24"/>
                <w:szCs w:val="24"/>
                <w:lang w:bidi="ar"/>
              </w:rPr>
              <w:t xml:space="preserve">1、具备蓄电池后备接口，具备过压、过流、短路保护</w:t>
            </w:r>
            <w:r/>
          </w:p>
        </w:tc>
      </w:tr>
      <w:tr>
        <w:trPr>
          <w:trHeight w:val="6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30</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出门按钮</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1、86暗装型门禁出门按钮，自复位，常开信号输出；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2、金属/ABS 面板，适配标准86底盒。</w:t>
            </w:r>
            <w:r/>
          </w:p>
        </w:tc>
      </w:tr>
      <w:tr>
        <w:trPr>
          <w:trHeight w:val="5977"/>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31</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人脸识别终端</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lang w:bidi="ar"/>
              </w:rPr>
            </w:pPr>
            <w:r>
              <w:rPr>
                <w:rFonts w:hint="eastAsia" w:ascii="宋体" w:hAnsi="宋体" w:cs="宋体"/>
                <w:i/>
                <w:iCs/>
                <w:color w:val="000000"/>
                <w:sz w:val="24"/>
                <w:szCs w:val="24"/>
                <w:u w:val="single"/>
                <w:lang w:eastAsia="zh-CN" w:bidi="ar"/>
              </w:rPr>
              <w:t xml:space="preserve">安</w:t>
            </w:r>
            <w:r>
              <w:rPr>
                <w:rFonts w:hint="eastAsia" w:ascii="宋体" w:hAnsi="宋体" w:cs="宋体"/>
                <w:i/>
                <w:iCs/>
                <w:color w:val="000000"/>
                <w:sz w:val="24"/>
                <w:szCs w:val="24"/>
                <w:u w:val="single"/>
                <w:lang w:bidi="ar"/>
              </w:rPr>
              <w:t xml:space="preserve">装调试服务：针对此次配置的软件和硬件，必须提供原厂商现场软硬件安装调试；</w:t>
            </w:r>
            <w:r/>
          </w:p>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通讯方式：上行通讯为TCP/IP；支持Wifi；</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视频对讲：支持视频语音对讲功能；可接NVR，支持视频预览；</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设备接口： LAN*1；RS485*1；韦根*1；USB *1；门磁*1、开门按钮*1、报警输入*2；电锁*1、报警输出*1；</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工作电压：DC 12V/3A，需独立供电；</w:t>
            </w:r>
            <w:r>
              <w:rPr>
                <w:rFonts w:hint="eastAsia" w:ascii="宋体" w:hAnsi="宋体" w:cs="宋体"/>
                <w:color w:val="000000"/>
                <w:sz w:val="24"/>
                <w:szCs w:val="24"/>
                <w:lang w:bidi="ar"/>
              </w:rPr>
              <w:br/>
            </w:r>
            <w:r>
              <w:rPr>
                <w:rFonts w:hint="eastAsia" w:ascii="宋体" w:hAnsi="宋体" w:cs="宋体"/>
                <w:i/>
                <w:iCs/>
                <w:color w:val="000000"/>
                <w:sz w:val="24"/>
                <w:szCs w:val="24"/>
                <w:u w:val="single"/>
                <w:lang w:bidi="ar"/>
              </w:rPr>
              <w:t xml:space="preserve">设备外观：采用≥7英寸LCD触摸显示屏；≥200万像素双目宽动态摄像头，采用星光级图像传感器，可适应夜间低照度环境；人脸识别距离可大于2m，支持照片视频防假；</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设备容量：支持≥50000张人脸白名单，1：N人脸比对时间≤0.2s/人；支持≥100000笔事件记录存储；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认证方式：支持人脸；支持通过RS485或韦根外接读卡器，实现刷卡开闸；支持人证比对（需外接身份证阅读器）；基线支持标准韦根26/34；</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人脸比对误识率和准确率：误识率=误识总次数负样本对总数×100%；准确率=通过总次数/正样本对总数×100%；误识率≤0.01%条件下，准确率应≥99.8%。支持接入NVR设备，实现视频监控录像；</w:t>
            </w:r>
            <w:r/>
          </w:p>
        </w:tc>
      </w:tr>
      <w:tr>
        <w:trPr>
          <w:trHeight w:val="3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32</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巡更</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人员信息纽</w:t>
            </w:r>
            <w:r>
              <w:rPr>
                <w:rFonts w:hint="eastAsia" w:ascii="宋体" w:hAnsi="宋体" w:cs="宋体"/>
                <w:i/>
                <w:iCs/>
                <w:color w:val="000000"/>
                <w:sz w:val="24"/>
                <w:szCs w:val="24"/>
                <w:u w:val="single"/>
                <w:lang w:val="en-US" w:eastAsia="zh-CN" w:bidi="ar"/>
              </w:rPr>
              <w:t xml:space="preserve">不少于</w:t>
            </w:r>
            <w:r>
              <w:rPr>
                <w:rFonts w:hint="eastAsia" w:ascii="宋体" w:hAnsi="宋体" w:cs="宋体"/>
                <w:i/>
                <w:iCs/>
                <w:color w:val="000000"/>
                <w:sz w:val="24"/>
                <w:szCs w:val="24"/>
                <w:u w:val="single"/>
                <w:lang w:bidi="ar"/>
              </w:rPr>
              <w:t xml:space="preserve">5个，地址信息纽</w:t>
            </w:r>
            <w:r>
              <w:rPr>
                <w:rFonts w:hint="eastAsia" w:ascii="宋体" w:hAnsi="宋体" w:cs="宋体"/>
                <w:i/>
                <w:iCs/>
                <w:color w:val="000000"/>
                <w:sz w:val="24"/>
                <w:szCs w:val="24"/>
                <w:u w:val="single"/>
                <w:lang w:val="en-US" w:eastAsia="zh-CN" w:bidi="ar"/>
              </w:rPr>
              <w:t xml:space="preserve">不少于</w:t>
            </w:r>
            <w:r>
              <w:rPr>
                <w:rFonts w:hint="eastAsia" w:ascii="宋体" w:hAnsi="宋体" w:cs="宋体"/>
                <w:i/>
                <w:iCs/>
                <w:color w:val="000000"/>
                <w:sz w:val="24"/>
                <w:szCs w:val="24"/>
                <w:u w:val="single"/>
                <w:lang w:bidi="ar"/>
              </w:rPr>
              <w:t xml:space="preserve">150个</w:t>
            </w:r>
            <w:r/>
          </w:p>
        </w:tc>
      </w:tr>
      <w:tr>
        <w:trPr>
          <w:trHeight w:val="33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33</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智能烟感</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1、通讯模块：NB-Iot通讯</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2、工作原理：光电式、热敏元件感温</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3、工作电压：DC3.0V（锂电池）</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4、工作电流：静态电流≤13μA，报警电流≤150mA</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5、感温报警：定温57℃，差温约8℃/min</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6、报警方式：声光报警</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7、报警音量：≥85dB@3m（A计权）</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8、报警分类：火灾报警、低压报警、故障报警、防拆报警</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9、其他功能：自检按键、本地/远程消音、信号查询</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10、电池寿命：平均寿命≥3年</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11、安装方式：螺钉固定/背胶固定</w:t>
            </w:r>
            <w:r/>
          </w:p>
        </w:tc>
      </w:tr>
      <w:tr>
        <w:trPr>
          <w:trHeight w:val="2985"/>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34</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多媒体交互式智能一体机</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lang w:bidi="ar"/>
              </w:rPr>
            </w:pPr>
            <w:r>
              <w:rPr>
                <w:rFonts w:hint="eastAsia" w:ascii="宋体" w:hAnsi="宋体" w:cs="宋体"/>
                <w:i/>
                <w:iCs/>
                <w:color w:val="000000"/>
                <w:sz w:val="24"/>
                <w:szCs w:val="24"/>
                <w:u w:val="single"/>
                <w:lang w:bidi="ar"/>
              </w:rPr>
              <w:t xml:space="preserve">屏幕尺寸≥100寸；响应时间≤8ms；画面比例≥16:9；分辨率≥3840(H)×2160(V)；刷新频率≥60Hz；可视角度≥178°(H/V)；屏亮度≥350cd/m²±10%</w:t>
            </w:r>
            <w:r/>
          </w:p>
          <w:p>
            <w:pPr>
              <w:jc w:val="left"/>
              <w:widowControl/>
              <w:rPr>
                <w:rFonts w:hint="eastAsia" w:ascii="宋体" w:hAnsi="宋体" w:cs="宋体"/>
                <w:sz w:val="24"/>
                <w:szCs w:val="24"/>
              </w:rPr>
            </w:pPr>
            <w:r>
              <w:rPr>
                <w:rFonts w:hint="eastAsia" w:ascii="宋体" w:hAnsi="宋体" w:cs="宋体"/>
                <w:i/>
                <w:iCs/>
                <w:color w:val="000000"/>
                <w:sz w:val="24"/>
                <w:szCs w:val="24"/>
                <w:u w:val="single"/>
                <w:lang w:bidi="ar"/>
              </w:rPr>
              <w:t xml:space="preserve">运行内存（RAM）≥4GB；系统内存（ROM）≥32GB；扬声器：声道2.0，喇叭≥2×15W；CPU≥四核A73</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17、前置接口：≥HDMI IN*1,≥USB3.0*2,≥USBType-C*1,≥TOUCH2.0*1；后置接口：≥HDMI IN*2，≥USB2.0*1，≥USB3.0*1，≥TOUCH2.0*1，≥LINE OUT*1，≥OPTICAL*1，≥RS232*1，≥RJ45 IN*1，≥(Mini) MIC IN*1</w:t>
            </w:r>
            <w:r/>
          </w:p>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采用±1mm高精度红外触摸，支持≥20点触控，白板支持≥10点同时书写，可自由选择笔颜色及粗细，可通过手势擦除；支持5G无线传屏功能；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支持蓝牙5.0模块，大屏作为主设备可连接外设蓝牙音响使用；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具备白板书写功能，同时支持手机扫码分享，下载白板内容；</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具有录屏功能，录屏可以采用分段录制，录完合并的模式，点击结束录屏按钮后，系统会将分段录制的视频进行合并；</w:t>
            </w:r>
            <w:r/>
          </w:p>
        </w:tc>
      </w:tr>
      <w:tr>
        <w:trPr>
          <w:trHeight w:val="71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35</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插拔模块 </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lang w:bidi="ar"/>
              </w:rPr>
            </w:pPr>
            <w:r>
              <w:rPr>
                <w:rFonts w:hint="eastAsia" w:ascii="宋体" w:hAnsi="宋体" w:cs="宋体"/>
                <w:i/>
                <w:iCs/>
                <w:color w:val="000000"/>
                <w:sz w:val="24"/>
                <w:szCs w:val="24"/>
                <w:u w:val="single"/>
                <w:lang w:bidi="ar"/>
              </w:rPr>
              <w:t xml:space="preserve">网口：≥1*RJ45，千兆；</w:t>
            </w:r>
            <w:r/>
          </w:p>
          <w:p>
            <w:pPr>
              <w:jc w:val="left"/>
              <w:widowControl/>
            </w:pPr>
            <w:r>
              <w:rPr>
                <w:rFonts w:hint="eastAsia" w:ascii="宋体" w:hAnsi="宋体" w:cs="宋体"/>
                <w:i/>
                <w:iCs/>
                <w:color w:val="000000"/>
                <w:sz w:val="24"/>
                <w:szCs w:val="24"/>
                <w:u w:val="single"/>
                <w:lang w:bidi="ar"/>
              </w:rPr>
              <w:t xml:space="preserve">USB口：≥2*USB2.0，≥2*USB3.0；</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视频口：≥1*VGA，≥1*HDMI；</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音频口：≥1*麦克风输入，≥1路线路输出；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内置WiFi接和发射模块；</w:t>
            </w:r>
            <w:r/>
          </w:p>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与多媒体交互式智能一体机同品牌；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采用插拔式模块电脑架构设计，搭配有插拔模块插槽的一体机使用；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具有良好的散热功能，超低静音侧出风散热设计；</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内存采用不低于8G，硬盘采用不低于128G固态硬盘；</w:t>
            </w:r>
            <w:r/>
          </w:p>
        </w:tc>
      </w:tr>
      <w:tr>
        <w:trPr>
          <w:trHeight w:val="1004"/>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36</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移动支架</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val="en-US" w:eastAsia="zh-CN" w:bidi="ar"/>
              </w:rPr>
              <w:t xml:space="preserve">1</w:t>
            </w:r>
            <w:r>
              <w:rPr>
                <w:rFonts w:hint="eastAsia" w:ascii="宋体" w:hAnsi="宋体" w:cs="宋体"/>
                <w:i/>
                <w:iCs/>
                <w:color w:val="000000"/>
                <w:sz w:val="24"/>
                <w:szCs w:val="24"/>
                <w:u w:val="single"/>
                <w:lang w:bidi="ar"/>
              </w:rPr>
              <w:t xml:space="preserve">.材质：冷轧钢、橡胶钢铁（轮子）</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2</w:t>
            </w:r>
            <w:r>
              <w:rPr>
                <w:rFonts w:hint="eastAsia" w:ascii="宋体" w:hAnsi="宋体" w:cs="宋体"/>
                <w:i/>
                <w:iCs/>
                <w:color w:val="000000"/>
                <w:sz w:val="24"/>
                <w:szCs w:val="24"/>
                <w:u w:val="single"/>
                <w:lang w:bidi="ar"/>
              </w:rPr>
              <w:t xml:space="preserve">.颜色:黑色</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3</w:t>
            </w:r>
            <w:r>
              <w:rPr>
                <w:rFonts w:hint="eastAsia" w:ascii="宋体" w:hAnsi="宋体" w:cs="宋体"/>
                <w:i/>
                <w:iCs/>
                <w:color w:val="000000"/>
                <w:sz w:val="24"/>
                <w:szCs w:val="24"/>
                <w:u w:val="single"/>
                <w:lang w:bidi="ar"/>
              </w:rPr>
              <w:t xml:space="preserve">.承重范围:175Kg以内</w:t>
            </w:r>
            <w:r/>
          </w:p>
        </w:tc>
      </w:tr>
      <w:tr>
        <w:trPr>
          <w:trHeight w:val="15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37</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无线投屏器</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1、与多媒体交互式智能一体机同品牌；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2、插入接收端USB接口自动配对；</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3、支持Windows7/8/10、MacOS等系统；</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4.传输分辨率支持≥1920*1080P30帧；</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5、支持即插即用，一键投屏；</w:t>
            </w:r>
            <w:r/>
          </w:p>
        </w:tc>
      </w:tr>
      <w:tr>
        <w:trPr>
          <w:trHeight w:val="6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38</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红外智能笔</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实现触摸批注、触摸点选，通过无线方式实现多项便捷操作、PPT无线翻页等；</w:t>
            </w:r>
            <w:r/>
          </w:p>
        </w:tc>
      </w:tr>
      <w:tr>
        <w:trPr>
          <w:trHeight w:val="30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39</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手持式无线话筒</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与多媒体交互式智能一体机同品牌；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安装调试服务：针对此次配置的软件和硬件，必须提供原厂商现场软硬件安装调试；</w:t>
            </w:r>
            <w:r>
              <w:rPr>
                <w:rFonts w:hint="eastAsia" w:ascii="宋体" w:hAnsi="宋体" w:cs="宋体"/>
                <w:color w:val="000000"/>
                <w:sz w:val="24"/>
                <w:szCs w:val="24"/>
                <w:lang w:bidi="ar"/>
              </w:rPr>
              <w:br/>
            </w:r>
            <w:r>
              <w:rPr>
                <w:rFonts w:hint="eastAsia" w:ascii="宋体" w:hAnsi="宋体" w:cs="宋体"/>
                <w:sz w:val="24"/>
                <w:szCs w:val="24"/>
              </w:rPr>
              <w:t xml:space="preserve">◆1</w:t>
            </w:r>
            <w:r>
              <w:rPr>
                <w:rFonts w:hint="eastAsia" w:ascii="宋体" w:hAnsi="宋体" w:cs="宋体"/>
                <w:color w:val="000000"/>
                <w:sz w:val="24"/>
                <w:szCs w:val="24"/>
                <w:lang w:bidi="ar"/>
              </w:rPr>
              <w:t xml:space="preserve">、采用UHF超高频段双真分集接收，并采用DPLL数字锁相环多信道频率合成技术；</w:t>
            </w:r>
            <w:r>
              <w:rPr>
                <w:rFonts w:hint="eastAsia" w:ascii="宋体" w:hAnsi="宋体" w:cs="宋体"/>
                <w:color w:val="000000"/>
                <w:sz w:val="24"/>
                <w:szCs w:val="24"/>
                <w:lang w:bidi="ar"/>
              </w:rPr>
              <w:br/>
            </w:r>
            <w:r>
              <w:rPr>
                <w:rFonts w:hint="eastAsia" w:ascii="宋体" w:hAnsi="宋体" w:cs="宋体"/>
                <w:sz w:val="24"/>
                <w:szCs w:val="24"/>
              </w:rPr>
              <w:t xml:space="preserve">◆2</w:t>
            </w:r>
            <w:r>
              <w:rPr>
                <w:rFonts w:hint="eastAsia" w:ascii="宋体" w:hAnsi="宋体" w:cs="宋体"/>
                <w:color w:val="000000"/>
                <w:sz w:val="24"/>
                <w:szCs w:val="24"/>
                <w:lang w:bidi="ar"/>
              </w:rPr>
              <w:t xml:space="preserve">、提供各≥200个可调频率，真正分集式接收,有效避免断频现象和延长接收距离，频率范围≥640-690MHz；具有红外对频功能，能方便、快捷的使发射机与接收机频率同步；</w:t>
            </w:r>
            <w:r>
              <w:rPr>
                <w:rFonts w:hint="eastAsia" w:ascii="宋体" w:hAnsi="宋体" w:cs="宋体"/>
                <w:color w:val="000000"/>
                <w:sz w:val="24"/>
                <w:szCs w:val="24"/>
                <w:lang w:bidi="ar"/>
              </w:rPr>
              <w:br/>
            </w:r>
            <w:r>
              <w:rPr>
                <w:rFonts w:hint="eastAsia" w:ascii="宋体" w:hAnsi="宋体" w:cs="宋体"/>
                <w:sz w:val="24"/>
                <w:szCs w:val="24"/>
              </w:rPr>
              <w:t xml:space="preserve">◆3</w:t>
            </w:r>
            <w:r>
              <w:rPr>
                <w:rFonts w:hint="eastAsia" w:ascii="宋体" w:hAnsi="宋体" w:cs="宋体"/>
                <w:color w:val="000000"/>
                <w:sz w:val="24"/>
                <w:szCs w:val="24"/>
                <w:lang w:bidi="ar"/>
              </w:rPr>
              <w:t xml:space="preserve">、超强的抗干扰能力，能有效抑制由外部带来的噪音干扰及同频干扰；接收机背面设置≥4条橡胶接收天线，增强接收的信号，外观大方得体；</w:t>
            </w:r>
            <w:r>
              <w:rPr>
                <w:rFonts w:hint="eastAsia" w:ascii="宋体" w:hAnsi="宋体" w:cs="宋体"/>
                <w:color w:val="000000"/>
                <w:sz w:val="24"/>
                <w:szCs w:val="24"/>
                <w:lang w:bidi="ar"/>
              </w:rPr>
              <w:br/>
            </w:r>
            <w:r>
              <w:rPr>
                <w:rFonts w:hint="eastAsia" w:ascii="宋体" w:hAnsi="宋体" w:cs="宋体"/>
                <w:sz w:val="24"/>
                <w:szCs w:val="24"/>
              </w:rPr>
              <w:t xml:space="preserve">◆4</w:t>
            </w:r>
            <w:r>
              <w:rPr>
                <w:rFonts w:hint="eastAsia" w:ascii="宋体" w:hAnsi="宋体" w:cs="宋体"/>
                <w:color w:val="000000"/>
                <w:sz w:val="24"/>
                <w:szCs w:val="24"/>
                <w:lang w:bidi="ar"/>
              </w:rPr>
              <w:t xml:space="preserve">、具有≥2路XLR平衡输出，≥1路混合非平衡输出，适合连接各种外置设备；使用距离：空旷环境≥80-100米，复杂环境≥50-80米；含1台接收主机和2个无线手持话筒；</w:t>
            </w:r>
            <w:r/>
          </w:p>
        </w:tc>
      </w:tr>
      <w:tr>
        <w:trPr>
          <w:trHeight w:val="128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40</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无线会议话筒</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i/>
                <w:iCs/>
                <w:color w:val="000000"/>
                <w:sz w:val="24"/>
                <w:szCs w:val="24"/>
                <w:u w:val="single"/>
                <w:lang w:bidi="ar"/>
              </w:rPr>
              <w:t xml:space="preserve">接收机采用≥1.8寸TFT彩色显示屏，≥4个通道频道号</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内置啸叫抑制功能，可根据需要开启或关闭；</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内置≥4种EQ模式，用户模式可以自由灵活调节≥13段EQ增益，适配更多场合使用；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采用动态随机ID，杜绝串频，接收机只接收最后一次对频的发射机；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预置多组规避干扰的频率，有效提高多套同时使用的安装效率；</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具有杂讯锁定静噪控制+ID锁定静噪；</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超强抗干扰能力，能有效抑制由外部带来的噪音干扰及同频干扰；</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具有4路XLR平衡输出，1路混合非平衡输出，适合连接各种外置设备</w:t>
            </w:r>
            <w:r/>
          </w:p>
          <w:p>
            <w:r>
              <w:rPr>
                <w:rFonts w:hint="eastAsia" w:ascii="宋体" w:hAnsi="宋体" w:cs="宋体"/>
                <w:i/>
                <w:iCs/>
                <w:color w:val="000000"/>
                <w:sz w:val="24"/>
                <w:szCs w:val="24"/>
                <w:u w:val="single"/>
                <w:lang w:bidi="ar"/>
              </w:rPr>
              <w:t xml:space="preserve">采用真分集接收技术，CPU自动选择最优接收单元保证接收到稳定信号预防断频；</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每个通道有≥100个频点可调，可跟无线接收机进行红外对频，同时也支持无线对频，频率同频技术无需对准发射机可轻松实现对频；</w:t>
            </w:r>
            <w:r/>
          </w:p>
        </w:tc>
      </w:tr>
      <w:tr>
        <w:trPr>
          <w:trHeight w:val="682"/>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41</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8路调音台</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1、与多媒体交互式智能一体机同品牌；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3、≥8路XLR平衡式话筒输入，话筒输入接口带48V幻象电源，可以单独控制每路幻象电源开关，兼容≥8路6.35mm非平衡输入；≥1组6.35mm立体声输入，可连接立体声设备；</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4、≥4组母线（立体声+两编组）输出，≥2路AUX辅助输出；≥1路监听输出，≥1路录音输出；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5、高品质、低噪音的话筒输入，低噪音的前置放大，具有强大的抗干扰能力；</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6、≥2组AUX辅助输出，AUX1为推子前和推子后，AUX2为推子后；</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7、内置≥24种模式DSP数字效果器，数字显示效果种类；</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8、高精度三色精确电平柱，准确显示输出电平；</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9、MP3播放器带USB电脑声卡输入，手机蓝牙连接；</w:t>
            </w:r>
            <w:r/>
          </w:p>
        </w:tc>
      </w:tr>
      <w:tr>
        <w:trPr>
          <w:trHeight w:val="143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42</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音频处理器1</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1、与多媒体交互式智能一体机同品牌；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5、≥8路平衡式话筒\线路输入，≥8路平衡式音频输出，采用凤凰插接口；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6、内置USB声卡，支持音乐播放、录制和软视频会议；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7、输入通道具有不低于增益共享自动混音、拓展器、滤波器、压缩器、信号发生器、自动增益、8段参量均衡、AFC(反馈抑制)、ANS(噪声抑制)等调节；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8、输出通道具有不低于高低通、8段参量均衡、延时器、滤波器、限幅器等调节；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9、具有自定义的用户操作界面，实现多台设备集中控制；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10、每个输入通道具有≥8个点的自适应反馈抑制；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11、每个输入通道具有幻象电源、反相、静音开关控制；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12、独立通道的AFC（反馈抑制），采用陷波式算法，传声增益提升幅度：10dB；</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13、AFC(反馈抑制)具有≥5个等级选择；</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14、信号发生器具有不低于正弦波、白噪声、粉红噪声选择；</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15、具有不低于Parametric,Lowshelf,Highshelf,Lowpass,Highpass等5种滤波器选择；</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16、具有全功能矩阵混音功能，输入混音电平可调节；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17、具有≥16组预设，每个预设独立工作；</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18、支持通道拷贝、LINK和分组功能；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19、支持R232＆UDP中控，UDP端口可自由设定，可查看控制软件代码；</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20、具有多种控制方式，可通过电脑、手机、平板、按键面板、触摸面板等方式管理；</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21、软件可以查看输入和输出的电平信号大小；</w:t>
            </w:r>
            <w:r/>
          </w:p>
        </w:tc>
      </w:tr>
      <w:tr>
        <w:trPr>
          <w:trHeight w:val="1253"/>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43</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高效抑制处理器1</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1、与多媒体交互式智能一体机同品牌；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3、有效抑制话筒啸叫，消除反馈于未然，一键式操作模式，简单好用；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自适应全频带反馈抑制功能(AFC)，高效处理高清语音环境中的声反馈问题，对于高灵敏度、全指向型、锐心形、超心形等话筒有显著的抑制啸叫功能，提升灵敏度高、声音通透干净无压缩感，传声增益提升幅度≥9-18dB；</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5、采用非传统反馈处理技术的自适应房间反馈预测消除数字处理，实现反馈一键操作，无需复杂调试；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6、接口丰富，支持高低电平的输入和输出，卡侬XLR-3与大三芯1/4”TRS直插兼顾，可灵活应用，输入带48V幻象；</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7、平衡和非平衡两种输出方式，输出大小连续可调，输出有总的信号指示灯和峰值指示灯，调试方便；</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8、输入接口：≥2路卡侬XLR平衡输入（支持幻象48V供电）、≥2路6.35mm大二芯非平衡输入；</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9、输出接口：≥1路卡侬XLR平衡输出，≥1路6.35mm大二芯非平衡输出</w:t>
            </w:r>
            <w:r/>
          </w:p>
        </w:tc>
      </w:tr>
      <w:tr>
        <w:trPr>
          <w:trHeight w:val="24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44</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吸顶音箱</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1、与多媒体交互式智能一体机同品牌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3、采用≥1只8寸中低音喇叭单元和≥1只1寸高音喇叭单元的同轴带后盖设计</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4、阻抗：8Ω</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5、额定功率≥100W</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6、峰值功率≥200W</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7、灵敏度（1W/1m）≥90dB</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8、频响≥50Hz-20KHz</w:t>
            </w:r>
            <w:r/>
          </w:p>
        </w:tc>
      </w:tr>
      <w:tr>
        <w:trPr>
          <w:trHeight w:val="3237"/>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45</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数字功放1</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1、与多媒体交互式智能一体机同品牌；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3、远程开关机控制，节省时间，方便控制。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4、采用彩色液晶显示屏设置DSP功能，分辨率240x240像素。</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5、具有电平检测、输入源、输入灵敏度、音量显示、存档预设、通道静音、功放温度、功放模式等功能。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6、内置DSP数字处理器，输入15段均衡，输出10段均衡，满足不同的需求。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7、支持多种联机方式，支持USB、TCP/IP、RS232、RS485等。</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8、可实时远程监控功放工作状态，包括温度、功率、电压、电流。</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9、可通过软件识别功放，点击软件端呼叫按钮，可使对应功放显示屏和状态灯同时闪烁，可快速从“功放群组”里，找到您所需设置的功放。</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10、支持平衡XLR输入与非平衡RCA输入，具有2路RCA输入口，2路XLR输入口；支持2路平衡XLR音频输出口；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11、具有2路定阻4-8欧功放输出口，1路定压100V/70V输出口。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12、支持软件或彩液晶屏设置输入灵敏度，两档可调0dBu/6dBu。</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13、支持软件设定精确地设定任何不超过300W的输出功率值，保护音响系统安全工作，适应更多的音响系统。</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14、采用48KHz采样频率，32-bitDSP处理器，24-bitA/D及D/A转换。</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15、具有2*2 DSP矩阵、输入噪声门、分频、输出延时、输出压缩器、输出限幅器等功能。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16、远程控制:远程开机、待机、DSP监控。</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17、DSP预设：30个预设位置。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18、输入输出音量：静音、相位、电平检测。</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19、设有高温保护、直流保护、高频保护、短路保护、电源过压/欠压保护、电源断路器保护，支持软件设定音频限制器、反电动势、峰值电流限幅器、浪涌电流限幅器、开机延时。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20、频响：20Hz~20kHz(±0.5dB)@1W，8Ω</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21、THD+N：&lt;0.1%@1W</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22、信噪比：&gt;99dB</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23、内置数字功放，同时支持定压定阻输出：100V、70V、8欧、4欧输出。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24、支持&gt;2*300W@8Ω，&gt;2*500W@4Ω，可桥接成&gt;1000W@8Ω或定压100V-1000W输出，可通过软件或显示屏自由切换。</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25、全面支持网络TCP/IP控制，可通过wifi可以连接软件，实现多台设备管理，简单便捷。</w:t>
            </w:r>
            <w:r/>
          </w:p>
        </w:tc>
      </w:tr>
      <w:tr>
        <w:trPr>
          <w:trHeight w:val="48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46</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电源时序器1</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1、与多媒体交互式智能一体机同品牌；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3、支持上电自启：当设备设定开启上电自启后，每次设备通电会开启所有设备通道；</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4、支持屏幕保护：当此功能打开以后，触摸屏一分钟无任何操作会自动跳至锁屏界面；</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5、采用4寸高分辨率显示屏，显示电压、日期、时间，每路开关状态等，</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6、手机APP远程控制，一台手机可以管理多台设备；</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7、支持8路可控输出,2路直通输出；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8、内置功率计，电压、电流、功率、功率因数实时显示并且实时上传手机远程监控，带有过压保护，过流保护，欠压保护；</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9、过压保护从130V-500V均可设置，当电压超过设定值不启动，使用过程中超过设置电压自动跳开，断开后可手动和APP开启；</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10、欠压保护从90V-250V均可设置，当电压超过设定值不启动，使用过程中超过设置电压自动跳开，断开后可手动和APP开启；</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11、过流保护从1A-50A均可设置，当电流超过设定值自动跳开，断开后可手动和APP开启；</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12、支持一键配网：在同一WiFi局域网下即可通过APP配网,匹配完成后自动连接网络；</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13、支持掉电记忆：当设备突然断电数据自动储存；</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14、支持通道开关机延时设置：每路可单独设置开关机延时1-999秒；</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15、支持联机：RS232联机最长距离10米；</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16、支持中控系统：支持485/232通讯接口，波特率可设置</w:t>
            </w:r>
            <w:r/>
          </w:p>
        </w:tc>
      </w:tr>
      <w:tr>
        <w:trPr>
          <w:trHeight w:val="6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47</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桌面多媒体插座</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1个电源，HDMI*1，网口2个，音频3.5*1</w:t>
            </w:r>
            <w:r/>
          </w:p>
        </w:tc>
      </w:tr>
      <w:tr>
        <w:trPr>
          <w:trHeight w:val="6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48</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信号线1</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1、2 芯，导体标称截面积≥3.0mm²，导体采用镀锡铜绞合；绝缘双层 PE 材质；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2、单芯绝缘外径约 4.8mm（允许 ±0.2mm 公差）；每卷 100 米，线缆成卷包装</w:t>
            </w:r>
            <w:r/>
          </w:p>
        </w:tc>
      </w:tr>
      <w:tr>
        <w:trPr>
          <w:trHeight w:val="233"/>
        </w:trPr>
        <w:tc>
          <w:tcPr>
            <w:tcBorders>
              <w:top w:val="single" w:color="000000" w:sz="4" w:space="0"/>
              <w:left w:val="single" w:color="000000" w:sz="4" w:space="0"/>
              <w:right w:val="single" w:color="000000" w:sz="4" w:space="0"/>
            </w:tcBorders>
            <w:tcW w:w="538" w:type="dxa"/>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49</w:t>
            </w:r>
            <w:r/>
          </w:p>
        </w:tc>
        <w:tc>
          <w:tcPr>
            <w:tcBorders>
              <w:top w:val="single" w:color="000000" w:sz="4" w:space="0"/>
              <w:left w:val="single" w:color="000000" w:sz="4" w:space="0"/>
              <w:right w:val="single" w:color="000000" w:sz="4" w:space="0"/>
            </w:tcBorders>
            <w:tcW w:w="1037" w:type="dxa"/>
            <w:vAlign w:val="center"/>
            <w:vMerge w:val="restart"/>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4"/>
                <w:szCs w:val="24"/>
                <w:lang w:val="en-US" w:eastAsia="zh-CN" w:bidi="ar"/>
              </w:rPr>
              <w:t xml:space="preserve">台式</w:t>
            </w:r>
            <w:r>
              <w:rPr>
                <w:rFonts w:hint="eastAsia" w:ascii="宋体" w:hAnsi="宋体" w:cs="宋体"/>
                <w:color w:val="000000"/>
                <w:sz w:val="24"/>
                <w:szCs w:val="24"/>
                <w:lang w:bidi="ar"/>
              </w:rPr>
              <w:t xml:space="preserve">计算机</w:t>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center"/>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二级指标</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指标要求</w:t>
            </w:r>
            <w:r/>
          </w:p>
        </w:tc>
      </w:tr>
      <w:tr>
        <w:trPr>
          <w:trHeight w:val="182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CPU 信息</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pStyle w:val="817"/>
              <w:ind w:left="0" w:firstLine="0"/>
              <w:rPr>
                <w:rFonts w:hint="eastAsia" w:ascii="宋体" w:hAnsi="宋体" w:cs="宋体"/>
                <w:i/>
                <w:iCs/>
                <w:color w:val="000000"/>
                <w:sz w:val="24"/>
                <w:szCs w:val="24"/>
                <w:u w:val="single"/>
              </w:rPr>
            </w:pPr>
            <w:r>
              <w:rPr>
                <w:rFonts w:hint="eastAsia" w:ascii="微软雅黑" w:hAnsi="微软雅黑" w:eastAsia="微软雅黑" w:cs="微软雅黑"/>
                <w:i/>
                <w:iCs/>
                <w:color w:val="000000"/>
                <w:sz w:val="20"/>
                <w:szCs w:val="20"/>
                <w:u w:val="single"/>
                <w:lang w:val="en-US" w:eastAsia="zh-CN" w:bidi="ar"/>
              </w:rPr>
              <w:t xml:space="preserve">CPU 物理核心数≥8、主频≥2.5GHz、末级缓存≥8MB、支持国产安全可靠 CPU（符合安全可靠测评要求），通道数4</w:t>
            </w:r>
            <w:r/>
          </w:p>
        </w:tc>
      </w:tr>
      <w:tr>
        <w:trPr>
          <w:trHeight w:val="307"/>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b w:val="0"/>
                <w:bCs w:val="0"/>
                <w:i/>
                <w:iCs/>
                <w:color w:val="000000"/>
                <w:sz w:val="20"/>
                <w:szCs w:val="20"/>
                <w:u w:val="single"/>
                <w:lang w:val="en-US" w:eastAsia="zh-CN" w:bidi="ar"/>
              </w:rPr>
              <w:t xml:space="preserve">内存配置容量</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b w:val="0"/>
                <w:bCs w:val="0"/>
                <w:i/>
                <w:iCs/>
                <w:color w:val="000000"/>
                <w:sz w:val="20"/>
                <w:szCs w:val="20"/>
                <w:u w:val="single"/>
                <w:lang w:val="en-US" w:eastAsia="zh-CN" w:bidi="ar"/>
              </w:rPr>
              <w:t xml:space="preserve">≥16G</w:t>
            </w:r>
            <w:r/>
          </w:p>
        </w:tc>
      </w:tr>
      <w:tr>
        <w:trPr>
          <w:trHeight w:val="284"/>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内存类型</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支持 DDR4/LPDDR4/LPDDR4X 及以上内存类型</w:t>
            </w:r>
            <w:r/>
          </w:p>
        </w:tc>
      </w:tr>
      <w:tr>
        <w:trPr>
          <w:trHeight w:val="261"/>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内存条配置数量 （板载内存不涉及）</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≥1</w:t>
            </w:r>
            <w:r/>
          </w:p>
        </w:tc>
      </w:tr>
      <w:tr>
        <w:trPr>
          <w:trHeight w:val="54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主板集成模块</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集成PCIE、SATA接口资源扩展模块、计算处理模块、 音频扩展模块等，主板的互联拓扑可通过处理器或交换电路实现</w:t>
            </w:r>
            <w:r/>
          </w:p>
        </w:tc>
      </w:tr>
      <w:tr>
        <w:trPr>
          <w:trHeight w:val="748"/>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主板支持的 CPU和内存情况</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主板支持一颗国产安全可靠CP</w:t>
            </w:r>
            <w:r>
              <w:rPr>
                <w:rFonts w:hint="eastAsia" w:ascii="微软雅黑" w:hAnsi="微软雅黑" w:eastAsia="微软雅黑" w:cs="微软雅黑"/>
                <w:i/>
                <w:iCs/>
                <w:color w:val="000000"/>
                <w:sz w:val="20"/>
                <w:szCs w:val="20"/>
                <w:highlight w:val="none"/>
                <w:u w:val="single"/>
                <w:lang w:val="en-US" w:eastAsia="zh-CN" w:bidi="ar"/>
              </w:rPr>
              <w:t xml:space="preserve">U处理器</w:t>
            </w:r>
            <w:r>
              <w:rPr>
                <w:rFonts w:hint="eastAsia" w:ascii="微软雅黑" w:hAnsi="微软雅黑" w:eastAsia="微软雅黑" w:cs="微软雅黑"/>
                <w:i/>
                <w:iCs/>
                <w:color w:val="000000"/>
                <w:sz w:val="20"/>
                <w:szCs w:val="20"/>
                <w:u w:val="single"/>
                <w:lang w:val="en-US" w:eastAsia="zh-CN" w:bidi="ar"/>
              </w:rPr>
              <w:t xml:space="preserve">及4根DDR4内存；</w:t>
            </w:r>
            <w:r/>
          </w:p>
        </w:tc>
      </w:tr>
      <w:tr>
        <w:trPr>
          <w:trHeight w:val="1654"/>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主板内置PCIe 插槽数量</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pStyle w:val="817"/>
              <w:ind w:left="0" w:firstLine="0"/>
              <w:rPr>
                <w:rFonts w:hint="eastAsia" w:ascii="宋体" w:hAnsi="宋体" w:cs="宋体"/>
                <w:i/>
                <w:iCs/>
                <w:color w:val="000000"/>
                <w:sz w:val="24"/>
                <w:szCs w:val="24"/>
                <w:u w:val="single"/>
              </w:rPr>
            </w:pPr>
            <w:r>
              <w:rPr>
                <w:rFonts w:hint="eastAsia" w:ascii="微软雅黑" w:hAnsi="微软雅黑" w:eastAsia="微软雅黑" w:cs="微软雅黑"/>
                <w:i/>
                <w:iCs/>
                <w:color w:val="000000"/>
                <w:sz w:val="20"/>
                <w:szCs w:val="20"/>
                <w:u w:val="single"/>
                <w:lang w:val="en-US" w:eastAsia="zh-CN" w:bidi="ar"/>
              </w:rPr>
              <w:t xml:space="preserve">整机可提供 PCIe 插槽≥4 个（含 Riser 提升卡扩展），可同时支持 2 张 PCIe x16 规格卡、1 张 PCIe x8 规格卡满带宽运行</w:t>
            </w:r>
            <w:r/>
          </w:p>
        </w:tc>
      </w:tr>
      <w:tr>
        <w:trPr>
          <w:trHeight w:val="557"/>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主板其他内置接口</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主板提供 4 个 SATA3.0 接口，1个M.2接口，11个USB接口。配置硬盘和光驱将会占用接口，接口占用状态需要依据实际配置确定。</w:t>
            </w:r>
            <w:r/>
          </w:p>
        </w:tc>
      </w:tr>
      <w:tr>
        <w:trPr>
          <w:trHeight w:val="618"/>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单内存插槽最大可支持容量（板载内存不涉及）</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≥32GB</w:t>
            </w:r>
            <w:r/>
          </w:p>
        </w:tc>
      </w:tr>
      <w:tr>
        <w:trPr>
          <w:trHeight w:val="352"/>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内存插槽满配时提供的最高内存总容量</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≥128GB</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固态盘数量</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≥1个</w:t>
            </w:r>
            <w:r/>
          </w:p>
        </w:tc>
      </w:tr>
      <w:tr>
        <w:trPr>
          <w:trHeight w:val="474"/>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固态存储容量</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≥240GB</w:t>
            </w:r>
            <w:r/>
          </w:p>
        </w:tc>
      </w:tr>
      <w:tr>
        <w:trPr>
          <w:trHeight w:val="161"/>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机械硬盘数量</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≥1个</w:t>
            </w:r>
            <w:r/>
          </w:p>
        </w:tc>
      </w:tr>
      <w:tr>
        <w:trPr>
          <w:trHeight w:val="229"/>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机械硬盘总容量</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≥1TB</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机械硬盘转速</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≥5400rpm</w:t>
            </w:r>
            <w:r/>
          </w:p>
        </w:tc>
      </w:tr>
      <w:tr>
        <w:trPr>
          <w:trHeight w:val="202"/>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机械硬盘接口协议</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支持 SATA3.0 及以上或 SAS3.0 及以上接口</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机械硬盘形态</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2.5 英寸或 3.5 英寸等</w:t>
            </w:r>
            <w:r/>
          </w:p>
        </w:tc>
      </w:tr>
      <w:tr>
        <w:trPr>
          <w:trHeight w:val="174"/>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固态存储接口协议</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UFS/SATA/PCIe/NVMe 等类型接口协议</w:t>
            </w:r>
            <w:r/>
          </w:p>
        </w:tc>
      </w:tr>
      <w:tr>
        <w:trPr>
          <w:trHeight w:val="42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固态存储形态</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采用插卡或板载等形态，可选用符合M.2 或 2.5 寸 SATA 或 mSATA 等标准的插卡形态</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存储设备扩展盘位</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≥0</w:t>
            </w:r>
            <w:r/>
          </w:p>
        </w:tc>
      </w:tr>
      <w:tr>
        <w:trPr>
          <w:trHeight w:val="116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存储设备其他参数要求</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a)固态盘应符合 SJ/T 11654 相关规定； b)机械硬盘准备时间应不大于30s；侧面固定螺丝孔数量可为 4 孔或 6 孔； 工作状态环境温度优于 5℃~55℃ ;其它参数应符合GB/T 12628 相关规定</w:t>
            </w:r>
            <w:r/>
          </w:p>
        </w:tc>
      </w:tr>
      <w:tr>
        <w:trPr>
          <w:trHeight w:val="107"/>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显卡类型</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独立显卡或集成显卡</w:t>
            </w:r>
            <w:r/>
          </w:p>
        </w:tc>
      </w:tr>
      <w:tr>
        <w:trPr>
          <w:trHeight w:val="407"/>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独立显卡显存类型</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若配置独立显卡，显存类型应为DDR3/DDR4/GDDR5/GDDR6/LPDDR4</w:t>
            </w:r>
            <w:r/>
          </w:p>
        </w:tc>
      </w:tr>
      <w:tr>
        <w:trPr>
          <w:trHeight w:val="148"/>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独立显卡显存位宽</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若配置独立显卡，显存位宽≥16 位</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独立显卡显存容量</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若配置独立显卡，显存容量≥4GB</w:t>
            </w:r>
            <w:r/>
          </w:p>
        </w:tc>
      </w:tr>
      <w:tr>
        <w:trPr>
          <w:trHeight w:val="515"/>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独立显卡接口协议</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产品支持 PCIe 协议版本≥4.0的独立显卡接口协议</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显示屏屏占比</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≥80%</w:t>
            </w:r>
            <w:r/>
          </w:p>
        </w:tc>
      </w:tr>
      <w:tr>
        <w:trPr>
          <w:trHeight w:val="175"/>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显示屏分辨率</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≥1920x1080</w:t>
            </w:r>
            <w:r/>
          </w:p>
        </w:tc>
      </w:tr>
      <w:tr>
        <w:trPr>
          <w:trHeight w:val="175"/>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显示屏像素密度</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≥85 像素/英寸</w:t>
            </w:r>
            <w:r/>
          </w:p>
        </w:tc>
      </w:tr>
      <w:tr>
        <w:trPr>
          <w:trHeight w:val="352"/>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显示屏可视角度</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水平≥170 °</w:t>
            </w:r>
            <w:r/>
          </w:p>
        </w:tc>
      </w:tr>
      <w:tr>
        <w:trPr>
          <w:trHeight w:val="202"/>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显示屏尺寸</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≥23 英寸</w:t>
            </w:r>
            <w:r/>
          </w:p>
        </w:tc>
      </w:tr>
      <w:tr>
        <w:trPr>
          <w:trHeight w:val="366"/>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显示屏屏幕比例</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16:9/3:2/21:9/16:10 等</w:t>
            </w:r>
            <w:r/>
          </w:p>
        </w:tc>
      </w:tr>
      <w:tr>
        <w:trPr>
          <w:trHeight w:val="365"/>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显示器外观颜色</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黑色/白色/银色等商务色系</w:t>
            </w:r>
            <w:r/>
          </w:p>
        </w:tc>
      </w:tr>
      <w:tr>
        <w:trPr>
          <w:trHeight w:val="502"/>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显示屏防蓝光</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支持防蓝光模式，蓝光加权辐射亮度比应≤0.0012W/( ·cd ·sr)（瓦每坎特拉每球面度）</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显示屏低频闪</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显示屏应支持低频闪≤-35dB</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显示屏防眩目</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显示屏镜面反射率≤10%</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传声器数量</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≥0</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鼠标数量</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≥1个</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键盘数量</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≥1个</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光驱数量</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≥0 个</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键盘按键数目</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61 键/86 键/101 键/104 键等</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键盘连接方式</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有线或无线</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键盘键程</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2.3mm ~ 4.0mm</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键盘按键压力</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按键压力应在 0.54 N±0.14N</w:t>
            </w:r>
            <w:r/>
          </w:p>
        </w:tc>
      </w:tr>
      <w:tr>
        <w:trPr>
          <w:trHeight w:val="175"/>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有线键盘连接线</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≥1.5 米</w:t>
            </w:r>
            <w:r/>
          </w:p>
        </w:tc>
      </w:tr>
      <w:tr>
        <w:trPr>
          <w:trHeight w:val="148"/>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键盘颜色</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黑色/白色/银色等商务色系</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键盘其他要求</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键盘外观结构、连接方式、主要功能、安全、电磁兼容性、可靠性应符合GB/T 14081 的相关规定</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鼠标连接方式</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有线或无线</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有线鼠标连接线</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≥1.5 米</w:t>
            </w:r>
            <w:r/>
          </w:p>
        </w:tc>
      </w:tr>
      <w:tr>
        <w:trPr>
          <w:trHeight w:val="10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鼠标 DPI分辨率</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800~1600</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鼠标颜色</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黑色/银色/白色等商务色系</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鼠标其他要求</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其它参数应符合GB/T 26245 的相关规定</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内置光驱</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支持内置光驱</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有线网卡数量</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≥1</w:t>
            </w:r>
            <w:r/>
          </w:p>
        </w:tc>
      </w:tr>
      <w:tr>
        <w:trPr>
          <w:trHeight w:val="202"/>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无线网卡及天线数量</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≥0</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单无线网卡天线数量</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rPr>
              <w:t xml:space="preserve">≥0</w:t>
            </w:r>
            <w:r/>
          </w:p>
        </w:tc>
      </w:tr>
      <w:tr>
        <w:trPr>
          <w:trHeight w:val="12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USB 接口数量</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highlight w:val="none"/>
                <w:u w:val="single"/>
                <w:lang w:val="en-US" w:eastAsia="zh-CN" w:bidi="ar"/>
              </w:rPr>
              <w:t xml:space="preserve">接口总数≥11，</w:t>
            </w:r>
            <w:r>
              <w:rPr>
                <w:rFonts w:hint="eastAsia" w:ascii="微软雅黑" w:hAnsi="微软雅黑" w:eastAsia="微软雅黑" w:cs="微软雅黑"/>
                <w:i/>
                <w:iCs/>
                <w:color w:val="000000"/>
                <w:sz w:val="20"/>
                <w:szCs w:val="20"/>
                <w:u w:val="single"/>
                <w:lang w:val="en-US" w:eastAsia="zh-CN" w:bidi="ar"/>
              </w:rPr>
              <w:t xml:space="preserve">机箱前板至少包括2个 USB3.0 及以上接口，后面板至少包括 7个USB3.0接口</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视频接口数量</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≥1</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音频接口数量</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≥1</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存储卡接口数量</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≥0</w:t>
            </w:r>
            <w:r/>
          </w:p>
        </w:tc>
      </w:tr>
      <w:tr>
        <w:trPr>
          <w:trHeight w:val="116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整机外观</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a) 产品表面不应有凹痕、划伤、裂缝、变形和污染等。表面涂层均匀，不应起泡、龟裂、脱落和磨损，金属零部件无锈蚀及其它机械损伤； b) 产品表面说明功能的文字、符号、标志，应清晰、端正、牢固</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状态指示灯</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在产品显著位置提供状态指示功能，如运行状态，并由供应商提供详细参数</w:t>
            </w:r>
            <w:r/>
          </w:p>
        </w:tc>
      </w:tr>
      <w:tr>
        <w:trPr>
          <w:trHeight w:val="116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整机结构</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a) 机箱应符合 GB/T </w:t>
            </w:r>
            <w:r>
              <w:rPr>
                <w:rFonts w:hint="eastAsia" w:ascii="微软雅黑" w:hAnsi="微软雅黑" w:eastAsia="微软雅黑" w:cs="微软雅黑"/>
                <w:i/>
                <w:iCs/>
                <w:color w:val="000000"/>
                <w:sz w:val="20"/>
                <w:szCs w:val="20"/>
                <w:u w:val="single"/>
                <w:lang w:val="en-US" w:eastAsia="zh-CN" w:bidi="ar"/>
              </w:rPr>
              <w:t xml:space="preserve">4208、GB/T 26246的相关规定； b) 产品内部结构应符合通用部件的安装需求； c) 所有输入输出接口应符合相关国家或行业标准； d) 产品零部件应紧固无松动，可插拔部件应可靠连接，开关、按钮和其它控制部件应灵活可靠，布局应方便使用； e) 所有 I/O 连接器及需插接线缆的部位应预留采购人操作空间，方便插拔解锁与插拔线缆； f) 可插拔板卡插槽部位应预留安装、拆卸或更换板卡空间； g) 拆装可能接触到的金属剪口或金属尖角部位应做防划伤处理，以保证安全； h) 整机内部走线应规整，固线结构和位置要</w:t>
            </w:r>
            <w:r>
              <w:rPr>
                <w:rFonts w:hint="eastAsia" w:ascii="微软雅黑" w:hAnsi="微软雅黑" w:eastAsia="微软雅黑" w:cs="微软雅黑"/>
                <w:i/>
                <w:iCs/>
                <w:color w:val="000000"/>
                <w:sz w:val="20"/>
                <w:szCs w:val="20"/>
                <w:u w:val="single"/>
                <w:lang w:val="en-US" w:eastAsia="zh-CN" w:bidi="ar"/>
              </w:rPr>
              <w:t xml:space="preserve">合理可靠并做防割线处理，需便于理线和插拔操作，走线应不影响系统各主要部件组装和拆卸； i) 如需通过孔走线，过线孔应做防割线处理； j) 各插头位置和插拔方向应合理，应做到插拔无障碍设计，具备防呆设计，有效避免误操作； k) 各主要部件拆装无障碍，使用常规工具拆装，无特殊拆装工具需求； l) 各主要部件拆装步骤要少，各自拆装需避免相互干扰； m) 对于整机或零部件外表面为高亮面的，应粘贴保护膜，保护膜需粘贴牢固，运输、组装等过程不易脱落，撕下无残留； n) 其它要求应符合 GB/T 9813.1 的相关规定</w:t>
            </w:r>
            <w:r/>
          </w:p>
        </w:tc>
      </w:tr>
      <w:tr>
        <w:trPr>
          <w:trHeight w:val="102"/>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机箱防护要求</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机箱应符合 GB/T 4208 中 IP20 防护要求</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整机噪音</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产品工作在空闲状态下，产品的声功率级应不超过4.5 Bel</w:t>
            </w:r>
            <w:r/>
          </w:p>
        </w:tc>
      </w:tr>
      <w:tr>
        <w:trPr>
          <w:trHeight w:val="116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整机散热</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在环境温度 25℃及处理器满载情况下，产品表面温度应符合如下要求： a) 出风口在机箱后面板情况下，出风口温度不高于55℃ ; b) 可触及面温度不高于45℃ ; c) 显示器表面温度：显示屏不高于 38℃ , 显示屏上下灯带位置温度（如涉及）不高于40℃ , 出风口温度不高于 45℃</w:t>
            </w:r>
            <w:r/>
          </w:p>
        </w:tc>
      </w:tr>
      <w:tr>
        <w:trPr>
          <w:trHeight w:val="112"/>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整机能效限定值</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pStyle w:val="817"/>
              <w:ind w:left="0" w:firstLine="0"/>
              <w:rPr>
                <w:rFonts w:hint="eastAsia" w:ascii="宋体" w:hAnsi="宋体" w:cs="宋体"/>
                <w:i/>
                <w:iCs/>
                <w:color w:val="000000"/>
                <w:sz w:val="24"/>
                <w:szCs w:val="24"/>
                <w:u w:val="single"/>
              </w:rPr>
            </w:pPr>
            <w:r>
              <w:rPr>
                <w:rFonts w:hint="eastAsia" w:ascii="微软雅黑" w:hAnsi="微软雅黑" w:eastAsia="微软雅黑" w:cs="微软雅黑"/>
                <w:i/>
                <w:iCs/>
                <w:color w:val="000000"/>
                <w:sz w:val="20"/>
                <w:szCs w:val="20"/>
                <w:u w:val="single"/>
                <w:lang w:val="en-US" w:eastAsia="zh-CN" w:bidi="ar"/>
              </w:rPr>
              <w:t xml:space="preserve">产品能效限定值应达到 GB 28380-2025 标准中能效等级 2 级及以上</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微软雅黑" w:hAnsi="微软雅黑" w:eastAsia="微软雅黑" w:cs="微软雅黑"/>
                <w:i/>
                <w:iCs/>
                <w:color w:val="000000"/>
                <w:sz w:val="20"/>
                <w:szCs w:val="20"/>
                <w:u w:val="single"/>
                <w:lang w:val="en-US" w:eastAsia="zh-CN" w:bidi="ar"/>
              </w:rPr>
              <w:suppressLineNumbers w:val="0"/>
            </w:pPr>
            <w:r>
              <w:rPr>
                <w:rFonts w:hint="eastAsia" w:ascii="微软雅黑" w:hAnsi="微软雅黑" w:eastAsia="微软雅黑" w:cs="微软雅黑"/>
                <w:i/>
                <w:iCs/>
                <w:color w:val="000000"/>
                <w:sz w:val="20"/>
                <w:szCs w:val="20"/>
                <w:u w:val="single"/>
                <w:lang w:val="en-US" w:eastAsia="zh-CN" w:bidi="ar"/>
              </w:rPr>
              <w:t xml:space="preserve">机身材质</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微软雅黑" w:hAnsi="微软雅黑" w:eastAsia="微软雅黑" w:cs="微软雅黑"/>
                <w:i/>
                <w:iCs/>
                <w:color w:val="000000"/>
                <w:sz w:val="20"/>
                <w:szCs w:val="20"/>
                <w:u w:val="single"/>
                <w:lang w:val="en-US" w:eastAsia="zh-CN" w:bidi="ar"/>
              </w:rPr>
              <w:suppressLineNumbers w:val="0"/>
            </w:pPr>
            <w:r>
              <w:rPr>
                <w:rFonts w:hint="eastAsia" w:ascii="微软雅黑" w:hAnsi="微软雅黑" w:eastAsia="微软雅黑" w:cs="微软雅黑"/>
                <w:i/>
                <w:iCs/>
                <w:color w:val="000000"/>
                <w:sz w:val="20"/>
                <w:szCs w:val="20"/>
                <w:u w:val="single"/>
                <w:lang w:val="en-US" w:eastAsia="zh-CN" w:bidi="ar"/>
              </w:rPr>
              <w:t xml:space="preserve">塑料/金属等</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微软雅黑" w:hAnsi="微软雅黑" w:eastAsia="微软雅黑" w:cs="微软雅黑"/>
                <w:i/>
                <w:iCs/>
                <w:color w:val="000000"/>
                <w:sz w:val="20"/>
                <w:szCs w:val="20"/>
                <w:u w:val="single"/>
                <w:lang w:val="en-US" w:eastAsia="zh-CN" w:bidi="ar"/>
              </w:rPr>
              <w:suppressLineNumbers w:val="0"/>
            </w:pPr>
            <w:r>
              <w:rPr>
                <w:rFonts w:hint="eastAsia" w:ascii="微软雅黑" w:hAnsi="微软雅黑" w:eastAsia="微软雅黑" w:cs="微软雅黑"/>
                <w:i/>
                <w:iCs/>
                <w:color w:val="000000"/>
                <w:sz w:val="20"/>
                <w:szCs w:val="20"/>
                <w:u w:val="single"/>
                <w:lang w:val="en-US" w:eastAsia="zh-CN" w:bidi="ar"/>
              </w:rPr>
              <w:t xml:space="preserve">机身颜色</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微软雅黑" w:hAnsi="微软雅黑" w:eastAsia="微软雅黑" w:cs="微软雅黑"/>
                <w:i/>
                <w:iCs/>
                <w:color w:val="000000"/>
                <w:sz w:val="20"/>
                <w:szCs w:val="20"/>
                <w:u w:val="single"/>
                <w:lang w:val="en-US" w:eastAsia="zh-CN" w:bidi="ar"/>
              </w:rPr>
              <w:suppressLineNumbers w:val="0"/>
            </w:pPr>
            <w:r>
              <w:rPr>
                <w:rFonts w:hint="eastAsia" w:ascii="微软雅黑" w:hAnsi="微软雅黑" w:eastAsia="微软雅黑" w:cs="微软雅黑"/>
                <w:i/>
                <w:iCs/>
                <w:color w:val="000000"/>
                <w:sz w:val="20"/>
                <w:szCs w:val="20"/>
                <w:u w:val="single"/>
                <w:lang w:val="en-US" w:eastAsia="zh-CN" w:bidi="ar"/>
              </w:rPr>
              <w:t xml:space="preserve">灰色/黑色等商务色系</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微软雅黑" w:hAnsi="微软雅黑" w:eastAsia="微软雅黑" w:cs="微软雅黑"/>
                <w:i/>
                <w:iCs/>
                <w:color w:val="000000"/>
                <w:sz w:val="20"/>
                <w:szCs w:val="20"/>
                <w:u w:val="single"/>
                <w:lang w:val="en-US" w:eastAsia="zh-CN" w:bidi="ar"/>
              </w:rPr>
              <w:suppressLineNumbers w:val="0"/>
            </w:pPr>
            <w:r>
              <w:rPr>
                <w:rFonts w:hint="eastAsia" w:ascii="微软雅黑" w:hAnsi="微软雅黑" w:eastAsia="微软雅黑" w:cs="微软雅黑"/>
                <w:i/>
                <w:iCs/>
                <w:color w:val="000000"/>
                <w:sz w:val="20"/>
                <w:szCs w:val="20"/>
                <w:u w:val="single"/>
                <w:lang w:val="en-US" w:eastAsia="zh-CN" w:bidi="ar"/>
              </w:rPr>
              <w:t xml:space="preserve">机箱尺寸容量</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微软雅黑" w:hAnsi="微软雅黑" w:eastAsia="微软雅黑" w:cs="微软雅黑"/>
                <w:i/>
                <w:iCs/>
                <w:color w:val="000000"/>
                <w:sz w:val="20"/>
                <w:szCs w:val="20"/>
                <w:u w:val="single"/>
                <w:lang w:val="en-US" w:eastAsia="zh-CN" w:bidi="ar"/>
              </w:rPr>
              <w:suppressLineNumbers w:val="0"/>
            </w:pPr>
            <w:r>
              <w:rPr>
                <w:rFonts w:hint="eastAsia" w:ascii="微软雅黑" w:hAnsi="微软雅黑" w:eastAsia="微软雅黑" w:cs="微软雅黑"/>
                <w:i/>
                <w:iCs/>
                <w:color w:val="000000"/>
                <w:sz w:val="20"/>
                <w:szCs w:val="20"/>
                <w:u w:val="single"/>
                <w:lang w:val="en-US" w:eastAsia="zh-CN" w:bidi="ar"/>
              </w:rPr>
              <w:t xml:space="preserve">机箱体积应不大于20L</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微软雅黑" w:hAnsi="微软雅黑" w:eastAsia="微软雅黑" w:cs="微软雅黑"/>
                <w:i/>
                <w:iCs/>
                <w:color w:val="000000"/>
                <w:sz w:val="20"/>
                <w:szCs w:val="20"/>
                <w:u w:val="single"/>
                <w:lang w:val="en-US" w:eastAsia="zh-CN" w:bidi="ar"/>
              </w:rPr>
              <w:suppressLineNumbers w:val="0"/>
            </w:pPr>
            <w:r>
              <w:rPr>
                <w:rFonts w:hint="eastAsia" w:ascii="微软雅黑" w:hAnsi="微软雅黑" w:eastAsia="微软雅黑" w:cs="微软雅黑"/>
                <w:i/>
                <w:iCs/>
                <w:color w:val="000000"/>
                <w:sz w:val="20"/>
                <w:szCs w:val="20"/>
                <w:u w:val="single"/>
                <w:lang w:val="en-US" w:eastAsia="zh-CN" w:bidi="ar"/>
              </w:rPr>
              <w:t xml:space="preserve">CPU 物理核数</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微软雅黑" w:hAnsi="微软雅黑" w:eastAsia="微软雅黑" w:cs="微软雅黑"/>
                <w:i/>
                <w:iCs/>
                <w:color w:val="000000"/>
                <w:sz w:val="20"/>
                <w:szCs w:val="20"/>
                <w:u w:val="single"/>
                <w:lang w:val="en-US" w:eastAsia="zh-CN" w:bidi="ar"/>
              </w:rPr>
              <w:suppressLineNumbers w:val="0"/>
            </w:pPr>
            <w:r>
              <w:rPr>
                <w:rFonts w:hint="eastAsia" w:ascii="微软雅黑" w:hAnsi="微软雅黑" w:eastAsia="微软雅黑" w:cs="微软雅黑"/>
                <w:i/>
                <w:iCs/>
                <w:color w:val="000000"/>
                <w:sz w:val="20"/>
                <w:szCs w:val="20"/>
                <w:u w:val="single"/>
                <w:lang w:val="en-US" w:eastAsia="zh-CN" w:bidi="ar"/>
              </w:rPr>
              <w:t xml:space="preserve">≥4</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微软雅黑" w:hAnsi="微软雅黑" w:eastAsia="微软雅黑" w:cs="微软雅黑"/>
                <w:i/>
                <w:iCs/>
                <w:color w:val="000000"/>
                <w:sz w:val="20"/>
                <w:szCs w:val="20"/>
                <w:u w:val="single"/>
                <w:lang w:val="en-US" w:eastAsia="zh-CN" w:bidi="ar"/>
              </w:rPr>
              <w:suppressLineNumbers w:val="0"/>
            </w:pPr>
            <w:r>
              <w:rPr>
                <w:rFonts w:hint="eastAsia" w:ascii="微软雅黑" w:hAnsi="微软雅黑" w:eastAsia="微软雅黑" w:cs="微软雅黑"/>
                <w:i/>
                <w:iCs/>
                <w:color w:val="000000"/>
                <w:sz w:val="20"/>
                <w:szCs w:val="20"/>
                <w:u w:val="single"/>
                <w:lang w:val="en-US" w:eastAsia="zh-CN" w:bidi="ar"/>
              </w:rPr>
              <w:t xml:space="preserve">CPU 主频</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微软雅黑" w:hAnsi="微软雅黑" w:eastAsia="微软雅黑" w:cs="微软雅黑"/>
                <w:i/>
                <w:iCs/>
                <w:color w:val="000000"/>
                <w:sz w:val="20"/>
                <w:szCs w:val="20"/>
                <w:u w:val="single"/>
                <w:lang w:val="en-US" w:eastAsia="zh-CN" w:bidi="ar"/>
              </w:rPr>
              <w:suppressLineNumbers w:val="0"/>
            </w:pPr>
            <w:r>
              <w:rPr>
                <w:rFonts w:hint="eastAsia" w:ascii="微软雅黑" w:hAnsi="微软雅黑" w:eastAsia="微软雅黑" w:cs="微软雅黑"/>
                <w:i/>
                <w:iCs/>
                <w:color w:val="000000"/>
                <w:sz w:val="20"/>
                <w:szCs w:val="20"/>
                <w:u w:val="single"/>
                <w:lang w:val="en-US" w:eastAsia="zh-CN" w:bidi="ar"/>
              </w:rPr>
              <w:t xml:space="preserve">≥1.8GHz</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微软雅黑" w:hAnsi="微软雅黑" w:eastAsia="微软雅黑" w:cs="微软雅黑"/>
                <w:i/>
                <w:iCs/>
                <w:color w:val="000000"/>
                <w:sz w:val="20"/>
                <w:szCs w:val="20"/>
                <w:u w:val="single"/>
                <w:lang w:val="en-US" w:eastAsia="zh-CN" w:bidi="ar"/>
              </w:rPr>
              <w:suppressLineNumbers w:val="0"/>
            </w:pPr>
            <w:r>
              <w:rPr>
                <w:rFonts w:hint="eastAsia" w:ascii="微软雅黑" w:hAnsi="微软雅黑" w:eastAsia="微软雅黑" w:cs="微软雅黑"/>
                <w:i/>
                <w:iCs/>
                <w:color w:val="000000"/>
                <w:sz w:val="20"/>
                <w:szCs w:val="20"/>
                <w:u w:val="single"/>
                <w:lang w:val="en-US" w:eastAsia="zh-CN" w:bidi="ar"/>
              </w:rPr>
              <w:t xml:space="preserve">CPU 末级缓存容量</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微软雅黑" w:hAnsi="微软雅黑" w:eastAsia="微软雅黑" w:cs="微软雅黑"/>
                <w:i/>
                <w:iCs/>
                <w:color w:val="000000"/>
                <w:sz w:val="20"/>
                <w:szCs w:val="20"/>
                <w:u w:val="single"/>
                <w:lang w:val="en-US" w:eastAsia="zh-CN" w:bidi="ar"/>
              </w:rPr>
              <w:suppressLineNumbers w:val="0"/>
            </w:pPr>
            <w:r>
              <w:rPr>
                <w:rFonts w:hint="eastAsia" w:ascii="微软雅黑" w:hAnsi="微软雅黑" w:eastAsia="微软雅黑" w:cs="微软雅黑"/>
                <w:i/>
                <w:iCs/>
                <w:color w:val="000000"/>
                <w:sz w:val="20"/>
                <w:szCs w:val="20"/>
                <w:u w:val="single"/>
                <w:lang w:val="en-US" w:eastAsia="zh-CN" w:bidi="ar"/>
              </w:rPr>
              <w:t xml:space="preserve">≥2MB</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微软雅黑" w:hAnsi="微软雅黑" w:eastAsia="微软雅黑" w:cs="微软雅黑"/>
                <w:i/>
                <w:iCs/>
                <w:color w:val="000000"/>
                <w:sz w:val="20"/>
                <w:szCs w:val="20"/>
                <w:u w:val="single"/>
                <w:lang w:val="en-US" w:eastAsia="zh-CN" w:bidi="ar"/>
              </w:rPr>
              <w:suppressLineNumbers w:val="0"/>
            </w:pPr>
            <w:r>
              <w:rPr>
                <w:rFonts w:hint="eastAsia" w:ascii="微软雅黑" w:hAnsi="微软雅黑" w:eastAsia="微软雅黑" w:cs="微软雅黑"/>
                <w:i/>
                <w:iCs/>
                <w:color w:val="000000"/>
                <w:sz w:val="20"/>
                <w:szCs w:val="20"/>
                <w:u w:val="single"/>
                <w:lang w:val="en-US" w:eastAsia="zh-CN" w:bidi="ar"/>
              </w:rPr>
              <w:t xml:space="preserve">CPU 支持的内存最高速率</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微软雅黑" w:hAnsi="微软雅黑" w:eastAsia="微软雅黑" w:cs="微软雅黑"/>
                <w:i/>
                <w:iCs/>
                <w:color w:val="000000"/>
                <w:sz w:val="20"/>
                <w:szCs w:val="20"/>
                <w:u w:val="single"/>
                <w:lang w:val="en-US" w:eastAsia="zh-CN" w:bidi="ar"/>
              </w:rPr>
              <w:suppressLineNumbers w:val="0"/>
            </w:pPr>
            <w:r>
              <w:rPr>
                <w:rFonts w:hint="eastAsia" w:ascii="微软雅黑" w:hAnsi="微软雅黑" w:eastAsia="微软雅黑" w:cs="微软雅黑"/>
                <w:i/>
                <w:iCs/>
                <w:color w:val="000000"/>
                <w:sz w:val="20"/>
                <w:szCs w:val="20"/>
                <w:u w:val="single"/>
                <w:lang w:val="en-US" w:eastAsia="zh-CN" w:bidi="ar"/>
              </w:rPr>
              <w:t xml:space="preserve">≥2666MT/s</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微软雅黑" w:hAnsi="微软雅黑" w:eastAsia="微软雅黑" w:cs="微软雅黑"/>
                <w:i/>
                <w:iCs/>
                <w:color w:val="000000"/>
                <w:sz w:val="20"/>
                <w:szCs w:val="20"/>
                <w:u w:val="single"/>
                <w:lang w:val="en-US" w:eastAsia="zh-CN" w:bidi="ar"/>
              </w:rPr>
              <w:suppressLineNumbers w:val="0"/>
            </w:pPr>
            <w:r>
              <w:rPr>
                <w:rFonts w:hint="eastAsia" w:ascii="微软雅黑" w:hAnsi="微软雅黑" w:eastAsia="微软雅黑" w:cs="微软雅黑"/>
                <w:i/>
                <w:iCs/>
                <w:color w:val="000000"/>
                <w:sz w:val="20"/>
                <w:szCs w:val="20"/>
                <w:u w:val="single"/>
                <w:lang w:val="en-US" w:eastAsia="zh-CN" w:bidi="ar"/>
              </w:rPr>
              <w:t xml:space="preserve">内存读写速率</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微软雅黑" w:hAnsi="微软雅黑" w:eastAsia="微软雅黑" w:cs="微软雅黑"/>
                <w:i/>
                <w:iCs/>
                <w:color w:val="000000"/>
                <w:sz w:val="20"/>
                <w:szCs w:val="20"/>
                <w:u w:val="single"/>
                <w:lang w:val="en-US" w:eastAsia="zh-CN" w:bidi="ar"/>
              </w:rPr>
              <w:suppressLineNumbers w:val="0"/>
            </w:pPr>
            <w:r>
              <w:rPr>
                <w:rFonts w:hint="eastAsia" w:ascii="微软雅黑" w:hAnsi="微软雅黑" w:eastAsia="微软雅黑" w:cs="微软雅黑"/>
                <w:i/>
                <w:iCs/>
                <w:color w:val="000000"/>
                <w:sz w:val="20"/>
                <w:szCs w:val="20"/>
                <w:u w:val="single"/>
                <w:lang w:val="en-US" w:eastAsia="zh-CN" w:bidi="ar"/>
              </w:rPr>
              <w:t xml:space="preserve">≥2666MT/s</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显示分辨率</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≥1920x1080</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显卡显示芯片核心频率</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≥300MHz</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显存等效频率</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≥1000MT/s</w:t>
            </w:r>
            <w:r/>
          </w:p>
        </w:tc>
      </w:tr>
      <w:tr>
        <w:trPr>
          <w:trHeight w:val="116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显卡可支持多屏同时显示数量</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显卡应支持 2 块屏幕同时显示，分辨率应不低于 1920×1080</w:t>
            </w:r>
            <w:r/>
          </w:p>
        </w:tc>
      </w:tr>
      <w:tr>
        <w:trPr>
          <w:trHeight w:val="114"/>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显示屏刷新率</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≥75Hz</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显示屏位深</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≥8 位</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显示屏色域</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≥99% sRGB</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显示屏色准</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△E ≤ 4</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显示屏响应时间</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≤8ms</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显示屏亮度</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≥250 尼特</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显示屏亮度一致性</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≥70%</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显示屏对比度</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≥500：1</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显示屏其他参数</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其它参数应符合SJ/T 11292 的相关规定</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有线网卡速率</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最高速率应不低于 1000Mbps，应支持10Mbps、100Mbps、1000Mbps 速率自适应</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支持无线网络通信技术协议</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支持 WAPI 或 WiFi5.0 及以上协议</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无线网卡频宽</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≥20MHz</w:t>
            </w:r>
            <w:r/>
          </w:p>
        </w:tc>
      </w:tr>
      <w:tr>
        <w:trPr>
          <w:trHeight w:val="54"/>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内存扩展接口(板载内存不涉及)</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≥4</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存储扩展接口(板载存储不涉及)</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供应商给出主板支持存储扩展接口类型，如 UFS3.0、SATA3.0、SAS3.0、M.2等类型接口</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主板 USB瞬间过流保护</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支持有瞬间过流保护功能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主板防静电保护</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支持防静电保护功能</w:t>
            </w:r>
            <w:r/>
          </w:p>
        </w:tc>
      </w:tr>
      <w:tr>
        <w:trPr>
          <w:trHeight w:val="116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I/O 接口功能</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提供基于标准 USB 接口外设连接功能、基于音频输入输出接口的音频扩展功能、基于 PCIe 接口板卡扩展功能、基于 HDMI 或 VGA 或 Type-C 或 DVI 或 DP等接口外接显示器扩展功能、基于存储接口对产品进行增容功能等。产品 I/O 接口，应具备外接标准 USB 设备、显示器、音频设备等内外部设备能力</w:t>
            </w:r>
            <w:r/>
          </w:p>
        </w:tc>
      </w:tr>
      <w:tr>
        <w:trPr>
          <w:trHeight w:val="116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显卡外接显示接口</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显卡至少支持 VGA、HDMI、DVI、DP、 Type-C 中 1 种显示接口，并与显示器接口相匹配</w:t>
            </w:r>
            <w:r/>
          </w:p>
        </w:tc>
      </w:tr>
      <w:tr>
        <w:trPr>
          <w:trHeight w:val="116"/>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独立显卡数量</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≥0</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显示器接口</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显示器应与显卡外接显示接口匹配</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显示器支架</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显示器应提供显示器支架，根据采购人需求支持屏幕旋转、升降等</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显示器参数调节</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a)提供 OSD 选单按钮用于调节色彩、模式等； b)支持色温、亮度、对比度调节</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传声器降噪</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支持降噪功能</w:t>
            </w:r>
            <w:r/>
          </w:p>
        </w:tc>
      </w:tr>
      <w:tr>
        <w:trPr>
          <w:trHeight w:val="116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光驱功能</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光驱应支持只读、刻录等类型；最大读取速度 CD 不低于 24×150KB/s； 最大读取速度 DVD 不低于8×358KB/s；最大刻录速度CD 不低于24×150KB/s；最大刻录速度 DVD 不低于6× 1358KB/s； 兼容光盘类型包含只读光盘、可读写光盘、可擦写光盘等</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存储功能</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通过 SATA 固态存储/PCIe 固态存储 /UFS 固态存储/SATA 硬磁盘等存储部件提供存储功能</w:t>
            </w:r>
            <w:r/>
          </w:p>
        </w:tc>
      </w:tr>
      <w:tr>
        <w:trPr>
          <w:trHeight w:val="116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内置控制器固态存储加密</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固态存储通过内置控制器硬件支持加密，不依赖处理器，保障数据安全性，但不得影响存储性能。 a) 支持加密功能，且加密功能开启不影响 SSD 读写性能； b) 支持固件加密、安全启动和安全升级； c) 支持数据的安全擦除</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网络功能</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a)支持网络连接、网络开启/关闭功能；b)支持访问网络和数据交换功能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无线网卡频段</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支持双频段</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数据传输</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支持数据传输能力，并提供数据流量和异常日志记录功能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蓝牙协议</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若支持蓝牙模块，蓝牙协议不低于5.0版本</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有线网卡接口类型</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支持 RJ45 接口</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无线网卡标准</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若配备无线网卡，产品应符合 GB 15629.11 所有部分</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网络设备拆装</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网络设备支持物理拆装，包括无线网卡和蓝牙模块等</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音频接口类型</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支持 3.5mm 孔径 3 段式或 4 段式接口</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视频接口类型</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至少支持 VGA、HDMI、DVI、DP、Type-C中 1 种显示接口</w:t>
            </w:r>
            <w:r/>
          </w:p>
        </w:tc>
      </w:tr>
      <w:tr>
        <w:trPr>
          <w:trHeight w:val="632"/>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HDMI、 DP、 Type-C 显示接口要求</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若提供 HDMI 或 DP 或 Type-C 作为显示接口，应支持音频和视频同步输出</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其他接口</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a) 支持串行接口，可实现 GB/T 6107的功能； b) 支持并行接口，可实现 GB/T 18235.1 的功能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存储卡接口类型</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支持 SD、TF 等存储卡接口</w:t>
            </w:r>
            <w:r/>
          </w:p>
        </w:tc>
      </w:tr>
      <w:tr>
        <w:trPr>
          <w:trHeight w:val="116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电源线适配能力</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电源适配器电线组件应符合GB/T 15934 的要求，可拆线的插头和连接器可以不做要求</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中文信息处理要求</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符合 GB 18030 的相关规定</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操作系统备份及还原功能</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支持操作系统备份及还原功能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固件备份还原能力</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支持备份及还原固件的功能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操作系统及驱动升级</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支持通过网络、闪存盘等方式对操作系统、驱动进行升级</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固件升级</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支持通过网络、闪存盘等方式对固件进行升级</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BIOS 支持关闭通讯接口</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支持 BIOS 关闭以太网及 USB 接口</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固件查看信息</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支持查看固件版本、内存信息、主板信息、处理器信息和系统时间信息等功能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固件设置启动顺序</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支持设置启动顺序功能，并按照设置的启动顺序启动</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固件设置口令</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支持设置口令、修改口令、验证口令功能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固件设置网络引导</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支持网络引导启动和关闭功能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NPU/GPU等AI加速模块</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支持 NPU/GPU 等AI 加速模块</w:t>
            </w:r>
            <w:r/>
          </w:p>
        </w:tc>
      </w:tr>
      <w:tr>
        <w:trPr>
          <w:trHeight w:val="202"/>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视频编解码加速模块</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支持视频编解码加速模块</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影像处理加速模块</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支持影像处理加速模块</w:t>
            </w:r>
            <w:r/>
          </w:p>
        </w:tc>
      </w:tr>
      <w:tr>
        <w:trPr>
          <w:trHeight w:val="42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固态存储寿命</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TBW ≥ 80TB（条件：240GB 硬盘容量）</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机械硬盘寿命</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通电时间≥5 万小时</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显示屏屏幕失效点</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符合 GB/T 9813.2 的要求</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键盘按键寿命</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≥1000 万次</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鼠标按键寿命</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≥500 万次</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键盘鼠标线材寿命</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键盘鼠标所用线材经±60 °弯折不低于 3000 次，功能、外观完好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风扇寿命</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≥4 万小时</w:t>
            </w:r>
            <w:r/>
          </w:p>
        </w:tc>
      </w:tr>
      <w:tr>
        <w:trPr>
          <w:trHeight w:val="106"/>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电磁兼容性要求的抗扰度</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符合 GB/T 9254.2 的规定</w:t>
            </w:r>
            <w:r/>
          </w:p>
        </w:tc>
      </w:tr>
      <w:tr>
        <w:trPr>
          <w:trHeight w:val="352"/>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环境条件要求的气候环境适应性</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符合 GB/T 9813.1 中规定</w:t>
            </w:r>
            <w:r/>
          </w:p>
        </w:tc>
      </w:tr>
      <w:tr>
        <w:trPr>
          <w:trHeight w:val="10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环境条件要求的振动适应性</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符合 GB/T 9813.1 中规定</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环境条件要求的冲击适应性</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符合 GB/T 9813.1 中规定</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环境条件要求的碰撞适应性</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符合 GB/T 9813.1 中规定</w:t>
            </w:r>
            <w:r/>
          </w:p>
        </w:tc>
      </w:tr>
      <w:tr>
        <w:trPr>
          <w:trHeight w:val="202"/>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环境条件要求的运输包装件跌落适应性</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符合 GB/T 9813.1 中规定</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MTBF 测试</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MTBF(m1)＞35万小时</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常用软件兼容</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支持流式软件、版式软件、浏览器、邮件采购人端、解压软件、多媒体、图形图像处理等常用软件</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数据库兼容</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兼容 3 个及以上厂商的数据库产品</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中间件兼容</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兼容 3 个及以上厂商中间件产品</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平台软件兼容</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兼容 3 个及以上厂商云计算及大数据平台</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标志、包装、运输和贮存</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符合 GB/T 9813.1 和商品包装政府采购需求标准的相关规定</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配置检查工具</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供应商提供自检测试工具</w:t>
            </w:r>
            <w:r/>
          </w:p>
        </w:tc>
      </w:tr>
      <w:tr>
        <w:trPr>
          <w:trHeight w:val="116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服务响应</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a)供应商提供电话、电子邮件、远程连接等多种形式服务； b)供应商提供同城4h、异地 12h 技术响应服务，2 个工作日解决问题，对于未能解决的问题和故障应提供可行的升级方案，并提供周转设备或更换设备； c)建立全国技术服务体系和服务团体，符合专业服务体系标准要求，提供原厂中文服务； d)服务周期内提供产品的维修、换件和升级服务</w:t>
            </w:r>
            <w:r/>
          </w:p>
        </w:tc>
      </w:tr>
      <w:tr>
        <w:trPr>
          <w:trHeight w:val="116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服务周期</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a) 设备停产后应继续提供质量保障服务（含备品备件），服务终止时间与最后一批设备交付时间间隔不低于6 年； b) 产品停止服务时间应提前 1 年告知； c) 应明确产品发布日期</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预装操作系统</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预装符合桌面操作系统政府采购需求标准的正版操作系统</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培训服务</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提供培训材料、产品手册、培训视频等培训相关内容</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典型问题解决手册</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提供典型问题解决说明文档或视频</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厂家升级软件与扩容服务</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操作系统、基础办公软件（流式、版式、签章、杀毒、国密浏览器）厂家，均提供上门升级软件的增值服务。</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整机质量服务要求</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免费服务周期（含换件和维修）应不小于 3 年</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合格证书要求</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整机出厂包装含合格证</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开箱组装/使用指导要求</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整机出厂包装含用户手册</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驱动下载服务要求</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提供驱动光盘或下载方式</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兼容适配软件下载服务要求</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提供兼容适配软件下载渠道（光盘、网站）</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跨架构平台应用兼容</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highlight w:val="none"/>
                <w:u w:val="single"/>
                <w:lang w:val="en-US" w:eastAsia="zh-CN" w:bidi="ar"/>
              </w:rPr>
              <w:t xml:space="preserve">提供跨架构平台应用兼容工具，支持一种或者一种以上不同架构平台的应用</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产品部件保障</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保障产品主要部件，提供 6 年的备件服务能力（自购买之日起），或提供可兼容原设备的升级换代产品</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抗干扰性</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当产品部件出现供应风险时，通知采购人并提供风险应对方案确保产品的服务保障</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供应能力证明</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提供供应链稳定承诺书，确保产品的部件在产品服务周期内稳定供货</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关键部件安全要求</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CPU 和操作系统等关键部件应当符合安全可靠测评要求</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密码算法实现</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CPU 芯片应符合 GM/T 0008 的相关规定，或芯片密码模块应符合GB/T 37092或 GM/T 0028 的相关规定</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USB 端口管控</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支持 USB 端口管控</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安全物理锁</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支持安全物理锁</w:t>
            </w:r>
            <w:r/>
          </w:p>
        </w:tc>
      </w:tr>
      <w:tr>
        <w:trPr>
          <w:trHeight w:val="116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信息安全基本要求</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a) 产品应符合 GB/T 39276 的 5.2 的规定； b) 生产厂商应建立漏洞跟踪表，保证产品版本涉及到的漏洞(如驱动程序等)可查看； c) 产品不得包含已知的恶意代码或漏洞，不存在未声明的指令、功能、接口</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固件安全启动</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支持固件安全启动功能，固件启动过程中只有通过启动校验才能正常启动</w:t>
            </w:r>
            <w:r/>
          </w:p>
        </w:tc>
      </w:tr>
      <w:tr>
        <w:trPr>
          <w:trHeight w:val="90"/>
        </w:trPr>
        <w:tc>
          <w:tcPr>
            <w:tcBorders>
              <w:left w:val="single" w:color="000000" w:sz="4" w:space="0"/>
              <w:bottom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bottom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限用物质的限量要求</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left"/>
              <w:keepLines w:val="0"/>
              <w:keepNext w:val="0"/>
              <w:widowControl/>
              <w:rPr>
                <w:rFonts w:hint="eastAsia" w:ascii="宋体" w:hAnsi="宋体" w:cs="宋体"/>
                <w:i/>
                <w:iCs/>
                <w:color w:val="000000"/>
                <w:sz w:val="24"/>
                <w:szCs w:val="24"/>
                <w:u w:val="single"/>
              </w:rPr>
              <w:suppressLineNumbers w:val="0"/>
            </w:pPr>
            <w:r>
              <w:rPr>
                <w:rFonts w:hint="eastAsia" w:ascii="微软雅黑" w:hAnsi="微软雅黑" w:eastAsia="微软雅黑" w:cs="微软雅黑"/>
                <w:i/>
                <w:iCs/>
                <w:color w:val="000000"/>
                <w:sz w:val="20"/>
                <w:szCs w:val="20"/>
                <w:u w:val="single"/>
                <w:lang w:val="en-US" w:eastAsia="zh-CN" w:bidi="ar"/>
              </w:rPr>
              <w:t xml:space="preserve">符合 GB/T 26572 中规定</w:t>
            </w:r>
            <w:r/>
          </w:p>
        </w:tc>
      </w:tr>
      <w:tr>
        <w:trPr>
          <w:trHeight w:val="9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50</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IP网络广播软件</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1、与多媒体交互式智能一体机同品牌；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2、安装调试服务：针对此次配置的软件和硬件，必须提供原厂商现场软硬件安装调试；</w:t>
            </w:r>
            <w:r>
              <w:rPr>
                <w:rFonts w:hint="eastAsia" w:ascii="宋体" w:hAnsi="宋体" w:cs="宋体"/>
                <w:color w:val="000000"/>
                <w:sz w:val="24"/>
                <w:szCs w:val="24"/>
                <w:lang w:bidi="ar"/>
              </w:rPr>
              <w:br/>
            </w:r>
            <w:r>
              <w:rPr>
                <w:rFonts w:hint="eastAsia" w:ascii="宋体" w:hAnsi="宋体" w:cs="宋体"/>
                <w:i/>
                <w:iCs/>
                <w:color w:val="000000"/>
                <w:sz w:val="24"/>
                <w:szCs w:val="24"/>
                <w:u w:val="single"/>
                <w:lang w:bidi="ar"/>
              </w:rPr>
              <w:t xml:space="preserve">3、软件是整个系统的运行核心，统一管理系统内所有音频终端，包括寻呼话筒、对讲终端、广播终端和消防接口设备，实时显示音频终端的IP地址、在线状态、任务状态、音量等运行状态；</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4、提供全双工语音数据交换，响应各对讲终端的呼叫和通话请求，支持一键呼叫、一键对讲、一键求助、一键报警等通话模式，支持自动接听、手动接听，支持自定义接听提示音；</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支持单机多窗虚拟采集功能，保证原有的业务操作内容不变，所以系统应该支持单机多窗虚拟采集功能，通过该功能可以实现单台主机内的多个运行软件窗口的同时虚拟采集，并通过分布式可视化管控系统进行调度切换到相应的显示区域；</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支持多种呼叫策略，包括无响应转移、占线转移、关机转移，支持时间策略和转移策略自定义设置，支持设置对讲终端呼叫策略，可自定义通话时间0-180S或不受限，可选择是否自动接听，支持自定义选择来电铃声与等待铃声；</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7、支持终端短路输入联动触发，可任意设置联动触发方案和触发终端数量，触发方案包括短路输出、音乐播放、巡更警报等；</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8、编程定时任务，支持编程多套定时方案，支持选择任意终端和设置任意时间；支持定时任务执行测试、设置重复周期；</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9、支持定时任务多种音源选择（音乐播放、声卡采集、终端采集），定时音乐播放可通过路径选择曲目，也可选择定时文件夹两种方式，适用于不同用户的需求；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10、定时任务支持多台电源时序器管理，可定时开启与关闭，并具有全开关和单开关的功能选择；</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11、支持多方案切换选择（按日期切换、按星期切换、多方案同时运行），适用于不同场合的需求；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12、支持定时打铃功能，支持打铃方案克隆，任务执行与停止控制、定时任务禁用与启用功能；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13、支持今日任务列表查看，轻松管理今日执行的所有定时任务信息和执行状态；</w:t>
            </w:r>
            <w:r>
              <w:rPr>
                <w:rFonts w:hint="eastAsia" w:ascii="宋体" w:hAnsi="宋体" w:cs="宋体"/>
                <w:i/>
                <w:iCs/>
                <w:color w:val="000000"/>
                <w:sz w:val="24"/>
                <w:szCs w:val="24"/>
                <w:u w:val="single"/>
                <w:lang w:bidi="ar"/>
              </w:rPr>
              <w:br/>
            </w:r>
            <w:r>
              <w:rPr>
                <w:rFonts w:hint="eastAsia" w:ascii="宋体" w:hAnsi="宋体" w:cs="宋体"/>
                <w:sz w:val="24"/>
                <w:szCs w:val="24"/>
              </w:rPr>
              <w:t xml:space="preserve">◆14、支持其他应用程序软件窗口打开时，快速接入，系统自动识别添加；</w:t>
            </w:r>
            <w:r>
              <w:rPr>
                <w:rFonts w:hint="eastAsia" w:ascii="宋体" w:hAnsi="宋体" w:cs="宋体"/>
                <w:sz w:val="24"/>
                <w:szCs w:val="24"/>
              </w:rPr>
              <w:br/>
            </w:r>
            <w:r>
              <w:rPr>
                <w:rFonts w:hint="eastAsia" w:ascii="宋体" w:hAnsi="宋体" w:cs="宋体"/>
                <w:sz w:val="24"/>
                <w:szCs w:val="24"/>
              </w:rPr>
              <w:t xml:space="preserve">◆</w:t>
            </w:r>
            <w:r>
              <w:rPr>
                <w:rFonts w:hint="eastAsia" w:ascii="宋体" w:hAnsi="宋体" w:cs="宋体"/>
                <w:color w:val="000000"/>
                <w:sz w:val="24"/>
                <w:szCs w:val="24"/>
                <w:lang w:bidi="ar"/>
              </w:rPr>
              <w:t xml:space="preserve">15、通过广播系统后台可对终端进行5段均衡器调节：可对终端进行80Hz、300Hz、1KHz、3KHz、10KHz频点的±16dB调节，使得终端设备在现场使用环境不同而调节修饰音效；</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16、支持对≥8路功率分区终端进行功率控制分区设置，通过服务端或分控客户端均可轻松设置分区；</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17、支持对终端设置时间显示配置，可设置0-6级别亮度值，可设置离线后不显示时间等模式；</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18、支持实时刷新和预览当前物理机所运行的应用程序软件窗口内容，数量不限;</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19、支持对终端设置不同的灯光模式，可分别自定义设置红灯亮、红灯灭、绿灯亮、绿灯灭时间0.1S-10S；</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20、支持广播、对讲、实时采集、终端监听进行录音；支持文本广播功能，可实现将文本转成语音，支持后台调整语速、设置男声或女声功能；</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21、系统可以实现终端的环境噪声监测，自动调整终端的声音大小，可提供信息反馈；</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22、采用拖曳式快速操作将任意左侧软件窗口内容编辑成实时网络视频流信息，以便提供投屏使用；</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23、学校已建成一期IP网络公共广播系统，一期采购的设备品牌是视音微云。现有全校定时打铃、分区广播、消防联动、终端监测等业务均由一期原有广播平台统一管理。</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一、二期新建公共广播系统，须与学校一期已建IP网络广播系统实现平台级联动集成。不能仅做简单音频信号对接，须实现以下全部功能，包含以下内容：</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1）统一一套管理平台管控一、二期全部广播终端：二期新增终端能够直接在一期原有广播管理软件内完成注册、配置、分区管理、状态监控、故障告警；不需要新增独立二期广播服务器。</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2）定时任务、作息打铃完全统一调度：学校原有打铃方案、定时广播任务，直接由一期原有平台统一下发至一期、二期所有终端，二期系统不得独立配置定时方案，保证全校作息同步。</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3）寻呼对讲跨一、二期分区全域喊话：原有一期寻呼话筒可直接对二期新建分区进行广播喊话。</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4）消防应急广播一体化联动：原有一期消防报警信号接入模块触发报警时，能够同时驱动一期、二期全部广播终端强制切换应急广播，报警分区逻辑统一，应急优先级逻辑和一期原有系统保持一致。</w:t>
            </w:r>
            <w:r/>
          </w:p>
        </w:tc>
      </w:tr>
      <w:tr>
        <w:trPr>
          <w:trHeight w:val="60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51</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7寸触摸屏网络话筒</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2、采用≥7英寸IPS高清显示屏，≥170°宽视角，全方位无障碍显示；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3、采用高保真鹅颈式软管话筒直接输入，话筒打开时红色指示灯自动点亮；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4、采用电容触摸技术，操作灵敏、交互方便；</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5、图形化界面、信息显示一目了然，操作简单便捷；</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6、支持分区广播、分组广播、全区广播；</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7、支持TCP、UDP、IGMP、ICMP等网络协议；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8、内置专业DSP啸叫抑制模块；</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9、应急一键寻呼，带防护盖，防止误操作；</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10、MIC具有无声音输入时自动关闭功能，并可设定自动关闭时间；</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11、内置≥3W全频高保真扬声器，用于监听和对讲；</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12、支持背景音讲话，话音自动优先；</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13、具有对分区/分组/全区节目源点播控制功能；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14、≥1路3.5耳机接口线路输入，支持单声道或立体声输入，具有采集播放功能；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15、≥1路3.5耳机接口线路输出，支持外接功率放大器；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16、≥1路3.5耳机接口MIC输入；</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17、启动网络寻呼，MIC具有手动打开/关闭静音功能；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18、具备终端断网后仍然能够进行广播功能；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19、标准RJ45网络接口，支持局域网和广域网；</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20、支持SIP协议，支持VOIP 网络电话相互对讲，支持VOIP 网络电话寻呼播放终端；</w:t>
            </w:r>
            <w:r/>
          </w:p>
        </w:tc>
      </w:tr>
      <w:tr>
        <w:trPr>
          <w:trHeight w:val="145"/>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52</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IP网络有源音箱1（备份）</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2、标配≥1个10/100MRJ45网络交换机接口，支持局域网与广域网；</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3、设备采用工业级双核处理芯片（ARM+DSP），启动时间小于1s；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4、内置网络IP解码模块可实时播网络音乐及呼叫功能；采集播放和呼叫功的网络延时时间小于30ms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5、内置≥2×20W数字功放，发热小功效更高，CD级完美音质；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6、内置≥5寸低音+≥2寸高音高保真喇叭单元，音质清晰优美；</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7、≥1路话筒输入，≥1路线路输入，分别设有独立音量调节，适用现场本地扩音广播功能；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8、具有优先功能，网络报警为最高优先级，本地MIC和AUX是同等级别；</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9、采用壁挂式一体化音箱设计，精致美观，工艺考究，尽显高档品质；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10、内置100V定压备份模块，在终端出现断电断网情况下，切换到此备份通道；</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11、包含1只主音箱与1只副音箱</w:t>
            </w:r>
            <w:r/>
          </w:p>
        </w:tc>
      </w:tr>
      <w:tr>
        <w:trPr>
          <w:trHeight w:val="33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53</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壁挂式IP网络终端</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2、标配≥1个10/100MRJ45网络交换机接口，支持局域网与广域网；</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3、设备采用工业级双核处理芯片（ARM+DSP），启动时间小于1s；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4、内置网络IP解码模块可实时播网络音乐及呼叫功能；采集播放和呼叫功的网络延时时间小于30ms；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5、内置≥2×20W数字功放，发热小功效更高，CD级完美音质；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6、≥1路话筒输入，≥1路线路输入，≥1路线路输出，适用现场本地扩音广播功能；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7、具有优先功能，网络报警为最高优先级，本地MIC和AUX是同等级别，它们与网络信号的级别设有调节旋钮，用户可以根据使用环境自由调节为网络是最高优先，或者是网络与本地为同一级别；</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8、设有话筒混响调节电位器，把人讲话的声音处理得更加饱满，更有弹力；</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9、面板设有电源指示、网络连接指示灯及音频信号输出检测指示灯，对终端的工作状态一目了然；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10、标准壁挂式设计，体积小巧，铝合金一体结构设计，精致美观，工艺考究，尽显高档品质；</w:t>
            </w:r>
            <w:r/>
          </w:p>
        </w:tc>
      </w:tr>
      <w:tr>
        <w:trPr>
          <w:trHeight w:val="30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54</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会议话筒</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2、换能方式：电容式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3、指向性：单指向性</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4、频率响应：≥40Hz-16kHz</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5、输出阻抗：200Ω</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6、灵敏度：≥47dB±3dB</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7、信噪比：≥68dB</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8、供电电压：幻象48V</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9、咪管长度：≥420mm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10、安装方式：桌面式</w:t>
            </w:r>
            <w:r/>
          </w:p>
        </w:tc>
      </w:tr>
      <w:tr>
        <w:trPr>
          <w:trHeight w:val="24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55</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IP网络音频采集终端</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2、采用机架式设计，自带≥4.3英寸电容触摸屏控制，人性化操作界面，显示清晰，触感灵敏，无操作时进入休眠、低功耗省电状态；</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3、自带≥4路电源管理，每路电源可实现定时或手动独立打开与关闭，每路电源最大输出功率≥2000W，总功率≥4000W；</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4、设有≥4路MIC与≥4路AUX音频输入，输入接口可根据用户实际应用环境灵活选择，每路音量可独立控制，独立信号指示灯显示工作状态；</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5、应用人性化播放模式设计，可选择任何音源播放给任何区域，不低于高、中、低3种音质效果选择，实现了CD级音质效果传送给每个区域；</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6、设有自定义区域或选号播放模式，使用户及时有效的把相关音源播到所指定的区域；</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7、采用嵌入式计算机技术和DSP音频处理技术设计；采用高速工业级芯片，启动时间小于1秒；</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8、≥1个10/100M RJ45网络交换机接口，支持局域网与广域网；</w:t>
            </w:r>
            <w:r/>
          </w:p>
        </w:tc>
      </w:tr>
      <w:tr>
        <w:trPr>
          <w:trHeight w:val="3237"/>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56</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IP网络调音台</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2、≥1个10/100MRJ45网络交换机接口，支持局域网与广域网；</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3、≥7英寸电容触摸屏控制，人性化操作界面，显示清晰，触感灵敏，无操作时进入休眠、低功耗省电状态；</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4、≥4组话筒输入，每组具有6.3接口和卡侬接口输入，采用独立按钮切换输入增益大小，支持DC48V幻象电源输出，同时每组均具有三段均衡调节和推子调节，方便操作；</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5、≥4组线路输入，≥2组6.3和莲花接口输入，供于选择，同时每组均具有高低音调节和推子调节；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6、≥1路高灵敏度咪杆输入，与本地输入优先级别可以自由调节，用于方便喊话与对讲；</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7、支持呼叫分区及多个分区，呼叫全区广播，支持直接操作呼叫或对讲任意终端；</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8、支持全双工双向对讲功能，自带网络回声消除模块；IP终端之间实现两两双向对讲，网络延时低于40ms；同时网络回声啸叫彻底抑制；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9、内置MP3解码模块，能显示歌曲名称，支持上一曲、下一曲、播放、暂停、停止、单曲循环、全部循环等播放功能，便于操作控制；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10、≥1个紧急预警按钮，当有紧急突发事件时，按下此按钮就及时启动广播预警；</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11、≥1路报警触发短路输出，级联外扩警示设备或控制门禁；≥1路短路输入，可以用作触发预置语音提示（或报警），亦可用于控制门禁联动输入短路信号；</w:t>
            </w:r>
            <w:r/>
          </w:p>
        </w:tc>
      </w:tr>
      <w:tr>
        <w:trPr>
          <w:trHeight w:val="9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57</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蓝光DVD</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1、支持蓝光BD、DVD、CD等主流碟片格式播放；</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2、具备HDMI高清输出接口，支持1080P及以上输出；具备RS232串口，可接受中控系统控制；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3、支持7×24小时长时间连续工作，工程级机型；</w:t>
            </w:r>
            <w:r/>
          </w:p>
        </w:tc>
      </w:tr>
      <w:tr>
        <w:trPr>
          <w:trHeight w:val="12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58</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液晶显示器</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1、屏幕对角线≥21寸</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2、分辨率≥1920×1080；</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3、具备 HDMI、VGA 输入接口；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4、支持桌面摆放</w:t>
            </w:r>
            <w:r/>
          </w:p>
        </w:tc>
      </w:tr>
      <w:tr>
        <w:trPr>
          <w:trHeight w:val="18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59</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广播话筒</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2、电容式音头拾音、声音还原好、清晰度高、噪音小；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3、适用于演讲、会议、公共广播、教学等场合；</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4、咪管与座壳可拆分，工作指示灯环设计；</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5、指向性：单一指向型（驻极体电容式）；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6、电源供应：DC3V；</w:t>
            </w:r>
            <w:r/>
          </w:p>
        </w:tc>
      </w:tr>
      <w:tr>
        <w:trPr>
          <w:trHeight w:val="30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60</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前置放大器</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2、采用19寸标准机柜式人性化的设计；</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3、具有≥10路输入，含≥5路6.35mm话筒、≥3路RCA线路、≥2路6.35mm紧急输入，≥4路RCA线路输出；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4、话筒（MIC）输入通道和线路（AUX)输入通道均可独立调校音量；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5、设有总音量、高音（TREBLE)和低音（BASS)独立调节；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6、具有不低于四级优先权设计：MIC1为最高级，紧急音频信号（EMC)为第二级，MIC2为第三级，MIC3，4，5和线路（AUX1，AUX2AUX3)为第四级；</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7、MIC1、MIC2具有默音旋钮，可以跟调节话筒跟背景音乐同时播放；</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8、具有声音压限功能，保证输出的音频信号过大造成功放过载保护；</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9、紧急音频信号输入无音量调节，自动默认至≥30dB；</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10、具有≥1路消防联动输入接口，可以接收消防联动信号，将设备音频进行静音；</w:t>
            </w:r>
            <w:r/>
          </w:p>
        </w:tc>
      </w:tr>
      <w:tr>
        <w:trPr>
          <w:trHeight w:val="19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61</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8主1备功放切换器</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2、让主运行功放和备用功放实时进行无缝热切换的设备；</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3、与功放一起使用，其功能保证了广播系统不会因为主功放出现故障时扬声器无声音输出；适用于对广播系统运行稳定性要求较高的场所；</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4、标准机柜式设计(2U)，黑色氧化铝拉丝面板，人性化的抽手，考究的工艺，尽显高档气质；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5、≥8主1备主备功放切换器；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6、自动检测声频功放故障并在主功放和备用功放之间自动切换，自动切换时间小于0.2S；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7、可手动切换主功放和备用功放；</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8、有≥8组功率信号输出端子，接扬声器；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9、每通道有双色指示灯，指示工作状态；</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10、主功放有故障再恢复正常时自动切换回主功放运行；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11、本机可进行信号载波检测，避免音源和功放回路的干扰，有效避免误触发；</w:t>
            </w:r>
            <w:r/>
          </w:p>
        </w:tc>
      </w:tr>
      <w:tr>
        <w:trPr>
          <w:trHeight w:val="30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62</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纯后级广播功放</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2、采用先进功率放大器，具有高效节能、重量轻、体积小、功率大、带载能力强等特点；</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3、≥1路平衡XLR输入，≥1路立体声RCA输入（可以为两路单声道），≥1路平衡XLR级联输出，≥1路立体声RCA级联输出，用于级联到下一级功放；</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4、设有音量调节功能；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5、设有短路、过热、过载保护功能；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6、线路设有限幅功能，可预防功放输出过大保护喇叭；</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7、支持多种指示灯显示(电源、信号、削峰、保护LED指示灯)；</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8、采用风机强制散热结构，可以让机器长期时间工作；</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9、设有70V/100V定压输出及4-16Ω定阻输出；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10、输出额定功率≥660W；</w:t>
            </w:r>
            <w:r/>
          </w:p>
        </w:tc>
      </w:tr>
      <w:tr>
        <w:trPr>
          <w:trHeight w:val="21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63</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电源时序器2</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2、≥8通道电源口顺序开启逆序关闭,每路输出带指示灯；</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3、具有≥1路短路触发接口，可以通过短接信号控制开关；</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4、额定输出电压：交流220V，50Hz；</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5、每路动作延时时间≥1秒；</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6、单路最大承受无功功率≥2200W；</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7、最大承受无功总功率≥6000W；</w:t>
            </w:r>
            <w:r/>
          </w:p>
        </w:tc>
      </w:tr>
      <w:tr>
        <w:trPr>
          <w:trHeight w:val="15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64</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储能型应急切换单元</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1、额定有功功率≥2kW；</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2、满负载 2kW 条件下后备供电时间≥60 分钟；</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3、在线式工作模式，断电切换时间 0ms；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4、输入 AC220V，输出 AC220V；具备过压、过流、短路保护；</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5、机架式结构，支持标准机柜安装</w:t>
            </w:r>
            <w:r/>
          </w:p>
        </w:tc>
      </w:tr>
      <w:tr>
        <w:trPr>
          <w:trHeight w:val="285"/>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65</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机柜1</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1、必须和网线1为同一品牌。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2、可关闭的下部走线通道，底部大走线孔尺寸可按需调整；</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3、可方便拆卸的左右侧门和前后门，全方位操作,多方位查看；</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4、可同时安装脚轮和支撑脚；最大静载达300KG；</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5、高级月牙门锁；</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6、有U数标识的方孔条，上框侧面为圆形通风孔；</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7、脱脂、酸洗、防锈磷化、纯水清洗，静电喷塑</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8、机柜颜色：黑色（RAL9004）；</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9、齐全的可选配件；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10、全部选用优质冷轧钢板制作；</w:t>
            </w:r>
            <w:r/>
          </w:p>
        </w:tc>
      </w:tr>
      <w:tr>
        <w:trPr>
          <w:trHeight w:val="27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66</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室内壁挂音箱（10W）</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2、额定功率（100V）≥10W</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3、额定功率（70V）≥5W</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4、最大功率≥20W</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5、灵敏度(1W/1m）≥92dB±2dB</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6、颜色：白色</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7、频率响应≥150-17KHZ</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8、喇叭单元：≥6.5"×1+2.5"×1</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9、外壳：ABS</w:t>
            </w:r>
            <w:r/>
          </w:p>
        </w:tc>
      </w:tr>
      <w:tr>
        <w:trPr>
          <w:trHeight w:val="42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67</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广播IP功放</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2、标配≥1个10/100MRJ45网络交换机接口，支持局域网与广域网；</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3、设备采用工业级双核处理芯片（ARM+DSP），启动时间小于1s；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4、内置网络IP解码模块可实时播网络音乐及呼叫功能；采集播放和呼叫功的网络延时时间小于30ms；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5、≥2路话筒输入，≥2路线路输入，≥1路辅助输出，每路都设有独立音量调节；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6、设有≥3级优先功能，MIC1设为最高优先级，网络为第二级优先，MIC2、AUX1、AUX2为第三级优先；</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7、≥1路短路输入，≥1路路短路输出接口，便于用户扩展；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8、可拓展≥1路DC24V强切电源备用接口；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9、支持被动结束呼叫，可实现双方互相通话，通话延时时间小于30ms；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10、设有单向点播功能，可通过终端软件、对本终端自由点播终端中节目；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11、自带≥1路功率放大器，输出方式为100V、70V、4~16Ω，输出功率为≥240W；</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12、控制电源采用节能环保模式设计，可手动或自动模式打开与关闭；</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13、设有功放接通电源指示灯、功放保护指示灯、功放工作信号及消峰指示灯，对功放的工作状态一目了然；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14、采用先进高效功率放大电路，并设有过载、过温等多种保护；</w:t>
            </w:r>
            <w:r/>
          </w:p>
        </w:tc>
      </w:tr>
      <w:tr>
        <w:trPr>
          <w:trHeight w:val="27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68</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无线双手持(一拖二)</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2、采用UHF超高频段双真分集接收，并采用DPLL数字锁相环多信道频率合成技术；</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3、提供各≥200个可调频率，真正分集式接收,有效避免断频现象和延长接收距离，频率范围≥640-690MHz；</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4、具有红外对频功能，能方便、快捷的使发射机与接收机频率同步；</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5、超强的抗干扰能力，能有效抑制由外部带来的噪音干扰及同频干扰；</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6、接收机背面设置≥4条橡胶接收天线，增强接收的信号，外观大方得体；</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7、具有≥2路XLR平衡输出，≥1路混合非平衡输出，适合连接各种外置设备；</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8、使用距离：空旷环境≥80-100米，复杂环境≥50-80米；</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9、含1台接收主机和2个无线手持话筒；</w:t>
            </w:r>
            <w:r/>
          </w:p>
        </w:tc>
      </w:tr>
      <w:tr>
        <w:trPr>
          <w:trHeight w:val="27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69</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U无线双头戴(一拖二)</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2、采用UHF超高频段双真分集接收，并采用DPLL数字锁相环多信道频率合成技术；</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3、提供各≥200个可调频率，真正分集式接收,有效避免断频现象和延长接收距离，频率范围≥640-690MHz；</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4、具有红外对频功能，能方便、快捷的使发射机与接收机频率同步；</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5、超强的抗干扰能力，能有效抑制由外部带来的噪音干扰及同频干扰；</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6、接收机背面设置≥4条橡胶接收天线，增强接收的信号，外观大方得体；</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7、具有≥2路XLR平衡输出，≥1路混合非平衡输出，适合连接各种外置设备；</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8、使用距离：空旷环境≥80-100米，复杂环境≥50-80米；</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9、含1台接收主机和2个无线头戴话筒；</w:t>
            </w:r>
            <w:r/>
          </w:p>
        </w:tc>
      </w:tr>
      <w:tr>
        <w:trPr>
          <w:trHeight w:val="685"/>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70</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指向性天线</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2、提供使用4-8台UHF无线系列或其他系列各种自动选讯接收机的多频道系統，共用一对天线，以简化天线装配工程，提升接收距离及效能；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3、天线输入接座具有供应强波器的电源，可直接连接具有天线强波器的延长天线组及内建强波器的数对定向天线组；</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4、具有≥8路DC12V/0.6-1A电源输出口，最多可以给≥8台话筒接收机供电，面板具有≥8路电源输出指示灯；</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5、具有≥16路BNC话筒天线输入接口，≥2路BNC天线输出接口接话筒天线；</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6、≥2块高清LCD显示屏，分别显示A、B路的分配器号数、分配器增益、上锁状态等；</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7、含1台天线分配器和2只话筒指向性天线翼；</w:t>
            </w:r>
            <w:r/>
          </w:p>
        </w:tc>
      </w:tr>
      <w:tr>
        <w:trPr>
          <w:trHeight w:val="36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71</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48V演讲合唱话筒</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2、采用细长杆及旋转音头≥120度的结构外型，拾音能力强、低噪声、低失真、超心型指向性，平衡输出；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3、适合于合唱团、演讲及报告厅等场合,外观精致，可以上下调整，方便实用；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4、换能方式：电容式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5、向特性：超心型单一指向</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6、频率响应：≥80Hz-20kHz</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7、输出阻抗：200Ω</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8、灵敏度：≥-30dB</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9、信噪比：≥65dB</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10、供电电压：幻象48V</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11、线材配置：≥10米卡龙公母音频线</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12、安装方式：落地式</w:t>
            </w:r>
            <w:r/>
          </w:p>
        </w:tc>
      </w:tr>
      <w:tr>
        <w:trPr>
          <w:trHeight w:val="48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72</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20路数字调音台</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2、具有≥10英寸电容触摸屏，≥1024*600分辨率，支持简体中文、繁体中文、英文切换，可以实时显示各种参数，以及进行各种操作</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3、内置USB录音、放音功能，可以播放APE、FLAC、MP3、WAV无损音频格式，USB播放器可以识别中文歌曲名。</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4、具有≥10个100毫米电动推子</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5、每个输入通道具有≥4段参数均衡、噪声门、高低通、压缩、反相。</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6、每个输出通道具有≥7段参数均衡、高低通、压缩、反相。</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7、内置≥20个通道独立的压限器。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8、内置双效果器模块，支持≥2*16种效果</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9、支持≥12场景预设功能，可导出、导入，便于数据备份。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10、输入≥16CH(话筒XLR+线路TRS)输入+≥4路TRS立体声线路输入+≥1路FOOTSW输入+≥1路SPDIF同轴数字信号输入接口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11、输出≥2组立体声（L/R）主输出+8AUX+≥1路TRS耳机监听输出+≥1路USB REC录音输出+≥1路AES数字输出+≥1路SPDIF同轴数字信号输出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12、WIFI天线接口≥1路</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13、光纤输入接口≥1路</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14、USB接口≥前置1路，MP3播放器；后置≥1路，接入PC可以进行软件操作</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15、网线接口≥1路RJ45，电脑经此接口经同一网关通过软件可控制机器。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16、USB LAMP≥1路工作灯的供电插口</w:t>
            </w:r>
            <w:r/>
          </w:p>
        </w:tc>
      </w:tr>
      <w:tr>
        <w:trPr>
          <w:trHeight w:val="54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73</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音频处理器2</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2、≥16路平衡式话筒\线路输入，≥16路平衡式音频输出，采用凤凰插接口；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3、内置USB声卡，支持音乐播放、录制和软视频会议；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4、输入通道具有不低于增益共享自动混音、拓展器、滤波器、压缩器、信号发生器、自动增益、8段参量均衡、AFC(反馈抑制)、ANS(噪声抑制)等调节；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5、输出通道具有不低于高低通、8段参量均衡、延时器、滤波器、限幅器等调节；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6、具有自定义的用户操作界面，实现多台设备集中控制；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7、每个输入通道具有≥8个点的自适应反馈抑制；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8、每个输入通道具有幻象电源、反相、静音开关控制；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9、独立通道的AFC（反馈抑制），采用陷波式算法，传声增益提升幅度：10dB；</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10、AFC(反馈抑制)具有≥5个等级选择；</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11、信号发生器具有不低于正弦波、白噪声、粉红噪声选择；</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12、具有不低于Parametric,Lowshelf,Highshelf,Lowpass,Highpass等5种滤波器选择；</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13、具有全功能矩阵混音功能，输入混音电平可调节；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14、具有≥16组预设，每个预设独立工作；</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15、支持通道拷贝、LINK和分组功能；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16、支持R232＆UDP中控，UDP端口可自由设定，可查看控制软件代码；</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17、具有多种控制方式，可通过电脑、手机、平板、按键面板、触摸面板等方式管理；</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18、软件可以查看输入和输出的电平信号大小；</w:t>
            </w:r>
            <w:r/>
          </w:p>
        </w:tc>
      </w:tr>
      <w:tr>
        <w:trPr>
          <w:trHeight w:val="77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74</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高效抑制处理器2</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2、有效抑制话筒啸叫，消除反馈于未然，一键式操作模式，简单好用；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自适应全频带反馈抑制功能(AFC)，高效处理高清语音环境中的声反馈问题，对于高灵敏度、全指向型、锐心形、超心形等话筒有显著的抑制啸叫功能，提升灵敏度高、声音通透干净无压缩感，传声增益提升幅度≥9-18dB；</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4、采用非传统反馈处理技术的自适应房间反馈预测消除数字处理，实现反馈一键操作，无需复杂调试；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5、接口丰富，支持高低电平的输入和输出，卡侬XLR-3与大三芯1/4”TRS直插兼顾，可灵活应用，输入带48V幻象；</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6、平衡和非平衡两种输出方式，输出大小连续可调，输出有总的信号指示灯和峰值指示灯，调试方便；</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7、输入接口：≥2路卡侬XLR平衡输入（支持幻象48V供电）、≥2路6.35mm大二芯非平衡输入；</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9、、输出接口：≥1路卡侬XLR平衡输出，≥1路6.35mm大二芯非平衡输出；</w:t>
            </w:r>
            <w:r/>
          </w:p>
        </w:tc>
      </w:tr>
      <w:tr>
        <w:trPr>
          <w:trHeight w:val="3436"/>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75</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环绕音箱</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lang w:bidi="ar"/>
              </w:rPr>
            </w:pPr>
            <w:r>
              <w:rPr>
                <w:rFonts w:hint="eastAsia" w:ascii="宋体" w:hAnsi="宋体" w:cs="宋体"/>
                <w:i/>
                <w:iCs/>
                <w:color w:val="000000"/>
                <w:sz w:val="24"/>
                <w:szCs w:val="24"/>
                <w:u w:val="single"/>
                <w:lang w:bidi="ar"/>
              </w:rPr>
              <w:t xml:space="preserve">安装调试服务：针对此次配置的软件和硬件，必须提供原厂商现场软硬件安装调试；</w:t>
            </w:r>
            <w:r/>
          </w:p>
          <w:p>
            <w:pPr>
              <w:jc w:val="left"/>
              <w:widowControl/>
              <w:rPr>
                <w:rFonts w:hint="eastAsia" w:ascii="宋体" w:hAnsi="宋体" w:cs="宋体"/>
                <w:i/>
                <w:iCs/>
                <w:color w:val="000000"/>
                <w:sz w:val="24"/>
                <w:szCs w:val="24"/>
                <w:u w:val="single"/>
                <w:lang w:bidi="ar"/>
              </w:rPr>
            </w:pPr>
            <w:r>
              <w:rPr>
                <w:rFonts w:hint="eastAsia" w:ascii="宋体" w:hAnsi="宋体" w:cs="宋体"/>
                <w:i/>
                <w:iCs/>
                <w:color w:val="000000"/>
                <w:sz w:val="24"/>
                <w:szCs w:val="24"/>
                <w:u w:val="single"/>
                <w:lang w:bidi="ar"/>
              </w:rPr>
              <w:t xml:space="preserve">阻抗：4Ω，额定功率≥600W，峰值功率≥2000W；频响≥35Hz-20KHz；灵敏度（1W/1m）≥115dB；最大声压级≥138dB；覆盖角度：(H)≥80°(V)≥80°；</w:t>
            </w:r>
            <w:r/>
          </w:p>
          <w:p>
            <w:pPr>
              <w:jc w:val="left"/>
              <w:widowControl/>
              <w:rPr>
                <w:rFonts w:hint="eastAsia" w:ascii="宋体" w:hAnsi="宋体" w:cs="宋体"/>
                <w:i/>
                <w:iCs/>
                <w:color w:val="000000"/>
                <w:sz w:val="24"/>
                <w:szCs w:val="24"/>
                <w:u w:val="single"/>
                <w:lang w:bidi="ar"/>
              </w:rPr>
            </w:pPr>
            <w:r>
              <w:rPr>
                <w:rFonts w:hint="eastAsia" w:ascii="宋体" w:hAnsi="宋体" w:cs="宋体"/>
                <w:i/>
                <w:iCs/>
                <w:color w:val="000000"/>
                <w:sz w:val="24"/>
                <w:szCs w:val="24"/>
                <w:u w:val="single"/>
                <w:lang w:bidi="ar"/>
              </w:rPr>
              <w:t xml:space="preserve">中高频部分采用180°全指向声学透镜转换技术，精确的设计使得各频段完美结合，在任何频率上总体的波阵面连贯性理想匹配，使得整个声场范围内由近及远都是相同音质的声音；</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类型：三分频点声源同轴全频音箱；</w:t>
            </w:r>
            <w:r/>
          </w:p>
          <w:p>
            <w:pPr>
              <w:jc w:val="left"/>
              <w:widowControl/>
              <w:rPr>
                <w:rFonts w:hint="eastAsia" w:ascii="宋体" w:hAnsi="宋体" w:cs="宋体"/>
                <w:color w:val="000000"/>
                <w:sz w:val="24"/>
                <w:szCs w:val="24"/>
              </w:rPr>
            </w:pPr>
            <w:r>
              <w:rPr>
                <w:rFonts w:hint="eastAsia" w:ascii="宋体" w:hAnsi="宋体" w:cs="宋体"/>
                <w:sz w:val="24"/>
                <w:szCs w:val="24"/>
              </w:rPr>
              <w:t xml:space="preserve">◆1</w:t>
            </w:r>
            <w:r>
              <w:rPr>
                <w:rFonts w:hint="eastAsia" w:ascii="宋体" w:hAnsi="宋体" w:cs="宋体"/>
                <w:color w:val="000000"/>
                <w:sz w:val="24"/>
                <w:szCs w:val="24"/>
                <w:lang w:bidi="ar"/>
              </w:rPr>
              <w:t xml:space="preserve">、采用≥1只12寸高效率低音单元,≥1只13寸高效率中音单元,≥1只44芯钕磁高音单元组成；</w:t>
            </w:r>
            <w:r/>
          </w:p>
        </w:tc>
      </w:tr>
      <w:tr>
        <w:trPr>
          <w:trHeight w:val="21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76</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环绕音箱功放</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2、设备采用≤1U机箱设计，具有体积小、重量轻等特点；</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3、采用最新Class-D类功放设计方案，具有失真小、效率高等特点；</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4、采用功率智能恒定技术，当功放连接负载低于额定范围时，输出功率智能控制，不会继续增大，恒定在安全可靠的工作范围,使功放稳定性大为提高；</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5、具有直流、短路、过热、过载、欠压等保护功能；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6、输出功率：立体声功率8Ω≥600W*2，立体声功率4Ω≥900W*2；</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7、具有≥2路XLR卡侬母接口、≥2路XLR卡侬公接口、≥2路欧姆接口/接线柱、≥2路网口；</w:t>
            </w:r>
            <w:r/>
          </w:p>
        </w:tc>
      </w:tr>
      <w:tr>
        <w:trPr>
          <w:trHeight w:val="30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77</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返听音箱</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2、采用≥1只10寸低音喇叭单元和≥1只1.44寸高音单元；</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3、楔形箱体结构设计，扬声器拥有不低于30°和60°两个固定角度，可以满足长、短距离的不同舞台监听要求；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4、阻抗：8Ω；</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5、频率响应≥80Hz-19KHz；</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6、额定功率≥300W；</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7、峰值功率≥1200W；</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8、灵敏度（1W/1m）≥95dB；</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9、最大声压级≥112dB；</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10、覆盖角度：(H)≥90°(V)≥90°；</w:t>
            </w:r>
            <w:r/>
          </w:p>
        </w:tc>
      </w:tr>
      <w:tr>
        <w:trPr>
          <w:trHeight w:val="60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78</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返听音箱功放</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lang w:bidi="ar"/>
              </w:rPr>
            </w:pPr>
            <w:r>
              <w:rPr>
                <w:rFonts w:hint="eastAsia" w:ascii="宋体" w:hAnsi="宋体" w:cs="宋体"/>
                <w:i/>
                <w:iCs/>
                <w:color w:val="000000"/>
                <w:sz w:val="24"/>
                <w:szCs w:val="24"/>
                <w:u w:val="single"/>
                <w:lang w:bidi="ar"/>
              </w:rPr>
              <w:t xml:space="preserve">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采用铝合金拉丝面板设计；音频接口：2路XLR平衡信号输入、2路XLR级联接口；输出接口：2路欧姆接口和2组接线端子；网络接口：2路RJ45接口；频率响应：20Hz-20kHz:＋0.1/0.3dB(1W/8Ω)；总谐波失真：0.05%；阻尼系数：300:1</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采用2级H类技术功放的音色还原度达到高保真,声音基本不会受到电路运行而产生失真；</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支持远程控制接口，支持物联网接口，支持被动式检测连接，支持本地智能切换，支持网络交换联机理论值多台，支持互联网信号输入。</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支持远程协议检测功能，能检测输入信号故障、电源故障、过热故障、工作状态等内容</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采用性能优异的功率管,整机的动态响应和音色表现出色；</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具有过热、过载、短路、高频过载输出直流削波限节以及熔断等保护功能；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采用音频专用环形变压器,提供远超额定功率的功率储备；</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具有立体声、并联、桥接三种模式选择；</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支持当1台主功放工作出现问题时，探测感知处理系统发现并通知1次应急处理系统立即无感知切换至1台备用A功放工作</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支持当备用A功放工作也出现问题时，探测感知处理系统发现并通知2次应急处理系统立即无感知切换至另1台备用B功放工作，是由自调节切换系统组织调整</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具备通过网口接收音源信号，兼容多种格式音源传送。</w:t>
            </w:r>
            <w:r/>
          </w:p>
          <w:p>
            <w:r>
              <w:rPr>
                <w:rFonts w:hint="eastAsia" w:ascii="宋体" w:hAnsi="宋体" w:cs="宋体"/>
                <w:color w:val="000000"/>
                <w:sz w:val="24"/>
                <w:szCs w:val="24"/>
                <w:lang w:bidi="ar"/>
              </w:rPr>
              <w:t xml:space="preserve">▲1、支持最多1～6台智能功放联机智能保障终端</w:t>
            </w:r>
            <w:r>
              <w:rPr>
                <w:rFonts w:hint="eastAsia" w:ascii="宋体" w:hAnsi="宋体" w:cs="宋体"/>
                <w:b/>
                <w:bCs/>
                <w:color w:val="000000"/>
                <w:sz w:val="24"/>
                <w:szCs w:val="24"/>
                <w:lang w:bidi="ar"/>
              </w:rPr>
              <w:t xml:space="preserve">（投标时须在响应文件中提供第三方检测机构出具的合格的检验报告或功能截图等相关证明材料)</w:t>
            </w:r>
            <w:r/>
          </w:p>
        </w:tc>
      </w:tr>
      <w:tr>
        <w:trPr>
          <w:trHeight w:val="544"/>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79</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IP网络有源音箱2（备份）</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标配≥1个10/100MRJ45网络交换机接口，支持局域网与广域网；设备采用工业级双核处理芯片（ARM+DSP），启动时间小于1s；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内置网络IP解码模块可实时播网络音乐及呼叫功能；采集播放和呼叫功的网络延时时间小于30ms；≥2路话筒输入，≥2路线路输入，≥1路辅助输出，每路都设有独立音量调节；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设有≥3级优先功能，MIC1设为最高优先级，网络为第二级优先，MIC2、AUX1、AUX2为第三级优先；≥1路短路输入，≥1路路短路输出接口，便于用户扩展；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可拓展≥1路DC24V强切电源备用接口；支持被动结束呼叫，可实现双方互相通话，通话延时时间小于30ms；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10、设有单向点播功能，可通过终端软件、对本终端自由点播终端中节目；自带≥1路功率放大器，输出方式为100V、70V、4~16Ω，输出功率为≥240W；</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1、控制电源采用节能环保模式设计，可手动或自动模式打开与关闭；设有功放接通电源指示灯、功放保护指示灯、功放工作信号及消峰指示灯，对功放的工作状态一目了然；采用先进高效功率放大电路，并设有过载、过温等多种保护</w:t>
            </w:r>
            <w:r/>
          </w:p>
        </w:tc>
      </w:tr>
      <w:tr>
        <w:trPr>
          <w:trHeight w:val="30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80</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IP网络有源音箱</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2、标配≥1个10/100MRJ45网络交换机接口，支持局域网与广域网；</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3、设备采用工业级双核处理芯片（ARM+DSP），启动时间小于1s；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4、内置网络IP解码模块可实时播网络音乐及呼叫功能；采集播放和呼叫功的网络延时时间小于30ms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5、内置≥2×20W数字功放，发热小功效更高，CD级完美音质；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6、内置≥5寸低音+≥2寸高音高保真喇叭单元，音质清晰优美；</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7、≥1路话筒输入，≥1路线路输入，分别设有独立音量调节，适用现场本地扩音广播功能；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8、具有优先功能，网络报警为最高优先级，本地MIC和AUX是同等级别；</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9、采用壁挂式一体化音箱设计，精致美观，工艺考究，尽显高档品质；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10、包含1只主音箱与1只副音箱</w:t>
            </w:r>
            <w:r/>
          </w:p>
        </w:tc>
      </w:tr>
      <w:tr>
        <w:trPr>
          <w:trHeight w:val="12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81</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网络终端音量控制器模块</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1、音量控制器采用485串口通信，</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2、可与IP网络有源音箱、IP网络终端等设备通讯，</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3、可以调节对应终端网络音频的音量大小。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4、尺寸≥86mm，采用标准86底盒安装</w:t>
            </w:r>
            <w:r/>
          </w:p>
        </w:tc>
      </w:tr>
      <w:tr>
        <w:trPr>
          <w:trHeight w:val="9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82</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真分集无线话筒</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2、采用真分集接收技术，CPU自动选择最优接收单元保证接收到稳定信号预防断频；</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3、每个通道有≥100个频点可调，可跟无线接收机进行红外对频，同时也支持无线对频，频率同频技术无需对准发射机可轻松实现对频；</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4、采用≥1.8寸TFT彩色显示屏，2个通道频道号，频率，电量，音量，音频电平一目了然；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5、内置啸叫抑制功能，可根据需要开启或关闭；</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6、内置≥4种EQ模式，用户模式可以自由灵活调节≥13段EQ增益，适配更多场合使用；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7、采用动态随机ID，杜绝串频，接收机只接收最后一次对频的发射机；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8、预置多组规避干扰的频率，有效提高多套同时使用的安装效率；</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9、超强抗干扰能力，能有效抑制由外部带来的噪音干扰及同频干扰；</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10、具有≥2路XLR平衡输出同时具有≥2路拓展XLR平衡输出，≥1路混合非平衡输出，适合连接各种外置设备；</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11、为了避免机柜影响话筒的接收信号，配带≥4个吸盘天线，可以将天线放置在机柜外面；</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12、含1台接收机和1只无线手持话筒和1只无线头戴话筒</w:t>
            </w:r>
            <w:r/>
          </w:p>
        </w:tc>
      </w:tr>
      <w:tr>
        <w:trPr>
          <w:trHeight w:val="24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83</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6路调音台</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2、专业型紧凑式调音台,超低噪声离散式麦克风前置放大器和+48V幻象电源，功能强大齐全，音质动听；</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3、≥6路XLR平衡式话筒输入，话筒输入接口带48V幻象电源，可以一键控制所有幻象电源开关；</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4、≥1路AUX外接与返回+立体声录音输出与返回；</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5、内置方便可调的DELAY和REPEAT效果器；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6、内置多功能蓝牙MP3播放器（自带蓝牙互传歌曲功能,FM自动选频收音机功能），信号大小由主控独立旋钮控制；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7、分路真≥3段美式EQ，带显示哑音选择开关，另设有监听功能；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8、输出通道：≥4路主输出，≥1路辅助输出，≥1路效果输出，≥1路监听输出；</w:t>
            </w:r>
            <w:r/>
          </w:p>
        </w:tc>
      </w:tr>
      <w:tr>
        <w:trPr>
          <w:trHeight w:val="2825"/>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84</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音频处理器3</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2、网络音频终端，支持AES67网络音频协议，可选择28*128路、256*256路、512*512路、1024*1024路AES67网络通道能力;</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3、支持平衡式话筒\线路输入，平衡式音频输出，采用凤凰插接口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4、具备图示均衡、延时、压缩器、峰值限幅器、分频、噪声门、AGC(自动增益)、混音器（增益共享、门限式混音）、路由矩阵等模块</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5、具备最大≥1000个独立反馈抑制器（FEB移频）;</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6、具备最大≥150个独立回声消除（AEC）</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7、支持≥16组（32个）GPIO，自定义输入输出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8、支持≥8x8 USB Audio通道</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9、用户操作界面可在Windows、麒麟等操作系统上运行;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10、支持离线编辑,用户可离线设计此平台的音频处理流程、系统音频网络管理流程，并可仿真运行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11、最大矩阵混音:1024*1024，最大≥16组自动混音器，自动混音每组最大64路，支持增益共享/门限式混音</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12、平台采用开放式架构，可自定义选择音频信号处理的流程，可为每个通道配置信号处理模块；</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13、平台支持通过网络接入网络麦克风、网络处理器、网络音箱、网络模块、网络转接器、网络音频工作站、网络数字功放、网络调音台等设备的音频信号，并统一管控；</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14、平台软件界面具有设备路由、网络信息、设备信息、设备电平、离线设计等功能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15、具有设备路由功能，支持对音频信号的路径进行规划、分配、切换和管理，确保信号能按需求在输入源、处理模块、输出目标之间高效流转</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16、支持添加、管理8种设备类型，包括麦克风、处理器、音箱、网络模块、网络转接器、音频工作站、数字功放、调音台等</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 17、PTp Dscp支持≥63级优先级选择，精确的时间校准，保障音频处理的时序准确性，避免因时间偏差导致的音频相位错误、声音延迟不一致等问题</w:t>
            </w:r>
            <w:r>
              <w:rPr>
                <w:rFonts w:hint="eastAsia" w:ascii="宋体" w:hAnsi="宋体" w:cs="宋体"/>
                <w:b/>
                <w:bCs/>
                <w:color w:val="000000"/>
                <w:sz w:val="24"/>
                <w:szCs w:val="24"/>
                <w:lang w:bidi="ar"/>
              </w:rPr>
              <w:t xml:space="preserve">（投标时须在响应文件中提供第三方检测机构出具的合格的检验报告或功能截图等相关证明材料）</w:t>
            </w:r>
            <w:r>
              <w:rPr>
                <w:rFonts w:hint="eastAsia" w:ascii="宋体" w:hAnsi="宋体" w:cs="宋体"/>
                <w:color w:val="000000"/>
                <w:sz w:val="24"/>
                <w:szCs w:val="24"/>
                <w:lang w:bidi="ar"/>
              </w:rPr>
              <w:br/>
            </w:r>
            <w:r>
              <w:rPr>
                <w:rFonts w:hint="eastAsia" w:ascii="宋体" w:hAnsi="宋体" w:cs="宋体"/>
                <w:i/>
                <w:iCs/>
                <w:color w:val="000000"/>
                <w:sz w:val="24"/>
                <w:szCs w:val="24"/>
                <w:u w:val="single"/>
                <w:lang w:bidi="ar"/>
              </w:rPr>
              <w:t xml:space="preserve">18、流 Dscp支持≥63级优先级选择，可对不同数据流的DSCP优先级进行精细调控，优先级设为较高时，让网络设备优先处理这类数据包，保障带宽资源优先分配，减少延迟与抖动；优先级设为较低时，让位于高优先级的实时音频流，避免抢占带宽影响效果</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19、支持≥20组程式存储，自带1组系统默认程式，支持保存程式、加载程式、删除程式、导出到PC、从PC导入、全部导出到PC、全部从PC导入等操作</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20、支持音频信号流程图，支持输入输出任意位置自定义添加回声消除、自动混音、均衡、延时、压缩器、反馈抑制、高通、低通、FIR、限幅器、扩展器、噪声门、信号发生器、闪避等模块</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21、均衡器具有≥16段可选，FIR滤波器支持≥6种类型可选</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22、自动混音支持前置静音、后置静音、信号处理后、信号处理前、10级优先级选择；</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23、高低通滤波器具有Butwrth 6、Butwrth 12、Bessel12、Lnk-Ril12、Butwrth 24、Bessel24、Lnk-Ril 24、Butwrth 36、Bessel 36、Lnk-Ril 36、Butwrth 32、Bessel 48、Lnk-Ril 48等13种类型选择。</w:t>
            </w:r>
            <w:r/>
          </w:p>
        </w:tc>
      </w:tr>
      <w:tr>
        <w:trPr>
          <w:trHeight w:val="30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85</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音箱1</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2、采用≥1只6.5寸低音喇叭单元和≥1只1.4寸压缩驱动高音单元；</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3、二分频设计，低频更加饱满，声音更加丰富；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4、阻抗：8Ω；</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5、频响≥80Hz-19KHz；</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6、额定功率≥120W；</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7、峰值功率≥480W；</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8、灵敏度（1W/1m）≥90dB；</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9、最大声压级≥118dB；</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10、覆盖角度：(H)≥80°(V)≥50°；</w:t>
            </w:r>
            <w:r/>
          </w:p>
        </w:tc>
      </w:tr>
      <w:tr>
        <w:trPr>
          <w:trHeight w:val="75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86</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功放1</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2、内置数字功放，同时支持定压定阻输出：100V、70V、8欧、4欧输出。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3、支持&gt;2*300W@8Ω，&gt;2*500W@4Ω，可桥接成&gt;1000W@8Ω或定压100V-1000W输出，可通过软件或显示屏自由切换。</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4、全面支持网络TCP/IP控制，可通过wifi可以连接软件，实现多台设备管理，简单便捷。</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5、远程开关机控制，节省时间，方便控制。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6、采用彩色液晶显示屏设置DSP功能，分辨率240x240像素。</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7、具有电平检测、输入源、输入灵敏度、音量显示、存档预设、通道静音、功放温度、功放模式等功能。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8、内置DSP数字处理器，输入15段均衡，输出10段均衡，满足不同的需求。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9、支持多种联机方式，支持USB、TCP/IP、RS232、RS485等。</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10、可实时远程监控功放工作状态，包括温度、功率、电压、电流。</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11、可通过软件识别功放，点击软件端呼叫按钮，可使对应功放显示屏和状态灯同时闪烁，可快速从“功放群组”里，找到您所需设置的功放。</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12、支持平衡XLR输入与非平衡RCA输入，具有2路RCA输入口，2路XLR输入口；支持2路平衡XLR音频输出口。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13、</w:t>
            </w:r>
            <w:r>
              <w:rPr>
                <w:rFonts w:hint="eastAsia" w:ascii="宋体" w:hAnsi="宋体" w:cs="宋体"/>
                <w:i/>
                <w:iCs/>
                <w:color w:val="000000"/>
                <w:sz w:val="24"/>
                <w:szCs w:val="24"/>
                <w:u w:val="single"/>
                <w:lang w:val="en-US" w:eastAsia="zh-CN" w:bidi="ar"/>
              </w:rPr>
              <w:t xml:space="preserve">不低于：</w:t>
            </w:r>
            <w:r>
              <w:rPr>
                <w:rFonts w:hint="eastAsia" w:ascii="宋体" w:hAnsi="宋体" w:cs="宋体"/>
                <w:i/>
                <w:iCs/>
                <w:color w:val="000000"/>
                <w:sz w:val="24"/>
                <w:szCs w:val="24"/>
                <w:u w:val="single"/>
                <w:lang w:bidi="ar"/>
              </w:rPr>
              <w:t xml:space="preserve">具有2路定阻4-8欧功放输出口，1路定压100V/70V输出口。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14、支持软件或彩液晶屏设置输入灵敏度，两档可调0dBu/6dBu。</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15、支持软件设定精确地设定任何不超过300W的输出功率值，保护音响系统安全工作，适应更多的音响系统。</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16、采用48KHz采样频率，32-bitDSP处理器，24-bitA/D及D/A转换。</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17、具有2*2 DSP矩阵、输入噪声门、分频、输出延时、输出压缩器、输出限幅器等功能。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18、远程控制:远程开机、待机、DSP监控。</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19、</w:t>
            </w:r>
            <w:r>
              <w:rPr>
                <w:rFonts w:hint="eastAsia" w:ascii="宋体" w:hAnsi="宋体" w:cs="宋体"/>
                <w:i/>
                <w:iCs/>
                <w:color w:val="000000"/>
                <w:sz w:val="24"/>
                <w:szCs w:val="24"/>
                <w:u w:val="single"/>
                <w:lang w:val="en-US" w:eastAsia="zh-CN" w:bidi="ar"/>
              </w:rPr>
              <w:t xml:space="preserve">不低于：</w:t>
            </w:r>
            <w:r>
              <w:rPr>
                <w:rFonts w:hint="eastAsia" w:ascii="宋体" w:hAnsi="宋体" w:cs="宋体"/>
                <w:i/>
                <w:iCs/>
                <w:color w:val="000000"/>
                <w:sz w:val="24"/>
                <w:szCs w:val="24"/>
                <w:u w:val="single"/>
                <w:lang w:bidi="ar"/>
              </w:rPr>
              <w:t xml:space="preserve">DSP预设：30个预设位置。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20、输入输出音量：静音、相位、电平检测。</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21、设有高温保护、直流保护、高频保护、短路保护、电源过压/欠压保护、电源断路器保护，支持软件设定音频限制器、反电动势、峰值电流限幅器、浪涌电流限幅器、开机延时。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22、频响：20Hz~20kHz(±0.5dB)@1W，8Ω</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23、THD+N：&lt;0.1%@1W</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24、信噪比：&gt;99dB</w:t>
            </w:r>
            <w:r/>
          </w:p>
        </w:tc>
      </w:tr>
      <w:tr>
        <w:trPr>
          <w:trHeight w:val="6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87</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音频隔离器</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w:t>
            </w:r>
            <w:r>
              <w:rPr>
                <w:rFonts w:hint="eastAsia" w:ascii="宋体" w:hAnsi="宋体" w:cs="宋体"/>
                <w:i/>
                <w:iCs/>
                <w:color w:val="000000"/>
                <w:sz w:val="24"/>
                <w:szCs w:val="24"/>
                <w:u w:val="single"/>
                <w:lang w:val="en-US" w:eastAsia="zh-CN" w:bidi="ar"/>
              </w:rPr>
              <w:t xml:space="preserve">不低于：</w:t>
            </w:r>
            <w:r>
              <w:rPr>
                <w:rFonts w:hint="eastAsia" w:ascii="宋体" w:hAnsi="宋体" w:cs="宋体"/>
                <w:i/>
                <w:iCs/>
                <w:color w:val="000000"/>
                <w:sz w:val="24"/>
                <w:szCs w:val="24"/>
                <w:u w:val="single"/>
                <w:lang w:bidi="ar"/>
              </w:rPr>
              <w:t xml:space="preserve">具备2路输入、2路输出，工业标准接线端子</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2、隔离静噪抗干扰器，消除“嗡”音和“嗞”音超大电流声</w:t>
            </w:r>
            <w:r/>
          </w:p>
        </w:tc>
      </w:tr>
      <w:tr>
        <w:trPr>
          <w:trHeight w:val="18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88</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室外防水音柱</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2、4寸防水音柱,带高音≥4"×4,≥2.5"×1</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3、电压：100V</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4、功率≥45W</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5、灵敏度(1W/1m）≥92dB</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6、外观颜色：白色</w:t>
            </w:r>
            <w:r/>
          </w:p>
        </w:tc>
      </w:tr>
      <w:tr>
        <w:trPr>
          <w:trHeight w:val="12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89</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信号线2</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1、额定电压 300/500V；</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2、无氧铜导体；</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3、RVV-2×2.5mm²；</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4、符合GB/T 5023、JB/T8734标准</w:t>
            </w:r>
            <w:r/>
          </w:p>
        </w:tc>
      </w:tr>
      <w:tr>
        <w:trPr>
          <w:trHeight w:val="36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90</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无线手持话筒</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2、采用真分集接收技术，CPU自动选择最优接收单元保证接收到稳定信号预防断频；</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3、每个通道有≥100个频点可调，可跟无线接收机进行红外对频，同时也支持无线对频，频率同频技术无需对准发射机可轻松实现对频；</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4、采用≥1.8寸TFT彩色显示屏，2个通道频道号，频率，电量，音量，音频电平一目了然；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5、内置啸叫抑制功能，可根据需要开启或关闭；</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6、内置≥4种EQ模式，用户模式可以自由灵活调节≥13段EQ增益，适配更多场合使用；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7、采用动态随机ID，杜绝串频，接收机只接收最后一次对频的发射机；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8、预置多组规避干扰的频率，有效提高多套同时使用的安装效率；</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9、超强抗干扰能力，能有效抑制由外部带来的噪音干扰及同频干扰；</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10、具有≥2路XLR平衡输出同时具有≥2路拓展XLR平衡输出，≥1路混合非平衡输出，适合连接各种外置设备；</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11、为了避免机柜影响话筒的接收信号，配带≥4个吸盘天线，可以将天线放置在机柜外面；</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12、含1台接收机和2只无线手持话筒；</w:t>
            </w:r>
            <w:r/>
          </w:p>
        </w:tc>
      </w:tr>
      <w:tr>
        <w:trPr>
          <w:trHeight w:val="48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91</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16路数字调音台</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2、采用≥7寸电容触摸屏≥1024x600分辨率，支持显示电平表、PEQ、Limiter、USB录音放音、场景存储、系统设置等</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3、具有≥9个100mm电动推子，≥1个LR主声道推子、≥8个通道推子以及≥3个推子层，可实现方便快速切换</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4、USB播放器可以识别中文歌曲名，可以播放APE、FLAC、MP3、WAV无损音频格式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5、≥8个推子编组、≥3个用户自定义按键、≥1个快速静音组按键、≥2个DCA</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6、内置≥8个通道独立的反馈抑制器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7、支持≥8个终端同时控制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8、内置≥1个效果器模块，FX音效可使用专用的返回通道返回到混音，不占用单声道和立体声输入通道</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9、每个输入通道具有≥4段参数均衡、噪声门、反馈抑制器、高低通、压缩、反相</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10、每个输出通道具有≥8段参数均衡、高低通、压缩、反相</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11、支持≥100组场景预设功能，可导出、导入USB存储器，便于数据备份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12、支持≥32个PEQ模式存储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13、具有面板锁定按键，防止误操作</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14、支持iPad触摸屏全功能控制，实时数据同步</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15、模拟输入：≥12CH(话筒XLR+线路TRS)输入+≥4路Line输入+≥1路USB录音</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16、模拟输出：≥2路立体声（L/R）主输出+≥4BUS+≥1路Headphone(L/R)耳机监听输出+≥2路MONITOR（L/R）监听输出</w:t>
            </w:r>
            <w:r/>
          </w:p>
        </w:tc>
      </w:tr>
      <w:tr>
        <w:trPr>
          <w:trHeight w:val="3655"/>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92</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音频处理器4</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2、≥8路平衡式话筒\线路输入，≥8路平衡式音频输出，采用凤凰插接口；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3、内置USB声卡，支持音乐播放、录制和软视频会议；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4、输入通道具有不低于增益共享自动混音、拓展器、滤波器、压缩器、信号发生器、自动增益、8段参量均衡、AFC(反馈抑制)、ANS(噪声抑制)等调节；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5、输出通道具有不低于高低通、8段参量均衡、延时器、滤波器、限幅器等调节；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6、具有自定义的用户操作界面，实现多台设备集中控制；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7、每个输入通道具有≥8个点的自适应反馈抑制；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8、每个输入通道具有幻象电源、反相、静音开关控制；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9、独立通道的AFC（反馈抑制），采用陷波式算法，传声增益提升幅度：10dB；</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10、AFC(反馈抑制)具有≥5个等级选择；</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11、信号发生器具有不低于正弦波、白噪声、粉红噪声选择；</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12、具有不低于Parametric,Lowshelf,Highshelf,Lowpass,Highpass等5种滤波器选择；</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13、具有全功能矩阵混音功能，输入混音电平可调节；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14、具有≥16组预设，每个预设独立工作；</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15、支持通道拷贝、LINK和分组功能；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16、支持R232＆UDP中控，UDP端口可自由设定，可查看控制软件代码；</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17、处理器芯片采用ADI架构，40bitDSP浮点运算引擎，提供自由配制软件架构；</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18、具有多种控制方式，可通过电脑、手机、平板、按键面板、触摸面板等方式管理；</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19、软件可以查看输入和输出的电平信号大小；</w:t>
            </w:r>
            <w:r/>
          </w:p>
        </w:tc>
      </w:tr>
      <w:tr>
        <w:trPr>
          <w:trHeight w:val="27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93</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抑制处理器</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2、有效抑制话筒啸叫，消除反馈于未然，一键式操作模式，简单好用；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自适应全频带反馈抑制功能(AFC)，高效处理高清语音环境中的声反馈问题，对于高灵敏度、全指向型、锐心形、超心形等话筒有显著的抑制啸叫功能，提升灵敏度高、声音通透干净无压缩感，传声增益提升幅度≥9-18dB；</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4、采用非传统反馈处理技术的自适应房间反馈预测消除数字处理，实现反馈一键操作，无需复杂调试；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5、接口丰富，支持高低电平的输入和输出，卡侬XLR-3与大三芯1/4”TRS直插兼顾，可灵活应用，输入带48V幻象；</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6、平衡和非平衡两种输出方式，输出大小连续可调，输出有总的信号指示灯和峰值指示灯，调试方便；</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7、输入接口：≥2路卡侬XLR平衡输入（支持幻象48V供电）、≥2路6.35mm大二芯非平衡输入；</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8、输出接口：≥1路卡侬XLR平衡输出，≥1路6.35mm大二芯非平衡输出；</w:t>
            </w:r>
            <w:r/>
          </w:p>
        </w:tc>
      </w:tr>
      <w:tr>
        <w:trPr>
          <w:trHeight w:val="5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94</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会议音箱</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lang w:bidi="ar"/>
              </w:rPr>
            </w:pPr>
            <w:r>
              <w:rPr>
                <w:rFonts w:hint="eastAsia" w:ascii="宋体" w:hAnsi="宋体" w:cs="宋体"/>
                <w:i/>
                <w:iCs/>
                <w:color w:val="000000"/>
                <w:sz w:val="24"/>
                <w:szCs w:val="24"/>
                <w:u w:val="single"/>
                <w:lang w:bidi="ar"/>
              </w:rPr>
              <w:t xml:space="preserve">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采用≥1只10寸低音喇叭单元和≥1只1.4寸压缩驱动高音单元；二分频设计，低频更加饱满，声音更加丰富；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阻抗：8Ω；频响≥65Hz-20KHz；额定功率≥300W；峰值功率≥1200W；灵敏度（1W/1m）≥95dB；最大声压级≥124dB；覆盖角度：(H)≥90°(V)≥40°；</w:t>
            </w:r>
            <w:r/>
          </w:p>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▲1、可以支持背面接线面板特定可控高频声压开关0dB--6dB，根据不同环境需求下进行调节</w:t>
            </w:r>
            <w:r>
              <w:rPr>
                <w:rFonts w:hint="eastAsia" w:ascii="宋体" w:hAnsi="宋体" w:cs="宋体"/>
                <w:b/>
                <w:bCs/>
                <w:color w:val="000000"/>
                <w:sz w:val="24"/>
                <w:szCs w:val="24"/>
                <w:lang w:bidi="ar"/>
              </w:rPr>
              <w:t xml:space="preserve">（投标时须在响应文件中提供第三方检测机构出具的合格的检验报告或功能截图等相关证明材料）</w:t>
            </w:r>
            <w:r/>
          </w:p>
        </w:tc>
      </w:tr>
      <w:tr>
        <w:trPr>
          <w:trHeight w:val="21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95</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数字功放2</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2、具有直流、短路、过热、过载、欠压等保护功能；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3、输出功率：立体声功率8Ω≥600W*2，立体声功率4Ω≥900W*2；</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4、具有≥2路XLR卡侬母接口、≥2路XLR卡侬公接口、≥2路欧姆接口/接线柱、≥2路网口；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5、设备采用≤1U机箱设计，具有体积小、重量轻等特点；</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6、采用最新Class-D类功放设计方案，具有失真小、效率高等特点；</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7、采用功率智能恒定技术，当功放连接负载低于额定范围时，输出功率智能控制，不会继续增大，恒定在安全可靠的工作范围,使功放稳定性大为提高；</w:t>
            </w:r>
            <w:r/>
          </w:p>
        </w:tc>
      </w:tr>
      <w:tr>
        <w:trPr>
          <w:trHeight w:val="36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96</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全数字网络有线会议主机</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2、采用≥1.3英寸OLED显示屏，具备中、英文菜单语言显示选择；</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3、具有断电自动记忆功能，通电后不需再次设置即可使用，并可还原出厂设置；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4、具备声控启动话筒功能及门限级别可调节；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5、具备第三方中控控制可实现：视频跟踪、话筒开与关、切换会议模式等，采用工业RS232通讯协议；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6、内置高、中、低音均衡调节，话筒总音量控制，可统一关闭话筒内置喇叭声音；</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7、所有话筒具备实时显示使用状态，指示灯亮起情况下，话筒即可打开或者申请发言；</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8、具备多路话筒连接口可备份环形连接，≥4路8芯专用会议单元连接端口，≥4路RJ45网线连接口，单机最多可连接≥128只会议系统单元；</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9、具备多路音频输出，可同时连接红外翻译系统、电话耦合器、本地扩声系统、录音设备、远程视频会议等；</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10、可设置与会者限时发言时间15秒～60分钟,量化会议进程,提高会议效率；</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11、不低于8种智能会议发言模式，包含智能限制、先进先出、智能申请、开放模式、限时发言、主席专用、声控启动、自动测试等；</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12、≥1路莲花RCA输入，≥1路卡侬XLR输出，≥1路莲花RCA输出，≥1路大二芯6.35mm输出，≥1路RS232中控控制端口；</w:t>
            </w:r>
            <w:r/>
          </w:p>
        </w:tc>
      </w:tr>
      <w:tr>
        <w:trPr>
          <w:trHeight w:val="39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97</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全数字网络会议主席单元</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2、采用全数字会议技术</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3、采用DSP数字化处理与传输技术，克服长距离传输衰减问题，网线距离≥150米；</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4、话筒杆采用螺旋可拆卸式设计，方便设备运输、储存、安装、及休会期间维护与保管；</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5、采用标准CAT5e作为连接线,RJ45连接头,手拉手连接，方便标准化工程布线安装和后期维护；</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6、话筒杆带有指示灯环，≥1.3寸OLED蓝光广视角，可实时显示当前会议模式、话筒ID号、话筒发言状态、发言计时、发言倒计时；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7、专业高保真、单一高指向性电容咪芯，带声频启动功能，发言距离≥50cm；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8、内置≥2W保真喇叭，打开话筒，扬声器自动静音功能,内置扬声器，旋钮式扬声器音量大小调节，显示当前音量大小；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9、话筒单元由系统主机提供DC24V电源，属于安全范围，话筒支持热插拔,单元之间可接入小型扩展电源，达到单线长距离分段式供电；</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10、话筒单元具备3.5MM监听耳机插孔，可随时调节音量大小，可连接录音设备或监听耳机；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主席单元不受会议模式限制，并可置于任意位置，具全权控制会议秩序的优键功能，可关闭所有打开的代表单元，按住优先键可临时静音代表进行插话发言功能，松手恢复代表原状态；（申请模式下无临时插话功能，申请模式下优先键可短按批准申请发言代表打开，长按优先键可以切断发言中代表单元和申请中单元）</w:t>
            </w:r>
            <w:r/>
          </w:p>
        </w:tc>
      </w:tr>
      <w:tr>
        <w:trPr>
          <w:trHeight w:val="261"/>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98</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全数字网络会议代表单元</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2、采用全数字会议技术</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3、采用DSP数字化处理与传输技术，克服长距离传输衰减问题，网线距离≥150米；</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4、话筒杆采用螺旋可拆卸式设计，方便设备运输、储存、安装、及休会期间维护与保管；</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5、采用标准CAT5e作为连接线,RJ45连接头,手拉手连接，方便标准化工程布线安装和后期维护；</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6、话筒杆带有指示灯环，≥1.3寸OLED蓝光广视角，可实时显示当前会议模式、话筒ID号、话筒发言状态、发言计时、发言倒计时；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7、专业高保真、单一高指向性电容咪芯，带声频启动功能，发言距离≥50cm；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8、内置≥2W保真喇叭，打开话筒，扬声器自动静音功能,内置扬声器，旋钮式扬声器音量大小调节，显示当前音量大小；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9、话筒单元由系统主机提供DC24V电源，属于安全范围，话筒支持热插拔,单元之间可接入小型扩展电源，达到单线长距离分段式供电；</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10、话筒单元具备3.5MM监听耳机插孔，可随时调节音量大小，可连接录音设备或监听耳机</w:t>
            </w:r>
            <w:r/>
          </w:p>
        </w:tc>
      </w:tr>
      <w:tr>
        <w:trPr>
          <w:trHeight w:val="15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99</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20米黑色屏蔽Cat6FTP网线(屏蔽RJ45)</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2、用于控制主机与会议单元或会议单元之间的延长连接；</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3、两端分别为RJ45屏蔽公头；</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4、长度为≥20m，CAT6带屏蔽；</w:t>
            </w:r>
            <w:r/>
          </w:p>
        </w:tc>
      </w:tr>
      <w:tr>
        <w:trPr>
          <w:trHeight w:val="9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100</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会议专用地插</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1、≥2路前端RJ45输入；</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2、≥2路RJ45输出，连接发言单元；</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3、适用于地面安装；</w:t>
            </w:r>
            <w:r/>
          </w:p>
        </w:tc>
      </w:tr>
      <w:tr>
        <w:trPr>
          <w:trHeight w:val="6214"/>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101</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8路高清无缝混插矩阵</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2、矩阵箱体需可配置输入/输出信号卡的模块化矩阵主机，最大可支持≥8x8路的音视频信号切换卡接口，支持热插拔；</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3、采用FPGA架构，内部自建核心运算机制，无内嵌操作系统，支持B\S架构网页控制；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4、总线交换技术，每路信号采用单独通道进行传输，保证所有信号图像的实时显示；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5、倍频倍线技术，对图像信号进行倍线缩放、倍频增强显示；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6、每张板卡含有≥4路信号接口，支持CVBS、YPbPr、VGA、DVI、HDMI、3G/HD/SD-SDI等信号无缝任意输入输出切换传输，兼容HDCP（可手动开启关闭HDCP输出），支持EDID管理和手动EDID学习功能；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7、需支持包含4Kx2K、1920*1200、1080P@50Hz、1080P@30Hz、1080I@60Hz、1080I@30Hz、1366*768、720P@50Hz等分辨率在内的不少于35种分辨率，灵活设置，配合不同的输入输出设备提供最大兼容性；</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8、HDMI信号输入兼容HDCP，支持HDMI内嵌音频传输，有独立外接音频接口可实现输入卡不少于4路音频信号手动加嵌；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9、HDMI信号输出支持HDMI内嵌音频传输，有独立外接音频接口可实现输出卡不少于4路模拟音频信号手动解嵌；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10、在HDMI/DVI模式下需支持内嵌音频传输，支持CVBS(兼容N制式和PAL制式)、YPbPr、VGA、DVI、HDMI信号输入，具有自动倍线功能；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11、在HDMI/DVI模式下需支持内嵌音频传输，支持手动设置CVBS（支持N制式和PAL制式选择）、YPbPr、VGA、DVI、HDMI信号输出；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12、需带SDI环出功能，支持内嵌音频传输，支持SD/3G/HD-SDI信号输入；</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13、VGA信号输入板卡需支持音频同步输入功能，支持CVBS、YPbPr、VGA、RGB信号输入，支持N制式和PAL制式调节；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14、需自动识别N制式和PAL制式，具有自动倍线功能（最高可倍线至1920*1200），具有伴随音频输入可实现音视频同步切换；</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15、需支持手动设置N制式和PAL制式输出和手动关闭开启输出视频对应音频输出功能；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16、HDMI信号输入输出卡最高支持4K信号输入输出，兼容HDCP，支持HDMI内嵌音频传输，有独立外接音频接口可实现输入卡不少于4路音频信号手动加嵌和输出卡不少于4路模拟音频信号手动解嵌；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17、HDBaseT信号输入输出卡可与同样芯片的传输器进行对接传输，具有RS232接口，传输双向RS232控制信号，具有独立外接音频接口可实现输入卡不少于4路音频信号手动加嵌和输出卡不少于4路模拟音频信号手动解嵌，最高支持4K信号输入输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18、支持当前输出通道状态查询功能；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19、支持不少于20个场景保存和调用功能，支持群切功能；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20、具有防静电设计，能有效防止人员触碰放电产生的电击；</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21、控制方式需支持前面板按键、外接控制面板、遥控器、RS-232串行通讯、LAN网络控制等多种控制方式，支持本地和远端（中控&amp;软件）控制方式，并可以根据需要锁定前面板以防误操作；</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22、矩阵主机及信号板卡必须满足长时间无故障满负荷连续工作，连续运行时间不低于7*24小时不断电运行；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23、断电不会丢失参数和功能设置；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24、搭配预监卡可支持输入信号预览；</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25、支持简单画面拼接，不少于4画面拼接，支持输入信号字符叠加</w:t>
            </w:r>
            <w:r/>
          </w:p>
        </w:tc>
      </w:tr>
      <w:tr>
        <w:trPr>
          <w:trHeight w:val="27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102</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4路高清无缝HDMI输入</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2、支持≥4路HDMI-A母接口和3.5mm音频座输入；</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3、支持快速无缝切换，无闪烁，无黑屏；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4、支持断电现场切换记忆保护功能，具有静电保护功能；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5、支持音频为HDMI内嵌音频/外接模拟音频的选择输入；</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6、支持图像参数修正；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7、兼容HDMI1.4b和HDCP1.4标准；</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8、最大分辨率支持≥4Kx2K@30Hz；</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9、支持热插拔，即插即用，极其方便；</w:t>
            </w:r>
            <w:r/>
          </w:p>
        </w:tc>
      </w:tr>
      <w:tr>
        <w:trPr>
          <w:trHeight w:val="47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103</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4路高清无缝HDMI输出</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2、支持≥4路HDMI-A母接口和3.5mm音频座输出；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3、支持快速无缝切换，无闪烁，无黑屏；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4、支持断电现场切换记忆保护功能，具有静电保护功能；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5、支持模拟音频与HDMI内嵌音频同时输出；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6、兼容HDMI1.3a的标准，HDCP1.3协议，DVI1.0协议；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7、支持倍线功能，最大分辨率支持≥1920*1200@60Hz；</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8、支持输出分辨率可调，支持图像参数修改；</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9、支持热插拔，即插即用，极其方便；</w:t>
            </w:r>
            <w:r/>
          </w:p>
        </w:tc>
      </w:tr>
      <w:tr>
        <w:trPr>
          <w:trHeight w:val="30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104</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交互终端1</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1、LED显示屏采用SMD三合一封装,点间距：≤4mm，长≥3.2米×高≥1.92米，面积≥6.14㎡；</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2、显示屏亮度：≥5000cd/㎡ 支持通过配套软件0- 100%无级调节，支持0-255级灰度调节；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3、显示效果：亮度均匀性≥99%，色度均匀性：±0.001Cx,Cy之内，发光点中心距偏差≤0.5%，色温1000K—21000K可调，对比度≥9000：1；</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4、水平视角≥160°垂直视角≥160°</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5、应带有智能节电功能、带电黑屏节电功能，开启智能节电功能比没有智能节电功能，节能60%以上</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6、防护要求：在20J冲击能量情况下通过IK10测试；防护等级符合≥IP65;</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7、电气要求：绝缘穿透距离≥0.4mm，外部爬电距离＞7.0mm，通过热循环试验；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8、峰值功耗≤750W/㎡，平均功耗≤250W/㎡；</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9、支持灯板出现短路时，灯板会自动保护，避免烧坏灯板上的其他元器件，支持更换灯板后，校正参数自动回读功能不需要人工操作；</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10、支持无信号输入自动熄屏待机，有信号时输入自动唤醒屏体</w:t>
            </w:r>
            <w:r/>
          </w:p>
        </w:tc>
      </w:tr>
      <w:tr>
        <w:trPr>
          <w:trHeight w:val="36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105</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交互一体机</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1、与交互终端1同品牌；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3、显示屏亮度：≥5000cd/㎡ 支持通过配套软件0- 100%无级调节，支持0-255级灰度调节；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4、显示效果：亮度均匀性≥99%，色度均匀性：±0.001Cx,Cy之内，发光点中心距偏差≤0.5%，色温1000K—21000K可调，对比度≥9000：1；</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5、水平视角≥160°垂直视角≥160°</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6、应带有智能节电功能、带电黑屏节电功能，开启智能节电功能比没有智能节电功能，节能60%以上</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7、防护要求：在20J冲击能量情况下通过IK10测试；防护等级符合≥IP65;</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8、电气要求：绝缘穿透距离≥0.4mm，外部爬电距离＞7.0mm，通过热循环试验；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9、峰值功耗≤750W/㎡，平均功耗≤250W/㎡；</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10、支持灯板出现短路时，灯板会自动保护，避免烧坏灯板上的其他元器件，支持更换灯板后，校正参数自动回读功能不需要人工操作；</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11、支持无信号输入自动熄屏待机，有信号时输入自动唤醒屏体</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12、LED显示屏采用SMD三合一封装,点间距：≤4mm，长≥11.84米×高≥0.64米，面积≥7.57㎡；</w:t>
            </w:r>
            <w:r/>
          </w:p>
        </w:tc>
      </w:tr>
      <w:tr>
        <w:trPr>
          <w:trHeight w:val="39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106</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交互终端控制器1</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w:t>
            </w:r>
            <w:r>
              <w:rPr>
                <w:rFonts w:hint="eastAsia" w:ascii="宋体" w:hAnsi="宋体" w:cs="宋体"/>
                <w:i/>
                <w:iCs/>
                <w:color w:val="000000"/>
                <w:sz w:val="24"/>
                <w:szCs w:val="24"/>
                <w:u w:val="single"/>
                <w:lang w:val="en-US" w:eastAsia="zh-CN" w:bidi="ar"/>
              </w:rPr>
              <w:t xml:space="preserve">不低于：</w:t>
            </w:r>
            <w:r>
              <w:rPr>
                <w:rFonts w:hint="eastAsia" w:ascii="宋体" w:hAnsi="宋体" w:cs="宋体"/>
                <w:i/>
                <w:iCs/>
                <w:color w:val="000000"/>
                <w:sz w:val="24"/>
                <w:szCs w:val="24"/>
                <w:u w:val="single"/>
                <w:lang w:bidi="ar"/>
              </w:rPr>
              <w:t xml:space="preserve">具有2类视频输入接口，包括1路HDMI和2路DVI</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w:t>
            </w:r>
            <w:r>
              <w:rPr>
                <w:rFonts w:hint="eastAsia" w:ascii="宋体" w:hAnsi="宋体" w:cs="宋体"/>
                <w:i/>
                <w:iCs/>
                <w:color w:val="000000"/>
                <w:sz w:val="24"/>
                <w:szCs w:val="24"/>
                <w:u w:val="single"/>
                <w:lang w:val="en-US" w:eastAsia="zh-CN" w:bidi="ar"/>
              </w:rPr>
              <w:t xml:space="preserve">不低于：</w:t>
            </w:r>
            <w:r>
              <w:rPr>
                <w:rFonts w:hint="eastAsia" w:ascii="宋体" w:hAnsi="宋体" w:cs="宋体"/>
                <w:i/>
                <w:iCs/>
                <w:color w:val="000000"/>
                <w:sz w:val="24"/>
                <w:szCs w:val="24"/>
                <w:u w:val="single"/>
                <w:lang w:bidi="ar"/>
              </w:rPr>
              <w:t xml:space="preserve">最大带载131万像素，最宽可达4096点，或最高可达2560点</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w:t>
            </w:r>
            <w:r>
              <w:rPr>
                <w:rFonts w:hint="eastAsia" w:ascii="宋体" w:hAnsi="宋体" w:cs="宋体"/>
                <w:i/>
                <w:iCs/>
                <w:color w:val="000000"/>
                <w:sz w:val="24"/>
                <w:szCs w:val="24"/>
                <w:u w:val="single"/>
                <w:lang w:val="en-US" w:eastAsia="zh-CN" w:bidi="ar"/>
              </w:rPr>
              <w:t xml:space="preserve">不低于：</w:t>
            </w:r>
            <w:r>
              <w:rPr>
                <w:rFonts w:hint="eastAsia" w:ascii="宋体" w:hAnsi="宋体" w:cs="宋体"/>
                <w:i/>
                <w:iCs/>
                <w:color w:val="000000"/>
                <w:sz w:val="24"/>
                <w:szCs w:val="24"/>
                <w:u w:val="single"/>
                <w:lang w:bidi="ar"/>
              </w:rPr>
              <w:t xml:space="preserve">最大输入分辨率1920×1200@60Hz，支持分辨率任意设置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w:t>
            </w:r>
            <w:r>
              <w:rPr>
                <w:rFonts w:hint="eastAsia" w:ascii="宋体" w:hAnsi="宋体" w:cs="宋体"/>
                <w:i/>
                <w:iCs/>
                <w:color w:val="000000"/>
                <w:sz w:val="24"/>
                <w:szCs w:val="24"/>
                <w:u w:val="single"/>
                <w:lang w:val="en-US" w:eastAsia="zh-CN" w:bidi="ar"/>
              </w:rPr>
              <w:t xml:space="preserve">不低于：</w:t>
            </w:r>
            <w:r>
              <w:rPr>
                <w:rFonts w:hint="eastAsia" w:ascii="宋体" w:hAnsi="宋体" w:cs="宋体"/>
                <w:i/>
                <w:iCs/>
                <w:color w:val="000000"/>
                <w:sz w:val="24"/>
                <w:szCs w:val="24"/>
                <w:u w:val="single"/>
                <w:lang w:bidi="ar"/>
              </w:rPr>
              <w:t xml:space="preserve">支持2路千兆网口输出，支持单机或双机冗余备份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5、支持对视频信号任意切换，裁剪，拼接，缩放</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6、支持画面偏移</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7、支持独立音频输入</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8、支持HDCP高带宽数字内容保护技术</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9、支持亮度和色温调节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10、支持低亮高灰，能有效地保持低亮下灰阶的完整并完美显示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w:t>
            </w:r>
            <w:r>
              <w:rPr>
                <w:rFonts w:hint="eastAsia" w:ascii="宋体" w:hAnsi="宋体" w:cs="宋体"/>
                <w:i/>
                <w:iCs/>
                <w:color w:val="000000"/>
                <w:sz w:val="24"/>
                <w:szCs w:val="24"/>
                <w:u w:val="single"/>
                <w:lang w:val="en-US" w:eastAsia="zh-CN" w:bidi="ar"/>
              </w:rPr>
              <w:t xml:space="preserve">不低于：</w:t>
            </w:r>
            <w:r>
              <w:rPr>
                <w:rFonts w:hint="eastAsia" w:ascii="宋体" w:hAnsi="宋体" w:cs="宋体"/>
                <w:i/>
                <w:iCs/>
                <w:color w:val="000000"/>
                <w:sz w:val="24"/>
                <w:szCs w:val="24"/>
                <w:u w:val="single"/>
                <w:lang w:bidi="ar"/>
              </w:rPr>
              <w:t xml:space="preserve">视频控制设备可支持250N恒定作用力，外部防护罩可承受250N+10N的恒定作用力持续5S；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12、通过该发送卡可调试显示屏的色域坐标，显示不同坐标值色温;可任意改变 0-255 灰阶不同灰度值的亮度显示和色温;</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13、为高效兼容交流电网电源的连接方式，视频控制设备可支持与交流电网电源的单独连接；</w:t>
            </w:r>
            <w:r/>
          </w:p>
        </w:tc>
      </w:tr>
      <w:tr>
        <w:trPr>
          <w:trHeight w:val="33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107</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交互终端3</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1、与交互终端1同品牌；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3、LED显示屏采用SMD三合一封装,点间距：≤2.5mm，长≥3.2米×高≥2.88米，面积≥9.21㎡；</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4、显示屏亮度：≥500cd/㎡支持通过配套软件0-100%无级调节，支持0-255 级灰度调节；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5、显示效果：亮度均匀性≥99%，色度均匀性：±0 .001Cx,Cy 之内，发光点中心距偏差≤0 .5%，色温0K—21000K 可调，对比度≥5000：1；</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6、屏体正面为亚黑处理，反光率≤2%；支持抑制摩尔纹功能，减轻摩尔纹视觉主观效果≥80%；</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7、水平视角≥160 °垂直视角≥160 °</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8、应带有智能节电功能、带电黑屏节电功能，开启智能节电功能比没有智能节电功能，节能60%以上</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9、防护要求：在20J 冲击能量情况下通过IK10 测试；防护等级符合≥IP4X;</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10、支持无信号输入自动熄屏待机，有信号时输入自动唤醒屏体；                 </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11、峰值功耗≤600W/㎡，平均功耗≤235W/㎡；</w:t>
            </w:r>
            <w:r/>
          </w:p>
        </w:tc>
      </w:tr>
      <w:tr>
        <w:trPr>
          <w:trHeight w:val="36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108</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交互终端4</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1、与交互终端1同品牌；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3、屏体正面为亚黑处理，反光率≤2%；支持抑制摩尔纹功能，减轻摩尔纹视觉主观效果≥80%；</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4、水平视角≥160 °垂直视角≥160 °</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5、应带有智能节电功能、带电黑屏节电功能，开启智能节电功能比没有智能节电功能，节能60%以上</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6、防护要求：在20J冲击能量情况下通过IK10测试；防护等级符合≥IP65;</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7、电气要求：绝缘穿透距离≥0.4mm，外部爬电距离＞7.0mm，通过热循环试验；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8、峰值功耗≤600W/㎡，平均功耗≤235W/㎡；</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9、支持无信号输入自动熄屏待机，有信号时输入自动唤醒屏体。</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10、LED显示屏采用SMD三合一封装,点间距：≤2.5mm，长≥5.12米×高≥2.88米，面积≥14.74㎡；</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11、显示屏亮度：≥500cd/㎡支持通过配套软件0-100%无级调节，支持0-255 级灰度调节；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12、显示效果：亮度均匀性≥99%，色度均匀性：±0 .001Cx,Cy 之内，发光点中心距偏差≤0 .5%，色温0K—21000K 可调，对比度≥5000：1；</w:t>
            </w:r>
            <w:r/>
          </w:p>
        </w:tc>
      </w:tr>
      <w:tr>
        <w:trPr>
          <w:trHeight w:val="18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109</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交互终端控制器2</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1、与交互终端控制器1同品牌；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w:t>
            </w:r>
            <w:r>
              <w:rPr>
                <w:rFonts w:hint="eastAsia" w:ascii="宋体" w:hAnsi="宋体" w:cs="宋体"/>
                <w:i/>
                <w:iCs/>
                <w:color w:val="000000"/>
                <w:sz w:val="24"/>
                <w:szCs w:val="24"/>
                <w:u w:val="single"/>
                <w:lang w:val="en-US" w:eastAsia="zh-CN" w:bidi="ar"/>
              </w:rPr>
              <w:t xml:space="preserve">不低于：</w:t>
            </w:r>
            <w:r>
              <w:rPr>
                <w:rFonts w:hint="eastAsia" w:ascii="宋体" w:hAnsi="宋体" w:cs="宋体"/>
                <w:i/>
                <w:iCs/>
                <w:color w:val="000000"/>
                <w:sz w:val="24"/>
                <w:szCs w:val="24"/>
                <w:u w:val="single"/>
                <w:lang w:bidi="ar"/>
              </w:rPr>
              <w:t xml:space="preserve">具有3类视频输入接口，包括2路DVI，1路HDMI，1路SDI</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w:t>
            </w:r>
            <w:r>
              <w:rPr>
                <w:rFonts w:hint="eastAsia" w:ascii="宋体" w:hAnsi="宋体" w:cs="宋体"/>
                <w:i/>
                <w:iCs/>
                <w:color w:val="000000"/>
                <w:sz w:val="24"/>
                <w:szCs w:val="24"/>
                <w:u w:val="single"/>
                <w:lang w:val="en-US" w:eastAsia="zh-CN" w:bidi="ar"/>
              </w:rPr>
              <w:t xml:space="preserve">不低于：</w:t>
            </w:r>
            <w:r>
              <w:rPr>
                <w:rFonts w:hint="eastAsia" w:ascii="宋体" w:hAnsi="宋体" w:cs="宋体"/>
                <w:i/>
                <w:iCs/>
                <w:color w:val="000000"/>
                <w:sz w:val="24"/>
                <w:szCs w:val="24"/>
                <w:u w:val="single"/>
                <w:lang w:bidi="ar"/>
              </w:rPr>
              <w:t xml:space="preserve">最大带载390万像素，最宽可达8192点，或最高可达4096点</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w:t>
            </w:r>
            <w:r>
              <w:rPr>
                <w:rFonts w:hint="eastAsia" w:ascii="宋体" w:hAnsi="宋体" w:cs="宋体"/>
                <w:i/>
                <w:iCs/>
                <w:color w:val="000000"/>
                <w:sz w:val="24"/>
                <w:szCs w:val="24"/>
                <w:u w:val="single"/>
                <w:lang w:val="en-US" w:eastAsia="zh-CN" w:bidi="ar"/>
              </w:rPr>
              <w:t xml:space="preserve">不低于：</w:t>
            </w:r>
            <w:r>
              <w:rPr>
                <w:rFonts w:hint="eastAsia" w:ascii="宋体" w:hAnsi="宋体" w:cs="宋体"/>
                <w:i/>
                <w:iCs/>
                <w:color w:val="000000"/>
                <w:sz w:val="24"/>
                <w:szCs w:val="24"/>
                <w:u w:val="single"/>
                <w:lang w:bidi="ar"/>
              </w:rPr>
              <w:t xml:space="preserve">最大输入分辨率1920×1200@60Hz，支持分辨率任意设置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w:t>
            </w:r>
            <w:r>
              <w:rPr>
                <w:rFonts w:hint="eastAsia" w:ascii="宋体" w:hAnsi="宋体" w:cs="宋体"/>
                <w:i/>
                <w:iCs/>
                <w:color w:val="000000"/>
                <w:sz w:val="24"/>
                <w:szCs w:val="24"/>
                <w:u w:val="single"/>
                <w:lang w:val="en-US" w:eastAsia="zh-CN" w:bidi="ar"/>
              </w:rPr>
              <w:t xml:space="preserve">不低于：</w:t>
            </w:r>
            <w:r>
              <w:rPr>
                <w:rFonts w:hint="eastAsia" w:ascii="宋体" w:hAnsi="宋体" w:cs="宋体"/>
                <w:i/>
                <w:iCs/>
                <w:color w:val="000000"/>
                <w:sz w:val="24"/>
                <w:szCs w:val="24"/>
                <w:u w:val="single"/>
                <w:lang w:bidi="ar"/>
              </w:rPr>
              <w:t xml:space="preserve">支持6路千兆网口输出，支持单机或双机冗余备份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7、支持对视频信号任意切换，裁剪，拼接，缩放</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8、支持画面偏移</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9、支持独立音频输入</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10、支持HDCP高带宽数字内容保护技术</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11、支持亮度和色温调节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12、支持低亮高灰，能有效地保持低亮下灰阶的完整显示              13.</w:t>
            </w:r>
            <w:r>
              <w:rPr>
                <w:rFonts w:hint="eastAsia" w:ascii="宋体" w:hAnsi="宋体" w:cs="宋体"/>
                <w:i/>
                <w:iCs/>
                <w:color w:val="000000"/>
                <w:sz w:val="24"/>
                <w:szCs w:val="24"/>
                <w:u w:val="single"/>
                <w:lang w:val="en-US" w:eastAsia="zh-CN" w:bidi="ar"/>
              </w:rPr>
              <w:t xml:space="preserve">不低于：</w:t>
            </w:r>
            <w:r>
              <w:rPr>
                <w:rFonts w:hint="eastAsia" w:ascii="宋体" w:hAnsi="宋体" w:cs="宋体"/>
                <w:i/>
                <w:iCs/>
                <w:color w:val="000000"/>
                <w:sz w:val="24"/>
                <w:szCs w:val="24"/>
                <w:u w:val="single"/>
                <w:lang w:bidi="ar"/>
              </w:rPr>
              <w:t xml:space="preserve">视频控制设备可支持250N恒定作用力，外部防护罩可承受250N+10N的恒定作用力持续5S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14、通过该发送卡可调试显示屏的色域坐标，显示不同坐标值色温;可任意改变 0-255 灰阶不同灰度值的亮度显示和色温;</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15、支持调试显示屏的色域坐标，通过控制器可调节显示屏色温值2000K~10000K，可对每个网口独立进行色温调节;能够灵活调整0~255灰阶中不同灰度值的亮度显示，并对各灰度值的色温进行优化，实现显示效果的精准把控。</w:t>
            </w:r>
            <w:r/>
          </w:p>
        </w:tc>
      </w:tr>
      <w:tr>
        <w:trPr>
          <w:trHeight w:val="51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110</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交互终端控制器3</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lang w:bidi="ar"/>
              </w:rPr>
            </w:pPr>
            <w:r>
              <w:rPr>
                <w:rFonts w:hint="eastAsia" w:ascii="宋体" w:hAnsi="宋体" w:cs="宋体"/>
                <w:i/>
                <w:iCs/>
                <w:color w:val="000000"/>
                <w:sz w:val="24"/>
                <w:szCs w:val="24"/>
                <w:u w:val="single"/>
                <w:lang w:bidi="ar"/>
              </w:rPr>
              <w:t xml:space="preserve">1、与交互终端控制器1同品牌；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w:t>
            </w:r>
            <w:r>
              <w:rPr>
                <w:rFonts w:hint="eastAsia" w:ascii="宋体" w:hAnsi="宋体" w:cs="宋体"/>
                <w:i/>
                <w:iCs/>
                <w:color w:val="000000"/>
                <w:sz w:val="24"/>
                <w:szCs w:val="24"/>
                <w:u w:val="single"/>
                <w:lang w:val="en-US" w:eastAsia="zh-CN" w:bidi="ar"/>
              </w:rPr>
              <w:t xml:space="preserve">不低于：</w:t>
            </w:r>
            <w:r>
              <w:rPr>
                <w:rFonts w:hint="eastAsia" w:ascii="宋体" w:hAnsi="宋体" w:cs="宋体"/>
                <w:i/>
                <w:iCs/>
                <w:color w:val="000000"/>
                <w:sz w:val="24"/>
                <w:szCs w:val="24"/>
                <w:u w:val="single"/>
                <w:lang w:bidi="ar"/>
              </w:rPr>
              <w:t xml:space="preserve">具有2类视频输入接口，包括1路HDMI和2路DVI</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w:t>
            </w:r>
            <w:r>
              <w:rPr>
                <w:rFonts w:hint="eastAsia" w:ascii="宋体" w:hAnsi="宋体" w:cs="宋体"/>
                <w:i/>
                <w:iCs/>
                <w:color w:val="000000"/>
                <w:sz w:val="24"/>
                <w:szCs w:val="24"/>
                <w:u w:val="single"/>
                <w:lang w:val="en-US" w:eastAsia="zh-CN" w:bidi="ar"/>
              </w:rPr>
              <w:t xml:space="preserve">不低于：</w:t>
            </w:r>
            <w:r>
              <w:rPr>
                <w:rFonts w:hint="eastAsia" w:ascii="宋体" w:hAnsi="宋体" w:cs="宋体"/>
                <w:i/>
                <w:iCs/>
                <w:color w:val="000000"/>
                <w:sz w:val="24"/>
                <w:szCs w:val="24"/>
                <w:u w:val="single"/>
                <w:lang w:bidi="ar"/>
              </w:rPr>
              <w:t xml:space="preserve">最大带载260万像素，最宽可达4096点，或最高可达2560点</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w:t>
            </w:r>
            <w:r>
              <w:rPr>
                <w:rFonts w:hint="eastAsia" w:ascii="宋体" w:hAnsi="宋体" w:cs="宋体"/>
                <w:i/>
                <w:iCs/>
                <w:color w:val="000000"/>
                <w:sz w:val="24"/>
                <w:szCs w:val="24"/>
                <w:u w:val="single"/>
                <w:lang w:val="en-US" w:eastAsia="zh-CN" w:bidi="ar"/>
              </w:rPr>
              <w:t xml:space="preserve">不低于：</w:t>
            </w:r>
            <w:r>
              <w:rPr>
                <w:rFonts w:hint="eastAsia" w:ascii="宋体" w:hAnsi="宋体" w:cs="宋体"/>
                <w:i/>
                <w:iCs/>
                <w:color w:val="000000"/>
                <w:sz w:val="24"/>
                <w:szCs w:val="24"/>
                <w:u w:val="single"/>
                <w:lang w:bidi="ar"/>
              </w:rPr>
              <w:t xml:space="preserve">最大输入分辨率1920×1200@60Hz，支持分辨率任意设置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w:t>
            </w:r>
            <w:r>
              <w:rPr>
                <w:rFonts w:hint="eastAsia" w:ascii="宋体" w:hAnsi="宋体" w:cs="宋体"/>
                <w:i/>
                <w:iCs/>
                <w:color w:val="000000"/>
                <w:sz w:val="24"/>
                <w:szCs w:val="24"/>
                <w:u w:val="single"/>
                <w:lang w:val="en-US" w:eastAsia="zh-CN" w:bidi="ar"/>
              </w:rPr>
              <w:t xml:space="preserve">不低于：</w:t>
            </w:r>
            <w:r>
              <w:rPr>
                <w:rFonts w:hint="eastAsia" w:ascii="宋体" w:hAnsi="宋体" w:cs="宋体"/>
                <w:i/>
                <w:iCs/>
                <w:color w:val="000000"/>
                <w:sz w:val="24"/>
                <w:szCs w:val="24"/>
                <w:u w:val="single"/>
                <w:lang w:bidi="ar"/>
              </w:rPr>
              <w:t xml:space="preserve">支持4路千兆网口输出，支持单机或双机冗余备份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7、支持对视频信号任意切换，裁剪，拼接，缩放</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8、支持画面偏移</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9、支持独立音频输入</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10、支持HDCP高带宽数字内容保护技术</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11、支持亮度和色温调节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12、支持低亮高灰，能有效地保持低亮下灰阶的完整显示            </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13、</w:t>
            </w:r>
            <w:r>
              <w:rPr>
                <w:rFonts w:hint="eastAsia" w:ascii="宋体" w:hAnsi="宋体" w:cs="宋体"/>
                <w:i/>
                <w:iCs/>
                <w:color w:val="000000"/>
                <w:sz w:val="24"/>
                <w:szCs w:val="24"/>
                <w:u w:val="single"/>
                <w:lang w:val="en-US" w:eastAsia="zh-CN" w:bidi="ar"/>
              </w:rPr>
              <w:t xml:space="preserve">不低于：</w:t>
            </w:r>
            <w:r>
              <w:rPr>
                <w:rFonts w:hint="eastAsia" w:ascii="宋体" w:hAnsi="宋体" w:cs="宋体"/>
                <w:i/>
                <w:iCs/>
                <w:color w:val="000000"/>
                <w:sz w:val="24"/>
                <w:szCs w:val="24"/>
                <w:u w:val="single"/>
                <w:lang w:bidi="ar"/>
              </w:rPr>
              <w:t xml:space="preserve">视频控制设备可支持250N恒定作用力，外部防护罩可承受250N+10N的恒定作用力持续5S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14、通过该发送卡可调试显示屏的色域坐标，显示不同坐标值色温。可任意改变 0-255 灰阶不同灰度值的亮度显示和色温</w:t>
            </w:r>
            <w:r/>
          </w:p>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支持调试显示屏的色域坐标，通过控制器可调节显示屏色温值2000K~10000K，可对每个网口独立进行色温调节。能够灵活调整0~255灰阶中不同灰度值的亮度显示，并对各灰度值的色温进行优化，实现显示效果的精准把控。</w:t>
            </w:r>
            <w:r>
              <w:rPr>
                <w:rFonts w:hint="eastAsia" w:ascii="宋体" w:hAnsi="宋体" w:cs="宋体"/>
                <w:b/>
                <w:bCs/>
                <w:color w:val="000000"/>
                <w:sz w:val="24"/>
                <w:szCs w:val="24"/>
                <w:lang w:bidi="ar"/>
              </w:rPr>
              <w:t xml:space="preserve">（投标时须在响应文件中提供第三方检测机构出具的合格的检验报告或功能截图等相关证明材料）</w:t>
            </w:r>
            <w:r/>
          </w:p>
        </w:tc>
      </w:tr>
      <w:tr>
        <w:trPr>
          <w:trHeight w:val="295"/>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111</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接收卡</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1、集成16路HUB75接口，无需再配转接板，更方便，成本更低；</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2、减少接插连接件，减少故障点，故障率更低；</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3、支持常规芯片实现高刷新、高灰度、高亮度；</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4、支持市场主流常规芯片、PWM芯片、士兰芯片；</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5、全新灰度引擎，低灰度表现更佳；</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6、可消除单元板设计引起的某行偏暗、低灰偏红、鬼影等细节问题；</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7、支持高精度的色度、亮度一体化逐点校正；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8、支持静态到64扫之间的任意扫描类型；</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9、支持灵活抽点、抽行抽列、数据组偏移，可轻松实现各种异型屏、创意显示屏；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10、单卡支持32组RGB信号输出；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11、支持超大带载面积；</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12、支持DC 3.8V~5.5V超宽工作电压；</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13、为保证接收卡能够持久运行，需具有电击和能量危险的防护；</w:t>
            </w:r>
            <w:r>
              <w:rPr>
                <w:rFonts w:hint="eastAsia" w:ascii="宋体" w:hAnsi="宋体" w:cs="宋体"/>
                <w:color w:val="000000"/>
                <w:sz w:val="24"/>
                <w:szCs w:val="24"/>
                <w:lang w:bidi="ar"/>
              </w:rPr>
              <w:t xml:space="preserve">                                                                                                                                                                                ▲1、8bit/14bit精度的色度，亮度一体化逐点校正，能有效消除灯点色差，保证整屏的颜色亮度的均匀性和一致性，提升整体显示效果。</w:t>
            </w:r>
            <w:r>
              <w:rPr>
                <w:rFonts w:hint="eastAsia" w:ascii="宋体" w:hAnsi="宋体" w:cs="宋体"/>
                <w:b/>
                <w:bCs/>
                <w:color w:val="000000"/>
                <w:sz w:val="24"/>
                <w:szCs w:val="24"/>
                <w:lang w:bidi="ar"/>
              </w:rPr>
              <w:t xml:space="preserve">（投标时须在响应文件中提供第三方检测机构出具的合格的检验报告或功能截图等相关证明材料 ）</w:t>
            </w:r>
            <w:r/>
          </w:p>
        </w:tc>
      </w:tr>
      <w:tr>
        <w:trPr>
          <w:trHeight w:val="9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112</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交互终端结构1</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1、规格：</w:t>
            </w:r>
            <w:r>
              <w:rPr>
                <w:rFonts w:hint="eastAsia" w:ascii="宋体" w:hAnsi="宋体" w:cs="宋体"/>
                <w:i/>
                <w:iCs/>
                <w:color w:val="000000"/>
                <w:sz w:val="24"/>
                <w:szCs w:val="24"/>
                <w:u w:val="single"/>
                <w:lang w:val="en-US" w:eastAsia="zh-CN" w:bidi="ar"/>
              </w:rPr>
              <w:t xml:space="preserve">长≥</w:t>
            </w:r>
            <w:r>
              <w:rPr>
                <w:rFonts w:hint="eastAsia" w:ascii="宋体" w:hAnsi="宋体" w:cs="宋体"/>
                <w:i/>
                <w:iCs/>
                <w:color w:val="000000"/>
                <w:sz w:val="24"/>
                <w:szCs w:val="24"/>
                <w:u w:val="single"/>
                <w:lang w:bidi="ar"/>
              </w:rPr>
              <w:t xml:space="preserve">40</w:t>
            </w:r>
            <w:r>
              <w:rPr>
                <w:rFonts w:hint="eastAsia" w:ascii="宋体" w:hAnsi="宋体" w:cs="宋体"/>
                <w:i/>
                <w:iCs/>
                <w:color w:val="000000"/>
                <w:sz w:val="24"/>
                <w:szCs w:val="24"/>
                <w:u w:val="single"/>
                <w:lang w:eastAsia="zh-CN" w:bidi="ar"/>
              </w:rPr>
              <w:t xml:space="preserve">，</w:t>
            </w:r>
            <w:r>
              <w:rPr>
                <w:rFonts w:hint="eastAsia" w:ascii="宋体" w:hAnsi="宋体" w:cs="宋体"/>
                <w:i/>
                <w:iCs/>
                <w:color w:val="000000"/>
                <w:sz w:val="24"/>
                <w:szCs w:val="24"/>
                <w:u w:val="single"/>
                <w:lang w:val="en-US" w:eastAsia="zh-CN" w:bidi="ar"/>
              </w:rPr>
              <w:t xml:space="preserve">宽≥</w:t>
            </w:r>
            <w:r>
              <w:rPr>
                <w:rFonts w:hint="eastAsia" w:ascii="宋体" w:hAnsi="宋体" w:cs="宋体"/>
                <w:i/>
                <w:iCs/>
                <w:color w:val="000000"/>
                <w:sz w:val="24"/>
                <w:szCs w:val="24"/>
                <w:u w:val="single"/>
                <w:lang w:bidi="ar"/>
              </w:rPr>
              <w:t xml:space="preserve">40</w:t>
            </w:r>
            <w:r>
              <w:rPr>
                <w:rFonts w:hint="eastAsia" w:ascii="宋体" w:hAnsi="宋体" w:cs="宋体"/>
                <w:i/>
                <w:iCs/>
                <w:color w:val="000000"/>
                <w:sz w:val="24"/>
                <w:szCs w:val="24"/>
                <w:u w:val="single"/>
                <w:lang w:eastAsia="zh-CN" w:bidi="ar"/>
              </w:rPr>
              <w:t xml:space="preserve">，</w:t>
            </w:r>
            <w:r>
              <w:rPr>
                <w:rFonts w:hint="eastAsia" w:ascii="宋体" w:hAnsi="宋体" w:cs="宋体"/>
                <w:i/>
                <w:iCs/>
                <w:color w:val="000000"/>
                <w:sz w:val="24"/>
                <w:szCs w:val="24"/>
                <w:u w:val="single"/>
                <w:lang w:val="en-US" w:eastAsia="zh-CN" w:bidi="ar"/>
              </w:rPr>
              <w:t xml:space="preserve">厚≥</w:t>
            </w:r>
            <w:r>
              <w:rPr>
                <w:rFonts w:hint="eastAsia" w:ascii="宋体" w:hAnsi="宋体" w:cs="宋体"/>
                <w:i/>
                <w:iCs/>
                <w:color w:val="000000"/>
                <w:sz w:val="24"/>
                <w:szCs w:val="24"/>
                <w:u w:val="single"/>
                <w:lang w:bidi="ar"/>
              </w:rPr>
              <w:t xml:space="preserve">2.0mm；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2、所有焊接部位做除锈防腐处理；</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3、外装饰采用</w:t>
            </w:r>
            <w:r>
              <w:rPr>
                <w:rFonts w:hint="eastAsia" w:ascii="宋体" w:hAnsi="宋体" w:cs="宋体"/>
                <w:i/>
                <w:iCs/>
                <w:color w:val="000000"/>
                <w:sz w:val="24"/>
                <w:szCs w:val="24"/>
                <w:u w:val="single"/>
                <w:lang w:val="en-US" w:eastAsia="zh-CN" w:bidi="ar"/>
              </w:rPr>
              <w:t xml:space="preserve">不小于厚</w:t>
            </w:r>
            <w:r>
              <w:rPr>
                <w:rFonts w:hint="eastAsia" w:ascii="宋体" w:hAnsi="宋体" w:cs="宋体"/>
                <w:i/>
                <w:iCs/>
                <w:color w:val="000000"/>
                <w:sz w:val="24"/>
                <w:szCs w:val="24"/>
                <w:u w:val="single"/>
                <w:lang w:bidi="ar"/>
              </w:rPr>
              <w:t xml:space="preserve">2mm不锈钢板</w:t>
            </w:r>
            <w:r/>
          </w:p>
        </w:tc>
      </w:tr>
      <w:tr>
        <w:trPr>
          <w:trHeight w:val="12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113</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交互终端结构2</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1、规格：</w:t>
            </w:r>
            <w:r>
              <w:rPr>
                <w:rFonts w:hint="eastAsia" w:ascii="宋体" w:hAnsi="宋体" w:cs="宋体"/>
                <w:i/>
                <w:iCs/>
                <w:color w:val="000000"/>
                <w:sz w:val="24"/>
                <w:szCs w:val="24"/>
                <w:u w:val="single"/>
                <w:lang w:val="en-US" w:eastAsia="zh-CN" w:bidi="ar"/>
              </w:rPr>
              <w:t xml:space="preserve">长</w:t>
            </w:r>
            <w:r>
              <w:rPr>
                <w:rFonts w:hint="eastAsia" w:ascii="宋体" w:hAnsi="宋体" w:cs="宋体"/>
                <w:i/>
                <w:iCs/>
                <w:color w:val="000000"/>
                <w:sz w:val="24"/>
                <w:szCs w:val="24"/>
                <w:u w:val="single"/>
                <w:lang w:bidi="ar"/>
              </w:rPr>
              <w:t xml:space="preserve">≥40</w:t>
            </w:r>
            <w:r>
              <w:rPr>
                <w:rFonts w:hint="eastAsia" w:ascii="宋体" w:hAnsi="宋体" w:cs="宋体"/>
                <w:i/>
                <w:iCs/>
                <w:color w:val="000000"/>
                <w:sz w:val="24"/>
                <w:szCs w:val="24"/>
                <w:u w:val="single"/>
                <w:lang w:eastAsia="zh-CN" w:bidi="ar"/>
              </w:rPr>
              <w:t xml:space="preserve">，</w:t>
            </w:r>
            <w:r>
              <w:rPr>
                <w:rFonts w:hint="eastAsia" w:ascii="宋体" w:hAnsi="宋体" w:cs="宋体"/>
                <w:i/>
                <w:iCs/>
                <w:color w:val="000000"/>
                <w:sz w:val="24"/>
                <w:szCs w:val="24"/>
                <w:u w:val="single"/>
                <w:lang w:val="en-US" w:eastAsia="zh-CN" w:bidi="ar"/>
              </w:rPr>
              <w:t xml:space="preserve">宽≥</w:t>
            </w:r>
            <w:r>
              <w:rPr>
                <w:rFonts w:hint="eastAsia" w:ascii="宋体" w:hAnsi="宋体" w:cs="宋体"/>
                <w:i/>
                <w:iCs/>
                <w:color w:val="000000"/>
                <w:sz w:val="24"/>
                <w:szCs w:val="24"/>
                <w:u w:val="single"/>
                <w:lang w:bidi="ar"/>
              </w:rPr>
              <w:t xml:space="preserve">40</w:t>
            </w:r>
            <w:r>
              <w:rPr>
                <w:rFonts w:hint="eastAsia" w:ascii="宋体" w:hAnsi="宋体" w:cs="宋体"/>
                <w:i/>
                <w:iCs/>
                <w:color w:val="000000"/>
                <w:sz w:val="24"/>
                <w:szCs w:val="24"/>
                <w:u w:val="single"/>
                <w:lang w:eastAsia="zh-CN" w:bidi="ar"/>
              </w:rPr>
              <w:t xml:space="preserve">，</w:t>
            </w:r>
            <w:r>
              <w:rPr>
                <w:rFonts w:hint="eastAsia" w:ascii="宋体" w:hAnsi="宋体" w:cs="宋体"/>
                <w:i/>
                <w:iCs/>
                <w:color w:val="000000"/>
                <w:sz w:val="24"/>
                <w:szCs w:val="24"/>
                <w:u w:val="single"/>
                <w:lang w:val="en-US" w:eastAsia="zh-CN" w:bidi="ar"/>
              </w:rPr>
              <w:t xml:space="preserve">厚≥</w:t>
            </w:r>
            <w:r>
              <w:rPr>
                <w:rFonts w:hint="eastAsia" w:ascii="宋体" w:hAnsi="宋体" w:cs="宋体"/>
                <w:i/>
                <w:iCs/>
                <w:color w:val="000000"/>
                <w:sz w:val="24"/>
                <w:szCs w:val="24"/>
                <w:u w:val="single"/>
                <w:lang w:bidi="ar"/>
              </w:rPr>
              <w:t xml:space="preserve">2.0mm；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2、所有焊接部位做除锈防腐处理；</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3、钢结构满足显示屏荷载要求，可靠接地，符合 GB50205；</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4、外装饰采用 </w:t>
            </w:r>
            <w:r>
              <w:rPr>
                <w:rFonts w:hint="eastAsia" w:ascii="宋体" w:hAnsi="宋体" w:cs="宋体"/>
                <w:i/>
                <w:iCs/>
                <w:color w:val="000000"/>
                <w:sz w:val="24"/>
                <w:szCs w:val="24"/>
                <w:u w:val="single"/>
                <w:lang w:val="en-US" w:eastAsia="zh-CN" w:bidi="ar"/>
              </w:rPr>
              <w:t xml:space="preserve">不小于厚</w:t>
            </w:r>
            <w:r>
              <w:rPr>
                <w:rFonts w:hint="eastAsia" w:ascii="宋体" w:hAnsi="宋体" w:cs="宋体"/>
                <w:i/>
                <w:iCs/>
                <w:color w:val="000000"/>
                <w:sz w:val="24"/>
                <w:szCs w:val="24"/>
                <w:u w:val="single"/>
                <w:lang w:bidi="ar"/>
              </w:rPr>
              <w:t xml:space="preserve">4mm 铝塑板，B1 级阻燃</w:t>
            </w:r>
            <w:r/>
          </w:p>
        </w:tc>
      </w:tr>
      <w:tr>
        <w:trPr>
          <w:trHeight w:val="12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114</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网线1</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1、带中心十字隔离骨架，可有效防止因线对之间绞距变化带来的性能下降；</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2、可提供350MHZ带宽，线规23AWG；</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3、护套采用优良的PVC材料；护套长度为逆序标注以方便识别线缆长度；</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4、导体材料：无氧圆铜（纯度99.99%）</w:t>
            </w:r>
            <w:r/>
          </w:p>
        </w:tc>
      </w:tr>
      <w:tr>
        <w:trPr>
          <w:trHeight w:val="12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115</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网线2</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1、提供250MHZ带宽，线规24AWG；</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2、护套采用优良的PVC材料；护套长度为逆序标注以方便识别线缆长度；</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3、最大导体直流电阻@20 Deg.C :7.32Ω/100m；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4、必须和网线1为同一品牌。</w:t>
            </w:r>
            <w:r/>
          </w:p>
        </w:tc>
      </w:tr>
      <w:tr>
        <w:trPr>
          <w:trHeight w:val="21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116</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模块</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1、产品采用抗冲击、耐腐蚀材料制作，产品可提供90度或180度端接方式，所提供产品必须可以提供配套打线工具，可以一次性8根线同时打线完成；</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2、RJ45端口金针：弧形金针设计，有效提升近端串音余量，50μ镀金，可插拔次数≥1500次；                                                            </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3、为实现线缆快速连接，模块两侧有T568A、T568B两种标准打线标记，方便快速完成端接，可接受22-26AWG线规的电缆；</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4、特有线缆保护盖，可维持线缆的垂直进线方式和防止灰尘，同时具有卡线功能；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5、端接口外壳材料采用高强度PC材料，坚固且防腐蚀IDC打线柱夹子为磷青铜，保证大于250次的端接、接触针耐用性为1500次插拔，可提供高达350MHz的可用宽带</w:t>
            </w:r>
            <w:r/>
          </w:p>
        </w:tc>
      </w:tr>
      <w:tr>
        <w:trPr>
          <w:trHeight w:val="15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117</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面板1</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1、86型面板产品是采用阻燃、抗冲击、耐腐蚀的优质ABS工程塑料；</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2、面板上自带防尘盖；面板带有标签标识功能，方便管理及日常维护；面板后面具有RJ45配套卡槽；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3、光面设计，增加与强电面板的匹配性；前后双层面板设计，外形美观，避免固定螺丝孔外露；</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4、颜色：有白色、金色、银色等供现场选择使用；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5、采用86 型单口面板</w:t>
            </w:r>
            <w:r/>
          </w:p>
        </w:tc>
      </w:tr>
      <w:tr>
        <w:trPr>
          <w:trHeight w:val="544"/>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118</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面板2</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1、86型面板产品是采用阻燃、抗冲击、耐腐蚀的优质ABS工程塑料；</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2、面板上自带防尘盖；面板带有标签标识功能，方便管理及日常维护；面板后面具有RJ45配套卡槽；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3、光面设计，增加与强电面板的匹配性；前后双层面板设计，外形美观，避免固定螺丝孔外露；</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4、颜色：有白色、金色、银色等供现场选择使用；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5、采用86 型双口面板</w:t>
            </w:r>
            <w:r/>
          </w:p>
        </w:tc>
      </w:tr>
      <w:tr>
        <w:trPr>
          <w:trHeight w:val="21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119</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网络跳线</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1、采用多股软铜绞合线</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2、插拔次数≥1500次；</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3、跳线水晶头与多股线需有注塑式PVC护套包裹，防松脱，并有水晶头弹片回包片，保护水晶头弹片不被弯折，确保电缆和插头的可靠性和链接稳定性；</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4、跳线缆材上具有清晰的米标和类型印字；</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5、水晶头采用50μ镀金三叉RJ45插头，确保镀金簧片与导体可靠接触，采用组合式设计，内置穿线过渡件，确保电缆导线在水晶头内部接纽最小，有效提高了跳线的串扰余量，可提供高达350MHz的带宽；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6、可提供7种不同颜色和长度选择；</w:t>
            </w:r>
            <w:r/>
          </w:p>
        </w:tc>
      </w:tr>
      <w:tr>
        <w:trPr>
          <w:trHeight w:val="33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120</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光纤1</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将单模或多模光纤套入由高模量的塑料做成的松套管中，套管内填充防水化合物。松套管外用一层双面涂塑钢带纵包，钢带和松套管之间加阻水材料以保证光缆的紧凑和纵向阻水，两侧放置两根平行钢丝后护套成缆；</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2、精确控制光纤的余长保证了光缆具有很好的机械性能和温度特性 ，松套管材料本身具有良好的耐水解性能和较高的强度</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3、良好的抗压性和柔软性 双面涂塑钢带（ PSP ）提高光缆的抗透潮能力</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4、直径小、重量轻、容易敷设</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5、适用于管道和架空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6、规格：9/125um;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7、纤芯衰耗：最大0.45dB/km@1310nm,最大0.40dB/km@1550nm；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8、芯数：12芯；</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9、类型：室外中心束管式。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10、运输温度</w:t>
            </w:r>
            <w:r>
              <w:rPr>
                <w:rFonts w:hint="eastAsia" w:ascii="宋体" w:hAnsi="宋体" w:cs="宋体"/>
                <w:i/>
                <w:iCs/>
                <w:color w:val="000000"/>
                <w:sz w:val="24"/>
                <w:szCs w:val="24"/>
                <w:u w:val="single"/>
                <w:lang w:val="en-US" w:eastAsia="zh-CN" w:bidi="ar"/>
              </w:rPr>
              <w:t xml:space="preserve">优于</w:t>
            </w:r>
            <w:r>
              <w:rPr>
                <w:rFonts w:hint="eastAsia" w:ascii="宋体" w:hAnsi="宋体" w:cs="宋体"/>
                <w:i/>
                <w:iCs/>
                <w:color w:val="000000"/>
                <w:sz w:val="24"/>
                <w:szCs w:val="24"/>
                <w:u w:val="single"/>
                <w:lang w:bidi="ar"/>
              </w:rPr>
              <w:t xml:space="preserve">：-20°C~70°C；储存温度</w:t>
            </w:r>
            <w:r>
              <w:rPr>
                <w:rFonts w:hint="eastAsia" w:ascii="宋体" w:hAnsi="宋体" w:cs="宋体"/>
                <w:i/>
                <w:iCs/>
                <w:color w:val="000000"/>
                <w:sz w:val="24"/>
                <w:szCs w:val="24"/>
                <w:u w:val="single"/>
                <w:lang w:val="en-US" w:eastAsia="zh-CN" w:bidi="ar"/>
              </w:rPr>
              <w:t xml:space="preserve">优于</w:t>
            </w:r>
            <w:r>
              <w:rPr>
                <w:rFonts w:hint="eastAsia" w:ascii="宋体" w:hAnsi="宋体" w:cs="宋体"/>
                <w:i/>
                <w:iCs/>
                <w:color w:val="000000"/>
                <w:sz w:val="24"/>
                <w:szCs w:val="24"/>
                <w:u w:val="single"/>
                <w:lang w:bidi="ar"/>
              </w:rPr>
              <w:t xml:space="preserve">：-40°C~70°C；安装温度</w:t>
            </w:r>
            <w:r>
              <w:rPr>
                <w:rFonts w:hint="eastAsia" w:ascii="宋体" w:hAnsi="宋体" w:cs="宋体"/>
                <w:i/>
                <w:iCs/>
                <w:color w:val="000000"/>
                <w:sz w:val="24"/>
                <w:szCs w:val="24"/>
                <w:u w:val="single"/>
                <w:lang w:val="en-US" w:eastAsia="zh-CN" w:bidi="ar"/>
              </w:rPr>
              <w:t xml:space="preserve">优于</w:t>
            </w:r>
            <w:r>
              <w:rPr>
                <w:rFonts w:hint="eastAsia" w:ascii="宋体" w:hAnsi="宋体" w:cs="宋体"/>
                <w:i/>
                <w:iCs/>
                <w:color w:val="000000"/>
                <w:sz w:val="24"/>
                <w:szCs w:val="24"/>
                <w:u w:val="single"/>
                <w:lang w:bidi="ar"/>
              </w:rPr>
              <w:t xml:space="preserve">：-5°C~50°C；使用温度</w:t>
            </w:r>
            <w:r>
              <w:rPr>
                <w:rFonts w:hint="eastAsia" w:ascii="宋体" w:hAnsi="宋体" w:cs="宋体"/>
                <w:i/>
                <w:iCs/>
                <w:color w:val="000000"/>
                <w:sz w:val="24"/>
                <w:szCs w:val="24"/>
                <w:u w:val="single"/>
                <w:lang w:val="en-US" w:eastAsia="zh-CN" w:bidi="ar"/>
              </w:rPr>
              <w:t xml:space="preserve">优于</w:t>
            </w:r>
            <w:r>
              <w:rPr>
                <w:rFonts w:hint="eastAsia" w:ascii="宋体" w:hAnsi="宋体" w:cs="宋体"/>
                <w:i/>
                <w:iCs/>
                <w:color w:val="000000"/>
                <w:sz w:val="24"/>
                <w:szCs w:val="24"/>
                <w:u w:val="single"/>
                <w:lang w:bidi="ar"/>
              </w:rPr>
              <w:t xml:space="preserve">：-20°C~70°C；</w:t>
            </w:r>
            <w:r/>
          </w:p>
        </w:tc>
      </w:tr>
      <w:tr>
        <w:trPr>
          <w:trHeight w:val="9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121</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设备箱</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不锈钢防雨设备箱要求如下：</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1、规格：≥400mm*400mm*200mm；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2、其他：≥1个2P16A空开。</w:t>
            </w:r>
            <w:r/>
          </w:p>
        </w:tc>
      </w:tr>
      <w:tr>
        <w:trPr>
          <w:trHeight w:val="33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122</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光纤2</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1、光纤套入由高模量的塑料做成的松套管中，套管内填充防水化合物；</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2、缆芯的中心是一根金属加强芯，对于某些芯数的光缆来说，金属加强芯外还需挤上一层聚乙烯（ PE ）；</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3、松套管（和填充绳）围绕中心加强芯绞合成紧凑和圆形的缆芯，缆芯内的缝隙充以阻水填充物，双面涂塑钢带（PSP）纵包后聚乙烯护套成缆；</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精确控制光纤的余长保证了光缆具有很好的抗拉性能和温度特性松套管材本身具有良好的耐水解性能和较高的强度，管内充以特种油膏，对光纤进行了关键性保护良好的抗压性和柔软性PE护套具有良好的抗紫外辐射性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5、单根钢丝中心加强芯 松套管内填充特种防水化合物 完全缆芯填充双面涂塑钢带（ PSP）防潮层良好的阻水材料防止光缆纵向渗水；</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6、规格：9/125um;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7、纤芯衰耗：最大0.45/dBkm@1310nm,最0.40dB/km@1550nm；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8、芯数：12芯；</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9、类型：室外层绞式轻铠。</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10、运输温度</w:t>
            </w:r>
            <w:r>
              <w:rPr>
                <w:rFonts w:hint="eastAsia" w:ascii="宋体" w:hAnsi="宋体" w:cs="宋体"/>
                <w:i/>
                <w:iCs/>
                <w:color w:val="000000"/>
                <w:sz w:val="24"/>
                <w:szCs w:val="24"/>
                <w:u w:val="single"/>
                <w:lang w:val="en-US" w:eastAsia="zh-CN" w:bidi="ar"/>
              </w:rPr>
              <w:t xml:space="preserve">优于</w:t>
            </w:r>
            <w:r>
              <w:rPr>
                <w:rFonts w:hint="eastAsia" w:ascii="宋体" w:hAnsi="宋体" w:cs="宋体"/>
                <w:i/>
                <w:iCs/>
                <w:color w:val="000000"/>
                <w:sz w:val="24"/>
                <w:szCs w:val="24"/>
                <w:u w:val="single"/>
                <w:lang w:bidi="ar"/>
              </w:rPr>
              <w:t xml:space="preserve">：-20°C~70°C；储存温度</w:t>
            </w:r>
            <w:r>
              <w:rPr>
                <w:rFonts w:hint="eastAsia" w:ascii="宋体" w:hAnsi="宋体" w:cs="宋体"/>
                <w:i/>
                <w:iCs/>
                <w:color w:val="000000"/>
                <w:sz w:val="24"/>
                <w:szCs w:val="24"/>
                <w:u w:val="single"/>
                <w:lang w:val="en-US" w:eastAsia="zh-CN" w:bidi="ar"/>
              </w:rPr>
              <w:t xml:space="preserve">优于</w:t>
            </w:r>
            <w:r>
              <w:rPr>
                <w:rFonts w:hint="eastAsia" w:ascii="宋体" w:hAnsi="宋体" w:cs="宋体"/>
                <w:i/>
                <w:iCs/>
                <w:color w:val="000000"/>
                <w:sz w:val="24"/>
                <w:szCs w:val="24"/>
                <w:u w:val="single"/>
                <w:lang w:bidi="ar"/>
              </w:rPr>
              <w:t xml:space="preserve">：-40°C~70°C；安装温度</w:t>
            </w:r>
            <w:r>
              <w:rPr>
                <w:rFonts w:hint="eastAsia" w:ascii="宋体" w:hAnsi="宋体" w:cs="宋体"/>
                <w:i/>
                <w:iCs/>
                <w:color w:val="000000"/>
                <w:sz w:val="24"/>
                <w:szCs w:val="24"/>
                <w:u w:val="single"/>
                <w:lang w:val="en-US" w:eastAsia="zh-CN" w:bidi="ar"/>
              </w:rPr>
              <w:t xml:space="preserve">优于</w:t>
            </w:r>
            <w:r>
              <w:rPr>
                <w:rFonts w:hint="eastAsia" w:ascii="宋体" w:hAnsi="宋体" w:cs="宋体"/>
                <w:i/>
                <w:iCs/>
                <w:color w:val="000000"/>
                <w:sz w:val="24"/>
                <w:szCs w:val="24"/>
                <w:u w:val="single"/>
                <w:lang w:bidi="ar"/>
              </w:rPr>
              <w:t xml:space="preserve">：-5°C~50°C；使用温度</w:t>
            </w:r>
            <w:r>
              <w:rPr>
                <w:rFonts w:hint="eastAsia" w:ascii="宋体" w:hAnsi="宋体" w:cs="宋体"/>
                <w:i/>
                <w:iCs/>
                <w:color w:val="000000"/>
                <w:sz w:val="24"/>
                <w:szCs w:val="24"/>
                <w:u w:val="single"/>
                <w:lang w:val="en-US" w:eastAsia="zh-CN" w:bidi="ar"/>
              </w:rPr>
              <w:t xml:space="preserve">优于</w:t>
            </w:r>
            <w:r>
              <w:rPr>
                <w:rFonts w:hint="eastAsia" w:ascii="宋体" w:hAnsi="宋体" w:cs="宋体"/>
                <w:i/>
                <w:iCs/>
                <w:color w:val="000000"/>
                <w:sz w:val="24"/>
                <w:szCs w:val="24"/>
                <w:u w:val="single"/>
                <w:lang w:bidi="ar"/>
              </w:rPr>
              <w:t xml:space="preserve">：-20°C~70°C；</w:t>
            </w:r>
            <w:r/>
          </w:p>
        </w:tc>
      </w:tr>
      <w:tr>
        <w:trPr>
          <w:trHeight w:val="24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123</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光纤配线架</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1、支持19″标准安装，适用于多种机架、机柜上的安装；</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2、采用了静音导轨式抽拉设计，为光缆固定和光纤适配器 安装提供可靠保护；</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3、提供光纤熔接、配线管理；</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4、满足光纤应用的多样性，支持LC、FC、SC、ST、单双工不同类型的光纤适配器；1U高度，单工最多可以安装24只，双工最多可以安装24只可以扩充到48口；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5、主要材料：优质冷轧钢板；档尘板为有机玻璃；24芯熔纤盘为：ABS工程塑料；</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6、最大弯曲空间（mm）：≥30；</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7、最大光纤芯数：48；</w:t>
            </w:r>
            <w:r/>
          </w:p>
        </w:tc>
      </w:tr>
      <w:tr>
        <w:trPr>
          <w:trHeight w:val="9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124</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尾纤</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1、插入损耗≤0.3dB；温度性能</w:t>
            </w:r>
            <w:r>
              <w:rPr>
                <w:rFonts w:hint="eastAsia" w:ascii="宋体" w:hAnsi="宋体" w:cs="宋体"/>
                <w:i/>
                <w:iCs/>
                <w:color w:val="000000"/>
                <w:sz w:val="24"/>
                <w:szCs w:val="24"/>
                <w:u w:val="single"/>
                <w:lang w:val="en-US" w:eastAsia="zh-CN" w:bidi="ar"/>
              </w:rPr>
              <w:t xml:space="preserve">优于</w:t>
            </w:r>
            <w:r>
              <w:rPr>
                <w:rFonts w:hint="eastAsia" w:ascii="宋体" w:hAnsi="宋体" w:cs="宋体"/>
                <w:i/>
                <w:iCs/>
                <w:color w:val="000000"/>
                <w:sz w:val="24"/>
                <w:szCs w:val="24"/>
                <w:u w:val="single"/>
                <w:lang w:bidi="ar"/>
              </w:rPr>
              <w:t xml:space="preserve">：-40℃～+80℃；重复性≤0.1dB ；互换性≤0.2dB；回波损耗≥45dB；</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2、光纤护套：PVC；</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3、可能提供不同类型的接头与之交换机接口配套使用；</w:t>
            </w:r>
            <w:r/>
          </w:p>
        </w:tc>
      </w:tr>
      <w:tr>
        <w:trPr>
          <w:trHeight w:val="12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125</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熔纤盒</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1、壳体采用优质冷轧钢板，表面环氧表电喷塑，外形美观，使用方便</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2、可安装FC、SC、ST等多种适配器，且适用于普通尾纤及束状尾纤</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3、可用于室内、室外配线设备中，并实现互换</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4、熔接方便快接，用途广泛</w:t>
            </w:r>
            <w:r/>
          </w:p>
        </w:tc>
      </w:tr>
      <w:tr>
        <w:trPr>
          <w:trHeight w:val="15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126</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大对数电缆</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1、线规：24AWG,导体为：0.4MM的无氧纯铜；</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2、绝缘层为:优质PE，外护套为采用优良的PVC或低烟无卤材料；</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3、单线采用拉丝退火挤塑一次成型的串联工艺，确保高质量的绝缘单线；绝缘一致性提供了更低的传播延迟偏差；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4、特性阻抗：100±15%；单根导体直流电阻：≤14.8Ω/100m；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5、线对直流电阻不平衡：≤2.5%；延迟偏差：≤45ns/100m；绝缘电阻: ≥5000MΩ/km +20℃ DC (100-500) ；</w:t>
            </w:r>
            <w:r/>
          </w:p>
        </w:tc>
      </w:tr>
      <w:tr>
        <w:trPr>
          <w:trHeight w:val="261"/>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127</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语音配线架</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1、采用镀镍锡磷青铜的IDC技术设计，上下两排进出线缆均在正面端接，使施工、维护更快捷；机架式100对110配线架配：冷轧钢板背板、4对5对连接块和标识卡；</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2、有标准19英寸机架型、有腿型及无腿型，适用范围广，满足不同的施工现场需要；                                                                                              </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3、额定电流：1.5Amp；拔出力:≥20N；抗张力:≥133N；卡接导体线规:22~26AWG；工作温度</w:t>
            </w:r>
            <w:r>
              <w:rPr>
                <w:rFonts w:hint="eastAsia" w:ascii="宋体" w:hAnsi="宋体" w:cs="宋体"/>
                <w:i/>
                <w:iCs/>
                <w:color w:val="000000"/>
                <w:sz w:val="24"/>
                <w:szCs w:val="24"/>
                <w:u w:val="single"/>
                <w:lang w:val="en-US" w:eastAsia="zh-CN" w:bidi="ar"/>
              </w:rPr>
              <w:t xml:space="preserve">优于</w:t>
            </w:r>
            <w:r>
              <w:rPr>
                <w:rFonts w:hint="eastAsia" w:ascii="宋体" w:hAnsi="宋体" w:cs="宋体"/>
                <w:i/>
                <w:iCs/>
                <w:color w:val="000000"/>
                <w:sz w:val="24"/>
                <w:szCs w:val="24"/>
                <w:u w:val="single"/>
                <w:lang w:bidi="ar"/>
              </w:rPr>
              <w:t xml:space="preserve">:-25~60℃ ；</w:t>
            </w:r>
            <w:r/>
          </w:p>
        </w:tc>
      </w:tr>
      <w:tr>
        <w:trPr>
          <w:trHeight w:val="12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128</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插座</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1、暗装五孔插座，规格10A 250V，带安全保护门；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2、面板 PC 阻燃材质；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3、含配套暗装底盒；</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4、符合GB 2099.1标准</w:t>
            </w:r>
            <w:r/>
          </w:p>
        </w:tc>
      </w:tr>
      <w:tr>
        <w:trPr>
          <w:trHeight w:val="15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129</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网线3</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1、带中心十字隔离骨架，可有效防止因线对之间绞距变化带来的性能下降；</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2、可提供350MHZ带宽，线规23AWG；</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3、护套采用优良的PVC材料；护套长度为逆序标注以方便识别线缆长度；</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4、线对直流电阻不平衡：≤2%；</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5、必须和网线1为同一品牌。</w:t>
            </w:r>
            <w:r/>
          </w:p>
        </w:tc>
      </w:tr>
      <w:tr>
        <w:trPr>
          <w:trHeight w:val="12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130</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网线4</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1、可提供250MHZ带宽，线规24AWG；</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2、护套采用优良的PVC材料；护套长度为逆序标注以方便识别线缆长度；</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3、线对对地电容不平衡：＜330pF/100m；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4、必须和网线1为同一品牌。</w:t>
            </w:r>
            <w:r/>
          </w:p>
        </w:tc>
      </w:tr>
      <w:tr>
        <w:trPr>
          <w:trHeight w:val="9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131</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电源线1</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1、规格：RYY2×1.5mm²</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2、铜芯软护套线，普通绝缘</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3、满足GB/T 5023标准</w:t>
            </w:r>
            <w:r/>
          </w:p>
        </w:tc>
      </w:tr>
      <w:tr>
        <w:trPr>
          <w:trHeight w:val="6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132</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电源线2</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1、规格：WDZ-BYJ 2.5mm²</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2、低烟无卤阻燃硬线，用于机柜/配电箱内主回路接线</w:t>
            </w:r>
            <w:r/>
          </w:p>
        </w:tc>
      </w:tr>
      <w:tr>
        <w:trPr>
          <w:trHeight w:val="6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133</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配电箱</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1、箱体采用冷轧板喷塑，挂墙明装。</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2、开关配置：2*4P100A空开，15*2P20A 6ka空开，门禁电源输出回路配1个分励脱扣模块，接地排。</w:t>
            </w:r>
            <w:r/>
          </w:p>
        </w:tc>
      </w:tr>
      <w:tr>
        <w:trPr>
          <w:trHeight w:val="18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134</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网线5</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1、可提供250MHZ带宽，线规24AWG；</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2、护套采用优良的PVC材料；护套长度为逆序标注以方便识别线缆长度；</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3、延迟偏差：≤45ns/100m；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4、额定传输速率(NVP)：65%；</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5、绝缘电阻: ≥5000MΩ/km +20℃ DC (100-500)；</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6、必须和网线1为同一品牌。</w:t>
            </w:r>
            <w:r/>
          </w:p>
        </w:tc>
      </w:tr>
      <w:tr>
        <w:trPr>
          <w:trHeight w:val="3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135</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桥架1</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val="en-US" w:eastAsia="zh-CN" w:bidi="ar"/>
              </w:rPr>
              <w:t xml:space="preserve">长</w:t>
            </w:r>
            <w:r>
              <w:rPr>
                <w:rFonts w:hint="eastAsia" w:ascii="宋体" w:hAnsi="宋体" w:cs="宋体"/>
                <w:i/>
                <w:iCs/>
                <w:color w:val="000000"/>
                <w:sz w:val="24"/>
                <w:szCs w:val="24"/>
                <w:u w:val="single"/>
                <w:lang w:bidi="ar"/>
              </w:rPr>
              <w:t xml:space="preserve">200≥mm</w:t>
            </w:r>
            <w:r>
              <w:rPr>
                <w:rFonts w:hint="eastAsia" w:ascii="宋体" w:hAnsi="宋体" w:cs="宋体"/>
                <w:i/>
                <w:iCs/>
                <w:color w:val="000000"/>
                <w:sz w:val="24"/>
                <w:szCs w:val="24"/>
                <w:u w:val="single"/>
                <w:lang w:eastAsia="zh-CN" w:bidi="ar"/>
              </w:rPr>
              <w:t xml:space="preserve">，</w:t>
            </w:r>
            <w:r>
              <w:rPr>
                <w:rFonts w:hint="eastAsia" w:ascii="宋体" w:hAnsi="宋体" w:cs="宋体"/>
                <w:i/>
                <w:iCs/>
                <w:color w:val="000000"/>
                <w:sz w:val="24"/>
                <w:szCs w:val="24"/>
                <w:u w:val="single"/>
                <w:lang w:val="en-US" w:eastAsia="zh-CN" w:bidi="ar"/>
              </w:rPr>
              <w:t xml:space="preserve">宽≥</w:t>
            </w:r>
            <w:r>
              <w:rPr>
                <w:rFonts w:hint="eastAsia" w:ascii="宋体" w:hAnsi="宋体" w:cs="宋体"/>
                <w:i/>
                <w:iCs/>
                <w:color w:val="000000"/>
                <w:sz w:val="24"/>
                <w:szCs w:val="24"/>
                <w:u w:val="single"/>
                <w:lang w:bidi="ar"/>
              </w:rPr>
              <w:t xml:space="preserve">100mm镀锌桥架，按规范要求配置抗震支架及固定架</w:t>
            </w:r>
            <w:r/>
          </w:p>
        </w:tc>
      </w:tr>
      <w:tr>
        <w:trPr>
          <w:trHeight w:val="3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136</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桥架2</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val="en-US" w:eastAsia="zh-CN" w:bidi="ar"/>
              </w:rPr>
              <w:t xml:space="preserve">长≥</w:t>
            </w:r>
            <w:r>
              <w:rPr>
                <w:rFonts w:hint="eastAsia" w:ascii="宋体" w:hAnsi="宋体" w:cs="宋体"/>
                <w:i/>
                <w:iCs/>
                <w:color w:val="000000"/>
                <w:sz w:val="24"/>
                <w:szCs w:val="24"/>
                <w:u w:val="single"/>
                <w:lang w:bidi="ar"/>
              </w:rPr>
              <w:t xml:space="preserve">300mm</w:t>
            </w:r>
            <w:r>
              <w:rPr>
                <w:rFonts w:hint="eastAsia" w:ascii="宋体" w:hAnsi="宋体" w:cs="宋体"/>
                <w:i/>
                <w:iCs/>
                <w:color w:val="000000"/>
                <w:sz w:val="24"/>
                <w:szCs w:val="24"/>
                <w:u w:val="single"/>
                <w:lang w:eastAsia="zh-CN" w:bidi="ar"/>
              </w:rPr>
              <w:t xml:space="preserve">，</w:t>
            </w:r>
            <w:r>
              <w:rPr>
                <w:rFonts w:hint="eastAsia" w:ascii="宋体" w:hAnsi="宋体" w:cs="宋体"/>
                <w:i/>
                <w:iCs/>
                <w:color w:val="000000"/>
                <w:sz w:val="24"/>
                <w:szCs w:val="24"/>
                <w:u w:val="single"/>
                <w:lang w:val="en-US" w:eastAsia="zh-CN" w:bidi="ar"/>
              </w:rPr>
              <w:t xml:space="preserve">宽≥</w:t>
            </w:r>
            <w:r>
              <w:rPr>
                <w:rFonts w:hint="eastAsia" w:ascii="宋体" w:hAnsi="宋体" w:cs="宋体"/>
                <w:i/>
                <w:iCs/>
                <w:color w:val="000000"/>
                <w:sz w:val="24"/>
                <w:szCs w:val="24"/>
                <w:u w:val="single"/>
                <w:lang w:bidi="ar"/>
              </w:rPr>
              <w:t xml:space="preserve">100mm镀锌桥架</w:t>
            </w:r>
            <w:r/>
          </w:p>
        </w:tc>
      </w:tr>
      <w:tr>
        <w:trPr>
          <w:trHeight w:val="9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137</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固定支架</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1、表面处理：防锈油漆</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2、产品材质：角铁</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3、主材厚度：≥2.0MM</w:t>
            </w:r>
            <w:r/>
          </w:p>
        </w:tc>
      </w:tr>
      <w:tr>
        <w:trPr>
          <w:trHeight w:val="12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138</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抗震支架</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1、表面处理</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2、电镀.热镀锌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3、产品材质：碳钢</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4、主材厚度：≥2.0MM</w:t>
            </w:r>
            <w:r/>
          </w:p>
        </w:tc>
      </w:tr>
      <w:tr>
        <w:trPr>
          <w:trHeight w:val="9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139</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穿线管1</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1、材质及规格：PVC25</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2、阻燃冷弯电工套管（中型，壁厚≥1.2mm）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3、满足JG/T 3050标准</w:t>
            </w:r>
            <w:r/>
          </w:p>
        </w:tc>
      </w:tr>
      <w:tr>
        <w:trPr>
          <w:trHeight w:val="6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140</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穿线管2</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1、材质及规格：JDG25</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2、镀锌金属电线管（壁厚≥0.8mm）</w:t>
            </w:r>
            <w:r/>
          </w:p>
        </w:tc>
      </w:tr>
      <w:tr>
        <w:trPr>
          <w:trHeight w:val="9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141</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穿线管3</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1、材质及规格：PE32</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2、聚乙烯塑料管，</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3、满足GB/T 13663标准</w:t>
            </w:r>
            <w:r/>
          </w:p>
        </w:tc>
      </w:tr>
      <w:tr>
        <w:trPr>
          <w:trHeight w:val="6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142</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室外管道1</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1、材质及规格：PVC75</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2、双壁波纹管，环刚度≥SN4，埋深≥0.5m</w:t>
            </w:r>
            <w:r/>
          </w:p>
        </w:tc>
      </w:tr>
      <w:tr>
        <w:trPr>
          <w:trHeight w:val="6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143</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室外管道2</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1、材质及规格：SC65</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2、焊接钢管（普通镀锌，壁厚≥2.0mm）</w:t>
            </w:r>
            <w:r/>
          </w:p>
        </w:tc>
      </w:tr>
      <w:tr>
        <w:trPr>
          <w:trHeight w:val="6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144</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室外管道3</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1、材质及规格：SC100</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2、焊接钢管（普通镀锌，壁厚≥2.5mm）</w:t>
            </w:r>
            <w:r/>
          </w:p>
        </w:tc>
      </w:tr>
      <w:tr>
        <w:trPr>
          <w:trHeight w:val="6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145</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弱电井</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1、规格：</w:t>
            </w:r>
            <w:r>
              <w:rPr>
                <w:rFonts w:hint="eastAsia" w:ascii="宋体" w:hAnsi="宋体" w:cs="宋体"/>
                <w:i/>
                <w:iCs/>
                <w:color w:val="000000"/>
                <w:sz w:val="24"/>
                <w:szCs w:val="24"/>
                <w:u w:val="single"/>
                <w:lang w:val="en-US" w:eastAsia="zh-CN" w:bidi="ar"/>
              </w:rPr>
              <w:t xml:space="preserve">不小于</w:t>
            </w:r>
            <w:r>
              <w:rPr>
                <w:rFonts w:hint="eastAsia" w:ascii="宋体" w:hAnsi="宋体" w:cs="宋体"/>
                <w:i/>
                <w:iCs/>
                <w:color w:val="000000"/>
                <w:sz w:val="24"/>
                <w:szCs w:val="24"/>
                <w:u w:val="single"/>
                <w:lang w:bidi="ar"/>
              </w:rPr>
              <w:t xml:space="preserve">600×600mm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2、砖砌，配普通铸铁井盖（B125承重级）</w:t>
            </w:r>
            <w:r/>
          </w:p>
        </w:tc>
      </w:tr>
      <w:tr>
        <w:trPr>
          <w:trHeight w:val="9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146</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电源线3</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1、规格：WDZ-YJY 3×4mm²</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2、低烟无卤阻燃交联聚乙烯绝缘电缆</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3、满足GB/T 12706标准</w:t>
            </w:r>
            <w:r/>
          </w:p>
        </w:tc>
      </w:tr>
      <w:tr>
        <w:trPr>
          <w:trHeight w:val="9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147</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电源线4</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1、规格：WDZ-YJY 3×2.5mm²</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2、低烟无卤阻燃交联聚乙烯绝缘电缆</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3、满足GB/T 12706标准</w:t>
            </w:r>
            <w:r/>
          </w:p>
        </w:tc>
      </w:tr>
      <w:tr>
        <w:trPr>
          <w:trHeight w:val="9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148</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信号线</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1、规格：RYYP 2×1.5mm²</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2、铜芯聚氯乙烯绝缘屏蔽软线，屏蔽密度≥65%，</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3、满足GB/T 5023标准</w:t>
            </w:r>
            <w:r/>
          </w:p>
        </w:tc>
      </w:tr>
      <w:tr>
        <w:trPr>
          <w:trHeight w:val="9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149</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电源线5</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1、规格：RYY 2×1.5mm²</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2、铜芯聚氯乙烯绝缘软线</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3、满足GB/T 5023标准</w:t>
            </w:r>
            <w:r/>
          </w:p>
        </w:tc>
      </w:tr>
      <w:tr>
        <w:trPr>
          <w:trHeight w:val="365"/>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150</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机柜2</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600*600*22U网络机柜，含1个PDU</w:t>
            </w:r>
            <w:r/>
          </w:p>
        </w:tc>
      </w:tr>
      <w:tr>
        <w:trPr>
          <w:trHeight w:val="403"/>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151</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摄像机1</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1、不低于400万像素CMOS图像传感器，在2688x1520 @30fps下，码率设定为4Mbps，RJ45输出，清晰度不小于1500TVL</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2、最低照度满足：彩色≤0.001lx，黑白≤0.0001 lx</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3、最大红外监控距离不小于30米</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4、支持H.265、H.264、MJPEG视频编码格式，其中H.265和H.264都支持Baseline/Main/High Profile</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w:t>
            </w:r>
            <w:r>
              <w:rPr>
                <w:rFonts w:hint="eastAsia" w:ascii="宋体" w:hAnsi="宋体" w:cs="宋体"/>
                <w:i/>
                <w:iCs/>
                <w:color w:val="000000"/>
                <w:sz w:val="24"/>
                <w:szCs w:val="24"/>
                <w:u w:val="single"/>
                <w:lang w:val="en-US" w:eastAsia="zh-CN" w:bidi="ar"/>
              </w:rPr>
              <w:t xml:space="preserve">不低于</w:t>
            </w:r>
            <w:r>
              <w:rPr>
                <w:rFonts w:hint="eastAsia" w:ascii="宋体" w:hAnsi="宋体" w:cs="宋体"/>
                <w:i/>
                <w:iCs/>
                <w:color w:val="000000"/>
                <w:sz w:val="24"/>
                <w:szCs w:val="24"/>
                <w:u w:val="single"/>
                <w:lang w:bidi="ar"/>
              </w:rPr>
              <w:t xml:space="preserve">支持最多同时开启20个视频窗口进行画面浏览，支持10行字符叠加，字体大小、颜色、对齐方式可设，具有图片叠加到视频画面功能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6、具有背光补偿、强光抑制、自动增益、透雾、3D降噪、走廊模式、感兴趣区域、SVC、断网续传、配置保存、断电保护、用户登录锁定、用户管理、远程管理、配置管理功能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7、支持码流加密；固件加密；配置加密；Digest；WSSE；帐户锁定；安全日志；IP/MAC地址过滤；X.509证书生成与导入；syslog；HTTPS；802.1x；可信启动；可信执行；可信升级</w:t>
            </w:r>
            <w:r/>
          </w:p>
        </w:tc>
      </w:tr>
      <w:tr>
        <w:trPr>
          <w:trHeight w:val="42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152</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摄像机2</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1、与摄像机1同品牌；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3、不低于400万像素CMOS图像传感器，最大分辨率不低于2688x1520，在2688x1520 @30fps下，码率设定为2Mbps，RJ45输出，清晰度不小于1600TVL</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4、最低照度满足：彩色≤0.001lx，黑白≤0.0001 lx</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5、支持H.265、H.264、MJPEG视频编码格式，其中H.265和H.264都支持Baseline/Main/High Profile</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6、最大红外监控距离不小于50米</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w:t>
            </w:r>
            <w:r>
              <w:rPr>
                <w:rFonts w:hint="eastAsia" w:ascii="宋体" w:hAnsi="宋体" w:cs="宋体"/>
                <w:i/>
                <w:iCs/>
                <w:color w:val="000000"/>
                <w:sz w:val="24"/>
                <w:szCs w:val="24"/>
                <w:u w:val="single"/>
                <w:lang w:val="en-US" w:eastAsia="zh-CN" w:bidi="ar"/>
              </w:rPr>
              <w:t xml:space="preserve">不低于</w:t>
            </w:r>
            <w:r>
              <w:rPr>
                <w:rFonts w:hint="eastAsia" w:ascii="宋体" w:hAnsi="宋体" w:cs="宋体"/>
                <w:i/>
                <w:iCs/>
                <w:color w:val="000000"/>
                <w:sz w:val="24"/>
                <w:szCs w:val="24"/>
                <w:u w:val="single"/>
                <w:lang w:bidi="ar"/>
              </w:rPr>
              <w:t xml:space="preserve">支持最多同时开启20个视频窗口进行画面浏览，支持10行字符叠加，字体大小、颜色、对齐方式可设，具有图片叠加到视频画面功能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8、支持帧率动态控制功能，当触发报警时，视频录像帧率应自动调整至设定值，图像传输延时≤90ms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9、支持感兴趣区域、SVC可伸缩编码、自动增益、背光补偿、数字降噪、强光抑制、断电保护、智能红外、用户管理、用户登录锁定、日志检索、配置保存</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支持检测在设定区域内是否有人员拥挤,报警类型可设置为自适应或自定义;可设置灵敏度;当超过设置的最短持续时间时,可触发报警;报警类型设置为自定义后,可添加拥堵等级；支持在预览画面和录像中显示人员运动轨迹;可开启/关闭智能轨迹显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11、具有黑白名单功能，黑白名单最多可添加100个IP地址</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12、支持在-45~70摄氏度，湿度小于93%环境下稳定工作，支持IP67防护等级</w:t>
            </w:r>
            <w:r/>
          </w:p>
        </w:tc>
      </w:tr>
      <w:tr>
        <w:trPr>
          <w:trHeight w:val="3379"/>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153</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摄像机3</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1、与摄像机1同品牌；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3、不低于400万像素CMOS图像传感器，在2560x1440 @ 30fps下，码率设定为4Mbps，RJ45输出，清晰度不小于1500TVL</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4、最低照度彩色：≤0.0001 lx，黑白：≤0.0001 lx。</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5、信噪比不小于58dB，照度适应范围不小于130dB。</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6、支持H.265、H.264、MJPEG视频编码格式，其中H.265和H.264都支持Baseline/Main/High Profile</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7、支持通过浏览器开启/关闭红外灯或使红外灯在低照度下自动开启。红外灯开启时，样机可设置手动、倍率优先、SmartIR和关闭四种模式，其中手动设置支持双路控制。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8、支持对距离20m处的40dB以上的声音进行采集，并输出播放</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9、支持7行字符叠加，字体对齐方式和叠加位置可设，具有图片叠加到视频画面功能，支持最多同时开启20个视频窗口进行画面浏览</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10、支持走廊模式、电子防抖、感兴趣区域、SVC可伸缩编码、自动增益、背光补偿、数字降噪、强光抑制、智能红外、断电保护、用户管理、用户登录锁定、日志检索、配置保存等功能。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11、支持SD卡，SD卡空间不足，SD卡出错，网络断开，IP冲突，移动检测，视频遮挡，区域入侵，拌线入侵，物品遗留，物品搬移，场景变更，音频异常侦测，人脸侦测</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支持日志记录的功能，记录内容包括：1、事件时间；2、当前用户信息及操作源（IP或本地）；3、日志详情，包括操作类型及操作对象，但在日志中不能内容，包括源码、密码、密钥、路径信息等；4、事件结果</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13、配置不少于1个RJ-45 网络接口、1个内置SD卡插槽，1个内置麦克风、1个RS-232接口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14、</w:t>
            </w:r>
            <w:r>
              <w:rPr>
                <w:rFonts w:hint="eastAsia" w:ascii="宋体" w:hAnsi="宋体" w:cs="宋体"/>
                <w:i/>
                <w:iCs/>
                <w:color w:val="000000"/>
                <w:sz w:val="24"/>
                <w:szCs w:val="24"/>
                <w:u w:val="single"/>
                <w:lang w:val="en-US" w:eastAsia="zh-CN" w:bidi="ar"/>
              </w:rPr>
              <w:t xml:space="preserve">优于</w:t>
            </w:r>
            <w:r>
              <w:rPr>
                <w:rFonts w:hint="eastAsia" w:ascii="宋体" w:hAnsi="宋体" w:cs="宋体"/>
                <w:i/>
                <w:iCs/>
                <w:color w:val="000000"/>
                <w:sz w:val="24"/>
                <w:szCs w:val="24"/>
                <w:u w:val="single"/>
                <w:lang w:bidi="ar"/>
              </w:rPr>
              <w:t xml:space="preserve">支持在-45~70摄氏度，湿度小于93%环境下稳定工作，支持IP67，IK10防护等级</w:t>
            </w:r>
            <w:r/>
          </w:p>
        </w:tc>
      </w:tr>
      <w:tr>
        <w:trPr>
          <w:trHeight w:val="335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154</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摄像机4</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1、与摄像机1同品牌；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3、不低于400万像素CMOS图像传感器，在2688x1520 @30fps下，码率设定为4Mbps，RJ45输出，清晰度不小于1500TVL</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4、最低照度满足：彩色≤0.001lx，黑白≤0.0001 lx。</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5、支持H.265、H.264、MJPEG视频编码格式，其中H.265和H.264都支持Baseline/Main/High Profile</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6、最大红外监控距离不小于50米</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▲7、支持镜头前盖玻璃呈倾斜状,与镜头平面呈4°夹角，补光灯表面为磨砂面,灯珠朝向与样机照射方向一致。</w:t>
            </w:r>
            <w:r>
              <w:rPr>
                <w:rFonts w:hint="eastAsia" w:ascii="宋体" w:hAnsi="宋体" w:cs="宋体"/>
                <w:b/>
                <w:bCs/>
                <w:color w:val="000000"/>
                <w:sz w:val="24"/>
                <w:szCs w:val="24"/>
                <w:lang w:bidi="ar"/>
              </w:rPr>
              <w:t xml:space="preserve">（投标时须在响应文件中提供第三方检测机构出具的合格的检验报告或功能截图等相关证明材料）</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8、</w:t>
            </w:r>
            <w:r>
              <w:rPr>
                <w:rFonts w:hint="eastAsia" w:ascii="宋体" w:hAnsi="宋体" w:cs="宋体"/>
                <w:i/>
                <w:iCs/>
                <w:color w:val="000000"/>
                <w:sz w:val="24"/>
                <w:szCs w:val="24"/>
                <w:u w:val="single"/>
                <w:lang w:val="en-US" w:eastAsia="zh-CN" w:bidi="ar"/>
              </w:rPr>
              <w:t xml:space="preserve">不低于：支持</w:t>
            </w:r>
            <w:r>
              <w:rPr>
                <w:rFonts w:hint="eastAsia" w:ascii="宋体" w:hAnsi="宋体" w:cs="宋体"/>
                <w:i/>
                <w:iCs/>
                <w:color w:val="000000"/>
                <w:sz w:val="24"/>
                <w:szCs w:val="24"/>
                <w:u w:val="single"/>
                <w:lang w:bidi="ar"/>
              </w:rPr>
              <w:t xml:space="preserve">最多同时开启20个视频窗口进行画面浏览，支持10行字符叠加，字体大小、颜色、对齐方式可设，具有图片叠加到视频画面功能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9、具有背光补偿、强光抑制、自动增益、透雾、3D降噪、走廊模式、感兴趣区域、SVC、断网续传、配置保存、断电保护、用户登录锁定、用户管理、远程管理、配置管理功能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10、支持码流加密，固件加密，配置加密，Digest，WSSE，帐户锁定，安全日志，IP/MAC地址过滤，X.509证书生成与导入，syslog，HTTPS；802.1x，可信启动，可信执行，可信升级</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11、具有黑白名单功能，黑白名单最多可添加100个IP地址</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12、支持在-45~70摄氏度，湿度小于93%环境下稳定工作，支持IP67防护等级</w:t>
            </w:r>
            <w:r/>
          </w:p>
        </w:tc>
      </w:tr>
      <w:tr>
        <w:trPr>
          <w:trHeight w:val="1055"/>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155</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摄像机5</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lang w:bidi="ar"/>
              </w:rPr>
            </w:pPr>
            <w:r>
              <w:rPr>
                <w:rFonts w:hint="eastAsia" w:ascii="宋体" w:hAnsi="宋体" w:cs="宋体"/>
                <w:i/>
                <w:iCs/>
                <w:color w:val="000000"/>
                <w:sz w:val="24"/>
                <w:szCs w:val="24"/>
                <w:u w:val="single"/>
                <w:lang w:bidi="ar"/>
              </w:rPr>
              <w:t xml:space="preserve">与摄像机1同品牌；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安装调试服务：针对此次配置的软件和硬件，必须提供原厂商现场软硬件安装调试；</w:t>
            </w:r>
            <w:r/>
          </w:p>
          <w:p>
            <w:pPr>
              <w:jc w:val="left"/>
              <w:widowControl/>
              <w:rPr>
                <w:rFonts w:hint="eastAsia" w:ascii="宋体" w:hAnsi="宋体" w:eastAsia="宋体" w:cs="宋体"/>
                <w:i/>
                <w:iCs/>
                <w:color w:val="000000"/>
                <w:sz w:val="24"/>
                <w:szCs w:val="24"/>
                <w:u w:val="single"/>
                <w:lang w:bidi="ar"/>
              </w:rPr>
            </w:pPr>
            <w:r>
              <w:rPr>
                <w:rFonts w:hint="eastAsia" w:ascii="宋体" w:hAnsi="宋体" w:cs="宋体"/>
                <w:i/>
                <w:iCs/>
                <w:color w:val="000000"/>
                <w:sz w:val="24"/>
                <w:szCs w:val="24"/>
                <w:u w:val="single"/>
                <w:lang w:bidi="ar"/>
              </w:rPr>
              <w:t xml:space="preserve">支持1路音频输入和1路音频输出，内置2路报警输入和1路报警输出，支持报警联动功能</w:t>
            </w:r>
            <w:r>
              <w:rPr>
                <w:rFonts w:hint="eastAsia" w:ascii="宋体" w:hAnsi="宋体" w:eastAsia="宋体" w:cs="宋体"/>
                <w:i/>
                <w:iCs/>
                <w:color w:val="000000"/>
                <w:sz w:val="24"/>
                <w:szCs w:val="24"/>
                <w:u w:val="single"/>
                <w:lang w:bidi="ar"/>
              </w:rPr>
              <w:br/>
            </w:r>
            <w:r>
              <w:rPr>
                <w:rFonts w:hint="eastAsia" w:ascii="宋体" w:hAnsi="宋体" w:eastAsia="宋体" w:cs="宋体"/>
                <w:i/>
                <w:iCs/>
                <w:color w:val="000000"/>
                <w:sz w:val="24"/>
                <w:szCs w:val="24"/>
                <w:u w:val="single"/>
                <w:lang w:bidi="ar"/>
              </w:rPr>
              <w:t xml:space="preserve">支持国密算法SM1、SM2、SM3、SM4，</w:t>
            </w:r>
            <w:r/>
          </w:p>
          <w:p>
            <w:pPr>
              <w:jc w:val="left"/>
              <w:widowControl/>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t xml:space="preserve">支持超星光级超低照度，彩色：0.0002Lux@F1.0 黑白：0.0001Lux@F1.0</w:t>
            </w:r>
            <w:r>
              <w:rPr>
                <w:rFonts w:hint="eastAsia" w:ascii="宋体" w:hAnsi="宋体" w:eastAsia="宋体" w:cs="宋体"/>
                <w:i/>
                <w:iCs/>
                <w:color w:val="000000"/>
                <w:sz w:val="24"/>
                <w:szCs w:val="24"/>
                <w:u w:val="single"/>
                <w:lang w:bidi="ar"/>
              </w:rPr>
              <w:br/>
            </w:r>
            <w:r>
              <w:rPr>
                <w:rFonts w:hint="eastAsia" w:ascii="宋体" w:hAnsi="宋体" w:eastAsia="宋体" w:cs="宋体"/>
                <w:i/>
                <w:iCs/>
                <w:color w:val="000000"/>
                <w:sz w:val="24"/>
                <w:szCs w:val="24"/>
                <w:u w:val="single"/>
                <w:lang w:bidi="ar"/>
              </w:rPr>
              <w:t xml:space="preserve">支持H.265、H.264、MJPEG视频编码格式，其中H.265和H.264都支持Baseline/Main/High Profile</w:t>
            </w:r>
            <w:r>
              <w:rPr>
                <w:rFonts w:hint="eastAsia" w:ascii="宋体" w:hAnsi="宋体" w:eastAsia="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不低于</w:t>
            </w:r>
            <w:r>
              <w:rPr>
                <w:rFonts w:hint="eastAsia" w:ascii="宋体" w:hAnsi="宋体" w:eastAsia="宋体" w:cs="宋体"/>
                <w:i/>
                <w:iCs/>
                <w:color w:val="000000"/>
                <w:sz w:val="24"/>
                <w:szCs w:val="24"/>
                <w:u w:val="single"/>
                <w:lang w:bidi="ar"/>
              </w:rPr>
              <w:t xml:space="preserve">双400万高清网络智能球机，支持双路视频输出：全景细节通道均采用400W、1/1.8英寸 CMOS 传感器</w:t>
            </w:r>
            <w:r>
              <w:rPr>
                <w:rFonts w:hint="eastAsia" w:ascii="宋体" w:hAnsi="宋体" w:eastAsia="宋体" w:cs="宋体"/>
                <w:i/>
                <w:iCs/>
                <w:color w:val="000000"/>
                <w:sz w:val="24"/>
                <w:szCs w:val="24"/>
                <w:u w:val="single"/>
                <w:lang w:bidi="ar"/>
              </w:rPr>
              <w:br/>
            </w:r>
            <w:r>
              <w:rPr>
                <w:rFonts w:hint="eastAsia" w:ascii="宋体" w:hAnsi="宋体" w:eastAsia="宋体" w:cs="宋体"/>
                <w:i/>
                <w:iCs/>
                <w:color w:val="000000"/>
                <w:sz w:val="24"/>
                <w:szCs w:val="24"/>
                <w:u w:val="single"/>
                <w:lang w:bidi="ar"/>
              </w:rPr>
              <w:t xml:space="preserve">全景采用8mm～32mm电动变焦镜头；细节采用7mm～175mm电动变焦镜头，支持全景细节联动</w:t>
            </w:r>
            <w:r>
              <w:rPr>
                <w:rFonts w:hint="eastAsia" w:ascii="宋体" w:hAnsi="宋体" w:eastAsia="宋体" w:cs="宋体"/>
                <w:i/>
                <w:iCs/>
                <w:color w:val="000000"/>
                <w:sz w:val="24"/>
                <w:szCs w:val="24"/>
                <w:u w:val="single"/>
                <w:lang w:bidi="ar"/>
              </w:rPr>
              <w:br/>
            </w:r>
            <w:r>
              <w:rPr>
                <w:rFonts w:hint="eastAsia" w:ascii="宋体" w:hAnsi="宋体" w:eastAsia="宋体" w:cs="宋体"/>
                <w:i/>
                <w:iCs/>
                <w:color w:val="000000"/>
                <w:sz w:val="24"/>
                <w:szCs w:val="24"/>
                <w:u w:val="single"/>
                <w:lang w:bidi="ar"/>
              </w:rPr>
              <w:t xml:space="preserve">全景相机内置30米白光灯补光，采用暖色调和柔化处理，有效降低炫目程度；细节相机内置150米柔光灯补光，采用倍率与柔光灯功率匹配算法，补光效果更均匀</w:t>
            </w:r>
            <w:r>
              <w:rPr>
                <w:rFonts w:hint="eastAsia" w:ascii="宋体" w:hAnsi="宋体" w:eastAsia="宋体" w:cs="宋体"/>
                <w:i/>
                <w:iCs/>
                <w:color w:val="000000"/>
                <w:sz w:val="24"/>
                <w:szCs w:val="24"/>
                <w:u w:val="single"/>
                <w:lang w:bidi="ar"/>
              </w:rPr>
              <w:br/>
            </w:r>
            <w:r>
              <w:rPr>
                <w:rFonts w:hint="eastAsia" w:ascii="宋体" w:hAnsi="宋体" w:eastAsia="宋体" w:cs="宋体"/>
                <w:i/>
                <w:iCs/>
                <w:color w:val="000000"/>
                <w:sz w:val="24"/>
                <w:szCs w:val="24"/>
                <w:u w:val="single"/>
                <w:lang w:bidi="ar"/>
              </w:rPr>
              <w:t xml:space="preserve">全景摄像机满足:水平旋转范围:0°~360°,连续旋转垂直旋转范围:0°~30°细节摄像机满足(全景摄像机静止情况下):水平旋转范围:0°~340°垂直旋转范围:-10°~180°</w:t>
            </w:r>
            <w:r>
              <w:rPr>
                <w:rFonts w:hint="eastAsia" w:ascii="宋体" w:hAnsi="宋体" w:eastAsia="宋体" w:cs="宋体"/>
                <w:i/>
                <w:iCs/>
                <w:color w:val="000000"/>
                <w:sz w:val="24"/>
                <w:szCs w:val="24"/>
                <w:u w:val="single"/>
                <w:lang w:bidi="ar"/>
              </w:rPr>
              <w:br/>
            </w:r>
            <w:r>
              <w:rPr>
                <w:rFonts w:hint="eastAsia" w:ascii="宋体" w:hAnsi="宋体" w:eastAsia="宋体" w:cs="宋体"/>
                <w:i/>
                <w:iCs/>
                <w:color w:val="000000"/>
                <w:sz w:val="24"/>
                <w:szCs w:val="24"/>
                <w:u w:val="single"/>
                <w:lang w:bidi="ar"/>
              </w:rPr>
              <w:t xml:space="preserve">支持绊线入侵、区域入侵、穿越围栏、徘徊、物品遗留、物品搬移、快速移动、停车、人员聚集检测；支持联动跟踪</w:t>
            </w:r>
            <w:r>
              <w:rPr>
                <w:rFonts w:hint="eastAsia" w:ascii="宋体" w:hAnsi="宋体" w:eastAsia="宋体" w:cs="宋体"/>
                <w:i/>
                <w:iCs/>
                <w:color w:val="000000"/>
                <w:sz w:val="24"/>
                <w:szCs w:val="24"/>
                <w:u w:val="single"/>
                <w:lang w:bidi="ar"/>
              </w:rPr>
              <w:br/>
            </w:r>
            <w:r>
              <w:rPr>
                <w:rFonts w:hint="eastAsia" w:ascii="宋体" w:hAnsi="宋体" w:eastAsia="宋体" w:cs="宋体"/>
                <w:i/>
                <w:iCs/>
                <w:color w:val="000000"/>
                <w:sz w:val="24"/>
                <w:szCs w:val="24"/>
                <w:u w:val="single"/>
                <w:lang w:bidi="ar"/>
              </w:rPr>
              <w:t xml:space="preserve">具有AR标签管理功能，可对视频画面中监控区域的常规点位、卡口点位、人脸点位、重点道路、重点场所等进行标签标注，标签可跟随标定的目标移动</w:t>
            </w:r>
            <w:r>
              <w:rPr>
                <w:rFonts w:hint="eastAsia" w:ascii="宋体" w:hAnsi="宋体" w:eastAsia="宋体" w:cs="宋体"/>
                <w:i/>
                <w:iCs/>
                <w:color w:val="000000"/>
                <w:sz w:val="24"/>
                <w:szCs w:val="24"/>
                <w:u w:val="single"/>
                <w:lang w:bidi="ar"/>
              </w:rPr>
              <w:br/>
            </w:r>
            <w:r>
              <w:rPr>
                <w:rFonts w:hint="eastAsia" w:ascii="宋体" w:hAnsi="宋体" w:eastAsia="宋体" w:cs="宋体"/>
                <w:i/>
                <w:iCs/>
                <w:color w:val="000000"/>
                <w:sz w:val="24"/>
                <w:szCs w:val="24"/>
                <w:u w:val="single"/>
                <w:lang w:bidi="ar"/>
              </w:rPr>
              <w:t xml:space="preserve">支持不少于人脸检测、通用行为分析、人员布控、车辆布控和视频结构化等5种智能方案；支持对两路监控画面中的行人、非机动车或机动车中的一种或者一种以上类型进行抓图及属性检测，可对单场景内不少于135个混合目标进行检测、框选跟踪和抓拍</w:t>
            </w:r>
            <w:r>
              <w:rPr>
                <w:rFonts w:hint="eastAsia" w:ascii="宋体" w:hAnsi="宋体" w:eastAsia="宋体" w:cs="宋体"/>
                <w:i/>
                <w:iCs/>
                <w:color w:val="000000"/>
                <w:sz w:val="24"/>
                <w:szCs w:val="24"/>
                <w:u w:val="single"/>
                <w:lang w:bidi="ar"/>
              </w:rPr>
              <w:br/>
            </w:r>
            <w:r>
              <w:rPr>
                <w:rFonts w:hint="eastAsia" w:ascii="宋体" w:hAnsi="宋体" w:eastAsia="宋体" w:cs="宋体"/>
                <w:i/>
                <w:iCs/>
                <w:color w:val="000000"/>
                <w:sz w:val="24"/>
                <w:szCs w:val="24"/>
                <w:u w:val="single"/>
                <w:lang w:bidi="ar"/>
              </w:rPr>
              <w:t xml:space="preserve">全景摄像机和细节摄像机均支持视频结构化功能，可同时对检测区域内多个不同运动方向的行人、非机动车、机动车进行检测、跟踪、筛选、框选提示并抓拍图片；支持人脸人体，车牌车辆关联显示</w:t>
            </w:r>
            <w:r/>
          </w:p>
          <w:p>
            <w:pPr>
              <w:pStyle w:val="817"/>
              <w:ind w:firstLine="0"/>
              <w:rPr>
                <w:rFonts w:hint="eastAsia" w:cs="宋体"/>
                <w:color w:val="000000"/>
                <w:szCs w:val="24"/>
                <w:lang w:bidi="ar"/>
              </w:rPr>
            </w:pPr>
            <w:r>
              <w:rPr>
                <w:rFonts w:hint="eastAsia" w:cs="宋体"/>
                <w:color w:val="000000"/>
                <w:szCs w:val="24"/>
                <w:lang w:bidi="ar"/>
              </w:rPr>
              <w:t xml:space="preserve">▲1、细节摄像机从监控画面显示倍率为1倍(最小倍率)变倍至监控画面显示倍率为25倍(最大倍率)时间不大于0.5s，从监控画面显示倍率为25倍(最大倍率)变倍至监控画面显示倍率为1倍(最小倍率)时间不大于0.5s</w:t>
            </w:r>
            <w:r>
              <w:rPr>
                <w:rFonts w:hint="eastAsia" w:cs="宋体"/>
                <w:b/>
                <w:bCs/>
                <w:color w:val="000000"/>
                <w:szCs w:val="24"/>
                <w:lang w:bidi="ar"/>
              </w:rPr>
              <w:t xml:space="preserve">（投标时须在响应文件中提供第三方检测机构出具的合格的检验报告或功能截图等相关证明材料）</w:t>
            </w:r>
            <w:r/>
          </w:p>
          <w:p>
            <w:r>
              <w:rPr>
                <w:rFonts w:hint="eastAsia" w:ascii="宋体" w:hAnsi="宋体" w:cs="宋体"/>
                <w:sz w:val="24"/>
                <w:szCs w:val="24"/>
              </w:rPr>
              <w:t xml:space="preserve">◆1</w:t>
            </w:r>
            <w:r>
              <w:rPr>
                <w:rFonts w:hint="eastAsia" w:ascii="宋体" w:hAnsi="宋体" w:cs="宋体"/>
                <w:color w:val="000000"/>
                <w:sz w:val="24"/>
                <w:szCs w:val="24"/>
                <w:lang w:bidi="ar"/>
              </w:rPr>
              <w:t xml:space="preserve">、支持细节摄像机7mm到50mm变焦过程中镜头光圈保持不变(F1.2±0.1) 符合 GB/T 17626.5-2019标准；</w:t>
            </w:r>
            <w:r/>
          </w:p>
        </w:tc>
      </w:tr>
      <w:tr>
        <w:trPr>
          <w:trHeight w:val="1321"/>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156</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摄像机6</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lang w:bidi="ar"/>
              </w:rPr>
            </w:pPr>
            <w:r>
              <w:rPr>
                <w:rFonts w:hint="eastAsia" w:ascii="宋体" w:hAnsi="宋体" w:cs="宋体"/>
                <w:i/>
                <w:iCs/>
                <w:color w:val="000000"/>
                <w:sz w:val="24"/>
                <w:szCs w:val="24"/>
                <w:u w:val="single"/>
                <w:lang w:bidi="ar"/>
              </w:rPr>
              <w:t xml:space="preserve">与摄像机1同品牌；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不低于</w:t>
            </w:r>
            <w:r>
              <w:rPr>
                <w:rFonts w:hint="eastAsia" w:ascii="宋体" w:hAnsi="宋体" w:cs="宋体"/>
                <w:i/>
                <w:iCs/>
                <w:color w:val="000000"/>
                <w:sz w:val="24"/>
                <w:szCs w:val="24"/>
                <w:u w:val="single"/>
                <w:lang w:bidi="ar"/>
              </w:rPr>
              <w:t xml:space="preserve">400W像素CMOS传感器，内置靶面尺寸不小于1/1.8"，内置GPU芯片，像元尺寸不小于2.9umx2.9um。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最低照度满足：彩色≤0.0002Lux，黑白≤0.0001Lux。</w:t>
            </w:r>
            <w:r/>
          </w:p>
          <w:p>
            <w:pPr>
              <w:jc w:val="left"/>
              <w:widowControl/>
              <w:rPr>
                <w:rFonts w:hint="eastAsia" w:ascii="宋体" w:hAnsi="宋体" w:cs="宋体"/>
                <w:color w:val="000000"/>
                <w:sz w:val="24"/>
                <w:szCs w:val="24"/>
                <w:lang w:bidi="ar"/>
              </w:rPr>
            </w:pPr>
            <w:r>
              <w:rPr>
                <w:rFonts w:hint="eastAsia" w:ascii="宋体" w:hAnsi="宋体" w:cs="宋体"/>
                <w:i/>
                <w:iCs/>
                <w:color w:val="000000"/>
                <w:sz w:val="24"/>
                <w:szCs w:val="24"/>
                <w:u w:val="single"/>
                <w:lang w:bidi="ar"/>
              </w:rPr>
              <w:t xml:space="preserve">具有三种滤光片，在白天、夜晚及有雾情况下可自动切换不同的滤光片进行成像。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具有H. 265、H. 264、MJPEG 设置选项；可将H. 264和H. 265格式设置 为 Baseline/Main/High Profile。</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内置不少于4颗补光灯，每颗补光灯均有红外灯和暖光灯组成；补光灯开启后，无明显波纹状、圆环状、麻点状、条纹状及不规则亮斑。</w:t>
            </w:r>
            <w:r>
              <w:rPr>
                <w:rFonts w:hint="eastAsia" w:ascii="宋体" w:hAnsi="宋体" w:cs="宋体"/>
                <w:color w:val="000000"/>
                <w:sz w:val="24"/>
                <w:szCs w:val="24"/>
                <w:lang w:bidi="ar"/>
              </w:rPr>
              <w:br/>
            </w:r>
            <w:r>
              <w:rPr>
                <w:rFonts w:hint="eastAsia" w:ascii="宋体" w:hAnsi="宋体" w:cs="宋体"/>
                <w:i/>
                <w:iCs/>
                <w:color w:val="000000"/>
                <w:sz w:val="24"/>
                <w:szCs w:val="24"/>
                <w:u w:val="single"/>
                <w:lang w:bidi="ar"/>
              </w:rPr>
              <w:t xml:space="preserve">补光灯透镜采用微四边形阵列镜面，通过多层透镜组合，可消除监控画面中目标的眩光、杂光和亮点等现象；。</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支持开启或关闭音视频加密传输功能，开启后可对传输的视频I帧进行加密；支持在回放模式下，可进行批量下载图片、录像到本地，录像类型dav、mp4可选。</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不低于：</w:t>
            </w:r>
            <w:r>
              <w:rPr>
                <w:rFonts w:hint="eastAsia" w:ascii="宋体" w:hAnsi="宋体" w:cs="宋体"/>
                <w:i/>
                <w:iCs/>
                <w:color w:val="000000"/>
                <w:sz w:val="24"/>
                <w:szCs w:val="24"/>
                <w:u w:val="single"/>
                <w:lang w:bidi="ar"/>
              </w:rPr>
              <w:t xml:space="preserve">支持检出、识别两眼瞳距40像素点以上的人脸图片，支持预设角度值（0-90° )，当实际抓拍人脸角度大于预设值时，不对监控画面中的人脸进行抓拍。</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支持单场景同时检出不少于30张人脸图片，并支持面部跟踪，人脸抓拍率不低于99%。</w:t>
            </w:r>
            <w:r>
              <w:rPr>
                <w:rFonts w:hint="eastAsia" w:ascii="宋体" w:hAnsi="宋体" w:cs="宋体"/>
                <w:color w:val="000000"/>
                <w:sz w:val="24"/>
                <w:szCs w:val="24"/>
                <w:lang w:bidi="ar"/>
              </w:rPr>
              <w:br/>
            </w:r>
            <w:r>
              <w:rPr>
                <w:rFonts w:hint="eastAsia" w:ascii="宋体" w:hAnsi="宋体" w:cs="宋体"/>
                <w:i/>
                <w:iCs/>
                <w:color w:val="000000"/>
                <w:sz w:val="24"/>
                <w:szCs w:val="24"/>
                <w:u w:val="single"/>
                <w:lang w:bidi="ar"/>
              </w:rPr>
              <w:t xml:space="preserve">支持对机动车、非机动车、行人进行抓拍并可在浏览器实时显示。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支持多种异常检测：动态检测，视频遮挡，场景变更，虚焦侦测，音频异常侦测，无SD卡，SD卡空间不足，SD卡出错，网络断开，IP冲突，非法访问。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支持在-45~70摄氏度，湿度小于93%环境下稳定工作。</w:t>
            </w:r>
            <w:r/>
          </w:p>
          <w:p>
            <w:pPr>
              <w:rPr>
                <w:rFonts w:hint="eastAsia" w:ascii="宋体" w:hAnsi="宋体" w:cs="宋体"/>
                <w:color w:val="000000"/>
                <w:sz w:val="24"/>
                <w:szCs w:val="24"/>
                <w:lang w:bidi="ar"/>
              </w:rPr>
            </w:pPr>
            <w:r>
              <w:rPr>
                <w:rFonts w:hint="eastAsia" w:ascii="宋体" w:hAnsi="宋体" w:cs="宋体"/>
                <w:color w:val="000000"/>
                <w:sz w:val="24"/>
                <w:szCs w:val="24"/>
                <w:lang w:bidi="ar"/>
              </w:rPr>
              <w:t xml:space="preserve">▲1、支持变焦镜头全焦段图像畸变校正功能，相机从短焦到长焦变倍全过程均可同步自动进行画面畸变校正，画面几何失真全焦段≤3%</w:t>
            </w:r>
            <w:r>
              <w:rPr>
                <w:rFonts w:hint="eastAsia" w:ascii="宋体" w:hAnsi="宋体" w:cs="宋体"/>
                <w:b/>
                <w:bCs/>
                <w:color w:val="000000"/>
                <w:sz w:val="24"/>
                <w:szCs w:val="24"/>
                <w:lang w:bidi="ar"/>
              </w:rPr>
              <w:t xml:space="preserve">（投标时须在响应文件中提供第三方检测机构出具的合格的检验报告或功能截图等相关证明材料）</w:t>
            </w:r>
            <w:r/>
          </w:p>
          <w:p>
            <w:r>
              <w:rPr>
                <w:rFonts w:hint="eastAsia" w:ascii="宋体" w:hAnsi="宋体" w:cs="宋体"/>
                <w:color w:val="000000"/>
                <w:sz w:val="24"/>
                <w:szCs w:val="24"/>
                <w:lang w:bidi="ar"/>
              </w:rPr>
              <w:t xml:space="preserve">◆1、当人脸、人体、车身、车牌目标在画面中横向运动时，因速度过快或环境亮度动态范围过大，导致画面出现拖影与重影现象时，开启功能，可消除人脸、人体、车身、车牌目标横向拖影与重影现象，并自动调节画面亮度、锐度；</w:t>
            </w:r>
            <w:r/>
          </w:p>
        </w:tc>
      </w:tr>
      <w:tr>
        <w:trPr>
          <w:trHeight w:val="73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157</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摄像机9</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1、与摄像机1同品牌；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3、支持最大输出2688×1440@25fps高清图像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4、最低照度满足：彩色：≤0.0002lx，黑白：≤0.0001 lx。</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5、支持自动白平衡、自动电子快门、自动光圈</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6、支持根据设置车道个数，自动调节画面远近，并进行自动聚焦；具有画面缩放功能，支持在操作界面进行画面缩放设置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7、支持机动车、非机动车和行人目标检测、非机动车和行人人脸检测、车牌识别、车辆类型识别、非机动车违法抓拍、机动车违法抓拍、车身颜色识别、视频结构化抓拍、图片合成、OSD信息叠加</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8、支持进入界面后自动弹出是否进行场景调节选项进行选择，进入后可对场景、车道数等进行配置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9、支持对设备支持的不同类型数据具有分时段控制抓拍功能、支持设置违法检测分时段、分车道、实现不同时间段、不同车道的违法判罚</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10、支持对指定道路区域内过车进行自动检测并抓拍。并支持将识别结果叠加至OSD上显示；白天捕获率≥99%，准确率≥99%；晚上捕获率≥99%，准确率≥99%</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w:t>
            </w:r>
            <w:r>
              <w:rPr>
                <w:rFonts w:hint="eastAsia" w:ascii="宋体" w:hAnsi="宋体" w:cs="宋体"/>
                <w:i/>
                <w:iCs/>
                <w:color w:val="000000"/>
                <w:sz w:val="24"/>
                <w:szCs w:val="24"/>
                <w:u w:val="single"/>
                <w:lang w:val="en-US" w:eastAsia="zh-CN" w:bidi="ar"/>
              </w:rPr>
              <w:t xml:space="preserve">不低于：</w:t>
            </w:r>
            <w:r>
              <w:rPr>
                <w:rFonts w:hint="eastAsia" w:ascii="宋体" w:hAnsi="宋体" w:cs="宋体"/>
                <w:i/>
                <w:iCs/>
                <w:color w:val="000000"/>
                <w:sz w:val="24"/>
                <w:szCs w:val="24"/>
                <w:u w:val="single"/>
                <w:lang w:bidi="ar"/>
              </w:rPr>
              <w:t xml:space="preserve">支持1~4车道车辆抓拍、车牌识别和车辆结构化信息提取，支持最大8车道监控；支持1-4车道车辆逆行、拥堵检测、违法停车、行人事件等交通事件的检测</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12、支持交通区域入侵、交通火焰检测、烟雾报警、逆行、超速、欠速、违法停车、违法变道、压黄线、交通拥堵、行人事件、交通事故、交通道路施工、交通路障</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13、支持最大</w:t>
            </w:r>
            <w:r>
              <w:rPr>
                <w:rFonts w:hint="eastAsia" w:ascii="宋体" w:hAnsi="宋体" w:cs="宋体"/>
                <w:i/>
                <w:iCs/>
                <w:color w:val="000000"/>
                <w:sz w:val="24"/>
                <w:szCs w:val="24"/>
                <w:u w:val="single"/>
                <w:lang w:val="en-US" w:eastAsia="zh-CN" w:bidi="ar"/>
              </w:rPr>
              <w:t xml:space="preserve">不低于</w:t>
            </w:r>
            <w:r>
              <w:rPr>
                <w:rFonts w:hint="eastAsia" w:ascii="宋体" w:hAnsi="宋体" w:cs="宋体"/>
                <w:i/>
                <w:iCs/>
                <w:color w:val="000000"/>
                <w:sz w:val="24"/>
                <w:szCs w:val="24"/>
                <w:u w:val="single"/>
                <w:lang w:bidi="ar"/>
              </w:rPr>
              <w:t xml:space="preserve">256G TF卡本地存储，抓拍图片可断网续传</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14、支持网络接口、USB接口、RS-485接口、RS-232接口、报警输入输出、外置灯接口、GPS接口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15、支持网络防雷、防浪涌、防静电，IP67防护等级</w:t>
            </w:r>
            <w:r/>
          </w:p>
        </w:tc>
      </w:tr>
      <w:tr>
        <w:trPr>
          <w:trHeight w:val="1055"/>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158</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摄像机7</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numPr>
                <w:ilvl w:val="0"/>
                <w:numId w:val="3"/>
              </w:numPr>
              <w:jc w:val="left"/>
              <w:widowControl/>
              <w:rPr>
                <w:rFonts w:hint="eastAsia" w:ascii="宋体" w:hAnsi="宋体" w:cs="宋体"/>
                <w:i/>
                <w:iCs/>
                <w:color w:val="000000"/>
                <w:sz w:val="24"/>
                <w:szCs w:val="24"/>
                <w:u w:val="single"/>
                <w:lang w:bidi="ar"/>
              </w:rPr>
            </w:pPr>
            <w:r>
              <w:rPr>
                <w:rFonts w:hint="eastAsia" w:ascii="宋体" w:hAnsi="宋体" w:cs="宋体"/>
                <w:i/>
                <w:iCs/>
                <w:color w:val="000000"/>
                <w:sz w:val="24"/>
                <w:szCs w:val="24"/>
                <w:u w:val="single"/>
                <w:lang w:bidi="ar"/>
              </w:rPr>
              <w:t xml:space="preserve">与摄像机1同品牌；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3、支持H.265、H.264、MJPEG视频编码格式，其中H.265和H.264都支持Baseline/Main/High Profile</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4、支持帧率动态控制功能，当触发报警时，视频录像帧率应自动调整至设定值</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5、支持最多同时开启</w:t>
            </w:r>
            <w:r>
              <w:rPr>
                <w:rFonts w:hint="eastAsia" w:ascii="宋体" w:hAnsi="宋体" w:cs="宋体"/>
                <w:i/>
                <w:iCs/>
                <w:color w:val="000000"/>
                <w:sz w:val="24"/>
                <w:szCs w:val="24"/>
                <w:u w:val="single"/>
                <w:lang w:val="en-US" w:eastAsia="zh-CN" w:bidi="ar"/>
              </w:rPr>
              <w:t xml:space="preserve">不低于</w:t>
            </w:r>
            <w:r>
              <w:rPr>
                <w:rFonts w:hint="eastAsia" w:ascii="宋体" w:hAnsi="宋体" w:cs="宋体"/>
                <w:i/>
                <w:iCs/>
                <w:color w:val="000000"/>
                <w:sz w:val="24"/>
                <w:szCs w:val="24"/>
                <w:u w:val="single"/>
                <w:lang w:bidi="ar"/>
              </w:rPr>
              <w:t xml:space="preserve">20个视频窗口进行画面浏览</w:t>
            </w:r>
            <w:r/>
          </w:p>
          <w:p>
            <w:pPr>
              <w:numPr>
                <w:ilvl w:val="0"/>
                <w:numId w:val="0"/>
              </w:num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6、支持区域曝光、背光补偿、强光抑制、自动增益、数字降噪、透雾、走廊模式、SVC、感兴趣区域、断网续传、断电保护功能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7、支持黑白名单功能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w:t>
            </w:r>
            <w:r>
              <w:rPr>
                <w:rFonts w:hint="eastAsia" w:ascii="宋体" w:hAnsi="宋体" w:cs="宋体"/>
                <w:i/>
                <w:iCs/>
                <w:color w:val="000000"/>
                <w:sz w:val="24"/>
                <w:szCs w:val="24"/>
                <w:u w:val="single"/>
                <w:lang w:val="en-US" w:eastAsia="zh-CN" w:bidi="ar"/>
              </w:rPr>
              <w:t xml:space="preserve">优于</w:t>
            </w:r>
            <w:r>
              <w:rPr>
                <w:rFonts w:hint="eastAsia" w:ascii="宋体" w:hAnsi="宋体" w:cs="宋体"/>
                <w:i/>
                <w:iCs/>
                <w:color w:val="000000"/>
                <w:sz w:val="24"/>
                <w:szCs w:val="24"/>
                <w:u w:val="single"/>
                <w:lang w:bidi="ar"/>
              </w:rPr>
              <w:t xml:space="preserve">IP67,IK10防护等级</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9</w:t>
            </w:r>
            <w:r>
              <w:rPr>
                <w:rFonts w:hint="eastAsia" w:ascii="宋体" w:hAnsi="宋体" w:cs="宋体"/>
                <w:i/>
                <w:iCs/>
                <w:color w:val="000000"/>
                <w:sz w:val="24"/>
                <w:szCs w:val="24"/>
                <w:u w:val="single"/>
                <w:lang w:bidi="ar"/>
              </w:rPr>
              <w:t xml:space="preserve">、最低照度满足：彩色≤0.001lx，黑白≤0.0001lx</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w:t>
            </w:r>
            <w:r>
              <w:rPr>
                <w:rFonts w:hint="eastAsia" w:ascii="宋体" w:hAnsi="宋体" w:cs="宋体"/>
                <w:i/>
                <w:iCs/>
                <w:color w:val="000000"/>
                <w:sz w:val="24"/>
                <w:szCs w:val="24"/>
                <w:u w:val="single"/>
                <w:lang w:val="en-US" w:eastAsia="zh-CN" w:bidi="ar"/>
              </w:rPr>
              <w:t xml:space="preserve">0</w:t>
            </w:r>
            <w:r>
              <w:rPr>
                <w:rFonts w:hint="eastAsia" w:ascii="宋体" w:hAnsi="宋体" w:cs="宋体"/>
                <w:i/>
                <w:iCs/>
                <w:color w:val="000000"/>
                <w:sz w:val="24"/>
                <w:szCs w:val="24"/>
                <w:u w:val="single"/>
                <w:lang w:bidi="ar"/>
              </w:rPr>
              <w:t xml:space="preserve">、支持滤光片切换功能，摄像机可在彩色/黑白模式下自动切换滤光片</w:t>
            </w:r>
            <w:r/>
          </w:p>
        </w:tc>
      </w:tr>
      <w:tr>
        <w:trPr>
          <w:trHeight w:val="1536"/>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159</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摄像机8</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1、与摄像机1同品牌；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3、具有重瞳设置选项，开启后可自动调节优化画面中人脸和车牌区域的曝光；具有清影设置选项，开启后可根据场景自动适配画面亮度、锐度</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4、支持同时检测</w:t>
            </w:r>
            <w:r>
              <w:rPr>
                <w:rFonts w:hint="eastAsia" w:ascii="宋体" w:hAnsi="宋体" w:cs="宋体"/>
                <w:i/>
                <w:iCs/>
                <w:color w:val="000000"/>
                <w:sz w:val="24"/>
                <w:szCs w:val="24"/>
                <w:u w:val="single"/>
                <w:lang w:val="en-US" w:eastAsia="zh-CN" w:bidi="ar"/>
              </w:rPr>
              <w:t xml:space="preserve">≥</w:t>
            </w:r>
            <w:r>
              <w:rPr>
                <w:rFonts w:hint="eastAsia" w:ascii="宋体" w:hAnsi="宋体" w:cs="宋体"/>
                <w:i/>
                <w:iCs/>
                <w:color w:val="000000"/>
                <w:sz w:val="24"/>
                <w:szCs w:val="24"/>
                <w:u w:val="single"/>
                <w:lang w:bidi="ar"/>
              </w:rPr>
              <w:t xml:space="preserve">32张人脸，对运动人脸进行检测、跟踪、抓拍、优选，输出最优的人脸抓图；支持人脸增强，人脸曝光，人脸属性提取</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5、支持将人脸抓拍图片分别存储为场景图和人脸图,场景图和人脸图可关联存储,并可通过浏览器或客户端查看和检索存储的图片；支持人脸抓拍图片类型选择，包括支持人脸抓拍图片类型选择，包括脸、单寸照</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6、支持对机动车、非机动车、行人进行抓拍并可在浏览器实时显示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7、支持绊线入侵，区域入侵，快速移动（三项均支持人车分类及精准检测），物品遗留，物品搬移，徘徊检测，人员聚集，停车检测，热度图，人脸检测，人数统计</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8、支持报警2进1出，音频1进1出，内置MIC，RS485，BNC，256G Micro SD卡</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9、支持AC24V/DC12V/POE供电方式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w:t>
            </w:r>
            <w:r>
              <w:rPr>
                <w:rFonts w:hint="eastAsia" w:ascii="宋体" w:hAnsi="宋体" w:cs="宋体"/>
                <w:i/>
                <w:iCs/>
                <w:color w:val="000000"/>
                <w:sz w:val="24"/>
                <w:szCs w:val="24"/>
                <w:u w:val="single"/>
                <w:lang w:val="en-US" w:eastAsia="zh-CN" w:bidi="ar"/>
              </w:rPr>
              <w:t xml:space="preserve">0</w:t>
            </w:r>
            <w:r>
              <w:rPr>
                <w:rFonts w:hint="eastAsia" w:ascii="宋体" w:hAnsi="宋体" w:cs="宋体"/>
                <w:i/>
                <w:iCs/>
                <w:color w:val="000000"/>
                <w:sz w:val="24"/>
                <w:szCs w:val="24"/>
                <w:u w:val="single"/>
                <w:lang w:bidi="ar"/>
              </w:rPr>
              <w:t xml:space="preserve">、最低照度满足：彩色≤0.0002Lux，黑白≤0.0001Lux</w:t>
            </w:r>
            <w:r/>
          </w:p>
        </w:tc>
      </w:tr>
      <w:tr>
        <w:trPr>
          <w:trHeight w:val="36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160</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防雷器</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电源、网络二合一防雷器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电源保护参数：</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1、持续运行电压：≥40V AC/DC 50-60Hz；</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2、标称放电电流：≥5kA；</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3、最大放电电流：≥10kA；</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网络信号保护参数：</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4、最大持续运行电压：≥8V DC；</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5、总放电电流：≥10kA；</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6、标称放电电流：≥2.5kA；</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7、最大放电电流：≥3kA；</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8、传输速率：≥100Mbps；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9、插入损耗：≤0.5dB。</w:t>
            </w:r>
            <w:r/>
          </w:p>
        </w:tc>
      </w:tr>
      <w:tr>
        <w:trPr>
          <w:trHeight w:val="3769"/>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161</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硬盘录像机</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2、支持全新UI4.0界面风格</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3、工业级嵌入式微控制器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4、支持WEB、本地GUI界面操作</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5、支持Smart H.265/H.265/Smart H.264/H.264/MJPEG码流</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6、支持VGA、HDMI异源输出，HDMI视频输出分辨率最高达4K</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7、支持1路后智能人脸检测比对，最大10个人脸库，共20000张人脸图片；2路后智能周界检测；4路后智能SMD</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8、支持前智能：高空抛物检测、人脸检测比对、周界防范、通用行为分析、立体行为分析、人群分布、人数统计、热度图、SMD功能、物品监控、电瓶车入梯</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9、设备支持物品智能监管功能检测，当设定区域内的背包、快递盒、箱子被搬移后，将触发报警事件，支持联动录像、蜂鸣和发送邮件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10、可接驳支持ONVIF、RTSP协议的第三方摄像机和主流品牌摄像机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11、支持IPv4、IPv6、HTTP、NTP、DNS、ONVIF网络协议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12、支持16M/12M/8M/6M/5M/4M/3M/1080P/960P/720PIPC分辨率接入</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13、支持语音对讲，客户端通过NVR与网络摄像机进行语音对讲</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14、支持按时间、按事件等多种方式进行录像的检索、回放、备份，支持图片本地回放与查询</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15、支持标签自定义功能，设备支持对指定时间的录像进行标签并归档，便于后续査看</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16、支持本机硬盘、网络等存储方式，支持硬盘、外接USB存储设备备份方式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17、支持设备操作日志、报警日志、系统日志的记录与查询功能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18、支持断网续传功能，能对前端摄像机断网这段时间内SD卡中的录像回传到NVR</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19、支持即时回放功能，在预览画面下回放指定通道的录像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20、支持预览图像与回放图像的电子放大</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21、支持通过鼠标控制云台进行转动、放大、定位等操作</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22、支持远程管理IPC功能，支持对前端IPC远程升级，支持远程对IPC的编码配置修改等操作</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23、支持远程零通道预览功能，可将接入的多路视频图像多画面显示在一路视频图像上</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24、支持盘组管理功能，实现视频录像的定向存储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25、支持配额管理功能，实现按通道分配不同的录像天数进行存储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26、升级文件可通过数字签名进行加密，篡改后可给出提示信息，且不能对设备进行升级</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27、支持走廊模式功能，支持IPC画面旋转90°或270°，成9:16走廊模式</w:t>
            </w:r>
            <w:r/>
          </w:p>
        </w:tc>
      </w:tr>
      <w:tr>
        <w:trPr>
          <w:trHeight w:val="6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162</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硬盘1</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1、容量：≥8T，监控级专用硬盘</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2、转速≥5400RPM，缓存≥64MB，支持7×24h工作，MTBF≥100万小时</w:t>
            </w:r>
            <w:r/>
          </w:p>
        </w:tc>
      </w:tr>
      <w:tr>
        <w:trPr>
          <w:trHeight w:val="2123"/>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163</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解码器1</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安装调试服务：针对此次配置的软件和硬件，必须提供原厂商现场软硬件安装调试；</w:t>
            </w:r>
            <w:r>
              <w:rPr>
                <w:rFonts w:hint="eastAsia" w:ascii="宋体" w:hAnsi="宋体" w:cs="宋体"/>
                <w:color w:val="000000"/>
                <w:sz w:val="24"/>
                <w:szCs w:val="24"/>
                <w:lang w:bidi="ar"/>
              </w:rPr>
              <w:br/>
            </w:r>
            <w:r>
              <w:rPr>
                <w:rFonts w:hint="eastAsia" w:ascii="宋体" w:hAnsi="宋体" w:cs="宋体"/>
                <w:i/>
                <w:iCs/>
                <w:color w:val="000000"/>
                <w:sz w:val="24"/>
                <w:szCs w:val="24"/>
                <w:u w:val="single"/>
                <w:lang w:bidi="ar"/>
              </w:rPr>
              <w:t xml:space="preserve">支持视频图像跨屏同步显示功能，所有跨屏信号源可以同时发送至各个屏幕显示，时差≤50ｕs；支持通过快捷键将信号源推送至大屏的任意的窗口；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支持MPEG2/MPEG4/H.264/H.265/MJPEG视频解码，支持AAC、PCM、G.711音频解码；</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每个输出口同时支持1/4/6/8/9/16/25/36和MXN（≤36）分割显示；支持1X1，1X2，1X3，1X4，4X1，3X1，2X1，2X2融合屏方式，每个融合屏支持1/4/6/8/9/16/25/36和MXN（≤36）分割显示；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支持对接入的网络摄像机视频进行智能行为分析，当检测到以下行为事件发生时，会触发视频录像、抓拍图片，并在大屏上显示事件消息：1. 区域入侵，2. 拌线入侵；支持对入侵目标进行设置，可设置入侵目标为人、车，或者人和车；</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通过鼠标调整鹰眼地图中区域框大小或者鼠标滚轮缩放，可改变相应的电视墙主窗口显示区域大小；拖动鹰眼地图中区域框位置，可改变相应的电视墙主窗口显示区域；</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支持通过解码器实现会议显示屏的开关控制；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连续按三下电源键，可以初始化密码；连续按五下电源键，可以恢复默认配置；支持设置指定电脑允许的接管范围和窗口，除此之外的电脑内容不予以显示；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支持</w:t>
            </w:r>
            <w:r>
              <w:rPr>
                <w:rFonts w:hint="eastAsia" w:ascii="宋体" w:hAnsi="宋体" w:cs="宋体"/>
                <w:i/>
                <w:iCs/>
                <w:color w:val="000000"/>
                <w:sz w:val="24"/>
                <w:szCs w:val="24"/>
                <w:u w:val="single"/>
                <w:lang w:val="en-US" w:eastAsia="zh-CN" w:bidi="ar"/>
              </w:rPr>
              <w:t xml:space="preserve">≥</w:t>
            </w:r>
            <w:r>
              <w:rPr>
                <w:rFonts w:hint="eastAsia" w:ascii="宋体" w:hAnsi="宋体" w:cs="宋体"/>
                <w:i/>
                <w:iCs/>
                <w:color w:val="000000"/>
                <w:sz w:val="24"/>
                <w:szCs w:val="24"/>
                <w:u w:val="single"/>
                <w:lang w:bidi="ar"/>
              </w:rPr>
              <w:t xml:space="preserve">2个标准232接口，</w:t>
            </w:r>
            <w:r>
              <w:rPr>
                <w:rFonts w:hint="eastAsia" w:ascii="宋体" w:hAnsi="宋体" w:cs="宋体"/>
                <w:i/>
                <w:iCs/>
                <w:color w:val="000000"/>
                <w:sz w:val="24"/>
                <w:szCs w:val="24"/>
                <w:u w:val="single"/>
                <w:lang w:val="en-US" w:eastAsia="zh-CN" w:bidi="ar"/>
              </w:rPr>
              <w:t xml:space="preserve">≥</w:t>
            </w:r>
            <w:r>
              <w:rPr>
                <w:rFonts w:hint="eastAsia" w:ascii="宋体" w:hAnsi="宋体" w:cs="宋体"/>
                <w:i/>
                <w:iCs/>
                <w:color w:val="000000"/>
                <w:sz w:val="24"/>
                <w:szCs w:val="24"/>
                <w:u w:val="single"/>
                <w:lang w:bidi="ar"/>
              </w:rPr>
              <w:t xml:space="preserve">2个USB 2.0接口，</w:t>
            </w:r>
            <w:r>
              <w:rPr>
                <w:rFonts w:hint="eastAsia" w:ascii="宋体" w:hAnsi="宋体" w:cs="宋体"/>
                <w:i/>
                <w:iCs/>
                <w:color w:val="000000"/>
                <w:sz w:val="24"/>
                <w:szCs w:val="24"/>
                <w:u w:val="single"/>
                <w:lang w:val="en-US" w:eastAsia="zh-CN" w:bidi="ar"/>
              </w:rPr>
              <w:t xml:space="preserve">≥</w:t>
            </w:r>
            <w:r>
              <w:rPr>
                <w:rFonts w:hint="eastAsia" w:ascii="宋体" w:hAnsi="宋体" w:cs="宋体"/>
                <w:i/>
                <w:iCs/>
                <w:color w:val="000000"/>
                <w:sz w:val="24"/>
                <w:szCs w:val="24"/>
                <w:u w:val="single"/>
                <w:lang w:bidi="ar"/>
              </w:rPr>
              <w:t xml:space="preserve">1个485接口，支持网络数据抓包、串口日志保持、解码通道录像，并存储在USB接口存储设备中；</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支持</w:t>
            </w:r>
            <w:r>
              <w:rPr>
                <w:rFonts w:hint="eastAsia" w:ascii="宋体" w:hAnsi="宋体" w:cs="宋体"/>
                <w:i/>
                <w:iCs/>
                <w:color w:val="000000"/>
                <w:sz w:val="24"/>
                <w:szCs w:val="24"/>
                <w:u w:val="single"/>
                <w:lang w:val="en-US" w:eastAsia="zh-CN" w:bidi="ar"/>
              </w:rPr>
              <w:t xml:space="preserve">≥</w:t>
            </w:r>
            <w:r>
              <w:rPr>
                <w:rFonts w:hint="eastAsia" w:ascii="宋体" w:hAnsi="宋体" w:cs="宋体"/>
                <w:i/>
                <w:iCs/>
                <w:color w:val="000000"/>
                <w:sz w:val="24"/>
                <w:szCs w:val="24"/>
                <w:u w:val="single"/>
                <w:lang w:bidi="ar"/>
              </w:rPr>
              <w:t xml:space="preserve">4路HDMI信号输出接口，支持</w:t>
            </w:r>
            <w:r>
              <w:rPr>
                <w:rFonts w:hint="eastAsia" w:ascii="宋体" w:hAnsi="宋体" w:cs="宋体"/>
                <w:i/>
                <w:iCs/>
                <w:color w:val="000000"/>
                <w:sz w:val="24"/>
                <w:szCs w:val="24"/>
                <w:u w:val="single"/>
                <w:lang w:val="en-US" w:eastAsia="zh-CN" w:bidi="ar"/>
              </w:rPr>
              <w:t xml:space="preserve">≥</w:t>
            </w:r>
            <w:r>
              <w:rPr>
                <w:rFonts w:hint="eastAsia" w:ascii="宋体" w:hAnsi="宋体" w:cs="宋体"/>
                <w:i/>
                <w:iCs/>
                <w:color w:val="000000"/>
                <w:sz w:val="24"/>
                <w:szCs w:val="24"/>
                <w:u w:val="single"/>
                <w:lang w:bidi="ar"/>
              </w:rPr>
              <w:t xml:space="preserve">4路HDMI音频输出，单个输出口最大支持 36 路 1920×1080、30 帧/秒的视频同时解码显示；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H.264 和 H.265 解码能力相同，解码能力支持：2路8192×4320@25fps，或6路4000×3000@25fps，或10路3840×2160@25fps，或18路2560×1920@25fps，或24路2560×1440@25fps，或28路2048×1536@25fps，或36路1920×1080@30fps，或80路1280×720@30fps，或144 路 704×576@30fps网络视频实时解码；</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1、4个HDMI 输出口可支持同时输出分辨率为 3840×2160，60Hz 的视频图像；</w:t>
            </w:r>
            <w:r/>
          </w:p>
        </w:tc>
      </w:tr>
      <w:tr>
        <w:trPr>
          <w:trHeight w:val="9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164</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会议显示屏</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1、尺寸：≥75寸</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2、4K超高清，亮度≥300cd/㎡，</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3、含普通壁挂支架，接口含HDMI</w:t>
            </w:r>
            <w:r/>
          </w:p>
        </w:tc>
      </w:tr>
      <w:tr>
        <w:trPr>
          <w:trHeight w:val="21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165</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立杆1</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要求如下：</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1、材质：监控立杆钢材材质为低硅低碳高强度Q235，壁厚度≥3mm，底法兰厚度≥14mm；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2、设计</w:t>
            </w:r>
            <w:r>
              <w:rPr>
                <w:rFonts w:hint="eastAsia" w:ascii="宋体" w:hAnsi="宋体" w:cs="宋体"/>
                <w:i/>
                <w:iCs/>
                <w:color w:val="000000"/>
                <w:sz w:val="24"/>
                <w:szCs w:val="24"/>
                <w:u w:val="single"/>
                <w:lang w:val="en-US" w:eastAsia="zh-CN" w:bidi="ar"/>
              </w:rPr>
              <w:t xml:space="preserve">优于</w:t>
            </w:r>
            <w:r>
              <w:rPr>
                <w:rFonts w:hint="eastAsia" w:ascii="宋体" w:hAnsi="宋体" w:cs="宋体"/>
                <w:i/>
                <w:iCs/>
                <w:color w:val="000000"/>
                <w:sz w:val="24"/>
                <w:szCs w:val="24"/>
                <w:u w:val="single"/>
                <w:lang w:bidi="ar"/>
              </w:rPr>
              <w:t xml:space="preserve">：抗震5级、抗风力8级</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3、焊接工艺：应采用电焊接，整个杆体无任何一处漏焊，焊缝平整，无任何焊接缺陷；</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4、喷塑工艺：镀锌后钝化处理，喷塑附着力好，厚度≥80μm。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5、3.5米高，配横臂；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6、C25砼基础，接地电阻≤4Ω。</w:t>
            </w:r>
            <w:r/>
          </w:p>
        </w:tc>
      </w:tr>
      <w:tr>
        <w:trPr>
          <w:trHeight w:val="291"/>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166</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立杆2</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要求如下：</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1、材质：监控立杆钢材材质为低硅低碳高强度Q235，壁厚度≥3mm，底法兰厚度≥14mm；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2、设计：抗震≥5级、抗风力≥8级</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3、焊接工艺：应采用电焊接，整个杆体无任何一处漏焊，焊缝平整，无任何焊接缺陷；</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4、喷塑工艺：镀锌后钝化处理，喷塑附着力好，厚度≥80μm。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5、2米高</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6、C25砼基础，接地电阻≤4Ω。</w:t>
            </w:r>
            <w:r/>
          </w:p>
        </w:tc>
      </w:tr>
      <w:tr>
        <w:trPr>
          <w:trHeight w:val="9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167</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立杆3</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1、高度≥80cm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2、热镀锌钢管，壁厚≥1.5mm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3、法兰盘≥150×150×6mm</w:t>
            </w:r>
            <w:r/>
          </w:p>
        </w:tc>
      </w:tr>
      <w:tr>
        <w:trPr>
          <w:trHeight w:val="21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168</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立杆4</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要求如下：</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1、材质：监控立杆钢材材质为低硅低碳高强度Q235，壁厚度≥3mm，底法兰厚度≥14mm；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2、设计：抗震≥5级、抗风力≥8级</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3、焊接工艺：应采用电焊接，整个杆体无任何一处漏焊，焊缝平整，无任何焊接缺陷；</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4、喷塑工艺：镀锌后钝化处理，喷塑附着力好，厚度≥80μm。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5、4米高，配横臂；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6、C25砼基础，接地电阻≤4Ω。</w:t>
            </w:r>
            <w:r/>
          </w:p>
        </w:tc>
      </w:tr>
      <w:tr>
        <w:trPr>
          <w:trHeight w:val="1944"/>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169</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工业交换机</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2</w:t>
            </w:r>
            <w:r>
              <w:rPr>
                <w:rFonts w:hint="eastAsia" w:ascii="宋体" w:hAnsi="宋体" w:cs="宋体"/>
                <w:i/>
                <w:iCs/>
                <w:color w:val="000000"/>
                <w:sz w:val="24"/>
                <w:szCs w:val="24"/>
                <w:u w:val="single"/>
                <w:lang w:bidi="ar"/>
              </w:rPr>
              <w:t xml:space="preserve">、防护等级：IP40；铁质外壳；</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3</w:t>
            </w:r>
            <w:r>
              <w:rPr>
                <w:rFonts w:hint="eastAsia" w:ascii="宋体" w:hAnsi="宋体" w:cs="宋体"/>
                <w:i/>
                <w:iCs/>
                <w:color w:val="000000"/>
                <w:sz w:val="24"/>
                <w:szCs w:val="24"/>
                <w:u w:val="single"/>
                <w:lang w:bidi="ar"/>
              </w:rPr>
              <w:t xml:space="preserve">、安装方式：DIN导轨安装；</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4</w:t>
            </w:r>
            <w:r>
              <w:rPr>
                <w:rFonts w:hint="eastAsia" w:ascii="宋体" w:hAnsi="宋体" w:cs="宋体"/>
                <w:i/>
                <w:iCs/>
                <w:color w:val="000000"/>
                <w:sz w:val="24"/>
                <w:szCs w:val="24"/>
                <w:u w:val="single"/>
                <w:lang w:bidi="ar"/>
              </w:rPr>
              <w:t xml:space="preserve">、含本端光纤模块及后端光纤模块；</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5</w:t>
            </w:r>
            <w:r>
              <w:rPr>
                <w:rFonts w:hint="eastAsia" w:ascii="宋体" w:hAnsi="宋体" w:cs="宋体"/>
                <w:i/>
                <w:iCs/>
                <w:color w:val="000000"/>
                <w:sz w:val="24"/>
                <w:szCs w:val="24"/>
                <w:u w:val="single"/>
                <w:lang w:bidi="ar"/>
              </w:rPr>
              <w:t xml:space="preserve">、含电源模块。</w:t>
            </w:r>
            <w:r/>
          </w:p>
        </w:tc>
      </w:tr>
      <w:tr>
        <w:trPr>
          <w:trHeight w:val="36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170</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访客机</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2、采用金属材质成型，外观精美、高端整洁；</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3、主屏：采用</w:t>
            </w:r>
            <w:r>
              <w:rPr>
                <w:rFonts w:hint="eastAsia" w:ascii="宋体" w:hAnsi="宋体" w:cs="宋体"/>
                <w:i/>
                <w:iCs/>
                <w:color w:val="000000"/>
                <w:sz w:val="24"/>
                <w:szCs w:val="24"/>
                <w:u w:val="single"/>
                <w:lang w:val="en-US" w:eastAsia="zh-CN" w:bidi="ar"/>
              </w:rPr>
              <w:t xml:space="preserve">不小于</w:t>
            </w:r>
            <w:r>
              <w:rPr>
                <w:rFonts w:hint="eastAsia" w:ascii="宋体" w:hAnsi="宋体" w:cs="宋体"/>
                <w:i/>
                <w:iCs/>
                <w:color w:val="000000"/>
                <w:sz w:val="24"/>
                <w:szCs w:val="24"/>
                <w:u w:val="single"/>
                <w:lang w:bidi="ar"/>
              </w:rPr>
              <w:t xml:space="preserve">15.6寸触摸显示屏；辅屏：采用</w:t>
            </w:r>
            <w:r>
              <w:rPr>
                <w:rFonts w:hint="eastAsia" w:ascii="宋体" w:hAnsi="宋体" w:cs="宋体"/>
                <w:i/>
                <w:iCs/>
                <w:color w:val="000000"/>
                <w:sz w:val="24"/>
                <w:szCs w:val="24"/>
                <w:u w:val="single"/>
                <w:lang w:val="en-US" w:eastAsia="zh-CN" w:bidi="ar"/>
              </w:rPr>
              <w:t xml:space="preserve">不小于</w:t>
            </w:r>
            <w:r>
              <w:rPr>
                <w:rFonts w:hint="eastAsia" w:ascii="宋体" w:hAnsi="宋体" w:cs="宋体"/>
                <w:i/>
                <w:iCs/>
                <w:color w:val="000000"/>
                <w:sz w:val="24"/>
                <w:szCs w:val="24"/>
                <w:u w:val="single"/>
                <w:lang w:bidi="ar"/>
              </w:rPr>
              <w:t xml:space="preserve">11.6寸显示屏；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4、采用</w:t>
            </w:r>
            <w:r>
              <w:rPr>
                <w:rFonts w:hint="eastAsia" w:ascii="宋体" w:hAnsi="宋体" w:cs="宋体"/>
                <w:i/>
                <w:iCs/>
                <w:color w:val="000000"/>
                <w:sz w:val="24"/>
                <w:szCs w:val="24"/>
                <w:u w:val="single"/>
                <w:lang w:val="en-US" w:eastAsia="zh-CN" w:bidi="ar"/>
              </w:rPr>
              <w:t xml:space="preserve">不小于</w:t>
            </w:r>
            <w:r>
              <w:rPr>
                <w:rFonts w:hint="eastAsia" w:ascii="宋体" w:hAnsi="宋体" w:cs="宋体"/>
                <w:i/>
                <w:iCs/>
                <w:color w:val="000000"/>
                <w:sz w:val="24"/>
                <w:szCs w:val="24"/>
                <w:u w:val="single"/>
                <w:lang w:bidi="ar"/>
              </w:rPr>
              <w:t xml:space="preserve">200万高清单目摄像头；摄像头角度可调，可适应不同身高访客登记；</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5、支持发卡功能；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6、支持脱机运行，事件记录存储功能；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7、支持身份证、二维码、IC卡等多种签离方式；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8、支持图片、视频广告播放功能；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9、支持语音提示功能；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10、支持访客信息打印功能；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11、支持双网口网络通信；</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12、支持2路USB2.0、2路RJ45。</w:t>
            </w:r>
            <w:r/>
          </w:p>
        </w:tc>
      </w:tr>
      <w:tr>
        <w:trPr>
          <w:trHeight w:val="1587"/>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171</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红外网络半球摄像机</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1、应符合《国家教育考试网上巡查系统视频标准技术规范（2017版）》； </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 帧率：50Hz：25fps (1920 × 1080,1280 × 960,1280 × 720)；60Hz：30fps；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3、传感器：1/2.7” Progressive Scan CMOS</w:t>
            </w:r>
            <w:r>
              <w:rPr>
                <w:rFonts w:hint="eastAsia" w:ascii="宋体" w:hAnsi="宋体" w:cs="宋体"/>
                <w:i/>
                <w:iCs/>
                <w:color w:val="000000"/>
                <w:sz w:val="24"/>
                <w:szCs w:val="24"/>
                <w:u w:val="single"/>
                <w:lang w:eastAsia="zh-CN" w:bidi="ar"/>
              </w:rPr>
              <w:t xml:space="preserve">；</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4、水平视场角:≥96°；</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5、信噪比：≥55.5dB；</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6、最低照度：补光灯关闭时，彩色：≤0.00021x（AGC ON,RJ45输出，应能分辨反射式视频矩阵测试卡中彩色色块）；黑白：≤0.00011x（AGC ON,RJ45输出，能分辨反射式视频分辨率测试卡中圆形轮廓）；</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7、应支持H.264、H.265、MJPEG视频压缩标准，支持G.711、MP2L2、AAC音频压缩标准；</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8、应支持支持标准SIP2.0，支持SIP地址解析，信令转发，支持SIP URI统一命名规则、分级命名；</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9、红外夜视距离：在夜间照度较低的环境下，通过红外光照射，可探测到距离样机100米处的人体轮廓；</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10、宽动态范围：≥120dB；</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11、网络适应能力：在丢包率为15%的网络环境下，画面无明显卡顿和画质下降；</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12、支持时钟同步功能，可自动或手动同步系统时间，支持NTP授时。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13、支持三码流传输功能；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14、支持POE供电功能；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15、应支持Micro SD/SDHC/SDXC卡存储，能有效解决由于网络故障引起的视频丢失问题；</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16、应支持</w:t>
            </w:r>
            <w:r>
              <w:rPr>
                <w:rFonts w:hint="eastAsia" w:ascii="宋体" w:hAnsi="宋体" w:cs="宋体"/>
                <w:i/>
                <w:iCs/>
                <w:color w:val="000000"/>
                <w:sz w:val="24"/>
                <w:szCs w:val="24"/>
                <w:u w:val="single"/>
                <w:lang w:val="en-US" w:eastAsia="zh-CN" w:bidi="ar"/>
              </w:rPr>
              <w:t xml:space="preserve">不小于</w:t>
            </w:r>
            <w:r>
              <w:rPr>
                <w:rFonts w:hint="eastAsia" w:ascii="宋体" w:hAnsi="宋体" w:cs="宋体"/>
                <w:i/>
                <w:iCs/>
                <w:color w:val="000000"/>
                <w:sz w:val="24"/>
                <w:szCs w:val="24"/>
                <w:u w:val="single"/>
                <w:lang w:bidi="ar"/>
              </w:rPr>
              <w:t xml:space="preserve">1路10/100M以太网输出接口，采用RJ45连接，可选用射频无线接口或光纤接口；</w:t>
            </w:r>
            <w:r/>
          </w:p>
        </w:tc>
      </w:tr>
      <w:tr>
        <w:trPr>
          <w:trHeight w:val="1355"/>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172</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红外网络筒型摄像机</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1、应符合《国家教育考试网上巡查系统视频标准技术规范（2017版）》；</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2、帧率：50Hz：25fps (1920×1080,1280×960,1280×720)；60Hz：30fps；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3、传感器：1/2.7” Progressive Scan CMOS，镜头：4mm，6mm,8mm,12mm可选；</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4、信噪比：≥51.5dB；</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5、应支持H.264、H.265、MJPEG视频压缩标准，支持G.711、MP2L2、AAC音频压缩标准；</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6、应支持支持标准SIP2.0，支持SIP地址解析，信令转发，支持SIP URI统一命名规则、分级命名；</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7、支持时钟同步功能，可自动或手动同步系统时间，支持NTP授时。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8、应支持日夜转换，红外照射距离可达10-30米；</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9、应支持三码流传输功能；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10、应支持POE供电功能；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11、应支持Micro SD/SDHC/SDXC卡存储，能有效解决由于网络故障引起的视频丢失问题；</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12、应支持1路10/100M以太网输出接口，采用RJ45连接，可选用射频无线接口或光纤接口；</w:t>
            </w:r>
            <w:r/>
          </w:p>
        </w:tc>
      </w:tr>
      <w:tr>
        <w:trPr>
          <w:trHeight w:val="3723"/>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173</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巡查分发存储单元</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1、应符合《国家教育考试网上巡查系统视频标准技术规范（2017版）》；</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2、具有抗病毒和抗攻击能力；</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3、应支持不低于64路高清视频接入，最大接入带宽不低于320Mbps；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4、最大应支持接入8块SATA硬盘，单块硬盘容量最大支持10T；</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5、设备接口应满足：≥2个RJ45 以太网接口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6、应支持1/4/6/8/9/16画面预览分割；</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7、应支持支持视频质量诊断，当检测到视频质量异常（条纹干扰、视频偏色、视频噪声、视频虚焦、视频过曝）时，进行告警上报，支持联动处理；</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应支持字符叠加功能，可对视频画面叠加10行字符，每行可输入22个汉字，字符可选择项包括通道名称、系统时间、地理位置和设备信息等，并可设置透明闪烁、透明不闪烁、不透明不闪烁、不透明闪烁等OSD属性；</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9、应支持支持标准SIP2.0，支持SIP地址解析，信令转发，支持SIP URI统一命名规则、分级命名；</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10、支持TS流封装和PS流封装；</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11、应支持RAID 0/1/5/6/10；</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12、应支持双千兆网卡，支持容错、负载均衡和双网分离，可将两个网口设置不同网段的IP地址，支持 SIP、 RTP、 RTCP 等网络协议；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13、应支持多路同步回放和多路同步倒放，支持智能搜索，支持摄像机集中管理，包括信息的导入和升级等，支持摄像机的参数配置到其他通道；</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14、应支持通道离线状态原因说明，包括设备连接中、用户名密码错误、网络不通、请求媒体流失败、媒体流中断、带宽不足、弱密码拒绝访问等；</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15、应支持录像续传接收功能，当设备与摄像机之间网络中断并恢复后，可自动接收摄像机内存储的视频图像</w:t>
            </w:r>
            <w:r/>
          </w:p>
        </w:tc>
      </w:tr>
      <w:tr>
        <w:trPr>
          <w:trHeight w:val="30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174</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视频拼接解码器</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eastAsia="宋体" w:cs="宋体"/>
                <w:i/>
                <w:iCs/>
                <w:color w:val="000000"/>
                <w:sz w:val="24"/>
                <w:szCs w:val="24"/>
                <w:u w:val="single"/>
                <w:lang w:bidi="ar"/>
              </w:rPr>
            </w:pPr>
            <w:r>
              <w:rPr>
                <w:rFonts w:hint="eastAsia" w:ascii="宋体" w:hAnsi="宋体" w:cs="宋体"/>
                <w:i/>
                <w:iCs/>
                <w:color w:val="000000"/>
                <w:sz w:val="24"/>
                <w:szCs w:val="24"/>
                <w:u w:val="single"/>
                <w:lang w:bidi="ar"/>
              </w:rPr>
              <w:t xml:space="preserve">应符合《国家教育考试网上巡查系统视频标准技术规范（2017版）》技术要求；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视频编解码应支持H.264、H.265，MPEG4、MJPEG等；音频编解码应支持G.722、G.711A、G.726、G.711U、MPEG2-L2、AAC等；</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应支持支持标</w:t>
            </w:r>
            <w:r>
              <w:rPr>
                <w:rFonts w:hint="eastAsia" w:ascii="宋体" w:hAnsi="宋体" w:eastAsia="宋体" w:cs="宋体"/>
                <w:i/>
                <w:iCs/>
                <w:color w:val="000000"/>
                <w:sz w:val="24"/>
                <w:szCs w:val="24"/>
                <w:u w:val="single"/>
                <w:lang w:bidi="ar"/>
              </w:rPr>
              <w:t xml:space="preserve">准SIP2.0，支持SIP地址解析，信令转发，支持SIP URI统一命名规则、分级命名；</w:t>
            </w:r>
            <w:r>
              <w:rPr>
                <w:rFonts w:hint="eastAsia" w:ascii="宋体" w:hAnsi="宋体" w:eastAsia="宋体" w:cs="宋体"/>
                <w:i/>
                <w:iCs/>
                <w:color w:val="000000"/>
                <w:sz w:val="24"/>
                <w:szCs w:val="24"/>
                <w:u w:val="single"/>
                <w:lang w:bidi="ar"/>
              </w:rPr>
              <w:br/>
            </w:r>
            <w:r>
              <w:rPr>
                <w:rFonts w:hint="eastAsia" w:ascii="宋体" w:hAnsi="宋体" w:eastAsia="宋体" w:cs="宋体"/>
                <w:i/>
                <w:iCs/>
                <w:color w:val="000000"/>
                <w:sz w:val="24"/>
                <w:szCs w:val="24"/>
                <w:u w:val="single"/>
                <w:lang w:bidi="ar"/>
              </w:rPr>
              <w:t xml:space="preserve">应支持音视频同步，支持TS流封装和PS流封装；</w:t>
            </w:r>
            <w:r>
              <w:rPr>
                <w:rFonts w:hint="eastAsia" w:ascii="宋体" w:hAnsi="宋体" w:eastAsia="宋体" w:cs="宋体"/>
                <w:i/>
                <w:iCs/>
                <w:color w:val="000000"/>
                <w:sz w:val="24"/>
                <w:szCs w:val="24"/>
                <w:u w:val="single"/>
                <w:lang w:bidi="ar"/>
              </w:rPr>
              <w:br/>
            </w:r>
            <w:r>
              <w:rPr>
                <w:rFonts w:hint="eastAsia" w:ascii="宋体" w:hAnsi="宋体" w:eastAsia="宋体" w:cs="宋体"/>
                <w:i/>
                <w:iCs/>
                <w:color w:val="000000"/>
                <w:sz w:val="24"/>
                <w:szCs w:val="24"/>
                <w:u w:val="single"/>
                <w:lang w:bidi="ar"/>
              </w:rPr>
              <w:t xml:space="preserve">设备应具备≥4个HDMI输出接口、1个HDMI输入接口</w:t>
            </w:r>
            <w:r/>
          </w:p>
          <w:p>
            <w:pPr>
              <w:jc w:val="left"/>
              <w:widowControl/>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t xml:space="preserve">支持远程录像文件的解码输出，并支持录像回放的开始、暂停、继续、停止等控制功能。8、支持web端解码信息显示，包含每个通道的通道状态、分辨率、帧率等数据。</w:t>
            </w:r>
            <w:r>
              <w:rPr>
                <w:rFonts w:hint="eastAsia" w:ascii="宋体" w:hAnsi="宋体" w:eastAsia="宋体" w:cs="宋体"/>
                <w:i/>
                <w:iCs/>
                <w:color w:val="000000"/>
                <w:sz w:val="24"/>
                <w:szCs w:val="24"/>
                <w:u w:val="single"/>
                <w:lang w:bidi="ar"/>
              </w:rPr>
              <w:br/>
            </w:r>
            <w:r>
              <w:rPr>
                <w:rFonts w:hint="eastAsia" w:ascii="宋体" w:hAnsi="宋体" w:eastAsia="宋体" w:cs="宋体"/>
                <w:i/>
                <w:iCs/>
                <w:color w:val="000000"/>
                <w:sz w:val="24"/>
                <w:szCs w:val="24"/>
                <w:u w:val="single"/>
                <w:lang w:bidi="ar"/>
              </w:rPr>
              <w:t xml:space="preserve">画面分割显示应支持1、2、4、6、8、9、12、16画面，画面底色支持设置，网上巡查图像可任意组合显示；</w:t>
            </w:r>
            <w:r>
              <w:rPr>
                <w:rFonts w:hint="eastAsia" w:ascii="宋体" w:hAnsi="宋体" w:eastAsia="宋体" w:cs="宋体"/>
                <w:i/>
                <w:iCs/>
                <w:color w:val="000000"/>
                <w:sz w:val="24"/>
                <w:szCs w:val="24"/>
                <w:u w:val="single"/>
                <w:lang w:bidi="ar"/>
              </w:rPr>
              <w:br/>
            </w:r>
            <w:r>
              <w:rPr>
                <w:rFonts w:hint="eastAsia" w:ascii="宋体" w:hAnsi="宋体" w:eastAsia="宋体" w:cs="宋体"/>
                <w:i/>
                <w:iCs/>
                <w:color w:val="000000"/>
                <w:sz w:val="24"/>
                <w:szCs w:val="24"/>
                <w:u w:val="single"/>
                <w:lang w:bidi="ar"/>
              </w:rPr>
              <w:t xml:space="preserve">应支持通过浏览器进行网络模式设置，包括设置为流畅性优先/实时性优先。</w:t>
            </w:r>
            <w:r/>
          </w:p>
          <w:p>
            <w:pPr>
              <w:jc w:val="left"/>
              <w:widowControl/>
              <w:rPr>
                <w:rFonts w:hint="eastAsia" w:ascii="宋体" w:hAnsi="宋体" w:cs="宋体"/>
                <w:color w:val="000000"/>
                <w:sz w:val="24"/>
                <w:szCs w:val="24"/>
              </w:rPr>
            </w:pPr>
            <w:r>
              <w:rPr>
                <w:rFonts w:hint="eastAsia" w:ascii="宋体" w:hAnsi="宋体" w:cs="宋体"/>
                <w:sz w:val="24"/>
                <w:szCs w:val="24"/>
              </w:rPr>
              <w:t xml:space="preserve">◆1</w:t>
            </w:r>
            <w:r>
              <w:rPr>
                <w:rFonts w:hint="eastAsia" w:ascii="宋体" w:hAnsi="宋体" w:cs="宋体"/>
                <w:color w:val="000000"/>
                <w:sz w:val="24"/>
                <w:szCs w:val="24"/>
                <w:lang w:bidi="ar"/>
              </w:rPr>
              <w:t xml:space="preserve">、整机解码能力：≥36路1080P（1920×1080）分辨率画面</w:t>
            </w:r>
            <w:r/>
          </w:p>
        </w:tc>
      </w:tr>
      <w:tr>
        <w:trPr>
          <w:trHeight w:val="45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175</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液晶拼接显示单元</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1、背光类型</w:t>
            </w:r>
            <w:r>
              <w:rPr>
                <w:rFonts w:hint="eastAsia" w:ascii="宋体" w:hAnsi="宋体" w:cs="宋体"/>
                <w:i/>
                <w:iCs/>
                <w:color w:val="000000"/>
                <w:sz w:val="24"/>
                <w:szCs w:val="24"/>
                <w:u w:val="single"/>
                <w:lang w:eastAsia="zh-CN" w:bidi="ar"/>
              </w:rPr>
              <w:t xml:space="preserve">：</w:t>
            </w:r>
            <w:r>
              <w:rPr>
                <w:rFonts w:hint="eastAsia" w:ascii="宋体" w:hAnsi="宋体" w:cs="宋体"/>
                <w:i/>
                <w:iCs/>
                <w:color w:val="000000"/>
                <w:sz w:val="24"/>
                <w:szCs w:val="24"/>
                <w:u w:val="single"/>
                <w:lang w:bidi="ar"/>
              </w:rPr>
              <w:t xml:space="preserve">LED</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2、分辨率</w:t>
            </w:r>
            <w:r>
              <w:rPr>
                <w:rFonts w:hint="eastAsia" w:ascii="宋体" w:hAnsi="宋体" w:cs="宋体"/>
                <w:i/>
                <w:iCs/>
                <w:color w:val="000000"/>
                <w:sz w:val="24"/>
                <w:szCs w:val="24"/>
                <w:u w:val="single"/>
                <w:lang w:val="en-US" w:eastAsia="zh-CN" w:bidi="ar"/>
              </w:rPr>
              <w:t xml:space="preserve">≥</w:t>
            </w:r>
            <w:r>
              <w:rPr>
                <w:rFonts w:hint="eastAsia" w:ascii="宋体" w:hAnsi="宋体" w:cs="宋体"/>
                <w:i/>
                <w:iCs/>
                <w:color w:val="000000"/>
                <w:sz w:val="24"/>
                <w:szCs w:val="24"/>
                <w:u w:val="single"/>
                <w:lang w:bidi="ar"/>
              </w:rPr>
              <w:t xml:space="preserve">1920×1080</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3、亮度</w:t>
            </w:r>
            <w:r>
              <w:rPr>
                <w:rFonts w:hint="eastAsia" w:ascii="宋体" w:hAnsi="宋体" w:cs="宋体"/>
                <w:i/>
                <w:iCs/>
                <w:color w:val="000000"/>
                <w:sz w:val="24"/>
                <w:szCs w:val="24"/>
                <w:u w:val="single"/>
                <w:lang w:val="en-US" w:eastAsia="zh-CN" w:bidi="ar"/>
              </w:rPr>
              <w:t xml:space="preserve">≥</w:t>
            </w:r>
            <w:r>
              <w:rPr>
                <w:rFonts w:hint="eastAsia" w:ascii="宋体" w:hAnsi="宋体" w:cs="宋体"/>
                <w:i/>
                <w:iCs/>
                <w:color w:val="000000"/>
                <w:sz w:val="24"/>
                <w:szCs w:val="24"/>
                <w:u w:val="single"/>
                <w:lang w:bidi="ar"/>
              </w:rPr>
              <w:t xml:space="preserve">500cd/m2</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4、静态对比度</w:t>
            </w:r>
            <w:r>
              <w:rPr>
                <w:rFonts w:hint="eastAsia" w:ascii="宋体" w:hAnsi="宋体" w:cs="宋体"/>
                <w:i/>
                <w:iCs/>
                <w:color w:val="000000"/>
                <w:sz w:val="24"/>
                <w:szCs w:val="24"/>
                <w:u w:val="single"/>
                <w:lang w:val="en-US" w:eastAsia="zh-CN" w:bidi="ar"/>
              </w:rPr>
              <w:t xml:space="preserve">≥</w:t>
            </w:r>
            <w:r>
              <w:rPr>
                <w:rFonts w:hint="eastAsia" w:ascii="宋体" w:hAnsi="宋体" w:cs="宋体"/>
                <w:i/>
                <w:iCs/>
                <w:color w:val="000000"/>
                <w:sz w:val="24"/>
                <w:szCs w:val="24"/>
                <w:u w:val="single"/>
                <w:lang w:bidi="ar"/>
              </w:rPr>
              <w:t xml:space="preserve">1400:1</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5、双边拼缝≤3.5mm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6、安装方式</w:t>
            </w:r>
            <w:r>
              <w:rPr>
                <w:rFonts w:hint="eastAsia" w:ascii="宋体" w:hAnsi="宋体" w:cs="宋体"/>
                <w:i/>
                <w:iCs/>
                <w:color w:val="000000"/>
                <w:sz w:val="24"/>
                <w:szCs w:val="24"/>
                <w:u w:val="single"/>
                <w:lang w:eastAsia="zh-CN" w:bidi="ar"/>
              </w:rPr>
              <w:t xml:space="preserve">：</w:t>
            </w:r>
            <w:r>
              <w:rPr>
                <w:rFonts w:hint="eastAsia" w:ascii="宋体" w:hAnsi="宋体" w:cs="宋体"/>
                <w:i/>
                <w:iCs/>
                <w:color w:val="000000"/>
                <w:sz w:val="24"/>
                <w:szCs w:val="24"/>
                <w:u w:val="single"/>
                <w:lang w:bidi="ar"/>
              </w:rPr>
              <w:t xml:space="preserve">一体式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7、控制方式</w:t>
            </w:r>
            <w:r>
              <w:rPr>
                <w:rFonts w:hint="eastAsia" w:ascii="宋体" w:hAnsi="宋体" w:cs="宋体"/>
                <w:i/>
                <w:iCs/>
                <w:color w:val="000000"/>
                <w:sz w:val="24"/>
                <w:szCs w:val="24"/>
                <w:u w:val="single"/>
                <w:lang w:eastAsia="zh-CN" w:bidi="ar"/>
              </w:rPr>
              <w:t xml:space="preserve">：</w:t>
            </w:r>
            <w:r>
              <w:rPr>
                <w:rFonts w:hint="eastAsia" w:ascii="宋体" w:hAnsi="宋体" w:cs="宋体"/>
                <w:i/>
                <w:iCs/>
                <w:color w:val="000000"/>
                <w:sz w:val="24"/>
                <w:szCs w:val="24"/>
                <w:u w:val="single"/>
                <w:lang w:bidi="ar"/>
              </w:rPr>
              <w:t xml:space="preserve">按键控制，RS232串口控制，红外遥控</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8、电压</w:t>
            </w:r>
            <w:r>
              <w:rPr>
                <w:rFonts w:hint="eastAsia" w:ascii="宋体" w:hAnsi="宋体" w:cs="宋体"/>
                <w:i/>
                <w:iCs/>
                <w:color w:val="000000"/>
                <w:sz w:val="24"/>
                <w:szCs w:val="24"/>
                <w:u w:val="single"/>
                <w:lang w:eastAsia="zh-CN" w:bidi="ar"/>
              </w:rPr>
              <w:t xml:space="preserve">：</w:t>
            </w:r>
            <w:r>
              <w:rPr>
                <w:rFonts w:hint="eastAsia" w:ascii="宋体" w:hAnsi="宋体" w:cs="宋体"/>
                <w:i/>
                <w:iCs/>
                <w:color w:val="000000"/>
                <w:sz w:val="24"/>
                <w:szCs w:val="24"/>
                <w:u w:val="single"/>
                <w:lang w:bidi="ar"/>
              </w:rPr>
              <w:t xml:space="preserve">AC90~264V(±5%),50/60Hz</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9、典型功耗≤150W</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10、待机功耗≤1W</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11、工作温度</w:t>
            </w:r>
            <w:r>
              <w:rPr>
                <w:rFonts w:hint="eastAsia" w:ascii="宋体" w:hAnsi="宋体" w:cs="宋体"/>
                <w:i/>
                <w:iCs/>
                <w:color w:val="000000"/>
                <w:sz w:val="24"/>
                <w:szCs w:val="24"/>
                <w:u w:val="single"/>
                <w:lang w:val="en-US" w:eastAsia="zh-CN" w:bidi="ar"/>
              </w:rPr>
              <w:t xml:space="preserve">优于</w:t>
            </w:r>
            <w:r>
              <w:rPr>
                <w:rFonts w:hint="eastAsia" w:ascii="宋体" w:hAnsi="宋体" w:cs="宋体"/>
                <w:i/>
                <w:iCs/>
                <w:color w:val="000000"/>
                <w:sz w:val="24"/>
                <w:szCs w:val="24"/>
                <w:u w:val="single"/>
                <w:lang w:bidi="ar"/>
              </w:rPr>
              <w:t xml:space="preserve">0℃~50℃</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12、湿度</w:t>
            </w:r>
            <w:r>
              <w:rPr>
                <w:rFonts w:hint="eastAsia" w:ascii="宋体" w:hAnsi="宋体" w:cs="宋体"/>
                <w:i/>
                <w:iCs/>
                <w:color w:val="000000"/>
                <w:sz w:val="24"/>
                <w:szCs w:val="24"/>
                <w:u w:val="single"/>
                <w:lang w:val="en-US" w:eastAsia="zh-CN" w:bidi="ar"/>
              </w:rPr>
              <w:t xml:space="preserve">优于</w:t>
            </w:r>
            <w:r>
              <w:rPr>
                <w:rFonts w:hint="eastAsia" w:ascii="宋体" w:hAnsi="宋体" w:cs="宋体"/>
                <w:i/>
                <w:iCs/>
                <w:color w:val="000000"/>
                <w:sz w:val="24"/>
                <w:szCs w:val="24"/>
                <w:u w:val="single"/>
                <w:lang w:bidi="ar"/>
              </w:rPr>
              <w:t xml:space="preserve">20%~90%</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13、输入 VGA*1、CVBS*1、DVI-D*1、HDMI*1、RS232(RJ45)*1、USB（升级和多媒体）、IR*1</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14、输出 RS232(RJ45)*1</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15、尺寸</w:t>
            </w:r>
            <w:r>
              <w:rPr>
                <w:rFonts w:hint="eastAsia" w:ascii="宋体" w:hAnsi="宋体" w:cs="宋体"/>
                <w:i/>
                <w:iCs/>
                <w:color w:val="000000"/>
                <w:sz w:val="24"/>
                <w:szCs w:val="24"/>
                <w:u w:val="single"/>
                <w:lang w:val="en-US" w:eastAsia="zh-CN" w:bidi="ar"/>
              </w:rPr>
              <w:t xml:space="preserve">≥</w:t>
            </w:r>
            <w:r>
              <w:rPr>
                <w:rFonts w:hint="eastAsia" w:ascii="宋体" w:hAnsi="宋体" w:cs="宋体"/>
                <w:i/>
                <w:iCs/>
                <w:color w:val="000000"/>
                <w:sz w:val="24"/>
                <w:szCs w:val="24"/>
                <w:u w:val="single"/>
                <w:lang w:bidi="ar"/>
              </w:rPr>
              <w:t xml:space="preserve">55寸</w:t>
            </w:r>
            <w:r/>
          </w:p>
        </w:tc>
      </w:tr>
      <w:tr>
        <w:trPr>
          <w:trHeight w:val="9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176</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监控拼接示屏支架</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监控拼接显示屏壁装支架;整体最大承重≥400kg(安全系数≥1.5);采用6063-T5铝合金型材</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型材壁厚≥1.2mm;支持前后、左右、俯仰六维微调，保证拼缝均匀;配套M10以上膨胀螺栓及防坠落保险装置;适用于混凝土墙</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体安装;符合相关安防支架安全标准。</w:t>
            </w:r>
            <w:r/>
          </w:p>
        </w:tc>
      </w:tr>
      <w:tr>
        <w:trPr>
          <w:trHeight w:val="27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177</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高清网上巡查客户端软件</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1、应符合《国家教育考试网上巡查系统视频标准技术规范（2017版）》；</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2、应支持视频监控管理：提供视频源列表、视频预览、预案播放、轮巡播放等多种方式选择视频源，播放视频；</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3、应支持资源管理，统一配置系统资源，如设备、通道、区域等；</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4、应支持录像的查询、回放、下载功能；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5、应支持多路视频源拼接、1/4/9多画面输出显示；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6、应支持H.264、MPEG4视频编码格式，支持G.711、ACC音频编码格式，支持PS、TS视频格式的封装；</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7、支持视频预览，指定的节目源可实现音视频预览，支持分屏模式切换，支持轮巡预览，支持全屏预览；</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8、支持网络拥塞控制，支持视频传输优先级控制；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9、支持考场管理功能，可创建、编辑、批量导入考场信息：支持物理考场、逻辑考场信息匹配；</w:t>
            </w:r>
            <w:r/>
          </w:p>
        </w:tc>
      </w:tr>
      <w:tr>
        <w:trPr>
          <w:trHeight w:val="2645"/>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178</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SIP转发管理终端</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1、应符合《国家教育考试网上巡查系统视频标准技术规范（2017版）》；</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2、应符合GB/T 36449-2018《电子考场系统通用要求》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3、终端应包含信令转发服务和媒体流转发服务；</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4、支持SIP URI组、用户、树形列表管理；</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5、支持标准SIP2.0，支持SIP地址解析、信令转发、路由、NAT穿透功能；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6、应支持SIP URI统一命名规则、分级命名；</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7、应支持SIP终端设备的接入认证、远程访问权限控制、远程呼叫过程控制；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8、应支持多级注册，支持媒体流的汇聚；</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9、应支持摄像机、存储设备、解码设备的添加、注册及管理。</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10、应OSD手动及自动批量配置，支持OSD考前下发、考后还原；</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11、支持流媒体多级转发</w:t>
            </w:r>
            <w:r>
              <w:rPr>
                <w:rFonts w:hint="eastAsia" w:ascii="宋体" w:hAnsi="宋体" w:cs="宋体"/>
                <w:i/>
                <w:iCs/>
                <w:color w:val="000000"/>
                <w:sz w:val="24"/>
                <w:szCs w:val="24"/>
                <w:u w:val="single"/>
                <w:lang w:eastAsia="zh-CN" w:bidi="ar"/>
              </w:rPr>
              <w:t xml:space="preserve">；</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12、应支持H.264、MPEG4视频编码格式，支持G.711、ACC音频编码格式，支持PS、TS视频格式的封装；</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13、可对摄像机的存储卡进行检测及格式化；</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14、支持音视频实时点播，可对监控设备远程控制（录像、回放、检索等）；</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15、支持显示SIP日志，支持暂停日志打印，支持清空日志。（提供日志管理服务软件相关计算机软件著作权登记证书并加盖制造商公章）</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16、支持展示角色模式信息，包括普通角色，考试角色的模式信息。支持修改普通角色和考试角色的模式信息，包括普通用户-普通模式，普通用户-考试模式，运维用户-普通模式，运维用户-考试模式，保密室用户，超管用户，值守角色。</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17、支持以饼图形式展示卫星类型统计，包括GPS，伽利略以及北斗的数量以及占比。</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18、支持在平台页面对NTP监听端口，时钟监听端口，时钟离线间隔，时钟时间精度，时钟节能亮度级别，时钟标准亮度级别，卫星串口，卫星波特率，下级时钟离线间隔，网卡名称，主网卡，兼容协议，通讯模式，过热保护进行配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19、硬件配置应满足：CPU≥3.0GHz，内存≥8GB，硬盘≥1TB；</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20、应具有≥2 个 RJ45以太网接口, ≥6 个 USB 接口。</w:t>
            </w:r>
            <w:r/>
          </w:p>
        </w:tc>
      </w:tr>
      <w:tr>
        <w:trPr>
          <w:trHeight w:val="6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179</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硬盘2</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1、容量：≥4TB，监控级</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2、转速≥5400RPM，缓存≥64MB，支持7×24h工作</w:t>
            </w:r>
            <w:r/>
          </w:p>
        </w:tc>
      </w:tr>
      <w:tr>
        <w:trPr>
          <w:trHeight w:val="345"/>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180</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摄像机存储卡</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1、容量：≥64G</w:t>
            </w:r>
            <w:r>
              <w:rPr>
                <w:rFonts w:hint="eastAsia" w:ascii="宋体" w:hAnsi="宋体" w:cs="宋体"/>
                <w:i/>
                <w:iCs/>
                <w:color w:val="000000"/>
                <w:sz w:val="24"/>
                <w:szCs w:val="24"/>
                <w:u w:val="single"/>
                <w:lang w:bidi="ar"/>
              </w:rPr>
              <w:br/>
            </w:r>
            <w:r/>
          </w:p>
        </w:tc>
      </w:tr>
      <w:tr>
        <w:trPr>
          <w:trHeight w:val="6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181</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摄像机支架</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1、铝合金材质，万向调节，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2、承重≥1.5kg，支持壁装/吊装</w:t>
            </w:r>
            <w:r/>
          </w:p>
        </w:tc>
      </w:tr>
      <w:tr>
        <w:trPr>
          <w:trHeight w:val="676"/>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182</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摄像机电源</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numPr>
                <w:ilvl w:val="0"/>
                <w:numId w:val="0"/>
              </w:numPr>
              <w:jc w:val="left"/>
              <w:widowControl/>
              <w:rPr>
                <w:rFonts w:hint="eastAsia" w:ascii="宋体" w:hAnsi="宋体" w:cs="宋体"/>
                <w:i/>
                <w:iCs/>
                <w:color w:val="000000"/>
                <w:sz w:val="24"/>
                <w:szCs w:val="24"/>
                <w:u w:val="single"/>
                <w:lang w:bidi="ar"/>
              </w:rPr>
            </w:pPr>
            <w:r>
              <w:rPr>
                <w:rFonts w:hint="eastAsia" w:ascii="宋体" w:hAnsi="宋体" w:cs="宋体"/>
                <w:i/>
                <w:iCs/>
                <w:color w:val="000000"/>
                <w:sz w:val="24"/>
                <w:szCs w:val="24"/>
                <w:u w:val="single"/>
                <w:lang w:val="en-US" w:eastAsia="zh-CN" w:bidi="ar"/>
              </w:rPr>
              <w:t xml:space="preserve">1</w:t>
            </w:r>
            <w:r>
              <w:rPr>
                <w:rFonts w:hint="eastAsia" w:ascii="宋体" w:hAnsi="宋体" w:cs="宋体"/>
                <w:i/>
                <w:iCs/>
                <w:color w:val="000000"/>
                <w:sz w:val="24"/>
                <w:szCs w:val="24"/>
                <w:u w:val="single"/>
                <w:lang w:bidi="ar"/>
              </w:rPr>
              <w:t xml:space="preserve">、具备过压、过载、短路保护；</w:t>
            </w:r>
            <w:r/>
          </w:p>
          <w:p>
            <w:pPr>
              <w:numPr>
                <w:ilvl w:val="0"/>
                <w:numId w:val="0"/>
              </w:num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val="en-US" w:eastAsia="zh-CN" w:bidi="ar"/>
              </w:rPr>
              <w:t xml:space="preserve">2</w:t>
            </w:r>
            <w:r>
              <w:rPr>
                <w:rFonts w:hint="eastAsia" w:ascii="宋体" w:hAnsi="宋体" w:cs="宋体"/>
                <w:i/>
                <w:iCs/>
                <w:color w:val="000000"/>
                <w:sz w:val="24"/>
                <w:szCs w:val="24"/>
                <w:u w:val="single"/>
                <w:lang w:bidi="ar"/>
              </w:rPr>
              <w:t xml:space="preserve">、室外用须防水</w:t>
            </w:r>
            <w:r/>
          </w:p>
        </w:tc>
      </w:tr>
      <w:tr>
        <w:trPr>
          <w:trHeight w:val="624"/>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183</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拾音器</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采用高灵敏度全指向性驻极体电容咪头，防潮防尘网设计，低噪声高增益前置放大器，有效降低环境噪声。全面拾音，保真度高，回放的语音清晰、干净、低噪音；咪头经过防潮技术处理，寿命更长。自适应动态降噪处理单元，内置高速DSP数字信号处理器，有效调节信号强度，防止语音信号失真及衰减。内置自动识别噪声模块，最大限度降低环境噪音。自动抑制高强度声音，可靠保护后端音频监控设备。回声消除技术有效减少空旷房间的严重回音。</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2、输出阻抗：600Ω非平衡。</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3、工作电压：DC6～16V，采用单独的电源适配器供电，也可以和网络摄像机共用电源无噪声。</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4、灵敏度：-33.0dB～+10.0dB 可调(1Pa, 1KHz)</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5、频率范围：20Hz-20kHz。</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6、输出信号幅度：2.5Vpp/-35dB。</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7、信噪比：80dB （1米40 dB音源）40dB （10米40 dB音源）1KHz at 1 Pa。</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8、动态范围：＞104 dB（1kHz at Max dB SPL）。</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9、其它：监听面积≥100㎡（自然发音，信噪比≥20dB），有效距离可手动调节。具有雷击保护、电源极性反接保护、ESD静电防护等。</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10、内置混音器，多只拾音器级联分布式拾音，使拾音效果保真度更高。拾音器安装孔位和音量调节均在前面板，便于快速安装和调试。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11、在声级为40dB(A)的噪声环境下，拾音器距发音人6m处接收到的话音应清晰，且易于分辨。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12、总谐波失真小于3%。</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13、等效噪声级小于40dB</w:t>
            </w:r>
            <w:r/>
          </w:p>
        </w:tc>
      </w:tr>
      <w:tr>
        <w:trPr>
          <w:trHeight w:val="3442"/>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184</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网络时钟</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lang w:bidi="ar"/>
              </w:rPr>
            </w:pPr>
            <w:r>
              <w:rPr>
                <w:rFonts w:hint="eastAsia" w:ascii="宋体" w:hAnsi="宋体" w:cs="宋体"/>
                <w:i/>
                <w:iCs/>
                <w:color w:val="000000"/>
                <w:sz w:val="24"/>
                <w:szCs w:val="24"/>
                <w:u w:val="single"/>
                <w:lang w:bidi="ar"/>
              </w:rPr>
              <w:t xml:space="preserve">1、采用全面屏设计，可显示时分秒，≥4英寸“时-分”数码管，≥0.8英寸“秒”数码管。</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2、接口：RJ45，传输协议：标准NTP协议；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3、具有主动同步功能，在外部时码驱动下，子钟间同步时差应不超过40ns；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4、应支持网管功能，故障主动上报，并将运行情况通过TCP/IP协议传输到网络集中监控平台实时监控，以确保稳定可靠运行，与终端时间同步；</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5、网络时钟应支持主动上报功能，具备时间不同步报警功能、具备网络离线报警功能、具备断电报警功能；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6、断电记忆功能，支持断电后时钟内部继续计时至少24小时，恢复供电时，钟面继续显示内部计时的时间；</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7、为保证长期运行的稳定性，网络时钟的数码管驱动电流应采用恒流源驱动；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8、具备对网络时钟屏幕远程开启和关闭；</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9、具备对网络时钟秒位远程开启和关闭；</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10、为防止电磁干扰影响设备正常运行，网络时钟外壳主体应采用金属材质；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11、具备设备开机自动进行全部数码管检测；并具有管理平台对所有时钟数码管进行检测。</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12、网络时钟外壳的后面和顶部应预留有挂孔，可用于壁挂方式安装，也可吊装；</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13、具备网络时钟可靠性指标：平均无故障时间(MTBF)≥30000h</w:t>
            </w:r>
            <w:r/>
          </w:p>
          <w:p>
            <w:pPr>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▲1、具备采用恒流源驱动，5次测量值都应在附近，并且每次测量值的偏差都不超过(±3%)</w:t>
            </w:r>
            <w:r>
              <w:rPr>
                <w:rFonts w:hint="eastAsia" w:ascii="宋体" w:hAnsi="宋体" w:cs="宋体"/>
                <w:b/>
                <w:bCs/>
                <w:color w:val="000000"/>
                <w:sz w:val="24"/>
                <w:szCs w:val="24"/>
                <w:lang w:bidi="ar"/>
              </w:rPr>
              <w:t xml:space="preserve">(投标时须在响应文件中提供第三方检测机构出具的合格的检验报告或功能截图等相关证明材料)</w:t>
            </w:r>
            <w:r>
              <w:rPr>
                <w:rFonts w:hint="eastAsia" w:ascii="宋体" w:hAnsi="宋体" w:cs="宋体"/>
                <w:b/>
                <w:bCs/>
                <w:color w:val="000000"/>
                <w:sz w:val="24"/>
                <w:szCs w:val="24"/>
                <w:lang w:bidi="ar"/>
              </w:rPr>
              <w:br/>
            </w:r>
            <w:r>
              <w:rPr>
                <w:rFonts w:hint="eastAsia" w:ascii="宋体" w:hAnsi="宋体" w:cs="宋体"/>
                <w:b/>
                <w:bCs/>
                <w:color w:val="000000"/>
                <w:sz w:val="24"/>
                <w:szCs w:val="24"/>
                <w:lang w:bidi="ar"/>
              </w:rPr>
              <w:t xml:space="preserve">15、具备在电源断开后，网络平台会自动报警。</w:t>
            </w:r>
            <w:r/>
          </w:p>
        </w:tc>
      </w:tr>
      <w:tr>
        <w:trPr>
          <w:trHeight w:val="663"/>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185</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电源适配器</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1、输出DC12V/2A；输入AC100-240V宽电压；</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2、具备过压、过载、短路保护功能；</w:t>
            </w:r>
            <w:r/>
          </w:p>
        </w:tc>
      </w:tr>
      <w:tr>
        <w:trPr>
          <w:trHeight w:val="339"/>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186</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管理终端</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lang w:bidi="ar"/>
              </w:rPr>
            </w:pPr>
            <w:r>
              <w:rPr>
                <w:rFonts w:hint="eastAsia" w:ascii="宋体" w:hAnsi="宋体" w:cs="宋体"/>
                <w:i/>
                <w:iCs/>
                <w:color w:val="000000"/>
                <w:sz w:val="24"/>
                <w:szCs w:val="24"/>
                <w:u w:val="single"/>
                <w:lang w:bidi="ar"/>
              </w:rPr>
              <w:t xml:space="preserve">1、支持作弊防控系统软件部署在同一个操作系统中。</w:t>
            </w:r>
            <w:r/>
          </w:p>
          <w:p>
            <w:pPr>
              <w:jc w:val="left"/>
              <w:widowControl/>
              <w:rPr>
                <w:rFonts w:hint="eastAsia" w:ascii="宋体" w:hAnsi="宋体" w:cs="宋体"/>
                <w:i/>
                <w:iCs/>
                <w:color w:val="000000"/>
                <w:sz w:val="24"/>
                <w:szCs w:val="24"/>
                <w:u w:val="single"/>
                <w:lang w:bidi="ar"/>
              </w:rPr>
            </w:pPr>
            <w:r>
              <w:rPr>
                <w:rFonts w:hint="eastAsia" w:ascii="宋体" w:hAnsi="宋体" w:cs="宋体"/>
                <w:i/>
                <w:iCs/>
                <w:color w:val="000000"/>
                <w:sz w:val="24"/>
                <w:szCs w:val="24"/>
                <w:u w:val="single"/>
                <w:lang w:bidi="ar"/>
              </w:rPr>
              <w:t xml:space="preserve">2、平台应可以监测到多个GPS和北斗卫星的卫星信号，并可以观察到卫星信号的卫星编号、信噪比；</w:t>
            </w:r>
            <w:r/>
          </w:p>
          <w:p>
            <w:pPr>
              <w:jc w:val="left"/>
              <w:widowControl/>
              <w:rPr>
                <w:rFonts w:hint="eastAsia" w:ascii="宋体" w:hAnsi="宋体" w:cs="宋体"/>
                <w:i/>
                <w:iCs/>
                <w:color w:val="000000"/>
                <w:sz w:val="24"/>
                <w:szCs w:val="24"/>
                <w:u w:val="single"/>
                <w:lang w:bidi="ar"/>
              </w:rPr>
            </w:pPr>
            <w:r>
              <w:rPr>
                <w:rFonts w:hint="eastAsia" w:ascii="宋体" w:hAnsi="宋体" w:cs="宋体"/>
                <w:i/>
                <w:iCs/>
                <w:color w:val="000000"/>
                <w:sz w:val="24"/>
                <w:szCs w:val="24"/>
                <w:u w:val="single"/>
                <w:lang w:bidi="ar"/>
              </w:rPr>
              <w:t xml:space="preserve">3、为保证对网络时钟的精细化管理，平台应可以统一显示时钟的实际时间；</w:t>
            </w:r>
            <w:r/>
          </w:p>
          <w:p>
            <w:pPr>
              <w:jc w:val="left"/>
              <w:widowControl/>
              <w:rPr>
                <w:rFonts w:hint="eastAsia" w:ascii="宋体" w:hAnsi="宋体" w:cs="宋体"/>
                <w:i/>
                <w:iCs/>
                <w:color w:val="000000"/>
                <w:sz w:val="24"/>
                <w:szCs w:val="24"/>
                <w:u w:val="single"/>
                <w:lang w:bidi="ar"/>
              </w:rPr>
            </w:pPr>
            <w:r>
              <w:rPr>
                <w:rFonts w:hint="eastAsia" w:ascii="宋体" w:hAnsi="宋体" w:cs="宋体"/>
                <w:i/>
                <w:iCs/>
                <w:color w:val="000000"/>
                <w:sz w:val="24"/>
                <w:szCs w:val="24"/>
                <w:u w:val="single"/>
                <w:lang w:bidi="ar"/>
              </w:rPr>
              <w:t xml:space="preserve">4、考场应可以和时钟IP绑定，并可以显示逻辑考场编号、物理考场编号和已绑定时钟的显示时间和工作状态；</w:t>
            </w:r>
            <w:r/>
          </w:p>
          <w:p>
            <w:pPr>
              <w:jc w:val="left"/>
              <w:widowControl/>
              <w:rPr>
                <w:rFonts w:hint="eastAsia" w:ascii="宋体" w:hAnsi="宋体" w:cs="宋体"/>
                <w:i/>
                <w:iCs/>
                <w:color w:val="000000"/>
                <w:sz w:val="24"/>
                <w:szCs w:val="24"/>
                <w:u w:val="single"/>
                <w:lang w:bidi="ar"/>
              </w:rPr>
            </w:pPr>
            <w:r>
              <w:rPr>
                <w:rFonts w:hint="eastAsia" w:ascii="宋体" w:hAnsi="宋体" w:cs="宋体"/>
                <w:i/>
                <w:iCs/>
                <w:color w:val="000000"/>
                <w:sz w:val="24"/>
                <w:szCs w:val="24"/>
                <w:u w:val="single"/>
                <w:lang w:bidi="ar"/>
              </w:rPr>
              <w:t xml:space="preserve">5、平台应支持对所有时钟数码管进行检测，以便实现数码管故障报警，达到精确定位故障数码管的目的；</w:t>
            </w:r>
            <w:r/>
          </w:p>
          <w:p>
            <w:pPr>
              <w:jc w:val="left"/>
              <w:widowControl/>
              <w:rPr>
                <w:rFonts w:hint="eastAsia" w:ascii="宋体" w:hAnsi="宋体" w:cs="宋体"/>
                <w:i/>
                <w:iCs/>
                <w:color w:val="000000"/>
                <w:sz w:val="24"/>
                <w:szCs w:val="24"/>
                <w:u w:val="single"/>
                <w:lang w:bidi="ar"/>
              </w:rPr>
            </w:pPr>
            <w:r>
              <w:rPr>
                <w:rFonts w:hint="eastAsia" w:ascii="宋体" w:hAnsi="宋体" w:cs="宋体"/>
                <w:i/>
                <w:iCs/>
                <w:color w:val="000000"/>
                <w:sz w:val="24"/>
                <w:szCs w:val="24"/>
                <w:u w:val="single"/>
                <w:lang w:bidi="ar"/>
              </w:rPr>
              <w:t xml:space="preserve">6、平台应支持多机构管理及考点级时钟场所定位管理；</w:t>
            </w:r>
            <w:r/>
          </w:p>
          <w:p>
            <w:pPr>
              <w:jc w:val="left"/>
              <w:widowControl/>
              <w:rPr>
                <w:rFonts w:hint="eastAsia" w:ascii="宋体" w:hAnsi="宋体" w:cs="宋体"/>
                <w:i/>
                <w:iCs/>
                <w:color w:val="000000"/>
                <w:sz w:val="24"/>
                <w:szCs w:val="24"/>
                <w:u w:val="single"/>
                <w:lang w:bidi="ar"/>
              </w:rPr>
            </w:pPr>
            <w:r>
              <w:rPr>
                <w:rFonts w:hint="eastAsia" w:ascii="宋体" w:hAnsi="宋体" w:cs="宋体"/>
                <w:i/>
                <w:iCs/>
                <w:color w:val="000000"/>
                <w:sz w:val="24"/>
                <w:szCs w:val="24"/>
                <w:u w:val="single"/>
                <w:lang w:bidi="ar"/>
              </w:rPr>
              <w:t xml:space="preserve">7、应支持对所辖系统内时钟设备软件进行集中升级；</w:t>
            </w:r>
            <w:r/>
          </w:p>
          <w:p>
            <w:pPr>
              <w:jc w:val="left"/>
              <w:widowControl/>
              <w:rPr>
                <w:rFonts w:hint="eastAsia" w:ascii="宋体" w:hAnsi="宋体" w:cs="宋体"/>
                <w:i/>
                <w:iCs/>
                <w:color w:val="000000"/>
                <w:sz w:val="24"/>
                <w:szCs w:val="24"/>
                <w:u w:val="single"/>
                <w:lang w:bidi="ar"/>
              </w:rPr>
            </w:pPr>
            <w:r>
              <w:rPr>
                <w:rFonts w:hint="eastAsia" w:ascii="宋体" w:hAnsi="宋体" w:cs="宋体"/>
                <w:i/>
                <w:iCs/>
                <w:color w:val="000000"/>
                <w:sz w:val="24"/>
                <w:szCs w:val="24"/>
                <w:u w:val="single"/>
                <w:lang w:bidi="ar"/>
              </w:rPr>
              <w:t xml:space="preserve">8、平台应具备用户管理功能，包括日志查询、数据还原与备份、恢复权限划分；</w:t>
            </w:r>
            <w:r/>
          </w:p>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10、CPU≥2.8GHz，内存≥8GB，硬盘≥1TB。</w:t>
            </w:r>
            <w:r/>
          </w:p>
        </w:tc>
      </w:tr>
      <w:tr>
        <w:trPr>
          <w:trHeight w:val="60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187</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标准化考场网络核心交换机</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1、交换容量≥672Gbps；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2、包转发率≥216Mpps；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3、支持≥48个千兆电口，≥4个万兆光口；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4、支持模块化电源，支持电源个数≥2；</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5、可通过前面板指示灯获取各种设备重要信息，包括端口/内存/CPU使用状态等；</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6、CPU、转发交换芯片、CPLD为国产芯片；</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7、支持横向虚拟化技术，将多台设备虚拟为一台；</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8、支持≥4K个VLAN；</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9、支持MAC地址≥32K；</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10、支持端口聚合，每个聚合组至少8个端口；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11、支持静态路由，RIPv1/v2，RIPng，OSPFv2/v3，ISIS，ISISv6，BGP4，BGP4+，支持ECMP；</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12、IPv4子网路由规格≥16K，主机路由规格≥8K；</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13、支持IPv6特性，包括支持ND、IPv6 Ping、IPv6 Telnet、手工tunnel、6to4 tunnel、ISATAP tunnel、IPv6 ACL、MLD Snooping、DHCPv6 snooping；</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14、支持IGMPv1/v2/v3 snooping，MLD Snooping，PIM Snooping，IGMPv1/v2/v3，PIM SM/DM/SSM；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15、支持802.1x认证、Radius认证等多种方式；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16、支持端口隔离，用户分级管理和口令保护，CPU防攻击、CPU过载保护，uRPF单播逆向路由检查等功能；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17、每端口支持≥8个硬件队列，支持SP、WRR、SP+WRR等队列调度算法；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18、支持ERPS以太环保护协议；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19、支持SNMP v1/v2/v3、Telnet远程维护、网管系统管理。</w:t>
            </w:r>
            <w:r/>
          </w:p>
        </w:tc>
      </w:tr>
      <w:tr>
        <w:trPr>
          <w:trHeight w:val="63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188</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光线路终端设备3</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numPr>
                <w:ilvl w:val="0"/>
                <w:numId w:val="4"/>
              </w:numPr>
              <w:jc w:val="left"/>
              <w:widowControl/>
              <w:rPr>
                <w:rFonts w:hint="eastAsia" w:ascii="宋体" w:hAnsi="宋体" w:cs="宋体"/>
                <w:i/>
                <w:iCs/>
                <w:color w:val="000000"/>
                <w:sz w:val="24"/>
                <w:szCs w:val="24"/>
                <w:u w:val="single"/>
                <w:lang w:bidi="ar"/>
              </w:rPr>
            </w:pPr>
            <w:r>
              <w:rPr>
                <w:rFonts w:hint="eastAsia" w:ascii="宋体" w:hAnsi="宋体" w:cs="宋体"/>
                <w:i/>
                <w:iCs/>
                <w:color w:val="000000"/>
                <w:sz w:val="24"/>
                <w:szCs w:val="24"/>
                <w:u w:val="single"/>
                <w:lang w:bidi="ar"/>
              </w:rPr>
              <w:t xml:space="preserve">设备不高于1U</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2、上行至少提供一个PON口接入，包括XG-PON/XGS-PON/对称10G EPON，也可支持10E光/GE电接入；</w:t>
            </w:r>
            <w:r/>
          </w:p>
          <w:p>
            <w:pPr>
              <w:numPr>
                <w:ilvl w:val="0"/>
                <w:numId w:val="0"/>
              </w:num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val="en-US" w:eastAsia="zh-CN" w:bidi="ar"/>
              </w:rPr>
              <w:t xml:space="preserve">3、</w:t>
            </w:r>
            <w:r>
              <w:rPr>
                <w:rFonts w:hint="eastAsia" w:ascii="宋体" w:hAnsi="宋体" w:cs="宋体"/>
                <w:i/>
                <w:iCs/>
                <w:color w:val="000000"/>
                <w:sz w:val="24"/>
                <w:szCs w:val="24"/>
                <w:u w:val="single"/>
                <w:lang w:bidi="ar"/>
              </w:rPr>
              <w:t xml:space="preserve">下行至少支持4个10GE光口+4个GE电口+4个GPON口接入</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4、系统交换容量不低于160Gbit/s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5、可以支持</w:t>
            </w:r>
            <w:r>
              <w:rPr>
                <w:rFonts w:hint="eastAsia" w:ascii="宋体" w:hAnsi="宋体" w:cs="宋体"/>
                <w:i/>
                <w:iCs/>
                <w:color w:val="000000"/>
                <w:sz w:val="24"/>
                <w:szCs w:val="24"/>
                <w:u w:val="single"/>
                <w:lang w:val="en-US" w:eastAsia="zh-CN" w:bidi="ar"/>
              </w:rPr>
              <w:t xml:space="preserve">不少于</w:t>
            </w:r>
            <w:r>
              <w:rPr>
                <w:rFonts w:hint="eastAsia" w:ascii="宋体" w:hAnsi="宋体" w:cs="宋体"/>
                <w:i/>
                <w:iCs/>
                <w:color w:val="000000"/>
                <w:sz w:val="24"/>
                <w:szCs w:val="24"/>
                <w:u w:val="single"/>
                <w:lang w:bidi="ar"/>
              </w:rPr>
              <w:t xml:space="preserve">1200STA的系统并发能力</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6、支持接入的从网关数量不低于128个，接入的STA数量不低于2000个</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7、开启 NAT、ACL（10 条）和防火墙后,支持的NAT会话数能力不低于256000个</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8、支持基于双WAN上行的负载均衡功能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9、应支持PPPoE多拨功能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10、防火墙功能：MAC地址过滤、ACL功能、防DoS攻击、WAN侧访问限制、DHCP防欺骗</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11、IPsec单隧道支持的吞吐能力不低于2000Mbps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12、VxLAN支持的吞吐能力不低于2000Mbps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13、组播特性功能：组播协议版本支持IGMPv1/v2/v3、支持MLDv1/v2协议处理；支持基于协议版本的处理、丢弃、透传配置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14、QoS功能：支持以太网物理端口，Vport的流量控制功能；上行业务流根据CIR/PIR参数提供流量颜色标记功能；PON口/Vport和以太网口出方向支持流量整形shaping功能；以太网端口和PON口/Vport等端口上支持SP，WFQ，WRR/DWRR和SP+DWRR队列调度技术；支持基于端口配置默认CoS优先级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15、BRIDGE功能：支持IGMP、BPDU等特殊报文的捕获或透传；端口速率强制和自适应，支持100/1000/10000M强制和自适应；支持全双工/半双工强制和自适应；支持IEEE 802.3x流量控制协议；支持MAC地址自动学习机制；支持静态MAC地址的配置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16、VLAN功能：支持IEEE 802.1q VLAN， 支持的Q-VLAN ID的取值范围为1到4094；支持IEEE 802.1ad VLAN Stacking，支持的C-VLAN ID和S-VLAN ID的取值范围为1－4094；支持1：1 VLAN和N：1VLAN转换</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17、认证功能：支持本地Portal认证，支持免认证的白名单</w:t>
            </w:r>
            <w:r/>
          </w:p>
        </w:tc>
      </w:tr>
      <w:tr>
        <w:trPr>
          <w:trHeight w:val="335"/>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189</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24口光网络单元设备</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numPr>
                <w:ilvl w:val="0"/>
                <w:numId w:val="5"/>
              </w:numPr>
              <w:jc w:val="left"/>
              <w:widowControl/>
              <w:rPr>
                <w:rFonts w:hint="eastAsia" w:ascii="宋体" w:hAnsi="宋体" w:cs="宋体"/>
                <w:i/>
                <w:iCs/>
                <w:color w:val="000000"/>
                <w:sz w:val="24"/>
                <w:szCs w:val="24"/>
                <w:u w:val="single"/>
                <w:lang w:bidi="ar"/>
              </w:rPr>
            </w:pPr>
            <w:r>
              <w:rPr>
                <w:rFonts w:hint="eastAsia" w:ascii="宋体" w:hAnsi="宋体" w:cs="宋体"/>
                <w:i/>
                <w:iCs/>
                <w:color w:val="000000"/>
                <w:sz w:val="24"/>
                <w:szCs w:val="24"/>
                <w:u w:val="single"/>
                <w:lang w:bidi="ar"/>
              </w:rPr>
              <w:t xml:space="preserve">采用内置电源，采用标准三扁插头的交流输入电源插头；</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2、支持1：1 VLAN、N：1 VLAN转换功能；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3、设备支持MAC、802.1X用户认证方式；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4、设备支持端口限速和流限速，支持SP、WRR、SP+WRR算法；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5、设备支持IGMP Proxy/Snooping、MLD V1/V2 Snooping组播功能；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6、设备支持IEEE 802.1q、IEEE 802.1ad协议，</w:t>
            </w:r>
            <w:r/>
          </w:p>
          <w:p>
            <w:pPr>
              <w:numPr>
                <w:ilvl w:val="0"/>
                <w:numId w:val="0"/>
              </w:num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7、支持光链路及断电检测、OLS光路检测、Dying gasp断电检测，便于故障定位和故障排除；</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8、即插即用，开通迅速，维护方便，自动配置，远程维护。</w:t>
            </w:r>
            <w:r/>
          </w:p>
        </w:tc>
      </w:tr>
      <w:tr>
        <w:trPr>
          <w:trHeight w:val="9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190</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1:16无源分光器</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1、1:16无源分光器，PLC平面波导型</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2、插入损耗≤14.0dB，均匀性≤1.5dB，接口SC/PC</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3、工作波长1260~1650nm，含铁质封装盒</w:t>
            </w:r>
            <w:r/>
          </w:p>
        </w:tc>
      </w:tr>
      <w:tr>
        <w:trPr>
          <w:trHeight w:val="45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191</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屏蔽终端</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lang w:bidi="ar"/>
              </w:rPr>
            </w:pPr>
            <w:r>
              <w:rPr>
                <w:rFonts w:hint="eastAsia" w:ascii="宋体" w:hAnsi="宋体" w:cs="宋体"/>
                <w:i/>
                <w:iCs/>
                <w:color w:val="000000"/>
                <w:sz w:val="24"/>
                <w:szCs w:val="24"/>
                <w:u w:val="single"/>
                <w:lang w:bidi="ar"/>
              </w:rPr>
              <w:t xml:space="preserve">安装调试服务：针对此次配置的软件和硬件，必须提供原厂商现场软硬件安装调试；支持壁挂安装使用场景；</w:t>
            </w:r>
            <w:r/>
          </w:p>
          <w:p>
            <w:pPr>
              <w:jc w:val="left"/>
              <w:widowControl/>
              <w:rPr>
                <w:rFonts w:hint="eastAsia" w:ascii="宋体" w:hAnsi="宋体" w:cs="宋体"/>
                <w:i/>
                <w:iCs/>
                <w:color w:val="000000"/>
                <w:sz w:val="24"/>
                <w:szCs w:val="24"/>
                <w:u w:val="single"/>
                <w:lang w:bidi="ar"/>
              </w:rPr>
            </w:pPr>
            <w:r>
              <w:rPr>
                <w:rFonts w:hint="eastAsia" w:ascii="宋体" w:hAnsi="宋体" w:cs="宋体"/>
                <w:i/>
                <w:iCs/>
                <w:color w:val="000000"/>
                <w:sz w:val="24"/>
                <w:szCs w:val="24"/>
                <w:u w:val="single"/>
                <w:lang w:bidi="ar"/>
              </w:rPr>
              <w:t xml:space="preserve">符合GB/T 36449-2018《电子考场系统通用要求》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符合JY/T-KS-JS-2017-1国家教育考试网上巡查系统视频标准技术规范。</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采用输入AC 110V-240V电源供电。</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屏蔽移动、联通、电信和广电手机信号：2G信号频段（870-885MHz、925-960MHz、1805-1850MHz）、3G信号频段（2010-2025MHz和2100-2170MHZ）、4G信号频段（1850-1920MHz、2300-2390MHz、2615-2675MHz）、5G信号频段（750-790MHz、3400-3600MHz、4800-5000MHz）；</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屏蔽wifi信号段：：2400-2483.5MHz、5144-5350MHz、5725-5850MHz；</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屏蔽低频信号段：136-175MHz 、400-475MHz；</w:t>
            </w:r>
            <w:r/>
          </w:p>
          <w:p>
            <w:pPr>
              <w:jc w:val="left"/>
              <w:widowControl/>
              <w:rPr>
                <w:rFonts w:hint="eastAsia" w:ascii="宋体" w:hAnsi="宋体" w:cs="宋体"/>
                <w:i/>
                <w:iCs/>
                <w:color w:val="000000"/>
                <w:sz w:val="24"/>
                <w:szCs w:val="24"/>
                <w:u w:val="single"/>
                <w:lang w:bidi="ar"/>
              </w:rPr>
            </w:pPr>
            <w:r>
              <w:rPr>
                <w:rFonts w:hint="eastAsia" w:ascii="宋体" w:hAnsi="宋体" w:cs="宋体"/>
                <w:i/>
                <w:iCs/>
                <w:color w:val="000000"/>
                <w:sz w:val="24"/>
                <w:szCs w:val="24"/>
                <w:u w:val="single"/>
                <w:lang w:bidi="ar"/>
              </w:rPr>
              <w:t xml:space="preserve">一体化设计：采用一体化天线内置设计，天线内置，无散热金属外漏；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具有标准RJ45网口，能够支持管理平台对终端或任意组进行远程开关管理；</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具有通过网络，对终端固件进行升级；</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具有能够支持管理平台对终端或任意组进行远程开关管理；</w:t>
            </w:r>
            <w:r/>
          </w:p>
          <w:p>
            <w:r>
              <w:rPr>
                <w:rFonts w:hint="eastAsia" w:ascii="宋体" w:hAnsi="宋体" w:cs="宋体"/>
                <w:sz w:val="24"/>
                <w:szCs w:val="24"/>
              </w:rPr>
              <w:t xml:space="preserve">◆1</w:t>
            </w:r>
            <w:r>
              <w:rPr>
                <w:rFonts w:hint="eastAsia" w:ascii="宋体" w:hAnsi="宋体" w:cs="宋体"/>
                <w:color w:val="000000"/>
                <w:sz w:val="24"/>
                <w:szCs w:val="24"/>
                <w:lang w:bidi="ar"/>
              </w:rPr>
              <w:t xml:space="preserve">、设备应有液晶屏，可显示设备当前的电压、电流、温度、信号；</w:t>
            </w:r>
            <w:r/>
          </w:p>
        </w:tc>
      </w:tr>
      <w:tr>
        <w:trPr>
          <w:trHeight w:val="1962"/>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192</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作弊防控系统软件</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1、应可以监控终端设备进行集中调试、查看和管理，包括远程授权控制、远程开关、批量升级、检测设备在线离线；</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2、应可以对系统设备的运行状态、开关状态、网络情况的信息进行查看；</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应支持考前、考中及考后自动工作模式，考试计划开始时系统自动进入工作状态，考试计划结束时系统自动停止工作并关闭相关设备，可以根据考试计划实现无人值守式管理，各级平台之间应可以进行考试计划同步；</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5、应支持对系统关键信息进行备份；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6、应支持TCP/IP协议和UDP广播/组播协议，支持网络控制；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7、应支持网络状态监测和网络IP、网关配置；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8、设备应可以与场所进行绑定管理；</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9、应支持WebService接口，应可以通过浏览器进行自动化考试模式管理；</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10、应可以与上级平台级联，自动下载考试计划，上传作弊信号信息结果，上级平台可以汇总查看下级系统相关信息；</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11、系统应具备密码登录、用户权限设置功能；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12、应具备管理员操作日志记录、查询功能；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13、软件应通过信息安全性测试，经过安全漏洞扫描应未发现高、中级漏洞；</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14、具有在平台页面对NTP监听端口，屏蔽监听端口，屏蔽离线间隔，下级屏蔽离线间隔，网卡名称，主网卡，兼容协议，通讯模式，过热保护进行配置。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15、具有对目标地址进行网络检测，可配置检测次数，数据大小。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16、具有以饼图形式展示离线在线数量以及比例。</w:t>
            </w:r>
            <w:r/>
          </w:p>
        </w:tc>
      </w:tr>
      <w:tr>
        <w:trPr>
          <w:trHeight w:val="3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193</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考务专线</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2根专线，从学校到招办点对点光纤组网服务，使用双路由传输，能够实现全省联网</w:t>
            </w:r>
            <w:r/>
          </w:p>
        </w:tc>
      </w:tr>
      <w:tr>
        <w:trPr>
          <w:trHeight w:val="9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194</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考务运维保障服务</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1、系统运维和巡检：每季度一次全设备巡检，提供电子版巡检报告</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2、全流程技术保障：考试期间提供1人远程技术保障，如遇故障2小时电话响应，4小时内到场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3、网络安全与应急响应：以杀毒软件定期查杀为主</w:t>
            </w:r>
            <w:r/>
          </w:p>
        </w:tc>
      </w:tr>
      <w:tr>
        <w:trPr>
          <w:trHeight w:val="3521"/>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195</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实物展台</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numPr>
                <w:ilvl w:val="0"/>
                <w:numId w:val="6"/>
              </w:numPr>
              <w:jc w:val="left"/>
              <w:widowControl/>
              <w:rPr>
                <w:rFonts w:hint="eastAsia" w:ascii="宋体" w:hAnsi="宋体" w:cs="宋体"/>
                <w:i/>
                <w:iCs/>
                <w:color w:val="000000"/>
                <w:sz w:val="24"/>
                <w:szCs w:val="24"/>
                <w:u w:val="single"/>
                <w:lang w:bidi="ar"/>
              </w:rPr>
            </w:pPr>
            <w:r>
              <w:rPr>
                <w:rFonts w:hint="eastAsia" w:ascii="宋体" w:hAnsi="宋体" w:cs="宋体"/>
                <w:i/>
                <w:iCs/>
                <w:color w:val="000000"/>
                <w:sz w:val="24"/>
                <w:szCs w:val="24"/>
                <w:u w:val="single"/>
                <w:lang w:bidi="ar"/>
              </w:rPr>
              <w:t xml:space="preserve">硬件参数</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1、采用</w:t>
            </w:r>
            <w:r>
              <w:rPr>
                <w:rFonts w:hint="eastAsia" w:ascii="宋体" w:hAnsi="宋体" w:cs="宋体"/>
                <w:i/>
                <w:iCs/>
                <w:color w:val="000000"/>
                <w:sz w:val="24"/>
                <w:szCs w:val="24"/>
                <w:u w:val="single"/>
                <w:lang w:val="en-US" w:eastAsia="zh-CN" w:bidi="ar"/>
              </w:rPr>
              <w:t xml:space="preserve">不小于</w:t>
            </w:r>
            <w:r>
              <w:rPr>
                <w:rFonts w:hint="eastAsia" w:ascii="宋体" w:hAnsi="宋体" w:cs="宋体"/>
                <w:i/>
                <w:iCs/>
                <w:color w:val="000000"/>
                <w:sz w:val="24"/>
                <w:szCs w:val="24"/>
                <w:u w:val="single"/>
                <w:lang w:bidi="ar"/>
              </w:rPr>
              <w:t xml:space="preserve">800W像素自动对焦摄像头，支持</w:t>
            </w:r>
            <w:r>
              <w:rPr>
                <w:rFonts w:hint="eastAsia" w:ascii="宋体" w:hAnsi="宋体" w:cs="宋体"/>
                <w:i/>
                <w:iCs/>
                <w:color w:val="000000"/>
                <w:sz w:val="24"/>
                <w:szCs w:val="24"/>
                <w:u w:val="single"/>
                <w:lang w:val="en-US" w:eastAsia="zh-CN" w:bidi="ar"/>
              </w:rPr>
              <w:t xml:space="preserve">不小于</w:t>
            </w:r>
            <w:r>
              <w:rPr>
                <w:rFonts w:hint="eastAsia" w:ascii="宋体" w:hAnsi="宋体" w:cs="宋体"/>
                <w:i/>
                <w:iCs/>
                <w:color w:val="000000"/>
                <w:sz w:val="24"/>
                <w:szCs w:val="24"/>
                <w:u w:val="single"/>
                <w:lang w:bidi="ar"/>
              </w:rPr>
              <w:t xml:space="preserve">20倍数码变焦；</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2、壁挂式安装，防盗防破坏；无须气压拉杆，无锐角无利边设计，防止师生碰伤、划伤；</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3、采用三折叠开合式托板，展开后托板尺寸≥A4面积，壁挂展台箱体宽度≤14cm，小巧不占空间，高效利用挂墙面积；</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4、补光灯：展台自带3级触摸控制LED补光灯，可分级控制灯光强弱，在光线不足时进行亮度补充，亮度均匀；</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5、采用USB高速接口，无需外接电源，单根USB线实现供电、高清数据传输需求；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6、具备2个USB扩展口。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二、软件参数</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动态摆正功能：支持360°任意摆放文稿，展台软件可以进行自动的旋转调整，始终保持文字正向展示，简化老师繁琐的文稿摆放和调整操作；自适应缩放居中功能：软件可根据展示物的大小进行自适应缩放并居中，小的展示物体可以自动放大，大的展示物体可以自动缩小，同时自动移动到屏幕的中央位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2、双击放大功能：展台软件支持双击放大，双击目标位置即可实现图像放大，同时自动移动到屏幕中央位置；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3、展台软件支持</w:t>
            </w:r>
            <w:r>
              <w:rPr>
                <w:rFonts w:hint="eastAsia" w:ascii="宋体" w:hAnsi="宋体" w:cs="宋体"/>
                <w:i/>
                <w:iCs/>
                <w:color w:val="000000"/>
                <w:sz w:val="24"/>
                <w:szCs w:val="24"/>
                <w:u w:val="single"/>
                <w:lang w:val="en-US" w:eastAsia="zh-CN" w:bidi="ar"/>
              </w:rPr>
              <w:t xml:space="preserve">不少于</w:t>
            </w:r>
            <w:r>
              <w:rPr>
                <w:rFonts w:hint="eastAsia" w:ascii="宋体" w:hAnsi="宋体" w:cs="宋体"/>
                <w:i/>
                <w:iCs/>
                <w:color w:val="000000"/>
                <w:sz w:val="24"/>
                <w:szCs w:val="24"/>
                <w:u w:val="single"/>
                <w:lang w:bidi="ar"/>
              </w:rPr>
              <w:t xml:space="preserve">10点触摸批注</w:t>
            </w:r>
            <w:r/>
          </w:p>
          <w:p>
            <w:pPr>
              <w:numPr>
                <w:ilvl w:val="0"/>
                <w:numId w:val="0"/>
              </w:num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4、OCR框选识别文字功能：老师可以在展台软件下框选一段文字，软件可提取并识别文字到粘贴板或制作成可编辑文档带走；</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5、文稿扫描优化功能：展台软件可扫描文稿，支持多余边缘切除，自动纠偏摆正、文稿灰底智能去除（保留有效颜色）、破损边角修复；</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6、对比教学功能：可以实现动态视频与静态图片对比教学，每个对比展示区都支持双击放大，批注笔记与图片联动，展示区的全屏切换；</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7、二维码扫描功能：展台软件可识别条形码和二维码，并将识别结果呈现在桌面上；</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8、PDF合成功能：展台软件支持一键将多张图片合成PDF文档；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9、自动更新功能：软件在每次打开时，都会自动检测软件更新情况，且在软件中可手动配置自动更新开关；</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10、自动故障检测与排除：软件在每次打开时，会自动对软硬件运行状况进行扫描，出现故障将自动排除或给出解决建议；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展台相册管理功能：展台软件产生的照片、视频、PDF文档将根据日期、星期进行自动分类，有文件存储的日期会显示绿色，老师可根据日期和星期查看教学资料。展台软件可将选中的文件进行：删除、移动、二维码分享、合并成PDF、对比教学操作；</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12、在展台软件中可提供：售后服务二维码，操作视频，操作文档，方便用户的后期使用及售后服务。</w:t>
            </w:r>
            <w:r/>
          </w:p>
        </w:tc>
      </w:tr>
      <w:tr>
        <w:trPr>
          <w:trHeight w:val="30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196</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电子班牌</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2、设备外置接口：</w:t>
            </w:r>
            <w:r>
              <w:rPr>
                <w:rFonts w:hint="eastAsia" w:ascii="宋体" w:hAnsi="宋体" w:cs="宋体"/>
                <w:i/>
                <w:iCs/>
                <w:color w:val="000000"/>
                <w:sz w:val="24"/>
                <w:szCs w:val="24"/>
                <w:u w:val="single"/>
                <w:lang w:val="en-US" w:eastAsia="zh-CN" w:bidi="ar"/>
              </w:rPr>
              <w:t xml:space="preserve">≥</w:t>
            </w:r>
            <w:r>
              <w:rPr>
                <w:rFonts w:hint="eastAsia" w:ascii="宋体" w:hAnsi="宋体" w:cs="宋体"/>
                <w:i/>
                <w:iCs/>
                <w:color w:val="000000"/>
                <w:sz w:val="24"/>
                <w:szCs w:val="24"/>
                <w:u w:val="single"/>
                <w:lang w:bidi="ar"/>
              </w:rPr>
              <w:t xml:space="preserve">1个RJ45、</w:t>
            </w:r>
            <w:r>
              <w:rPr>
                <w:rFonts w:hint="eastAsia" w:ascii="宋体" w:hAnsi="宋体" w:cs="宋体"/>
                <w:i/>
                <w:iCs/>
                <w:color w:val="000000"/>
                <w:sz w:val="24"/>
                <w:szCs w:val="24"/>
                <w:u w:val="single"/>
                <w:lang w:val="en-US" w:eastAsia="zh-CN" w:bidi="ar"/>
              </w:rPr>
              <w:t xml:space="preserve">≥</w:t>
            </w:r>
            <w:r>
              <w:rPr>
                <w:rFonts w:hint="eastAsia" w:ascii="宋体" w:hAnsi="宋体" w:cs="宋体"/>
                <w:i/>
                <w:iCs/>
                <w:color w:val="000000"/>
                <w:sz w:val="24"/>
                <w:szCs w:val="24"/>
                <w:u w:val="single"/>
                <w:lang w:bidi="ar"/>
              </w:rPr>
              <w:t xml:space="preserve">2个USB、</w:t>
            </w:r>
            <w:r>
              <w:rPr>
                <w:rFonts w:hint="eastAsia" w:ascii="宋体" w:hAnsi="宋体" w:cs="宋体"/>
                <w:i/>
                <w:iCs/>
                <w:color w:val="000000"/>
                <w:sz w:val="24"/>
                <w:szCs w:val="24"/>
                <w:u w:val="single"/>
                <w:lang w:val="en-US" w:eastAsia="zh-CN" w:bidi="ar"/>
              </w:rPr>
              <w:t xml:space="preserve">≥</w:t>
            </w:r>
            <w:r>
              <w:rPr>
                <w:rFonts w:hint="eastAsia" w:ascii="宋体" w:hAnsi="宋体" w:cs="宋体"/>
                <w:i/>
                <w:iCs/>
                <w:color w:val="000000"/>
                <w:sz w:val="24"/>
                <w:szCs w:val="24"/>
                <w:u w:val="single"/>
                <w:lang w:bidi="ar"/>
              </w:rPr>
              <w:t xml:space="preserve">1个OTG、</w:t>
            </w:r>
            <w:r>
              <w:rPr>
                <w:rFonts w:hint="eastAsia" w:ascii="宋体" w:hAnsi="宋体" w:cs="宋体"/>
                <w:i/>
                <w:iCs/>
                <w:color w:val="000000"/>
                <w:sz w:val="24"/>
                <w:szCs w:val="24"/>
                <w:u w:val="single"/>
                <w:lang w:val="en-US" w:eastAsia="zh-CN" w:bidi="ar"/>
              </w:rPr>
              <w:t xml:space="preserve">≥</w:t>
            </w:r>
            <w:r>
              <w:rPr>
                <w:rFonts w:hint="eastAsia" w:ascii="宋体" w:hAnsi="宋体" w:cs="宋体"/>
                <w:i/>
                <w:iCs/>
                <w:color w:val="000000"/>
                <w:sz w:val="24"/>
                <w:szCs w:val="24"/>
                <w:u w:val="single"/>
                <w:lang w:bidi="ar"/>
              </w:rPr>
              <w:t xml:space="preserve">1个TF卡插槽、</w:t>
            </w:r>
            <w:r>
              <w:rPr>
                <w:rFonts w:hint="eastAsia" w:ascii="宋体" w:hAnsi="宋体" w:cs="宋体"/>
                <w:i/>
                <w:iCs/>
                <w:color w:val="000000"/>
                <w:sz w:val="24"/>
                <w:szCs w:val="24"/>
                <w:u w:val="single"/>
                <w:lang w:val="en-US" w:eastAsia="zh-CN" w:bidi="ar"/>
              </w:rPr>
              <w:t xml:space="preserve">≥</w:t>
            </w:r>
            <w:r>
              <w:rPr>
                <w:rFonts w:hint="eastAsia" w:ascii="宋体" w:hAnsi="宋体" w:cs="宋体"/>
                <w:i/>
                <w:iCs/>
                <w:color w:val="000000"/>
                <w:sz w:val="24"/>
                <w:szCs w:val="24"/>
                <w:u w:val="single"/>
                <w:lang w:bidi="ar"/>
              </w:rPr>
              <w:t xml:space="preserve">1个HDMI输出；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3、整机采用一体化设计，铝合金包边、内置WIFI天线，防止天线丢失损坏；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4、整机采用超薄超窄边框设计，厚度≤27mm，设备正面底部边框≤47mm；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5、屏幕亮度≥500cd/m2，在户外环境下画面也清晰可见；</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6、整机采用防拽设计，安装后机身背板与墙面贴合缝隙≤2mm，防止学生拉拽掉落；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7、整机背板采用埋线设计，预留电源线和网线线槽，便于用户安装调试；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8、整机采用安全电压供电；</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LED液晶显示屏≥21.5寸，分辨率：1920*1080；亮度：≥250cd/m2；对比度：1000：1；显示比例：16：9；视角：178°；采用国产CPU，运算核心≥四核，主频≥2.0Ghz；操作系统：安卓11以上，RAM≥2G，ROM≥16G，支持10点以上电容触摸，内置蓝牙和扬声器。</w:t>
            </w:r>
            <w:r/>
          </w:p>
        </w:tc>
      </w:tr>
      <w:tr>
        <w:trPr>
          <w:trHeight w:val="6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197</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网路时钟管理平台</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1、CPU≥2.8GHz，内存≥8GB，硬盘≥1TB。</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2、提供支持应用软件运行的配套操作系统、数据库和中间件等运行环境。</w:t>
            </w:r>
            <w:r/>
          </w:p>
        </w:tc>
      </w:tr>
      <w:tr>
        <w:trPr>
          <w:trHeight w:val="15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198</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计算机统一管理平台</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1、具备集中管控（远程开关机/重启）、</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2、安全防护（USB外设禁用）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3、资产管理（台账导入导出）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4、远程协助（基于Windows远程桌面）功能；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5、兼容Windows 10/11操作系统</w:t>
            </w:r>
            <w:r/>
          </w:p>
        </w:tc>
      </w:tr>
      <w:tr>
        <w:trPr>
          <w:trHeight w:val="51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199</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智慧教育录播终端</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sz w:val="24"/>
                <w:szCs w:val="24"/>
              </w:rPr>
              <w:t xml:space="preserve">◆</w:t>
            </w:r>
            <w:r>
              <w:rPr>
                <w:rFonts w:hint="eastAsia" w:ascii="宋体" w:hAnsi="宋体" w:cs="宋体"/>
                <w:color w:val="000000"/>
                <w:sz w:val="24"/>
                <w:szCs w:val="24"/>
                <w:lang w:bidi="ar"/>
              </w:rPr>
              <w:t xml:space="preserve">1、要求录播主机必须采用嵌入式硬件设计，支持7*24小时工作；不接受PC架构以及终端设计方式；</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2、系统集成录播系统、音频处理、编解码技术为一体，更符合信息化行业有关产品发展微小型化、低功耗、智能化和高可靠性需求；</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3、支持不小于4路高清3G-SDI、支持不小于2路HDMI输入接口，不小于3路HDMI接口视频输出；</w:t>
            </w:r>
            <w:r/>
          </w:p>
          <w:p>
            <w:pPr>
              <w:jc w:val="left"/>
              <w:widowControl/>
              <w:rPr>
                <w:rFonts w:hint="eastAsia" w:ascii="宋体" w:hAnsi="宋体" w:cs="宋体"/>
                <w:color w:val="000000"/>
                <w:sz w:val="24"/>
                <w:szCs w:val="24"/>
              </w:rPr>
            </w:pPr>
            <w:r>
              <w:rPr>
                <w:rFonts w:hint="eastAsia" w:ascii="宋体" w:hAnsi="宋体" w:cs="宋体"/>
                <w:sz w:val="24"/>
                <w:szCs w:val="24"/>
              </w:rPr>
              <w:t xml:space="preserve">◆</w:t>
            </w:r>
            <w:r>
              <w:rPr>
                <w:rFonts w:hint="eastAsia" w:ascii="宋体" w:hAnsi="宋体" w:cs="宋体"/>
                <w:color w:val="000000"/>
                <w:sz w:val="24"/>
                <w:szCs w:val="24"/>
                <w:lang w:bidi="ar"/>
              </w:rPr>
              <w:t xml:space="preserve">4、为了满足部分双教学大屏场景，要求2路HDMI输入接口支持同时接入，能够实现两路HDMI信号采集，最高支持4K分辨率接入，并支持老师教学过程中大屏操作的全自动跟踪切换；</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5、主机内含6口交换机，其中支持不少于4口POE供电，满足老师特写、讲台全景、学生特写、学生全景信号接入需求；</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6、为满足不同音频输入需求，主机音频支持不少于1路莲花（RCA）MIC IN接口、1路凤凰端子MIC IN接口、1路凤凰LINE IN接口可选，同时，主机应支持不少于1路凤凰端子输出、1路双莲花LINE OUT可选；</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7、录播主机支持本地导播功能，接上鼠标、标准键盘与显示器就可实现无延时本地导播，可以扩展硬件导播台；</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8、支持H.323、SIP协议，能够对接第三方视频会议终端，实现互动场景录制；</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9、主机包含Reset按键，可以实现出厂设置恢复，能够实时初始化系统状态；</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10、主机前面板配置液晶屏，支持显示主机版本、IP地址等信息，实现清晰管理设备操控；</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11、控制接口不小6路，可用于控制摄像机云台与控制面板等设备，其中一路带供电，可直接对接控制面板、无需额外给控制面板提供电源；</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12、系统内置跟踪功能，无需额外配置跟踪主机即可实现智能图像识别跟踪分析与处理功能，跟踪对象不需要佩戴任何辅助装置，便可对老师和学生的动作、移动进行准确定位、跟踪，清楚的记录整个教学活动；</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13、系统内置不小于2T存储空间，支持双硬盘接入，最大支持不少于16T硬盘存储空间，录制文件既可存储在本地硬盘，可以上传到云资源管理平台或第三方FTP终端；</w:t>
            </w:r>
            <w:r/>
          </w:p>
        </w:tc>
      </w:tr>
      <w:tr>
        <w:trPr>
          <w:trHeight w:val="66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200</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录播主机系统软件</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sz w:val="24"/>
                <w:szCs w:val="24"/>
              </w:rPr>
              <w:t xml:space="preserve">◆</w:t>
            </w:r>
            <w:r>
              <w:rPr>
                <w:rFonts w:hint="eastAsia" w:ascii="宋体" w:hAnsi="宋体" w:cs="宋体"/>
                <w:color w:val="000000"/>
                <w:sz w:val="24"/>
                <w:szCs w:val="24"/>
                <w:lang w:bidi="ar"/>
              </w:rPr>
              <w:t xml:space="preserve">1、录播主机系统软件须出厂即安装于录播主机内，支持网络导播与本地导播两种导播方式；要求网络导播客户端软件支持windows以及国产操作系统、如UOS等；</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2、为了更清楚了解系统状态，系统应支持版本信息、序列号、设备型号、硬盘空间、剩余硬盘空间、跟踪机位信息、网络连接、平台接入信息等显示；</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3、系统支持视频文件上传、下载、异常修复、本地点播、删除等基本功能，支持通过状态标记自动检测课件上传是否成功，对于状态标记上传失败的课件资源支持人工手动续传；</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4、系统支持插入外接移动存储设备一键拷贝下载功能，并可选择多路外接移动设备；</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5、系统支持异常课件修复和课件列表修复功能，在录制过程中或其他不可抗拒因素导致设备突然断电使录制的课件异常时，可通过录播主机管理页面一键修复功能，修复异常课件为正常课件资源；</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6、系统支持输入音视频信号状态显示，如分辨率等；支持音频输入接口自由选择；</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7、支持主机HDMI输出设定，支持分辨率、频率设置，支持HDMI输出音频开关；</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8、支持教室属性设置，如常规录播教室、互动教室；并可对互动协议进行自由选择，支持H.323\SIP等标准协议，同时支持厂家私有协议互动；</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9、录播系统支持双流、单流模式互动：单流互动时要求听讲教室一个屏幕即可显示主讲教室的人物视频主流画面与PPT或板书的辅流画面，并支持对主辅流合成布局进行设置；双流互动时，听讲教室使用两台显示器，分别显示主流老师画面与副流电脑PPT、板书画面；</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10、主讲教室可根据需要切换互动模式，如自由讨论、课间休息、对讲模式等，各互动教室录播设备跟随互动模式变化，切换为对应的画面输出效果。</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11、支持与小组研讨协作教学系统联动，支持一键选择小组演示，此时录制画面为小组特写+小组演示PPT内容的两分屏图像，实现更精细化的研讨型教学课程录制效果；</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12、支持web端发起互动教学，包括呼叫、挂断等，可实时显示互动教学连接状态，方便管理；</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13、支持不少于6路流媒体图像设置，每一路均支持RTSP、RTMP、HTTP等协议自由选择，并可自由选择流媒体具体内容，如电影模式，老师特写/全景，学生特写/全景，电脑信号等；</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14、支持IPv4、IPv6协议、支持DHCP或手动设置IP地址，支持将设备映射到公网、设置公网IP；支持网络状态检测、如上下行速度、网络抖动、丢包率等；</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15、提供管理员和访客两种用户管理，支持对用户进行密码修改设定，不同的用户是相同的后台操作应用；</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16、支持中控对接，可选串口中控和网络中控</w:t>
            </w:r>
            <w:r/>
          </w:p>
        </w:tc>
      </w:tr>
      <w:tr>
        <w:trPr>
          <w:trHeight w:val="12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201</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智能行为识别软件</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sz w:val="24"/>
                <w:szCs w:val="24"/>
              </w:rPr>
              <w:t xml:space="preserve">◆</w:t>
            </w:r>
            <w:r>
              <w:rPr>
                <w:rFonts w:hint="eastAsia" w:ascii="宋体" w:hAnsi="宋体" w:cs="宋体"/>
                <w:color w:val="000000"/>
                <w:sz w:val="24"/>
                <w:szCs w:val="24"/>
                <w:lang w:bidi="ar"/>
              </w:rPr>
              <w:t xml:space="preserve">1、支持教室讲台、学生区域侦测区绘制，实现录播主机全自动跟踪切换；</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2、系统支持对云台摄像机镜头和焦距进行控制，实现对教学活动中老师、学生、板书的自动跟踪拍摄和切换；</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3、系统支持多个屏蔽区设置，可屏蔽观摩室和教室之间的玻璃墙，避免因玻璃墙反射而造成学生特写画面捕捉不到的问题，同时支持屏蔽教室后方因听课教师（或家长）意外站立或走动而导致的错误特写画面；</w:t>
            </w:r>
            <w:r/>
          </w:p>
        </w:tc>
      </w:tr>
      <w:tr>
        <w:trPr>
          <w:trHeight w:val="54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202</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云台摄像机</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1、采用不低于1/2.8 英寸CMOS, 有效像素≥207 万；</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2、支持 1080p/60, 1080p/50, 1080i/60,1080i/50, 1080p/30, 1080p/25, 720p/60,720p/50, 720p/30, 720p/25</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SD: 480i, 576i多种信号制式；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3、镜头焦距≥ 12X光学变焦, f3.5mm ~ 42.3mm, F1.8 ~ F2.8；数字变焦≥16X；</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4、最低照度0.5 Lux @ (F1.8, AGC ON)；</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5、快门速度1/30s ~ 1/10000s；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6、支持白平衡自动，室内，室外，一键，手动，指定色温；</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7、支持背光补偿，支持2D&amp;3D 数字降噪；</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8、信噪比≥ 55dB；</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9、水平视场角72.5° ~ 6.9°、垂直视场角44.8° ~ 3.9°；</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10、支持扩展预置位数量≥255；</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11、输出接口支持≥1 路 HDMI，≥1 路, 3G-SDI；≥1 路, CVBS；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12、网络接口≥1 路, RJ45: 10M / 100M 自适应以太网口；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13、音频接口≥ 1 路, Line In, 3.5mm 音频接口；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14、USB 接口≥1 路, USB 2.0；</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15、工作输入电压DC 12V；</w:t>
            </w:r>
            <w:r/>
          </w:p>
        </w:tc>
      </w:tr>
      <w:tr>
        <w:trPr>
          <w:trHeight w:val="18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203</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高清摄像机系统软件</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 要求支持在Windows 2000/2003/XP/vista/7/8/10等环境正常运行；</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 要求支持通过网线直连或交换机、路由器等方式进行连接配置；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 支持HTTP、RTSP、PTZ等端口配置；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 支持预置位设置，可设置预置位0-254；</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 要求支持50Hz（PAL）、60Hz（NTSC）和拨码优先三种制式；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 为满足不同场景拍摄效果，支持亮度、饱和度、对比度、锐度、色度等图像效果调节功能；</w:t>
            </w:r>
            <w:r/>
          </w:p>
        </w:tc>
      </w:tr>
      <w:tr>
        <w:trPr>
          <w:trHeight w:val="21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204</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跟踪定位摄像机</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2、采用不低于1/3英寸 CMOS 传感器, 总像素不小于400万；</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3、最低照度不低于：彩色0.6Lux@F1.2；黑白0.08Lux@F1.2；</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4、信噪比不小于50dB(AGC OFF)；</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5、编码格式支持：H.264；</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6</w:t>
            </w:r>
            <w:r>
              <w:rPr>
                <w:rFonts w:hint="eastAsia" w:ascii="宋体" w:hAnsi="宋体" w:cs="宋体"/>
                <w:i/>
                <w:iCs/>
                <w:color w:val="000000"/>
                <w:sz w:val="24"/>
                <w:szCs w:val="24"/>
                <w:u w:val="single"/>
                <w:lang w:bidi="ar"/>
              </w:rPr>
              <w:t xml:space="preserve">、设备功率不大于3W；</w:t>
            </w:r>
            <w:r/>
          </w:p>
        </w:tc>
      </w:tr>
      <w:tr>
        <w:trPr>
          <w:trHeight w:val="33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205</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录播控制面板</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液晶面板尺寸≥7寸，支持TF存储卡接入，支持不少于2路USB接口；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支持不少于1路HDMI高清信号接口和1路3.5音频输出接口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系统要求支持安卓7.0以上操作系统。</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系统配置，支持输入录播用户名，密码，IP进行录播设备绑定。</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支持设定锁屏密码，防止随意操作。</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支持录播设备配置的资源平台以及互动平台地址的同步显示。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支持常规录播控制，如录制、暂停、停止。</w:t>
            </w:r>
            <w:r>
              <w:rPr>
                <w:rFonts w:hint="eastAsia" w:ascii="宋体" w:hAnsi="宋体" w:cs="宋体"/>
                <w:color w:val="000000"/>
                <w:sz w:val="24"/>
                <w:szCs w:val="24"/>
                <w:lang w:bidi="ar"/>
              </w:rPr>
              <w:br/>
            </w:r>
            <w:r>
              <w:rPr>
                <w:rFonts w:hint="eastAsia" w:ascii="宋体" w:hAnsi="宋体" w:cs="宋体"/>
                <w:i/>
                <w:iCs/>
                <w:color w:val="000000"/>
                <w:sz w:val="24"/>
                <w:szCs w:val="24"/>
                <w:u w:val="single"/>
                <w:lang w:bidi="ar"/>
              </w:rPr>
              <w:t xml:space="preserve">支持导播模式选择，如自动导播，自动导播（屏蔽学生），以及手动导播（老师全景、学生全景、PPT）</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支持对录播进行远程关机。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预留与第三方中控、物联等对接接口，可实现如声音控制、信号切换等功能。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支持录制课程中导播画面的预览。</w:t>
            </w:r>
            <w:r/>
          </w:p>
        </w:tc>
      </w:tr>
      <w:tr>
        <w:trPr>
          <w:trHeight w:val="1317"/>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206</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拾音话筒</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1、话筒类型：电容式麦克风。</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2、指向性：超指向性。</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3、频率响应：30Hz-18KHz。</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4、灵敏度：-37dB±2dB(0dB=1V/Pa at 1KHz)。</w:t>
            </w:r>
            <w:r/>
          </w:p>
        </w:tc>
      </w:tr>
      <w:tr>
        <w:trPr>
          <w:trHeight w:val="715"/>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207</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导播键盘</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1、采用基于USB线缆传输的硬件导播控制键盘，本地导播可直连录播主机，远端导播直连导播电脑即可，即插即用，不需要安装驱动以及任何插件。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2、导播控制键盘支持课件录制的开始、暂停、停止，可针对导播进行手动、自动、半自动的模式切换。</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3、导播控制键盘支持9种画面布局的按键切换，支持5种特效的按键切换，并可设置特效切换的开启与关闭。</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4、导播控制键盘支持特效切换手柄，通过此手柄控制切换特效，可直观的在导播平台看到切换过渡效果。</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5、导播控制键盘支持导播画面的主流输出与预监输出的切换。</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6、导播控制键盘支持滑动按钮调整输出音量大小。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7、导播控制键盘支持六轴操纵杆，手柄上有云台控制、镜头变焦、导播切换功能 ，控制按键采用橡胶+微动方式，使用寿命可达100万次。</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8、导播控制键盘含LED背光，当按下功能键，相对应背光会亮起。</w:t>
            </w:r>
            <w:r/>
          </w:p>
        </w:tc>
      </w:tr>
      <w:tr>
        <w:trPr>
          <w:trHeight w:val="39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208</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音频处理主机</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1、可通过USB进行远程输出，远程参考输入，软件升级和参数配置；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2、集成自动噪音抑制技术（去除包含空调、排气扇等噪音干扰）,保证声音质量；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3、不少于6路差分输入，支持48V幻象供电开启关闭；</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4、不少于3路Line-IN输入</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5、不少于3路Line-OUT输出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6、6路平衡输入可做不少于16段EQ处理（其他输入、输出不作EQ处理）；</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7、抗混响功能，课件、无线麦、吊麦按照优先级自动输出，确保音质清晰；</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8、破音保护功能：防止学生齐声朗读时，输出破音，影响听感和舒适度；</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9、两边同时互动，录制声音不卡顿、不掉字；</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10、智能混音功能，保证音质清晰干净；</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11、根据开启的MIC数量自动调整系统的输出电平，不会因为输入电平的叠加而使系统的输出增益提高；</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12、语音抗混响功能，避免多路语音互相干扰，突出重要语音信号；</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13、回声消除功能：无线麦克风、吊麦的混音需要进行AEC处理，参考信号为远程音频信号；</w:t>
            </w:r>
            <w:r/>
          </w:p>
        </w:tc>
      </w:tr>
      <w:tr>
        <w:trPr>
          <w:trHeight w:val="1111"/>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209</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功放2</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w:t>
            </w:r>
            <w:r>
              <w:rPr>
                <w:rFonts w:hint="eastAsia" w:ascii="宋体" w:hAnsi="宋体" w:cs="宋体"/>
                <w:i/>
                <w:iCs/>
                <w:color w:val="000000"/>
                <w:sz w:val="24"/>
                <w:szCs w:val="24"/>
                <w:u w:val="single"/>
                <w:lang w:val="en-US" w:eastAsia="zh-CN" w:bidi="ar"/>
              </w:rPr>
              <w:t xml:space="preserve">不少于</w:t>
            </w:r>
            <w:r>
              <w:rPr>
                <w:rFonts w:hint="eastAsia" w:ascii="宋体" w:hAnsi="宋体" w:cs="宋体"/>
                <w:i/>
                <w:iCs/>
                <w:color w:val="000000"/>
                <w:sz w:val="24"/>
                <w:szCs w:val="24"/>
                <w:u w:val="single"/>
                <w:lang w:bidi="ar"/>
              </w:rPr>
              <w:t xml:space="preserve">三路话筒插口（2路带48伏幻像电源）；</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w:t>
            </w:r>
            <w:r>
              <w:rPr>
                <w:rFonts w:hint="eastAsia" w:ascii="宋体" w:hAnsi="宋体" w:cs="宋体"/>
                <w:i/>
                <w:iCs/>
                <w:color w:val="000000"/>
                <w:sz w:val="24"/>
                <w:szCs w:val="24"/>
                <w:u w:val="single"/>
                <w:lang w:val="en-US" w:eastAsia="zh-CN" w:bidi="ar"/>
              </w:rPr>
              <w:t xml:space="preserve">不少于</w:t>
            </w:r>
            <w:r>
              <w:rPr>
                <w:rFonts w:hint="eastAsia" w:ascii="宋体" w:hAnsi="宋体" w:cs="宋体"/>
                <w:i/>
                <w:iCs/>
                <w:color w:val="000000"/>
                <w:sz w:val="24"/>
                <w:szCs w:val="24"/>
                <w:u w:val="single"/>
                <w:lang w:bidi="ar"/>
              </w:rPr>
              <w:t xml:space="preserve">3路音源输入（2组线路信号输入接口、1组录播输入接口），</w:t>
            </w:r>
            <w:r>
              <w:rPr>
                <w:rFonts w:hint="eastAsia" w:ascii="宋体" w:hAnsi="宋体" w:cs="宋体"/>
                <w:i/>
                <w:iCs/>
                <w:color w:val="000000"/>
                <w:sz w:val="24"/>
                <w:szCs w:val="24"/>
                <w:u w:val="single"/>
                <w:lang w:val="en-US" w:eastAsia="zh-CN" w:bidi="ar"/>
              </w:rPr>
              <w:t xml:space="preserve">不少于</w:t>
            </w:r>
            <w:r>
              <w:rPr>
                <w:rFonts w:hint="eastAsia" w:ascii="宋体" w:hAnsi="宋体" w:cs="宋体"/>
                <w:i/>
                <w:iCs/>
                <w:color w:val="000000"/>
                <w:sz w:val="24"/>
                <w:szCs w:val="24"/>
                <w:u w:val="single"/>
                <w:lang w:bidi="ar"/>
              </w:rPr>
              <w:t xml:space="preserve">2路音源输出（1组全信号输出接口、1路录播输出接口）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3､具有</w:t>
            </w:r>
            <w:r>
              <w:rPr>
                <w:rFonts w:hint="eastAsia" w:ascii="宋体" w:hAnsi="宋体" w:cs="宋体"/>
                <w:i/>
                <w:iCs/>
                <w:color w:val="000000"/>
                <w:sz w:val="24"/>
                <w:szCs w:val="24"/>
                <w:u w:val="single"/>
                <w:lang w:val="en-US" w:eastAsia="zh-CN" w:bidi="ar"/>
              </w:rPr>
              <w:t xml:space="preserve">不少于</w:t>
            </w:r>
            <w:r>
              <w:rPr>
                <w:rFonts w:hint="eastAsia" w:ascii="宋体" w:hAnsi="宋体" w:cs="宋体"/>
                <w:i/>
                <w:iCs/>
                <w:color w:val="000000"/>
                <w:sz w:val="24"/>
                <w:szCs w:val="24"/>
                <w:u w:val="single"/>
                <w:lang w:bidi="ar"/>
              </w:rPr>
              <w:t xml:space="preserve">6个隐藏式旋钮设计，有效避免产生误操作（话筒音量调节、高低音独立调节及混响调节）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4、音乐主音量控制旋钮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5、具有U盘插口，可播放mp3,wma等主流格式的音乐文件</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6、带蓝牙播放功能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7､带数码显示屏,显示各曲目的播放进度及各模式的名称</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8､具有模式选择按键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9､具有循环选择按键,可选择单曲循环或全部循环（长按该按键播放录音文件,从后往前循环播放,该模式下,再次长按删除当前录音文件,短按退出并回到原来状态 ）</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10､具有上一曲按键、下一曲按键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11､具提示音按键,按动一下即播放提示音一次</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12､具有音乐均衡按键，按动该按键,可以选择不同风格的音乐模式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13､具有话筒录音按键（短按话筒优先,长按该按键开始录音,录音模式下短按该按键退出录音）</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14､具有播放暂停按键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15､具有2.4G无线麦克风接收模块接口；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16､具有2.4G无线麦克风接收指示灯；</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技术参数：</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1､额定功率：2×60W/8Ω；</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2､频率响应： 20Hz-20KHz -1dB；</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3､谐波失真： ≤0.1%（1V.1KHZ）；</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4､信噪比：≥90dB(A计权)；</w:t>
            </w:r>
            <w:r/>
          </w:p>
        </w:tc>
      </w:tr>
      <w:tr>
        <w:trPr>
          <w:trHeight w:val="33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210</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音箱2</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1、额定功率：≥50W。</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2、额定阻抗：≥4Ω。</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3、频率响应：55Hz-18kHz。</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4、驱动器：≥1个6.5寸长冲程低音驱动器。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5、信噪比：95dB；</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6、最大声压级：103dB；</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7、箱体型式：倒相式；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8、箱体及外饰：高密度中纤板（黑色）箱体；喇叭具有金属防护罩。</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9、安装：标配壁挂架；</w:t>
            </w:r>
            <w:r/>
          </w:p>
        </w:tc>
      </w:tr>
      <w:tr>
        <w:trPr>
          <w:trHeight w:val="623"/>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211</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教育资源管理平台</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sz w:val="24"/>
                <w:szCs w:val="24"/>
              </w:rPr>
              <w:t xml:space="preserve">◆</w:t>
            </w:r>
            <w:r>
              <w:rPr>
                <w:rFonts w:hint="eastAsia" w:ascii="宋体" w:hAnsi="宋体" w:cs="宋体"/>
                <w:color w:val="000000"/>
                <w:sz w:val="24"/>
                <w:szCs w:val="24"/>
                <w:lang w:bidi="ar"/>
              </w:rPr>
              <w:t xml:space="preserve">1、平台应具备管理员之上的超级管理员或审计员权限，包括对系统的整个系统管理、节点管理、参数配置、门户管理、数据管理、站点管理、内容安全、数据同步等内容进行查看和操作：系统模块化设计，支持超级管理员对导航菜单功能自定义配置，可以自行新增功能菜单，并对菜单中功能进行自行配置，支持菜单排序、外链接跳转、名称修改等应用；</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2、直播播放器设置：PC端清晰度、弹幕功能、LOGO位置、LOGO设置；点播播放器设置：PC端清晰度、自动播放功能、视频进度条上是否显示PPT缩略图；</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3、登录设置：可设置多人同时同一账号登录，开启验证码，登录失败处理，登录时间保持及用户自注册功能；支持设置密码是否配置密码复杂度策略、密码是否配置密码定期更换策略；</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4、系统管理：可对系统进行重启、升级、时间同步等操作，并支持Elasticsearch数据初始化；</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5、节点管理：应具备对平台节点、直播/点播节点、资源节点、转码节点进行配置；平台节点支持</w:t>
            </w:r>
            <w:r>
              <w:rPr>
                <w:rFonts w:hint="eastAsia" w:ascii="宋体" w:hAnsi="宋体" w:cs="宋体"/>
                <w:color w:val="000000"/>
                <w:sz w:val="24"/>
                <w:szCs w:val="24"/>
                <w:lang w:bidi="ar"/>
              </w:rPr>
              <w:t xml:space="preserve">局域网ip、广域网ip、域名地址、端口、Https ssl设置；直播节点可以显示节点组的局域网ip、广域网ip、域名地址、端口、Https ssl内容；点播节点可以设置内外网IP及终端类型，节点存储类型支持本地磁盘、FasDFS、AliyunOS、VOD、大华EFS；资源节点支持资源终端和消息终端设置，并能同时设置局域网IP和广域网IP，且支持minino存储及Aliyunoss设置；支持站点管理：支持新增站点，切换版本，审核/停用，用户频道统计，许可配置，节点组绑定，级联管理，级联注册、CND配置等功能；</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6、支持视频清理策略配置及视频同步第三方配置；支持视频上传/下载配置：可以对平台上传视频大小进行限制，文件下载的速度限制，电影模式多路默认下载的名称进行调整；支持录播上传设置：可设置录播FTP上传目录、FTP端口、FTP用户名/密码，可设置录播视频是否同步到第三方、是否上传第三方FTP；支持查看平台视频处于的当前状态，包括删除中、异常、未上传、上传中、编辑中、转码中，以及上传点播节点失败；</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7、审核设置：支持视频是否要审核、点播评论是否启用、教育动态评论是否启用、视频评论是否需要审核、直播评论是否需要审核；</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8、校区季节作息时间设置：可配置季节名称、作息开始时间、作息结束时间及课时节次设置；</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9、具备对敏感词的导入、增删改、批量删除、一键清空；</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10、单点登录和数据同步：支持第三方同步数据源配置，可配置数据源类型、数据源IP、数据源接口、数据库名、用户名及密码；</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11、支持界面一键置灰功能，满足特殊纪念日界面显示要求；</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12、支持PC端门户LOGO，后台LOGO，PC端Banner图等自定义设置，同时支持移动端LOGO、界面顶部Banner图自定义设置；</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13、支持平台间级联设置，校级资源平台支持无缝对接至区域资源平台，满足直播、点播资源上传至上级系统综合管理需求；</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14、系统首页面支持视频直播、精品视频、微课展示、名师讲堂、文档中心、课程中心、教师风采等模块功能展示；支持查看教育新闻资讯公告等信息，要求展现的教育资讯信息包含主题标题、发布者信息、发布具体时间以及当前被浏览次数等数据；支持教育新闻动态类目管理，支持不少于两级动态分类，满足学校不同教育资讯分类发布需求；支持用户对教育动态资讯进行在线评论，支持管理员评论审核后显示及在线回复；</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15、支持视频窗口画中画播放功能，能够一键将视频播放窗口缩小并保持在桌面右下方持续播放，当滚动页面或者切换到系统任何其他页面时，视频窗口均可保持在桌面右下角播放，保证视频观看连续性；支持播放倍速0.5、1、1.25、1.5、2、4等调节；支持在播放页面同步呈现课程的AI内容摘要、语音转写文字内容、知识点及PPT、问答等信息；</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16、支持扩展语音转写模块，支持跟资源平台对接，将直播，点播视频进行实时语音转文字，并可在直播或点播窗口生成文字字幕；</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17、支持对语音转写内容进行编辑，以修正识别错误的内容，如一些特殊专用词语、同音字词等；支持批量纠错编辑，并根据用户的纠错编辑行为自动优化语音识别模型，提高语音识别转写的正确率；</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18、支持视频虚拟切片，可根据语音转写文字内容及知识点、PPT等内容进行视频虚拟切片，点击转写文字、知识点、PPT图片等均可快速跳转到对应的视频片段；支持知识点编辑；</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19、支持生成PPT或板书图片资源，在视频播放页面可同步预览PPT内容，可点击PPT图片快速跳转到对应的视频片段；</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20、微课展示：支持微课推荐，可显示对应微课的知识点，播放次数等数据；支持微课知识点的统一展示并呈现对应知识点下的相关视频，支持知识点收藏功能；支持按学段，学科、分类、册别、微课名称、主讲老师、时间段、最新发布、最多播放等方式进行知识点相关微课检索或排列；</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21、名师讲堂：平台具备名师讲堂功能，支持列表显示名师资源，可根据名师列表查看名师及视频展示；进入名师课堂主页，支持显示名师基本简介信息、视频数量、微课数量、文档等，支持视频点播的次数显示，支持最新发布、最多播放排行；支持查看参与的课题组及课题组成员信息；</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22、排行榜：平台具备视频排行榜功能，支持显示精品视频、课程展示、微课展示、名师排行等分类并支持视频资源的自动排名，如按最新发布，最多播放等；</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23、支持学生自助注册平台账号，支持发起视频观看权限申请，老师可在个人中心查看相关申请并进行授权操作；支持个人课表查看；</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24、用户管理：支持后台批量导入，后台可通过数据模板初始化导入用户数据，每个用户可自行管理个人账户信息；管理员具备用户信息编辑、用户锁定、用户解锁、删除、密码修改功能；支持按组织架构进行用户管理，支持用户分组管理；</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25、组织管理：支持组织架构自定义设置，满足学校组织架构配置需求，支持用户批量导入功能，支持自定义角色权限管理，支持分组用户管理，能够满足分组授权的灵活需求；包括学生管理、班级管理等应用；</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26、录播管理：支持根据</w:t>
            </w:r>
            <w:r>
              <w:rPr>
                <w:rFonts w:hint="eastAsia" w:ascii="宋体" w:hAnsi="宋体" w:cs="宋体"/>
                <w:color w:val="000000"/>
                <w:sz w:val="24"/>
                <w:szCs w:val="24"/>
                <w:lang w:bidi="ar"/>
              </w:rPr>
              <w:t xml:space="preserve">不同教室功能设置教室分类管理，支持教室分类多层级创建；支持绑定录播设备，实现录播设备远程管理，包括录播、直播状态监测显示、远程开关机、设备重启等操作；支持远程连接录播教室，支持对录播画面进行在线直播预览，支持电影模式、资源模式预览设置；支持课表联动录播设备实现自动开启录制功能，支持按照教室、预约周期、预约时间、有效日期、课时、主讲老师、年级、学段、学科、班级、是否直播等维度批量导入学校课程安排，实现完全自动化录播启动和资源上传；支持数据同步日志，可按时间进行检索，支持业务名称，同步状态，错误信息查询等内容；</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27、视频管理：支持视频分类、支持视频编目自定义设置，支持视频编目项字典自定义编辑，可以根据不同年级、学科、学段、册别自行编辑内容项；支持视频列表形式展示所有平台视频，支持对任意视频设置推荐；支持视频审核，能够在视频审核界面对待审核视频进行播放观看，支持删除视频和审核通过两种操作，支持多个视频选中进行批量审核；支持视频评论、问答管理界面，能够统一管理视频评论内容，支持设置自动答复功能；</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28、报表统计要求：支持直播峰值图表，所有直播活动能够自动生成直播统计报表，支持以柱状图形式显示在不同时间段同时在线观看人数统计结果；支持直播观看信息查看，支持获取观看用户IP地址、登入、登出时间、在线时长、观看设备类型等统一展示；支持直播用户分布图，能够以中国地图形式呈现全国各地观看观众数，并根据不同用户数量能够以不同颜色进行标记显示；支持视频峰值、视频播放量、视频播放时长、视频播放量排行、视频观看用户、日志管理等统计分析模块，帮助学校老师充分了解各视频查看统计结果；</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29、新闻管理：支持新闻分类设置，支持新闻发布，设置封面、分类、标题、关键字、摘要、新闻内容等信息，支持上传新闻附件格式支持doc、docx、xls、xlsx、ppt、pptx、pdf、txt等；支持对新闻评论内容进行管理，如审核、回复、删除等；</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30、名师管理：支持从用户中批量导入名师，支持为名师创建课题组并选择课题组成员进行管理，支持名师信息检索、删除等操作；</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31、课程专题管理：支持新建课程专题，创建课程名称，授课老师，所属院系，课程，观看权限，封面，简介，排序等信息，支持绑定平台内的教学资源或上传本地资源；支持课程发布审核、推荐设置等；</w:t>
            </w:r>
            <w:r>
              <w:rPr>
                <w:rFonts w:hint="eastAsia" w:ascii="宋体" w:hAnsi="宋体" w:cs="宋体"/>
                <w:color w:val="000000"/>
                <w:sz w:val="24"/>
                <w:szCs w:val="24"/>
                <w:lang w:bidi="ar"/>
              </w:rPr>
              <w:br/>
            </w:r>
            <w:r>
              <w:rPr>
                <w:rFonts w:hint="eastAsia" w:ascii="宋体" w:hAnsi="宋体" w:cs="宋体"/>
                <w:sz w:val="24"/>
                <w:szCs w:val="24"/>
              </w:rPr>
              <w:t xml:space="preserve">◆</w:t>
            </w:r>
            <w:r>
              <w:rPr>
                <w:rFonts w:hint="eastAsia" w:ascii="宋体" w:hAnsi="宋体" w:cs="宋体"/>
                <w:color w:val="000000"/>
                <w:sz w:val="24"/>
                <w:szCs w:val="24"/>
                <w:lang w:bidi="ar"/>
              </w:rPr>
              <w:t xml:space="preserve">32、教务管理：支持课程管理如：课程的上架下架，课程章节设置等；支持编目管理如：学科分类管理、专业管理、学院管理、课程类型管理等。</w:t>
            </w:r>
            <w:r/>
          </w:p>
        </w:tc>
      </w:tr>
      <w:tr>
        <w:trPr>
          <w:trHeight w:val="233"/>
        </w:trPr>
        <w:tc>
          <w:tcPr>
            <w:tcBorders>
              <w:top w:val="single" w:color="000000" w:sz="4" w:space="0"/>
              <w:left w:val="single" w:color="000000" w:sz="4" w:space="0"/>
              <w:right w:val="single" w:color="000000" w:sz="4" w:space="0"/>
            </w:tcBorders>
            <w:tcW w:w="538" w:type="dxa"/>
            <w:vAlign w:val="center"/>
            <w:vMerge w:val="restart"/>
            <w:textDirection w:val="lrTb"/>
            <w:noWrap w:val="false"/>
          </w:tcPr>
          <w:p>
            <w:pPr>
              <w:jc w:val="center"/>
              <w:widowControl/>
              <w:rPr>
                <w:rFonts w:hint="default" w:ascii="宋体" w:hAnsi="宋体" w:eastAsia="宋体" w:cs="宋体"/>
                <w:color w:val="000000"/>
                <w:sz w:val="22"/>
                <w:lang w:val="en-US" w:eastAsia="zh-CN" w:bidi="ar"/>
              </w:rPr>
            </w:pPr>
            <w:r>
              <w:rPr>
                <w:rFonts w:hint="eastAsia" w:ascii="宋体" w:hAnsi="宋体" w:cs="宋体"/>
                <w:color w:val="000000"/>
                <w:sz w:val="22"/>
                <w:lang w:val="en-US" w:eastAsia="zh-CN" w:bidi="ar"/>
              </w:rPr>
              <w:t xml:space="preserve">210</w:t>
            </w:r>
            <w:r/>
          </w:p>
        </w:tc>
        <w:tc>
          <w:tcPr>
            <w:tcBorders>
              <w:top w:val="single" w:color="000000" w:sz="4" w:space="0"/>
              <w:left w:val="single" w:color="000000" w:sz="4" w:space="0"/>
              <w:right w:val="single" w:color="000000" w:sz="4" w:space="0"/>
            </w:tcBorders>
            <w:tcW w:w="1037" w:type="dxa"/>
            <w:vAlign w:val="center"/>
            <w:vMerge w:val="restart"/>
            <w:textDirection w:val="lrTb"/>
            <w:noWrap w:val="false"/>
          </w:tcPr>
          <w:p>
            <w:pPr>
              <w:jc w:val="left"/>
              <w:widowControl/>
              <w:rPr>
                <w:rFonts w:hint="eastAsia" w:ascii="宋体" w:hAnsi="宋体" w:eastAsia="宋体" w:cs="宋体"/>
                <w:color w:val="000000"/>
                <w:sz w:val="24"/>
                <w:szCs w:val="24"/>
                <w:lang w:eastAsia="zh-CN" w:bidi="ar"/>
              </w:rPr>
            </w:pPr>
            <w:r>
              <w:rPr>
                <w:rFonts w:hint="eastAsia" w:ascii="宋体" w:hAnsi="宋体" w:cs="宋体"/>
                <w:color w:val="000000"/>
                <w:sz w:val="24"/>
                <w:szCs w:val="24"/>
                <w:lang w:eastAsia="zh-CN" w:bidi="ar"/>
              </w:rPr>
              <w:t xml:space="preserve">平台服务器</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二级指标</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center"/>
              <w:widowControl/>
              <w:rPr>
                <w:rFonts w:hint="eastAsia" w:ascii="宋体" w:hAnsi="宋体" w:cs="宋体"/>
                <w:i/>
                <w:iCs/>
                <w:sz w:val="24"/>
                <w:szCs w:val="24"/>
                <w:u w:val="single"/>
              </w:rPr>
            </w:pPr>
            <w:r>
              <w:rPr>
                <w:rFonts w:hint="eastAsia" w:ascii="微软雅黑" w:hAnsi="微软雅黑" w:eastAsia="微软雅黑" w:cs="微软雅黑"/>
                <w:i/>
                <w:iCs/>
                <w:color w:val="000000"/>
                <w:sz w:val="20"/>
                <w:szCs w:val="20"/>
                <w:u w:val="single"/>
                <w:lang w:bidi="ar"/>
              </w:rPr>
              <w:t xml:space="preserve">指标要求</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CPU信息</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i/>
                <w:iCs/>
                <w:sz w:val="24"/>
                <w:szCs w:val="24"/>
                <w:u w:val="single"/>
              </w:rPr>
            </w:pPr>
            <w:r>
              <w:rPr>
                <w:rFonts w:hint="eastAsia" w:ascii="微软雅黑" w:hAnsi="微软雅黑" w:eastAsia="微软雅黑" w:cs="微软雅黑"/>
                <w:i/>
                <w:iCs/>
                <w:color w:val="000000"/>
                <w:sz w:val="20"/>
                <w:szCs w:val="20"/>
                <w:u w:val="single"/>
                <w:lang w:bidi="ar"/>
              </w:rPr>
              <w:t xml:space="preserve">主频：≥2.7GHz</w:t>
            </w:r>
            <w:r>
              <w:rPr>
                <w:rFonts w:hint="eastAsia" w:ascii="微软雅黑" w:hAnsi="微软雅黑" w:eastAsia="微软雅黑" w:cs="微软雅黑"/>
                <w:i/>
                <w:iCs/>
                <w:color w:val="000000"/>
                <w:sz w:val="20"/>
                <w:szCs w:val="20"/>
                <w:u w:val="single"/>
                <w:lang w:bidi="ar"/>
              </w:rPr>
              <w:br/>
            </w:r>
            <w:r>
              <w:rPr>
                <w:rFonts w:hint="eastAsia" w:ascii="微软雅黑" w:hAnsi="微软雅黑" w:eastAsia="微软雅黑" w:cs="微软雅黑"/>
                <w:i/>
                <w:iCs/>
                <w:color w:val="000000"/>
                <w:sz w:val="20"/>
                <w:szCs w:val="20"/>
                <w:u w:val="single"/>
                <w:lang w:bidi="ar"/>
              </w:rPr>
              <w:t xml:space="preserve">每颗 CPU 内核数：≥32核</w:t>
            </w:r>
            <w:r>
              <w:rPr>
                <w:rFonts w:hint="eastAsia" w:ascii="微软雅黑" w:hAnsi="微软雅黑" w:eastAsia="微软雅黑" w:cs="微软雅黑"/>
                <w:i/>
                <w:iCs/>
                <w:color w:val="000000"/>
                <w:sz w:val="20"/>
                <w:szCs w:val="20"/>
                <w:u w:val="single"/>
                <w:lang w:bidi="ar"/>
              </w:rPr>
              <w:br/>
            </w:r>
            <w:r>
              <w:rPr>
                <w:rFonts w:hint="eastAsia" w:ascii="微软雅黑" w:hAnsi="微软雅黑" w:eastAsia="微软雅黑" w:cs="微软雅黑"/>
                <w:i/>
                <w:iCs/>
                <w:color w:val="000000"/>
                <w:sz w:val="20"/>
                <w:szCs w:val="20"/>
                <w:u w:val="single"/>
                <w:lang w:bidi="ar"/>
              </w:rPr>
              <w:t xml:space="preserve">实际配置：配置≥1 颗物理 CPU</w:t>
            </w:r>
            <w:r>
              <w:rPr>
                <w:rFonts w:hint="eastAsia" w:ascii="微软雅黑" w:hAnsi="微软雅黑" w:eastAsia="微软雅黑" w:cs="微软雅黑"/>
                <w:i/>
                <w:iCs/>
                <w:color w:val="000000"/>
                <w:sz w:val="20"/>
                <w:szCs w:val="20"/>
                <w:u w:val="single"/>
                <w:lang w:bidi="ar"/>
              </w:rPr>
              <w:br/>
            </w:r>
            <w:r>
              <w:rPr>
                <w:rFonts w:hint="eastAsia" w:ascii="微软雅黑" w:hAnsi="微软雅黑" w:eastAsia="微软雅黑" w:cs="微软雅黑"/>
                <w:i/>
                <w:iCs/>
                <w:color w:val="000000"/>
                <w:sz w:val="20"/>
                <w:szCs w:val="20"/>
                <w:u w:val="single"/>
                <w:lang w:bidi="ar"/>
              </w:rPr>
              <w:t xml:space="preserve">扩展性：最大配置≥2 颗物理 CPU，支持超线程，支持硬件加速国密SM2/SM3/SM4算法</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restart"/>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主板支持的CPU和内存情况</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主板最大配置≥2 颗国产处理器，单颗CPU核心数≥32核，主频≥2.7GHz；</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内存配置≥32GB 3200MHz DDR4内存；</w:t>
            </w:r>
            <w:r>
              <w:rPr>
                <w:rFonts w:hint="eastAsia" w:ascii="微软雅黑" w:hAnsi="微软雅黑" w:eastAsia="微软雅黑" w:cs="微软雅黑"/>
                <w:i/>
                <w:iCs/>
                <w:color w:val="000000"/>
                <w:sz w:val="20"/>
                <w:szCs w:val="20"/>
                <w:u w:val="single"/>
                <w:lang w:bidi="ar"/>
              </w:rPr>
              <w:br/>
            </w:r>
            <w:r>
              <w:rPr>
                <w:rFonts w:hint="eastAsia" w:ascii="微软雅黑" w:hAnsi="微软雅黑" w:eastAsia="微软雅黑" w:cs="微软雅黑"/>
                <w:i/>
                <w:iCs/>
                <w:color w:val="000000"/>
                <w:sz w:val="20"/>
                <w:szCs w:val="20"/>
                <w:u w:val="single"/>
                <w:lang w:bidi="ar"/>
              </w:rPr>
              <w:t xml:space="preserve">最大内存插槽总数≥32个，支持最大容量≥4TB，支持内存纠错等高级功能</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主板内存槽数量</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≥32个</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主板存储接口</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 SATA、NVMe存储接口</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PCIe 插槽接口</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符合PCIe4.0或以上的高速串行计算机扩展总线标准，PCIe的接口速率与位宽需保证向下兼容</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主板PCIe插槽数量及规格</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Style w:val="1106"/>
                <w:rFonts w:hint="eastAsia" w:ascii="微软雅黑" w:hAnsi="微软雅黑" w:eastAsia="微软雅黑" w:cs="微软雅黑"/>
                <w:i/>
                <w:iCs/>
                <w:sz w:val="20"/>
                <w:szCs w:val="20"/>
                <w:lang w:bidi="ar"/>
              </w:rPr>
              <w:t xml:space="preserve">本次采购至少为</w:t>
            </w:r>
            <w:r>
              <w:rPr>
                <w:rStyle w:val="1107"/>
                <w:rFonts w:hint="eastAsia" w:ascii="微软雅黑" w:hAnsi="微软雅黑" w:eastAsia="微软雅黑" w:cs="微软雅黑"/>
                <w:i/>
                <w:iCs/>
                <w:sz w:val="20"/>
                <w:szCs w:val="20"/>
                <w:u w:val="single"/>
                <w:lang w:bidi="ar"/>
              </w:rPr>
              <w:t xml:space="preserve">单</w:t>
            </w:r>
            <w:r>
              <w:rPr>
                <w:rStyle w:val="1106"/>
                <w:rFonts w:hint="eastAsia" w:ascii="微软雅黑" w:hAnsi="微软雅黑" w:eastAsia="微软雅黑" w:cs="微软雅黑"/>
                <w:i/>
                <w:iCs/>
                <w:sz w:val="20"/>
                <w:szCs w:val="20"/>
                <w:lang w:bidi="ar"/>
              </w:rPr>
              <w:t xml:space="preserve">路服务器，服务器高度大于44.45mmPCIe插槽或接口≥6个</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特殊孔位及接口</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板载≥4个USB接口，其中USB3.0≥3个；≥2个VGA接口（前后面板各1个）</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板载网络接口</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板载1个千兆管理专用以太网口</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主板OCP插槽数量</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支持OCP3.0网卡，支持热插拔；</w:t>
            </w:r>
            <w:r>
              <w:rPr>
                <w:rFonts w:hint="eastAsia" w:ascii="微软雅黑" w:hAnsi="微软雅黑" w:eastAsia="微软雅黑" w:cs="微软雅黑"/>
                <w:i/>
                <w:iCs/>
                <w:color w:val="000000"/>
                <w:sz w:val="20"/>
                <w:szCs w:val="20"/>
                <w:u w:val="single"/>
                <w:lang w:bidi="ar"/>
              </w:rPr>
              <w:br/>
            </w:r>
            <w:r>
              <w:rPr>
                <w:rFonts w:hint="eastAsia" w:ascii="微软雅黑" w:hAnsi="微软雅黑" w:eastAsia="微软雅黑" w:cs="微软雅黑"/>
                <w:i/>
                <w:iCs/>
                <w:color w:val="000000"/>
                <w:sz w:val="20"/>
                <w:szCs w:val="20"/>
                <w:u w:val="single"/>
                <w:lang w:bidi="ar"/>
              </w:rPr>
              <w:t xml:space="preserve">支持扩展单口/双口 1GE、10GE 光纤以太网卡；支持 ipv4 和 ipv6 双栈协议</w:t>
            </w:r>
            <w:r/>
          </w:p>
        </w:tc>
      </w:tr>
      <w:tr>
        <w:trPr>
          <w:trHeight w:val="91"/>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highlight w:val="none"/>
                <w:u w:val="single"/>
                <w:lang w:bidi="ar"/>
              </w:rPr>
              <w:t xml:space="preserve">内存数量</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highlight w:val="none"/>
                <w:u w:val="single"/>
                <w:lang w:bidi="ar"/>
              </w:rPr>
              <w:t xml:space="preserve">≥2</w:t>
            </w:r>
            <w:r/>
          </w:p>
        </w:tc>
      </w:tr>
      <w:tr>
        <w:trPr>
          <w:trHeight w:val="138"/>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内存规格</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≥DDR4</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内存通道</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lang w:bidi="ar"/>
              </w:rPr>
              <w:t xml:space="preserve">支持≥4个内存接口通道，支持 2DPC，印制电路板上应具备插槽的序号标识</w:t>
            </w:r>
            <w:r/>
          </w:p>
        </w:tc>
      </w:tr>
      <w:tr>
        <w:trPr>
          <w:trHeight w:val="348"/>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硬盘类型</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支持SATA 3.0及以上接口</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硬磁盘实配容量</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配备固态硬盘，≥2*960GB SATA SSD</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硬盘插槽数量及规格</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Style w:val="1107"/>
                <w:rFonts w:hint="eastAsia" w:ascii="微软雅黑" w:hAnsi="微软雅黑" w:eastAsia="微软雅黑" w:cs="微软雅黑"/>
                <w:i/>
                <w:iCs/>
                <w:sz w:val="20"/>
                <w:szCs w:val="20"/>
                <w:lang w:bidi="ar"/>
              </w:rPr>
              <w:t xml:space="preserve">前置</w:t>
            </w:r>
            <w:r>
              <w:rPr>
                <w:rStyle w:val="1106"/>
                <w:rFonts w:hint="eastAsia" w:ascii="微软雅黑" w:hAnsi="微软雅黑" w:eastAsia="微软雅黑" w:cs="微软雅黑"/>
                <w:i/>
                <w:iCs/>
                <w:sz w:val="20"/>
                <w:szCs w:val="20"/>
                <w:lang w:bidi="ar"/>
              </w:rPr>
              <w:t xml:space="preserve">支持≥12块3.5/2.5英寸硬盘</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RAID卡支持的 SAS接口数</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≥0</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SAS直通卡SAS接口数量</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≥8</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HBA卡端口数量</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≥0</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网口速率和数量</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配备2个千兆以太网RJ45接口</w:t>
            </w:r>
            <w:r/>
          </w:p>
        </w:tc>
      </w:tr>
      <w:tr>
        <w:trPr>
          <w:trHeight w:val="36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highlight w:val="none"/>
                <w:u w:val="single"/>
                <w:lang w:bidi="ar"/>
              </w:rPr>
              <w:t xml:space="preserve">独立网卡网口数量</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w:t>
            </w:r>
            <w:r>
              <w:rPr>
                <w:rFonts w:hint="eastAsia" w:ascii="微软雅黑" w:hAnsi="微软雅黑" w:eastAsia="微软雅黑" w:cs="微软雅黑"/>
                <w:i/>
                <w:iCs/>
                <w:color w:val="000000"/>
                <w:sz w:val="20"/>
                <w:szCs w:val="20"/>
                <w:u w:val="single"/>
                <w:lang w:val="en-US" w:eastAsia="zh-CN" w:bidi="ar"/>
              </w:rPr>
              <w:t xml:space="preserve">1</w:t>
            </w:r>
            <w:r/>
          </w:p>
        </w:tc>
      </w:tr>
      <w:tr>
        <w:trPr>
          <w:trHeight w:val="258"/>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显示接口</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显示接口类型为VGA</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USB 接口</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板载≥4个USB接口，其中USB3.0≥3个；≥2个VGA接口（前后面板各1个）</w:t>
            </w:r>
            <w:r/>
          </w:p>
        </w:tc>
      </w:tr>
      <w:tr>
        <w:trPr>
          <w:trHeight w:val="27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电源冗余模式</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整机电源模块按 1+1 冗余或 N+1 冗余配置</w:t>
            </w:r>
            <w:r/>
          </w:p>
        </w:tc>
      </w:tr>
      <w:tr>
        <w:trPr>
          <w:trHeight w:val="468"/>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电源模块数量</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≥2</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电源功率</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电源模块功率应有一定冗余，满足处理器满载时的需求。单电源功率≥800W</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电源指示灯</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配备电源指示灯，指示待机、工作异常等状态</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restart"/>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外观和结构</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a)服务器的零部件应紧固无松动，可插拔部件应可靠连接，开关、按钮和其它控制部件应灵活可靠，布局应方便使用；</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b) 产品表面不应有明显的凹痕、划伤、裂缝、变形和污染等。表面涂层均匀，不应起泡、龟裂、脱落和磨损，金属零部件无锈蚀及其它机械损伤；</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c) 产品表面说明功能的文字、符号和标志应清晰、端正且牢固；</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d) 在服务器的显著位置提供运行状态的指示功能，并在随机文件中明确具体含义</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e) 机架、机箱的尺寸应符合通用机柜的安装要求，插入总线插座的电路板接口外形尺寸应符合有关总线标准的规定，将机箱固定在机柜上，机箱底面最大下垂变形不得干涉相邻机体；</w:t>
            </w:r>
            <w:r/>
          </w:p>
        </w:tc>
      </w:tr>
      <w:tr>
        <w:trPr>
          <w:trHeight w:val="348"/>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f) CPU 2颗，单台服务器机箱2U高度</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g) 服务器尺寸具体要求在随机文件中明确</w:t>
            </w:r>
            <w:r/>
          </w:p>
        </w:tc>
      </w:tr>
      <w:tr>
        <w:trPr>
          <w:trHeight w:val="196"/>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微软雅黑" w:hAnsi="微软雅黑" w:eastAsia="微软雅黑" w:cs="微软雅黑"/>
                <w:i/>
                <w:iCs/>
                <w:color w:val="000000"/>
                <w:sz w:val="20"/>
                <w:szCs w:val="20"/>
                <w:u w:val="single"/>
                <w:lang w:bidi="ar"/>
              </w:rPr>
            </w:pPr>
            <w:r>
              <w:rPr>
                <w:rFonts w:hint="eastAsia" w:ascii="微软雅黑" w:hAnsi="微软雅黑" w:eastAsia="微软雅黑" w:cs="微软雅黑"/>
                <w:i/>
                <w:iCs/>
                <w:color w:val="000000"/>
                <w:sz w:val="20"/>
                <w:szCs w:val="20"/>
                <w:u w:val="single"/>
                <w:lang w:bidi="ar"/>
              </w:rPr>
              <w:t xml:space="preserve">尺寸（高</w:t>
            </w:r>
            <w:r>
              <w:rPr>
                <w:rFonts w:hint="eastAsia" w:ascii="微软雅黑" w:hAnsi="微软雅黑" w:eastAsia="微软雅黑" w:cs="微软雅黑"/>
                <w:i/>
                <w:iCs/>
                <w:color w:val="000000"/>
                <w:sz w:val="20"/>
                <w:szCs w:val="20"/>
                <w:u w:val="single"/>
                <w:lang w:bidi="ar"/>
              </w:rPr>
              <w:t xml:space="preserve">×宽×深）</w:t>
            </w:r>
            <w:r>
              <w:rPr>
                <w:rFonts w:hint="eastAsia" w:ascii="微软雅黑" w:hAnsi="微软雅黑" w:eastAsia="微软雅黑" w:cs="微软雅黑"/>
                <w:i/>
                <w:iCs/>
                <w:color w:val="000000"/>
                <w:sz w:val="20"/>
                <w:szCs w:val="20"/>
                <w:u w:val="single"/>
                <w:lang w:bidi="ar"/>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2U机架式，尺寸为:86.1 mm × 447 mm × 790 mm</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服务器导轨</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导轨安装适配宽度19英寸，伸缩式安装</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CPU 个数与机柜高度单位(U)比</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CPU 2颗，单台服务器机箱2U高度</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环境适应性</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气候环境适应性应符合 GB/T9813.3 的有关规定，工作温度</w:t>
            </w:r>
            <w:r>
              <w:rPr>
                <w:rFonts w:hint="eastAsia" w:ascii="微软雅黑" w:hAnsi="微软雅黑" w:eastAsia="微软雅黑" w:cs="微软雅黑"/>
                <w:i/>
                <w:iCs/>
                <w:color w:val="000000"/>
                <w:sz w:val="20"/>
                <w:szCs w:val="20"/>
                <w:u w:val="single"/>
                <w:lang w:val="en-US" w:eastAsia="zh-CN" w:bidi="ar"/>
              </w:rPr>
              <w:t xml:space="preserve">优于</w:t>
            </w:r>
            <w:r>
              <w:rPr>
                <w:rFonts w:hint="eastAsia" w:ascii="微软雅黑" w:hAnsi="微软雅黑" w:eastAsia="微软雅黑" w:cs="微软雅黑"/>
                <w:i/>
                <w:iCs/>
                <w:color w:val="000000"/>
                <w:sz w:val="20"/>
                <w:szCs w:val="20"/>
                <w:u w:val="single"/>
                <w:lang w:bidi="ar"/>
              </w:rPr>
              <w:t xml:space="preserve">10～35℃，贮存运输温度</w:t>
            </w:r>
            <w:r>
              <w:rPr>
                <w:rFonts w:hint="eastAsia" w:ascii="微软雅黑" w:hAnsi="微软雅黑" w:eastAsia="微软雅黑" w:cs="微软雅黑"/>
                <w:i/>
                <w:iCs/>
                <w:color w:val="000000"/>
                <w:sz w:val="20"/>
                <w:szCs w:val="20"/>
                <w:u w:val="single"/>
                <w:lang w:val="en-US" w:eastAsia="zh-CN" w:bidi="ar"/>
              </w:rPr>
              <w:t xml:space="preserve">优于</w:t>
            </w:r>
            <w:r>
              <w:rPr>
                <w:rFonts w:hint="eastAsia" w:ascii="微软雅黑" w:hAnsi="微软雅黑" w:eastAsia="微软雅黑" w:cs="微软雅黑"/>
                <w:i/>
                <w:iCs/>
                <w:color w:val="000000"/>
                <w:sz w:val="20"/>
                <w:szCs w:val="20"/>
                <w:u w:val="single"/>
                <w:lang w:bidi="ar"/>
              </w:rPr>
              <w:t xml:space="preserve">-40～55℃；工作相对湿度</w:t>
            </w:r>
            <w:r>
              <w:rPr>
                <w:rFonts w:hint="eastAsia" w:ascii="微软雅黑" w:hAnsi="微软雅黑" w:eastAsia="微软雅黑" w:cs="微软雅黑"/>
                <w:i/>
                <w:iCs/>
                <w:color w:val="000000"/>
                <w:sz w:val="20"/>
                <w:szCs w:val="20"/>
                <w:u w:val="single"/>
                <w:lang w:val="en-US" w:eastAsia="zh-CN" w:bidi="ar"/>
              </w:rPr>
              <w:t xml:space="preserve">优于</w:t>
            </w:r>
            <w:r>
              <w:rPr>
                <w:rFonts w:hint="eastAsia" w:ascii="微软雅黑" w:hAnsi="微软雅黑" w:eastAsia="微软雅黑" w:cs="微软雅黑"/>
                <w:i/>
                <w:iCs/>
                <w:color w:val="000000"/>
                <w:sz w:val="20"/>
                <w:szCs w:val="20"/>
                <w:u w:val="single"/>
                <w:lang w:bidi="ar"/>
              </w:rPr>
              <w:t xml:space="preserve">35%～80%，贮存运输相对湿度</w:t>
            </w:r>
            <w:r>
              <w:rPr>
                <w:rFonts w:hint="eastAsia" w:ascii="微软雅黑" w:hAnsi="微软雅黑" w:eastAsia="微软雅黑" w:cs="微软雅黑"/>
                <w:i/>
                <w:iCs/>
                <w:color w:val="000000"/>
                <w:sz w:val="20"/>
                <w:szCs w:val="20"/>
                <w:u w:val="single"/>
                <w:lang w:val="en-US" w:eastAsia="zh-CN" w:bidi="ar"/>
              </w:rPr>
              <w:t xml:space="preserve">优于</w:t>
            </w:r>
            <w:r>
              <w:rPr>
                <w:rFonts w:hint="eastAsia" w:ascii="微软雅黑" w:hAnsi="微软雅黑" w:eastAsia="微软雅黑" w:cs="微软雅黑"/>
                <w:i/>
                <w:iCs/>
                <w:color w:val="000000"/>
                <w:sz w:val="20"/>
                <w:szCs w:val="20"/>
                <w:u w:val="single"/>
                <w:lang w:bidi="ar"/>
              </w:rPr>
              <w:t xml:space="preserve">20％～93%（40℃）；大气压</w:t>
            </w:r>
            <w:r>
              <w:rPr>
                <w:rFonts w:hint="eastAsia" w:ascii="微软雅黑" w:hAnsi="微软雅黑" w:eastAsia="微软雅黑" w:cs="微软雅黑"/>
                <w:i/>
                <w:iCs/>
                <w:color w:val="000000"/>
                <w:sz w:val="20"/>
                <w:szCs w:val="20"/>
                <w:u w:val="single"/>
                <w:lang w:val="en-US" w:eastAsia="zh-CN" w:bidi="ar"/>
              </w:rPr>
              <w:t xml:space="preserve">优于</w:t>
            </w:r>
            <w:r>
              <w:rPr>
                <w:rFonts w:hint="eastAsia" w:ascii="微软雅黑" w:hAnsi="微软雅黑" w:eastAsia="微软雅黑" w:cs="微软雅黑"/>
                <w:i/>
                <w:iCs/>
                <w:color w:val="000000"/>
                <w:sz w:val="20"/>
                <w:szCs w:val="20"/>
                <w:u w:val="single"/>
                <w:lang w:bidi="ar"/>
              </w:rPr>
              <w:t xml:space="preserve">86～106kPa</w:t>
            </w:r>
            <w:r/>
          </w:p>
        </w:tc>
      </w:tr>
      <w:tr>
        <w:trPr>
          <w:trHeight w:val="126"/>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特殊机型环境适应度</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机械环境适应性</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机械环境适应性应符合 GB/T9813.3 的有关规定</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噪声</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符合 GB/T 9813.3 的有关规定，在产品说明中给出具体测试值塔式服务器噪声在空闲状态下不大于 50dB</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AI 计算单元</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一键式迁移</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机柜尺寸</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2000*600*1000（42U）</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机柜管理</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配备机柜管理面板</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restart"/>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机柜电源规格</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机柜电源支持集中供电，电源输入不少于2路且支持自动切换；</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机柜电源模块支持N+1冗余配置，电源模块可独立更换</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主板外部接口种类</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支持USB、显示、管理等接口，VGA、USB3.0、BMC管理端口</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主板防烧板设计</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支持主板防烧板设计，保证电源故障后不扩散</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扩展功能</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支持网络功能卡扩展</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网络功能</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支持网络连接、网络访问、数据交换和网络管控功能</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计算处理</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支持通用计算及虚拟化功能。处理器需集成整型计算单元、浮点计算单元、内存控制器、I/O 模块等，处理器与存储部件、网络部件、I/O部件等组成计算系统，提供数据处理、网络接入等计算相关功能</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密码算法实现</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CPU 芯片应符合 GM/T 0008 的相关规定，或芯片密码模块应、 符合 GB/T37092 或 GM/T 0028 的相关规定</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内存校验</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支持内存校验或内存增强型纠错功能</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SATASSDNAND健康状态上报</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支持关键外部存储器 （硬磁盘、SSD等）的健康状态上报并进行故障诊断</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SATASSD单die故障隔离</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 SSD 关键外部存储器中单存储晶元故障隔离</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RAID卡RAID级别支持</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RAID 模式支持 RAID 0,1,5,10</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RAID卡BBU单元</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RAID 卡支持电容备份单元</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光驱类型（是否支持RW，以及光盘类型CD/DVD）</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电源热插拔</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整机电源模块应具备热插拔功能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电源过流保护</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支持过流及短路保护的功能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散热方式</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支持风冷散热方式</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restart"/>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其他功能</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a) 支持关键部件冗余（包括电源、风扇等）；</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b) 支持熔断保护与恢复功能</w:t>
            </w:r>
            <w:r/>
          </w:p>
        </w:tc>
      </w:tr>
      <w:tr>
        <w:trPr>
          <w:trHeight w:val="228"/>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restart"/>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BMC 固件基础功能</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1) 支持 DHCP 设置网络功能；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2)支持静态 IP 设置网络功能；</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3)支持设备日志记录，包括但不限于登录日志、操作日志和报警日志等功能；</w:t>
            </w:r>
            <w:r/>
          </w:p>
        </w:tc>
      </w:tr>
      <w:tr>
        <w:trPr>
          <w:trHeight w:val="1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4)支持日志信息导出和记录删除功能；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5)支持通过管理接口向外输出准确的报警信息功能；</w:t>
            </w:r>
            <w:r/>
          </w:p>
        </w:tc>
      </w:tr>
      <w:tr>
        <w:trPr>
          <w:trHeight w:val="426"/>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6)设备的 BMC 管理软件应能够按报警的严重程度进行区分；</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7)支持 IPMI2.0、SNMP 或 Redfish等接口功能；</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8)支持键盘、鼠标和视频的重定向、文本控制台的重定向、远程虚拟媒体、高可靠的硬件监控和管理功能；</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9)支持基于网络开启、关闭和重启设备的功能，并查询当前设备开机运行状态；</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10)支持故障提示功能，并可通过接口读取服务器故障信息；</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11)支持基于网络的固件更新功能，包括 BMC 和 BIOS 等；</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12)支持基于网络安装操作系统的功能，并可通过网络控制台访问设备；</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13)支持通过本地的硬盘或光驱等存储设备，基于网络完成设备的操作系统安装功能；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14)支持通过浏览器打开管理界面并登录功能；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15)支持设置口令策略功能；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16)支持访问权限设置功能，并通过日志记录访问事件；</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17)支持对出厂默认的用户名及口令进行安全保护功能，并提供默认口令修改提示；</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18)支持读取设备主板的工作环境温度功能；</w:t>
            </w:r>
            <w:r/>
          </w:p>
        </w:tc>
      </w:tr>
      <w:tr>
        <w:trPr>
          <w:trHeight w:val="114"/>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19)支持读取服务器 CPU 等核心器件的温度功能；</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20)支持通过外部管理工具进行 BMC参数设置的功能，并可基于网络通过外部管理工具对 BMC 进行管理；</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21)应支持固件版本查询、固件升级</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22)支持基于网络实现开关机和复位控制的功能；</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23)BMC 启动时间应不超过 180s，实现功能包括网络、IPMI、散热、传感器服务可用；</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24)支持 BMC 固件设置的恢复出厂功能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restart"/>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BMC固件</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a）网络控制、安装提供图形访问界面网络；</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b）设备的 BMC 管理软件界面显示报警信息，且能够按报警的严重程度进行区分；</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c）Web GUI 采用 BMC 端口直连，平均响应时间为不大于1s；</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restart"/>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BIOS 固件基础功能</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a）支持查看固件版本、内存信息、主板信息、处理器信息和系统时间信息功能；</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b）支持上电初始化界面显示 CPU 信息、内存信息、固件版本和部分快捷键信息功能；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c）支持设置界面中英文显示切换功能；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d）支持查看 PCIe 设备信息，SATA设备信息功能；</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e）支持操作系统安装和引导功能，应并向操作系统提供计算机主板信息和服务接口；</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f）支持设置启动顺序，并按照设置的启动顺序启动功能；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g）支持安全启动功能；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h）支持设置口令、修改口令、验证口令功能；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i）支持板载显示控制或独立显卡的显示控制功能；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j）支持 RAID 识别和启动功能；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k）支持串口重定向功能；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l）支持固件更新功能；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m）支持 BIOS 固件设置的恢复出厂功能；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n）支持网络引导启用和关闭功能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远程控制</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支持远程关机和重新启动功能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操作系统及驱动的升级</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支持通过网络、闪存盘对操作系统、驱动进行升级</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操作系统及驱动的备份还原</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支持操作系统备份及还原功能</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restart"/>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操作系统功能</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a) 支持访问控制、安全审计、网络接入鉴别等功能；</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b) 操作系统其他功能应满足操作系统政府采购需求标准中加*的指标要求</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中文信息处理</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符合 GB 18030 的有关规定</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机柜管理功能</w:t>
            </w:r>
            <w:r/>
          </w:p>
        </w:tc>
        <w:tc>
          <w:tcPr>
            <w:gridSpan w:val="2"/>
            <w:tcBorders>
              <w:top w:val="single" w:color="000000" w:sz="4" w:space="0"/>
              <w:left w:val="single" w:color="000000" w:sz="4" w:space="0"/>
              <w:bottom w:val="single" w:color="000000" w:sz="4" w:space="0"/>
              <w:right w:val="single" w:color="000000" w:sz="4" w:space="0"/>
            </w:tcBorders>
            <w:tcW w:w="5277" w:type="dxa"/>
            <w:vAlign w:val="center"/>
            <w:vMerge w:val="restart"/>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机柜通信方式</w:t>
            </w:r>
            <w:r/>
          </w:p>
        </w:tc>
        <w:tc>
          <w:tcPr>
            <w:gridSpan w:val="2"/>
            <w:tcBorders>
              <w:top w:val="single" w:color="000000" w:sz="4" w:space="0"/>
              <w:left w:val="single" w:color="000000" w:sz="4" w:space="0"/>
              <w:bottom w:val="single" w:color="000000" w:sz="4" w:space="0"/>
              <w:right w:val="single" w:color="000000" w:sz="4" w:space="0"/>
            </w:tcBorders>
            <w:tcW w:w="5277" w:type="dxa"/>
            <w:vAlign w:val="center"/>
            <w:vMerge w:val="restart"/>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多集群作业管理</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关键部件安全要求</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CPU 和操作系统等关键部件应当符合安全可靠测评要求</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故障检测</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支持故障检测功能，可以检测到具体的 FRU（内存、硬盘等）的故障并发出告警</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内存故障智能预测和自愈修复</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支持内存故障智能预测和自愈修复，提前自动硬隔离，避免内存故障引起的非预期宕机以及内存寿命的降低</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硬盘故障智能预测</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支持硬盘故障智能预测，基于故障模型预测出硬盘的故障；</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PCIe 链路故障智能诊断</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 PCIe 链路故障智能诊断，判断出现故障的 PCIe 链路；</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内存故障隔离</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支持内存故障隔离，在内存产生 CE故障时，内存地址被隔离成功，服务器正常运行，业务系统不中断；</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内存、PCIe 卡的故障精准告警功能</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支持内存、PCIe 卡的故障精准告警功能，触发告警并明确指示具体的故障位置；</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异常下电关键数据保护</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支持异常下电关键数据保护，支持数据备份恢复机制，防止系统异常掉电导致的数据文件丢失；</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BMC/BIOS固件双镜像保护</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 BMC/BIOS 固件双镜像保护，运行异常时自动切换到备份镜像运行，提升系统稳定性；</w:t>
            </w:r>
            <w:r/>
          </w:p>
        </w:tc>
      </w:tr>
      <w:tr>
        <w:trPr>
          <w:trHeight w:val="439"/>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CPU 核重启隔离</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 CPU 核发生不可纠正故障后，重启后由 BIOS 隔离该故障核，OS不可见，防止 OS 再次使用导致系统异常，核 0 除外；</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内存地址隔离</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在硬件支持的情况下，支持故障内存地址重启后隔离；</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内存存储阵列替换</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在硬件支持的情况下，支持故障内存存储阵列替换；</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安全启动</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支持执行环境要求在整个系统启动的过程中，系统应提供一个机制来保护平台的完整性；</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syslog 双向鉴别</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支持系统日志双向鉴别，对服务器根证书和客户端根证书进行鉴别；</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弱口令字典检查</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支持弱口令字典检查功能，出现在弱口令字典中的字符串不能被设置为用户口令；</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白名单访问控制</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支持基于时间、IP 或 MAC 白名单访问控制；</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双因素鉴别</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支持使用客户端证书和证书密码的双因素鉴别方式登录管理系统</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二次鉴别</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支持二次鉴别功能。对于用户配置、权限配置、公钥导入等重要的管理操作，已登录用户应通过二次鉴别后，才能执行操作；</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匿名化用户告警接收邮箱</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支持带外管理系统中的用户告警接收邮箱进行匿名化处理</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密码证书安全加密存储</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支持对带外管理系统中的用户口令和证书等敏感信息进行加密存储，禁止使用私有的和业界已知不安全的密码算法；</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敏感信息安全加密传输</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支持使用安全的传输加密协议（如SSH 或 HTTPS 等）传输用户的敏感信息；</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研发过程安全</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供应商承诺，生产商已建立从需求、设计、开发、测试、维护端到端的开发流程管理机制，输出和保存开发流程中每个阶段的产品需求清单、设计文档、开发文档、测试记录等材料，保证各个流程可追溯；</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漏洞管理</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供应商承诺，生产商已建立漏洞全量视图，保证产品版本涉及到的所有漏洞(如驱动程序、BMC 软件等)都可以查看</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网络关键设备服务器要求</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作为网络关键设备的服务器应符合GB 40050 的相关规定</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restart"/>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增强要求</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a) 嵌入物理可信根，实现设备的信任链构建；</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b) 支持可信平台控制模块(TPCM)；</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c) 支持在固件系统（BMC、BIOS）启动前实现对固件度量的功能，支持物理可信根对 BMC 固件或 BIOS 固 件进行完整性检测、更新和恢复；</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d) 支持对 CPU、网络控制器等关键处理器进行身份识别与度量的功能；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e) 支持基于处理器或可信计算模块度量的功能；</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f) 所采用的可信密码模块接口应符合 GM/T 0012 的相关规定；</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g) 可信安全管理模块、处理器等硬件载体应通过国家相关部门的认证和许可</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物理安全</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安全要求应符合 GB 4943.1 的规定；</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限用物质的限量要求</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限用物质的限量应符合 GB/T 26572的要求；</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CPU 主频</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≥2.6GHz</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单 CPU 核数</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≥48</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单 CPU 末级缓存容量</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≥48MB</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单内存模块容量</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≥64GB</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内存速率</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lang w:bidi="ar"/>
              </w:rPr>
              <w:t xml:space="preserve">≥2666MT/s</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硬盘转速</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RAID 卡缓存容量大小</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配备 RAID 卡且RAID 卡缓存容量不少于 4GB</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FC HBA卡速率</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rPr>
              <w:t xml:space="preserve">/</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独立网卡速率</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≥10GE</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板载网卡速率</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≥1GE</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电源能耗</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符合 GB/T 9813.3 的有关规定</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内存兼容性</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适配 3 种及以上厂商的内存产品，且均不低于产品支持的内存规格</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固态存储兼容性</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适配 3 种或以上厂商的固态存储产品，且均不低于产品支持的固态存储设备规格</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FC HBA卡兼容性</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FC HBA卡应适配两种或以上厂商产品</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RAID 卡兼容性</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RAID 卡适配两种或以上厂商产品</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网卡兼容性</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网卡应适配两种或以上厂商产品</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功能卡兼容性</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内置或适配符合 PCIe 的功能卡</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外设兼容性</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兼容多种主流生产商的外部设备，包括显示器、键盘、鼠标、闪存盘、移动硬盘、USB光驱及KVM等，要求使用不同厂商的外部设备时，系统均能政采识别和安装驱动</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数据库兼容</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兼容 3 个及以上厂商的数据库产品</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中间件兼容</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兼容 3 个及以上厂商的中间件产品</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平台软件兼容</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兼容 3 个及以上厂商的大数据平台</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虚拟化软件兼容</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兼容 2 款及以上虚拟化软件</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SATA SSD可靠性</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SSD 的 m1 值（MTBF 的不可接受值）不低于 200000h</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整机可靠性</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m1 值（MTBF 的不可接受值）不得低于 30000h</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风扇可靠性</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风扇寿命应不低于 40000h</w:t>
            </w:r>
            <w:r/>
          </w:p>
        </w:tc>
      </w:tr>
      <w:tr>
        <w:trPr>
          <w:trHeight w:val="9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部件可靠性</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支持硬盘、电源、风扇热插拔(内置风扇除外)</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标志、包装、运输和贮存</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符合 GB/T 9813.3 和商品包装政府采购需求标准的相关规定</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restart"/>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服务响应</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a) 提供电话、电子邮件、远程连接等多种形式服务；</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b) 提供同城 4h、异地 12h 技术响应服务，2 个工作日解决问题，对于未能解决的问题和故障应提供可行的升级方案，并提供周转设备；</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c) 建立全国技术服务体系和服务团体，符合专业服务体系标准要求，提供原厂中文服务；</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d) 服务周期内提供产品的维修、换件和升级服务</w:t>
            </w:r>
            <w:r/>
          </w:p>
        </w:tc>
      </w:tr>
      <w:tr>
        <w:trPr>
          <w:trHeight w:val="336"/>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培训服务</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供应商提供培训材料、产品手册、培训视频等培训相关内容</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restart"/>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服务周期</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a) 产品免费服务周期（含换件和维修） 5年；</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b) 设备停产后继续提供质量保障服务（含备品备件），服务终止时间与最后一批设备交付时间间隔不低于6年；</w:t>
            </w:r>
            <w:r/>
          </w:p>
        </w:tc>
      </w:tr>
      <w:tr>
        <w:trPr>
          <w:trHeight w:val="119"/>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c) 产品停止服务时间应提前1年告知客户；</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d) 产品发布日期需在随机文件中明确</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工具要求</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供应商提供设置服务器硬件、辅助操作系统安装等功能的辅助工具和管理软件。且随附软件应具有合法授权或版权</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restart"/>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辅助工具</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支持如下功能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a) 本地的数据备份和还原功能；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b) 网络的数据备份和还原功能；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c) 服务器操作系统的自动安装功能；</w:t>
            </w:r>
            <w:r/>
          </w:p>
        </w:tc>
      </w:tr>
      <w:tr>
        <w:trPr>
          <w:trHeight w:val="90"/>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d) 服务器所配硬件需要的驱动程序和系统补丁</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驱动安装升级指引</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供应商提供出厂安装的配件所需的驱动程序，形式包括但不限于驱动光盘、驱动下载链接等。其他配件应提供指引</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随机附开盖工具</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随服务器打包提供开机箱工具</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restart"/>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代码迁移工具</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供应商提供从其他CPU 架构到当前服务器CPU 架构的软件迁移工具产品，支持软件包迁移评估，对满足</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jc w:val="left"/>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产品重构要求的软件包，能重构为当前服务器CPU 架构的软件包。提供源码迁移功能，检查分析C/C++/Fortran/Go/解释型语言/汇编等源码文件，基于产品功能给出迁移指导</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性能分析工具</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供应商提供支持当前服务器CPU 架构的性能分析工具产品，支持系统性能分析、Java 性能分析和系统诊断，可分析系统或应用在CPU、内存、IO、网络等方面的性能，并给出优化建议</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跨架构平台应用兼容</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跨CPU 架构平台应用兼容工具，可兼容一种或者一种以上不同架构平台的应用</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管理软件</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具备资源管理、系统管理、性能监控、健康监控、基于网络控制、报警设置功能</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厂家升级产品软件与扩容服务</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供应商提供原厂级的部件/软件产品升级和扩容能力</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服务保障升级</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供应商有偿提供远程技术支持、软件授权服务、备件更换服务、现场支承服务</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提供上门服务</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供应商具备提供上门服务的能力(可收费)</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业务场景性能优化服务及整体架构升级服务</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对于部署在该服务器上的HIS数据库，配合软件开发厂商调优</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抗干扰性</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当产品部件出现供应风险时，应通知客户并提供风险应对方案确保产品的服务保障，必要时应停止相关受影响产品的销售</w:t>
            </w:r>
            <w:r/>
          </w:p>
        </w:tc>
      </w:tr>
      <w:tr>
        <w:trPr>
          <w:trHeight w:val="623"/>
        </w:trPr>
        <w:tc>
          <w:tcPr>
            <w:tcBorders>
              <w:left w:val="single" w:color="000000" w:sz="4" w:space="0"/>
              <w:right w:val="single" w:color="000000" w:sz="4" w:space="0"/>
            </w:tcBorders>
            <w:tcW w:w="538" w:type="dxa"/>
            <w:vAlign w:val="center"/>
            <w:vMerge w:val="continue"/>
            <w:textDirection w:val="lrTb"/>
            <w:noWrap w:val="false"/>
          </w:tcPr>
          <w:p>
            <w:pPr>
              <w:jc w:val="center"/>
              <w:widowControl/>
              <w:rPr>
                <w:rFonts w:hint="eastAsia" w:ascii="宋体" w:hAnsi="宋体" w:cs="宋体"/>
                <w:color w:val="000000"/>
                <w:sz w:val="22"/>
                <w:lang w:bidi="ar"/>
              </w:rPr>
            </w:pPr>
            <w:r>
              <w:rPr>
                <w:rFonts w:hint="eastAsia" w:ascii="宋体" w:hAnsi="宋体" w:cs="宋体"/>
                <w:color w:val="000000"/>
                <w:sz w:val="22"/>
                <w:lang w:bidi="ar"/>
              </w:rPr>
            </w:r>
            <w:r/>
          </w:p>
        </w:tc>
        <w:tc>
          <w:tcPr>
            <w:tcBorders>
              <w:left w:val="single" w:color="000000" w:sz="4" w:space="0"/>
              <w:right w:val="single" w:color="000000" w:sz="4" w:space="0"/>
            </w:tcBorders>
            <w:tcW w:w="1037" w:type="dxa"/>
            <w:vAlign w:val="center"/>
            <w:vMerge w:val="continue"/>
            <w:textDirection w:val="lrTb"/>
            <w:noWrap w:val="false"/>
          </w:tcPr>
          <w:p>
            <w:pPr>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供应能力证明</w:t>
            </w:r>
            <w:r/>
          </w:p>
        </w:tc>
        <w:tc>
          <w:tcPr>
            <w:gridSpan w:val="2"/>
            <w:tcBorders>
              <w:top w:val="single" w:color="000000" w:sz="4" w:space="0"/>
              <w:left w:val="single" w:color="000000" w:sz="4" w:space="0"/>
              <w:bottom w:val="single" w:color="000000" w:sz="4" w:space="0"/>
              <w:right w:val="single" w:color="000000" w:sz="4" w:space="0"/>
            </w:tcBorders>
            <w:tcW w:w="5277" w:type="dxa"/>
            <w:vAlign w:val="center"/>
            <w:textDirection w:val="lrTb"/>
            <w:noWrap w:val="false"/>
          </w:tcPr>
          <w:p>
            <w:pPr>
              <w:widowControl/>
              <w:rPr>
                <w:rFonts w:hint="eastAsia" w:ascii="宋体" w:hAnsi="宋体" w:cs="宋体"/>
                <w:sz w:val="24"/>
                <w:szCs w:val="24"/>
              </w:rPr>
            </w:pPr>
            <w:r>
              <w:rPr>
                <w:rFonts w:hint="eastAsia" w:ascii="微软雅黑" w:hAnsi="微软雅黑" w:eastAsia="微软雅黑" w:cs="微软雅黑"/>
                <w:i/>
                <w:iCs/>
                <w:color w:val="000000"/>
                <w:sz w:val="20"/>
                <w:szCs w:val="20"/>
                <w:u w:val="single"/>
                <w:lang w:bidi="ar"/>
              </w:rPr>
              <w:t xml:space="preserve">供应商提供供应链稳定承诺书，确保产品的部件在产品服务周期内稳定供货</w:t>
            </w:r>
            <w:r/>
          </w:p>
        </w:tc>
      </w:tr>
      <w:tr>
        <w:trPr>
          <w:trHeight w:val="9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bookmarkStart w:id="271" w:name="_GoBack"/>
            <w:r/>
            <w:bookmarkEnd w:id="271"/>
            <w:r>
              <w:rPr>
                <w:rFonts w:hint="eastAsia" w:ascii="宋体" w:hAnsi="宋体" w:cs="宋体"/>
                <w:color w:val="000000"/>
                <w:sz w:val="22"/>
                <w:lang w:bidi="ar"/>
              </w:rPr>
              <w:t xml:space="preserve">213</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操作台</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1、双联钢木结构</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2、尺寸约1800×800×750mm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3、钢板厚度≥1.0mm，含键盘托及显示器底座</w:t>
            </w:r>
            <w:r/>
          </w:p>
        </w:tc>
      </w:tr>
      <w:tr>
        <w:trPr>
          <w:trHeight w:val="6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214</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线材</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RVV 2×1.0电源线、PVC20穿线管、RVVP 2×0.75屏蔽音频线/信号线、超五类非屏蔽网线及水晶头、扎带、电工胶布等辅材，具体数量根据现场实际施工需求确定</w:t>
            </w:r>
            <w:r/>
          </w:p>
        </w:tc>
      </w:tr>
      <w:tr>
        <w:trPr>
          <w:trHeight w:val="9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215</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报警柱</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color w:val="000000"/>
                <w:sz w:val="24"/>
                <w:szCs w:val="24"/>
              </w:rPr>
            </w:pPr>
            <w:r>
              <w:rPr>
                <w:rFonts w:hint="eastAsia" w:ascii="宋体" w:hAnsi="宋体" w:cs="宋体"/>
                <w:i/>
                <w:iCs/>
                <w:color w:val="000000"/>
                <w:sz w:val="24"/>
                <w:szCs w:val="24"/>
                <w:u w:val="single"/>
                <w:lang w:bidi="ar"/>
              </w:rPr>
              <w:t xml:space="preserve">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高档铝合金拉丝面板。含防火安装底盒、支撑杆及内六角固定螺丝，具有防水、防潮、防粉尘、防拆、防暴力破坏等功能；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整体式铸铁立柱，选用Q235优质钢 1.2MM定制，高度2200mm*200mm*200mm；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铝合金拉丝面板，分配IP地址后接入网络即可实现对讲；</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防雨设计，适应室外安装环境；</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一键式对讲终端，按键直接接通管理中心；</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通过局域网或广域网传输，分配地址后接入网内即可实现对讲；</w:t>
            </w:r>
            <w:r>
              <w:rPr>
                <w:rFonts w:hint="eastAsia" w:ascii="宋体" w:hAnsi="宋体" w:cs="宋体"/>
                <w:color w:val="000000"/>
                <w:sz w:val="24"/>
                <w:szCs w:val="24"/>
                <w:lang w:bidi="ar"/>
              </w:rPr>
              <w:br/>
            </w:r>
            <w:r>
              <w:rPr>
                <w:rFonts w:hint="eastAsia" w:ascii="宋体" w:hAnsi="宋体" w:cs="宋体"/>
                <w:i/>
                <w:iCs/>
                <w:color w:val="000000"/>
                <w:sz w:val="24"/>
                <w:szCs w:val="24"/>
                <w:u w:val="single"/>
                <w:lang w:bidi="ar"/>
              </w:rPr>
              <w:t xml:space="preserve">开锁功能：系统支持每个终端接电控锁，寻呼话筒或工作站软件可分别控制电控锁的开闭；</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开门提示：系统支持每个接对门磁；</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电视控制：系统支持对各电视的控制，可通过或监控中心的寻呼话筒或管理软件对各的电视电源进行开闭；</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开灯功能：系统支持对每个的灯光进行控制，可通过或监控中心的寻呼话筒或管理软件对各的灯光进行开闭；</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联动控制：提供指令、指令接口、开关量接口；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可向控制室主机报警及双向对讲；</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可外接有源音箱；</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数字录音功能：对讲时录制的音频文件保存在寻呼话筒中，空闲时上传到服务端上保存；</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可通过局域网接收主机的广播或喊话；</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≥4路短路输入、≥2路短路输出，可外接联动报警器材；</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有通话数据保密功能。对传输中的数据进行加密，可防止他人窃听利用，确保通话安全。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室内呼叫器参数：</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（1）≥10.2寸智能全触摸真彩屏，数字高清彩色摄像头，桌面或嵌入式操作系统，界面美观大方，操作灵活、便捷；</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（2）工业级芯片；</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（3）可对所有的主机和分机进行呼叫、监视监听、广播喊话；</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（4）主机和主机是全双工双向可视对讲，主机和分机也是全双工单向可视对讲；</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（5）主机具有两个通话功能：软管话筒免提通话功能，通话手柄对讲功能（适合噪杂环境）；</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（6）可在屏幕界面上直接点击主机或分机的图标进行快速呼叫，也可根据主机和分机的ID号进行拨号呼叫；</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（7）状态提示：分机报警、对讲状态可由红、蓝色提示，每路按键均有显示设备ID号和名称；</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（8）监听监视：可对主机和分机进行监视监听，监听监视功能具有单机监视和循环监视两种模式，循环监视时间可设定；</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（9）广播功能：广播方式有三种：MP3播放、广播喊话和外接音源，广播时音量可调节，可设定四个广播分区，也可设定四组定时广播时间及广播内容；</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（10）转移功能：可将分机呼叫转移至其他主机；</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（11）托管功能：无人值班时，可将本主机设置转移至其他指定主机进行托管；</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（12）记录查询：可记录和查询呼叫记录、已接来电、未接来电、报警记录、刷卡记录、开锁记录等信息；</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（13）开锁功能：可远程控制分机的两路电控锁输出功能；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（14）开门提示功能：可接收和显示分机两路门磁的开关门信号；</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（15）带1路短路输出口，可以控制一些外围设备如外接的警灯、警号等，可跟对讲终端联动；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（16）具有2路开关量输入口，可外接传感探测器进行联动；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（17）具有音频输入/输出口、RS485通信接口；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（18）具有外接大屏幕显示功能；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（19）有局域网的地方即可接入，可跨网段。</w:t>
            </w:r>
            <w:r/>
          </w:p>
        </w:tc>
      </w:tr>
      <w:tr>
        <w:trPr>
          <w:trHeight w:val="47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216</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通道摆闸</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1、工作电压：AC220V±10%V，50Hz；</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2</w:t>
            </w:r>
            <w:r>
              <w:rPr>
                <w:rFonts w:hint="eastAsia" w:ascii="宋体" w:hAnsi="宋体" w:cs="宋体"/>
                <w:i/>
                <w:iCs/>
                <w:color w:val="000000"/>
                <w:sz w:val="24"/>
                <w:szCs w:val="24"/>
                <w:u w:val="single"/>
                <w:lang w:bidi="ar"/>
              </w:rPr>
              <w:t xml:space="preserve">、通道宽度：≥600mm（行人），≥1000mm（自行车通道）；</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3</w:t>
            </w:r>
            <w:r>
              <w:rPr>
                <w:rFonts w:hint="eastAsia" w:ascii="宋体" w:hAnsi="宋体" w:cs="宋体"/>
                <w:i/>
                <w:iCs/>
                <w:color w:val="000000"/>
                <w:sz w:val="24"/>
                <w:szCs w:val="24"/>
                <w:u w:val="single"/>
                <w:lang w:bidi="ar"/>
              </w:rPr>
              <w:t xml:space="preserve">、通行方式：单向、双向；</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4</w:t>
            </w:r>
            <w:r>
              <w:rPr>
                <w:rFonts w:hint="eastAsia" w:ascii="宋体" w:hAnsi="宋体" w:cs="宋体"/>
                <w:i/>
                <w:iCs/>
                <w:color w:val="000000"/>
                <w:sz w:val="24"/>
                <w:szCs w:val="24"/>
                <w:u w:val="single"/>
                <w:lang w:bidi="ar"/>
              </w:rPr>
              <w:t xml:space="preserve">、直流电机：40W/24V；</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5</w:t>
            </w:r>
            <w:r>
              <w:rPr>
                <w:rFonts w:hint="eastAsia" w:ascii="宋体" w:hAnsi="宋体" w:cs="宋体"/>
                <w:i/>
                <w:iCs/>
                <w:color w:val="000000"/>
                <w:sz w:val="24"/>
                <w:szCs w:val="24"/>
                <w:u w:val="single"/>
                <w:lang w:bidi="ar"/>
              </w:rPr>
              <w:t xml:space="preserve">、输入接口：标准开关信号；</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6</w:t>
            </w:r>
            <w:r>
              <w:rPr>
                <w:rFonts w:hint="eastAsia" w:ascii="宋体" w:hAnsi="宋体" w:cs="宋体"/>
                <w:i/>
                <w:iCs/>
                <w:color w:val="000000"/>
                <w:sz w:val="24"/>
                <w:szCs w:val="24"/>
                <w:u w:val="single"/>
                <w:lang w:bidi="ar"/>
              </w:rPr>
              <w:t xml:space="preserve">、通信接口：RS485；</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7</w:t>
            </w:r>
            <w:r>
              <w:rPr>
                <w:rFonts w:hint="eastAsia" w:ascii="宋体" w:hAnsi="宋体" w:cs="宋体"/>
                <w:i/>
                <w:iCs/>
                <w:color w:val="000000"/>
                <w:sz w:val="24"/>
                <w:szCs w:val="24"/>
                <w:u w:val="single"/>
                <w:lang w:bidi="ar"/>
              </w:rPr>
              <w:t xml:space="preserve">、工作环境温度</w:t>
            </w:r>
            <w:r>
              <w:rPr>
                <w:rFonts w:hint="eastAsia" w:ascii="宋体" w:hAnsi="宋体" w:cs="宋体"/>
                <w:i/>
                <w:iCs/>
                <w:color w:val="000000"/>
                <w:sz w:val="24"/>
                <w:szCs w:val="24"/>
                <w:u w:val="single"/>
                <w:lang w:val="en-US" w:eastAsia="zh-CN" w:bidi="ar"/>
              </w:rPr>
              <w:t xml:space="preserve">优于</w:t>
            </w:r>
            <w:r>
              <w:rPr>
                <w:rFonts w:hint="eastAsia" w:ascii="宋体" w:hAnsi="宋体" w:cs="宋体"/>
                <w:i/>
                <w:iCs/>
                <w:color w:val="000000"/>
                <w:sz w:val="24"/>
                <w:szCs w:val="24"/>
                <w:u w:val="single"/>
                <w:lang w:bidi="ar"/>
              </w:rPr>
              <w:t xml:space="preserve">：-20°C～65°C；</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8</w:t>
            </w:r>
            <w:r>
              <w:rPr>
                <w:rFonts w:hint="eastAsia" w:ascii="宋体" w:hAnsi="宋体" w:cs="宋体"/>
                <w:i/>
                <w:iCs/>
                <w:color w:val="000000"/>
                <w:sz w:val="24"/>
                <w:szCs w:val="24"/>
                <w:u w:val="single"/>
                <w:lang w:bidi="ar"/>
              </w:rPr>
              <w:t xml:space="preserve">、相对温度</w:t>
            </w:r>
            <w:r>
              <w:rPr>
                <w:rFonts w:hint="eastAsia" w:ascii="宋体" w:hAnsi="宋体" w:cs="宋体"/>
                <w:i/>
                <w:iCs/>
                <w:color w:val="000000"/>
                <w:sz w:val="24"/>
                <w:szCs w:val="24"/>
                <w:u w:val="single"/>
                <w:lang w:val="en-US" w:eastAsia="zh-CN" w:bidi="ar"/>
              </w:rPr>
              <w:t xml:space="preserve">优于</w:t>
            </w:r>
            <w:r>
              <w:rPr>
                <w:rFonts w:hint="eastAsia" w:ascii="宋体" w:hAnsi="宋体" w:cs="宋体"/>
                <w:i/>
                <w:iCs/>
                <w:color w:val="000000"/>
                <w:sz w:val="24"/>
                <w:szCs w:val="24"/>
                <w:u w:val="single"/>
                <w:lang w:bidi="ar"/>
              </w:rPr>
              <w:t xml:space="preserve">：小于90%，不凝霜；</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9、</w:t>
            </w:r>
            <w:r>
              <w:rPr>
                <w:rFonts w:hint="eastAsia" w:ascii="宋体" w:hAnsi="宋体" w:cs="宋体"/>
                <w:i/>
                <w:iCs/>
                <w:color w:val="000000"/>
                <w:sz w:val="24"/>
                <w:szCs w:val="24"/>
                <w:u w:val="single"/>
                <w:lang w:bidi="ar"/>
              </w:rPr>
              <w:t xml:space="preserve">工作环境：室内、室外。</w:t>
            </w:r>
            <w:r/>
          </w:p>
        </w:tc>
      </w:tr>
      <w:tr>
        <w:trPr>
          <w:trHeight w:val="9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217</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通道摆闸等电位连接</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防雷接地，采用BVR 6mm²黄绿双色线，连接闸机外壳至接地端子，接地电阻≤10Ω</w:t>
            </w:r>
            <w:r/>
          </w:p>
        </w:tc>
      </w:tr>
      <w:tr>
        <w:trPr>
          <w:trHeight w:val="617"/>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218</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车牌识别道闸一体机</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1、安装调试服务：针对此次配置的软件和硬件，必须提供原厂商现场软硬件安装调试；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2、车牌识别道闸一体机技术参数：</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（1）防护等级：IP54；</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（2）通讯方式：TCP/IP；</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（3）屏幕参数：屏幕尺寸：≥18.5寸；分辨率：≥1280*1024；双通道LVDS，≥8位RGB信号输入。</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（4）相机参数：镜头：≥400万高清广角镜头；传感器类型：1/2.7" CMOS Image Sensor ；车牌识别率：≥99.7%</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（5）道闸参数：电机功率：120W；最大杆长：直杆≤6m，栅栏杆≤5m，曲臂杆≤6m；运行速度：1.2～3.5s  3.6s～6s。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3、雷达技术参数：</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（1）工作电压：10〜16V；</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（2）检测范围（横向）：默认直杆±0.5m，广告栅栏±0.7m（1米可配置）；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（3）检测范围（横向）：默认≥3米（6米内可配置）；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w:t>
            </w:r>
            <w:r>
              <w:rPr>
                <w:rFonts w:hint="eastAsia" w:ascii="宋体" w:hAnsi="宋体" w:cs="宋体"/>
                <w:i/>
                <w:iCs/>
                <w:color w:val="000000"/>
                <w:sz w:val="24"/>
                <w:szCs w:val="24"/>
                <w:u w:val="single"/>
                <w:lang w:val="en-US" w:eastAsia="zh-CN" w:bidi="ar"/>
              </w:rPr>
              <w:t xml:space="preserve">4</w:t>
            </w:r>
            <w:r>
              <w:rPr>
                <w:rFonts w:hint="eastAsia" w:ascii="宋体" w:hAnsi="宋体" w:cs="宋体"/>
                <w:i/>
                <w:iCs/>
                <w:color w:val="000000"/>
                <w:sz w:val="24"/>
                <w:szCs w:val="24"/>
                <w:u w:val="single"/>
                <w:lang w:bidi="ar"/>
              </w:rPr>
              <w:t xml:space="preserve">）功耗：＜2.5W；</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w:t>
            </w:r>
            <w:r>
              <w:rPr>
                <w:rFonts w:hint="eastAsia" w:ascii="宋体" w:hAnsi="宋体" w:cs="宋体"/>
                <w:i/>
                <w:iCs/>
                <w:color w:val="000000"/>
                <w:sz w:val="24"/>
                <w:szCs w:val="24"/>
                <w:u w:val="single"/>
                <w:lang w:val="en-US" w:eastAsia="zh-CN" w:bidi="ar"/>
              </w:rPr>
              <w:t xml:space="preserve">5</w:t>
            </w:r>
            <w:r>
              <w:rPr>
                <w:rFonts w:hint="eastAsia" w:ascii="宋体" w:hAnsi="宋体" w:cs="宋体"/>
                <w:i/>
                <w:iCs/>
                <w:color w:val="000000"/>
                <w:sz w:val="24"/>
                <w:szCs w:val="24"/>
                <w:u w:val="single"/>
                <w:lang w:bidi="ar"/>
              </w:rPr>
              <w:t xml:space="preserve">）在线调试：TTL通信调试；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w:t>
            </w:r>
            <w:r>
              <w:rPr>
                <w:rFonts w:hint="eastAsia" w:ascii="宋体" w:hAnsi="宋体" w:cs="宋体"/>
                <w:i/>
                <w:iCs/>
                <w:color w:val="000000"/>
                <w:sz w:val="24"/>
                <w:szCs w:val="24"/>
                <w:u w:val="single"/>
                <w:lang w:val="en-US" w:eastAsia="zh-CN" w:bidi="ar"/>
              </w:rPr>
              <w:t xml:space="preserve">6</w:t>
            </w:r>
            <w:r>
              <w:rPr>
                <w:rFonts w:hint="eastAsia" w:ascii="宋体" w:hAnsi="宋体" w:cs="宋体"/>
                <w:i/>
                <w:iCs/>
                <w:color w:val="000000"/>
                <w:sz w:val="24"/>
                <w:szCs w:val="24"/>
                <w:u w:val="single"/>
                <w:lang w:bidi="ar"/>
              </w:rPr>
              <w:t xml:space="preserve">）防水等级IP66；</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w:t>
            </w:r>
            <w:r>
              <w:rPr>
                <w:rFonts w:hint="eastAsia" w:ascii="宋体" w:hAnsi="宋体" w:cs="宋体"/>
                <w:i/>
                <w:iCs/>
                <w:color w:val="000000"/>
                <w:sz w:val="24"/>
                <w:szCs w:val="24"/>
                <w:u w:val="single"/>
                <w:lang w:val="en-US" w:eastAsia="zh-CN" w:bidi="ar"/>
              </w:rPr>
              <w:t xml:space="preserve">7</w:t>
            </w:r>
            <w:r>
              <w:rPr>
                <w:rFonts w:hint="eastAsia" w:ascii="宋体" w:hAnsi="宋体" w:cs="宋体"/>
                <w:i/>
                <w:iCs/>
                <w:color w:val="000000"/>
                <w:sz w:val="24"/>
                <w:szCs w:val="24"/>
                <w:u w:val="single"/>
                <w:lang w:bidi="ar"/>
              </w:rPr>
              <w:t xml:space="preserve">）适用类型：直杆型道闸，栅栏型道闸 通信接口：TTL。</w:t>
            </w:r>
            <w:r/>
          </w:p>
        </w:tc>
      </w:tr>
      <w:tr>
        <w:trPr>
          <w:trHeight w:val="15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219</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车位交互终端</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1、材质：冷钢烤漆+钢化玻璃面板</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2、通讯方式：RS485</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3、通讯距离：≤300m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4、显示颜色：红色</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5、防护等级：IP65</w:t>
            </w:r>
            <w:r/>
          </w:p>
        </w:tc>
      </w:tr>
      <w:tr>
        <w:trPr>
          <w:trHeight w:val="902"/>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220</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室外车辆出入口道闸等电位连接</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室外车辆出入口道闸等电位连接 连接道闸与电源开关，连接道闸控制箱接地端与电源接地端，接头做普通绝缘防水处理</w:t>
            </w:r>
            <w:r/>
          </w:p>
        </w:tc>
      </w:tr>
      <w:tr>
        <w:trPr>
          <w:trHeight w:val="1962"/>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221</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光线路终端设备1</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1、OLT PON芯片采用高密度设计，绿色节能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2、单颗PON芯片可以支持16×GPON/16×XGS-PON/16×Combo PON端口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3、系统需高效支持业务无阻塞转发，任意PON口和以太口间业务交换能够在业务线卡上完成，不需要通过交换板来完成，减少时延和交换板负荷</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4、OLT PON芯片功能集成度高，PON芯片支持5合一，即一颗芯片集成支持PON MAC、NP、SA、TM、内置CPU等功能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5、为降低OLT版本升级带来影响，所投OLT设备要求支持ISSU升级，业务中断时间不超过10秒</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6、支持OLT Type B/C组网保护，保护切换时间&lt;50ms，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7、支持GPON/10G PON/WDM-PON/50G PON共平台，支持平滑升级</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8、支持GPON、XG-PON、XGS-PON、Combo PON、EPON、10G-EPON和P2P多业务接入</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9、整机高度不超过2U</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10、单框支持≥32个GPON/XG-PON/XGS-PON/XG-PON&amp;GPON Combo端口，支持线卡任意业务槽位混插，</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11、设备主控板、电源板1+1冗余热备份，支持双交流供电（双路备份），主控板支持负载分担，</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12、支持802.1x认证，支持DHCP Server功能，支持硬管道隔离功能，可以做到一张网安全承载多种业务</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13、为保证网络系统运行稳定，支持流氓 ONU 检测</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14、为确保设备安全性，OLT支持使能AES加密设置后，设备仍能正常工作；OLT设备能检测光纤距离，测距精度±0.5%（接入10m、35m、和45m）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15、支持配置DBA优先级，支持</w:t>
            </w:r>
            <w:r>
              <w:rPr>
                <w:rFonts w:hint="eastAsia" w:ascii="宋体" w:hAnsi="宋体" w:cs="宋体"/>
                <w:i/>
                <w:iCs/>
                <w:color w:val="000000"/>
                <w:sz w:val="24"/>
                <w:szCs w:val="24"/>
                <w:u w:val="single"/>
                <w:lang w:val="en-US" w:eastAsia="zh-CN" w:bidi="ar"/>
              </w:rPr>
              <w:t xml:space="preserve">不少于</w:t>
            </w:r>
            <w:r>
              <w:rPr>
                <w:rFonts w:hint="eastAsia" w:ascii="宋体" w:hAnsi="宋体" w:cs="宋体"/>
                <w:i/>
                <w:iCs/>
                <w:color w:val="000000"/>
                <w:sz w:val="24"/>
                <w:szCs w:val="24"/>
                <w:u w:val="single"/>
                <w:lang w:bidi="ar"/>
              </w:rPr>
              <w:t xml:space="preserve">8个优先级队列，支持以 T-COUNT为粒度实现优先级调度</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16、光线路终端（OLT）系列化产品具备 IPv6 功能，支持 IPv4与 IPv6 双栈转发</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17、支持Telemetry技术</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18、为保证网络安全性，支持802.1x及Portal认证</w:t>
            </w:r>
            <w:r/>
          </w:p>
        </w:tc>
      </w:tr>
      <w:tr>
        <w:trPr>
          <w:trHeight w:val="1505"/>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222</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8口光网络单元设备</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1、网络侧提供1个XGS-PON接口，接口遵循ITU-T G.9807.1标准；用户侧提供8xGE接口，以太网接口遵循IEEE 802.3ab标准</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2、提供固定盒式金属结构ONU设备，尺寸不大于220mmx150mmx30mm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3、ONU要求金属外壳</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4、设备支持MAC、802.1X用户认证方式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5、设备支持端口限速和流限速，支持SP、WRR、SP+WRR算法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6、设备支持IGMP Proxy/ Snooping、MLD V1/V2 Snooping组播功能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7、设备支持IEEE 802.1q、IEEE 802.1ad协议，支持1：1 VLAN、N：1 VLAN转换功能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8、支持默认/静态/策略/业务路由、VLAN绑定、ALG/UPnP/ARP、DDNS/DMZ/DNS/NAPT、PPPoE/静态IP/DHCP/DHCP、Port mapping/Port trigger三层功能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9、支持光链路及断电检测、OLS光路检测、Dying gasp断电检测，便于故障定位和故障排除</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10、即插即用，开通迅速，维护方便，自动配置，远程维护</w:t>
            </w:r>
            <w:r/>
          </w:p>
        </w:tc>
      </w:tr>
      <w:tr>
        <w:trPr>
          <w:trHeight w:val="30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223</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16口光网络单元设备</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1、网络侧提供1个XGS-PON接口，用户侧提供16xGE接口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2、提供固定盒式金属结构ONU设备，尺寸不大于282mmx170mmx43.6mm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3、采用内置AC电源，采用标准三扁插头的交流输入电源插头，4、供电电压范围100VAC~240VAC，频率50Hz±5%</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5、设备支持MAC、802.1X用户认证方式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6、设备支持端口限速和流限速，支持SP、WRR、SP+WRR算法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7、设备支持IGMP Proxy/ Snooping、MLD V1/V2 Snooping组播功能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8、设备支持IEEE 802.1q、IEEE 802.1ad协议，支持1：1 VLAN、N：1 VLAN转换功能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9、支持光链路及断电检测、OLS光路检测、Dying gasp断电检测，便于故障定位和故障排除</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10、即插即用，开通迅速，维护方便，自动配置，远程维护</w:t>
            </w:r>
            <w:r/>
          </w:p>
        </w:tc>
      </w:tr>
      <w:tr>
        <w:trPr>
          <w:trHeight w:val="54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224</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48口接入交换机</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numPr>
                <w:ilvl w:val="0"/>
                <w:numId w:val="0"/>
              </w:num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交换容量≥432Gbps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 包转发率≥196Mpps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 支持≥148个千兆电口， ≥14个万兆光口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 为了满足环境无噪声要求，设备支持无风扇设计</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 为了满足环境小尺寸要求，设备需支持深度&lt;=350mm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6</w:t>
            </w:r>
            <w:r>
              <w:rPr>
                <w:rFonts w:hint="eastAsia" w:ascii="宋体" w:hAnsi="宋体" w:cs="宋体"/>
                <w:i/>
                <w:iCs/>
                <w:color w:val="000000"/>
                <w:sz w:val="24"/>
                <w:szCs w:val="24"/>
                <w:u w:val="single"/>
                <w:lang w:bidi="ar"/>
              </w:rPr>
              <w:t xml:space="preserve">. 支持≥4K个VLAN，支持Voice VLAN，基于端口的VLAN，基于MAC的VLAN，基于协议的VLAN</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7</w:t>
            </w:r>
            <w:r>
              <w:rPr>
                <w:rFonts w:hint="eastAsia" w:ascii="宋体" w:hAnsi="宋体" w:cs="宋体"/>
                <w:i/>
                <w:iCs/>
                <w:color w:val="000000"/>
                <w:sz w:val="24"/>
                <w:szCs w:val="24"/>
                <w:u w:val="single"/>
                <w:lang w:bidi="ar"/>
              </w:rPr>
              <w:t xml:space="preserve">. 支持MAC地址≥32K</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8</w:t>
            </w:r>
            <w:r>
              <w:rPr>
                <w:rFonts w:hint="eastAsia" w:ascii="宋体" w:hAnsi="宋体" w:cs="宋体"/>
                <w:i/>
                <w:iCs/>
                <w:color w:val="000000"/>
                <w:sz w:val="24"/>
                <w:szCs w:val="24"/>
                <w:u w:val="single"/>
                <w:lang w:bidi="ar"/>
              </w:rPr>
              <w:t xml:space="preserve">. 支持端口聚合，每个聚合组至少8个端口   </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9</w:t>
            </w:r>
            <w:r>
              <w:rPr>
                <w:rFonts w:hint="eastAsia" w:ascii="宋体" w:hAnsi="宋体" w:cs="宋体"/>
                <w:i/>
                <w:iCs/>
                <w:color w:val="000000"/>
                <w:sz w:val="24"/>
                <w:szCs w:val="24"/>
                <w:u w:val="single"/>
                <w:lang w:bidi="ar"/>
              </w:rPr>
              <w:t xml:space="preserve">. 支持静态路由、策略路由、RIP、RIPng、OSPF、OSPFv3路由协议                                </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w:t>
            </w:r>
            <w:r>
              <w:rPr>
                <w:rFonts w:hint="eastAsia" w:ascii="宋体" w:hAnsi="宋体" w:cs="宋体"/>
                <w:i/>
                <w:iCs/>
                <w:color w:val="000000"/>
                <w:sz w:val="24"/>
                <w:szCs w:val="24"/>
                <w:u w:val="single"/>
                <w:lang w:val="en-US" w:eastAsia="zh-CN" w:bidi="ar"/>
              </w:rPr>
              <w:t xml:space="preserve">0</w:t>
            </w:r>
            <w:r>
              <w:rPr>
                <w:rFonts w:hint="eastAsia" w:ascii="宋体" w:hAnsi="宋体" w:cs="宋体"/>
                <w:i/>
                <w:iCs/>
                <w:color w:val="000000"/>
                <w:sz w:val="24"/>
                <w:szCs w:val="24"/>
                <w:u w:val="single"/>
                <w:lang w:bidi="ar"/>
              </w:rPr>
              <w:t xml:space="preserve">. 支持IPv6特性，包括IPv6静态路由、IPv6策略路由、RIPng、OSPFv3、ND、IPv6 Ping、IPv6 Tracert、IPv6 Telnet</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w:t>
            </w:r>
            <w:r>
              <w:rPr>
                <w:rFonts w:hint="eastAsia" w:ascii="宋体" w:hAnsi="宋体" w:cs="宋体"/>
                <w:i/>
                <w:iCs/>
                <w:color w:val="000000"/>
                <w:sz w:val="24"/>
                <w:szCs w:val="24"/>
                <w:u w:val="single"/>
                <w:lang w:val="en-US" w:eastAsia="zh-CN" w:bidi="ar"/>
              </w:rPr>
              <w:t xml:space="preserve">1</w:t>
            </w:r>
            <w:r>
              <w:rPr>
                <w:rFonts w:hint="eastAsia" w:ascii="宋体" w:hAnsi="宋体" w:cs="宋体"/>
                <w:i/>
                <w:iCs/>
                <w:color w:val="000000"/>
                <w:sz w:val="24"/>
                <w:szCs w:val="24"/>
                <w:u w:val="single"/>
                <w:lang w:bidi="ar"/>
              </w:rPr>
              <w:t xml:space="preserve">. 支持IGMPv1/v2/v3 snooping，MLD Snooping，PIM Snooping，IGMPv1/v2/v3，PIM SM/DM/SSM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w:t>
            </w:r>
            <w:r>
              <w:rPr>
                <w:rFonts w:hint="eastAsia" w:ascii="宋体" w:hAnsi="宋体" w:cs="宋体"/>
                <w:i/>
                <w:iCs/>
                <w:color w:val="000000"/>
                <w:sz w:val="24"/>
                <w:szCs w:val="24"/>
                <w:u w:val="single"/>
                <w:lang w:val="en-US" w:eastAsia="zh-CN" w:bidi="ar"/>
              </w:rPr>
              <w:t xml:space="preserve">2</w:t>
            </w:r>
            <w:r>
              <w:rPr>
                <w:rFonts w:hint="eastAsia" w:ascii="宋体" w:hAnsi="宋体" w:cs="宋体"/>
                <w:i/>
                <w:iCs/>
                <w:color w:val="000000"/>
                <w:sz w:val="24"/>
                <w:szCs w:val="24"/>
                <w:u w:val="single"/>
                <w:lang w:bidi="ar"/>
              </w:rPr>
              <w:t xml:space="preserve">. 支持802.1x认证、Radius认证等多种方式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w:t>
            </w:r>
            <w:r>
              <w:rPr>
                <w:rFonts w:hint="eastAsia" w:ascii="宋体" w:hAnsi="宋体" w:cs="宋体"/>
                <w:i/>
                <w:iCs/>
                <w:color w:val="000000"/>
                <w:sz w:val="24"/>
                <w:szCs w:val="24"/>
                <w:u w:val="single"/>
                <w:lang w:val="en-US" w:eastAsia="zh-CN" w:bidi="ar"/>
              </w:rPr>
              <w:t xml:space="preserve">3</w:t>
            </w:r>
            <w:r>
              <w:rPr>
                <w:rFonts w:hint="eastAsia" w:ascii="宋体" w:hAnsi="宋体" w:cs="宋体"/>
                <w:i/>
                <w:iCs/>
                <w:color w:val="000000"/>
                <w:sz w:val="24"/>
                <w:szCs w:val="24"/>
                <w:u w:val="single"/>
                <w:lang w:bidi="ar"/>
              </w:rPr>
              <w:t xml:space="preserve">. 支持端口安全，DHCP Snooping，CPU保护等功能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w:t>
            </w:r>
            <w:r>
              <w:rPr>
                <w:rFonts w:hint="eastAsia" w:ascii="宋体" w:hAnsi="宋体" w:cs="宋体"/>
                <w:i/>
                <w:iCs/>
                <w:color w:val="000000"/>
                <w:sz w:val="24"/>
                <w:szCs w:val="24"/>
                <w:u w:val="single"/>
                <w:lang w:val="en-US" w:eastAsia="zh-CN" w:bidi="ar"/>
              </w:rPr>
              <w:t xml:space="preserve">4</w:t>
            </w:r>
            <w:r>
              <w:rPr>
                <w:rFonts w:hint="eastAsia" w:ascii="宋体" w:hAnsi="宋体" w:cs="宋体"/>
                <w:i/>
                <w:iCs/>
                <w:color w:val="000000"/>
                <w:sz w:val="24"/>
                <w:szCs w:val="24"/>
                <w:u w:val="single"/>
                <w:lang w:bidi="ar"/>
              </w:rPr>
              <w:t xml:space="preserve">. 每端口支持8个硬件队列，支持SP、WRR、SP+WRR等队列调度算法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w:t>
            </w:r>
            <w:r>
              <w:rPr>
                <w:rFonts w:hint="eastAsia" w:ascii="宋体" w:hAnsi="宋体" w:cs="宋体"/>
                <w:i/>
                <w:iCs/>
                <w:color w:val="000000"/>
                <w:sz w:val="24"/>
                <w:szCs w:val="24"/>
                <w:u w:val="single"/>
                <w:lang w:val="en-US" w:eastAsia="zh-CN" w:bidi="ar"/>
              </w:rPr>
              <w:t xml:space="preserve">5</w:t>
            </w:r>
            <w:r>
              <w:rPr>
                <w:rFonts w:hint="eastAsia" w:ascii="宋体" w:hAnsi="宋体" w:cs="宋体"/>
                <w:i/>
                <w:iCs/>
                <w:color w:val="000000"/>
                <w:sz w:val="24"/>
                <w:szCs w:val="24"/>
                <w:u w:val="single"/>
                <w:lang w:bidi="ar"/>
              </w:rPr>
              <w:t xml:space="preserve">. 支持ERPS以太环保护协议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w:t>
            </w:r>
            <w:r>
              <w:rPr>
                <w:rFonts w:hint="eastAsia" w:ascii="宋体" w:hAnsi="宋体" w:cs="宋体"/>
                <w:i/>
                <w:iCs/>
                <w:color w:val="000000"/>
                <w:sz w:val="24"/>
                <w:szCs w:val="24"/>
                <w:u w:val="single"/>
                <w:lang w:val="en-US" w:eastAsia="zh-CN" w:bidi="ar"/>
              </w:rPr>
              <w:t xml:space="preserve">6</w:t>
            </w:r>
            <w:r>
              <w:rPr>
                <w:rFonts w:hint="eastAsia" w:ascii="宋体" w:hAnsi="宋体" w:cs="宋体"/>
                <w:i/>
                <w:iCs/>
                <w:color w:val="000000"/>
                <w:sz w:val="24"/>
                <w:szCs w:val="24"/>
                <w:u w:val="single"/>
                <w:lang w:bidi="ar"/>
              </w:rPr>
              <w:t xml:space="preserve">. 支持SNMP v1/v2/v3、Telnet远程维护、网管系统管理</w:t>
            </w:r>
            <w:r/>
          </w:p>
        </w:tc>
      </w:tr>
      <w:tr>
        <w:trPr>
          <w:trHeight w:val="33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225</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AP</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 支持吸顶和和壁挂安装</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 支持标准802.3at以太网供电，光电复合缆POF供电和本地供电</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 新一代Wi-Fi无线标准802.11be协议＆双射频设计，高速无线高达3.57Gbps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4</w:t>
            </w:r>
            <w:r>
              <w:rPr>
                <w:rFonts w:hint="eastAsia" w:ascii="宋体" w:hAnsi="宋体" w:cs="宋体"/>
                <w:i/>
                <w:iCs/>
                <w:color w:val="000000"/>
                <w:sz w:val="24"/>
                <w:szCs w:val="24"/>
                <w:u w:val="single"/>
                <w:lang w:bidi="ar"/>
              </w:rPr>
              <w:t xml:space="preserve">. 支持蓝牙 5.2，支持通过蓝牙串口远程维护</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5</w:t>
            </w:r>
            <w:r>
              <w:rPr>
                <w:rFonts w:hint="eastAsia" w:ascii="宋体" w:hAnsi="宋体" w:cs="宋体"/>
                <w:i/>
                <w:iCs/>
                <w:color w:val="000000"/>
                <w:sz w:val="24"/>
                <w:szCs w:val="24"/>
                <w:u w:val="single"/>
                <w:lang w:bidi="ar"/>
              </w:rPr>
              <w:t xml:space="preserve">. 支持USB 2.0，支持对外供电，可用于存储或扩展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6</w:t>
            </w:r>
            <w:r>
              <w:rPr>
                <w:rFonts w:hint="eastAsia" w:ascii="宋体" w:hAnsi="宋体" w:cs="宋体"/>
                <w:i/>
                <w:iCs/>
                <w:color w:val="000000"/>
                <w:sz w:val="24"/>
                <w:szCs w:val="24"/>
                <w:u w:val="single"/>
                <w:lang w:bidi="ar"/>
              </w:rPr>
              <w:t xml:space="preserve">. 支持智能化本地转发功能，对于实时性要求较高的数据分类通过本地网络转发</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7</w:t>
            </w:r>
            <w:r>
              <w:rPr>
                <w:rFonts w:hint="eastAsia" w:ascii="宋体" w:hAnsi="宋体" w:cs="宋体"/>
                <w:i/>
                <w:iCs/>
                <w:color w:val="000000"/>
                <w:sz w:val="24"/>
                <w:szCs w:val="24"/>
                <w:u w:val="single"/>
                <w:lang w:bidi="ar"/>
              </w:rPr>
              <w:t xml:space="preserve">. 通过与无线控制器产品的配合，可保证无线用户在二层网络和三层网络的无缝漫游，用户在过程中不会感觉到数据访问的中断</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8.</w:t>
            </w:r>
            <w:r>
              <w:rPr>
                <w:rFonts w:hint="eastAsia" w:ascii="宋体" w:hAnsi="宋体" w:cs="宋体"/>
                <w:i/>
                <w:iCs/>
                <w:color w:val="000000"/>
                <w:sz w:val="24"/>
                <w:szCs w:val="24"/>
                <w:u w:val="single"/>
                <w:lang w:bidi="ar"/>
              </w:rPr>
              <w:t xml:space="preserve"> 胖瘦模式灵活切换，瘦模式下可以实现零配置安装使用</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9</w:t>
            </w:r>
            <w:r>
              <w:rPr>
                <w:rFonts w:hint="eastAsia" w:ascii="宋体" w:hAnsi="宋体" w:cs="宋体"/>
                <w:i/>
                <w:iCs/>
                <w:color w:val="000000"/>
                <w:sz w:val="24"/>
                <w:szCs w:val="24"/>
                <w:u w:val="single"/>
                <w:lang w:bidi="ar"/>
              </w:rPr>
              <w:t xml:space="preserve">. Web界面管理对无线的规划和运维</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w:t>
            </w:r>
            <w:r>
              <w:rPr>
                <w:rFonts w:hint="eastAsia" w:ascii="宋体" w:hAnsi="宋体" w:cs="宋体"/>
                <w:i/>
                <w:iCs/>
                <w:color w:val="000000"/>
                <w:sz w:val="24"/>
                <w:szCs w:val="24"/>
                <w:u w:val="single"/>
                <w:lang w:val="en-US" w:eastAsia="zh-CN" w:bidi="ar"/>
              </w:rPr>
              <w:t xml:space="preserve">0</w:t>
            </w:r>
            <w:r>
              <w:rPr>
                <w:rFonts w:hint="eastAsia" w:ascii="宋体" w:hAnsi="宋体" w:cs="宋体"/>
                <w:i/>
                <w:iCs/>
                <w:color w:val="000000"/>
                <w:sz w:val="24"/>
                <w:szCs w:val="24"/>
                <w:u w:val="single"/>
                <w:lang w:bidi="ar"/>
              </w:rPr>
              <w:t xml:space="preserve">. 绿色环保，单位性能耗电降低：单天线待机技术、动态MIMO省电技术、增强型自动省电传送技术以及逐包功率控制技术</w:t>
            </w:r>
            <w:r/>
          </w:p>
        </w:tc>
      </w:tr>
      <w:tr>
        <w:trPr>
          <w:trHeight w:val="33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226</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AC管理器</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1、1U盒式 ，单台AC提供10GE光口≥1个，GE光口≥1个，GE电口≥8个，USB接口≥2个</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2、802.11转发性能≥10Gbps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3、单台AC最大可管理AP数量≥1000（本地转发模式下）</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4、支持MAC 地址认证、802.1x认证（EAP-PAP、EAP-MD5、EAP-PEAP、EAP-TLS、EAP-TTLS）、Portal认证、MAC+Portal混合认证</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5、支持内置Portal/AAA终端，可为用户提供Portal认证/802.1X服务；</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6、支持设备冗余备份功能，可支持1+1或N+1备份，并支持主备AC间配置同步;</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7、全面支持IPv6特性，实现无线网络的IPv6转发，让IPv4和IPv6都可以自动与AC进行隧道连接</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8、支持智能识别终端类型（支持苹果IOS、安卓和Windows等主流操作系统），自适应弹出不同大小、页面格局的Portal认证页面</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9、支持基于用户、流量、频段的智能负载均衡，智能实时调整接入终端分配到不同的AP上提供服务，平衡接入负载压力</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10、支持频段指引功能，能够自动指引支持双频段的无线终端工作在5G频段上</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11、支持基于802.11k/v/r协议的智能漫游，使低漫游灵敏度的终端能漫游到最佳AP</w:t>
            </w:r>
            <w:r/>
          </w:p>
        </w:tc>
      </w:tr>
      <w:tr>
        <w:trPr>
          <w:trHeight w:val="2954"/>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227</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光线路终端设备2</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1、设备不高于1U</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2、上行至少提供一个PON口接入，包括XG-PON/XGS-PON/对称10G EPON，也可支持10E光/GE电接入；下行至少支持4个10GE光口+4个GE电口+4个GPON口接入</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3、工作温度</w:t>
            </w:r>
            <w:r>
              <w:rPr>
                <w:rFonts w:hint="eastAsia" w:ascii="宋体" w:hAnsi="宋体" w:cs="宋体"/>
                <w:i/>
                <w:iCs/>
                <w:color w:val="000000"/>
                <w:sz w:val="24"/>
                <w:szCs w:val="24"/>
                <w:u w:val="single"/>
                <w:lang w:val="en-US" w:eastAsia="zh-CN" w:bidi="ar"/>
              </w:rPr>
              <w:t xml:space="preserve">优于</w:t>
            </w:r>
            <w:r>
              <w:rPr>
                <w:rFonts w:hint="eastAsia" w:ascii="宋体" w:hAnsi="宋体" w:cs="宋体"/>
                <w:i/>
                <w:iCs/>
                <w:color w:val="000000"/>
                <w:sz w:val="24"/>
                <w:szCs w:val="24"/>
                <w:u w:val="single"/>
                <w:lang w:bidi="ar"/>
              </w:rPr>
              <w:t xml:space="preserve">-30℃-55℃</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4、系统交换容量不低于160Gbit/s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5、可以支持1200STA的系统并发能力</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6、支持接入的从网关数量不低于128个，接入的STA数量不低于2000个</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7、开启 NAT、ACL（10 条）和防火墙后,支持的NAT会话数能力不低于256000个</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8、支持基于双WAN上行的负载均衡功能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9、应支持PPPoE多拨功能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10、防火墙功能：MAC地址过滤、ACL功能、防DoS攻击、WAN侧访问限制、DHCP防欺骗</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11、IPsec单隧道支持的吞吐能力不低于2000Mbps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12、VxLAN支持的吞吐能力不低于2000Mbps</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13、组播特性功能：组播协议版本支持IGMPv1/v2/v3、支持MLDv1/v2协议处理；支持基于协议版本的处理、丢弃、透传配置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14、QoS功能：支持以太网物理端口，Vport的流量控制功能；上行业务流根据CIR/PIR参数提供流量颜色标记功能；PON口/Vport和以太网口出方向支持流量整形shaping功能；以太网端口和PON口/Vport等端口上支持SP，WFQ，WRR/DWRR和SP+DWRR队列调度技术；支持基于端口配置默认CoS优先级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15、BRIDGE功能：支持IGMP、BPDU等特殊报文的捕获或透传；端口速率强制和自适应，支持100/1000/10000M强制和自适应；支持全双工/半双工强制和自适应；支持IEEE 802.3x流量控制协议；支持MAC地址自动学习机制；支持静态MAC地址的配置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16、VLAN功能：支持IEEE 802.1q VLAN， 支持的Q-VLAN ID的取值范围为1到4094；支持IEEE 802.1ad VLAN Stacking，支持的C-VLAN ID和S-VLAN ID的取值范围为1－4094；支持1：1 VLAN和N：1VLAN转换</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17、认证功能：支持本地Portal认证，支持免认证的白名单</w:t>
            </w:r>
            <w:r/>
          </w:p>
        </w:tc>
      </w:tr>
      <w:tr>
        <w:trPr>
          <w:trHeight w:val="1535"/>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228</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24口POE光网络单元设备</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numPr>
                <w:ilvl w:val="0"/>
                <w:numId w:val="7"/>
              </w:numPr>
              <w:jc w:val="left"/>
              <w:widowControl/>
              <w:rPr>
                <w:rFonts w:hint="eastAsia" w:ascii="宋体" w:hAnsi="宋体" w:cs="宋体"/>
                <w:i/>
                <w:iCs/>
                <w:color w:val="000000"/>
                <w:sz w:val="24"/>
                <w:szCs w:val="24"/>
                <w:u w:val="single"/>
                <w:lang w:bidi="ar"/>
              </w:rPr>
            </w:pPr>
            <w:r>
              <w:rPr>
                <w:rFonts w:hint="eastAsia" w:ascii="宋体" w:hAnsi="宋体" w:cs="宋体"/>
                <w:i/>
                <w:iCs/>
                <w:color w:val="000000"/>
                <w:sz w:val="24"/>
                <w:szCs w:val="24"/>
                <w:u w:val="single"/>
                <w:lang w:bidi="ar"/>
              </w:rPr>
              <w:t xml:space="preserve">网络侧提供</w:t>
            </w:r>
            <w:r>
              <w:rPr>
                <w:rFonts w:hint="eastAsia" w:ascii="宋体" w:hAnsi="宋体" w:cs="宋体"/>
                <w:i/>
                <w:iCs/>
                <w:color w:val="000000"/>
                <w:sz w:val="24"/>
                <w:szCs w:val="24"/>
                <w:u w:val="single"/>
                <w:lang w:val="en-US" w:eastAsia="zh-CN" w:bidi="ar"/>
              </w:rPr>
              <w:t xml:space="preserve">不少于</w:t>
            </w:r>
            <w:r>
              <w:rPr>
                <w:rFonts w:hint="eastAsia" w:ascii="宋体" w:hAnsi="宋体" w:cs="宋体"/>
                <w:i/>
                <w:iCs/>
                <w:color w:val="000000"/>
                <w:sz w:val="24"/>
                <w:szCs w:val="24"/>
                <w:u w:val="single"/>
                <w:lang w:bidi="ar"/>
              </w:rPr>
              <w:t xml:space="preserve">1个XGS-PON接口，用户侧提供24xGE（PoE/PoE+)接口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2、提供固定盒式金属结构ONU设备，尺寸不大于442mmx240mmx43.6mm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3</w:t>
            </w:r>
            <w:r>
              <w:rPr>
                <w:rFonts w:hint="eastAsia" w:ascii="宋体" w:hAnsi="宋体" w:cs="宋体"/>
                <w:i/>
                <w:iCs/>
                <w:color w:val="000000"/>
                <w:sz w:val="24"/>
                <w:szCs w:val="24"/>
                <w:u w:val="single"/>
                <w:lang w:bidi="ar"/>
              </w:rPr>
              <w:t xml:space="preserve">、提供高可靠防雷能力</w:t>
            </w:r>
            <w:r/>
          </w:p>
          <w:p>
            <w:pPr>
              <w:numPr>
                <w:ilvl w:val="0"/>
                <w:numId w:val="0"/>
              </w:num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val="en-US" w:eastAsia="zh-CN" w:bidi="ar"/>
              </w:rPr>
              <w:t xml:space="preserve">4</w:t>
            </w:r>
            <w:r>
              <w:rPr>
                <w:rFonts w:hint="eastAsia" w:ascii="宋体" w:hAnsi="宋体" w:cs="宋体"/>
                <w:i/>
                <w:iCs/>
                <w:color w:val="000000"/>
                <w:sz w:val="24"/>
                <w:szCs w:val="24"/>
                <w:u w:val="single"/>
                <w:lang w:bidi="ar"/>
              </w:rPr>
              <w:t xml:space="preserve">、设备支持MAC、802.1X用户认证方式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5</w:t>
            </w:r>
            <w:r>
              <w:rPr>
                <w:rFonts w:hint="eastAsia" w:ascii="宋体" w:hAnsi="宋体" w:cs="宋体"/>
                <w:i/>
                <w:iCs/>
                <w:color w:val="000000"/>
                <w:sz w:val="24"/>
                <w:szCs w:val="24"/>
                <w:u w:val="single"/>
                <w:lang w:bidi="ar"/>
              </w:rPr>
              <w:t xml:space="preserve">、设备支持端口限速和流限速，支持SP、WRR、SP+WRR算法</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6</w:t>
            </w:r>
            <w:r>
              <w:rPr>
                <w:rFonts w:hint="eastAsia" w:ascii="宋体" w:hAnsi="宋体" w:cs="宋体"/>
                <w:i/>
                <w:iCs/>
                <w:color w:val="000000"/>
                <w:sz w:val="24"/>
                <w:szCs w:val="24"/>
                <w:u w:val="single"/>
                <w:lang w:bidi="ar"/>
              </w:rPr>
              <w:t xml:space="preserve">、设备支持IGMP Proxy/ Snooping、MLD V1/V2 Snooping组播功能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7</w:t>
            </w:r>
            <w:r>
              <w:rPr>
                <w:rFonts w:hint="eastAsia" w:ascii="宋体" w:hAnsi="宋体" w:cs="宋体"/>
                <w:i/>
                <w:iCs/>
                <w:color w:val="000000"/>
                <w:sz w:val="24"/>
                <w:szCs w:val="24"/>
                <w:u w:val="single"/>
                <w:lang w:bidi="ar"/>
              </w:rPr>
              <w:t xml:space="preserve">、设备支持IEEE 802.1q、IEEE 802.1ad协议，支持1：1 VLAN、N：1 VLAN转换功能</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8</w:t>
            </w:r>
            <w:r>
              <w:rPr>
                <w:rFonts w:hint="eastAsia" w:ascii="宋体" w:hAnsi="宋体" w:cs="宋体"/>
                <w:i/>
                <w:iCs/>
                <w:color w:val="000000"/>
                <w:sz w:val="24"/>
                <w:szCs w:val="24"/>
                <w:u w:val="single"/>
                <w:lang w:bidi="ar"/>
              </w:rPr>
              <w:t xml:space="preserve">、支持光链路及断电检测、OLS光路检测、Dying gasp断电检测，便于故障定位和故障排除</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val="en-US" w:eastAsia="zh-CN" w:bidi="ar"/>
              </w:rPr>
              <w:t xml:space="preserve">9</w:t>
            </w:r>
            <w:r>
              <w:rPr>
                <w:rFonts w:hint="eastAsia" w:ascii="宋体" w:hAnsi="宋体" w:cs="宋体"/>
                <w:i/>
                <w:iCs/>
                <w:color w:val="000000"/>
                <w:sz w:val="24"/>
                <w:szCs w:val="24"/>
                <w:u w:val="single"/>
                <w:lang w:bidi="ar"/>
              </w:rPr>
              <w:t xml:space="preserve">、即插即用，开通迅速，维护方便，自动配置，远程维护</w:t>
            </w:r>
            <w:r/>
          </w:p>
        </w:tc>
      </w:tr>
      <w:tr>
        <w:trPr>
          <w:trHeight w:val="120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229</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多媒体箱</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1、规格：尺寸不大于500mm×400mm×150mm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2、冷轧钢板喷塑箱体，钢板厚度≥0.8mm</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3、门板带散热孔及普通锁具；内含220V 10A五孔插座1个、接地铜排；壁挂或落地安装</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4、满足GB/T 30446.2标准</w:t>
            </w:r>
            <w:r/>
          </w:p>
        </w:tc>
      </w:tr>
      <w:tr>
        <w:trPr>
          <w:trHeight w:val="1924"/>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2"/>
                <w:lang w:bidi="ar"/>
              </w:rPr>
              <w:t xml:space="preserve">230</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无线信号覆盖通信配套</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 xml:space="preserve">一期地库、一期食堂一楼、二期地库三网通覆盖。</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覆盖区域：采用全向天线和定向天线组合的覆盖方式。</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为了控制楼宇间干扰，楼层采用全向吸顶和定向吸顶天线相结合的方式，为了获得较好的穿透效果，全向吸顶天线基本设计在办公室门口位置，设计天线覆盖半径在6-10米之间。天线布置均采用“小功率，多天线”的原则。</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地下汽车库采用全向吸顶天线，设计天线覆盖半径在8~10米之间，汽车坡道采用定向板状天线覆盖。</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本次站点覆盖LTE天线口功率在-15 dBm～-10dBm 之间。</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1）线缆布放要求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a、线缆的规格型号、数量应符合工程设计要求；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b、所放线缆应顺直、整齐，应避免线缆交叉纠缠，下线按顺序布放，线缆余留长度应统一，同时考虑预留出设备扩容的布线位置；</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c、线缆拐弯应均匀、圆滑一致；</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d、线缆走道穿过楼板孔或墙洞的地方，应用防火材料封堵洞口；</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e、线缆两端应有明确的标志。</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2）光纤布放要求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a、光缆在槽道内应加套管或线槽保护，无套管保护部分宜用活扣扎带绑扎。</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b、机架内用扎带固定尾纤时不应过紧，尾纤在扎带环中可自由抽动。固定尾纤时，推荐在尾纤外面缠绕尼龙粘扣带后，再用扎带固定。</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c、尾纤在机架外部布放应加套管保护，套管末端应固定或伸入机柜内部。尾纤保护套管两端应用绝缘胶带封扎，避免尾纤滑动被套管切口划伤。胶带颜色宜与套管颜色一致。</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d、光接续盒应安装牢固可靠，密封良好，并易于维护操作。当采用的光缆带有金属铠装层或金属加强筋时，其应于接续盒处进行可靠接地。</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e、敷设好的光缆或尾纤不应被重物或其它重量较大的线缆叠压。</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f、过长尾纤应整齐盘绕于尾纤盒内或绕成圈后固定。</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g、未用尾纤的光连接头应用保护套保护。</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h、光缆加强芯应进行防雷接地。接地线规格应不小于16平方毫米。</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3）信号线布放要求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a、同类型线缆按次序排放，便于识别；</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b、光缆连接线应布放于架内的两侧，布放尾纤时，要注意做好尾纤头及尾纤的保护，无死弯、绷直现象，盘留的尾纤要顺序整齐，曲率半径要符合要求，捆绑力量要适中；</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c、光缆缠绕的最小半径应大于30mm，光缆接头应保持清洁；</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4）电源线布放要求</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a、采用电力电缆的电源馈电母线，必须是整条电缆线料，严禁中间接头；馈电母线外皮应完整，芯线对地（或金属隔离层）的绝缘电阻应符合国家相关技术要求；当馈电母线采用铜汇流条时，其表面应光洁平整，无锈蚀、裂纹和气孔；</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b、电力电缆拐弯应圆滑均匀，铠装电力电缆弯曲半径应大于等于12倍电缆外径；塑包电力电缆及其他软电缆的弯曲半径应大于等于6倍电缆外径；</w:t>
            </w:r>
            <w:r>
              <w:rPr>
                <w:rFonts w:hint="eastAsia" w:ascii="宋体" w:hAnsi="宋体" w:cs="宋体"/>
                <w:i/>
                <w:iCs/>
                <w:color w:val="000000"/>
                <w:sz w:val="24"/>
                <w:szCs w:val="24"/>
                <w:u w:val="single"/>
                <w:lang w:bidi="ar"/>
              </w:rPr>
              <w:br/>
            </w:r>
            <w:r>
              <w:rPr>
                <w:rFonts w:hint="eastAsia" w:ascii="宋体" w:hAnsi="宋体" w:cs="宋体"/>
                <w:i/>
                <w:iCs/>
                <w:color w:val="000000"/>
                <w:sz w:val="24"/>
                <w:szCs w:val="24"/>
                <w:u w:val="single"/>
                <w:lang w:bidi="ar"/>
              </w:rPr>
              <w:t xml:space="preserve">c、设备电源引入线的布放要求：根据实际情况尽量利用设备自带的电源线；当设备电源引入线孔在机顶时，电源线可以沿机架顶上顺直成把布放；电力电缆颜色标志识别：直流电源线正极应为红色电缆，负极应为蓝色电缆，接地线应为黄绿双色电缆。</w:t>
            </w:r>
            <w:r/>
          </w:p>
        </w:tc>
      </w:tr>
      <w:tr>
        <w:trPr>
          <w:trHeight w:val="191"/>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2"/>
                <w:lang w:bidi="ar"/>
              </w:rPr>
              <w:t xml:space="preserve">231</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系统集成</w:t>
            </w:r>
            <w:r/>
          </w:p>
        </w:tc>
        <w:tc>
          <w:tcPr>
            <w:gridSpan w:val="3"/>
            <w:tcBorders>
              <w:top w:val="single" w:color="000000" w:sz="4" w:space="0"/>
              <w:left w:val="single" w:color="000000" w:sz="4" w:space="0"/>
              <w:bottom w:val="single" w:color="000000" w:sz="4" w:space="0"/>
              <w:right w:val="single" w:color="000000" w:sz="4" w:space="0"/>
            </w:tcBorders>
            <w:tcW w:w="7284" w:type="dxa"/>
            <w:textDirection w:val="lrTb"/>
            <w:noWrap w:val="false"/>
          </w:tcPr>
          <w:p>
            <w:pPr>
              <w:jc w:val="left"/>
              <w:widowControl/>
              <w:rPr>
                <w:rFonts w:hint="eastAsia" w:ascii="宋体" w:hAnsi="宋体" w:cs="宋体"/>
                <w:i/>
                <w:iCs/>
                <w:color w:val="000000"/>
                <w:sz w:val="24"/>
                <w:szCs w:val="24"/>
                <w:u w:val="single"/>
                <w:lang w:bidi="ar"/>
              </w:rPr>
            </w:pPr>
            <w:r>
              <w:rPr>
                <w:rFonts w:hint="eastAsia" w:ascii="宋体" w:hAnsi="宋体" w:cs="宋体"/>
                <w:i/>
                <w:iCs/>
                <w:color w:val="000000"/>
                <w:sz w:val="24"/>
                <w:szCs w:val="24"/>
                <w:u w:val="single"/>
                <w:lang w:bidi="ar"/>
              </w:rPr>
              <w:t xml:space="preserve">系统集成服务涵盖整体项目范围内所有软硬件系统、设备终端、网络链路、平台软件的统一集成部署、布线施工、设备安装、系统调试、数据对接、联调联试、整体交付及售后保障工作。投标人需对本项目所有建设内容进行整体统筹集成，确保各独立系统互联互通、数据共享、业务联动，实现整体功能落地、稳定运行、统一运维。</w:t>
            </w:r>
            <w:r/>
          </w:p>
        </w:tc>
      </w:tr>
    </w:tbl>
    <w:p>
      <w:pPr>
        <w:spacing w:line="360" w:lineRule="auto"/>
        <w:rPr>
          <w:rFonts w:hint="eastAsia" w:ascii="宋体" w:hAnsi="宋体"/>
          <w:sz w:val="24"/>
        </w:rPr>
      </w:pPr>
      <w:r>
        <w:rPr>
          <w:rFonts w:hint="eastAsia" w:ascii="宋体" w:hAnsi="宋体"/>
          <w:sz w:val="24"/>
        </w:rPr>
      </w:r>
      <w:r/>
    </w:p>
    <w:p>
      <w:pPr>
        <w:jc w:val="left"/>
        <w:spacing w:line="400" w:lineRule="exact"/>
        <w:widowControl/>
        <w:rPr>
          <w:rFonts w:hint="eastAsia" w:ascii="宋体" w:hAnsi="宋体"/>
          <w:b/>
          <w:sz w:val="28"/>
          <w:szCs w:val="28"/>
        </w:rPr>
      </w:pPr>
      <w:r>
        <w:rPr>
          <w:rFonts w:hint="eastAsia" w:ascii="宋体" w:hAnsi="宋体"/>
          <w:b/>
          <w:sz w:val="28"/>
          <w:szCs w:val="28"/>
        </w:rPr>
        <w:t xml:space="preserve">三、商务条款</w:t>
      </w:r>
      <w:r/>
    </w:p>
    <w:p>
      <w:pPr>
        <w:ind w:firstLine="500"/>
        <w:spacing w:line="440" w:lineRule="exact"/>
        <w:rPr>
          <w:rFonts w:hint="eastAsia" w:ascii="宋体" w:hAnsi="宋体"/>
          <w:b/>
          <w:color w:val="000000"/>
          <w:spacing w:val="7"/>
          <w:sz w:val="24"/>
          <w:szCs w:val="24"/>
        </w:rPr>
      </w:pPr>
      <w:r>
        <w:rPr>
          <w:rFonts w:ascii="宋体" w:hAnsi="宋体"/>
          <w:b/>
          <w:color w:val="000000"/>
          <w:spacing w:val="7"/>
          <w:sz w:val="24"/>
          <w:szCs w:val="24"/>
        </w:rPr>
        <w:t xml:space="preserve">1 质保期</w:t>
      </w:r>
      <w:r/>
    </w:p>
    <w:p>
      <w:pPr>
        <w:ind w:firstLine="500"/>
        <w:spacing w:line="440" w:lineRule="exact"/>
        <w:rPr>
          <w:rFonts w:hint="eastAsia" w:ascii="宋体" w:hAnsi="宋体"/>
          <w:i/>
          <w:color w:val="000000"/>
          <w:spacing w:val="7"/>
          <w:sz w:val="24"/>
          <w:szCs w:val="24"/>
          <w:u w:val="single"/>
        </w:rPr>
      </w:pPr>
      <w:r>
        <w:rPr>
          <w:rFonts w:hint="eastAsia" w:ascii="宋体" w:hAnsi="宋体"/>
          <w:i/>
          <w:color w:val="000000"/>
          <w:spacing w:val="7"/>
          <w:sz w:val="24"/>
          <w:szCs w:val="24"/>
          <w:u w:val="single"/>
        </w:rPr>
        <w:t xml:space="preserve">质保期自物品验收合格，物品的免费质保期3年。（以双方在验收报告签订日期为准）</w:t>
      </w:r>
      <w:r/>
    </w:p>
    <w:p>
      <w:pPr>
        <w:ind w:firstLine="500"/>
        <w:spacing w:line="440" w:lineRule="exact"/>
        <w:rPr>
          <w:rFonts w:hint="eastAsia" w:ascii="宋体" w:hAnsi="宋体"/>
          <w:b/>
          <w:color w:val="000000"/>
          <w:spacing w:val="7"/>
          <w:sz w:val="24"/>
          <w:szCs w:val="24"/>
        </w:rPr>
      </w:pPr>
      <w:r>
        <w:rPr>
          <w:rFonts w:ascii="宋体" w:hAnsi="宋体"/>
          <w:b/>
          <w:color w:val="000000"/>
          <w:spacing w:val="7"/>
          <w:sz w:val="24"/>
          <w:szCs w:val="24"/>
        </w:rPr>
        <w:t xml:space="preserve">2 售后技术服务要求</w:t>
      </w:r>
      <w:r/>
    </w:p>
    <w:p>
      <w:pPr>
        <w:ind w:firstLine="500"/>
        <w:spacing w:line="440" w:lineRule="exact"/>
        <w:rPr>
          <w:rFonts w:hint="eastAsia" w:ascii="宋体" w:hAnsi="宋体"/>
          <w:i/>
          <w:color w:val="000000"/>
          <w:spacing w:val="7"/>
          <w:sz w:val="24"/>
          <w:szCs w:val="24"/>
          <w:u w:val="single"/>
        </w:rPr>
      </w:pPr>
      <w:r>
        <w:rPr>
          <w:rFonts w:ascii="宋体" w:hAnsi="宋体"/>
          <w:i/>
          <w:color w:val="000000"/>
          <w:spacing w:val="7"/>
          <w:sz w:val="24"/>
          <w:szCs w:val="24"/>
          <w:u w:val="single"/>
        </w:rPr>
        <w:t xml:space="preserve">2.1、售后技术服务要求</w:t>
      </w:r>
      <w:r/>
    </w:p>
    <w:p>
      <w:pPr>
        <w:ind w:firstLine="500"/>
        <w:spacing w:line="440" w:lineRule="exact"/>
        <w:rPr>
          <w:rFonts w:hint="eastAsia" w:ascii="宋体" w:hAnsi="宋体"/>
          <w:i/>
          <w:color w:val="000000"/>
          <w:spacing w:val="7"/>
          <w:sz w:val="24"/>
          <w:szCs w:val="24"/>
          <w:u w:val="single"/>
        </w:rPr>
      </w:pPr>
      <w:r>
        <w:rPr>
          <w:rFonts w:ascii="宋体" w:hAnsi="宋体"/>
          <w:i/>
          <w:color w:val="000000"/>
          <w:spacing w:val="7"/>
          <w:sz w:val="24"/>
          <w:szCs w:val="24"/>
          <w:u w:val="single"/>
        </w:rPr>
        <w:t xml:space="preserve">（1）标准服务：提供7×24小时的服务。</w:t>
      </w:r>
      <w:r>
        <w:rPr>
          <w:rFonts w:hint="eastAsia" w:ascii="宋体" w:hAnsi="宋体"/>
          <w:i/>
          <w:color w:val="000000"/>
          <w:spacing w:val="7"/>
          <w:sz w:val="24"/>
          <w:szCs w:val="24"/>
          <w:u w:val="single"/>
        </w:rPr>
        <w:t xml:space="preserve">中标</w:t>
      </w:r>
      <w:r>
        <w:rPr>
          <w:rFonts w:ascii="宋体" w:hAnsi="宋体"/>
          <w:i/>
          <w:color w:val="000000"/>
          <w:spacing w:val="7"/>
          <w:sz w:val="24"/>
          <w:szCs w:val="24"/>
          <w:u w:val="single"/>
        </w:rPr>
        <w:t xml:space="preserve">供应商接到报障电话30分钟内响应，若通过电话指导无法解决故障，在60分钟内到达现场。须在24小时内完成故障修复，若无法</w:t>
      </w:r>
      <w:r>
        <w:rPr>
          <w:rFonts w:hint="eastAsia" w:ascii="宋体" w:hAnsi="宋体"/>
          <w:i/>
          <w:color w:val="000000"/>
          <w:spacing w:val="7"/>
          <w:sz w:val="24"/>
          <w:szCs w:val="24"/>
          <w:u w:val="single"/>
        </w:rPr>
        <w:t xml:space="preserve">解决</w:t>
      </w:r>
      <w:r>
        <w:rPr>
          <w:rFonts w:ascii="宋体" w:hAnsi="宋体"/>
          <w:i/>
          <w:color w:val="000000"/>
          <w:spacing w:val="7"/>
          <w:sz w:val="24"/>
          <w:szCs w:val="24"/>
          <w:u w:val="single"/>
        </w:rPr>
        <w:t xml:space="preserve">故障则提供备用解决方案。</w:t>
      </w:r>
      <w:r/>
    </w:p>
    <w:p>
      <w:pPr>
        <w:ind w:firstLine="500"/>
        <w:spacing w:line="440" w:lineRule="exact"/>
        <w:rPr>
          <w:rFonts w:hint="eastAsia" w:ascii="宋体" w:hAnsi="宋体"/>
          <w:i/>
          <w:color w:val="000000"/>
          <w:spacing w:val="7"/>
          <w:sz w:val="24"/>
          <w:szCs w:val="24"/>
          <w:u w:val="single"/>
        </w:rPr>
      </w:pPr>
      <w:r>
        <w:rPr>
          <w:rFonts w:ascii="宋体" w:hAnsi="宋体"/>
          <w:i/>
          <w:color w:val="000000"/>
          <w:spacing w:val="7"/>
          <w:sz w:val="24"/>
          <w:szCs w:val="24"/>
          <w:u w:val="single"/>
        </w:rPr>
        <w:t xml:space="preserve">（2）应急服务：如遇到突发情况，成交供应商接到报障电话10分钟内响应，在</w:t>
      </w:r>
      <w:r>
        <w:rPr>
          <w:rFonts w:hint="eastAsia" w:ascii="宋体" w:hAnsi="宋体"/>
          <w:i/>
          <w:color w:val="000000"/>
          <w:spacing w:val="7"/>
          <w:sz w:val="24"/>
          <w:szCs w:val="24"/>
          <w:u w:val="single"/>
        </w:rPr>
        <w:t xml:space="preserve">45分钟</w:t>
      </w:r>
      <w:r>
        <w:rPr>
          <w:rFonts w:ascii="宋体" w:hAnsi="宋体"/>
          <w:i/>
          <w:color w:val="000000"/>
          <w:spacing w:val="7"/>
          <w:sz w:val="24"/>
          <w:szCs w:val="24"/>
          <w:u w:val="single"/>
        </w:rPr>
        <w:t xml:space="preserve">内到达现场。须在2小时内完成故障修复。</w:t>
      </w:r>
      <w:r/>
    </w:p>
    <w:p>
      <w:pPr>
        <w:ind w:firstLine="500"/>
        <w:spacing w:line="440" w:lineRule="exact"/>
        <w:rPr>
          <w:rFonts w:hint="eastAsia" w:ascii="宋体" w:hAnsi="宋体"/>
          <w:i/>
          <w:color w:val="000000"/>
          <w:spacing w:val="7"/>
          <w:sz w:val="24"/>
          <w:szCs w:val="24"/>
          <w:u w:val="single"/>
        </w:rPr>
      </w:pPr>
      <w:r>
        <w:rPr>
          <w:rFonts w:ascii="宋体" w:hAnsi="宋体"/>
          <w:i/>
          <w:color w:val="000000"/>
          <w:spacing w:val="7"/>
          <w:sz w:val="24"/>
          <w:szCs w:val="24"/>
          <w:u w:val="single"/>
        </w:rPr>
        <w:t xml:space="preserve">（3）特殊场景现场保障服务：如遇重大节假日或重要活动，</w:t>
      </w:r>
      <w:r>
        <w:rPr>
          <w:rFonts w:hint="eastAsia" w:ascii="宋体" w:hAnsi="宋体"/>
          <w:i/>
          <w:color w:val="000000"/>
          <w:spacing w:val="7"/>
          <w:sz w:val="24"/>
          <w:szCs w:val="24"/>
          <w:u w:val="single"/>
        </w:rPr>
        <w:t xml:space="preserve">中标</w:t>
      </w:r>
      <w:r>
        <w:rPr>
          <w:rFonts w:ascii="宋体" w:hAnsi="宋体"/>
          <w:i/>
          <w:color w:val="000000"/>
          <w:spacing w:val="7"/>
          <w:sz w:val="24"/>
          <w:szCs w:val="24"/>
          <w:u w:val="single"/>
        </w:rPr>
        <w:t xml:space="preserve">供应商应提前一周完成本项目设备系统的巡检工作，若需要安排工程师现场保障的，则供应商应无条件配合。</w:t>
      </w:r>
      <w:r/>
    </w:p>
    <w:p>
      <w:pPr>
        <w:ind w:firstLine="500"/>
        <w:spacing w:line="440" w:lineRule="exact"/>
        <w:rPr>
          <w:rFonts w:hint="eastAsia" w:ascii="宋体" w:hAnsi="宋体"/>
          <w:b/>
          <w:spacing w:val="7"/>
          <w:sz w:val="24"/>
          <w:szCs w:val="24"/>
        </w:rPr>
      </w:pPr>
      <w:r>
        <w:rPr>
          <w:rFonts w:ascii="宋体" w:hAnsi="宋体"/>
          <w:b/>
          <w:spacing w:val="7"/>
          <w:sz w:val="24"/>
          <w:szCs w:val="24"/>
        </w:rPr>
        <w:t xml:space="preserve">3 交货期、交货方式及交货地点</w:t>
      </w:r>
      <w:r/>
    </w:p>
    <w:p>
      <w:pPr>
        <w:ind w:firstLine="500"/>
        <w:spacing w:line="440" w:lineRule="exact"/>
        <w:rPr>
          <w:rFonts w:hint="eastAsia" w:ascii="宋体" w:hAnsi="宋体" w:cs="宋体"/>
          <w:i/>
          <w:spacing w:val="7"/>
          <w:sz w:val="24"/>
          <w:szCs w:val="24"/>
          <w:u w:val="single"/>
        </w:rPr>
      </w:pPr>
      <w:r>
        <w:rPr>
          <w:rFonts w:ascii="宋体" w:hAnsi="宋体" w:cs="宋体"/>
          <w:i/>
          <w:spacing w:val="7"/>
          <w:sz w:val="24"/>
          <w:szCs w:val="24"/>
          <w:u w:val="single"/>
        </w:rPr>
        <w:t xml:space="preserve">3.1、交货期</w:t>
      </w:r>
      <w:r/>
    </w:p>
    <w:p>
      <w:pPr>
        <w:ind w:firstLine="500"/>
        <w:spacing w:line="440" w:lineRule="exact"/>
        <w:rPr>
          <w:rFonts w:hint="eastAsia" w:ascii="宋体" w:hAnsi="宋体" w:cs="宋体"/>
          <w:i/>
          <w:spacing w:val="7"/>
          <w:sz w:val="24"/>
          <w:szCs w:val="24"/>
          <w:u w:val="single"/>
        </w:rPr>
      </w:pPr>
      <w:r>
        <w:rPr>
          <w:rFonts w:hint="eastAsia" w:ascii="宋体" w:hAnsi="宋体" w:cs="宋体"/>
          <w:i/>
          <w:spacing w:val="7"/>
          <w:sz w:val="24"/>
          <w:szCs w:val="24"/>
          <w:u w:val="single"/>
        </w:rPr>
        <w:t xml:space="preserve">在合同生效后120天内供货安装调试结束。遇不可抗力原因需迟延交货的，经甲方同意后可适当延期。</w:t>
      </w:r>
      <w:r/>
    </w:p>
    <w:p>
      <w:pPr>
        <w:ind w:firstLine="500"/>
        <w:spacing w:line="440" w:lineRule="exact"/>
        <w:rPr>
          <w:rFonts w:hint="eastAsia" w:ascii="宋体" w:hAnsi="宋体" w:cs="宋体"/>
          <w:i/>
          <w:spacing w:val="7"/>
          <w:sz w:val="24"/>
          <w:szCs w:val="24"/>
          <w:u w:val="single"/>
        </w:rPr>
      </w:pPr>
      <w:r>
        <w:rPr>
          <w:rFonts w:ascii="宋体" w:hAnsi="宋体" w:cs="宋体"/>
          <w:i/>
          <w:spacing w:val="7"/>
          <w:sz w:val="24"/>
          <w:szCs w:val="24"/>
          <w:u w:val="single"/>
        </w:rPr>
        <w:t xml:space="preserve">3.2、交货方式</w:t>
      </w:r>
      <w:r/>
    </w:p>
    <w:p>
      <w:pPr>
        <w:ind w:firstLine="500"/>
        <w:spacing w:line="440" w:lineRule="exact"/>
        <w:rPr>
          <w:rFonts w:hint="eastAsia" w:ascii="宋体" w:hAnsi="宋体" w:cs="宋体"/>
          <w:i/>
          <w:spacing w:val="7"/>
          <w:sz w:val="24"/>
          <w:szCs w:val="24"/>
          <w:u w:val="single"/>
        </w:rPr>
      </w:pPr>
      <w:r>
        <w:rPr>
          <w:rFonts w:ascii="宋体" w:hAnsi="宋体" w:cs="宋体"/>
          <w:i/>
          <w:spacing w:val="7"/>
          <w:sz w:val="24"/>
          <w:szCs w:val="24"/>
          <w:u w:val="single"/>
        </w:rPr>
        <w:t xml:space="preserve">原厂包装免费送至甲方指定地点。</w:t>
      </w:r>
      <w:r/>
    </w:p>
    <w:p>
      <w:pPr>
        <w:ind w:firstLine="500"/>
        <w:spacing w:line="440" w:lineRule="exact"/>
        <w:rPr>
          <w:rFonts w:hint="eastAsia" w:ascii="宋体" w:hAnsi="宋体" w:cs="宋体"/>
          <w:i/>
          <w:spacing w:val="7"/>
          <w:sz w:val="24"/>
          <w:szCs w:val="24"/>
          <w:u w:val="single"/>
        </w:rPr>
      </w:pPr>
      <w:r>
        <w:rPr>
          <w:rFonts w:ascii="宋体" w:hAnsi="宋体" w:cs="宋体"/>
          <w:i/>
          <w:spacing w:val="7"/>
          <w:sz w:val="24"/>
          <w:szCs w:val="24"/>
          <w:u w:val="single"/>
        </w:rPr>
        <w:t xml:space="preserve">3.3、交货地点</w:t>
      </w:r>
      <w:r/>
    </w:p>
    <w:p>
      <w:pPr>
        <w:ind w:firstLine="500"/>
        <w:spacing w:line="440" w:lineRule="exact"/>
        <w:rPr>
          <w:rFonts w:hint="eastAsia" w:ascii="宋体" w:hAnsi="宋体" w:cs="宋体"/>
          <w:i/>
          <w:spacing w:val="7"/>
          <w:sz w:val="24"/>
          <w:szCs w:val="24"/>
          <w:u w:val="single"/>
        </w:rPr>
      </w:pPr>
      <w:r>
        <w:rPr>
          <w:rFonts w:hint="eastAsia" w:ascii="宋体" w:hAnsi="宋体" w:cs="宋体"/>
          <w:i/>
          <w:spacing w:val="7"/>
          <w:sz w:val="24"/>
          <w:szCs w:val="24"/>
          <w:u w:val="single"/>
        </w:rPr>
        <w:t xml:space="preserve">甲方</w:t>
      </w:r>
      <w:r>
        <w:rPr>
          <w:rFonts w:ascii="宋体" w:hAnsi="宋体" w:cs="宋体"/>
          <w:i/>
          <w:spacing w:val="7"/>
          <w:sz w:val="24"/>
          <w:szCs w:val="24"/>
          <w:u w:val="single"/>
        </w:rPr>
        <w:t xml:space="preserve">指定地点</w:t>
      </w:r>
      <w:r/>
    </w:p>
    <w:p>
      <w:pPr>
        <w:ind w:firstLine="500"/>
        <w:spacing w:line="440" w:lineRule="exact"/>
        <w:rPr>
          <w:rFonts w:hint="eastAsia" w:ascii="宋体" w:hAnsi="宋体"/>
          <w:b/>
          <w:color w:val="000000"/>
          <w:spacing w:val="7"/>
          <w:sz w:val="24"/>
          <w:szCs w:val="24"/>
        </w:rPr>
      </w:pPr>
      <w:r>
        <w:rPr>
          <w:rFonts w:ascii="宋体" w:hAnsi="宋体"/>
          <w:b/>
          <w:color w:val="000000"/>
          <w:spacing w:val="7"/>
          <w:sz w:val="24"/>
          <w:szCs w:val="24"/>
        </w:rPr>
        <w:t xml:space="preserve">4 货款支付</w:t>
      </w:r>
      <w:r/>
    </w:p>
    <w:p>
      <w:pPr>
        <w:ind w:firstLine="500"/>
        <w:spacing w:line="440" w:lineRule="exact"/>
        <w:rPr>
          <w:rFonts w:hint="eastAsia" w:ascii="宋体" w:hAnsi="宋体" w:cs="宋体"/>
          <w:i/>
          <w:spacing w:val="7"/>
          <w:sz w:val="24"/>
          <w:szCs w:val="24"/>
          <w:u w:val="single"/>
        </w:rPr>
      </w:pPr>
      <w:r>
        <w:rPr>
          <w:rFonts w:ascii="宋体" w:hAnsi="宋体" w:cs="宋体"/>
          <w:i/>
          <w:spacing w:val="7"/>
          <w:sz w:val="24"/>
          <w:szCs w:val="24"/>
          <w:u w:val="single"/>
        </w:rPr>
        <w:t xml:space="preserve">4.1、结付程序</w:t>
      </w:r>
      <w:r/>
    </w:p>
    <w:p>
      <w:pPr>
        <w:ind w:firstLine="500"/>
        <w:spacing w:line="440" w:lineRule="exact"/>
        <w:rPr>
          <w:rFonts w:hint="eastAsia" w:ascii="宋体" w:hAnsi="宋体" w:cs="宋体"/>
          <w:i/>
          <w:spacing w:val="7"/>
          <w:sz w:val="24"/>
          <w:szCs w:val="24"/>
          <w:u w:val="single"/>
        </w:rPr>
      </w:pPr>
      <w:r>
        <w:rPr>
          <w:rFonts w:ascii="宋体" w:hAnsi="宋体" w:cs="宋体"/>
          <w:i/>
          <w:spacing w:val="7"/>
          <w:sz w:val="24"/>
          <w:szCs w:val="24"/>
          <w:u w:val="single"/>
        </w:rPr>
        <w:t xml:space="preserve">供方按合同内容合格地履行供货义务后，凭验收报告、销售发票到</w:t>
      </w:r>
      <w:r>
        <w:rPr>
          <w:rFonts w:hint="eastAsia" w:ascii="宋体" w:hAnsi="宋体" w:cs="宋体"/>
          <w:i/>
          <w:spacing w:val="7"/>
          <w:sz w:val="24"/>
          <w:szCs w:val="24"/>
          <w:u w:val="single"/>
        </w:rPr>
        <w:t xml:space="preserve">甲方</w:t>
      </w:r>
      <w:r>
        <w:rPr>
          <w:rFonts w:ascii="宋体" w:hAnsi="宋体" w:cs="宋体"/>
          <w:i/>
          <w:spacing w:val="7"/>
          <w:sz w:val="24"/>
          <w:szCs w:val="24"/>
          <w:u w:val="single"/>
        </w:rPr>
        <w:t xml:space="preserve">办理</w:t>
      </w:r>
      <w:r>
        <w:rPr>
          <w:rFonts w:hint="eastAsia" w:ascii="宋体" w:hAnsi="宋体" w:cs="宋体"/>
          <w:i/>
          <w:spacing w:val="7"/>
          <w:sz w:val="24"/>
          <w:szCs w:val="24"/>
          <w:u w:val="single"/>
        </w:rPr>
        <w:t xml:space="preserve">合同款</w:t>
      </w:r>
      <w:r>
        <w:rPr>
          <w:rFonts w:ascii="宋体" w:hAnsi="宋体" w:cs="宋体"/>
          <w:i/>
          <w:spacing w:val="7"/>
          <w:sz w:val="24"/>
          <w:szCs w:val="24"/>
          <w:u w:val="single"/>
        </w:rPr>
        <w:t xml:space="preserve">结算手续。</w:t>
      </w:r>
      <w:r/>
    </w:p>
    <w:p>
      <w:pPr>
        <w:ind w:firstLine="500"/>
        <w:spacing w:line="440" w:lineRule="exact"/>
        <w:rPr>
          <w:rFonts w:hint="eastAsia" w:ascii="宋体" w:hAnsi="宋体" w:cs="宋体"/>
          <w:i/>
          <w:spacing w:val="7"/>
          <w:sz w:val="24"/>
          <w:szCs w:val="24"/>
          <w:u w:val="single"/>
        </w:rPr>
      </w:pPr>
      <w:r>
        <w:rPr>
          <w:rFonts w:ascii="宋体" w:hAnsi="宋体" w:cs="宋体"/>
          <w:i/>
          <w:spacing w:val="7"/>
          <w:sz w:val="24"/>
          <w:szCs w:val="24"/>
          <w:u w:val="single"/>
        </w:rPr>
        <w:t xml:space="preserve">4.2、结付期限</w:t>
      </w:r>
      <w:r/>
    </w:p>
    <w:p>
      <w:pPr>
        <w:ind w:firstLine="500"/>
        <w:spacing w:line="440" w:lineRule="exact"/>
        <w:rPr>
          <w:rFonts w:hint="eastAsia" w:ascii="宋体" w:hAnsi="宋体" w:cs="宋体"/>
          <w:i/>
          <w:spacing w:val="7"/>
          <w:sz w:val="24"/>
          <w:szCs w:val="24"/>
          <w:u w:val="single"/>
        </w:rPr>
      </w:pPr>
      <w:r>
        <w:rPr>
          <w:rFonts w:ascii="宋体" w:hAnsi="宋体" w:cs="宋体"/>
          <w:i/>
          <w:spacing w:val="7"/>
          <w:sz w:val="24"/>
          <w:szCs w:val="24"/>
          <w:u w:val="single"/>
        </w:rPr>
        <w:t xml:space="preserve">（1）合同签订生效后</w:t>
      </w:r>
      <w:r>
        <w:rPr>
          <w:rFonts w:hint="eastAsia" w:ascii="宋体" w:hAnsi="宋体" w:cs="宋体"/>
          <w:i/>
          <w:spacing w:val="7"/>
          <w:sz w:val="24"/>
          <w:szCs w:val="24"/>
          <w:u w:val="single"/>
        </w:rPr>
        <w:t xml:space="preserve">，开具发票后，</w:t>
      </w:r>
      <w:r>
        <w:rPr>
          <w:rFonts w:ascii="宋体" w:hAnsi="宋体" w:cs="宋体"/>
          <w:i/>
          <w:spacing w:val="7"/>
          <w:sz w:val="24"/>
          <w:szCs w:val="24"/>
          <w:u w:val="single"/>
        </w:rPr>
        <w:t xml:space="preserve">十个工作日内，支付货款总价的30%作为预付款；</w:t>
      </w:r>
      <w:r/>
    </w:p>
    <w:p>
      <w:pPr>
        <w:ind w:firstLine="500"/>
        <w:spacing w:line="440" w:lineRule="exact"/>
        <w:rPr>
          <w:rFonts w:hint="eastAsia" w:ascii="宋体" w:hAnsi="宋体" w:cs="宋体"/>
          <w:i/>
          <w:spacing w:val="7"/>
          <w:sz w:val="24"/>
          <w:szCs w:val="24"/>
          <w:u w:val="single"/>
        </w:rPr>
      </w:pPr>
      <w:r>
        <w:rPr>
          <w:rFonts w:ascii="宋体" w:hAnsi="宋体" w:cs="宋体"/>
          <w:i/>
          <w:spacing w:val="7"/>
          <w:sz w:val="24"/>
          <w:szCs w:val="24"/>
          <w:u w:val="single"/>
        </w:rPr>
        <w:t xml:space="preserve">（2）乙方所有货物交货安装调试完毕，经验收合格并出具书面交货、验收报告后</w:t>
      </w:r>
      <w:r>
        <w:rPr>
          <w:rFonts w:hint="eastAsia" w:ascii="宋体" w:hAnsi="宋体" w:cs="宋体"/>
          <w:i/>
          <w:spacing w:val="7"/>
          <w:sz w:val="24"/>
          <w:szCs w:val="24"/>
          <w:u w:val="single"/>
        </w:rPr>
        <w:t xml:space="preserve">，开具发票后，</w:t>
      </w:r>
      <w:r>
        <w:rPr>
          <w:rFonts w:ascii="宋体" w:hAnsi="宋体" w:cs="宋体"/>
          <w:i/>
          <w:spacing w:val="7"/>
          <w:sz w:val="24"/>
          <w:szCs w:val="24"/>
          <w:u w:val="single"/>
        </w:rPr>
        <w:t xml:space="preserve">十个工作日内，支付货款总价的</w:t>
      </w:r>
      <w:r>
        <w:rPr>
          <w:rFonts w:hint="eastAsia" w:ascii="宋体" w:hAnsi="宋体" w:cs="宋体"/>
          <w:i/>
          <w:spacing w:val="7"/>
          <w:sz w:val="24"/>
          <w:szCs w:val="24"/>
          <w:u w:val="single"/>
        </w:rPr>
        <w:t xml:space="preserve">7</w:t>
      </w:r>
      <w:r>
        <w:rPr>
          <w:rFonts w:ascii="宋体" w:hAnsi="宋体" w:cs="宋体"/>
          <w:i/>
          <w:spacing w:val="7"/>
          <w:sz w:val="24"/>
          <w:szCs w:val="24"/>
          <w:u w:val="single"/>
        </w:rPr>
        <w:t xml:space="preserve">0%并一次性退回履约保证金；</w:t>
      </w:r>
      <w:r/>
    </w:p>
    <w:p>
      <w:pPr>
        <w:ind w:firstLine="500"/>
        <w:spacing w:line="440" w:lineRule="exact"/>
        <w:rPr>
          <w:rFonts w:hint="eastAsia" w:ascii="宋体" w:hAnsi="宋体"/>
          <w:b/>
          <w:color w:val="000000"/>
          <w:spacing w:val="7"/>
          <w:sz w:val="24"/>
          <w:szCs w:val="24"/>
        </w:rPr>
      </w:pPr>
      <w:r>
        <w:rPr>
          <w:rFonts w:ascii="宋体" w:hAnsi="宋体"/>
          <w:b/>
          <w:color w:val="000000"/>
          <w:spacing w:val="7"/>
          <w:sz w:val="24"/>
          <w:szCs w:val="24"/>
        </w:rPr>
        <w:t xml:space="preserve"> 5 投标货币</w:t>
      </w:r>
      <w:r/>
    </w:p>
    <w:p>
      <w:pPr>
        <w:ind w:firstLine="500"/>
        <w:spacing w:line="440" w:lineRule="exact"/>
        <w:rPr>
          <w:rFonts w:hint="eastAsia" w:ascii="宋体" w:hAnsi="宋体"/>
          <w:i/>
          <w:color w:val="000000"/>
          <w:spacing w:val="7"/>
          <w:sz w:val="24"/>
          <w:szCs w:val="24"/>
          <w:u w:val="single"/>
        </w:rPr>
      </w:pPr>
      <w:r>
        <w:rPr>
          <w:rFonts w:ascii="宋体" w:hAnsi="宋体"/>
          <w:i/>
          <w:color w:val="000000"/>
          <w:spacing w:val="7"/>
          <w:sz w:val="24"/>
          <w:szCs w:val="24"/>
          <w:u w:val="single"/>
        </w:rPr>
        <w:t xml:space="preserve">5.1、投标货币</w:t>
      </w:r>
      <w:r/>
    </w:p>
    <w:p>
      <w:pPr>
        <w:ind w:firstLine="500"/>
        <w:spacing w:line="440" w:lineRule="exact"/>
        <w:rPr>
          <w:rFonts w:hint="eastAsia" w:ascii="宋体" w:hAnsi="宋体"/>
          <w:i/>
          <w:color w:val="000000"/>
          <w:spacing w:val="7"/>
          <w:sz w:val="24"/>
          <w:szCs w:val="24"/>
          <w:u w:val="single"/>
        </w:rPr>
      </w:pPr>
      <w:r>
        <w:rPr>
          <w:rFonts w:ascii="宋体" w:hAnsi="宋体"/>
          <w:i/>
          <w:color w:val="000000"/>
          <w:spacing w:val="7"/>
          <w:sz w:val="24"/>
          <w:szCs w:val="24"/>
          <w:u w:val="single"/>
        </w:rPr>
        <w:t xml:space="preserve">人民币</w:t>
      </w:r>
      <w:r/>
    </w:p>
    <w:p>
      <w:pPr>
        <w:ind w:left="562"/>
        <w:jc w:val="left"/>
        <w:spacing w:line="400" w:lineRule="exact"/>
        <w:widowControl/>
        <w:rPr>
          <w:rFonts w:hint="eastAsia" w:ascii="宋体" w:hAnsi="宋体"/>
          <w:b/>
          <w:sz w:val="28"/>
          <w:szCs w:val="28"/>
        </w:rPr>
      </w:pPr>
      <w:r>
        <w:rPr>
          <w:rFonts w:hint="eastAsia" w:ascii="宋体" w:hAnsi="宋体"/>
          <w:b/>
          <w:sz w:val="28"/>
          <w:szCs w:val="28"/>
        </w:rPr>
      </w:r>
      <w:r/>
    </w:p>
    <w:p>
      <w:pPr>
        <w:jc w:val="left"/>
        <w:spacing w:line="400" w:lineRule="exact"/>
        <w:widowControl/>
        <w:rPr>
          <w:rFonts w:hint="eastAsia" w:ascii="宋体" w:hAnsi="宋体"/>
          <w:b/>
          <w:sz w:val="28"/>
          <w:szCs w:val="28"/>
        </w:rPr>
      </w:pPr>
      <w:r>
        <w:rPr>
          <w:rFonts w:hint="eastAsia" w:ascii="宋体" w:hAnsi="宋体"/>
          <w:b/>
          <w:sz w:val="28"/>
          <w:szCs w:val="28"/>
        </w:rPr>
        <w:t xml:space="preserve">四、其他要求</w:t>
      </w:r>
      <w:r/>
    </w:p>
    <w:p>
      <w:pPr>
        <w:ind w:firstLine="500"/>
        <w:spacing w:line="440" w:lineRule="exact"/>
        <w:rPr>
          <w:rFonts w:hint="eastAsia" w:ascii="宋体" w:hAnsi="宋体" w:cs="宋体"/>
          <w:b/>
          <w:spacing w:val="7"/>
          <w:sz w:val="24"/>
          <w:szCs w:val="24"/>
        </w:rPr>
      </w:pPr>
      <w:r>
        <w:rPr>
          <w:rFonts w:ascii="宋体" w:hAnsi="宋体" w:cs="宋体"/>
          <w:b/>
          <w:spacing w:val="7"/>
          <w:sz w:val="24"/>
          <w:szCs w:val="24"/>
        </w:rPr>
        <w:t xml:space="preserve">1</w:t>
      </w:r>
      <w:r>
        <w:rPr>
          <w:rFonts w:hint="eastAsia" w:ascii="宋体" w:hAnsi="宋体" w:cs="宋体"/>
          <w:b/>
          <w:spacing w:val="7"/>
          <w:sz w:val="24"/>
          <w:szCs w:val="24"/>
        </w:rPr>
        <w:t xml:space="preserve">技术方案要求</w:t>
      </w:r>
      <w:r/>
    </w:p>
    <w:p>
      <w:pPr>
        <w:ind w:firstLine="480"/>
        <w:spacing w:line="440" w:lineRule="exact"/>
        <w:rPr>
          <w:rFonts w:hint="eastAsia" w:ascii="宋体" w:hAnsi="宋体"/>
          <w:sz w:val="24"/>
        </w:rPr>
      </w:pPr>
      <w:r>
        <w:rPr>
          <w:rFonts w:hint="eastAsia" w:ascii="宋体" w:hAnsi="宋体"/>
          <w:sz w:val="24"/>
        </w:rPr>
        <w:t xml:space="preserve">技术方案需符合建设目标、实施依据、总体规划、各系统规划（包括：系统图、详细技术方案）等</w:t>
      </w:r>
      <w:r>
        <w:rPr>
          <w:rFonts w:ascii="宋体" w:hAnsi="宋体"/>
          <w:sz w:val="24"/>
        </w:rPr>
        <w:t xml:space="preserve"> </w:t>
      </w:r>
      <w:r>
        <w:rPr>
          <w:rFonts w:hint="eastAsia" w:ascii="宋体" w:hAnsi="宋体"/>
          <w:sz w:val="24"/>
        </w:rPr>
        <w:t xml:space="preserve">。</w:t>
      </w:r>
      <w:r/>
    </w:p>
    <w:p>
      <w:pPr>
        <w:ind w:firstLine="500"/>
        <w:spacing w:line="440" w:lineRule="exact"/>
        <w:rPr>
          <w:rFonts w:hint="eastAsia" w:ascii="宋体" w:hAnsi="宋体" w:cs="宋体"/>
          <w:b/>
          <w:spacing w:val="7"/>
          <w:sz w:val="24"/>
          <w:szCs w:val="24"/>
        </w:rPr>
      </w:pPr>
      <w:r>
        <w:rPr>
          <w:rFonts w:hint="eastAsia" w:ascii="宋体" w:hAnsi="宋体" w:cs="宋体"/>
          <w:b/>
          <w:spacing w:val="7"/>
          <w:sz w:val="24"/>
          <w:szCs w:val="24"/>
        </w:rPr>
        <w:t xml:space="preserve">2项目实施要求</w:t>
      </w:r>
      <w:r/>
    </w:p>
    <w:p>
      <w:pPr>
        <w:ind w:firstLine="480"/>
        <w:spacing w:line="440" w:lineRule="exact"/>
        <w:rPr>
          <w:rFonts w:hint="eastAsia" w:ascii="宋体" w:hAnsi="宋体"/>
          <w:sz w:val="24"/>
        </w:rPr>
      </w:pPr>
      <w:r>
        <w:rPr>
          <w:rFonts w:hint="eastAsia" w:ascii="宋体" w:hAnsi="宋体"/>
          <w:sz w:val="24"/>
        </w:rPr>
        <w:t xml:space="preserve">项目实施进度要求：本项目预计在合同签订后120日内交付，因本项目受土建、装修、及专用设备等进度影响，项目实际进度将根据具体情况调整。</w:t>
      </w:r>
      <w:r/>
    </w:p>
    <w:p>
      <w:pPr>
        <w:ind w:left="500"/>
        <w:spacing w:line="440" w:lineRule="exact"/>
        <w:rPr>
          <w:rFonts w:hint="eastAsia" w:ascii="宋体" w:hAnsi="宋体" w:cs="宋体"/>
          <w:b/>
          <w:spacing w:val="7"/>
          <w:sz w:val="24"/>
          <w:szCs w:val="24"/>
        </w:rPr>
      </w:pPr>
      <w:r>
        <w:rPr>
          <w:rFonts w:hint="eastAsia" w:ascii="宋体" w:hAnsi="宋体" w:cs="宋体"/>
          <w:b/>
          <w:spacing w:val="7"/>
          <w:sz w:val="24"/>
          <w:szCs w:val="24"/>
        </w:rPr>
        <w:t xml:space="preserve">3到货验收要求</w:t>
      </w:r>
      <w:r/>
    </w:p>
    <w:p>
      <w:pPr>
        <w:ind w:left="500"/>
        <w:spacing w:line="440" w:lineRule="exact"/>
        <w:rPr>
          <w:rFonts w:hint="eastAsia" w:ascii="宋体" w:hAnsi="宋体"/>
          <w:sz w:val="24"/>
          <w:szCs w:val="24"/>
          <w:highlight w:val="yellow"/>
        </w:rPr>
      </w:pPr>
      <w:r>
        <w:rPr>
          <w:rFonts w:hint="eastAsia" w:ascii="宋体" w:hAnsi="宋体" w:cs="宋体"/>
          <w:bCs/>
          <w:spacing w:val="7"/>
          <w:sz w:val="24"/>
          <w:szCs w:val="24"/>
        </w:rPr>
        <w:t xml:space="preserve">（1）</w:t>
      </w:r>
      <w:r>
        <w:rPr>
          <w:rFonts w:hint="eastAsia" w:ascii="宋体" w:hAnsi="宋体"/>
          <w:sz w:val="24"/>
          <w:szCs w:val="24"/>
        </w:rPr>
        <w:t xml:space="preserve">相关材料设备按照招标文件及国家强制标执行到货验收；</w:t>
      </w:r>
      <w:r/>
    </w:p>
    <w:p>
      <w:pPr>
        <w:numPr>
          <w:ilvl w:val="0"/>
          <w:numId w:val="8"/>
        </w:numPr>
        <w:jc w:val="left"/>
        <w:spacing w:line="440" w:lineRule="exact"/>
        <w:rPr>
          <w:rFonts w:hint="eastAsia" w:ascii="宋体" w:hAnsi="宋体"/>
          <w:sz w:val="24"/>
          <w:szCs w:val="24"/>
        </w:rPr>
      </w:pPr>
      <w:r>
        <w:rPr>
          <w:rFonts w:hint="eastAsia" w:ascii="宋体" w:hAnsi="宋体"/>
          <w:sz w:val="24"/>
          <w:szCs w:val="24"/>
        </w:rPr>
        <w:t xml:space="preserve">设备检验、检测通过，由采购单位开具设备到货验收合格单。</w:t>
      </w:r>
      <w:r/>
    </w:p>
    <w:p>
      <w:pPr>
        <w:numPr>
          <w:ilvl w:val="0"/>
          <w:numId w:val="8"/>
        </w:numPr>
        <w:jc w:val="left"/>
        <w:spacing w:line="440" w:lineRule="exact"/>
        <w:rPr>
          <w:rFonts w:hint="eastAsia" w:ascii="宋体" w:hAnsi="宋体"/>
          <w:sz w:val="24"/>
          <w:szCs w:val="24"/>
        </w:rPr>
      </w:pPr>
      <w:r>
        <w:rPr>
          <w:rFonts w:hint="eastAsia" w:ascii="宋体" w:hAnsi="宋体"/>
          <w:sz w:val="24"/>
          <w:szCs w:val="24"/>
        </w:rPr>
        <w:t xml:space="preserve">设备到货验收包括：</w:t>
      </w:r>
      <w:r/>
    </w:p>
    <w:p>
      <w:pPr>
        <w:ind w:firstLine="420"/>
        <w:jc w:val="left"/>
        <w:spacing w:line="440" w:lineRule="exact"/>
        <w:rPr>
          <w:rFonts w:hint="eastAsia" w:ascii="宋体" w:hAnsi="宋体"/>
          <w:sz w:val="24"/>
          <w:szCs w:val="24"/>
        </w:rPr>
      </w:pPr>
      <w:r>
        <w:rPr>
          <w:rFonts w:hint="eastAsia" w:ascii="宋体" w:hAnsi="宋体"/>
          <w:sz w:val="24"/>
          <w:szCs w:val="24"/>
        </w:rPr>
        <w:t xml:space="preserve">开箱验收：设备外包装检查、按照设备清单清点、设备型号及序列号核对及统计，形成《开箱验收报告》。</w:t>
      </w:r>
      <w:r/>
    </w:p>
    <w:p>
      <w:pPr>
        <w:ind w:firstLine="480"/>
        <w:jc w:val="left"/>
        <w:spacing w:line="440" w:lineRule="exact"/>
        <w:rPr>
          <w:rFonts w:hint="eastAsia" w:ascii="宋体" w:hAnsi="宋体"/>
          <w:sz w:val="24"/>
          <w:szCs w:val="24"/>
          <w:highlight w:val="yellow"/>
        </w:rPr>
      </w:pPr>
      <w:r>
        <w:rPr>
          <w:rFonts w:hint="eastAsia" w:ascii="宋体" w:hAnsi="宋体"/>
          <w:sz w:val="24"/>
          <w:szCs w:val="24"/>
        </w:rPr>
        <w:t xml:space="preserve">设备性能测试：甲方有权邀请国家认可的专业检测机构按照招标要求对主要设备的关键指标项逐一测试。若测试结果满足投标响应情况，所产生的费用由采购单位承担，若测试结果不满足投标响应情况，所产生的费用由中标单位承担。中标单位必须无条件根据采购单位及检测单位规定时间内完成所有测试环境搭建。若测试用例双方存在争议的，则根据项目实际使用需求进行协商处理，测试完成后形成《设备性能测试报告》。</w:t>
      </w:r>
      <w:r/>
    </w:p>
    <w:p>
      <w:pPr>
        <w:ind w:firstLine="500"/>
        <w:spacing w:line="440" w:lineRule="exact"/>
        <w:rPr>
          <w:rFonts w:hint="eastAsia" w:ascii="宋体" w:hAnsi="宋体" w:cs="宋体"/>
          <w:b/>
          <w:spacing w:val="7"/>
          <w:sz w:val="24"/>
          <w:szCs w:val="24"/>
        </w:rPr>
      </w:pPr>
      <w:r>
        <w:rPr>
          <w:rFonts w:hint="eastAsia" w:ascii="宋体" w:hAnsi="宋体" w:cs="宋体"/>
          <w:b/>
          <w:spacing w:val="7"/>
          <w:sz w:val="24"/>
          <w:szCs w:val="24"/>
        </w:rPr>
        <w:t xml:space="preserve">4实施要求</w:t>
      </w:r>
      <w:r/>
    </w:p>
    <w:p>
      <w:pPr>
        <w:ind w:firstLine="500"/>
        <w:spacing w:line="440" w:lineRule="exact"/>
        <w:rPr>
          <w:rFonts w:hint="eastAsia" w:ascii="宋体" w:hAnsi="宋体" w:cs="宋体"/>
          <w:b/>
          <w:spacing w:val="7"/>
          <w:sz w:val="24"/>
          <w:szCs w:val="24"/>
        </w:rPr>
      </w:pPr>
      <w:r>
        <w:rPr>
          <w:rFonts w:hint="eastAsia" w:ascii="宋体" w:hAnsi="宋体" w:cs="宋体"/>
          <w:b/>
          <w:spacing w:val="7"/>
          <w:sz w:val="24"/>
          <w:szCs w:val="24"/>
        </w:rPr>
        <w:t xml:space="preserve">4</w:t>
      </w:r>
      <w:r>
        <w:rPr>
          <w:rFonts w:ascii="宋体" w:hAnsi="宋体" w:cs="宋体"/>
          <w:b/>
          <w:spacing w:val="7"/>
          <w:sz w:val="24"/>
          <w:szCs w:val="24"/>
        </w:rPr>
        <w:t xml:space="preserve">.1 </w:t>
      </w:r>
      <w:r>
        <w:rPr>
          <w:rFonts w:hint="eastAsia" w:ascii="宋体" w:hAnsi="宋体" w:cs="宋体"/>
          <w:b/>
          <w:spacing w:val="7"/>
          <w:sz w:val="24"/>
          <w:szCs w:val="24"/>
        </w:rPr>
        <w:t xml:space="preserve">总体要求</w:t>
      </w:r>
      <w:r/>
    </w:p>
    <w:p>
      <w:pPr>
        <w:ind w:firstLine="480"/>
        <w:jc w:val="left"/>
        <w:spacing w:line="440" w:lineRule="exact"/>
        <w:rPr>
          <w:rFonts w:hint="eastAsia" w:ascii="宋体" w:hAnsi="宋体"/>
          <w:sz w:val="24"/>
        </w:rPr>
      </w:pPr>
      <w:r>
        <w:rPr>
          <w:rFonts w:hint="eastAsia" w:ascii="宋体" w:hAnsi="宋体"/>
          <w:sz w:val="24"/>
        </w:rPr>
        <w:t xml:space="preserve">中标单位与原厂商共同负责采购产品的安装、调试与验收。</w:t>
      </w:r>
      <w:r/>
    </w:p>
    <w:p>
      <w:pPr>
        <w:ind w:firstLine="480"/>
        <w:jc w:val="left"/>
        <w:spacing w:line="440" w:lineRule="exact"/>
        <w:rPr>
          <w:rFonts w:hint="eastAsia" w:ascii="宋体" w:hAnsi="宋体"/>
          <w:sz w:val="24"/>
        </w:rPr>
      </w:pPr>
      <w:r>
        <w:rPr>
          <w:rFonts w:hint="eastAsia" w:ascii="宋体" w:hAnsi="宋体"/>
          <w:sz w:val="24"/>
        </w:rPr>
        <w:t xml:space="preserve">安装、调试的主要目标是使本项目所采购的设备按照采购单位需求完成部署，并满足使用的需求。</w:t>
      </w:r>
      <w:r/>
    </w:p>
    <w:p>
      <w:pPr>
        <w:ind w:firstLine="480"/>
        <w:jc w:val="left"/>
        <w:spacing w:line="440" w:lineRule="exact"/>
        <w:rPr>
          <w:rFonts w:hint="eastAsia" w:ascii="宋体" w:hAnsi="宋体"/>
          <w:sz w:val="24"/>
        </w:rPr>
      </w:pPr>
      <w:r>
        <w:rPr>
          <w:rFonts w:hint="eastAsia" w:ascii="宋体" w:hAnsi="宋体"/>
          <w:sz w:val="24"/>
        </w:rPr>
        <w:t xml:space="preserve">中标单位不能在现场安装未经采购单位批准的任何设备或软件。</w:t>
      </w:r>
      <w:r/>
    </w:p>
    <w:p>
      <w:pPr>
        <w:ind w:firstLine="480"/>
        <w:jc w:val="left"/>
        <w:spacing w:line="440" w:lineRule="exact"/>
        <w:rPr>
          <w:rFonts w:hint="eastAsia" w:ascii="宋体" w:hAnsi="宋体"/>
          <w:sz w:val="24"/>
        </w:rPr>
      </w:pPr>
      <w:r>
        <w:rPr>
          <w:rFonts w:hint="eastAsia" w:ascii="宋体" w:hAnsi="宋体"/>
          <w:sz w:val="24"/>
        </w:rPr>
        <w:t xml:space="preserve">中标单位必须响应下列安装、调试要求：</w:t>
      </w:r>
      <w:r/>
    </w:p>
    <w:p>
      <w:pPr>
        <w:ind w:firstLine="480"/>
        <w:jc w:val="left"/>
        <w:spacing w:line="440" w:lineRule="exact"/>
        <w:rPr>
          <w:rFonts w:hint="eastAsia" w:ascii="宋体" w:hAnsi="宋体"/>
          <w:sz w:val="24"/>
        </w:rPr>
      </w:pPr>
      <w:r>
        <w:rPr>
          <w:rFonts w:hint="eastAsia" w:ascii="宋体" w:hAnsi="宋体"/>
          <w:sz w:val="24"/>
        </w:rPr>
        <w:t xml:space="preserve">1）按标书要求对其产品进行安装、配置、调试检测，并做出安装、调试报告。所供软件应在招标文件中所规定的地点和环境下，实现正常运行。</w:t>
      </w:r>
      <w:r/>
    </w:p>
    <w:p>
      <w:pPr>
        <w:ind w:firstLine="480"/>
        <w:jc w:val="left"/>
        <w:spacing w:line="440" w:lineRule="exact"/>
        <w:rPr>
          <w:rFonts w:hint="eastAsia" w:ascii="宋体" w:hAnsi="宋体"/>
          <w:sz w:val="24"/>
        </w:rPr>
      </w:pPr>
      <w:r>
        <w:rPr>
          <w:rFonts w:hint="eastAsia" w:ascii="宋体" w:hAnsi="宋体"/>
          <w:sz w:val="24"/>
        </w:rPr>
        <w:t xml:space="preserve">2）当所供产品在安装、调试中出现性能指标或功能上不满足</w:t>
      </w:r>
      <w:r>
        <w:rPr>
          <w:rFonts w:hint="eastAsia" w:ascii="宋体" w:hAnsi="宋体"/>
          <w:sz w:val="24"/>
          <w:szCs w:val="24"/>
        </w:rPr>
        <w:t xml:space="preserve">投标响应情况</w:t>
      </w:r>
      <w:r>
        <w:rPr>
          <w:rFonts w:hint="eastAsia" w:ascii="宋体" w:hAnsi="宋体"/>
          <w:sz w:val="24"/>
        </w:rPr>
        <w:t xml:space="preserve">或合同时，由中标单位负责解决。</w:t>
      </w:r>
      <w:r/>
    </w:p>
    <w:p>
      <w:pPr>
        <w:ind w:firstLine="480"/>
        <w:jc w:val="left"/>
        <w:spacing w:line="440" w:lineRule="exact"/>
        <w:rPr>
          <w:rFonts w:hint="eastAsia" w:ascii="宋体" w:hAnsi="宋体"/>
          <w:sz w:val="24"/>
        </w:rPr>
      </w:pPr>
      <w:r>
        <w:rPr>
          <w:rFonts w:hint="eastAsia" w:ascii="宋体" w:hAnsi="宋体"/>
          <w:sz w:val="24"/>
        </w:rPr>
        <w:t xml:space="preserve">3）如安装、调试中出现不满足</w:t>
      </w:r>
      <w:r>
        <w:rPr>
          <w:rFonts w:hint="eastAsia" w:ascii="宋体" w:hAnsi="宋体"/>
          <w:sz w:val="24"/>
          <w:szCs w:val="24"/>
        </w:rPr>
        <w:t xml:space="preserve">投标响应情况</w:t>
      </w:r>
      <w:r>
        <w:rPr>
          <w:rFonts w:hint="eastAsia" w:ascii="宋体" w:hAnsi="宋体"/>
          <w:sz w:val="24"/>
        </w:rPr>
        <w:t xml:space="preserve">或合同要求的严重质量问题时，采购单位保留索赔的权利。</w:t>
      </w:r>
      <w:r/>
    </w:p>
    <w:p>
      <w:pPr>
        <w:ind w:firstLine="480"/>
        <w:jc w:val="left"/>
        <w:spacing w:line="440" w:lineRule="exact"/>
        <w:rPr>
          <w:rFonts w:hint="eastAsia" w:ascii="宋体" w:hAnsi="宋体"/>
          <w:sz w:val="24"/>
        </w:rPr>
      </w:pPr>
      <w:r>
        <w:rPr>
          <w:rFonts w:hint="eastAsia" w:ascii="宋体" w:hAnsi="宋体"/>
          <w:sz w:val="24"/>
        </w:rPr>
        <w:t xml:space="preserve">网络交换设备安装工程师要求：由原厂工程师上门安装调试服务。</w:t>
      </w:r>
      <w:r/>
    </w:p>
    <w:p>
      <w:pPr>
        <w:ind w:firstLine="480"/>
        <w:jc w:val="left"/>
        <w:spacing w:line="440" w:lineRule="exact"/>
        <w:rPr>
          <w:rFonts w:hint="eastAsia" w:ascii="宋体" w:hAnsi="宋体"/>
          <w:sz w:val="24"/>
        </w:rPr>
      </w:pPr>
      <w:r>
        <w:rPr>
          <w:rFonts w:hint="eastAsia" w:ascii="宋体" w:hAnsi="宋体"/>
          <w:sz w:val="24"/>
        </w:rPr>
        <w:t xml:space="preserve">中标人在进行项目实施时必须在采购人掌握项目建设进度条件下进行，并严格执行相关保密规定。</w:t>
      </w:r>
      <w:r/>
    </w:p>
    <w:p>
      <w:pPr>
        <w:ind w:firstLine="500"/>
        <w:spacing w:line="440" w:lineRule="exact"/>
        <w:rPr>
          <w:rFonts w:hint="eastAsia" w:ascii="宋体" w:hAnsi="宋体" w:cs="宋体"/>
          <w:b/>
          <w:spacing w:val="7"/>
          <w:sz w:val="24"/>
          <w:szCs w:val="24"/>
        </w:rPr>
      </w:pPr>
      <w:r>
        <w:rPr>
          <w:rFonts w:hint="eastAsia" w:ascii="宋体" w:hAnsi="宋体" w:cs="宋体"/>
          <w:b/>
          <w:spacing w:val="7"/>
          <w:sz w:val="24"/>
          <w:szCs w:val="24"/>
        </w:rPr>
        <w:t xml:space="preserve">5</w:t>
      </w:r>
      <w:r>
        <w:rPr>
          <w:rFonts w:ascii="宋体" w:hAnsi="宋体" w:cs="宋体"/>
          <w:b/>
          <w:spacing w:val="7"/>
          <w:sz w:val="24"/>
          <w:szCs w:val="24"/>
        </w:rPr>
        <w:t xml:space="preserve">项目组人员要求 </w:t>
      </w:r>
      <w:r/>
    </w:p>
    <w:p>
      <w:pPr>
        <w:ind w:firstLine="500"/>
        <w:spacing w:line="440" w:lineRule="exact"/>
        <w:rPr>
          <w:rFonts w:hint="eastAsia" w:ascii="宋体" w:hAnsi="宋体"/>
          <w:sz w:val="24"/>
        </w:rPr>
      </w:pPr>
      <w:r>
        <w:rPr>
          <w:rFonts w:ascii="宋体" w:hAnsi="宋体"/>
          <w:sz w:val="24"/>
        </w:rPr>
        <w:t xml:space="preserve">考虑到该项目涉及范围较广，为保证项目实施质量，确保项目如期交付，项目组人员岗位不得兼任，具体需求见下表：</w:t>
      </w:r>
      <w:r/>
    </w:p>
    <w:p>
      <w:pPr>
        <w:ind w:firstLine="500"/>
        <w:spacing w:line="440" w:lineRule="exact"/>
        <w:rPr>
          <w:rFonts w:hint="eastAsia" w:ascii="宋体" w:hAnsi="宋体"/>
          <w:sz w:val="24"/>
        </w:rPr>
      </w:pPr>
      <w:r>
        <w:rPr>
          <w:rFonts w:ascii="宋体" w:hAnsi="宋体"/>
          <w:sz w:val="24"/>
        </w:rPr>
        <w:t xml:space="preserve"> </w:t>
      </w:r>
      <w:r/>
    </w:p>
    <w:tbl>
      <w:tblPr>
        <w:tblStyle w:val="816"/>
        <w:tblW w:w="0" w:type="auto"/>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072"/>
        <w:gridCol w:w="1110"/>
        <w:gridCol w:w="1343"/>
        <w:gridCol w:w="4299"/>
        <w:gridCol w:w="927"/>
      </w:tblGrid>
      <w:tr>
        <w:trPr>
          <w:trHeight w:val="688"/>
        </w:trPr>
        <w:tc>
          <w:tcPr>
            <w:tcW w:w="1073" w:type="dxa"/>
            <w:textDirection w:val="lrTb"/>
            <w:noWrap w:val="false"/>
          </w:tcPr>
          <w:p>
            <w:pPr>
              <w:spacing w:line="440" w:lineRule="exact"/>
              <w:rPr>
                <w:rFonts w:ascii="宋体" w:hAnsi="宋体"/>
                <w:sz w:val="24"/>
              </w:rPr>
            </w:pPr>
            <w:r>
              <w:rPr>
                <w:rFonts w:hint="eastAsia" w:ascii="宋体" w:hAnsi="宋体"/>
                <w:sz w:val="24"/>
              </w:rPr>
              <w:t xml:space="preserve">序号</w:t>
            </w:r>
            <w:r/>
          </w:p>
        </w:tc>
        <w:tc>
          <w:tcPr>
            <w:tcMar>
              <w:left w:w="108" w:type="dxa"/>
              <w:top w:w="0" w:type="dxa"/>
              <w:right w:w="108" w:type="dxa"/>
              <w:bottom w:w="0" w:type="dxa"/>
            </w:tcMar>
            <w:tcW w:w="1111" w:type="dxa"/>
            <w:vAlign w:val="center"/>
            <w:textDirection w:val="lrTb"/>
            <w:noWrap w:val="false"/>
          </w:tcPr>
          <w:p>
            <w:pPr>
              <w:spacing w:line="440" w:lineRule="exact"/>
              <w:rPr>
                <w:rFonts w:hint="eastAsia" w:ascii="宋体" w:hAnsi="宋体"/>
                <w:sz w:val="24"/>
              </w:rPr>
            </w:pPr>
            <w:r>
              <w:rPr>
                <w:rFonts w:ascii="宋体" w:hAnsi="宋体"/>
                <w:sz w:val="24"/>
              </w:rPr>
              <w:t xml:space="preserve">岗位名称</w:t>
            </w:r>
            <w:r/>
          </w:p>
        </w:tc>
        <w:tc>
          <w:tcPr>
            <w:tcMar>
              <w:left w:w="108" w:type="dxa"/>
              <w:top w:w="0" w:type="dxa"/>
              <w:right w:w="108" w:type="dxa"/>
              <w:bottom w:w="0" w:type="dxa"/>
            </w:tcMar>
            <w:tcW w:w="1344" w:type="dxa"/>
            <w:vAlign w:val="center"/>
            <w:textDirection w:val="lrTb"/>
            <w:noWrap w:val="false"/>
          </w:tcPr>
          <w:p>
            <w:pPr>
              <w:spacing w:line="440" w:lineRule="exact"/>
              <w:rPr>
                <w:rFonts w:hint="eastAsia" w:ascii="宋体" w:hAnsi="宋体"/>
                <w:sz w:val="24"/>
              </w:rPr>
            </w:pPr>
            <w:r>
              <w:rPr>
                <w:rFonts w:ascii="宋体" w:hAnsi="宋体"/>
                <w:sz w:val="24"/>
              </w:rPr>
              <w:t xml:space="preserve">岗位职责</w:t>
            </w:r>
            <w:r/>
          </w:p>
        </w:tc>
        <w:tc>
          <w:tcPr>
            <w:tcMar>
              <w:left w:w="108" w:type="dxa"/>
              <w:top w:w="0" w:type="dxa"/>
              <w:right w:w="108" w:type="dxa"/>
              <w:bottom w:w="0" w:type="dxa"/>
            </w:tcMar>
            <w:tcW w:w="4301" w:type="dxa"/>
            <w:vAlign w:val="center"/>
            <w:textDirection w:val="lrTb"/>
            <w:noWrap w:val="false"/>
          </w:tcPr>
          <w:p>
            <w:pPr>
              <w:ind w:firstLine="480"/>
              <w:spacing w:line="440" w:lineRule="exact"/>
              <w:rPr>
                <w:rFonts w:hint="eastAsia" w:ascii="宋体" w:hAnsi="宋体"/>
                <w:sz w:val="24"/>
              </w:rPr>
            </w:pPr>
            <w:r>
              <w:rPr>
                <w:rFonts w:ascii="宋体" w:hAnsi="宋体"/>
                <w:sz w:val="24"/>
              </w:rPr>
              <w:t xml:space="preserve">任职要求</w:t>
            </w:r>
            <w:r/>
          </w:p>
        </w:tc>
        <w:tc>
          <w:tcPr>
            <w:tcW w:w="927" w:type="dxa"/>
            <w:textDirection w:val="lrTb"/>
            <w:noWrap w:val="false"/>
          </w:tcPr>
          <w:p>
            <w:pPr>
              <w:spacing w:line="440" w:lineRule="exact"/>
              <w:rPr>
                <w:rFonts w:ascii="宋体" w:hAnsi="宋体"/>
                <w:sz w:val="24"/>
              </w:rPr>
            </w:pPr>
            <w:r>
              <w:rPr>
                <w:rFonts w:hint="eastAsia" w:ascii="宋体" w:hAnsi="宋体"/>
                <w:sz w:val="24"/>
              </w:rPr>
              <w:t xml:space="preserve">人数</w:t>
            </w:r>
            <w:r/>
          </w:p>
        </w:tc>
      </w:tr>
      <w:tr>
        <w:trPr>
          <w:trHeight w:val="804"/>
        </w:trPr>
        <w:tc>
          <w:tcPr>
            <w:tcW w:w="1073" w:type="dxa"/>
            <w:textDirection w:val="lrTb"/>
            <w:noWrap w:val="false"/>
          </w:tcPr>
          <w:p>
            <w:pPr>
              <w:spacing w:line="440" w:lineRule="exact"/>
              <w:rPr>
                <w:rFonts w:ascii="宋体" w:hAnsi="宋体"/>
                <w:sz w:val="24"/>
              </w:rPr>
            </w:pPr>
            <w:r>
              <w:rPr>
                <w:rFonts w:hint="eastAsia" w:ascii="宋体" w:hAnsi="宋体"/>
                <w:sz w:val="24"/>
              </w:rPr>
              <w:t xml:space="preserve">1</w:t>
            </w:r>
            <w:r/>
          </w:p>
        </w:tc>
        <w:tc>
          <w:tcPr>
            <w:tcMar>
              <w:left w:w="108" w:type="dxa"/>
              <w:top w:w="0" w:type="dxa"/>
              <w:right w:w="108" w:type="dxa"/>
              <w:bottom w:w="0" w:type="dxa"/>
            </w:tcMar>
            <w:tcW w:w="1111" w:type="dxa"/>
            <w:vAlign w:val="center"/>
            <w:textDirection w:val="lrTb"/>
            <w:noWrap w:val="false"/>
          </w:tcPr>
          <w:p>
            <w:pPr>
              <w:spacing w:line="440" w:lineRule="exact"/>
              <w:rPr>
                <w:rFonts w:hint="eastAsia" w:ascii="宋体" w:hAnsi="宋体"/>
                <w:sz w:val="24"/>
              </w:rPr>
            </w:pPr>
            <w:r>
              <w:rPr>
                <w:rFonts w:ascii="宋体" w:hAnsi="宋体"/>
                <w:sz w:val="24"/>
              </w:rPr>
              <w:t xml:space="preserve">项目</w:t>
            </w:r>
            <w:r>
              <w:rPr>
                <w:rFonts w:hint="eastAsia" w:ascii="宋体" w:hAnsi="宋体"/>
                <w:sz w:val="24"/>
              </w:rPr>
              <w:t xml:space="preserve">经理</w:t>
            </w:r>
            <w:r/>
          </w:p>
        </w:tc>
        <w:tc>
          <w:tcPr>
            <w:tcMar>
              <w:left w:w="108" w:type="dxa"/>
              <w:top w:w="0" w:type="dxa"/>
              <w:right w:w="108" w:type="dxa"/>
              <w:bottom w:w="0" w:type="dxa"/>
            </w:tcMar>
            <w:tcW w:w="1344" w:type="dxa"/>
            <w:vAlign w:val="center"/>
            <w:textDirection w:val="lrTb"/>
            <w:noWrap w:val="false"/>
          </w:tcPr>
          <w:p>
            <w:pPr>
              <w:spacing w:line="440" w:lineRule="exact"/>
              <w:rPr>
                <w:rFonts w:hint="eastAsia" w:ascii="宋体" w:hAnsi="宋体"/>
                <w:sz w:val="24"/>
              </w:rPr>
            </w:pPr>
            <w:r>
              <w:rPr>
                <w:rFonts w:ascii="宋体" w:hAnsi="宋体"/>
                <w:sz w:val="24"/>
              </w:rPr>
              <w:t xml:space="preserve">负责该项目的</w:t>
            </w:r>
            <w:r>
              <w:rPr>
                <w:rFonts w:hint="eastAsia" w:ascii="宋体" w:hAnsi="宋体"/>
                <w:sz w:val="24"/>
              </w:rPr>
              <w:t xml:space="preserve">管理</w:t>
            </w:r>
            <w:r>
              <w:rPr>
                <w:rFonts w:ascii="宋体" w:hAnsi="宋体"/>
                <w:sz w:val="24"/>
              </w:rPr>
              <w:t xml:space="preserve">工作。</w:t>
            </w:r>
            <w:r/>
          </w:p>
        </w:tc>
        <w:tc>
          <w:tcPr>
            <w:tcMar>
              <w:left w:w="108" w:type="dxa"/>
              <w:top w:w="0" w:type="dxa"/>
              <w:right w:w="108" w:type="dxa"/>
              <w:bottom w:w="0" w:type="dxa"/>
            </w:tcMar>
            <w:tcW w:w="4301" w:type="dxa"/>
            <w:vAlign w:val="center"/>
            <w:textDirection w:val="lrTb"/>
            <w:noWrap w:val="false"/>
          </w:tcPr>
          <w:p>
            <w:pPr>
              <w:ind w:firstLine="480"/>
              <w:spacing w:line="440" w:lineRule="exact"/>
              <w:rPr>
                <w:rFonts w:hint="eastAsia" w:ascii="宋体" w:hAnsi="宋体"/>
                <w:sz w:val="24"/>
              </w:rPr>
            </w:pPr>
            <w:r>
              <w:rPr>
                <w:rFonts w:hint="eastAsia" w:ascii="宋体" w:hAnsi="宋体"/>
                <w:sz w:val="24"/>
              </w:rPr>
              <w:t xml:space="preserve">具有</w:t>
            </w:r>
            <w:r>
              <w:rPr>
                <w:rFonts w:ascii="宋体" w:hAnsi="宋体"/>
                <w:sz w:val="24"/>
              </w:rPr>
              <w:t xml:space="preserve">安防系统集成项目经理（高级）证书、高级工程师证书、信息安全工程师证书</w:t>
            </w:r>
            <w:r/>
          </w:p>
        </w:tc>
        <w:tc>
          <w:tcPr>
            <w:tcW w:w="927" w:type="dxa"/>
            <w:textDirection w:val="lrTb"/>
            <w:noWrap w:val="false"/>
          </w:tcPr>
          <w:p>
            <w:pPr>
              <w:spacing w:line="440" w:lineRule="exact"/>
              <w:rPr>
                <w:rFonts w:hint="eastAsia" w:ascii="宋体" w:hAnsi="宋体"/>
                <w:sz w:val="24"/>
              </w:rPr>
            </w:pPr>
            <w:r>
              <w:rPr>
                <w:rFonts w:hint="eastAsia" w:ascii="宋体" w:hAnsi="宋体"/>
                <w:sz w:val="24"/>
              </w:rPr>
              <w:t xml:space="preserve">1人</w:t>
            </w:r>
            <w:r/>
          </w:p>
        </w:tc>
      </w:tr>
      <w:tr>
        <w:trPr>
          <w:trHeight w:val="702"/>
        </w:trPr>
        <w:tc>
          <w:tcPr>
            <w:tcW w:w="1073" w:type="dxa"/>
            <w:textDirection w:val="lrTb"/>
            <w:noWrap w:val="false"/>
          </w:tcPr>
          <w:p>
            <w:pPr>
              <w:spacing w:line="440" w:lineRule="exact"/>
              <w:rPr>
                <w:rFonts w:ascii="宋体" w:hAnsi="宋体"/>
                <w:sz w:val="24"/>
              </w:rPr>
            </w:pPr>
            <w:r>
              <w:rPr>
                <w:rFonts w:hint="eastAsia" w:ascii="宋体" w:hAnsi="宋体"/>
                <w:sz w:val="24"/>
              </w:rPr>
              <w:t xml:space="preserve">2</w:t>
            </w:r>
            <w:r/>
          </w:p>
        </w:tc>
        <w:tc>
          <w:tcPr>
            <w:tcMar>
              <w:left w:w="108" w:type="dxa"/>
              <w:top w:w="0" w:type="dxa"/>
              <w:right w:w="108" w:type="dxa"/>
              <w:bottom w:w="0" w:type="dxa"/>
            </w:tcMar>
            <w:tcW w:w="1111" w:type="dxa"/>
            <w:vAlign w:val="center"/>
            <w:textDirection w:val="lrTb"/>
            <w:noWrap w:val="false"/>
          </w:tcPr>
          <w:p>
            <w:pPr>
              <w:spacing w:line="440" w:lineRule="exact"/>
              <w:rPr>
                <w:rFonts w:hint="eastAsia" w:ascii="宋体" w:hAnsi="宋体"/>
                <w:sz w:val="24"/>
              </w:rPr>
            </w:pPr>
            <w:r>
              <w:rPr>
                <w:rFonts w:ascii="宋体" w:hAnsi="宋体"/>
                <w:sz w:val="24"/>
              </w:rPr>
              <w:t xml:space="preserve">项目</w:t>
            </w:r>
            <w:r>
              <w:rPr>
                <w:rFonts w:hint="eastAsia" w:ascii="宋体" w:hAnsi="宋体"/>
                <w:sz w:val="24"/>
              </w:rPr>
              <w:t xml:space="preserve">安全</w:t>
            </w:r>
            <w:r>
              <w:rPr>
                <w:rFonts w:ascii="宋体" w:hAnsi="宋体"/>
                <w:sz w:val="24"/>
              </w:rPr>
              <w:t xml:space="preserve">负责人</w:t>
            </w:r>
            <w:r/>
          </w:p>
        </w:tc>
        <w:tc>
          <w:tcPr>
            <w:tcMar>
              <w:left w:w="108" w:type="dxa"/>
              <w:top w:w="0" w:type="dxa"/>
              <w:right w:w="108" w:type="dxa"/>
              <w:bottom w:w="0" w:type="dxa"/>
            </w:tcMar>
            <w:tcW w:w="1344" w:type="dxa"/>
            <w:vAlign w:val="center"/>
            <w:textDirection w:val="lrTb"/>
            <w:noWrap w:val="false"/>
          </w:tcPr>
          <w:p>
            <w:pPr>
              <w:spacing w:line="440" w:lineRule="exact"/>
              <w:rPr>
                <w:rFonts w:hint="eastAsia" w:ascii="宋体" w:hAnsi="宋体"/>
                <w:sz w:val="24"/>
              </w:rPr>
            </w:pPr>
            <w:r>
              <w:rPr>
                <w:rFonts w:ascii="宋体" w:hAnsi="宋体"/>
                <w:sz w:val="24"/>
              </w:rPr>
              <w:t xml:space="preserve">负责该项目的</w:t>
            </w:r>
            <w:r>
              <w:rPr>
                <w:rFonts w:hint="eastAsia" w:ascii="宋体" w:hAnsi="宋体"/>
                <w:sz w:val="24"/>
              </w:rPr>
              <w:t xml:space="preserve">安全</w:t>
            </w:r>
            <w:r>
              <w:rPr>
                <w:rFonts w:ascii="宋体" w:hAnsi="宋体"/>
                <w:sz w:val="24"/>
              </w:rPr>
              <w:t xml:space="preserve">工作。</w:t>
            </w:r>
            <w:r/>
          </w:p>
        </w:tc>
        <w:tc>
          <w:tcPr>
            <w:tcMar>
              <w:left w:w="108" w:type="dxa"/>
              <w:top w:w="0" w:type="dxa"/>
              <w:right w:w="108" w:type="dxa"/>
              <w:bottom w:w="0" w:type="dxa"/>
            </w:tcMar>
            <w:tcW w:w="4301" w:type="dxa"/>
            <w:vAlign w:val="center"/>
            <w:textDirection w:val="lrTb"/>
            <w:noWrap w:val="false"/>
          </w:tcPr>
          <w:p>
            <w:pPr>
              <w:ind w:firstLine="480"/>
              <w:spacing w:line="440" w:lineRule="exact"/>
              <w:rPr>
                <w:rFonts w:hint="eastAsia" w:ascii="宋体" w:hAnsi="宋体"/>
                <w:sz w:val="24"/>
              </w:rPr>
            </w:pPr>
            <w:r>
              <w:rPr>
                <w:rFonts w:ascii="宋体" w:hAnsi="宋体"/>
                <w:sz w:val="24"/>
              </w:rPr>
              <w:t xml:space="preserve">具有智能化系统集成项目经理（高级）、高级网络信息安全工程师证书、网络安全能力认证（网络安全</w:t>
            </w:r>
            <w:r>
              <w:rPr>
                <w:rFonts w:hint="eastAsia" w:ascii="宋体" w:hAnsi="宋体"/>
                <w:sz w:val="24"/>
              </w:rPr>
              <w:t xml:space="preserve">技术</w:t>
            </w:r>
            <w:r>
              <w:rPr>
                <w:rFonts w:ascii="宋体" w:hAnsi="宋体"/>
                <w:sz w:val="24"/>
              </w:rPr>
              <w:t xml:space="preserve">Ⅰ级）证书</w:t>
            </w:r>
            <w:r/>
          </w:p>
        </w:tc>
        <w:tc>
          <w:tcPr>
            <w:tcW w:w="927" w:type="dxa"/>
            <w:textDirection w:val="lrTb"/>
            <w:noWrap w:val="false"/>
          </w:tcPr>
          <w:p>
            <w:pPr>
              <w:spacing w:line="440" w:lineRule="exact"/>
              <w:rPr>
                <w:rFonts w:ascii="宋体" w:hAnsi="宋体"/>
                <w:sz w:val="24"/>
              </w:rPr>
            </w:pPr>
            <w:r>
              <w:rPr>
                <w:rFonts w:hint="eastAsia" w:ascii="宋体" w:hAnsi="宋体"/>
                <w:sz w:val="24"/>
              </w:rPr>
              <w:t xml:space="preserve">1人</w:t>
            </w:r>
            <w:r/>
          </w:p>
        </w:tc>
      </w:tr>
      <w:tr>
        <w:trPr>
          <w:trHeight w:val="700"/>
        </w:trPr>
        <w:tc>
          <w:tcPr>
            <w:tcW w:w="1073" w:type="dxa"/>
            <w:textDirection w:val="lrTb"/>
            <w:noWrap w:val="false"/>
          </w:tcPr>
          <w:p>
            <w:pPr>
              <w:spacing w:line="440" w:lineRule="exact"/>
              <w:rPr>
                <w:rFonts w:hint="eastAsia" w:ascii="宋体" w:hAnsi="宋体"/>
                <w:sz w:val="24"/>
              </w:rPr>
            </w:pPr>
            <w:r>
              <w:rPr>
                <w:rFonts w:hint="eastAsia" w:ascii="宋体" w:hAnsi="宋体"/>
                <w:sz w:val="24"/>
              </w:rPr>
              <w:t xml:space="preserve">3</w:t>
            </w:r>
            <w:r/>
          </w:p>
        </w:tc>
        <w:tc>
          <w:tcPr>
            <w:tcMar>
              <w:left w:w="108" w:type="dxa"/>
              <w:top w:w="0" w:type="dxa"/>
              <w:right w:w="108" w:type="dxa"/>
              <w:bottom w:w="0" w:type="dxa"/>
            </w:tcMar>
            <w:tcW w:w="1111" w:type="dxa"/>
            <w:vAlign w:val="center"/>
            <w:textDirection w:val="lrTb"/>
            <w:noWrap w:val="false"/>
          </w:tcPr>
          <w:p>
            <w:pPr>
              <w:spacing w:line="440" w:lineRule="exact"/>
              <w:rPr>
                <w:rFonts w:hint="eastAsia" w:ascii="宋体" w:hAnsi="宋体"/>
                <w:sz w:val="24"/>
              </w:rPr>
            </w:pPr>
            <w:r>
              <w:rPr>
                <w:rFonts w:hint="eastAsia" w:ascii="宋体" w:hAnsi="宋体"/>
                <w:sz w:val="24"/>
              </w:rPr>
              <w:t xml:space="preserve">项目运维负责人</w:t>
            </w:r>
            <w:r/>
          </w:p>
        </w:tc>
        <w:tc>
          <w:tcPr>
            <w:tcMar>
              <w:left w:w="108" w:type="dxa"/>
              <w:top w:w="0" w:type="dxa"/>
              <w:right w:w="108" w:type="dxa"/>
              <w:bottom w:w="0" w:type="dxa"/>
            </w:tcMar>
            <w:tcW w:w="1344" w:type="dxa"/>
            <w:vAlign w:val="center"/>
            <w:textDirection w:val="lrTb"/>
            <w:noWrap w:val="false"/>
          </w:tcPr>
          <w:p>
            <w:pPr>
              <w:spacing w:line="440" w:lineRule="exact"/>
              <w:rPr>
                <w:rFonts w:hint="eastAsia" w:ascii="宋体" w:hAnsi="宋体"/>
                <w:sz w:val="24"/>
              </w:rPr>
            </w:pPr>
            <w:r>
              <w:rPr>
                <w:rFonts w:ascii="宋体" w:hAnsi="宋体"/>
                <w:sz w:val="24"/>
              </w:rPr>
              <w:t xml:space="preserve">负责该项目的</w:t>
            </w:r>
            <w:r>
              <w:rPr>
                <w:rFonts w:hint="eastAsia" w:ascii="宋体" w:hAnsi="宋体"/>
                <w:sz w:val="24"/>
              </w:rPr>
              <w:t xml:space="preserve">运维</w:t>
            </w:r>
            <w:r>
              <w:rPr>
                <w:rFonts w:ascii="宋体" w:hAnsi="宋体"/>
                <w:sz w:val="24"/>
              </w:rPr>
              <w:t xml:space="preserve">工作</w:t>
            </w:r>
            <w:r/>
          </w:p>
        </w:tc>
        <w:tc>
          <w:tcPr>
            <w:tcMar>
              <w:left w:w="108" w:type="dxa"/>
              <w:top w:w="0" w:type="dxa"/>
              <w:right w:w="108" w:type="dxa"/>
              <w:bottom w:w="0" w:type="dxa"/>
            </w:tcMar>
            <w:tcW w:w="4301" w:type="dxa"/>
            <w:vAlign w:val="center"/>
            <w:textDirection w:val="lrTb"/>
            <w:noWrap w:val="false"/>
          </w:tcPr>
          <w:p>
            <w:pPr>
              <w:ind w:firstLine="480"/>
              <w:spacing w:line="440" w:lineRule="exact"/>
              <w:rPr>
                <w:rFonts w:hint="eastAsia" w:ascii="宋体" w:hAnsi="宋体"/>
                <w:sz w:val="24"/>
              </w:rPr>
            </w:pPr>
            <w:r>
              <w:rPr>
                <w:rFonts w:hint="eastAsia" w:ascii="宋体" w:hAnsi="宋体"/>
                <w:sz w:val="24"/>
              </w:rPr>
              <w:t xml:space="preserve">具有</w:t>
            </w:r>
            <w:r>
              <w:rPr>
                <w:rFonts w:ascii="宋体" w:hAnsi="宋体"/>
                <w:sz w:val="24"/>
              </w:rPr>
              <w:t xml:space="preserve">信息安全保障人员认证证书（安全运维）、信息安全工程师证书、IT服务工程师证书</w:t>
            </w:r>
            <w:r/>
          </w:p>
        </w:tc>
        <w:tc>
          <w:tcPr>
            <w:tcW w:w="927" w:type="dxa"/>
            <w:textDirection w:val="lrTb"/>
            <w:noWrap w:val="false"/>
          </w:tcPr>
          <w:p>
            <w:pPr>
              <w:spacing w:line="440" w:lineRule="exact"/>
              <w:rPr>
                <w:rFonts w:hint="eastAsia" w:ascii="宋体" w:hAnsi="宋体"/>
                <w:sz w:val="24"/>
              </w:rPr>
            </w:pPr>
            <w:r>
              <w:rPr>
                <w:rFonts w:hint="eastAsia" w:ascii="宋体" w:hAnsi="宋体"/>
                <w:sz w:val="24"/>
              </w:rPr>
              <w:t xml:space="preserve">1人</w:t>
            </w:r>
            <w:r/>
          </w:p>
        </w:tc>
      </w:tr>
    </w:tbl>
    <w:p>
      <w:pPr>
        <w:rPr>
          <w:rFonts w:eastAsia="Calibri" w:cs="Calibri"/>
          <w:szCs w:val="21"/>
        </w:rPr>
      </w:pPr>
      <w:r>
        <w:rPr>
          <w:rFonts w:eastAsia="Calibri" w:cs="Calibri"/>
          <w:szCs w:val="21"/>
        </w:rPr>
      </w:r>
      <w:r/>
    </w:p>
    <w:p>
      <w:pPr>
        <w:ind w:firstLine="500"/>
        <w:spacing w:line="440" w:lineRule="exact"/>
        <w:rPr>
          <w:rFonts w:hint="eastAsia" w:ascii="宋体" w:hAnsi="宋体" w:cs="宋体"/>
          <w:b/>
          <w:spacing w:val="7"/>
          <w:sz w:val="24"/>
          <w:szCs w:val="24"/>
        </w:rPr>
      </w:pPr>
      <w:r>
        <w:rPr>
          <w:rFonts w:hint="eastAsia" w:ascii="宋体" w:hAnsi="宋体" w:cs="宋体"/>
          <w:b/>
          <w:spacing w:val="7"/>
          <w:sz w:val="24"/>
          <w:szCs w:val="24"/>
        </w:rPr>
        <w:t xml:space="preserve">6安防验收及违约责任</w:t>
      </w:r>
      <w:r/>
    </w:p>
    <w:p>
      <w:pPr>
        <w:ind w:firstLine="500"/>
        <w:spacing w:line="440" w:lineRule="exact"/>
        <w:rPr>
          <w:rFonts w:hint="eastAsia" w:ascii="宋体" w:hAnsi="宋体"/>
          <w:sz w:val="24"/>
        </w:rPr>
      </w:pPr>
      <w:r>
        <w:rPr>
          <w:rFonts w:hint="eastAsia" w:ascii="宋体" w:hAnsi="宋体"/>
          <w:sz w:val="24"/>
        </w:rPr>
        <w:t xml:space="preserve">6.1 验收要求：本项目智能化安防系统必须依次完成学校内部三级安防竣工验收、张家港市技防管理部门官方竣工验收，两项验收出具合格文书，方认定安防专项验收完成。验收执行标准严格遵照国家校园技防规范、苏州市及张家港市技防验收现行规范、项目施工图纸及招投标文件要求。</w:t>
      </w:r>
      <w:r/>
    </w:p>
    <w:p>
      <w:pPr>
        <w:ind w:firstLine="500"/>
        <w:spacing w:line="440" w:lineRule="exact"/>
        <w:rPr>
          <w:rFonts w:hint="eastAsia" w:ascii="宋体" w:hAnsi="宋体"/>
          <w:sz w:val="24"/>
        </w:rPr>
      </w:pPr>
      <w:r>
        <w:rPr>
          <w:rFonts w:hint="eastAsia" w:ascii="宋体" w:hAnsi="宋体"/>
          <w:sz w:val="24"/>
        </w:rPr>
        <w:t xml:space="preserve">6.2 不合格处置：若校内三级安防验收或技防办官方验收判定不合格，中标人须在甲方指定整改期限内完成全部整改、调试、修复工作，所有人工、材料、设备、检测、复验费用均由中标人全额承担。</w:t>
      </w:r>
      <w:r/>
    </w:p>
    <w:p>
      <w:pPr>
        <w:ind w:firstLine="500"/>
        <w:spacing w:line="440" w:lineRule="exact"/>
        <w:rPr>
          <w:rFonts w:hint="eastAsia" w:ascii="宋体" w:hAnsi="宋体"/>
          <w:sz w:val="24"/>
        </w:rPr>
      </w:pPr>
      <w:r>
        <w:rPr>
          <w:rFonts w:hint="eastAsia" w:ascii="宋体" w:hAnsi="宋体"/>
          <w:sz w:val="24"/>
        </w:rPr>
        <w:t xml:space="preserve">6.3 损失赔付：因系统验收不合格、整改施工不当造成学校财产损失、行政处罚、运营损失等直接损失，全部由中标人据实赔付。</w:t>
      </w:r>
      <w:r/>
    </w:p>
    <w:p>
      <w:pPr>
        <w:ind w:firstLine="500"/>
        <w:spacing w:line="440" w:lineRule="exact"/>
        <w:rPr>
          <w:rFonts w:hint="eastAsia" w:ascii="宋体" w:hAnsi="宋体"/>
          <w:sz w:val="24"/>
        </w:rPr>
      </w:pPr>
      <w:r>
        <w:rPr>
          <w:rFonts w:hint="eastAsia" w:ascii="宋体" w:hAnsi="宋体"/>
          <w:sz w:val="24"/>
        </w:rPr>
        <w:t xml:space="preserve">6.4 施工管控：中标人进场整改、施工须避让教学上课时段，合理利用寒暑假、夜间空档施工，不得扰乱学校正常教学秩序、校园管理秩序，违规施工校方有权责令停工并追究违约责任。</w:t>
      </w:r>
      <w:r/>
    </w:p>
    <w:p>
      <w:pPr>
        <w:ind w:firstLine="500"/>
        <w:spacing w:line="440" w:lineRule="exact"/>
        <w:rPr>
          <w:rFonts w:hint="eastAsia" w:ascii="宋体" w:hAnsi="宋体" w:cs="宋体"/>
          <w:b/>
          <w:spacing w:val="7"/>
          <w:sz w:val="24"/>
          <w:szCs w:val="24"/>
        </w:rPr>
      </w:pPr>
      <w:r>
        <w:rPr>
          <w:rFonts w:hint="eastAsia" w:ascii="宋体" w:hAnsi="宋体" w:cs="宋体"/>
          <w:b/>
          <w:spacing w:val="7"/>
          <w:sz w:val="24"/>
          <w:szCs w:val="24"/>
        </w:rPr>
        <w:t xml:space="preserve">7履约能力</w:t>
      </w:r>
      <w:r>
        <w:rPr>
          <w:rFonts w:ascii="宋体" w:hAnsi="宋体" w:cs="宋体"/>
          <w:b/>
          <w:spacing w:val="7"/>
          <w:sz w:val="24"/>
          <w:szCs w:val="24"/>
        </w:rPr>
        <w:t xml:space="preserve"> </w:t>
      </w:r>
      <w:r/>
    </w:p>
    <w:p>
      <w:pPr>
        <w:ind w:firstLine="508"/>
        <w:spacing w:line="440" w:lineRule="exact"/>
        <w:rPr>
          <w:rFonts w:hint="eastAsia" w:ascii="宋体" w:hAnsi="宋体" w:cs="宋体"/>
          <w:spacing w:val="7"/>
          <w:sz w:val="24"/>
          <w:szCs w:val="24"/>
        </w:rPr>
      </w:pPr>
      <w:r>
        <w:rPr>
          <w:rFonts w:hint="eastAsia" w:ascii="宋体" w:hAnsi="宋体" w:cs="宋体"/>
          <w:spacing w:val="7"/>
          <w:sz w:val="24"/>
          <w:szCs w:val="24"/>
        </w:rPr>
        <w:t xml:space="preserve">（</w:t>
      </w:r>
      <w:r>
        <w:rPr>
          <w:rFonts w:ascii="宋体" w:hAnsi="宋体" w:cs="宋体"/>
          <w:spacing w:val="7"/>
          <w:sz w:val="24"/>
          <w:szCs w:val="24"/>
        </w:rPr>
        <w:t xml:space="preserve">1</w:t>
      </w:r>
      <w:r>
        <w:rPr>
          <w:rFonts w:hint="eastAsia" w:ascii="宋体" w:hAnsi="宋体" w:cs="宋体"/>
          <w:spacing w:val="7"/>
          <w:sz w:val="24"/>
          <w:szCs w:val="24"/>
        </w:rPr>
        <w:t xml:space="preserve">）投标人提供2023年以来与本项目类似的主要业绩合同。</w:t>
      </w:r>
      <w:r/>
    </w:p>
    <w:p>
      <w:pPr>
        <w:ind w:firstLine="1325"/>
        <w:pageBreakBefore/>
        <w:spacing w:before="240" w:after="60" w:line="360" w:lineRule="auto"/>
        <w:rPr>
          <w:rFonts w:hint="eastAsia" w:ascii="宋体" w:hAnsi="宋体"/>
          <w:b/>
          <w:bCs/>
          <w:sz w:val="44"/>
          <w:szCs w:val="32"/>
        </w:rPr>
        <w:outlineLvl w:val="0"/>
      </w:pPr>
      <w:r/>
      <w:bookmarkStart w:id="171" w:name="_Toc17224"/>
      <w:r>
        <w:rPr>
          <w:rFonts w:hint="eastAsia" w:ascii="宋体" w:hAnsi="宋体"/>
          <w:b/>
          <w:bCs/>
          <w:sz w:val="44"/>
          <w:szCs w:val="32"/>
        </w:rPr>
        <w:t xml:space="preserve">第五章 评标方法与评标标准</w:t>
      </w:r>
      <w:bookmarkEnd w:id="171"/>
      <w:r/>
      <w:r/>
    </w:p>
    <w:p>
      <w:pPr>
        <w:ind w:firstLine="450"/>
        <w:spacing w:line="440" w:lineRule="exact"/>
        <w:rPr>
          <w:rFonts w:ascii="Times New Roman" w:hAnsi="Times New Roman" w:eastAsia="Times New Roman"/>
          <w:b/>
          <w:bCs/>
          <w:spacing w:val="7"/>
          <w:sz w:val="24"/>
          <w:szCs w:val="24"/>
        </w:rPr>
        <w:outlineLvl w:val="1"/>
      </w:pPr>
      <w:r>
        <w:rPr>
          <w:rFonts w:hint="eastAsia"/>
          <w:b/>
          <w:bCs/>
          <w:spacing w:val="7"/>
          <w:sz w:val="24"/>
          <w:szCs w:val="24"/>
        </w:rPr>
        <w:t xml:space="preserve">一、评标方法与定标原则</w:t>
      </w:r>
      <w:r/>
    </w:p>
    <w:p>
      <w:pPr>
        <w:ind w:firstLine="508"/>
        <w:spacing w:line="440" w:lineRule="exact"/>
        <w:rPr>
          <w:rFonts w:ascii="宋体" w:hAnsi="宋体" w:eastAsia="Times New Roman" w:cs="宋体"/>
          <w:spacing w:val="7"/>
          <w:sz w:val="24"/>
          <w:szCs w:val="24"/>
        </w:rPr>
      </w:pPr>
      <w:r>
        <w:rPr>
          <w:rFonts w:hint="eastAsia" w:ascii="宋体" w:hAnsi="宋体" w:cs="宋体"/>
          <w:spacing w:val="7"/>
          <w:sz w:val="24"/>
          <w:szCs w:val="24"/>
        </w:rPr>
        <w:t xml:space="preserve">1</w:t>
      </w:r>
      <w:bookmarkStart w:id="172" w:name="EB7fb355fa72914ecb929ae586b8e28d83"/>
      <w:r/>
      <w:bookmarkEnd w:id="172"/>
      <w:r/>
      <w:bookmarkStart w:id="173" w:name="EB62ffe30267be4d9da459adf3124e9fe5"/>
      <w:r/>
      <w:bookmarkEnd w:id="173"/>
      <w:r>
        <w:rPr>
          <w:rFonts w:hint="eastAsia" w:ascii="宋体" w:hAnsi="宋体" w:cs="宋体"/>
          <w:spacing w:val="7"/>
          <w:sz w:val="24"/>
          <w:szCs w:val="24"/>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bookmarkStart w:id="174" w:name="EB5665b3cc3ef142c8a0c8bc5d3e5d286b"/>
      <w:r/>
      <w:bookmarkEnd w:id="174"/>
      <w:r/>
      <w:r/>
    </w:p>
    <w:p>
      <w:pPr>
        <w:ind w:firstLine="508"/>
        <w:spacing w:line="440" w:lineRule="exact"/>
        <w:rPr>
          <w:rFonts w:hint="eastAsia" w:ascii="宋体" w:hAnsi="宋体" w:cs="宋体"/>
          <w:b/>
          <w:bCs/>
          <w:spacing w:val="7"/>
          <w:sz w:val="24"/>
          <w:szCs w:val="24"/>
        </w:rPr>
      </w:pPr>
      <w:r>
        <w:rPr>
          <w:rFonts w:hint="eastAsia" w:ascii="宋体" w:hAnsi="宋体" w:cs="宋体"/>
          <w:b/>
          <w:bCs/>
          <w:spacing w:val="7"/>
          <w:sz w:val="24"/>
          <w:szCs w:val="24"/>
        </w:rPr>
        <w:t xml:space="preserve">2、针对中小型企业的评审：</w:t>
      </w:r>
      <w:r/>
    </w:p>
    <w:p>
      <w:pPr>
        <w:ind w:firstLine="508"/>
        <w:spacing w:line="440" w:lineRule="exact"/>
        <w:rPr>
          <w:rFonts w:hint="eastAsia" w:ascii="宋体" w:hAnsi="宋体" w:cs="宋体"/>
          <w:spacing w:val="7"/>
          <w:sz w:val="24"/>
          <w:szCs w:val="24"/>
        </w:rPr>
      </w:pPr>
      <w:r>
        <w:rPr>
          <w:rFonts w:hint="eastAsia" w:ascii="宋体" w:hAnsi="宋体" w:cs="宋体"/>
          <w:spacing w:val="7"/>
          <w:sz w:val="24"/>
          <w:szCs w:val="24"/>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ind w:firstLine="508"/>
        <w:spacing w:line="440" w:lineRule="exact"/>
        <w:rPr>
          <w:rFonts w:hint="eastAsia" w:ascii="宋体" w:hAnsi="宋体" w:cs="宋体"/>
          <w:spacing w:val="7"/>
          <w:sz w:val="24"/>
          <w:szCs w:val="24"/>
        </w:rPr>
      </w:pPr>
      <w:r>
        <w:rPr>
          <w:rFonts w:hint="eastAsia" w:ascii="宋体" w:hAnsi="宋体" w:cs="宋体"/>
          <w:spacing w:val="7"/>
          <w:sz w:val="24"/>
          <w:szCs w:val="24"/>
        </w:rPr>
        <w:t xml:space="preserve">注：①中小企业参加政府采购活动，应当出具《中小企业声明函》，否则不得享受相关中小企业扶持政策；②以上规定未尽事项，按《政府采购促进中小企业发展管理办法》等有关制度规定执行。</w:t>
      </w:r>
      <w:r/>
    </w:p>
    <w:p>
      <w:pPr>
        <w:ind w:firstLine="508"/>
        <w:spacing w:line="440" w:lineRule="exact"/>
        <w:rPr>
          <w:rFonts w:hint="eastAsia" w:ascii="宋体" w:hAnsi="宋体" w:cs="宋体"/>
          <w:spacing w:val="7"/>
          <w:sz w:val="24"/>
          <w:szCs w:val="24"/>
        </w:rPr>
      </w:pPr>
      <w:r>
        <w:rPr>
          <w:rFonts w:hint="eastAsia" w:ascii="宋体" w:hAnsi="宋体" w:cs="宋体"/>
          <w:spacing w:val="7"/>
          <w:sz w:val="24"/>
          <w:szCs w:val="24"/>
        </w:rPr>
        <w:t xml:space="preserve">（2）根据《关于促进残疾人就业政府采购政策的通知》（财库〔2017〕141号）的通知规定：</w:t>
      </w:r>
      <w:r/>
    </w:p>
    <w:p>
      <w:pPr>
        <w:ind w:firstLine="508"/>
        <w:spacing w:line="440" w:lineRule="exact"/>
        <w:rPr>
          <w:rFonts w:hint="eastAsia" w:ascii="宋体" w:hAnsi="宋体" w:cs="宋体"/>
          <w:spacing w:val="7"/>
          <w:sz w:val="24"/>
          <w:szCs w:val="24"/>
        </w:rPr>
      </w:pPr>
      <w:r>
        <w:rPr>
          <w:rFonts w:hint="eastAsia" w:ascii="宋体" w:hAnsi="宋体" w:cs="宋体"/>
          <w:spacing w:val="7"/>
          <w:sz w:val="24"/>
          <w:szCs w:val="24"/>
        </w:rPr>
        <w:t xml:space="preserve">在政府采购活动中，残疾人福利性单位视同小型、微型企业，享受预留份额、评审中价格扣除等促进中小企业发展的政府采购政策。残疾人福利性单位属于小型、微型企业的，不重复享受政策。</w:t>
      </w:r>
      <w:r/>
    </w:p>
    <w:p>
      <w:pPr>
        <w:ind w:firstLine="508"/>
        <w:spacing w:line="440" w:lineRule="exact"/>
        <w:rPr>
          <w:rFonts w:hint="eastAsia" w:ascii="宋体" w:hAnsi="宋体" w:cs="宋体"/>
          <w:spacing w:val="7"/>
          <w:sz w:val="24"/>
          <w:szCs w:val="24"/>
        </w:rPr>
      </w:pPr>
      <w:r>
        <w:rPr>
          <w:rFonts w:hint="eastAsia" w:ascii="宋体" w:hAnsi="宋体" w:cs="宋体"/>
          <w:spacing w:val="7"/>
          <w:sz w:val="24"/>
          <w:szCs w:val="24"/>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508"/>
        <w:spacing w:line="440" w:lineRule="exact"/>
        <w:rPr>
          <w:rFonts w:hint="eastAsia" w:ascii="宋体" w:hAnsi="宋体" w:cs="宋体"/>
          <w:spacing w:val="7"/>
          <w:sz w:val="24"/>
          <w:szCs w:val="24"/>
        </w:rPr>
      </w:pPr>
      <w:r>
        <w:rPr>
          <w:rFonts w:hint="eastAsia" w:ascii="宋体" w:hAnsi="宋体" w:cs="宋体"/>
          <w:spacing w:val="7"/>
          <w:sz w:val="24"/>
          <w:szCs w:val="24"/>
        </w:rPr>
        <w:t xml:space="preserve">中标、成交供应商为残疾人福利性单位的，采购人或者其委托的采购代理机构应当随中标、成交结果同时公告其《残疾人福利性单位声明函》，接受社会监督。</w:t>
      </w:r>
      <w:r/>
    </w:p>
    <w:p>
      <w:pPr>
        <w:ind w:firstLine="508"/>
        <w:spacing w:line="440" w:lineRule="exact"/>
        <w:rPr>
          <w:rFonts w:hint="eastAsia" w:ascii="宋体" w:hAnsi="宋体" w:cs="宋体"/>
          <w:spacing w:val="7"/>
          <w:sz w:val="24"/>
          <w:szCs w:val="24"/>
        </w:rPr>
      </w:pPr>
      <w:r>
        <w:rPr>
          <w:rFonts w:hint="eastAsia" w:ascii="宋体" w:hAnsi="宋体" w:cs="宋体"/>
          <w:spacing w:val="7"/>
          <w:sz w:val="24"/>
          <w:szCs w:val="24"/>
        </w:rPr>
        <w:t xml:space="preserve">注：投标人如不提供以上声明函的，不得享受相关政府采购政策。</w:t>
      </w:r>
      <w:r/>
    </w:p>
    <w:p>
      <w:pPr>
        <w:ind w:firstLine="508"/>
        <w:spacing w:line="440" w:lineRule="exact"/>
        <w:rPr>
          <w:rFonts w:hint="eastAsia" w:ascii="宋体" w:hAnsi="宋体" w:cs="宋体"/>
          <w:spacing w:val="7"/>
          <w:sz w:val="24"/>
          <w:szCs w:val="24"/>
        </w:rPr>
      </w:pPr>
      <w:r>
        <w:rPr>
          <w:rFonts w:hint="eastAsia" w:ascii="宋体" w:hAnsi="宋体" w:cs="宋体"/>
          <w:spacing w:val="7"/>
          <w:sz w:val="24"/>
          <w:szCs w:val="24"/>
        </w:rPr>
        <w:t xml:space="preserve">（3）根据《关于政府采购支持监狱企业发展有关问题的通知》（财库〔2014〕68号）的通知规定：</w:t>
      </w:r>
      <w:r/>
    </w:p>
    <w:p>
      <w:pPr>
        <w:ind w:firstLine="508"/>
        <w:spacing w:line="440" w:lineRule="exact"/>
        <w:rPr>
          <w:rFonts w:hint="eastAsia" w:ascii="宋体" w:hAnsi="宋体" w:cs="宋体"/>
          <w:spacing w:val="7"/>
          <w:sz w:val="24"/>
          <w:szCs w:val="24"/>
        </w:rPr>
      </w:pPr>
      <w:r>
        <w:rPr>
          <w:rFonts w:hint="eastAsia" w:ascii="宋体" w:hAnsi="宋体" w:cs="宋体"/>
          <w:spacing w:val="7"/>
          <w:sz w:val="24"/>
          <w:szCs w:val="24"/>
        </w:rPr>
        <w:t xml:space="preserve">在政府采购活动中，监狱企业视同小型、微型企业，享受预留份额、评审中价格扣除等促进中小企业发展的政府采购政策。监狱企业属于小型、微型企业的，不重复享受政策。</w:t>
      </w:r>
      <w:r/>
    </w:p>
    <w:p>
      <w:pPr>
        <w:ind w:firstLine="508"/>
        <w:spacing w:line="440" w:lineRule="exact"/>
        <w:rPr>
          <w:rFonts w:hint="eastAsia" w:ascii="宋体" w:hAnsi="宋体" w:cs="宋体"/>
          <w:spacing w:val="7"/>
          <w:sz w:val="24"/>
          <w:szCs w:val="24"/>
        </w:rPr>
      </w:pPr>
      <w:r>
        <w:rPr>
          <w:rFonts w:hint="eastAsia" w:ascii="宋体" w:hAnsi="宋体" w:cs="宋体"/>
          <w:spacing w:val="7"/>
          <w:sz w:val="24"/>
          <w:szCs w:val="24"/>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508"/>
        <w:jc w:val="left"/>
        <w:spacing w:line="400" w:lineRule="exact"/>
        <w:rPr>
          <w:rFonts w:hint="eastAsia" w:ascii="宋体" w:hAnsi="宋体" w:cs="宋体"/>
          <w:spacing w:val="7"/>
          <w:sz w:val="24"/>
          <w:szCs w:val="24"/>
        </w:rPr>
      </w:pPr>
      <w:r>
        <w:rPr>
          <w:rFonts w:hint="eastAsia" w:ascii="宋体" w:hAnsi="宋体" w:cs="宋体"/>
          <w:spacing w:val="7"/>
          <w:sz w:val="24"/>
          <w:szCs w:val="24"/>
        </w:rPr>
        <w:t xml:space="preserve">注：投标人如不提供以上证明材料的，不得享受相关政府采购政策。</w:t>
      </w:r>
      <w:r/>
    </w:p>
    <w:p>
      <w:pPr>
        <w:ind w:firstLine="510"/>
        <w:spacing w:line="440" w:lineRule="exact"/>
        <w:rPr>
          <w:rFonts w:hint="eastAsia" w:ascii="宋体" w:hAnsi="宋体" w:cs="宋体"/>
          <w:b/>
          <w:bCs/>
          <w:spacing w:val="7"/>
          <w:sz w:val="24"/>
          <w:szCs w:val="24"/>
        </w:rPr>
      </w:pPr>
      <w:r>
        <w:rPr>
          <w:rFonts w:hint="eastAsia" w:ascii="宋体" w:hAnsi="宋体" w:cs="宋体"/>
          <w:b/>
          <w:bCs/>
          <w:spacing w:val="7"/>
          <w:sz w:val="24"/>
          <w:szCs w:val="24"/>
        </w:rPr>
        <w:t xml:space="preserve">3、采购本国产品的支持政策 </w:t>
      </w:r>
      <w:r/>
    </w:p>
    <w:p>
      <w:pPr>
        <w:ind w:firstLine="508"/>
        <w:spacing w:line="440" w:lineRule="exact"/>
        <w:rPr>
          <w:rFonts w:ascii="Times New Roman" w:hAnsi="Times New Roman"/>
          <w:spacing w:val="7"/>
          <w:sz w:val="24"/>
          <w:szCs w:val="24"/>
        </w:rPr>
      </w:pPr>
      <w:r>
        <w:rPr>
          <w:rFonts w:hint="eastAsia" w:ascii="Times New Roman" w:hAnsi="Times New Roman"/>
          <w:spacing w:val="7"/>
          <w:sz w:val="24"/>
          <w:szCs w:val="24"/>
        </w:rPr>
        <w:t xml:space="preserve">（1）本项目政府采购活动中既有本国产品又有非本国产品参与竞争的，依法对本国产品给予价格评审优惠，对本国产品的报价给予20%的价格扣除，用扣除后的价格参与评审。在分产品的中国境内生产组件成本占比要求，以及对特定产品关键组件、关键工序的相关要求实施前，只要是符合在中国境内生产要求的产品，在政府采购活动中即视同本国产品。</w:t>
      </w:r>
      <w:r/>
    </w:p>
    <w:p>
      <w:pPr>
        <w:ind w:firstLine="508"/>
        <w:spacing w:line="440" w:lineRule="exact"/>
        <w:rPr>
          <w:rFonts w:ascii="Times New Roman" w:hAnsi="Times New Roman"/>
          <w:spacing w:val="7"/>
          <w:sz w:val="24"/>
          <w:szCs w:val="24"/>
        </w:rPr>
      </w:pPr>
      <w:r>
        <w:rPr>
          <w:rFonts w:hint="eastAsia" w:ascii="Times New Roman" w:hAnsi="Times New Roman"/>
          <w:spacing w:val="7"/>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 ”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08"/>
        <w:spacing w:line="440" w:lineRule="exact"/>
        <w:rPr>
          <w:rFonts w:ascii="Times New Roman" w:hAnsi="Times New Roman"/>
          <w:spacing w:val="7"/>
          <w:sz w:val="24"/>
          <w:szCs w:val="24"/>
        </w:rPr>
      </w:pPr>
      <w:r>
        <w:rPr>
          <w:rFonts w:hint="eastAsia" w:ascii="Times New Roman" w:hAnsi="Times New Roman"/>
          <w:spacing w:val="7"/>
          <w:sz w:val="24"/>
          <w:szCs w:val="24"/>
        </w:rPr>
        <w:t xml:space="preserve">（3）供应商需按照招标文件的要求提供《关于符合本国产品标准的声明函》（以下简称《声明函》），如不提供将不享受本国产品价格评审优惠。</w:t>
      </w:r>
      <w:r/>
    </w:p>
    <w:p>
      <w:pPr>
        <w:ind w:firstLine="508"/>
        <w:spacing w:line="440" w:lineRule="exact"/>
        <w:rPr>
          <w:rFonts w:ascii="Times New Roman" w:hAnsi="Times New Roman"/>
          <w:spacing w:val="7"/>
          <w:sz w:val="24"/>
          <w:szCs w:val="24"/>
        </w:rPr>
      </w:pPr>
      <w:r>
        <w:rPr>
          <w:rFonts w:hint="eastAsia" w:ascii="Times New Roman" w:hAnsi="Times New Roman"/>
          <w:spacing w:val="7"/>
          <w:sz w:val="24"/>
          <w:szCs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08"/>
        <w:spacing w:line="440" w:lineRule="exact"/>
        <w:rPr>
          <w:rFonts w:ascii="Times New Roman" w:hAnsi="Times New Roman"/>
          <w:spacing w:val="7"/>
          <w:sz w:val="24"/>
          <w:szCs w:val="24"/>
        </w:rPr>
      </w:pPr>
      <w:r>
        <w:rPr>
          <w:rFonts w:hint="eastAsia" w:ascii="Times New Roman" w:hAnsi="Times New Roman"/>
          <w:spacing w:val="7"/>
          <w:sz w:val="24"/>
          <w:szCs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cs="宋体"/>
          <w:spacing w:val="7"/>
          <w:sz w:val="24"/>
          <w:szCs w:val="24"/>
        </w:rPr>
      </w:pPr>
      <w:r>
        <w:rPr>
          <w:rFonts w:hint="eastAsia" w:ascii="宋体" w:hAnsi="宋体" w:cs="宋体"/>
          <w:spacing w:val="7"/>
          <w:sz w:val="24"/>
          <w:szCs w:val="24"/>
        </w:rPr>
      </w:r>
      <w:r/>
    </w:p>
    <w:p>
      <w:pPr>
        <w:ind w:firstLine="482"/>
        <w:keepLines/>
        <w:keepNext/>
        <w:spacing w:line="440" w:lineRule="exact"/>
        <w:rPr>
          <w:rFonts w:hint="eastAsia" w:ascii="宋体" w:hAnsi="宋体"/>
          <w:b/>
          <w:sz w:val="24"/>
          <w:szCs w:val="24"/>
        </w:rPr>
      </w:pPr>
      <w:r>
        <w:rPr>
          <w:rFonts w:hint="eastAsia"/>
          <w:b/>
          <w:bCs/>
          <w:spacing w:val="7"/>
          <w:sz w:val="24"/>
          <w:szCs w:val="24"/>
        </w:rPr>
        <w:t xml:space="preserve">二、评标标准</w:t>
      </w:r>
      <w:r/>
    </w:p>
    <w:p>
      <w:pPr>
        <w:ind w:firstLine="538"/>
        <w:jc w:val="left"/>
        <w:spacing w:before="79" w:line="360" w:lineRule="auto"/>
        <w:widowControl/>
        <w:rPr>
          <w:rFonts w:hint="eastAsia" w:ascii="宋体" w:hAnsi="宋体"/>
          <w:b/>
          <w:sz w:val="24"/>
          <w:szCs w:val="24"/>
        </w:rPr>
      </w:pPr>
      <w:r>
        <w:rPr>
          <w:rFonts w:ascii="宋体" w:hAnsi="宋体"/>
          <w:b/>
          <w:sz w:val="24"/>
          <w:szCs w:val="24"/>
        </w:rPr>
        <w:t xml:space="preserve">1价格分</w:t>
      </w:r>
      <w:r>
        <w:rPr>
          <w:rFonts w:hint="eastAsia" w:ascii="宋体" w:hAnsi="宋体"/>
          <w:b/>
          <w:sz w:val="24"/>
          <w:szCs w:val="24"/>
        </w:rPr>
        <w:t xml:space="preserve">40.0</w:t>
      </w:r>
      <w:r>
        <w:rPr>
          <w:rFonts w:ascii="宋体" w:hAnsi="宋体"/>
          <w:b/>
          <w:sz w:val="24"/>
          <w:szCs w:val="24"/>
        </w:rPr>
        <w:t xml:space="preserve">分</w:t>
      </w:r>
      <w:r/>
    </w:p>
    <w:p>
      <w:pPr>
        <w:ind w:left="22" w:right="118" w:firstLine="497"/>
        <w:jc w:val="left"/>
        <w:spacing w:before="200" w:line="360" w:lineRule="auto"/>
        <w:widowControl/>
        <w:rPr>
          <w:rFonts w:hint="eastAsia" w:ascii="宋体" w:hAnsi="宋体"/>
          <w:spacing w:val="13"/>
          <w:sz w:val="24"/>
          <w:szCs w:val="24"/>
        </w:rPr>
      </w:pPr>
      <w:r/>
      <w:bookmarkStart w:id="175" w:name="OLE_LINK1"/>
      <w:r>
        <w:rPr>
          <w:rFonts w:ascii="宋体" w:hAnsi="宋体"/>
          <w:spacing w:val="13"/>
          <w:sz w:val="24"/>
          <w:szCs w:val="24"/>
        </w:rPr>
        <w:t xml:space="preserve">采用低价优先法计算，即满足招标文件要求且投标价格最低的投标价为评</w:t>
      </w:r>
      <w:r>
        <w:rPr>
          <w:rFonts w:ascii="宋体" w:hAnsi="宋体"/>
          <w:spacing w:val="3"/>
          <w:sz w:val="24"/>
          <w:szCs w:val="24"/>
        </w:rPr>
        <w:t xml:space="preserve">标基准价，其价格分为满分</w:t>
      </w:r>
      <w:r>
        <w:rPr>
          <w:rFonts w:hint="eastAsia" w:ascii="宋体" w:hAnsi="宋体"/>
          <w:spacing w:val="3"/>
          <w:sz w:val="24"/>
          <w:szCs w:val="24"/>
        </w:rPr>
        <w:t xml:space="preserve">40</w:t>
      </w:r>
      <w:r>
        <w:rPr>
          <w:rFonts w:ascii="宋体" w:hAnsi="宋体"/>
          <w:spacing w:val="3"/>
          <w:sz w:val="24"/>
          <w:szCs w:val="24"/>
        </w:rPr>
        <w:t xml:space="preserve">.0分。其他投标人的价格分统一按照下列公式计</w:t>
      </w:r>
      <w:r>
        <w:rPr>
          <w:rFonts w:ascii="宋体" w:hAnsi="宋体"/>
          <w:spacing w:val="-13"/>
          <w:sz w:val="24"/>
          <w:szCs w:val="24"/>
        </w:rPr>
        <w:t xml:space="preserve">算：</w:t>
      </w:r>
      <w:r/>
    </w:p>
    <w:p>
      <w:pPr>
        <w:ind w:firstLine="523"/>
        <w:jc w:val="left"/>
        <w:spacing w:before="199" w:line="360" w:lineRule="auto"/>
        <w:widowControl/>
        <w:rPr>
          <w:rFonts w:hint="eastAsia" w:ascii="宋体" w:hAnsi="宋体"/>
          <w:spacing w:val="4"/>
          <w:sz w:val="24"/>
          <w:szCs w:val="24"/>
        </w:rPr>
      </w:pPr>
      <w:r>
        <w:rPr>
          <w:rFonts w:ascii="宋体" w:hAnsi="宋体"/>
          <w:spacing w:val="4"/>
          <w:sz w:val="24"/>
          <w:szCs w:val="24"/>
        </w:rPr>
        <w:t xml:space="preserve">投标报价得分=（评标基准价/投标报价）*</w:t>
      </w:r>
      <w:r>
        <w:rPr>
          <w:rFonts w:hint="eastAsia" w:ascii="宋体" w:hAnsi="宋体"/>
          <w:spacing w:val="4"/>
          <w:sz w:val="24"/>
          <w:szCs w:val="24"/>
        </w:rPr>
        <w:t xml:space="preserve">40</w:t>
      </w:r>
      <w:r>
        <w:rPr>
          <w:rFonts w:ascii="宋体" w:hAnsi="宋体"/>
          <w:spacing w:val="4"/>
          <w:sz w:val="24"/>
          <w:szCs w:val="24"/>
        </w:rPr>
        <w:t xml:space="preserve">.0%*100（保留二位小数</w:t>
      </w:r>
      <w:r>
        <w:rPr>
          <w:rFonts w:ascii="宋体" w:hAnsi="宋体"/>
          <w:spacing w:val="-55"/>
          <w:sz w:val="24"/>
          <w:szCs w:val="24"/>
        </w:rPr>
        <w:t xml:space="preserve">）；</w:t>
      </w:r>
      <w:bookmarkEnd w:id="175"/>
      <w:r/>
      <w:r/>
    </w:p>
    <w:p>
      <w:pPr>
        <w:ind w:firstLine="523"/>
        <w:jc w:val="left"/>
        <w:spacing w:before="79" w:line="360" w:lineRule="auto"/>
        <w:widowControl/>
        <w:rPr>
          <w:rFonts w:hint="eastAsia" w:ascii="宋体" w:hAnsi="宋体"/>
          <w:b/>
          <w:spacing w:val="5"/>
          <w:sz w:val="24"/>
          <w:szCs w:val="24"/>
          <w:highlight w:val="none"/>
        </w:rPr>
        <w:outlineLvl w:val="0"/>
      </w:pPr>
      <w:r>
        <w:rPr>
          <w:rFonts w:ascii="宋体" w:hAnsi="宋体"/>
          <w:b/>
          <w:spacing w:val="5"/>
          <w:sz w:val="24"/>
          <w:szCs w:val="24"/>
          <w:highlight w:val="none"/>
        </w:rPr>
        <w:t xml:space="preserve">2性能</w:t>
      </w:r>
      <w:r>
        <w:rPr>
          <w:rFonts w:hint="eastAsia" w:ascii="宋体" w:hAnsi="宋体"/>
          <w:b/>
          <w:spacing w:val="5"/>
          <w:sz w:val="24"/>
          <w:szCs w:val="24"/>
          <w:highlight w:val="none"/>
        </w:rPr>
        <w:t xml:space="preserve">质量和技术指标</w:t>
      </w:r>
      <w:r>
        <w:rPr>
          <w:rFonts w:ascii="宋体" w:hAnsi="宋体"/>
          <w:b/>
          <w:spacing w:val="5"/>
          <w:sz w:val="24"/>
          <w:szCs w:val="24"/>
          <w:highlight w:val="none"/>
        </w:rPr>
        <w:t xml:space="preserve">分</w:t>
      </w:r>
      <w:r>
        <w:rPr>
          <w:rFonts w:hint="eastAsia" w:ascii="宋体" w:hAnsi="宋体"/>
          <w:b/>
          <w:spacing w:val="5"/>
          <w:sz w:val="24"/>
          <w:szCs w:val="24"/>
          <w:highlight w:val="none"/>
        </w:rPr>
        <w:t xml:space="preserve">30</w:t>
      </w:r>
      <w:r>
        <w:rPr>
          <w:rFonts w:ascii="宋体" w:hAnsi="宋体"/>
          <w:b/>
          <w:spacing w:val="5"/>
          <w:sz w:val="24"/>
          <w:szCs w:val="24"/>
          <w:highlight w:val="none"/>
        </w:rPr>
        <w:t xml:space="preserve">.0分</w:t>
      </w:r>
      <w:r/>
    </w:p>
    <w:p>
      <w:pPr>
        <w:pStyle w:val="817"/>
        <w:rPr>
          <w:rFonts w:hint="eastAsia"/>
        </w:rPr>
      </w:pPr>
      <w:r>
        <w:t xml:space="preserve">根据投标人提供的物品性能质量、技术指标和系统功能要求进行评定，技术要求中标注“▲”的为重要指标项(共 10条)，有1项负偏离减</w:t>
      </w:r>
      <w:r>
        <w:rPr>
          <w:rFonts w:hint="eastAsia"/>
        </w:rPr>
        <w:t xml:space="preserve">2</w:t>
      </w:r>
      <w:r>
        <w:t xml:space="preserve">分，技术要求中标注“◆”的为一般指标项(共 </w:t>
      </w:r>
      <w:r>
        <w:rPr>
          <w:rFonts w:hint="eastAsia"/>
        </w:rPr>
        <w:t xml:space="preserve">1</w:t>
      </w:r>
      <w:r>
        <w:t xml:space="preserve">00条)，有1项负偏离减 0.1分。(“▲”为重要指标项，须在响应文件中提供第三方检测机构出具的合格的检验报告或功能截图等相关证明材料，未按要求提供的视为负偏离)</w:t>
      </w:r>
      <w:r/>
    </w:p>
    <w:p>
      <w:pPr>
        <w:pStyle w:val="1105"/>
        <w:ind w:firstLine="500"/>
        <w:spacing w:line="440" w:lineRule="exact"/>
        <w:rPr>
          <w:rFonts w:hint="eastAsia" w:ascii="宋体" w:hAnsi="宋体" w:eastAsia="宋体" w:cs="宋体"/>
          <w:b/>
          <w:spacing w:val="7"/>
          <w:sz w:val="24"/>
          <w:szCs w:val="24"/>
          <w:highlight w:val="none"/>
          <w:lang w:val="en-US" w:eastAsia="zh-CN" w:bidi="ar-SA"/>
        </w:rPr>
      </w:pPr>
      <w:r/>
      <w:bookmarkStart w:id="176" w:name="EB5003b8401c234a0bb384207e4933917f"/>
      <w:r/>
      <w:bookmarkEnd w:id="176"/>
      <w:r>
        <w:rPr>
          <w:rFonts w:hint="eastAsia" w:ascii="宋体" w:hAnsi="宋体" w:eastAsia="宋体" w:cs="宋体"/>
          <w:b/>
          <w:spacing w:val="7"/>
          <w:sz w:val="24"/>
          <w:szCs w:val="24"/>
          <w:highlight w:val="none"/>
          <w:lang w:val="en-US" w:eastAsia="zh-CN" w:bidi="ar-SA"/>
        </w:rPr>
        <w:t xml:space="preserve">3 技术设计及实施方案分16.0分</w:t>
      </w:r>
      <w:r/>
    </w:p>
    <w:p>
      <w:pPr>
        <w:pStyle w:val="1105"/>
        <w:ind w:firstLine="500"/>
        <w:spacing w:line="440" w:lineRule="exact"/>
        <w:rPr>
          <w:rFonts w:hint="eastAsia" w:ascii="宋体" w:hAnsi="宋体" w:eastAsia="宋体" w:cs="宋体"/>
          <w:spacing w:val="7"/>
          <w:highlight w:val="none"/>
        </w:rPr>
      </w:pPr>
      <w:r>
        <w:rPr>
          <w:rFonts w:hint="eastAsia" w:ascii="宋体" w:hAnsi="宋体" w:eastAsia="宋体" w:cs="宋体"/>
          <w:spacing w:val="7"/>
          <w:highlight w:val="none"/>
        </w:rPr>
        <w:t xml:space="preserve">3.1.技术方案</w:t>
      </w:r>
      <w:r/>
    </w:p>
    <w:p>
      <w:pPr>
        <w:pStyle w:val="1105"/>
        <w:ind w:firstLine="500"/>
        <w:spacing w:line="440" w:lineRule="exact"/>
        <w:rPr>
          <w:rFonts w:hint="eastAsia" w:ascii="宋体" w:hAnsi="宋体" w:eastAsia="宋体" w:cs="宋体"/>
          <w:spacing w:val="7"/>
          <w:highlight w:val="none"/>
        </w:rPr>
      </w:pPr>
      <w:r>
        <w:rPr>
          <w:rFonts w:hint="eastAsia" w:ascii="宋体" w:hAnsi="宋体" w:eastAsia="宋体" w:cs="宋体"/>
          <w:spacing w:val="7"/>
          <w:highlight w:val="none"/>
        </w:rPr>
        <w:t xml:space="preserve">技术方案应至少包含：建设目标、实施依据、总体规划、各系统规划（包括：系统图、详细技术方案）等评定，方案完全包含上述内容且内容有实质性意义满足项目需求的，得6分；方案内有部分缺少或部分内容无实质性意义，但缺少量不满2项上述内容的，得4分；方案内有缺少或部分内容无实质性意义，缺少量大于等于2项上述内容的，只能满足基本要求的，得2分；方案内容无实质性意义或未提供方案说明的，不得分。</w:t>
      </w:r>
      <w:r/>
    </w:p>
    <w:p>
      <w:pPr>
        <w:pStyle w:val="1105"/>
        <w:ind w:firstLine="500"/>
        <w:spacing w:line="440" w:lineRule="exact"/>
        <w:rPr>
          <w:rFonts w:hint="eastAsia" w:ascii="宋体" w:hAnsi="宋体" w:eastAsia="宋体" w:cs="宋体"/>
          <w:spacing w:val="7"/>
          <w:highlight w:val="none"/>
        </w:rPr>
      </w:pPr>
      <w:r>
        <w:rPr>
          <w:rFonts w:hint="eastAsia" w:ascii="宋体" w:hAnsi="宋体" w:eastAsia="宋体" w:cs="宋体"/>
          <w:spacing w:val="7"/>
          <w:highlight w:val="none"/>
        </w:rPr>
        <w:t xml:space="preserve">3.2.实施方案</w:t>
      </w:r>
      <w:r/>
    </w:p>
    <w:p>
      <w:pPr>
        <w:pStyle w:val="1105"/>
        <w:ind w:firstLine="500"/>
        <w:spacing w:line="440" w:lineRule="exact"/>
        <w:rPr>
          <w:rFonts w:hint="eastAsia" w:ascii="宋体" w:hAnsi="宋体" w:eastAsia="宋体" w:cs="宋体"/>
          <w:spacing w:val="7"/>
          <w:highlight w:val="none"/>
        </w:rPr>
      </w:pPr>
      <w:r>
        <w:rPr>
          <w:rFonts w:hint="eastAsia" w:ascii="宋体" w:hAnsi="宋体" w:eastAsia="宋体" w:cs="宋体"/>
          <w:spacing w:val="7"/>
          <w:highlight w:val="none"/>
        </w:rPr>
        <w:t xml:space="preserve">实施方案应至少包含：设备供货计划、施工进度计划、管理人员投入计划、质量保证措施、施工安全措施、培训计划。方案完全包含上述内容且内容有实质性意义满足项目需求的，得5分；方案内有部分缺少或部分内容无实质性意义，但缺少量不满2项上述内容的，得3分；方案内有缺少或部分内容无实质性意义，缺少量大于等于2项上述内容的，只能满足基本要求的，得1分；方案内容无实质性意义或未提供方案说明的，不得分。</w:t>
      </w:r>
      <w:r/>
    </w:p>
    <w:p>
      <w:pPr>
        <w:pStyle w:val="1105"/>
        <w:ind w:firstLine="500"/>
        <w:spacing w:line="440" w:lineRule="exact"/>
        <w:rPr>
          <w:rFonts w:hint="eastAsia" w:ascii="宋体" w:hAnsi="宋体" w:eastAsia="宋体" w:cs="宋体"/>
          <w:spacing w:val="7"/>
          <w:highlight w:val="none"/>
        </w:rPr>
      </w:pPr>
      <w:r>
        <w:rPr>
          <w:rFonts w:hint="eastAsia" w:ascii="宋体" w:hAnsi="宋体" w:eastAsia="宋体" w:cs="宋体"/>
          <w:spacing w:val="7"/>
          <w:highlight w:val="none"/>
        </w:rPr>
        <w:t xml:space="preserve">3.3.售后服务方案</w:t>
      </w:r>
      <w:r/>
    </w:p>
    <w:p>
      <w:pPr>
        <w:pStyle w:val="1105"/>
        <w:ind w:firstLine="500"/>
        <w:spacing w:line="440" w:lineRule="exact"/>
        <w:rPr>
          <w:rFonts w:hint="eastAsia" w:ascii="宋体" w:hAnsi="宋体" w:eastAsia="宋体" w:cs="宋体"/>
          <w:spacing w:val="7"/>
          <w:highlight w:val="none"/>
        </w:rPr>
      </w:pPr>
      <w:r>
        <w:rPr>
          <w:rFonts w:hint="eastAsia" w:ascii="宋体" w:hAnsi="宋体" w:eastAsia="宋体" w:cs="宋体"/>
          <w:spacing w:val="7"/>
          <w:highlight w:val="none"/>
        </w:rPr>
        <w:t xml:space="preserve">售后服务方案应至少包含：服务计划、人员安排、服务承诺及服务方式（包含保修期内、保修期外的服务）、维保应急方案。方案完全包含上述内容且内容有实质性意义满足项目需求的，得5分；方案内有部分缺少或部分内容无实质性意义，但缺少量不满2项上述内容的，得3分；方案内有缺少或部分内容无实质性意义，缺少量大于等于2项上述内容的，只能满足基本要求的，得1分；方案内容无实质性意义或未提供方案说明的，不得分。</w:t>
      </w:r>
      <w:r/>
    </w:p>
    <w:p>
      <w:pPr>
        <w:pStyle w:val="1038"/>
        <w:ind w:firstLine="500"/>
        <w:spacing w:line="440" w:lineRule="exact"/>
        <w:rPr>
          <w:rFonts w:hint="eastAsia" w:ascii="宋体" w:hAnsi="宋体" w:eastAsia="宋体" w:cs="宋体"/>
          <w:b/>
          <w:spacing w:val="7"/>
        </w:rPr>
      </w:pPr>
      <w:r>
        <w:rPr>
          <w:rFonts w:hint="eastAsia" w:ascii="宋体" w:hAnsi="宋体" w:eastAsia="宋体" w:cs="宋体"/>
          <w:b/>
          <w:spacing w:val="7"/>
        </w:rPr>
        <w:t xml:space="preserve">4</w:t>
      </w:r>
      <w:r>
        <w:rPr>
          <w:rFonts w:ascii="宋体" w:hAnsi="宋体" w:eastAsia="宋体" w:cs="宋体"/>
          <w:b/>
          <w:spacing w:val="7"/>
        </w:rPr>
        <w:t xml:space="preserve"> 人员配置 </w:t>
      </w:r>
      <w:r>
        <w:rPr>
          <w:rFonts w:hint="eastAsia" w:ascii="宋体" w:hAnsi="宋体" w:eastAsia="宋体" w:cs="宋体"/>
          <w:b/>
          <w:spacing w:val="7"/>
        </w:rPr>
        <w:t xml:space="preserve">9</w:t>
      </w:r>
      <w:r>
        <w:rPr>
          <w:rFonts w:ascii="宋体" w:hAnsi="宋体" w:eastAsia="宋体" w:cs="宋体"/>
          <w:b/>
          <w:spacing w:val="7"/>
        </w:rPr>
        <w:t xml:space="preserve">分</w:t>
      </w:r>
      <w:r/>
    </w:p>
    <w:p>
      <w:pPr>
        <w:pStyle w:val="1039"/>
        <w:ind w:firstLine="500"/>
        <w:spacing w:line="440" w:lineRule="exact"/>
        <w:rPr>
          <w:rFonts w:hint="eastAsia" w:ascii="宋体" w:hAnsi="宋体" w:eastAsia="宋体" w:cs="宋体"/>
          <w:spacing w:val="7"/>
          <w:lang w:eastAsia="zh-CN"/>
        </w:rPr>
      </w:pPr>
      <w:r>
        <w:rPr>
          <w:rFonts w:hint="eastAsia" w:ascii="宋体" w:hAnsi="宋体" w:eastAsia="宋体" w:cs="宋体"/>
          <w:spacing w:val="7"/>
        </w:rPr>
        <w:t xml:space="preserve">4</w:t>
      </w:r>
      <w:r>
        <w:rPr>
          <w:rFonts w:ascii="宋体" w:hAnsi="宋体" w:eastAsia="宋体" w:cs="宋体"/>
          <w:spacing w:val="7"/>
        </w:rPr>
        <w:t xml:space="preserve">.</w:t>
      </w:r>
      <w:r>
        <w:rPr>
          <w:rFonts w:hint="eastAsia" w:ascii="宋体" w:hAnsi="宋体" w:eastAsia="宋体" w:cs="宋体"/>
          <w:spacing w:val="7"/>
        </w:rPr>
        <w:t xml:space="preserve">1</w:t>
      </w:r>
      <w:r>
        <w:rPr>
          <w:rFonts w:ascii="宋体" w:hAnsi="宋体" w:eastAsia="宋体" w:cs="宋体"/>
          <w:spacing w:val="7"/>
        </w:rPr>
        <w:t xml:space="preserve"> 项目</w:t>
      </w:r>
      <w:r>
        <w:rPr>
          <w:rFonts w:hint="eastAsia" w:ascii="宋体" w:hAnsi="宋体" w:eastAsia="宋体" w:cs="宋体"/>
          <w:spacing w:val="7"/>
        </w:rPr>
        <w:t xml:space="preserve">经理</w:t>
      </w:r>
      <w:r/>
    </w:p>
    <w:p>
      <w:pPr>
        <w:pStyle w:val="1039"/>
        <w:ind w:firstLine="500"/>
        <w:spacing w:line="440" w:lineRule="exact"/>
        <w:rPr>
          <w:rFonts w:hint="eastAsia" w:ascii="宋体" w:hAnsi="宋体" w:eastAsia="宋体" w:cs="宋体"/>
          <w:spacing w:val="7"/>
        </w:rPr>
      </w:pPr>
      <w:r>
        <w:rPr>
          <w:rFonts w:ascii="宋体" w:hAnsi="宋体" w:eastAsia="宋体" w:cs="宋体"/>
          <w:spacing w:val="7"/>
        </w:rPr>
        <w:t xml:space="preserve">投标人投入本项目的项目</w:t>
      </w:r>
      <w:r>
        <w:rPr>
          <w:rFonts w:hint="eastAsia" w:ascii="宋体" w:hAnsi="宋体" w:eastAsia="宋体" w:cs="宋体"/>
          <w:spacing w:val="7"/>
        </w:rPr>
        <w:t xml:space="preserve">经理</w:t>
      </w:r>
      <w:r>
        <w:rPr>
          <w:rFonts w:hint="eastAsia" w:ascii="宋体" w:hAnsi="宋体" w:eastAsia="宋体" w:cs="宋体"/>
          <w:spacing w:val="7"/>
          <w:lang w:eastAsia="zh-CN"/>
        </w:rPr>
        <w:t xml:space="preserve">（</w:t>
      </w:r>
      <w:r>
        <w:rPr>
          <w:rFonts w:hint="eastAsia" w:ascii="宋体" w:hAnsi="宋体" w:eastAsia="宋体" w:cs="宋体"/>
          <w:spacing w:val="7"/>
          <w:lang w:val="en-US" w:eastAsia="zh-CN"/>
        </w:rPr>
        <w:t xml:space="preserve">1人</w:t>
      </w:r>
      <w:r>
        <w:rPr>
          <w:rFonts w:hint="eastAsia" w:ascii="宋体" w:hAnsi="宋体" w:eastAsia="宋体" w:cs="宋体"/>
          <w:spacing w:val="7"/>
          <w:lang w:eastAsia="zh-CN"/>
        </w:rPr>
        <w:t xml:space="preserve">）</w:t>
      </w:r>
      <w:r>
        <w:rPr>
          <w:rFonts w:ascii="宋体" w:hAnsi="宋体" w:eastAsia="宋体" w:cs="宋体"/>
          <w:spacing w:val="7"/>
        </w:rPr>
        <w:t xml:space="preserve">具有安防系统集成项目经理（高级）证书、高级工程师证书、信息安全工程师证书的，有一个证书得</w:t>
      </w:r>
      <w:r>
        <w:rPr>
          <w:rFonts w:hint="eastAsia" w:ascii="宋体" w:hAnsi="宋体" w:eastAsia="宋体" w:cs="宋体"/>
          <w:spacing w:val="7"/>
        </w:rPr>
        <w:t xml:space="preserve">1</w:t>
      </w:r>
      <w:r>
        <w:rPr>
          <w:rFonts w:ascii="宋体" w:hAnsi="宋体" w:eastAsia="宋体" w:cs="宋体"/>
          <w:spacing w:val="7"/>
        </w:rPr>
        <w:t xml:space="preserve">分，本项最多得3分。（项目经理</w:t>
      </w:r>
      <w:r>
        <w:rPr>
          <w:rFonts w:ascii="宋体" w:hAnsi="宋体" w:eastAsia="宋体" w:cs="宋体"/>
          <w:spacing w:val="7"/>
        </w:rPr>
        <w:t xml:space="preserve">不可兼任；请在投标文件中提供相关证书</w:t>
      </w:r>
      <w:r>
        <w:rPr>
          <w:rFonts w:hint="eastAsia" w:ascii="宋体" w:hAnsi="宋体" w:eastAsia="宋体" w:cs="宋体"/>
          <w:spacing w:val="7"/>
        </w:rPr>
        <w:t xml:space="preserve">，并</w:t>
      </w:r>
      <w:r>
        <w:rPr>
          <w:rFonts w:hint="eastAsia" w:ascii="宋体" w:hAnsi="宋体" w:eastAsia="宋体"/>
          <w:spacing w:val="13"/>
        </w:rPr>
        <w:t xml:space="preserve">附该员工的社保缴费证明材料</w:t>
      </w:r>
      <w:r>
        <w:rPr>
          <w:rFonts w:ascii="宋体" w:hAnsi="宋体" w:eastAsia="宋体" w:cs="宋体"/>
          <w:spacing w:val="7"/>
        </w:rPr>
        <w:t xml:space="preserve">，不提供的不得分）</w:t>
      </w:r>
      <w:r/>
    </w:p>
    <w:p>
      <w:pPr>
        <w:pStyle w:val="1039"/>
        <w:ind w:firstLine="500"/>
        <w:spacing w:line="440" w:lineRule="exact"/>
        <w:rPr>
          <w:rFonts w:hint="eastAsia" w:ascii="宋体" w:hAnsi="宋体" w:eastAsia="宋体" w:cs="宋体"/>
          <w:spacing w:val="7"/>
        </w:rPr>
      </w:pPr>
      <w:r>
        <w:rPr>
          <w:rFonts w:hint="eastAsia" w:ascii="宋体" w:hAnsi="宋体" w:eastAsia="宋体" w:cs="宋体"/>
          <w:spacing w:val="7"/>
        </w:rPr>
        <w:t xml:space="preserve">4</w:t>
      </w:r>
      <w:r>
        <w:rPr>
          <w:rFonts w:ascii="宋体" w:hAnsi="宋体" w:eastAsia="宋体" w:cs="宋体"/>
          <w:spacing w:val="7"/>
        </w:rPr>
        <w:t xml:space="preserve">.</w:t>
      </w:r>
      <w:r>
        <w:rPr>
          <w:rFonts w:hint="eastAsia" w:ascii="宋体" w:hAnsi="宋体" w:eastAsia="宋体" w:cs="宋体"/>
          <w:spacing w:val="7"/>
        </w:rPr>
        <w:t xml:space="preserve">2</w:t>
      </w:r>
      <w:r>
        <w:rPr>
          <w:rFonts w:ascii="宋体" w:hAnsi="宋体" w:eastAsia="宋体" w:cs="宋体"/>
          <w:spacing w:val="7"/>
        </w:rPr>
        <w:t xml:space="preserve"> 项目安全负责人</w:t>
      </w:r>
      <w:r/>
    </w:p>
    <w:p>
      <w:pPr>
        <w:pStyle w:val="1039"/>
        <w:ind w:firstLine="500"/>
        <w:spacing w:line="440" w:lineRule="exact"/>
        <w:rPr>
          <w:rFonts w:hint="eastAsia" w:ascii="宋体" w:hAnsi="宋体" w:eastAsia="宋体" w:cs="宋体"/>
          <w:spacing w:val="7"/>
        </w:rPr>
      </w:pPr>
      <w:r>
        <w:rPr>
          <w:rFonts w:ascii="宋体" w:hAnsi="宋体" w:eastAsia="宋体" w:cs="宋体"/>
          <w:spacing w:val="7"/>
        </w:rPr>
        <w:t xml:space="preserve">投标人投入本项目的</w:t>
      </w:r>
      <w:r>
        <w:rPr>
          <w:rFonts w:hint="eastAsia" w:ascii="宋体" w:hAnsi="宋体" w:eastAsia="宋体" w:cs="宋体"/>
          <w:spacing w:val="7"/>
        </w:rPr>
        <w:t xml:space="preserve">安全</w:t>
      </w:r>
      <w:r>
        <w:rPr>
          <w:rFonts w:ascii="宋体" w:hAnsi="宋体" w:eastAsia="宋体" w:cs="宋体"/>
          <w:spacing w:val="7"/>
        </w:rPr>
        <w:t xml:space="preserve">负责人</w:t>
      </w:r>
      <w:r>
        <w:rPr>
          <w:rFonts w:hint="eastAsia" w:ascii="宋体" w:hAnsi="宋体" w:eastAsia="宋体" w:cs="宋体"/>
          <w:spacing w:val="7"/>
          <w:lang w:eastAsia="zh-CN"/>
        </w:rPr>
        <w:t xml:space="preserve">（</w:t>
      </w:r>
      <w:r>
        <w:rPr>
          <w:rFonts w:hint="eastAsia" w:ascii="宋体" w:hAnsi="宋体" w:eastAsia="宋体" w:cs="宋体"/>
          <w:spacing w:val="7"/>
          <w:lang w:val="en-US" w:eastAsia="zh-CN"/>
        </w:rPr>
        <w:t xml:space="preserve">1人</w:t>
      </w:r>
      <w:r>
        <w:rPr>
          <w:rFonts w:hint="eastAsia" w:ascii="宋体" w:hAnsi="宋体" w:eastAsia="宋体" w:cs="宋体"/>
          <w:spacing w:val="7"/>
          <w:lang w:eastAsia="zh-CN"/>
        </w:rPr>
        <w:t xml:space="preserve">）</w:t>
      </w:r>
      <w:r>
        <w:rPr>
          <w:rFonts w:ascii="宋体" w:hAnsi="宋体" w:eastAsia="宋体" w:cs="宋体"/>
          <w:spacing w:val="7"/>
        </w:rPr>
        <w:t xml:space="preserve">具有智能化系统集成项目经理（高级）、高级网络信息安全工程师证书、网络安全能力认证（网络安全</w:t>
      </w:r>
      <w:r>
        <w:rPr>
          <w:rFonts w:hint="eastAsia" w:ascii="宋体" w:hAnsi="宋体" w:eastAsia="宋体" w:cs="宋体"/>
          <w:spacing w:val="7"/>
        </w:rPr>
        <w:t xml:space="preserve">技术</w:t>
      </w:r>
      <w:r>
        <w:rPr>
          <w:rFonts w:ascii="宋体" w:hAnsi="宋体" w:eastAsia="宋体" w:cs="宋体"/>
          <w:spacing w:val="7"/>
        </w:rPr>
        <w:t xml:space="preserve">Ⅰ级）证书的，有一个证书得</w:t>
      </w:r>
      <w:r>
        <w:rPr>
          <w:rFonts w:hint="eastAsia" w:ascii="宋体" w:hAnsi="宋体" w:eastAsia="宋体" w:cs="宋体"/>
          <w:spacing w:val="7"/>
        </w:rPr>
        <w:t xml:space="preserve">1</w:t>
      </w:r>
      <w:r>
        <w:rPr>
          <w:rFonts w:ascii="宋体" w:hAnsi="宋体" w:eastAsia="宋体" w:cs="宋体"/>
          <w:spacing w:val="7"/>
        </w:rPr>
        <w:t xml:space="preserve">分，本项最多得</w:t>
      </w:r>
      <w:r>
        <w:rPr>
          <w:rFonts w:hint="eastAsia" w:ascii="宋体" w:hAnsi="宋体" w:eastAsia="宋体" w:cs="宋体"/>
          <w:spacing w:val="7"/>
        </w:rPr>
        <w:t xml:space="preserve">3</w:t>
      </w:r>
      <w:r>
        <w:rPr>
          <w:rFonts w:ascii="宋体" w:hAnsi="宋体" w:eastAsia="宋体" w:cs="宋体"/>
          <w:spacing w:val="7"/>
        </w:rPr>
        <w:t xml:space="preserve">分。（</w:t>
      </w:r>
      <w:r>
        <w:rPr>
          <w:rFonts w:hint="eastAsia" w:ascii="宋体" w:hAnsi="宋体" w:eastAsia="宋体" w:cs="宋体"/>
          <w:spacing w:val="7"/>
        </w:rPr>
        <w:t xml:space="preserve">安全</w:t>
      </w:r>
      <w:r>
        <w:rPr>
          <w:rFonts w:ascii="宋体" w:hAnsi="宋体" w:eastAsia="宋体" w:cs="宋体"/>
          <w:spacing w:val="7"/>
        </w:rPr>
        <w:t xml:space="preserve">负责人不可兼任；请在投标文件中提供相关证书</w:t>
      </w:r>
      <w:r>
        <w:rPr>
          <w:rFonts w:hint="eastAsia" w:ascii="宋体" w:hAnsi="宋体" w:eastAsia="宋体" w:cs="宋体"/>
          <w:spacing w:val="7"/>
        </w:rPr>
        <w:t xml:space="preserve">，并</w:t>
      </w:r>
      <w:r>
        <w:rPr>
          <w:rFonts w:hint="eastAsia" w:ascii="宋体" w:hAnsi="宋体" w:eastAsia="宋体"/>
          <w:spacing w:val="13"/>
        </w:rPr>
        <w:t xml:space="preserve">附该员工的社保缴费证明材料</w:t>
      </w:r>
      <w:r>
        <w:rPr>
          <w:rFonts w:ascii="宋体" w:hAnsi="宋体" w:eastAsia="宋体" w:cs="宋体"/>
          <w:spacing w:val="7"/>
        </w:rPr>
        <w:t xml:space="preserve">，不提供的不得分）</w:t>
      </w:r>
      <w:r/>
    </w:p>
    <w:p>
      <w:pPr>
        <w:pStyle w:val="1039"/>
        <w:ind w:firstLine="500"/>
        <w:spacing w:line="440" w:lineRule="exact"/>
        <w:rPr>
          <w:rFonts w:hint="eastAsia" w:ascii="宋体" w:hAnsi="宋体" w:eastAsia="宋体" w:cs="宋体"/>
          <w:spacing w:val="7"/>
        </w:rPr>
      </w:pPr>
      <w:r>
        <w:rPr>
          <w:rFonts w:hint="eastAsia" w:ascii="宋体" w:hAnsi="宋体" w:eastAsia="宋体" w:cs="宋体"/>
          <w:spacing w:val="7"/>
        </w:rPr>
        <w:t xml:space="preserve">4.3. </w:t>
      </w:r>
      <w:r>
        <w:rPr>
          <w:rFonts w:ascii="宋体" w:hAnsi="宋体" w:eastAsia="宋体" w:cs="宋体"/>
          <w:spacing w:val="7"/>
        </w:rPr>
        <w:t xml:space="preserve">运维负责人</w:t>
      </w:r>
      <w:r/>
    </w:p>
    <w:p>
      <w:pPr>
        <w:pStyle w:val="1039"/>
        <w:ind w:firstLine="500"/>
        <w:spacing w:line="440" w:lineRule="exact"/>
        <w:rPr>
          <w:rFonts w:hint="eastAsia" w:ascii="宋体" w:hAnsi="宋体" w:eastAsia="宋体" w:cs="宋体"/>
          <w:spacing w:val="7"/>
        </w:rPr>
      </w:pPr>
      <w:r>
        <w:rPr>
          <w:rFonts w:hint="eastAsia" w:ascii="宋体" w:hAnsi="宋体" w:eastAsia="宋体" w:cs="宋体"/>
          <w:spacing w:val="7"/>
        </w:rPr>
        <w:t xml:space="preserve">投标人投入本项目的</w:t>
      </w:r>
      <w:r>
        <w:rPr>
          <w:rFonts w:hint="eastAsia" w:ascii="宋体" w:hAnsi="宋体" w:cs="宋体"/>
          <w:spacing w:val="13"/>
        </w:rPr>
        <w:t xml:space="preserve">运维负责人</w:t>
      </w:r>
      <w:r>
        <w:rPr>
          <w:rFonts w:hint="eastAsia" w:ascii="宋体" w:hAnsi="宋体" w:eastAsia="宋体" w:cs="宋体"/>
          <w:spacing w:val="13"/>
          <w:lang w:eastAsia="zh-CN"/>
        </w:rPr>
        <w:t xml:space="preserve">（</w:t>
      </w:r>
      <w:r>
        <w:rPr>
          <w:rFonts w:hint="eastAsia" w:ascii="宋体" w:hAnsi="宋体" w:eastAsia="宋体" w:cs="宋体"/>
          <w:spacing w:val="13"/>
          <w:lang w:val="en-US" w:eastAsia="zh-CN"/>
        </w:rPr>
        <w:t xml:space="preserve">1人</w:t>
      </w:r>
      <w:r>
        <w:rPr>
          <w:rFonts w:hint="eastAsia" w:ascii="宋体" w:hAnsi="宋体" w:eastAsia="宋体" w:cs="宋体"/>
          <w:spacing w:val="13"/>
          <w:lang w:eastAsia="zh-CN"/>
        </w:rPr>
        <w:t xml:space="preserve">）</w:t>
      </w:r>
      <w:r>
        <w:rPr>
          <w:rFonts w:hint="eastAsia" w:ascii="宋体" w:hAnsi="宋体" w:eastAsia="宋体" w:cs="宋体"/>
          <w:spacing w:val="7"/>
        </w:rPr>
        <w:t xml:space="preserve">具有</w:t>
      </w:r>
      <w:r>
        <w:rPr>
          <w:rFonts w:ascii="宋体" w:hAnsi="宋体" w:eastAsia="宋体" w:cs="宋体"/>
          <w:spacing w:val="7"/>
        </w:rPr>
        <w:t xml:space="preserve">信息安全保障人员认证证书（安全运维）、信息安全工程师证书、IT服务工程师证书</w:t>
      </w:r>
      <w:r>
        <w:rPr>
          <w:rFonts w:hint="eastAsia" w:ascii="宋体" w:hAnsi="宋体" w:eastAsia="宋体" w:cs="宋体"/>
          <w:spacing w:val="7"/>
        </w:rPr>
        <w:t xml:space="preserve">的，有一项得1分，最多得3分。（</w:t>
      </w:r>
      <w:r>
        <w:rPr>
          <w:rFonts w:ascii="宋体" w:hAnsi="宋体" w:eastAsia="宋体" w:cs="宋体"/>
          <w:spacing w:val="7"/>
        </w:rPr>
        <w:t xml:space="preserve">运维负责人</w:t>
      </w:r>
      <w:r>
        <w:rPr>
          <w:rFonts w:hint="eastAsia" w:ascii="宋体" w:hAnsi="宋体" w:eastAsia="宋体" w:cs="宋体"/>
          <w:spacing w:val="7"/>
        </w:rPr>
        <w:t xml:space="preserve">不可兼任；</w:t>
      </w:r>
      <w:r>
        <w:rPr>
          <w:rFonts w:ascii="宋体" w:hAnsi="宋体" w:eastAsia="宋体" w:cs="宋体"/>
          <w:spacing w:val="7"/>
        </w:rPr>
        <w:t xml:space="preserve">请在投标文件中提供相关证书</w:t>
      </w:r>
      <w:r>
        <w:rPr>
          <w:rFonts w:hint="eastAsia" w:ascii="宋体" w:hAnsi="宋体" w:eastAsia="宋体" w:cs="宋体"/>
          <w:spacing w:val="7"/>
        </w:rPr>
        <w:t xml:space="preserve">，并</w:t>
      </w:r>
      <w:r>
        <w:rPr>
          <w:rFonts w:hint="eastAsia" w:ascii="宋体" w:hAnsi="宋体" w:eastAsia="宋体"/>
          <w:spacing w:val="13"/>
        </w:rPr>
        <w:t xml:space="preserve">附该员工的社保缴费证明材料</w:t>
      </w:r>
      <w:r>
        <w:rPr>
          <w:rFonts w:hint="eastAsia" w:ascii="宋体" w:hAnsi="宋体" w:eastAsia="宋体" w:cs="宋体"/>
          <w:spacing w:val="7"/>
        </w:rPr>
        <w:t xml:space="preserve">，不提供不得分）。</w:t>
      </w:r>
      <w:r/>
    </w:p>
    <w:p>
      <w:pPr>
        <w:pStyle w:val="1039"/>
        <w:ind w:firstLine="500"/>
        <w:spacing w:line="440" w:lineRule="exact"/>
        <w:rPr>
          <w:rFonts w:hint="eastAsia" w:ascii="宋体" w:hAnsi="宋体" w:eastAsia="宋体" w:cs="宋体"/>
          <w:b/>
          <w:spacing w:val="7"/>
        </w:rPr>
      </w:pPr>
      <w:r>
        <w:rPr>
          <w:rFonts w:hint="eastAsia" w:ascii="宋体" w:hAnsi="宋体" w:eastAsia="宋体" w:cs="宋体"/>
          <w:b/>
          <w:spacing w:val="7"/>
        </w:rPr>
        <w:t xml:space="preserve">5</w:t>
      </w:r>
      <w:r>
        <w:rPr>
          <w:rFonts w:ascii="宋体" w:hAnsi="宋体" w:eastAsia="宋体" w:cs="宋体"/>
          <w:b/>
          <w:spacing w:val="7"/>
        </w:rPr>
        <w:t xml:space="preserve"> 履约能力分</w:t>
      </w:r>
      <w:r>
        <w:rPr>
          <w:rFonts w:hint="eastAsia" w:ascii="宋体" w:hAnsi="宋体" w:eastAsia="宋体" w:cs="宋体"/>
          <w:b/>
          <w:spacing w:val="7"/>
          <w:lang w:val="en-US" w:eastAsia="zh-CN"/>
        </w:rPr>
        <w:t xml:space="preserve">3</w:t>
      </w:r>
      <w:r>
        <w:rPr>
          <w:rFonts w:ascii="宋体" w:hAnsi="宋体" w:eastAsia="宋体" w:cs="宋体"/>
          <w:b/>
          <w:spacing w:val="7"/>
        </w:rPr>
        <w:t xml:space="preserve">分</w:t>
      </w:r>
      <w:r/>
    </w:p>
    <w:p>
      <w:pPr>
        <w:pStyle w:val="1039"/>
        <w:ind w:firstLine="500"/>
        <w:spacing w:line="440" w:lineRule="exact"/>
        <w:rPr>
          <w:rFonts w:hint="eastAsia" w:ascii="宋体" w:hAnsi="宋体" w:eastAsia="宋体" w:cs="宋体"/>
          <w:spacing w:val="7"/>
        </w:rPr>
      </w:pPr>
      <w:r>
        <w:rPr>
          <w:rFonts w:hint="eastAsia" w:ascii="宋体" w:hAnsi="宋体" w:eastAsia="宋体" w:cs="宋体"/>
          <w:spacing w:val="7"/>
        </w:rPr>
        <w:t xml:space="preserve">5</w:t>
      </w:r>
      <w:r>
        <w:rPr>
          <w:rFonts w:ascii="宋体" w:hAnsi="宋体" w:eastAsia="宋体" w:cs="宋体"/>
          <w:spacing w:val="7"/>
        </w:rPr>
        <w:t xml:space="preserve">.1.业绩分</w:t>
      </w:r>
      <w:r/>
    </w:p>
    <w:p>
      <w:pPr>
        <w:pStyle w:val="1039"/>
        <w:ind w:firstLine="500"/>
        <w:spacing w:line="440" w:lineRule="exact"/>
        <w:rPr>
          <w:rFonts w:hint="eastAsia" w:ascii="宋体" w:hAnsi="宋体" w:eastAsia="宋体" w:cs="宋体"/>
          <w:spacing w:val="7"/>
        </w:rPr>
      </w:pPr>
      <w:r>
        <w:rPr>
          <w:rFonts w:ascii="宋体" w:hAnsi="宋体" w:eastAsia="宋体" w:cs="宋体"/>
          <w:spacing w:val="7"/>
        </w:rPr>
        <w:t xml:space="preserve">投标人提供20</w:t>
      </w:r>
      <w:r>
        <w:rPr>
          <w:rFonts w:hint="eastAsia" w:ascii="宋体" w:hAnsi="宋体" w:eastAsia="宋体" w:cs="宋体"/>
          <w:spacing w:val="7"/>
        </w:rPr>
        <w:t xml:space="preserve">23</w:t>
      </w:r>
      <w:r>
        <w:rPr>
          <w:rFonts w:ascii="宋体" w:hAnsi="宋体" w:eastAsia="宋体" w:cs="宋体"/>
          <w:spacing w:val="7"/>
        </w:rPr>
        <w:t xml:space="preserve">年以来与本项目类似的业绩合同，有一个得</w:t>
      </w:r>
      <w:r>
        <w:rPr>
          <w:rFonts w:hint="eastAsia" w:ascii="宋体" w:hAnsi="宋体" w:eastAsia="宋体" w:cs="宋体"/>
          <w:spacing w:val="7"/>
        </w:rPr>
        <w:t xml:space="preserve">1</w:t>
      </w:r>
      <w:r>
        <w:rPr>
          <w:rFonts w:ascii="宋体" w:hAnsi="宋体" w:eastAsia="宋体" w:cs="宋体"/>
          <w:spacing w:val="7"/>
        </w:rPr>
        <w:t xml:space="preserve">分，本项最多得</w:t>
      </w:r>
      <w:r>
        <w:rPr>
          <w:rFonts w:hint="eastAsia" w:ascii="宋体" w:hAnsi="宋体" w:eastAsia="宋体" w:cs="宋体"/>
          <w:spacing w:val="7"/>
          <w:lang w:val="en-US" w:eastAsia="zh-CN"/>
        </w:rPr>
        <w:t xml:space="preserve">3</w:t>
      </w:r>
      <w:r>
        <w:rPr>
          <w:rFonts w:ascii="宋体" w:hAnsi="宋体" w:eastAsia="宋体" w:cs="宋体"/>
          <w:spacing w:val="7"/>
        </w:rPr>
        <w:t xml:space="preserve">分。（请在投标文件中提供合同，合同中须反映出相关内容，如合同中不能反映，须提供其他材料予以佐证，不提供的不得分）</w:t>
      </w:r>
      <w:r/>
    </w:p>
    <w:p>
      <w:pPr>
        <w:pStyle w:val="1039"/>
        <w:ind w:firstLine="500"/>
        <w:spacing w:line="440" w:lineRule="exact"/>
        <w:rPr>
          <w:rFonts w:hint="eastAsia" w:ascii="宋体" w:hAnsi="宋体" w:eastAsia="宋体" w:cs="宋体"/>
          <w:b/>
          <w:spacing w:val="7"/>
          <w:highlight w:val="none"/>
        </w:rPr>
      </w:pPr>
      <w:r>
        <w:rPr>
          <w:rFonts w:hint="eastAsia" w:ascii="宋体" w:hAnsi="宋体" w:eastAsia="宋体" w:cs="宋体"/>
          <w:b/>
          <w:spacing w:val="7"/>
          <w:highlight w:val="none"/>
        </w:rPr>
        <w:t xml:space="preserve">6 </w:t>
      </w:r>
      <w:r>
        <w:rPr>
          <w:rFonts w:ascii="宋体" w:hAnsi="宋体" w:eastAsia="宋体" w:cs="宋体"/>
          <w:b/>
          <w:spacing w:val="7"/>
          <w:highlight w:val="none"/>
        </w:rPr>
        <w:t xml:space="preserve">环境标志产品</w:t>
      </w:r>
      <w:r>
        <w:rPr>
          <w:rFonts w:hint="eastAsia" w:ascii="宋体" w:hAnsi="宋体" w:eastAsia="宋体" w:cs="宋体"/>
          <w:b/>
          <w:spacing w:val="7"/>
          <w:highlight w:val="none"/>
        </w:rPr>
        <w:t xml:space="preserve">2分</w:t>
      </w:r>
      <w:r/>
    </w:p>
    <w:p>
      <w:pPr>
        <w:ind w:right="-124" w:firstLine="532"/>
        <w:spacing w:line="440" w:lineRule="exact"/>
        <w:rPr>
          <w:rFonts w:hint="eastAsia" w:ascii="宋体" w:hAnsi="宋体"/>
          <w:sz w:val="24"/>
        </w:rPr>
      </w:pPr>
      <w:r>
        <w:rPr>
          <w:rFonts w:hint="eastAsia" w:ascii="宋体" w:hAnsi="宋体"/>
          <w:spacing w:val="13"/>
          <w:sz w:val="24"/>
          <w:szCs w:val="24"/>
        </w:rPr>
        <w:t xml:space="preserve">评委根据其投报产品是否属于环境标志产品政府采购品目清单进行评分，有一个得0.4分，最多得2分（请在投标文件中提供国家确定的认证机构出具的、处于有效期之内的环境标志产品认证证书（若证书有附件（附录）的，附件（附录）须随证书一起提供），不提供的不得分）。</w:t>
      </w:r>
      <w:r/>
    </w:p>
    <w:p>
      <w:pPr>
        <w:ind w:right="-124" w:firstLine="480"/>
        <w:spacing w:line="440" w:lineRule="exact"/>
        <w:rPr>
          <w:rFonts w:hint="eastAsia" w:ascii="宋体" w:hAnsi="宋体"/>
          <w:sz w:val="24"/>
        </w:rPr>
      </w:pPr>
      <w:r>
        <w:rPr>
          <w:rFonts w:hint="eastAsia" w:ascii="宋体" w:hAnsi="宋体"/>
          <w:sz w:val="24"/>
        </w:rPr>
        <w:t xml:space="preserve">注：</w:t>
      </w:r>
      <w:r/>
    </w:p>
    <w:p>
      <w:pPr>
        <w:ind w:right="-124" w:firstLine="482"/>
        <w:jc w:val="left"/>
        <w:spacing w:line="440" w:lineRule="exact"/>
        <w:widowControl/>
        <w:rPr>
          <w:rFonts w:ascii="Times New Roman" w:hAnsi="Times New Roman"/>
          <w:b/>
          <w:bCs/>
          <w:sz w:val="24"/>
          <w:szCs w:val="24"/>
        </w:rPr>
      </w:pPr>
      <w:r>
        <w:rPr>
          <w:rFonts w:hint="eastAsia"/>
          <w:b/>
          <w:bCs/>
          <w:sz w:val="24"/>
        </w:rPr>
        <w:t xml:space="preserve">1、以上证明材料，不提供不得分</w:t>
      </w:r>
      <w:r>
        <w:rPr>
          <w:rFonts w:hint="eastAsia"/>
          <w:b/>
          <w:bCs/>
          <w:sz w:val="20"/>
        </w:rPr>
        <w:t xml:space="preserve"> </w:t>
      </w:r>
      <w:r/>
    </w:p>
    <w:p>
      <w:pPr>
        <w:pStyle w:val="817"/>
        <w:rPr>
          <w:rFonts w:hint="eastAsia"/>
        </w:rPr>
      </w:pPr>
      <w:r>
        <w:rPr>
          <w:rFonts w:hint="eastAsia"/>
        </w:rPr>
      </w:r>
      <w:r/>
    </w:p>
    <w:p>
      <w:pPr>
        <w:pStyle w:val="1013"/>
        <w:pageBreakBefore/>
        <w:spacing w:line="360" w:lineRule="auto"/>
        <w:rPr>
          <w:rFonts w:hint="eastAsia" w:ascii="宋体" w:hAnsi="宋体" w:eastAsia="宋体"/>
        </w:rPr>
      </w:pPr>
      <w:r>
        <w:rPr>
          <w:rFonts w:hint="eastAsia" w:ascii="宋体" w:hAnsi="宋体" w:eastAsia="宋体"/>
        </w:rPr>
        <w:t xml:space="preserve">第六章 投标文件格式</w:t>
      </w:r>
      <w:bookmarkEnd w:id="165"/>
      <w:r/>
      <w:r/>
    </w:p>
    <w:p>
      <w:pPr>
        <w:spacing w:line="360" w:lineRule="auto"/>
        <w:rPr>
          <w:rFonts w:hint="eastAsia" w:ascii="宋体" w:hAnsi="宋体"/>
          <w:b/>
          <w:bCs/>
          <w:sz w:val="32"/>
          <w:szCs w:val="32"/>
        </w:rPr>
      </w:pPr>
      <w:r>
        <w:rPr>
          <w:rFonts w:hint="eastAsia" w:ascii="宋体" w:hAnsi="宋体"/>
          <w:b/>
          <w:bCs/>
          <w:sz w:val="32"/>
          <w:szCs w:val="32"/>
        </w:rPr>
      </w:r>
      <w:r/>
    </w:p>
    <w:p>
      <w:pPr>
        <w:pStyle w:val="1040"/>
        <w:jc w:val="center"/>
        <w:spacing w:after="400"/>
        <w:rPr>
          <w:rStyle w:val="1006"/>
          <w:rFonts w:hint="eastAsia" w:ascii="宋体" w:hAnsi="宋体"/>
          <w:sz w:val="40"/>
          <w:szCs w:val="40"/>
        </w:rPr>
        <w:outlineLvl w:val="0"/>
      </w:pPr>
      <w:r/>
      <w:bookmarkStart w:id="177" w:name="_Toc29010"/>
      <w:r/>
      <w:bookmarkStart w:id="178" w:name="_Toc290"/>
      <w:r/>
      <w:bookmarkStart w:id="179" w:name="_Toc653"/>
      <w:r/>
      <w:bookmarkStart w:id="180" w:name="_Toc18049"/>
      <w:r>
        <w:rPr>
          <w:rStyle w:val="1006"/>
          <w:rFonts w:ascii="宋体" w:hAnsi="宋体"/>
          <w:sz w:val="40"/>
          <w:szCs w:val="40"/>
        </w:rPr>
        <w:t xml:space="preserve">投标主要文件目录</w:t>
      </w:r>
      <w:bookmarkEnd w:id="177"/>
      <w:r/>
      <w:bookmarkEnd w:id="178"/>
      <w:r/>
      <w:bookmarkEnd w:id="179"/>
      <w:r/>
      <w:bookmarkEnd w:id="180"/>
      <w:r/>
      <w:r/>
    </w:p>
    <w:p>
      <w:pPr>
        <w:pStyle w:val="1040"/>
        <w:spacing w:before="240" w:after="240" w:line="200" w:lineRule="atLeast"/>
        <w:rPr>
          <w:rStyle w:val="1006"/>
          <w:rFonts w:hint="eastAsia" w:ascii="宋体" w:hAnsi="宋体"/>
          <w:sz w:val="24"/>
          <w:szCs w:val="24"/>
        </w:rPr>
        <w:outlineLvl w:val="0"/>
      </w:pPr>
      <w:r/>
      <w:bookmarkStart w:id="181" w:name="_Toc14924"/>
      <w:r/>
      <w:bookmarkStart w:id="182" w:name="_Toc15242"/>
      <w:r/>
      <w:bookmarkStart w:id="183" w:name="_Toc8210"/>
      <w:r>
        <w:rPr>
          <w:rStyle w:val="1006"/>
          <w:rFonts w:ascii="宋体" w:hAnsi="宋体"/>
          <w:sz w:val="24"/>
          <w:szCs w:val="24"/>
        </w:rPr>
        <w:t xml:space="preserve">一、封面</w:t>
      </w:r>
      <w:bookmarkEnd w:id="181"/>
      <w:r/>
      <w:bookmarkEnd w:id="182"/>
      <w:r/>
      <w:bookmarkEnd w:id="183"/>
      <w:r/>
      <w:r/>
    </w:p>
    <w:p>
      <w:pPr>
        <w:pStyle w:val="1040"/>
        <w:spacing w:before="240" w:after="240" w:line="200" w:lineRule="atLeast"/>
        <w:rPr>
          <w:rStyle w:val="1006"/>
          <w:rFonts w:hint="eastAsia" w:ascii="宋体" w:hAnsi="宋体"/>
          <w:sz w:val="24"/>
          <w:szCs w:val="24"/>
        </w:rPr>
        <w:outlineLvl w:val="0"/>
      </w:pPr>
      <w:r/>
      <w:bookmarkStart w:id="184" w:name="_Toc10768"/>
      <w:r/>
      <w:bookmarkStart w:id="185" w:name="_Toc9750"/>
      <w:r/>
      <w:bookmarkStart w:id="186" w:name="_Toc8337"/>
      <w:r>
        <w:rPr>
          <w:rStyle w:val="1006"/>
          <w:rFonts w:ascii="宋体" w:hAnsi="宋体"/>
          <w:sz w:val="24"/>
          <w:szCs w:val="24"/>
        </w:rPr>
        <w:t xml:space="preserve">二、投标函</w:t>
      </w:r>
      <w:bookmarkEnd w:id="184"/>
      <w:r/>
      <w:bookmarkEnd w:id="185"/>
      <w:r/>
      <w:bookmarkEnd w:id="186"/>
      <w:r/>
      <w:r/>
    </w:p>
    <w:p>
      <w:pPr>
        <w:pStyle w:val="1040"/>
        <w:spacing w:before="240" w:after="240" w:line="200" w:lineRule="atLeast"/>
        <w:rPr>
          <w:rStyle w:val="1006"/>
          <w:rFonts w:hint="eastAsia" w:ascii="宋体" w:hAnsi="宋体"/>
          <w:sz w:val="24"/>
          <w:szCs w:val="24"/>
        </w:rPr>
        <w:outlineLvl w:val="0"/>
      </w:pPr>
      <w:r/>
      <w:bookmarkStart w:id="187" w:name="_Toc1247"/>
      <w:r/>
      <w:bookmarkStart w:id="188" w:name="_Toc5193"/>
      <w:r/>
      <w:bookmarkStart w:id="189" w:name="_Toc31912"/>
      <w:r>
        <w:rPr>
          <w:rStyle w:val="1006"/>
          <w:rFonts w:ascii="宋体" w:hAnsi="宋体"/>
          <w:sz w:val="24"/>
          <w:szCs w:val="24"/>
        </w:rPr>
        <w:t xml:space="preserve">三、开标一览表</w:t>
      </w:r>
      <w:bookmarkEnd w:id="187"/>
      <w:r/>
      <w:bookmarkEnd w:id="188"/>
      <w:r/>
      <w:bookmarkEnd w:id="189"/>
      <w:r/>
      <w:r/>
    </w:p>
    <w:p>
      <w:pPr>
        <w:pStyle w:val="1040"/>
        <w:spacing w:before="240" w:after="240" w:line="200" w:lineRule="atLeast"/>
        <w:rPr>
          <w:rStyle w:val="1006"/>
          <w:rFonts w:hint="eastAsia" w:ascii="宋体" w:hAnsi="宋体"/>
          <w:sz w:val="24"/>
          <w:szCs w:val="24"/>
        </w:rPr>
        <w:outlineLvl w:val="0"/>
      </w:pPr>
      <w:r/>
      <w:bookmarkStart w:id="190" w:name="_Toc12064"/>
      <w:r/>
      <w:bookmarkStart w:id="191" w:name="_Toc25567"/>
      <w:r/>
      <w:bookmarkStart w:id="192" w:name="_Toc26828"/>
      <w:r>
        <w:rPr>
          <w:rStyle w:val="1006"/>
          <w:rFonts w:ascii="宋体" w:hAnsi="宋体"/>
          <w:sz w:val="24"/>
          <w:szCs w:val="24"/>
        </w:rPr>
        <w:t xml:space="preserve">四、资格证明文件</w:t>
      </w:r>
      <w:bookmarkEnd w:id="190"/>
      <w:r/>
      <w:bookmarkEnd w:id="191"/>
      <w:r/>
      <w:bookmarkEnd w:id="192"/>
      <w:r/>
      <w:r/>
    </w:p>
    <w:p>
      <w:pPr>
        <w:pStyle w:val="1040"/>
        <w:spacing w:before="240" w:after="240" w:line="200" w:lineRule="atLeast"/>
        <w:rPr>
          <w:rStyle w:val="1006"/>
          <w:rFonts w:hint="eastAsia" w:ascii="宋体" w:hAnsi="宋体"/>
          <w:sz w:val="24"/>
          <w:szCs w:val="24"/>
        </w:rPr>
        <w:outlineLvl w:val="0"/>
      </w:pPr>
      <w:r>
        <w:rPr>
          <w:rStyle w:val="1006"/>
          <w:rFonts w:ascii="宋体" w:hAnsi="宋体"/>
          <w:sz w:val="24"/>
          <w:szCs w:val="24"/>
        </w:rPr>
        <w:t xml:space="preserve">五、第四章项目需求中实质性要求响应对照表</w:t>
      </w:r>
      <w:r/>
    </w:p>
    <w:p>
      <w:pPr>
        <w:pStyle w:val="1040"/>
        <w:spacing w:before="240" w:after="240" w:line="200" w:lineRule="atLeast"/>
        <w:rPr>
          <w:rStyle w:val="1006"/>
          <w:rFonts w:hint="eastAsia" w:ascii="宋体" w:hAnsi="宋体"/>
          <w:sz w:val="24"/>
          <w:szCs w:val="24"/>
        </w:rPr>
        <w:outlineLvl w:val="0"/>
      </w:pPr>
      <w:r/>
      <w:bookmarkStart w:id="193" w:name="_Toc10544"/>
      <w:r/>
      <w:bookmarkStart w:id="194" w:name="_Toc1004"/>
      <w:r>
        <w:rPr>
          <w:rStyle w:val="1006"/>
          <w:rFonts w:hint="eastAsia" w:ascii="宋体" w:hAnsi="宋体"/>
          <w:sz w:val="24"/>
          <w:szCs w:val="24"/>
        </w:rPr>
        <w:t xml:space="preserve">六、投标配置及分项报价表</w:t>
      </w:r>
      <w:bookmarkEnd w:id="193"/>
      <w:r/>
      <w:bookmarkEnd w:id="194"/>
      <w:r/>
      <w:r/>
    </w:p>
    <w:p>
      <w:pPr>
        <w:pStyle w:val="1040"/>
        <w:spacing w:before="240" w:after="240" w:line="200" w:lineRule="atLeast"/>
        <w:rPr>
          <w:rStyle w:val="1006"/>
          <w:rFonts w:hint="eastAsia" w:ascii="宋体" w:hAnsi="宋体"/>
          <w:sz w:val="24"/>
          <w:szCs w:val="24"/>
        </w:rPr>
        <w:outlineLvl w:val="0"/>
      </w:pPr>
      <w:r/>
      <w:bookmarkStart w:id="195" w:name="_Toc12806"/>
      <w:r/>
      <w:bookmarkStart w:id="196" w:name="_Toc5514"/>
      <w:r>
        <w:rPr>
          <w:rStyle w:val="1006"/>
          <w:rFonts w:hint="eastAsia" w:ascii="宋体" w:hAnsi="宋体"/>
          <w:sz w:val="24"/>
          <w:szCs w:val="24"/>
        </w:rPr>
        <w:t xml:space="preserve">七、常用零件及耗材报价表</w:t>
      </w:r>
      <w:bookmarkEnd w:id="195"/>
      <w:r/>
      <w:bookmarkEnd w:id="196"/>
      <w:r/>
      <w:r/>
    </w:p>
    <w:p>
      <w:pPr>
        <w:pStyle w:val="1040"/>
        <w:spacing w:before="240" w:after="240" w:line="200" w:lineRule="atLeast"/>
        <w:rPr>
          <w:rStyle w:val="1006"/>
          <w:rFonts w:hint="eastAsia" w:ascii="宋体" w:hAnsi="宋体"/>
          <w:sz w:val="24"/>
          <w:szCs w:val="24"/>
        </w:rPr>
        <w:outlineLvl w:val="0"/>
      </w:pPr>
      <w:r/>
      <w:bookmarkStart w:id="197" w:name="_Toc5199"/>
      <w:r/>
      <w:bookmarkStart w:id="198" w:name="_Toc25418"/>
      <w:r>
        <w:rPr>
          <w:rStyle w:val="1006"/>
          <w:rFonts w:hint="eastAsia" w:ascii="宋体" w:hAnsi="宋体"/>
          <w:sz w:val="24"/>
          <w:szCs w:val="24"/>
        </w:rPr>
        <w:t xml:space="preserve">八、技术参数响应及偏离表</w:t>
      </w:r>
      <w:bookmarkEnd w:id="197"/>
      <w:r/>
      <w:bookmarkEnd w:id="198"/>
      <w:r/>
      <w:r/>
    </w:p>
    <w:p>
      <w:pPr>
        <w:pStyle w:val="1040"/>
        <w:spacing w:before="240" w:after="240" w:line="200" w:lineRule="atLeast"/>
        <w:rPr>
          <w:rStyle w:val="1006"/>
          <w:rFonts w:hint="eastAsia" w:ascii="宋体" w:hAnsi="宋体"/>
          <w:sz w:val="24"/>
          <w:szCs w:val="24"/>
          <w:highlight w:val="none"/>
        </w:rPr>
        <w:outlineLvl w:val="0"/>
      </w:pPr>
      <w:r>
        <w:rPr>
          <w:rStyle w:val="1006"/>
          <w:rFonts w:hint="eastAsia" w:ascii="宋体" w:hAnsi="宋体"/>
          <w:sz w:val="24"/>
          <w:szCs w:val="24"/>
          <w:highlight w:val="none"/>
        </w:rPr>
        <w:t xml:space="preserve">九、同一品牌要求表</w:t>
      </w:r>
      <w:r/>
    </w:p>
    <w:p>
      <w:pPr>
        <w:pStyle w:val="1040"/>
        <w:spacing w:before="240" w:after="240" w:line="200" w:lineRule="atLeast"/>
        <w:rPr>
          <w:rStyle w:val="1006"/>
          <w:rFonts w:hint="eastAsia" w:ascii="宋体" w:hAnsi="宋体"/>
          <w:sz w:val="24"/>
          <w:szCs w:val="24"/>
        </w:rPr>
        <w:outlineLvl w:val="0"/>
      </w:pPr>
      <w:r/>
      <w:bookmarkStart w:id="199" w:name="_Toc27270"/>
      <w:r/>
      <w:bookmarkStart w:id="200" w:name="_Toc3301"/>
      <w:r>
        <w:rPr>
          <w:rStyle w:val="1006"/>
          <w:rFonts w:hint="eastAsia" w:ascii="宋体" w:hAnsi="宋体"/>
          <w:sz w:val="24"/>
          <w:szCs w:val="24"/>
        </w:rPr>
        <w:t xml:space="preserve">十、服务方案</w:t>
      </w:r>
      <w:bookmarkEnd w:id="199"/>
      <w:r/>
      <w:bookmarkEnd w:id="200"/>
      <w:r/>
      <w:r/>
    </w:p>
    <w:p>
      <w:pPr>
        <w:pStyle w:val="1040"/>
        <w:spacing w:before="240" w:after="240" w:line="200" w:lineRule="atLeast"/>
        <w:rPr>
          <w:rStyle w:val="1006"/>
          <w:rFonts w:hint="eastAsia" w:ascii="宋体" w:hAnsi="宋体"/>
          <w:sz w:val="24"/>
          <w:szCs w:val="24"/>
        </w:rPr>
        <w:outlineLvl w:val="0"/>
      </w:pPr>
      <w:r/>
      <w:bookmarkStart w:id="201" w:name="_Toc12514"/>
      <w:r/>
      <w:bookmarkStart w:id="202" w:name="_Toc14133"/>
      <w:r>
        <w:rPr>
          <w:rStyle w:val="1006"/>
          <w:rFonts w:hint="eastAsia" w:ascii="宋体" w:hAnsi="宋体"/>
          <w:sz w:val="24"/>
          <w:szCs w:val="24"/>
        </w:rPr>
        <w:t xml:space="preserve">十一、投标人情况介绍</w:t>
      </w:r>
      <w:bookmarkEnd w:id="201"/>
      <w:r/>
      <w:bookmarkEnd w:id="202"/>
      <w:r/>
      <w:r/>
    </w:p>
    <w:p>
      <w:pPr>
        <w:pStyle w:val="1040"/>
        <w:spacing w:before="240" w:after="240" w:line="200" w:lineRule="atLeast"/>
        <w:rPr>
          <w:rStyle w:val="1006"/>
          <w:rFonts w:hint="eastAsia" w:ascii="宋体" w:hAnsi="宋体"/>
          <w:sz w:val="24"/>
          <w:szCs w:val="24"/>
        </w:rPr>
        <w:outlineLvl w:val="0"/>
      </w:pPr>
      <w:r/>
      <w:bookmarkStart w:id="203" w:name="_Toc113"/>
      <w:r/>
      <w:bookmarkStart w:id="204" w:name="_Toc11742"/>
      <w:r>
        <w:rPr>
          <w:rStyle w:val="1006"/>
          <w:rFonts w:hint="eastAsia" w:ascii="宋体" w:hAnsi="宋体"/>
          <w:sz w:val="24"/>
          <w:szCs w:val="24"/>
        </w:rPr>
        <w:t xml:space="preserve">十二、中小企业声明函等</w:t>
      </w:r>
      <w:bookmarkEnd w:id="203"/>
      <w:r/>
      <w:bookmarkEnd w:id="204"/>
      <w:r/>
      <w:r/>
    </w:p>
    <w:p>
      <w:pPr>
        <w:pStyle w:val="1040"/>
        <w:spacing w:before="240" w:after="240" w:line="200" w:lineRule="atLeast"/>
        <w:rPr>
          <w:rStyle w:val="1006"/>
          <w:rFonts w:hint="eastAsia" w:ascii="宋体" w:hAnsi="宋体"/>
          <w:sz w:val="24"/>
          <w:szCs w:val="24"/>
        </w:rPr>
        <w:outlineLvl w:val="0"/>
      </w:pPr>
      <w:r>
        <w:rPr>
          <w:rStyle w:val="1006"/>
          <w:rFonts w:hint="eastAsia" w:ascii="宋体" w:hAnsi="宋体"/>
          <w:sz w:val="24"/>
          <w:szCs w:val="24"/>
        </w:rPr>
        <w:t xml:space="preserve">十三、关于符合本国产品标准的声明函</w:t>
      </w:r>
      <w:r/>
    </w:p>
    <w:p>
      <w:pPr>
        <w:pStyle w:val="1040"/>
        <w:spacing w:before="240" w:after="240" w:line="200" w:lineRule="atLeast"/>
        <w:rPr>
          <w:rStyle w:val="1006"/>
          <w:rFonts w:hint="eastAsia" w:ascii="宋体" w:hAnsi="宋体"/>
          <w:sz w:val="24"/>
          <w:szCs w:val="24"/>
        </w:rPr>
        <w:outlineLvl w:val="0"/>
      </w:pPr>
      <w:r>
        <w:rPr>
          <w:rFonts w:hint="eastAsia" w:ascii="宋体" w:hAnsi="宋体"/>
          <w:sz w:val="24"/>
          <w:szCs w:val="24"/>
        </w:rPr>
      </w:r>
      <w:r/>
    </w:p>
    <w:p>
      <w:pPr>
        <w:pStyle w:val="1042"/>
        <w:rPr>
          <w:rStyle w:val="1006"/>
        </w:rPr>
        <w:outlineLvl w:val="0"/>
      </w:pPr>
      <w:r>
        <w:rPr>
          <w:rStyle w:val="1006"/>
        </w:rPr>
        <w:br w:type="page" w:clear="all"/>
      </w:r>
      <w:bookmarkStart w:id="205" w:name="_Toc11328"/>
      <w:r/>
      <w:bookmarkStart w:id="206" w:name="_Toc21398"/>
      <w:r/>
      <w:bookmarkStart w:id="207" w:name="_Toc28279"/>
      <w:r/>
      <w:bookmarkStart w:id="208" w:name="_Toc1406"/>
      <w:r/>
      <w:bookmarkStart w:id="209" w:name="_Toc795"/>
      <w:r>
        <w:rPr>
          <w:rStyle w:val="1006"/>
          <w:rFonts w:ascii="宋体" w:hAnsi="宋体"/>
          <w:b/>
          <w:sz w:val="32"/>
        </w:rPr>
        <w:t xml:space="preserve">一、封面</w:t>
      </w:r>
      <w:bookmarkEnd w:id="205"/>
      <w:r/>
      <w:bookmarkEnd w:id="206"/>
      <w:r/>
      <w:bookmarkEnd w:id="207"/>
      <w:r/>
      <w:bookmarkEnd w:id="208"/>
      <w:r/>
      <w:bookmarkEnd w:id="209"/>
      <w:r/>
      <w:r/>
    </w:p>
    <w:p>
      <w:pPr>
        <w:pStyle w:val="1043"/>
        <w:spacing w:line="440" w:lineRule="exact"/>
        <w:rPr>
          <w:rStyle w:val="1006"/>
          <w:rFonts w:hint="eastAsia" w:ascii="宋体" w:hAnsi="宋体"/>
        </w:rPr>
      </w:pPr>
      <w:r>
        <w:rPr>
          <w:rStyle w:val="1006"/>
          <w:rFonts w:ascii="宋体" w:hAnsi="宋体"/>
        </w:rPr>
        <w:t xml:space="preserve">﻿ </w:t>
      </w:r>
      <w:r/>
    </w:p>
    <w:p>
      <w:pPr>
        <w:pStyle w:val="1043"/>
        <w:jc w:val="center"/>
        <w:spacing w:before="540" w:after="540"/>
        <w:rPr>
          <w:rStyle w:val="1006"/>
          <w:rFonts w:hint="eastAsia" w:ascii="宋体" w:hAnsi="宋体"/>
          <w:sz w:val="54"/>
          <w:szCs w:val="54"/>
        </w:rPr>
        <w:outlineLvl w:val="1"/>
      </w:pPr>
      <w:r/>
      <w:bookmarkStart w:id="210" w:name="_Toc5639"/>
      <w:r>
        <w:rPr>
          <w:rStyle w:val="1006"/>
          <w:rFonts w:ascii="宋体" w:hAnsi="宋体"/>
          <w:sz w:val="54"/>
          <w:szCs w:val="54"/>
        </w:rPr>
        <w:t xml:space="preserve">投 标 文 件</w:t>
      </w:r>
      <w:bookmarkEnd w:id="210"/>
      <w:r/>
      <w:r/>
    </w:p>
    <w:p>
      <w:pPr>
        <w:pStyle w:val="1043"/>
        <w:spacing w:before="240" w:after="240"/>
        <w:rPr>
          <w:rStyle w:val="1006"/>
          <w:rFonts w:hint="eastAsia" w:ascii="宋体" w:hAnsi="宋体"/>
        </w:rPr>
      </w:pPr>
      <w:r>
        <w:rPr>
          <w:rStyle w:val="1006"/>
          <w:rFonts w:ascii="宋体" w:hAnsi="宋体"/>
        </w:rPr>
        <w:t xml:space="preserve"> </w:t>
      </w:r>
      <w:r/>
    </w:p>
    <w:p>
      <w:pPr>
        <w:pStyle w:val="1043"/>
        <w:jc w:val="center"/>
        <w:spacing w:before="400" w:after="400"/>
        <w:rPr>
          <w:rStyle w:val="1006"/>
          <w:rFonts w:hint="eastAsia" w:ascii="宋体" w:hAnsi="宋体"/>
          <w:sz w:val="40"/>
          <w:szCs w:val="40"/>
        </w:rPr>
      </w:pPr>
      <w:r>
        <w:rPr>
          <w:rStyle w:val="1006"/>
          <w:rFonts w:ascii="宋体" w:hAnsi="宋体"/>
          <w:sz w:val="40"/>
          <w:szCs w:val="40"/>
        </w:rPr>
        <w:t xml:space="preserve"> </w:t>
      </w:r>
      <w:r/>
    </w:p>
    <w:p>
      <w:pPr>
        <w:pStyle w:val="1043"/>
        <w:spacing w:before="240" w:after="240"/>
        <w:rPr>
          <w:rStyle w:val="1006"/>
          <w:rFonts w:hint="eastAsia" w:ascii="宋体" w:hAnsi="宋体"/>
        </w:rPr>
      </w:pPr>
      <w:r>
        <w:rPr>
          <w:rStyle w:val="1006"/>
          <w:rFonts w:ascii="宋体" w:hAnsi="宋体"/>
        </w:rPr>
        <w:t xml:space="preserve"> </w:t>
      </w:r>
      <w:r/>
    </w:p>
    <w:p>
      <w:pPr>
        <w:pStyle w:val="1043"/>
        <w:jc w:val="center"/>
        <w:spacing w:before="360" w:after="360"/>
        <w:rPr>
          <w:rStyle w:val="1006"/>
          <w:rFonts w:hint="eastAsia" w:ascii="宋体" w:hAnsi="宋体"/>
          <w:sz w:val="36"/>
          <w:szCs w:val="36"/>
        </w:rPr>
        <w:outlineLvl w:val="1"/>
      </w:pPr>
      <w:r/>
      <w:bookmarkStart w:id="211" w:name="_Toc26027"/>
      <w:r>
        <w:rPr>
          <w:rStyle w:val="1006"/>
          <w:rFonts w:ascii="宋体" w:hAnsi="宋体"/>
          <w:sz w:val="36"/>
          <w:szCs w:val="36"/>
        </w:rPr>
        <w:t xml:space="preserve">项目名称：   </w:t>
      </w:r>
      <w:bookmarkEnd w:id="211"/>
      <w:r/>
      <w:r/>
    </w:p>
    <w:p>
      <w:pPr>
        <w:pStyle w:val="1043"/>
        <w:jc w:val="center"/>
        <w:spacing w:before="360" w:after="360"/>
        <w:rPr>
          <w:rStyle w:val="1006"/>
          <w:rFonts w:hint="eastAsia" w:ascii="宋体" w:hAnsi="宋体"/>
          <w:sz w:val="36"/>
          <w:szCs w:val="36"/>
        </w:rPr>
        <w:outlineLvl w:val="1"/>
      </w:pPr>
      <w:r/>
      <w:bookmarkStart w:id="212" w:name="_Toc5574"/>
      <w:r>
        <w:rPr>
          <w:rStyle w:val="1006"/>
          <w:rFonts w:ascii="宋体" w:hAnsi="宋体"/>
          <w:sz w:val="36"/>
          <w:szCs w:val="36"/>
        </w:rPr>
        <w:t xml:space="preserve">招标编号：   </w:t>
      </w:r>
      <w:bookmarkEnd w:id="212"/>
      <w:r/>
      <w:r/>
    </w:p>
    <w:p>
      <w:pPr>
        <w:pStyle w:val="1043"/>
        <w:jc w:val="center"/>
        <w:spacing w:before="360" w:after="360"/>
        <w:rPr>
          <w:rStyle w:val="1006"/>
          <w:rFonts w:hint="eastAsia" w:ascii="宋体" w:hAnsi="宋体"/>
          <w:sz w:val="36"/>
          <w:szCs w:val="36"/>
        </w:rPr>
      </w:pPr>
      <w:r>
        <w:rPr>
          <w:rStyle w:val="1006"/>
          <w:rFonts w:ascii="宋体" w:hAnsi="宋体"/>
          <w:sz w:val="36"/>
          <w:szCs w:val="36"/>
        </w:rPr>
        <w:t xml:space="preserve"> </w:t>
      </w:r>
      <w:r/>
    </w:p>
    <w:p>
      <w:pPr>
        <w:pStyle w:val="1043"/>
        <w:jc w:val="center"/>
        <w:spacing w:before="360" w:after="360"/>
        <w:rPr>
          <w:rStyle w:val="1006"/>
          <w:rFonts w:hint="eastAsia" w:ascii="宋体" w:hAnsi="宋体"/>
          <w:sz w:val="36"/>
          <w:szCs w:val="36"/>
        </w:rPr>
      </w:pPr>
      <w:r>
        <w:rPr>
          <w:rStyle w:val="1006"/>
          <w:rFonts w:ascii="宋体" w:hAnsi="宋体"/>
          <w:sz w:val="36"/>
          <w:szCs w:val="36"/>
        </w:rPr>
        <w:t xml:space="preserve"> </w:t>
      </w:r>
      <w:r/>
    </w:p>
    <w:p>
      <w:pPr>
        <w:pStyle w:val="1043"/>
        <w:jc w:val="center"/>
        <w:spacing w:before="360" w:after="360"/>
        <w:rPr>
          <w:rStyle w:val="1006"/>
          <w:rFonts w:hint="eastAsia" w:ascii="宋体" w:hAnsi="宋体"/>
          <w:sz w:val="36"/>
          <w:szCs w:val="36"/>
        </w:rPr>
        <w:outlineLvl w:val="1"/>
      </w:pPr>
      <w:r/>
      <w:bookmarkStart w:id="213" w:name="_Toc5779"/>
      <w:r>
        <w:rPr>
          <w:rStyle w:val="1006"/>
          <w:rFonts w:ascii="宋体" w:hAnsi="宋体"/>
          <w:sz w:val="36"/>
          <w:szCs w:val="36"/>
        </w:rPr>
        <w:t xml:space="preserve">投标人名称：   </w:t>
      </w:r>
      <w:bookmarkEnd w:id="213"/>
      <w:r/>
      <w:r/>
    </w:p>
    <w:p>
      <w:pPr>
        <w:pStyle w:val="1043"/>
        <w:jc w:val="center"/>
        <w:spacing w:before="360" w:after="360"/>
        <w:rPr>
          <w:rStyle w:val="1006"/>
          <w:rFonts w:hint="eastAsia" w:ascii="宋体" w:hAnsi="宋体"/>
          <w:sz w:val="36"/>
          <w:szCs w:val="36"/>
        </w:rPr>
        <w:outlineLvl w:val="1"/>
      </w:pPr>
      <w:r/>
      <w:bookmarkStart w:id="214" w:name="_Toc22080"/>
      <w:r>
        <w:rPr>
          <w:rStyle w:val="1006"/>
          <w:rFonts w:ascii="宋体" w:hAnsi="宋体"/>
          <w:sz w:val="36"/>
          <w:szCs w:val="36"/>
        </w:rPr>
        <w:t xml:space="preserve">日期：   </w:t>
      </w:r>
      <w:bookmarkEnd w:id="214"/>
      <w:r/>
      <w:r/>
    </w:p>
    <w:p>
      <w:pPr>
        <w:pStyle w:val="1043"/>
        <w:jc w:val="center"/>
        <w:spacing w:before="360" w:after="360"/>
        <w:rPr>
          <w:rStyle w:val="1006"/>
          <w:rFonts w:hint="eastAsia" w:ascii="宋体" w:hAnsi="宋体"/>
          <w:sz w:val="36"/>
          <w:szCs w:val="36"/>
        </w:rPr>
      </w:pPr>
      <w:r>
        <w:rPr>
          <w:rStyle w:val="1006"/>
          <w:rFonts w:ascii="宋体" w:hAnsi="宋体"/>
          <w:sz w:val="36"/>
          <w:szCs w:val="36"/>
        </w:rPr>
        <w:t xml:space="preserve"> </w:t>
      </w:r>
      <w:r/>
    </w:p>
    <w:p>
      <w:pPr>
        <w:pStyle w:val="1043"/>
        <w:spacing w:before="240" w:after="240"/>
        <w:rPr>
          <w:rStyle w:val="1006"/>
          <w:rFonts w:hint="eastAsia" w:ascii="宋体" w:hAnsi="宋体"/>
        </w:rPr>
      </w:pPr>
      <w:r>
        <w:rPr>
          <w:rStyle w:val="1006"/>
          <w:rFonts w:ascii="宋体" w:hAnsi="宋体"/>
        </w:rPr>
        <w:t xml:space="preserve"> </w:t>
      </w:r>
      <w:r/>
    </w:p>
    <w:p>
      <w:pPr>
        <w:pStyle w:val="1044"/>
        <w:rPr>
          <w:rStyle w:val="1006"/>
        </w:rPr>
        <w:outlineLvl w:val="0"/>
      </w:pPr>
      <w:r>
        <w:rPr>
          <w:rStyle w:val="1006"/>
        </w:rPr>
        <w:br w:type="page" w:clear="all"/>
      </w:r>
      <w:bookmarkStart w:id="215" w:name="_Toc12462"/>
      <w:r/>
      <w:bookmarkStart w:id="216" w:name="_Toc15138"/>
      <w:r/>
      <w:bookmarkStart w:id="217" w:name="_Toc24046"/>
      <w:r/>
      <w:bookmarkStart w:id="218" w:name="_Toc13967"/>
      <w:r/>
      <w:bookmarkStart w:id="219" w:name="_Toc22409"/>
      <w:r>
        <w:rPr>
          <w:rStyle w:val="1006"/>
          <w:rFonts w:ascii="宋体" w:hAnsi="宋体"/>
          <w:b/>
          <w:sz w:val="32"/>
        </w:rPr>
        <w:t xml:space="preserve">二、投标函格式</w:t>
      </w:r>
      <w:bookmarkEnd w:id="215"/>
      <w:r/>
      <w:bookmarkEnd w:id="216"/>
      <w:r/>
      <w:bookmarkEnd w:id="217"/>
      <w:r/>
      <w:bookmarkEnd w:id="218"/>
      <w:r/>
      <w:bookmarkEnd w:id="219"/>
      <w:r/>
      <w:r/>
    </w:p>
    <w:p>
      <w:pPr>
        <w:pStyle w:val="1045"/>
        <w:spacing w:line="440" w:lineRule="exact"/>
        <w:rPr>
          <w:rStyle w:val="1006"/>
          <w:rFonts w:hint="eastAsia" w:ascii="宋体" w:hAnsi="宋体"/>
        </w:rPr>
      </w:pPr>
      <w:r>
        <w:rPr>
          <w:rStyle w:val="1006"/>
          <w:rFonts w:ascii="宋体" w:hAnsi="宋体"/>
        </w:rPr>
        <w:t xml:space="preserve">﻿ </w:t>
      </w:r>
      <w:r/>
    </w:p>
    <w:p>
      <w:pPr>
        <w:pStyle w:val="1045"/>
        <w:ind w:firstLine="420"/>
        <w:jc w:val="center"/>
        <w:spacing w:before="320" w:after="320"/>
        <w:rPr>
          <w:rStyle w:val="1006"/>
          <w:rFonts w:hint="eastAsia" w:ascii="宋体" w:hAnsi="宋体"/>
          <w:b/>
          <w:bCs/>
          <w:sz w:val="32"/>
          <w:szCs w:val="32"/>
        </w:rPr>
      </w:pPr>
      <w:r>
        <w:rPr>
          <w:rStyle w:val="1006"/>
          <w:rFonts w:ascii="宋体" w:hAnsi="宋体"/>
          <w:b/>
          <w:bCs/>
          <w:sz w:val="32"/>
          <w:szCs w:val="32"/>
        </w:rPr>
        <w:t xml:space="preserve">投标函</w:t>
      </w:r>
      <w:r/>
    </w:p>
    <w:p>
      <w:pPr>
        <w:pStyle w:val="1045"/>
        <w:spacing w:before="240" w:after="240"/>
        <w:rPr>
          <w:rStyle w:val="1006"/>
          <w:rFonts w:hint="eastAsia" w:ascii="宋体" w:hAnsi="宋体"/>
          <w:sz w:val="24"/>
          <w:szCs w:val="24"/>
        </w:rPr>
      </w:pPr>
      <w:r>
        <w:rPr>
          <w:rStyle w:val="1006"/>
          <w:rFonts w:ascii="宋体" w:hAnsi="宋体"/>
          <w:sz w:val="24"/>
          <w:szCs w:val="24"/>
        </w:rPr>
        <w:t xml:space="preserve">致</w:t>
      </w:r>
      <w:r>
        <w:rPr>
          <w:rStyle w:val="1006"/>
          <w:rFonts w:ascii="宋体" w:hAnsi="宋体"/>
          <w:sz w:val="24"/>
          <w:szCs w:val="24"/>
          <w:u w:val="single"/>
        </w:rPr>
        <w:t xml:space="preserve">：   </w:t>
      </w:r>
      <w:r>
        <w:rPr>
          <w:rStyle w:val="1006"/>
          <w:rFonts w:ascii="宋体" w:hAnsi="宋体"/>
          <w:sz w:val="24"/>
          <w:szCs w:val="24"/>
        </w:rPr>
        <w:t xml:space="preserve">：</w:t>
      </w:r>
      <w:r/>
    </w:p>
    <w:p>
      <w:pPr>
        <w:pStyle w:val="1045"/>
        <w:spacing w:before="240" w:after="240"/>
        <w:rPr>
          <w:rStyle w:val="1006"/>
          <w:rFonts w:hint="eastAsia" w:ascii="宋体" w:hAnsi="宋体"/>
          <w:sz w:val="24"/>
          <w:szCs w:val="24"/>
        </w:rPr>
      </w:pPr>
      <w:r>
        <w:rPr>
          <w:rStyle w:val="1006"/>
          <w:rFonts w:ascii="宋体" w:hAnsi="宋体"/>
          <w:sz w:val="24"/>
          <w:szCs w:val="24"/>
        </w:rPr>
        <w:t xml:space="preserve">根据贵方的</w:t>
      </w:r>
      <w:r>
        <w:rPr>
          <w:rStyle w:val="1006"/>
          <w:rFonts w:ascii="宋体" w:hAnsi="宋体"/>
          <w:sz w:val="24"/>
          <w:szCs w:val="24"/>
          <w:u w:val="single"/>
        </w:rPr>
        <w:t xml:space="preserve">   </w:t>
      </w:r>
      <w:r>
        <w:rPr>
          <w:rStyle w:val="1006"/>
          <w:rFonts w:ascii="宋体" w:hAnsi="宋体"/>
          <w:sz w:val="24"/>
          <w:szCs w:val="24"/>
        </w:rPr>
        <w:t xml:space="preserve">号招标文件，正式授权下述签字人</w:t>
      </w:r>
      <w:r>
        <w:rPr>
          <w:rStyle w:val="1006"/>
          <w:rFonts w:ascii="宋体" w:hAnsi="宋体"/>
          <w:sz w:val="24"/>
          <w:szCs w:val="24"/>
          <w:u w:val="single"/>
        </w:rPr>
        <w:t xml:space="preserve">     </w:t>
      </w:r>
      <w:r>
        <w:rPr>
          <w:rStyle w:val="1006"/>
          <w:rFonts w:ascii="宋体" w:hAnsi="宋体"/>
          <w:sz w:val="24"/>
          <w:szCs w:val="24"/>
        </w:rPr>
        <w:t xml:space="preserve"> (姓名和职务)代表我方</w:t>
      </w:r>
      <w:r>
        <w:rPr>
          <w:rStyle w:val="1006"/>
          <w:rFonts w:ascii="宋体" w:hAnsi="宋体"/>
          <w:sz w:val="24"/>
          <w:szCs w:val="24"/>
          <w:u w:val="single"/>
        </w:rPr>
        <w:t xml:space="preserve">   </w:t>
      </w:r>
      <w:r>
        <w:rPr>
          <w:rStyle w:val="1006"/>
          <w:rFonts w:ascii="宋体" w:hAnsi="宋体"/>
          <w:sz w:val="24"/>
          <w:szCs w:val="24"/>
        </w:rPr>
        <w:t xml:space="preserve">（投标人的名称），全权处理本次项目投标的有关事宜。 </w:t>
      </w:r>
      <w:r/>
    </w:p>
    <w:p>
      <w:pPr>
        <w:pStyle w:val="1045"/>
        <w:spacing w:before="240" w:after="240"/>
        <w:rPr>
          <w:rStyle w:val="1006"/>
          <w:rFonts w:hint="eastAsia" w:ascii="宋体" w:hAnsi="宋体"/>
          <w:sz w:val="24"/>
          <w:szCs w:val="24"/>
        </w:rPr>
      </w:pPr>
      <w:r>
        <w:rPr>
          <w:rStyle w:val="1006"/>
          <w:rFonts w:ascii="宋体" w:hAnsi="宋体"/>
          <w:sz w:val="24"/>
          <w:szCs w:val="24"/>
        </w:rPr>
        <w:t xml:space="preserve">据此函，签字人兹宣布同意如下： </w:t>
      </w:r>
      <w:r/>
    </w:p>
    <w:p>
      <w:pPr>
        <w:pStyle w:val="1045"/>
        <w:spacing w:before="240" w:after="240"/>
        <w:rPr>
          <w:rStyle w:val="1006"/>
          <w:rFonts w:hint="eastAsia" w:ascii="宋体" w:hAnsi="宋体"/>
          <w:sz w:val="24"/>
          <w:szCs w:val="24"/>
        </w:rPr>
      </w:pPr>
      <w:r>
        <w:rPr>
          <w:rStyle w:val="1006"/>
          <w:rFonts w:ascii="宋体" w:hAnsi="宋体"/>
          <w:sz w:val="24"/>
          <w:szCs w:val="24"/>
        </w:rPr>
        <w:t xml:space="preserve">1、同意向贵方提供贵方可能另外要求的与投标有关的任何证据或资料； </w:t>
      </w:r>
      <w:r/>
    </w:p>
    <w:p>
      <w:pPr>
        <w:pStyle w:val="1045"/>
        <w:spacing w:before="240" w:after="240"/>
        <w:rPr>
          <w:rStyle w:val="1006"/>
          <w:rFonts w:hint="eastAsia" w:ascii="宋体" w:hAnsi="宋体"/>
          <w:sz w:val="24"/>
          <w:szCs w:val="24"/>
        </w:rPr>
      </w:pPr>
      <w:r>
        <w:rPr>
          <w:rStyle w:val="1006"/>
          <w:rFonts w:ascii="宋体" w:hAnsi="宋体"/>
          <w:sz w:val="24"/>
          <w:szCs w:val="24"/>
        </w:rPr>
        <w:t xml:space="preserve">2、我们完全理解贵方不一定将合同授予最低报价的投标人； </w:t>
      </w:r>
      <w:r/>
    </w:p>
    <w:p>
      <w:pPr>
        <w:pStyle w:val="1045"/>
        <w:spacing w:before="240" w:after="240"/>
        <w:rPr>
          <w:rStyle w:val="1006"/>
          <w:rFonts w:hint="eastAsia" w:ascii="宋体" w:hAnsi="宋体"/>
          <w:sz w:val="24"/>
          <w:szCs w:val="24"/>
        </w:rPr>
      </w:pPr>
      <w:r>
        <w:rPr>
          <w:rStyle w:val="1006"/>
          <w:rFonts w:ascii="宋体" w:hAnsi="宋体"/>
          <w:sz w:val="24"/>
          <w:szCs w:val="24"/>
        </w:rPr>
        <w:t xml:space="preserve">3、我们已详细审核全部招标文件及其有效补充文件，我们知道必须放弃提出含糊不清或误解问题的权利； </w:t>
      </w:r>
      <w:r/>
    </w:p>
    <w:p>
      <w:pPr>
        <w:pStyle w:val="1045"/>
        <w:spacing w:before="240" w:after="240"/>
        <w:rPr>
          <w:rStyle w:val="1006"/>
          <w:rFonts w:hint="eastAsia" w:ascii="宋体" w:hAnsi="宋体"/>
          <w:sz w:val="24"/>
          <w:szCs w:val="24"/>
        </w:rPr>
      </w:pPr>
      <w:r>
        <w:rPr>
          <w:rStyle w:val="1006"/>
          <w:rFonts w:ascii="宋体" w:hAnsi="宋体"/>
          <w:sz w:val="24"/>
          <w:szCs w:val="24"/>
        </w:rPr>
        <w:t xml:space="preserve">4、一旦我方中标，我们将根据招标文件的规定，严格履行合同条款的责任和义务，并保证按照合同条款提供服务； </w:t>
      </w:r>
      <w:r/>
    </w:p>
    <w:p>
      <w:pPr>
        <w:pStyle w:val="1045"/>
        <w:spacing w:before="240" w:after="240"/>
        <w:rPr>
          <w:rStyle w:val="1006"/>
          <w:rFonts w:hint="eastAsia" w:ascii="宋体" w:hAnsi="宋体"/>
          <w:sz w:val="24"/>
          <w:szCs w:val="24"/>
        </w:rPr>
      </w:pPr>
      <w:r>
        <w:rPr>
          <w:rStyle w:val="1006"/>
          <w:rFonts w:ascii="宋体" w:hAnsi="宋体"/>
          <w:sz w:val="24"/>
          <w:szCs w:val="24"/>
        </w:rPr>
        <w:t xml:space="preserve">5、与本投标有关的正式通讯地址为： </w:t>
      </w:r>
      <w:r/>
    </w:p>
    <w:p>
      <w:pPr>
        <w:pStyle w:val="1045"/>
        <w:spacing w:before="240" w:after="240"/>
        <w:rPr>
          <w:rStyle w:val="1006"/>
          <w:rFonts w:hint="eastAsia" w:ascii="宋体" w:hAnsi="宋体"/>
          <w:sz w:val="24"/>
          <w:szCs w:val="24"/>
        </w:rPr>
      </w:pPr>
      <w:r>
        <w:rPr>
          <w:rStyle w:val="1006"/>
          <w:rFonts w:ascii="宋体" w:hAnsi="宋体"/>
          <w:sz w:val="24"/>
          <w:szCs w:val="24"/>
        </w:rPr>
        <w:t xml:space="preserve">地址：    </w:t>
      </w:r>
      <w:r/>
    </w:p>
    <w:p>
      <w:pPr>
        <w:pStyle w:val="1045"/>
        <w:spacing w:before="240" w:after="240"/>
        <w:rPr>
          <w:rStyle w:val="1006"/>
          <w:rFonts w:hint="eastAsia" w:ascii="宋体" w:hAnsi="宋体"/>
          <w:sz w:val="24"/>
          <w:szCs w:val="24"/>
        </w:rPr>
      </w:pPr>
      <w:r>
        <w:rPr>
          <w:rStyle w:val="1006"/>
          <w:rFonts w:ascii="宋体" w:hAnsi="宋体"/>
          <w:sz w:val="24"/>
          <w:szCs w:val="24"/>
        </w:rPr>
        <w:t xml:space="preserve">邮编：    </w:t>
      </w:r>
      <w:r/>
    </w:p>
    <w:p>
      <w:pPr>
        <w:pStyle w:val="1045"/>
        <w:spacing w:before="240" w:after="240"/>
        <w:rPr>
          <w:rStyle w:val="1006"/>
          <w:rFonts w:hint="eastAsia" w:ascii="宋体" w:hAnsi="宋体"/>
          <w:sz w:val="24"/>
          <w:szCs w:val="24"/>
        </w:rPr>
      </w:pPr>
      <w:r>
        <w:rPr>
          <w:rStyle w:val="1006"/>
          <w:rFonts w:ascii="宋体" w:hAnsi="宋体"/>
          <w:sz w:val="24"/>
          <w:szCs w:val="24"/>
        </w:rPr>
        <w:t xml:space="preserve">电话：    </w:t>
      </w:r>
      <w:r/>
    </w:p>
    <w:p>
      <w:pPr>
        <w:pStyle w:val="1045"/>
        <w:spacing w:before="240" w:after="240"/>
        <w:rPr>
          <w:rStyle w:val="1006"/>
          <w:rFonts w:hint="eastAsia" w:ascii="宋体" w:hAnsi="宋体"/>
          <w:sz w:val="24"/>
          <w:szCs w:val="24"/>
        </w:rPr>
      </w:pPr>
      <w:r>
        <w:rPr>
          <w:rStyle w:val="1006"/>
          <w:rFonts w:ascii="宋体" w:hAnsi="宋体"/>
          <w:sz w:val="24"/>
          <w:szCs w:val="24"/>
        </w:rPr>
        <w:t xml:space="preserve">传真：    </w:t>
      </w:r>
      <w:r/>
    </w:p>
    <w:p>
      <w:pPr>
        <w:pStyle w:val="1045"/>
        <w:spacing w:before="240" w:after="240"/>
        <w:rPr>
          <w:rStyle w:val="1006"/>
          <w:rFonts w:hint="eastAsia" w:ascii="宋体" w:hAnsi="宋体"/>
          <w:sz w:val="24"/>
          <w:szCs w:val="24"/>
        </w:rPr>
      </w:pPr>
      <w:r>
        <w:rPr>
          <w:rStyle w:val="1006"/>
          <w:rFonts w:ascii="宋体" w:hAnsi="宋体"/>
          <w:sz w:val="24"/>
          <w:szCs w:val="24"/>
        </w:rPr>
        <w:t xml:space="preserve">投标单位代表姓名：    </w:t>
      </w:r>
      <w:r/>
    </w:p>
    <w:p>
      <w:pPr>
        <w:pStyle w:val="1045"/>
        <w:spacing w:before="240" w:after="240"/>
        <w:rPr>
          <w:rStyle w:val="1006"/>
          <w:rFonts w:hint="eastAsia" w:ascii="宋体" w:hAnsi="宋体"/>
          <w:sz w:val="24"/>
          <w:szCs w:val="24"/>
        </w:rPr>
      </w:pPr>
      <w:r>
        <w:rPr>
          <w:rStyle w:val="1006"/>
          <w:rFonts w:ascii="宋体" w:hAnsi="宋体"/>
          <w:sz w:val="24"/>
          <w:szCs w:val="24"/>
        </w:rPr>
        <w:t xml:space="preserve">投标单位名称：    </w:t>
      </w:r>
      <w:r/>
    </w:p>
    <w:p>
      <w:pPr>
        <w:pStyle w:val="1045"/>
        <w:spacing w:before="240" w:after="240"/>
        <w:rPr>
          <w:rStyle w:val="1006"/>
          <w:rFonts w:hint="eastAsia" w:ascii="宋体" w:hAnsi="宋体"/>
          <w:sz w:val="24"/>
          <w:szCs w:val="24"/>
        </w:rPr>
      </w:pPr>
      <w:r>
        <w:rPr>
          <w:rStyle w:val="1006"/>
          <w:rFonts w:ascii="宋体" w:hAnsi="宋体"/>
          <w:sz w:val="24"/>
          <w:szCs w:val="24"/>
        </w:rPr>
        <w:t xml:space="preserve">公章：</w:t>
      </w:r>
      <w:r/>
    </w:p>
    <w:p>
      <w:pPr>
        <w:pStyle w:val="1045"/>
        <w:spacing w:before="240" w:after="240"/>
        <w:rPr>
          <w:rStyle w:val="1006"/>
          <w:rFonts w:hint="eastAsia" w:ascii="宋体" w:hAnsi="宋体"/>
          <w:sz w:val="24"/>
          <w:szCs w:val="24"/>
        </w:rPr>
      </w:pPr>
      <w:r>
        <w:rPr>
          <w:rStyle w:val="1006"/>
          <w:rFonts w:ascii="宋体" w:hAnsi="宋体"/>
          <w:sz w:val="24"/>
          <w:szCs w:val="24"/>
        </w:rPr>
        <w:t xml:space="preserve">日期：   </w:t>
      </w:r>
      <w:r/>
    </w:p>
    <w:p>
      <w:pPr>
        <w:pStyle w:val="1045"/>
        <w:spacing w:before="240" w:after="240"/>
        <w:rPr>
          <w:rStyle w:val="1006"/>
          <w:rFonts w:hint="eastAsia" w:ascii="宋体" w:hAnsi="宋体"/>
        </w:rPr>
      </w:pPr>
      <w:r>
        <w:rPr>
          <w:rStyle w:val="1006"/>
          <w:rFonts w:ascii="宋体" w:hAnsi="宋体"/>
        </w:rPr>
        <w:t xml:space="preserve"> </w:t>
      </w:r>
      <w:r/>
    </w:p>
    <w:p>
      <w:pPr>
        <w:pStyle w:val="1046"/>
        <w:rPr>
          <w:rStyle w:val="1006"/>
        </w:rPr>
        <w:outlineLvl w:val="0"/>
      </w:pPr>
      <w:r>
        <w:rPr>
          <w:rStyle w:val="1006"/>
        </w:rPr>
        <w:br w:type="page" w:clear="all"/>
      </w:r>
      <w:bookmarkStart w:id="220" w:name="_Toc30137"/>
      <w:r/>
      <w:bookmarkStart w:id="221" w:name="_Toc689"/>
      <w:r/>
      <w:bookmarkStart w:id="222" w:name="_Toc30201"/>
      <w:r/>
      <w:bookmarkStart w:id="223" w:name="_Toc24631"/>
      <w:r/>
      <w:bookmarkStart w:id="224" w:name="_Toc20603"/>
      <w:r>
        <w:rPr>
          <w:rStyle w:val="1006"/>
          <w:rFonts w:ascii="宋体" w:hAnsi="宋体"/>
          <w:b/>
          <w:sz w:val="32"/>
        </w:rPr>
        <w:t xml:space="preserve">三、开标一览表</w:t>
      </w:r>
      <w:bookmarkEnd w:id="220"/>
      <w:r/>
      <w:bookmarkEnd w:id="221"/>
      <w:r/>
      <w:bookmarkEnd w:id="222"/>
      <w:r/>
      <w:bookmarkEnd w:id="223"/>
      <w:r/>
      <w:bookmarkEnd w:id="224"/>
      <w:r/>
      <w:r/>
    </w:p>
    <w:p>
      <w:pPr>
        <w:pStyle w:val="1047"/>
        <w:jc w:val="center"/>
        <w:spacing w:line="440" w:lineRule="exact"/>
        <w:rPr>
          <w:rStyle w:val="1006"/>
          <w:rFonts w:hint="eastAsia" w:ascii="宋体" w:hAnsi="宋体"/>
          <w:sz w:val="24"/>
          <w:szCs w:val="24"/>
        </w:rPr>
      </w:pPr>
      <w:r>
        <w:rPr>
          <w:rStyle w:val="1006"/>
          <w:rFonts w:ascii="宋体" w:hAnsi="宋体"/>
          <w:sz w:val="24"/>
          <w:szCs w:val="24"/>
        </w:rPr>
        <w:t xml:space="preserve">﻿ </w:t>
      </w:r>
      <w:r>
        <w:rPr>
          <w:rStyle w:val="1006"/>
          <w:rFonts w:hint="eastAsia" w:ascii="宋体" w:hAnsi="宋体"/>
          <w:sz w:val="24"/>
          <w:szCs w:val="24"/>
        </w:rPr>
        <w:t xml:space="preserve">开标一览表（总报价）</w:t>
      </w:r>
      <w:r/>
    </w:p>
    <w:p>
      <w:pPr>
        <w:pStyle w:val="1047"/>
        <w:spacing w:before="240" w:after="240"/>
        <w:rPr>
          <w:rStyle w:val="1006"/>
          <w:rFonts w:hint="eastAsia" w:ascii="宋体" w:hAnsi="宋体"/>
          <w:sz w:val="24"/>
          <w:szCs w:val="24"/>
        </w:rPr>
      </w:pPr>
      <w:r>
        <w:rPr>
          <w:rStyle w:val="1006"/>
          <w:rFonts w:ascii="宋体" w:hAnsi="宋体"/>
          <w:sz w:val="24"/>
          <w:szCs w:val="24"/>
        </w:rPr>
        <w:t xml:space="preserve">投标</w:t>
      </w:r>
      <w:r>
        <w:rPr>
          <w:rStyle w:val="1006"/>
          <w:rFonts w:hint="eastAsia" w:ascii="宋体" w:hAnsi="宋体"/>
          <w:sz w:val="24"/>
          <w:szCs w:val="24"/>
        </w:rPr>
        <w:t xml:space="preserve">人</w:t>
      </w:r>
      <w:r>
        <w:rPr>
          <w:rStyle w:val="1006"/>
          <w:rFonts w:ascii="宋体" w:hAnsi="宋体"/>
          <w:sz w:val="24"/>
          <w:szCs w:val="24"/>
        </w:rPr>
        <w:t xml:space="preserve">全称（加盖公章）：</w:t>
      </w:r>
      <w:r/>
    </w:p>
    <w:p>
      <w:pPr>
        <w:pStyle w:val="1047"/>
        <w:spacing w:before="240" w:after="240"/>
        <w:rPr>
          <w:rStyle w:val="1006"/>
          <w:rFonts w:hint="eastAsia" w:ascii="宋体" w:hAnsi="宋体"/>
          <w:sz w:val="24"/>
          <w:szCs w:val="24"/>
        </w:rPr>
      </w:pPr>
      <w:r>
        <w:rPr>
          <w:rStyle w:val="1006"/>
          <w:rFonts w:hint="eastAsia" w:ascii="宋体" w:hAnsi="宋体"/>
          <w:sz w:val="24"/>
          <w:szCs w:val="24"/>
        </w:rPr>
        <w:t xml:space="preserve">项目编号：</w:t>
      </w:r>
      <w:r>
        <w:rPr>
          <w:rStyle w:val="1006"/>
          <w:rFonts w:ascii="宋体" w:hAnsi="宋体"/>
          <w:sz w:val="24"/>
          <w:szCs w:val="24"/>
        </w:rPr>
        <w:t xml:space="preserve">    </w:t>
      </w:r>
      <w:r/>
    </w:p>
    <w:p>
      <w:pPr>
        <w:pStyle w:val="1047"/>
        <w:spacing w:before="240" w:after="240"/>
        <w:rPr>
          <w:rStyle w:val="1006"/>
          <w:rFonts w:hint="eastAsia" w:ascii="宋体" w:hAnsi="宋体"/>
          <w:sz w:val="24"/>
          <w:szCs w:val="24"/>
        </w:rPr>
      </w:pPr>
      <w:r>
        <w:rPr>
          <w:rStyle w:val="1006"/>
          <w:rFonts w:hint="eastAsia" w:ascii="宋体" w:hAnsi="宋体"/>
          <w:sz w:val="24"/>
          <w:szCs w:val="24"/>
        </w:rPr>
        <w:t xml:space="preserve">分包号：</w:t>
      </w:r>
      <w:r/>
    </w:p>
    <w:tbl>
      <w:tblPr>
        <w:tblStyle w:val="816"/>
        <w:tblW w:w="8985" w:type="dxa"/>
        <w:tblInd w:w="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66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1047"/>
              <w:jc w:val="both"/>
              <w:rPr>
                <w:rStyle w:val="1006"/>
                <w:rFonts w:hint="eastAsia" w:ascii="宋体" w:hAnsi="宋体"/>
                <w:sz w:val="24"/>
                <w:szCs w:val="24"/>
              </w:rPr>
            </w:pPr>
            <w:r>
              <w:rPr>
                <w:rStyle w:val="1006"/>
                <w:rFonts w:ascii="宋体" w:hAnsi="宋体"/>
                <w:sz w:val="24"/>
                <w:szCs w:val="24"/>
              </w:rPr>
              <w:t xml:space="preserve">项目名称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1047"/>
              <w:jc w:val="both"/>
              <w:rPr>
                <w:rStyle w:val="1006"/>
                <w:rFonts w:hint="eastAsia" w:ascii="宋体" w:hAnsi="宋体"/>
                <w:sz w:val="24"/>
                <w:szCs w:val="24"/>
              </w:rPr>
            </w:pPr>
            <w:r>
              <w:rPr>
                <w:rStyle w:val="1006"/>
                <w:rFonts w:hint="eastAsia" w:ascii="宋体" w:hAnsi="宋体"/>
                <w:sz w:val="24"/>
                <w:szCs w:val="24"/>
              </w:rPr>
              <w:t xml:space="preserve">投标总报价</w:t>
            </w:r>
            <w:r>
              <w:rPr>
                <w:rStyle w:val="1006"/>
                <w:rFonts w:ascii="宋体" w:hAnsi="宋体"/>
                <w:sz w:val="24"/>
                <w:szCs w:val="24"/>
              </w:rPr>
              <w:t xml:space="preserve">（元） </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1047"/>
              <w:jc w:val="both"/>
              <w:rPr>
                <w:rStyle w:val="1006"/>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1047"/>
              <w:rPr>
                <w:rStyle w:val="1006"/>
                <w:rFonts w:hint="eastAsia" w:ascii="宋体" w:hAnsi="宋体"/>
                <w:sz w:val="24"/>
                <w:szCs w:val="24"/>
              </w:rPr>
            </w:pPr>
            <w:r>
              <w:rPr>
                <w:rStyle w:val="1006"/>
                <w:rFonts w:ascii="宋体" w:hAnsi="宋体"/>
                <w:sz w:val="24"/>
                <w:szCs w:val="24"/>
              </w:rPr>
              <w:t xml:space="preserve">  </w:t>
            </w:r>
            <w:r/>
          </w:p>
          <w:p>
            <w:pPr>
              <w:pStyle w:val="1047"/>
              <w:rPr>
                <w:rStyle w:val="1006"/>
                <w:rFonts w:hint="eastAsia" w:ascii="宋体" w:hAnsi="宋体"/>
                <w:sz w:val="24"/>
                <w:szCs w:val="24"/>
              </w:rPr>
            </w:pPr>
            <w:r>
              <w:rPr>
                <w:rStyle w:val="1006"/>
                <w:rFonts w:hint="eastAsia" w:ascii="宋体" w:hAnsi="宋体"/>
                <w:sz w:val="24"/>
                <w:szCs w:val="24"/>
              </w:rPr>
              <w:t xml:space="preserve">小写：      （元人民币）</w:t>
            </w:r>
            <w:r/>
          </w:p>
          <w:p>
            <w:pPr>
              <w:pStyle w:val="1047"/>
              <w:rPr>
                <w:rStyle w:val="1006"/>
                <w:rFonts w:hint="eastAsia" w:ascii="宋体" w:hAnsi="宋体"/>
                <w:sz w:val="24"/>
                <w:szCs w:val="24"/>
              </w:rPr>
            </w:pPr>
            <w:r>
              <w:rPr>
                <w:rStyle w:val="1006"/>
                <w:rFonts w:ascii="宋体" w:hAnsi="宋体"/>
                <w:sz w:val="24"/>
                <w:szCs w:val="24"/>
              </w:rPr>
              <w:t xml:space="preserve">     </w:t>
            </w:r>
            <w:r/>
          </w:p>
        </w:tc>
      </w:tr>
      <w:tr>
        <w:trPr>
          <w:trHeight w:val="70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1047"/>
              <w:rPr>
                <w:rStyle w:val="1006"/>
                <w:rFonts w:hint="eastAsia" w:ascii="宋体" w:hAnsi="宋体"/>
                <w:sz w:val="24"/>
                <w:szCs w:val="24"/>
              </w:rPr>
            </w:pPr>
            <w:r>
              <w:rPr>
                <w:rStyle w:val="1006"/>
                <w:rFonts w:ascii="宋体" w:hAnsi="宋体"/>
                <w:sz w:val="24"/>
                <w:szCs w:val="24"/>
              </w:rPr>
              <w:t xml:space="preserve">投标</w:t>
            </w:r>
            <w:r>
              <w:rPr>
                <w:rStyle w:val="1006"/>
                <w:rFonts w:hint="eastAsia" w:ascii="宋体" w:hAnsi="宋体"/>
                <w:sz w:val="24"/>
                <w:szCs w:val="24"/>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1047"/>
              <w:rPr>
                <w:rStyle w:val="1006"/>
                <w:rFonts w:hint="eastAsia" w:ascii="宋体" w:hAnsi="宋体"/>
                <w:sz w:val="24"/>
                <w:szCs w:val="24"/>
              </w:rPr>
            </w:pPr>
            <w:r>
              <w:rPr>
                <w:rStyle w:val="1006"/>
                <w:rFonts w:ascii="宋体" w:hAnsi="宋体"/>
                <w:sz w:val="24"/>
                <w:szCs w:val="24"/>
              </w:rPr>
              <w:t xml:space="preserve">  </w:t>
            </w:r>
            <w:r>
              <w:rPr>
                <w:rStyle w:val="1006"/>
                <w:rFonts w:hint="eastAsia" w:ascii="宋体" w:hAnsi="宋体"/>
                <w:sz w:val="24"/>
                <w:szCs w:val="24"/>
              </w:rPr>
              <w:t xml:space="preserve">金额大写</w:t>
            </w:r>
            <w:r>
              <w:rPr>
                <w:rStyle w:val="1006"/>
                <w:rFonts w:ascii="宋体" w:hAnsi="宋体"/>
                <w:sz w:val="24"/>
                <w:szCs w:val="24"/>
              </w:rPr>
              <w:t xml:space="preserve">  </w:t>
            </w:r>
            <w:r/>
          </w:p>
        </w:tc>
      </w:tr>
    </w:tbl>
    <w:p>
      <w:pPr>
        <w:pStyle w:val="1047"/>
        <w:spacing w:before="240" w:after="240"/>
        <w:rPr>
          <w:rStyle w:val="1006"/>
          <w:rFonts w:hint="eastAsia" w:ascii="宋体" w:hAnsi="宋体"/>
          <w:sz w:val="24"/>
          <w:szCs w:val="24"/>
        </w:rPr>
      </w:pPr>
      <w:r>
        <w:rPr>
          <w:rStyle w:val="1006"/>
          <w:rFonts w:ascii="宋体" w:hAnsi="宋体"/>
          <w:sz w:val="24"/>
          <w:szCs w:val="24"/>
        </w:rPr>
        <w:t xml:space="preserve"> </w:t>
      </w:r>
      <w:r>
        <w:rPr>
          <w:rStyle w:val="1006"/>
          <w:rFonts w:hint="eastAsia" w:ascii="宋体" w:hAnsi="宋体"/>
          <w:sz w:val="24"/>
          <w:szCs w:val="24"/>
        </w:rPr>
        <w:t xml:space="preserve">                                           日期：  年   月   日</w:t>
      </w:r>
      <w:r/>
    </w:p>
    <w:p>
      <w:pPr>
        <w:pStyle w:val="1048"/>
        <w:rPr>
          <w:rStyle w:val="1006"/>
          <w:sz w:val="24"/>
          <w:szCs w:val="28"/>
        </w:rPr>
        <w:outlineLvl w:val="0"/>
      </w:pPr>
      <w:r/>
      <w:bookmarkStart w:id="225" w:name="_Toc1415"/>
      <w:r/>
      <w:bookmarkStart w:id="226" w:name="_Toc30336"/>
      <w:r/>
      <w:bookmarkStart w:id="227" w:name="_Toc15499"/>
      <w:r>
        <w:rPr>
          <w:rStyle w:val="1006"/>
          <w:rFonts w:hint="eastAsia"/>
          <w:sz w:val="24"/>
          <w:szCs w:val="28"/>
        </w:rPr>
        <w:t xml:space="preserve">填写说明：</w:t>
      </w:r>
      <w:bookmarkEnd w:id="225"/>
      <w:r/>
      <w:bookmarkEnd w:id="226"/>
      <w:r/>
      <w:bookmarkEnd w:id="227"/>
      <w:r/>
      <w:r/>
    </w:p>
    <w:p>
      <w:pPr>
        <w:pStyle w:val="1048"/>
        <w:numPr>
          <w:ilvl w:val="0"/>
          <w:numId w:val="9"/>
        </w:numPr>
        <w:spacing w:line="440" w:lineRule="exact"/>
        <w:rPr>
          <w:rStyle w:val="1006"/>
          <w:i/>
          <w:iCs/>
          <w:sz w:val="24"/>
          <w:szCs w:val="28"/>
          <w:u w:val="single"/>
        </w:rPr>
        <w:outlineLvl w:val="0"/>
      </w:pPr>
      <w:r/>
      <w:bookmarkStart w:id="228" w:name="_Toc24830"/>
      <w:r/>
      <w:bookmarkStart w:id="229" w:name="_Toc5584"/>
      <w:r/>
      <w:bookmarkStart w:id="230" w:name="_Toc18256"/>
      <w:r>
        <w:rPr>
          <w:rStyle w:val="1006"/>
          <w:rFonts w:hint="eastAsia"/>
          <w:i/>
          <w:iCs/>
          <w:sz w:val="24"/>
          <w:szCs w:val="28"/>
          <w:u w:val="single"/>
        </w:rPr>
        <w:t xml:space="preserve">开标一览表必须加盖投标人公章（复印件无效）。</w:t>
      </w:r>
      <w:bookmarkEnd w:id="228"/>
      <w:r/>
      <w:bookmarkEnd w:id="229"/>
      <w:r/>
      <w:bookmarkEnd w:id="230"/>
      <w:r/>
      <w:r/>
    </w:p>
    <w:p>
      <w:pPr>
        <w:pStyle w:val="1048"/>
        <w:numPr>
          <w:ilvl w:val="0"/>
          <w:numId w:val="9"/>
        </w:numPr>
        <w:spacing w:line="440" w:lineRule="exact"/>
        <w:rPr>
          <w:rStyle w:val="1006"/>
          <w:i/>
          <w:iCs/>
          <w:sz w:val="24"/>
          <w:szCs w:val="28"/>
          <w:u w:val="single"/>
        </w:rPr>
        <w:outlineLvl w:val="0"/>
      </w:pPr>
      <w:r/>
      <w:bookmarkStart w:id="231" w:name="_Toc1241"/>
      <w:r/>
      <w:bookmarkStart w:id="232" w:name="_Toc30436"/>
      <w:r/>
      <w:bookmarkStart w:id="233" w:name="_Toc30690"/>
      <w:r>
        <w:rPr>
          <w:rStyle w:val="1006"/>
          <w:rFonts w:hint="eastAsia"/>
          <w:i/>
          <w:iCs/>
          <w:sz w:val="24"/>
          <w:szCs w:val="28"/>
          <w:u w:val="single"/>
        </w:rPr>
        <w:t xml:space="preserve">如有分包，投标人投任何一个包的标的，都需单独填写开标一览表。</w:t>
      </w:r>
      <w:bookmarkEnd w:id="231"/>
      <w:r/>
      <w:bookmarkEnd w:id="232"/>
      <w:r/>
      <w:bookmarkEnd w:id="233"/>
      <w:r/>
      <w:r/>
    </w:p>
    <w:p>
      <w:pPr>
        <w:pStyle w:val="1048"/>
        <w:rPr>
          <w:rStyle w:val="1006"/>
        </w:rPr>
        <w:outlineLvl w:val="0"/>
      </w:pPr>
      <w:r>
        <w:rPr>
          <w:rStyle w:val="1006"/>
        </w:rPr>
        <w:br w:type="page" w:clear="all"/>
      </w:r>
      <w:bookmarkStart w:id="234" w:name="_Toc4776"/>
      <w:r/>
      <w:bookmarkStart w:id="235" w:name="_Toc32613"/>
      <w:r/>
      <w:bookmarkStart w:id="236" w:name="_Toc10307"/>
      <w:r/>
      <w:bookmarkStart w:id="237" w:name="_Toc25301"/>
      <w:r/>
      <w:bookmarkStart w:id="238" w:name="_Toc13295"/>
      <w:r>
        <w:rPr>
          <w:rStyle w:val="1006"/>
          <w:rFonts w:ascii="宋体" w:hAnsi="宋体"/>
          <w:b/>
          <w:sz w:val="32"/>
        </w:rPr>
        <w:t xml:space="preserve">四、资格证明文件</w:t>
      </w:r>
      <w:bookmarkEnd w:id="234"/>
      <w:r/>
      <w:bookmarkEnd w:id="235"/>
      <w:r/>
      <w:bookmarkEnd w:id="236"/>
      <w:r/>
      <w:bookmarkEnd w:id="237"/>
      <w:r/>
      <w:bookmarkEnd w:id="238"/>
      <w:r/>
      <w:r/>
    </w:p>
    <w:p>
      <w:pPr>
        <w:pStyle w:val="1049"/>
        <w:numPr>
          <w:ilvl w:val="0"/>
          <w:numId w:val="0"/>
        </w:numPr>
        <w:ind w:left="105" w:firstLine="482"/>
        <w:spacing w:line="400" w:lineRule="exact"/>
        <w:rPr>
          <w:rFonts w:hint="eastAsia"/>
          <w:b/>
          <w:bCs/>
          <w:i/>
          <w:sz w:val="24"/>
          <w:szCs w:val="24"/>
          <w:u w:val="single"/>
        </w:rPr>
      </w:pPr>
      <w:r>
        <w:rPr>
          <w:rFonts w:hint="eastAsia"/>
          <w:b/>
          <w:bCs/>
          <w:i/>
          <w:sz w:val="24"/>
          <w:szCs w:val="24"/>
          <w:u w:val="single"/>
        </w:rPr>
        <w:t xml:space="preserve">投标人必须在投标文件提交截止时间之前递交以下资格证明文件：</w:t>
      </w:r>
      <w:r/>
    </w:p>
    <w:p>
      <w:pPr>
        <w:pStyle w:val="1049"/>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49"/>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2、财务状况报告（成立不满一年不需要提供）；</w:t>
      </w:r>
      <w:r/>
    </w:p>
    <w:p>
      <w:pPr>
        <w:pStyle w:val="1049"/>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3、依法缴纳税收和社会保障资金的相关材料（如依法享受缓缴、免缴税收、社会保障资金的，应提供相关证明材料）；</w:t>
      </w:r>
      <w:r/>
    </w:p>
    <w:p>
      <w:pPr>
        <w:pStyle w:val="1049"/>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4、具备履行合同所必需的设备和专业技术能力的书面声明（格式见后）；</w:t>
      </w:r>
      <w:r/>
    </w:p>
    <w:p>
      <w:pPr>
        <w:pStyle w:val="1049"/>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5、参加政府采购活动前3年内在经营活动中没有重大违法记录的书面声明（格式见后）；</w:t>
      </w:r>
      <w:r/>
    </w:p>
    <w:p>
      <w:pPr>
        <w:pStyle w:val="1049"/>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6、提供授权委托书（被授权人非法定代表人的，应提供授权委托书；被授权人是法定代表人的，应提供授权委托书或法定代表人身份证明书。格式见后）；</w:t>
      </w:r>
      <w:r/>
    </w:p>
    <w:p>
      <w:pPr>
        <w:pStyle w:val="1049"/>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7、关于资格证明文件的书面承诺（格式见后）。</w:t>
      </w:r>
      <w:r/>
    </w:p>
    <w:p>
      <w:pPr>
        <w:pStyle w:val="1050"/>
        <w:spacing w:before="240" w:after="240" w:line="360" w:lineRule="auto"/>
        <w:rPr>
          <w:rStyle w:val="1006"/>
          <w:rFonts w:hint="eastAsia" w:ascii="宋体" w:hAnsi="宋体"/>
          <w:b/>
          <w:sz w:val="28"/>
        </w:rPr>
      </w:pPr>
      <w:r>
        <w:rPr>
          <w:rFonts w:hint="eastAsia" w:ascii="宋体" w:hAnsi="宋体"/>
          <w:b/>
          <w:sz w:val="28"/>
        </w:rPr>
      </w:r>
      <w:r/>
    </w:p>
    <w:p>
      <w:pPr>
        <w:pStyle w:val="1050"/>
        <w:spacing w:before="240" w:after="240" w:line="360" w:lineRule="auto"/>
        <w:rPr>
          <w:rStyle w:val="1006"/>
          <w:rFonts w:hint="eastAsia" w:ascii="宋体" w:hAnsi="宋体"/>
          <w:b/>
          <w:sz w:val="28"/>
        </w:rPr>
      </w:pPr>
      <w:r>
        <w:rPr>
          <w:rFonts w:hint="eastAsia" w:ascii="宋体" w:hAnsi="宋体"/>
          <w:b/>
          <w:sz w:val="28"/>
        </w:rPr>
      </w:r>
      <w:r/>
    </w:p>
    <w:p>
      <w:pPr>
        <w:pStyle w:val="1050"/>
        <w:spacing w:before="240" w:after="240" w:line="360" w:lineRule="auto"/>
        <w:rPr>
          <w:rStyle w:val="1006"/>
          <w:rFonts w:hint="eastAsia" w:ascii="宋体" w:hAnsi="宋体"/>
          <w:b/>
          <w:sz w:val="28"/>
        </w:rPr>
      </w:pPr>
      <w:r>
        <w:rPr>
          <w:rFonts w:hint="eastAsia" w:ascii="宋体" w:hAnsi="宋体"/>
          <w:b/>
          <w:sz w:val="28"/>
        </w:rPr>
      </w:r>
      <w:r/>
    </w:p>
    <w:p>
      <w:pPr>
        <w:pStyle w:val="1050"/>
        <w:spacing w:before="240" w:after="240" w:line="360" w:lineRule="auto"/>
        <w:rPr>
          <w:rStyle w:val="1006"/>
          <w:rFonts w:hint="eastAsia" w:ascii="宋体" w:hAnsi="宋体"/>
          <w:b/>
          <w:sz w:val="28"/>
        </w:rPr>
      </w:pPr>
      <w:r>
        <w:rPr>
          <w:rFonts w:hint="eastAsia" w:ascii="宋体" w:hAnsi="宋体"/>
          <w:b/>
          <w:sz w:val="28"/>
        </w:rPr>
      </w:r>
      <w:r/>
    </w:p>
    <w:p>
      <w:pPr>
        <w:pStyle w:val="1050"/>
        <w:spacing w:before="240" w:after="240" w:line="360" w:lineRule="auto"/>
        <w:rPr>
          <w:rStyle w:val="1006"/>
          <w:rFonts w:hint="eastAsia" w:ascii="宋体" w:hAnsi="宋体"/>
          <w:b/>
          <w:sz w:val="28"/>
        </w:rPr>
      </w:pPr>
      <w:r>
        <w:rPr>
          <w:rFonts w:hint="eastAsia" w:ascii="宋体" w:hAnsi="宋体"/>
          <w:b/>
          <w:sz w:val="28"/>
        </w:rPr>
      </w:r>
      <w:r/>
    </w:p>
    <w:p>
      <w:pPr>
        <w:pStyle w:val="1050"/>
        <w:spacing w:before="240" w:after="240" w:line="360" w:lineRule="auto"/>
        <w:rPr>
          <w:rStyle w:val="1006"/>
          <w:rFonts w:hint="eastAsia" w:ascii="宋体" w:hAnsi="宋体"/>
          <w:b/>
          <w:sz w:val="28"/>
        </w:rPr>
      </w:pPr>
      <w:r>
        <w:rPr>
          <w:rFonts w:hint="eastAsia" w:ascii="宋体" w:hAnsi="宋体"/>
          <w:b/>
          <w:sz w:val="28"/>
        </w:rPr>
      </w:r>
      <w:r/>
    </w:p>
    <w:p>
      <w:pPr>
        <w:pStyle w:val="1050"/>
        <w:spacing w:before="240" w:after="240" w:line="360" w:lineRule="auto"/>
        <w:rPr>
          <w:rStyle w:val="1006"/>
          <w:rFonts w:hint="eastAsia" w:ascii="宋体" w:hAnsi="宋体"/>
          <w:b/>
          <w:sz w:val="28"/>
        </w:rPr>
      </w:pPr>
      <w:r>
        <w:rPr>
          <w:rFonts w:hint="eastAsia" w:ascii="宋体" w:hAnsi="宋体"/>
          <w:b/>
          <w:sz w:val="28"/>
        </w:rPr>
      </w:r>
      <w:r/>
    </w:p>
    <w:p>
      <w:pPr>
        <w:pStyle w:val="1050"/>
        <w:spacing w:before="240" w:after="240" w:line="360" w:lineRule="auto"/>
        <w:rPr>
          <w:rStyle w:val="1006"/>
          <w:rFonts w:hint="eastAsia" w:ascii="宋体" w:hAnsi="宋体"/>
          <w:b/>
          <w:sz w:val="28"/>
        </w:rPr>
      </w:pPr>
      <w:r>
        <w:rPr>
          <w:rFonts w:hint="eastAsia" w:ascii="宋体" w:hAnsi="宋体"/>
          <w:b/>
          <w:sz w:val="28"/>
        </w:rPr>
      </w:r>
      <w:r/>
    </w:p>
    <w:p>
      <w:pPr>
        <w:pStyle w:val="1050"/>
        <w:spacing w:before="240" w:after="240" w:line="360" w:lineRule="auto"/>
        <w:rPr>
          <w:rStyle w:val="1006"/>
          <w:rFonts w:hint="eastAsia" w:ascii="宋体" w:hAnsi="宋体"/>
          <w:b/>
          <w:sz w:val="28"/>
        </w:rPr>
      </w:pPr>
      <w:r>
        <w:rPr>
          <w:rFonts w:hint="eastAsia" w:ascii="宋体" w:hAnsi="宋体"/>
          <w:b/>
          <w:sz w:val="28"/>
        </w:rPr>
      </w:r>
      <w:r/>
    </w:p>
    <w:p>
      <w:pPr>
        <w:pStyle w:val="1051"/>
        <w:spacing w:line="440" w:lineRule="exact"/>
        <w:rPr>
          <w:rStyle w:val="1006"/>
        </w:rPr>
      </w:pPr>
      <w:r>
        <w:rPr>
          <w:rStyle w:val="1006"/>
        </w:rPr>
        <w:t xml:space="preserve">﻿ </w:t>
      </w:r>
      <w:r/>
    </w:p>
    <w:p>
      <w:pPr>
        <w:pStyle w:val="1052"/>
        <w:ind w:firstLine="420"/>
        <w:jc w:val="center"/>
        <w:spacing w:before="320" w:after="320"/>
        <w:rPr>
          <w:rStyle w:val="1006"/>
          <w:rFonts w:hint="eastAsia" w:ascii="宋体" w:hAnsi="宋体"/>
          <w:b/>
          <w:bCs/>
          <w:sz w:val="32"/>
          <w:szCs w:val="32"/>
        </w:rPr>
        <w:outlineLvl w:val="1"/>
      </w:pPr>
      <w:r/>
      <w:bookmarkStart w:id="239" w:name="_Toc27904"/>
      <w:r/>
      <w:bookmarkStart w:id="240" w:name="OLE_LINK5"/>
      <w:r/>
      <w:bookmarkStart w:id="241" w:name="OLE_LINK9"/>
      <w:r>
        <w:rPr>
          <w:rStyle w:val="1006"/>
          <w:rFonts w:ascii="宋体" w:hAnsi="宋体"/>
          <w:b/>
          <w:bCs/>
          <w:sz w:val="32"/>
          <w:szCs w:val="32"/>
        </w:rPr>
        <w:t xml:space="preserve">具备履行合同所必需的设备和专业技术能力的书面声明</w:t>
      </w:r>
      <w:bookmarkEnd w:id="239"/>
      <w:r/>
      <w:r/>
    </w:p>
    <w:p>
      <w:pPr>
        <w:pStyle w:val="1052"/>
        <w:ind w:firstLine="420"/>
        <w:spacing w:before="240" w:after="240"/>
        <w:rPr>
          <w:rStyle w:val="1006"/>
          <w:rFonts w:hint="eastAsia" w:ascii="宋体" w:hAnsi="宋体"/>
        </w:rPr>
      </w:pPr>
      <w:r>
        <w:rPr>
          <w:rStyle w:val="1006"/>
          <w:rFonts w:ascii="宋体" w:hAnsi="宋体"/>
        </w:rPr>
        <w:t xml:space="preserve"> </w:t>
      </w:r>
      <w:r/>
    </w:p>
    <w:p>
      <w:pPr>
        <w:pStyle w:val="1052"/>
        <w:ind w:firstLine="420"/>
        <w:spacing w:before="320" w:after="320"/>
        <w:rPr>
          <w:rStyle w:val="1006"/>
          <w:rFonts w:hint="eastAsia" w:ascii="宋体" w:hAnsi="宋体"/>
          <w:sz w:val="24"/>
          <w:szCs w:val="24"/>
        </w:rPr>
      </w:pPr>
      <w:r>
        <w:rPr>
          <w:rStyle w:val="1006"/>
          <w:rFonts w:ascii="宋体" w:hAnsi="宋体"/>
          <w:sz w:val="24"/>
          <w:szCs w:val="24"/>
        </w:rPr>
        <w:t xml:space="preserve">我单位郑重声明： </w:t>
      </w:r>
      <w:r/>
    </w:p>
    <w:p>
      <w:pPr>
        <w:pStyle w:val="1052"/>
        <w:ind w:firstLine="420"/>
        <w:spacing w:before="320" w:after="320"/>
        <w:rPr>
          <w:rStyle w:val="1006"/>
          <w:rFonts w:hint="eastAsia" w:ascii="宋体" w:hAnsi="宋体"/>
          <w:sz w:val="24"/>
          <w:szCs w:val="24"/>
        </w:rPr>
      </w:pPr>
      <w:r>
        <w:rPr>
          <w:rStyle w:val="1006"/>
          <w:rFonts w:ascii="宋体" w:hAnsi="宋体"/>
          <w:sz w:val="24"/>
          <w:szCs w:val="24"/>
        </w:rPr>
        <w:t xml:space="preserve">我单位具备履行本项采购合同所必需的设备和专业技术能力。 </w:t>
      </w:r>
      <w:r/>
    </w:p>
    <w:p>
      <w:pPr>
        <w:pStyle w:val="1052"/>
        <w:ind w:firstLine="420"/>
        <w:spacing w:before="360" w:after="360"/>
        <w:rPr>
          <w:rStyle w:val="1006"/>
          <w:rFonts w:hint="eastAsia" w:ascii="宋体" w:hAnsi="宋体"/>
        </w:rPr>
      </w:pPr>
      <w:r>
        <w:rPr>
          <w:rStyle w:val="1006"/>
          <w:rFonts w:ascii="宋体" w:hAnsi="宋体"/>
        </w:rPr>
        <w:t xml:space="preserve"> </w:t>
      </w:r>
      <w:r/>
    </w:p>
    <w:p>
      <w:pPr>
        <w:pStyle w:val="1052"/>
        <w:ind w:firstLine="420"/>
        <w:jc w:val="center"/>
        <w:spacing w:before="360" w:after="360"/>
        <w:rPr>
          <w:rStyle w:val="1006"/>
          <w:rFonts w:hint="eastAsia" w:ascii="宋体" w:hAnsi="宋体"/>
          <w:sz w:val="36"/>
          <w:szCs w:val="36"/>
        </w:rPr>
        <w:outlineLvl w:val="1"/>
      </w:pPr>
      <w:r/>
      <w:bookmarkStart w:id="242" w:name="_Toc419"/>
      <w:r>
        <w:rPr>
          <w:rStyle w:val="1006"/>
          <w:rFonts w:ascii="宋体" w:hAnsi="宋体"/>
          <w:sz w:val="36"/>
          <w:szCs w:val="36"/>
        </w:rPr>
        <w:t xml:space="preserve"> </w:t>
      </w:r>
      <w:r>
        <w:rPr>
          <w:rFonts w:hint="eastAsia" w:hAnsi="宋体"/>
        </w:rPr>
        <w:t xml:space="preserve">    供应商名称（加盖公章）：</w:t>
      </w:r>
      <w:bookmarkEnd w:id="240"/>
      <w:r/>
      <w:bookmarkEnd w:id="242"/>
      <w:r/>
      <w:r/>
    </w:p>
    <w:p>
      <w:pPr>
        <w:pStyle w:val="1053"/>
        <w:rPr>
          <w:rStyle w:val="1006"/>
          <w:rFonts w:hint="eastAsia" w:ascii="宋体" w:hAnsi="宋体"/>
          <w:sz w:val="36"/>
          <w:szCs w:val="36"/>
        </w:rPr>
      </w:pPr>
      <w:r>
        <w:rPr>
          <w:rStyle w:val="1006"/>
          <w:rFonts w:ascii="宋体" w:hAnsi="宋体"/>
          <w:sz w:val="36"/>
          <w:szCs w:val="36"/>
        </w:rPr>
        <w:t xml:space="preserve"> </w:t>
      </w:r>
      <w:bookmarkEnd w:id="241"/>
      <w:r/>
      <w:r/>
    </w:p>
    <w:p>
      <w:pPr>
        <w:pStyle w:val="1053"/>
        <w:rPr>
          <w:rStyle w:val="1006"/>
          <w:rFonts w:hint="eastAsia" w:ascii="宋体" w:hAnsi="宋体"/>
          <w:sz w:val="36"/>
          <w:szCs w:val="36"/>
        </w:rPr>
      </w:pPr>
      <w:r>
        <w:rPr>
          <w:rFonts w:hint="eastAsia" w:ascii="宋体" w:hAnsi="宋体"/>
          <w:sz w:val="36"/>
          <w:szCs w:val="36"/>
        </w:rPr>
      </w:r>
      <w:r/>
    </w:p>
    <w:p>
      <w:pPr>
        <w:pStyle w:val="1053"/>
        <w:rPr>
          <w:rStyle w:val="1006"/>
          <w:rFonts w:hint="eastAsia" w:ascii="宋体" w:hAnsi="宋体"/>
          <w:sz w:val="36"/>
          <w:szCs w:val="36"/>
        </w:rPr>
      </w:pPr>
      <w:r>
        <w:rPr>
          <w:rFonts w:hint="eastAsia" w:ascii="宋体" w:hAnsi="宋体"/>
          <w:sz w:val="36"/>
          <w:szCs w:val="36"/>
        </w:rPr>
      </w:r>
      <w:r/>
    </w:p>
    <w:p>
      <w:pPr>
        <w:pStyle w:val="1053"/>
        <w:rPr>
          <w:rStyle w:val="1006"/>
          <w:rFonts w:hint="eastAsia" w:ascii="宋体" w:hAnsi="宋体"/>
          <w:sz w:val="36"/>
          <w:szCs w:val="36"/>
        </w:rPr>
      </w:pPr>
      <w:r>
        <w:rPr>
          <w:rFonts w:hint="eastAsia" w:ascii="宋体" w:hAnsi="宋体"/>
          <w:sz w:val="36"/>
          <w:szCs w:val="36"/>
        </w:rPr>
      </w:r>
      <w:r/>
    </w:p>
    <w:p>
      <w:pPr>
        <w:pStyle w:val="1053"/>
        <w:rPr>
          <w:rStyle w:val="1006"/>
          <w:rFonts w:hint="eastAsia" w:ascii="宋体" w:hAnsi="宋体"/>
          <w:sz w:val="36"/>
          <w:szCs w:val="36"/>
        </w:rPr>
      </w:pPr>
      <w:r>
        <w:rPr>
          <w:rFonts w:hint="eastAsia" w:ascii="宋体" w:hAnsi="宋体"/>
          <w:sz w:val="36"/>
          <w:szCs w:val="36"/>
        </w:rPr>
      </w:r>
      <w:r/>
    </w:p>
    <w:p>
      <w:pPr>
        <w:pStyle w:val="1053"/>
        <w:rPr>
          <w:rStyle w:val="1006"/>
          <w:rFonts w:hint="eastAsia" w:ascii="宋体" w:hAnsi="宋体"/>
          <w:sz w:val="36"/>
          <w:szCs w:val="36"/>
        </w:rPr>
      </w:pPr>
      <w:r>
        <w:rPr>
          <w:rFonts w:hint="eastAsia" w:ascii="宋体" w:hAnsi="宋体"/>
          <w:sz w:val="36"/>
          <w:szCs w:val="36"/>
        </w:rPr>
      </w:r>
      <w:r/>
    </w:p>
    <w:p>
      <w:pPr>
        <w:pStyle w:val="1053"/>
        <w:rPr>
          <w:rStyle w:val="1006"/>
          <w:rFonts w:hint="eastAsia" w:ascii="宋体" w:hAnsi="宋体"/>
          <w:sz w:val="36"/>
          <w:szCs w:val="36"/>
        </w:rPr>
      </w:pPr>
      <w:r>
        <w:rPr>
          <w:rFonts w:hint="eastAsia" w:ascii="宋体" w:hAnsi="宋体"/>
          <w:sz w:val="36"/>
          <w:szCs w:val="36"/>
        </w:rPr>
      </w:r>
      <w:r/>
    </w:p>
    <w:p>
      <w:pPr>
        <w:pStyle w:val="1053"/>
        <w:rPr>
          <w:rStyle w:val="1006"/>
          <w:rFonts w:hint="eastAsia" w:ascii="宋体" w:hAnsi="宋体"/>
          <w:sz w:val="36"/>
          <w:szCs w:val="36"/>
        </w:rPr>
      </w:pPr>
      <w:r>
        <w:rPr>
          <w:rFonts w:hint="eastAsia" w:ascii="宋体" w:hAnsi="宋体"/>
          <w:sz w:val="36"/>
          <w:szCs w:val="36"/>
        </w:rPr>
      </w:r>
      <w:r/>
    </w:p>
    <w:p>
      <w:pPr>
        <w:pStyle w:val="1053"/>
        <w:rPr>
          <w:rStyle w:val="1006"/>
          <w:rFonts w:hint="eastAsia" w:ascii="宋体" w:hAnsi="宋体"/>
          <w:sz w:val="36"/>
          <w:szCs w:val="36"/>
        </w:rPr>
      </w:pPr>
      <w:r>
        <w:rPr>
          <w:rFonts w:hint="eastAsia" w:ascii="宋体" w:hAnsi="宋体"/>
          <w:sz w:val="36"/>
          <w:szCs w:val="36"/>
        </w:rPr>
      </w:r>
      <w:r/>
    </w:p>
    <w:p>
      <w:pPr>
        <w:pStyle w:val="1053"/>
        <w:rPr>
          <w:rStyle w:val="1006"/>
          <w:rFonts w:hint="eastAsia" w:ascii="宋体" w:hAnsi="宋体"/>
          <w:sz w:val="36"/>
          <w:szCs w:val="36"/>
        </w:rPr>
      </w:pPr>
      <w:r>
        <w:rPr>
          <w:rFonts w:hint="eastAsia" w:ascii="宋体" w:hAnsi="宋体"/>
          <w:sz w:val="36"/>
          <w:szCs w:val="36"/>
        </w:rPr>
      </w:r>
      <w:r/>
    </w:p>
    <w:p>
      <w:pPr>
        <w:pStyle w:val="1053"/>
        <w:rPr>
          <w:rStyle w:val="1006"/>
          <w:rFonts w:hint="eastAsia" w:ascii="宋体" w:hAnsi="宋体"/>
          <w:sz w:val="36"/>
          <w:szCs w:val="36"/>
        </w:rPr>
      </w:pPr>
      <w:r>
        <w:rPr>
          <w:rFonts w:hint="eastAsia" w:ascii="宋体" w:hAnsi="宋体"/>
          <w:sz w:val="36"/>
          <w:szCs w:val="36"/>
        </w:rPr>
      </w:r>
      <w:r/>
    </w:p>
    <w:p>
      <w:pPr>
        <w:pStyle w:val="1053"/>
        <w:rPr>
          <w:rStyle w:val="1006"/>
          <w:rFonts w:hint="eastAsia" w:ascii="宋体" w:hAnsi="宋体"/>
          <w:sz w:val="36"/>
          <w:szCs w:val="36"/>
        </w:rPr>
      </w:pPr>
      <w:r>
        <w:rPr>
          <w:rFonts w:hint="eastAsia" w:ascii="宋体" w:hAnsi="宋体"/>
          <w:sz w:val="36"/>
          <w:szCs w:val="36"/>
        </w:rPr>
      </w:r>
      <w:r/>
    </w:p>
    <w:p>
      <w:pPr>
        <w:pStyle w:val="1053"/>
        <w:rPr>
          <w:rStyle w:val="1006"/>
          <w:rFonts w:hint="eastAsia" w:ascii="宋体" w:hAnsi="宋体"/>
          <w:sz w:val="36"/>
          <w:szCs w:val="36"/>
        </w:rPr>
      </w:pPr>
      <w:r>
        <w:rPr>
          <w:rFonts w:hint="eastAsia" w:ascii="宋体" w:hAnsi="宋体"/>
          <w:sz w:val="36"/>
          <w:szCs w:val="36"/>
        </w:rPr>
      </w:r>
      <w:r/>
    </w:p>
    <w:p>
      <w:pPr>
        <w:pStyle w:val="1053"/>
        <w:rPr>
          <w:rStyle w:val="1006"/>
          <w:rFonts w:hint="eastAsia" w:ascii="宋体" w:hAnsi="宋体"/>
          <w:sz w:val="36"/>
          <w:szCs w:val="36"/>
        </w:rPr>
      </w:pPr>
      <w:r>
        <w:rPr>
          <w:rFonts w:hint="eastAsia" w:ascii="宋体" w:hAnsi="宋体"/>
          <w:sz w:val="36"/>
          <w:szCs w:val="36"/>
        </w:rPr>
      </w:r>
      <w:r/>
    </w:p>
    <w:p>
      <w:pPr>
        <w:pStyle w:val="1053"/>
        <w:rPr>
          <w:rStyle w:val="1006"/>
          <w:rFonts w:hint="eastAsia" w:ascii="宋体" w:hAnsi="宋体"/>
          <w:sz w:val="36"/>
          <w:szCs w:val="36"/>
        </w:rPr>
      </w:pPr>
      <w:r>
        <w:rPr>
          <w:rFonts w:hint="eastAsia" w:ascii="宋体" w:hAnsi="宋体"/>
          <w:sz w:val="36"/>
          <w:szCs w:val="36"/>
        </w:rPr>
      </w:r>
      <w:r/>
    </w:p>
    <w:p>
      <w:pPr>
        <w:pStyle w:val="1053"/>
        <w:rPr>
          <w:rStyle w:val="1006"/>
          <w:rFonts w:hint="eastAsia" w:ascii="宋体" w:hAnsi="宋体"/>
          <w:sz w:val="36"/>
          <w:szCs w:val="36"/>
        </w:rPr>
      </w:pPr>
      <w:r>
        <w:rPr>
          <w:rFonts w:hint="eastAsia" w:ascii="宋体" w:hAnsi="宋体"/>
          <w:sz w:val="36"/>
          <w:szCs w:val="36"/>
        </w:rPr>
      </w:r>
      <w:r/>
    </w:p>
    <w:p>
      <w:pPr>
        <w:pStyle w:val="1053"/>
        <w:rPr>
          <w:rStyle w:val="1006"/>
          <w:rFonts w:hint="eastAsia" w:ascii="宋体" w:hAnsi="宋体"/>
          <w:sz w:val="36"/>
          <w:szCs w:val="36"/>
        </w:rPr>
      </w:pPr>
      <w:r>
        <w:rPr>
          <w:rFonts w:hint="eastAsia" w:ascii="宋体" w:hAnsi="宋体"/>
          <w:sz w:val="36"/>
          <w:szCs w:val="36"/>
        </w:rPr>
      </w:r>
      <w:r/>
    </w:p>
    <w:p>
      <w:pPr>
        <w:pStyle w:val="1053"/>
        <w:rPr>
          <w:rStyle w:val="1006"/>
          <w:rFonts w:hint="eastAsia" w:ascii="宋体" w:hAnsi="宋体"/>
          <w:sz w:val="36"/>
          <w:szCs w:val="36"/>
        </w:rPr>
      </w:pPr>
      <w:r>
        <w:rPr>
          <w:rFonts w:hint="eastAsia" w:ascii="宋体" w:hAnsi="宋体"/>
          <w:sz w:val="36"/>
          <w:szCs w:val="36"/>
        </w:rPr>
      </w:r>
      <w:r/>
    </w:p>
    <w:p>
      <w:pPr>
        <w:pStyle w:val="1053"/>
        <w:rPr>
          <w:rStyle w:val="1006"/>
          <w:rFonts w:hint="eastAsia" w:ascii="宋体" w:hAnsi="宋体"/>
          <w:sz w:val="36"/>
          <w:szCs w:val="36"/>
        </w:rPr>
      </w:pPr>
      <w:r>
        <w:rPr>
          <w:rFonts w:hint="eastAsia" w:ascii="宋体" w:hAnsi="宋体"/>
          <w:sz w:val="36"/>
          <w:szCs w:val="36"/>
        </w:rPr>
      </w:r>
      <w:r/>
    </w:p>
    <w:p>
      <w:pPr>
        <w:pStyle w:val="1054"/>
        <w:spacing w:line="440" w:lineRule="exact"/>
        <w:rPr>
          <w:rStyle w:val="1006"/>
          <w:rFonts w:hint="eastAsia" w:ascii="宋体" w:hAnsi="宋体"/>
        </w:rPr>
      </w:pPr>
      <w:r>
        <w:rPr>
          <w:rStyle w:val="1006"/>
          <w:rFonts w:ascii="宋体" w:hAnsi="宋体"/>
        </w:rPr>
        <w:t xml:space="preserve">﻿ </w:t>
      </w:r>
      <w:r/>
    </w:p>
    <w:p>
      <w:pPr>
        <w:ind w:firstLine="480"/>
        <w:jc w:val="center"/>
        <w:spacing w:line="560" w:lineRule="exact"/>
        <w:rPr>
          <w:rFonts w:hint="eastAsia" w:ascii="宋体" w:hAnsi="宋体"/>
          <w:b/>
          <w:sz w:val="32"/>
          <w:szCs w:val="32"/>
        </w:rPr>
        <w:outlineLvl w:val="1"/>
      </w:pPr>
      <w:r/>
      <w:bookmarkStart w:id="243" w:name="_Toc18420"/>
      <w:r/>
      <w:bookmarkStart w:id="244" w:name="OLE_LINK10"/>
      <w:r>
        <w:rPr>
          <w:rFonts w:hint="eastAsia" w:ascii="宋体" w:hAnsi="宋体"/>
          <w:b/>
          <w:sz w:val="32"/>
          <w:szCs w:val="32"/>
        </w:rPr>
        <w:t xml:space="preserve">参加政府采购活动前3年内在经营活动中没有重大违法记录的书面声明</w:t>
      </w:r>
      <w:bookmarkEnd w:id="243"/>
      <w:r/>
      <w:r/>
    </w:p>
    <w:p>
      <w:pPr>
        <w:spacing w:line="360" w:lineRule="auto"/>
      </w:pPr>
      <w:r/>
      <w:r/>
    </w:p>
    <w:p>
      <w:pPr>
        <w:jc w:val="center"/>
        <w:spacing w:line="360" w:lineRule="auto"/>
        <w:rPr>
          <w:b/>
          <w:sz w:val="48"/>
          <w:szCs w:val="48"/>
        </w:rPr>
      </w:pPr>
      <w:r>
        <w:rPr>
          <w:rFonts w:hint="eastAsia"/>
          <w:b/>
          <w:sz w:val="48"/>
          <w:szCs w:val="48"/>
        </w:rPr>
        <w:t xml:space="preserve">声明</w:t>
      </w:r>
      <w:r/>
    </w:p>
    <w:p>
      <w:pPr>
        <w:ind w:firstLine="480"/>
        <w:spacing w:line="360" w:lineRule="auto"/>
        <w:rPr>
          <w:sz w:val="24"/>
        </w:rPr>
      </w:pPr>
      <w:r>
        <w:rPr>
          <w:sz w:val="24"/>
        </w:rPr>
      </w:r>
      <w:r/>
    </w:p>
    <w:p>
      <w:pPr>
        <w:ind w:firstLine="480"/>
        <w:spacing w:line="440" w:lineRule="exact"/>
        <w:rPr>
          <w:rFonts w:hint="eastAsia" w:ascii="宋体" w:hAnsi="宋体"/>
          <w:sz w:val="24"/>
        </w:rPr>
      </w:pPr>
      <w:r>
        <w:rPr>
          <w:rFonts w:hint="eastAsia" w:ascii="宋体" w:hAnsi="宋体"/>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rFonts w:hint="eastAsia"/>
          <w:sz w:val="24"/>
        </w:rPr>
        <w:t xml:space="preserve"> </w:t>
      </w:r>
      <w:r/>
    </w:p>
    <w:p>
      <w:pPr>
        <w:ind w:firstLine="480"/>
        <w:spacing w:line="360" w:lineRule="auto"/>
        <w:rPr>
          <w:sz w:val="24"/>
        </w:rPr>
      </w:pPr>
      <w:r>
        <w:rPr>
          <w:rFonts w:hint="eastAsia"/>
          <w:sz w:val="24"/>
        </w:rPr>
        <w:t xml:space="preserve">                                供应商名称（加盖公章）：</w:t>
      </w:r>
      <w:bookmarkEnd w:id="244"/>
      <w:r/>
      <w:r/>
    </w:p>
    <w:p>
      <w:pPr>
        <w:pStyle w:val="1054"/>
        <w:spacing w:before="240" w:after="240"/>
        <w:rPr>
          <w:rStyle w:val="1006"/>
          <w:rFonts w:hint="eastAsia" w:ascii="宋体" w:hAnsi="宋体"/>
        </w:rPr>
      </w:pPr>
      <w:r>
        <w:rPr>
          <w:rStyle w:val="1006"/>
          <w:rFonts w:ascii="宋体" w:hAnsi="宋体"/>
        </w:rPr>
        <w:t xml:space="preserve"> </w:t>
      </w:r>
      <w:r/>
    </w:p>
    <w:p>
      <w:pPr>
        <w:ind w:firstLine="420"/>
        <w:jc w:val="center"/>
        <w:spacing w:line="360" w:lineRule="auto"/>
        <w:rPr>
          <w:rStyle w:val="1006"/>
          <w:rFonts w:ascii="Times New Roman" w:hAnsi="Times New Roman" w:eastAsia="Times New Roman"/>
        </w:rPr>
      </w:pPr>
      <w:r>
        <w:rPr>
          <w:rStyle w:val="1006"/>
          <w:rFonts w:ascii="Times New Roman" w:hAnsi="Times New Roman" w:eastAsia="Times New Roman"/>
        </w:rPr>
        <w:br w:type="page" w:clear="all"/>
      </w:r>
      <w:r/>
    </w:p>
    <w:p>
      <w:pPr>
        <w:ind w:firstLine="420"/>
        <w:jc w:val="center"/>
        <w:spacing w:line="360" w:lineRule="auto"/>
        <w:rPr>
          <w:rStyle w:val="1006"/>
          <w:rFonts w:ascii="Times New Roman" w:hAnsi="Times New Roman" w:eastAsia="Times New Roman"/>
        </w:rPr>
      </w:pPr>
      <w:r/>
      <w:bookmarkStart w:id="245" w:name="OLE_LINK7"/>
      <w:r/>
      <w:r/>
    </w:p>
    <w:p>
      <w:pPr>
        <w:ind w:firstLine="562"/>
        <w:jc w:val="center"/>
        <w:spacing w:line="360" w:lineRule="auto"/>
        <w:rPr>
          <w:rStyle w:val="1006"/>
          <w:rFonts w:hint="eastAsia" w:ascii="宋体" w:hAnsi="宋体"/>
          <w:b/>
          <w:sz w:val="28"/>
        </w:rPr>
        <w:outlineLvl w:val="1"/>
      </w:pPr>
      <w:r/>
      <w:bookmarkStart w:id="246" w:name="OLE_LINK6"/>
      <w:r/>
      <w:bookmarkStart w:id="247" w:name="OLE_LINK11"/>
      <w:r>
        <w:rPr>
          <w:rStyle w:val="1006"/>
          <w:rFonts w:ascii="宋体" w:hAnsi="宋体"/>
          <w:b/>
          <w:sz w:val="28"/>
        </w:rPr>
        <w:t xml:space="preserve">  </w:t>
      </w:r>
      <w:bookmarkStart w:id="248" w:name="_Toc13190"/>
      <w:r>
        <w:rPr>
          <w:rFonts w:hint="eastAsia"/>
          <w:b/>
          <w:sz w:val="32"/>
          <w:szCs w:val="32"/>
        </w:rPr>
        <w:t xml:space="preserve">关于资格证明文件</w:t>
      </w:r>
      <w:r>
        <w:rPr>
          <w:rFonts w:hint="eastAsia" w:ascii="宋体" w:hAnsi="宋体"/>
          <w:b/>
          <w:sz w:val="32"/>
          <w:szCs w:val="32"/>
        </w:rPr>
        <w:t xml:space="preserve">的书面承诺</w:t>
      </w:r>
      <w:bookmarkEnd w:id="248"/>
      <w:r/>
      <w:r/>
    </w:p>
    <w:p>
      <w:pPr>
        <w:ind w:firstLine="643"/>
        <w:jc w:val="center"/>
        <w:spacing w:line="360" w:lineRule="auto"/>
        <w:rPr>
          <w:rFonts w:hint="eastAsia" w:ascii="宋体" w:hAnsi="宋体"/>
          <w:b/>
          <w:sz w:val="32"/>
          <w:szCs w:val="32"/>
        </w:rPr>
      </w:pPr>
      <w:r>
        <w:rPr>
          <w:rFonts w:hint="eastAsia" w:ascii="宋体" w:hAnsi="宋体"/>
          <w:b/>
          <w:sz w:val="32"/>
          <w:szCs w:val="32"/>
        </w:rPr>
      </w:r>
      <w:r/>
    </w:p>
    <w:p>
      <w:pPr>
        <w:pStyle w:val="1055"/>
        <w:ind w:firstLine="480"/>
        <w:spacing w:line="440" w:lineRule="exact"/>
        <w:rPr>
          <w:rFonts w:hint="eastAsia" w:ascii="宋体" w:hAnsi="宋体"/>
          <w:sz w:val="24"/>
        </w:rPr>
      </w:pPr>
      <w:r>
        <w:rPr>
          <w:rFonts w:hint="eastAsia" w:ascii="宋体" w:hAnsi="宋体"/>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hint="eastAsia" w:ascii="宋体" w:hAnsi="宋体"/>
          <w:sz w:val="24"/>
        </w:rPr>
      </w:pPr>
      <w:r>
        <w:rPr>
          <w:rFonts w:hint="eastAsia" w:ascii="宋体" w:hAnsi="宋体"/>
          <w:sz w:val="24"/>
        </w:rPr>
      </w:r>
      <w:r/>
    </w:p>
    <w:p>
      <w:pPr>
        <w:ind w:firstLine="643"/>
        <w:jc w:val="center"/>
        <w:spacing w:line="360" w:lineRule="auto"/>
        <w:rPr>
          <w:b/>
          <w:sz w:val="32"/>
          <w:szCs w:val="32"/>
        </w:rPr>
      </w:pPr>
      <w:r>
        <w:rPr>
          <w:b/>
          <w:sz w:val="32"/>
          <w:szCs w:val="32"/>
        </w:rPr>
      </w:r>
      <w:r/>
    </w:p>
    <w:p>
      <w:pPr>
        <w:ind w:firstLine="480"/>
        <w:jc w:val="center"/>
        <w:spacing w:line="360" w:lineRule="auto"/>
        <w:rPr>
          <w:rFonts w:hint="eastAsia" w:ascii="宋体" w:hAnsi="宋体"/>
          <w:sz w:val="24"/>
        </w:rPr>
        <w:outlineLvl w:val="1"/>
      </w:pPr>
      <w:r>
        <w:rPr>
          <w:rFonts w:hint="eastAsia" w:ascii="宋体" w:hAnsi="宋体"/>
          <w:sz w:val="24"/>
        </w:rPr>
        <w:t xml:space="preserve">         </w:t>
      </w:r>
      <w:bookmarkStart w:id="249" w:name="_Toc5040"/>
      <w:r>
        <w:rPr>
          <w:rFonts w:hint="eastAsia" w:ascii="宋体" w:hAnsi="宋体"/>
          <w:sz w:val="24"/>
        </w:rPr>
        <w:t xml:space="preserve">供应商名称（加盖公章）：</w:t>
      </w:r>
      <w:bookmarkEnd w:id="245"/>
      <w:r/>
      <w:bookmarkEnd w:id="246"/>
      <w:r/>
      <w:bookmarkEnd w:id="249"/>
      <w:r/>
      <w:bookmarkEnd w:id="247"/>
      <w:r/>
      <w:r/>
    </w:p>
    <w:p>
      <w:pPr>
        <w:pStyle w:val="1056"/>
        <w:rPr>
          <w:rStyle w:val="1006"/>
          <w:rFonts w:hint="eastAsia" w:ascii="宋体" w:hAnsi="宋体"/>
          <w:b/>
          <w:sz w:val="28"/>
        </w:rPr>
      </w:pPr>
      <w:r>
        <w:rPr>
          <w:rFonts w:hint="eastAsia" w:ascii="宋体" w:hAnsi="宋体"/>
          <w:b/>
          <w:sz w:val="28"/>
        </w:rPr>
      </w:r>
      <w:r/>
    </w:p>
    <w:p>
      <w:pPr>
        <w:rPr>
          <w:rStyle w:val="1006"/>
          <w:rFonts w:hint="eastAsia" w:ascii="宋体" w:hAnsi="宋体"/>
          <w:b/>
          <w:sz w:val="28"/>
        </w:rPr>
      </w:pPr>
      <w:r>
        <w:rPr>
          <w:rStyle w:val="1006"/>
          <w:rFonts w:ascii="宋体" w:hAnsi="宋体"/>
          <w:b/>
          <w:sz w:val="28"/>
        </w:rPr>
        <w:br w:type="page" w:clear="all"/>
      </w:r>
      <w:r/>
    </w:p>
    <w:p>
      <w:pPr>
        <w:jc w:val="left"/>
        <w:spacing w:before="320" w:after="320"/>
        <w:rPr>
          <w:rFonts w:ascii="Times New Roman" w:hAnsi="Times New Roman" w:eastAsia="Times New Roman"/>
          <w:bCs/>
          <w:i/>
          <w:sz w:val="24"/>
          <w:szCs w:val="24"/>
          <w:u w:val="single"/>
        </w:rPr>
        <w:outlineLvl w:val="1"/>
      </w:pPr>
      <w:r/>
      <w:bookmarkStart w:id="250" w:name="OLE_LINK12"/>
      <w:r>
        <w:rPr>
          <w:rFonts w:hint="eastAsia" w:ascii="Times New Roman" w:hAnsi="Times New Roman" w:eastAsia="Times New Roman"/>
          <w:bCs/>
          <w:i/>
          <w:sz w:val="24"/>
          <w:szCs w:val="24"/>
          <w:u w:val="single"/>
        </w:rPr>
        <w:t xml:space="preserve">（被授权人非法定代表人</w:t>
      </w:r>
      <w:r>
        <w:rPr>
          <w:rFonts w:hint="eastAsia" w:ascii="Times New Roman" w:hAnsi="Times New Roman"/>
          <w:bCs/>
          <w:i/>
          <w:sz w:val="24"/>
          <w:szCs w:val="24"/>
          <w:u w:val="single"/>
        </w:rPr>
        <w:t xml:space="preserve">的</w:t>
      </w:r>
      <w:r>
        <w:rPr>
          <w:rFonts w:hint="eastAsia" w:ascii="Times New Roman" w:hAnsi="Times New Roman" w:eastAsia="Times New Roman"/>
          <w:bCs/>
          <w:i/>
          <w:sz w:val="24"/>
          <w:szCs w:val="24"/>
          <w:u w:val="single"/>
        </w:rPr>
        <w:t xml:space="preserve">，应提供授权委托书</w:t>
      </w:r>
      <w:r>
        <w:rPr>
          <w:rFonts w:hint="eastAsia" w:ascii="Times New Roman" w:hAnsi="Times New Roman"/>
          <w:bCs/>
          <w:i/>
          <w:sz w:val="24"/>
          <w:szCs w:val="24"/>
          <w:u w:val="single"/>
        </w:rPr>
        <w:t xml:space="preserve">；</w:t>
      </w:r>
      <w:r>
        <w:rPr>
          <w:rFonts w:hint="eastAsia" w:ascii="Times New Roman" w:hAnsi="Times New Roman" w:eastAsia="Times New Roman"/>
          <w:bCs/>
          <w:i/>
          <w:sz w:val="24"/>
          <w:szCs w:val="24"/>
          <w:u w:val="single"/>
        </w:rPr>
        <w:t xml:space="preserve">被授权人是法定代表人</w:t>
      </w:r>
      <w:r>
        <w:rPr>
          <w:rFonts w:hint="eastAsia" w:ascii="Times New Roman" w:hAnsi="Times New Roman"/>
          <w:bCs/>
          <w:i/>
          <w:sz w:val="24"/>
          <w:szCs w:val="24"/>
          <w:u w:val="single"/>
        </w:rPr>
        <w:t xml:space="preserve">的</w:t>
      </w:r>
      <w:r>
        <w:rPr>
          <w:rFonts w:hint="eastAsia" w:ascii="Times New Roman" w:hAnsi="Times New Roman" w:eastAsia="Times New Roman"/>
          <w:bCs/>
          <w:i/>
          <w:sz w:val="24"/>
          <w:szCs w:val="24"/>
          <w:u w:val="single"/>
        </w:rPr>
        <w:t xml:space="preserve">，应提供授权委托书或法定代表人身份证明书</w:t>
      </w:r>
      <w:r>
        <w:rPr>
          <w:rFonts w:hint="eastAsia" w:ascii="Times New Roman" w:hAnsi="Times New Roman"/>
          <w:bCs/>
          <w:i/>
          <w:sz w:val="24"/>
          <w:szCs w:val="24"/>
          <w:u w:val="single"/>
        </w:rPr>
        <w:t xml:space="preserve">。</w:t>
      </w:r>
      <w:r>
        <w:rPr>
          <w:rFonts w:hint="eastAsia" w:ascii="Times New Roman" w:hAnsi="Times New Roman" w:eastAsia="Times New Roman"/>
          <w:bCs/>
          <w:i/>
          <w:sz w:val="24"/>
          <w:szCs w:val="24"/>
          <w:u w:val="single"/>
        </w:rPr>
        <w:t xml:space="preserve">）</w:t>
      </w:r>
      <w:r/>
    </w:p>
    <w:p>
      <w:pPr>
        <w:jc w:val="center"/>
        <w:spacing w:before="320" w:after="320"/>
        <w:rPr>
          <w:b/>
          <w:bCs/>
          <w:sz w:val="32"/>
          <w:szCs w:val="32"/>
        </w:rPr>
        <w:outlineLvl w:val="1"/>
      </w:pPr>
      <w:r>
        <w:rPr>
          <w:b/>
          <w:bCs/>
          <w:sz w:val="32"/>
          <w:szCs w:val="32"/>
        </w:rPr>
      </w:r>
      <w:r/>
    </w:p>
    <w:p>
      <w:pPr>
        <w:jc w:val="center"/>
        <w:spacing w:before="320" w:after="320"/>
        <w:rPr>
          <w:b/>
          <w:bCs/>
          <w:sz w:val="32"/>
          <w:szCs w:val="32"/>
        </w:rPr>
        <w:outlineLvl w:val="1"/>
      </w:pPr>
      <w:r>
        <w:rPr>
          <w:rFonts w:hint="eastAsia"/>
          <w:b/>
          <w:bCs/>
          <w:sz w:val="32"/>
          <w:szCs w:val="32"/>
        </w:rPr>
        <w:t xml:space="preserve">1、</w:t>
      </w:r>
      <w:r>
        <w:rPr>
          <w:b/>
          <w:bCs/>
          <w:sz w:val="32"/>
          <w:szCs w:val="32"/>
        </w:rPr>
        <w:t xml:space="preserve">授权委托书</w:t>
      </w:r>
      <w:r/>
    </w:p>
    <w:p>
      <w:pPr>
        <w:ind w:firstLine="500"/>
        <w:spacing w:before="240" w:after="240"/>
        <w:rPr>
          <w:sz w:val="24"/>
          <w:szCs w:val="24"/>
        </w:rPr>
      </w:pPr>
      <w:r>
        <w:rPr>
          <w:sz w:val="24"/>
          <w:szCs w:val="24"/>
        </w:rPr>
        <w:t xml:space="preserve">本授权书声明：</w:t>
      </w:r>
      <w:r>
        <w:rPr>
          <w:rFonts w:hint="eastAsia"/>
          <w:sz w:val="24"/>
          <w:szCs w:val="24"/>
          <w:u w:val="single"/>
        </w:rPr>
        <w:t xml:space="preserve">                </w:t>
      </w:r>
      <w:r>
        <w:rPr>
          <w:sz w:val="24"/>
          <w:szCs w:val="24"/>
        </w:rPr>
        <w:t xml:space="preserve">（</w:t>
      </w:r>
      <w:r>
        <w:rPr>
          <w:rFonts w:hint="eastAsia"/>
          <w:sz w:val="24"/>
          <w:szCs w:val="24"/>
        </w:rPr>
        <w:t xml:space="preserve">供应商</w:t>
      </w:r>
      <w:r>
        <w:rPr>
          <w:sz w:val="24"/>
          <w:szCs w:val="24"/>
        </w:rPr>
        <w:t xml:space="preserve">名称）授权</w:t>
      </w:r>
      <w:bookmarkStart w:id="251" w:name="sys_STR"/>
      <w:r/>
      <w:bookmarkEnd w:id="251"/>
      <w:r>
        <w:rPr>
          <w:rFonts w:hint="eastAsia"/>
          <w:sz w:val="24"/>
          <w:szCs w:val="24"/>
          <w:u w:val="single"/>
        </w:rPr>
        <w:t xml:space="preserve">        </w:t>
      </w:r>
      <w:r>
        <w:rPr>
          <w:sz w:val="24"/>
          <w:szCs w:val="24"/>
        </w:rPr>
        <w:t xml:space="preserve">(被授权人的姓名)（</w:t>
      </w:r>
      <w:r>
        <w:rPr>
          <w:rFonts w:hint="eastAsia"/>
          <w:sz w:val="24"/>
          <w:szCs w:val="24"/>
        </w:rPr>
        <w:t xml:space="preserve">被授权人身份证号码</w:t>
      </w:r>
      <w:r>
        <w:rPr>
          <w:rFonts w:hint="eastAsia"/>
          <w:sz w:val="24"/>
          <w:szCs w:val="24"/>
          <w:u w:val="single"/>
        </w:rPr>
        <w:t xml:space="preserve">：         </w:t>
      </w:r>
      <w:r>
        <w:rPr>
          <w:sz w:val="24"/>
          <w:szCs w:val="24"/>
        </w:rPr>
        <w:t xml:space="preserve">）为我方就</w:t>
      </w:r>
      <w:r>
        <w:rPr>
          <w:rFonts w:hint="eastAsia"/>
          <w:sz w:val="24"/>
          <w:szCs w:val="24"/>
          <w:u w:val="single"/>
        </w:rPr>
        <w:t xml:space="preserve">              （项目编号：     ）</w:t>
      </w:r>
      <w:r>
        <w:rPr>
          <w:sz w:val="24"/>
          <w:szCs w:val="24"/>
        </w:rPr>
        <w:t xml:space="preserve">项目采购活动的合法代理人，以本单位名义全权处理一切与该项目采购有关的事务</w:t>
      </w:r>
      <w:r>
        <w:rPr>
          <w:rFonts w:hint="eastAsia"/>
          <w:sz w:val="24"/>
          <w:szCs w:val="24"/>
        </w:rPr>
        <w:t xml:space="preserve">，其代表本单位处理相关事项所产生的一切责任由本单位承担。</w:t>
      </w:r>
      <w:r/>
    </w:p>
    <w:p>
      <w:pPr>
        <w:ind w:firstLine="500"/>
        <w:spacing w:before="240" w:after="240"/>
        <w:rPr>
          <w:sz w:val="24"/>
          <w:szCs w:val="24"/>
        </w:rPr>
      </w:pPr>
      <w:r>
        <w:rPr>
          <w:sz w:val="24"/>
          <w:szCs w:val="24"/>
        </w:rPr>
        <w:t xml:space="preserve">本授权书于</w:t>
      </w:r>
      <w:r>
        <w:rPr>
          <w:rFonts w:hint="eastAsia"/>
          <w:sz w:val="24"/>
          <w:szCs w:val="24"/>
          <w:u w:val="single"/>
        </w:rPr>
        <w:t xml:space="preserve">   年  月   日</w:t>
      </w:r>
      <w:r>
        <w:rPr>
          <w:sz w:val="24"/>
          <w:szCs w:val="24"/>
        </w:rPr>
        <w:t xml:space="preserve">起生效，特此声明。  </w:t>
      </w:r>
      <w:r/>
    </w:p>
    <w:p>
      <w:pPr>
        <w:spacing w:before="240" w:after="240"/>
        <w:rPr>
          <w:rFonts w:ascii="Times New Roman" w:hAnsi="Times New Roman" w:eastAsia="Times New Roman"/>
          <w:sz w:val="24"/>
          <w:szCs w:val="24"/>
        </w:rPr>
      </w:pPr>
      <w:r>
        <w:rPr>
          <w:rFonts w:ascii="Times New Roman" w:hAnsi="Times New Roman" w:eastAsia="Times New Roman"/>
          <w:sz w:val="24"/>
          <w:szCs w:val="24"/>
        </w:rPr>
      </w:r>
      <w:r/>
    </w:p>
    <w:p>
      <w:pPr>
        <w:ind w:firstLine="3570"/>
        <w:spacing w:before="240" w:after="240"/>
        <w:rPr>
          <w:sz w:val="24"/>
          <w:szCs w:val="24"/>
        </w:rPr>
      </w:pPr>
      <w:r>
        <w:rPr>
          <w:sz w:val="24"/>
          <w:szCs w:val="24"/>
        </w:rPr>
        <w:t xml:space="preserve">被授权人联系电话：（手机）   </w:t>
      </w:r>
      <w:r/>
    </w:p>
    <w:p>
      <w:pPr>
        <w:ind w:firstLine="3570"/>
        <w:spacing w:before="240" w:after="240"/>
        <w:rPr>
          <w:sz w:val="24"/>
          <w:szCs w:val="24"/>
        </w:rPr>
      </w:pPr>
      <w:r>
        <w:rPr>
          <w:sz w:val="24"/>
          <w:szCs w:val="24"/>
        </w:rPr>
        <w:t xml:space="preserve">授权单位名称：   （加盖公章）</w:t>
      </w:r>
      <w:r/>
    </w:p>
    <w:p>
      <w:pPr>
        <w:ind w:firstLine="3570"/>
        <w:spacing w:before="240" w:after="240"/>
        <w:rPr>
          <w:sz w:val="24"/>
          <w:szCs w:val="24"/>
        </w:rPr>
      </w:pPr>
      <w:r>
        <w:rPr>
          <w:sz w:val="24"/>
          <w:szCs w:val="24"/>
        </w:rPr>
        <w:t xml:space="preserve">单位地址：   </w:t>
      </w:r>
      <w:r>
        <w:rPr>
          <w:rFonts w:hint="eastAsia"/>
          <w:sz w:val="24"/>
          <w:szCs w:val="24"/>
        </w:rPr>
        <w:t xml:space="preserve"> </w:t>
      </w:r>
      <w:r/>
    </w:p>
    <w:p>
      <w:pPr>
        <w:ind w:firstLine="3600"/>
        <w:spacing w:before="240" w:after="240"/>
        <w:rPr>
          <w:sz w:val="24"/>
          <w:szCs w:val="24"/>
        </w:rPr>
      </w:pPr>
      <w:r>
        <w:rPr>
          <w:sz w:val="24"/>
          <w:szCs w:val="24"/>
        </w:rPr>
        <w:t xml:space="preserve">日期：   </w:t>
      </w:r>
      <w:r>
        <w:rPr>
          <w:rFonts w:hint="eastAsia"/>
          <w:sz w:val="24"/>
          <w:szCs w:val="24"/>
        </w:rPr>
        <w:t xml:space="preserve">年   月   日</w:t>
      </w:r>
      <w:r/>
    </w:p>
    <w:p>
      <w:pPr>
        <w:jc w:val="left"/>
        <w:widowControl/>
        <w:rPr>
          <w:rFonts w:hint="eastAsia" w:ascii="宋体" w:hAnsi="宋体"/>
          <w:szCs w:val="21"/>
        </w:rPr>
      </w:pPr>
      <w:r>
        <w:rPr>
          <w:rFonts w:hint="eastAsia" w:ascii="宋体" w:hAnsi="宋体"/>
          <w:szCs w:val="21"/>
        </w:rPr>
      </w:r>
      <w:r/>
    </w:p>
    <w:p>
      <w:pPr>
        <w:jc w:val="center"/>
        <w:spacing w:before="240" w:after="240"/>
        <w:rPr>
          <w:b/>
          <w:bCs/>
          <w:sz w:val="32"/>
          <w:szCs w:val="32"/>
        </w:rPr>
      </w:pPr>
      <w:r>
        <w:rPr>
          <w:rFonts w:hint="eastAsia"/>
          <w:b/>
          <w:bCs/>
          <w:sz w:val="32"/>
          <w:szCs w:val="32"/>
        </w:rPr>
        <w:t xml:space="preserve">2、法定代表人身份证明书</w:t>
      </w:r>
      <w:r/>
    </w:p>
    <w:p>
      <w:pPr>
        <w:ind w:firstLine="500"/>
        <w:spacing w:before="240" w:after="240"/>
        <w:rPr>
          <w:sz w:val="24"/>
          <w:szCs w:val="24"/>
        </w:rPr>
      </w:pPr>
      <w:r>
        <w:rPr>
          <w:rFonts w:hint="eastAsia"/>
          <w:sz w:val="24"/>
          <w:szCs w:val="24"/>
        </w:rPr>
        <w:t xml:space="preserve">兹证明</w:t>
      </w:r>
      <w:r>
        <w:rPr>
          <w:rFonts w:hint="eastAsia"/>
          <w:sz w:val="24"/>
          <w:szCs w:val="24"/>
          <w:u w:val="single"/>
        </w:rPr>
        <w:t xml:space="preserve">              </w:t>
      </w:r>
      <w:r>
        <w:rPr>
          <w:sz w:val="24"/>
          <w:szCs w:val="24"/>
        </w:rPr>
        <w:t xml:space="preserve">（</w:t>
      </w:r>
      <w:r>
        <w:rPr>
          <w:rFonts w:hint="eastAsia"/>
          <w:sz w:val="24"/>
          <w:szCs w:val="24"/>
        </w:rPr>
        <w:t xml:space="preserve">姓名</w:t>
      </w:r>
      <w:r>
        <w:rPr>
          <w:sz w:val="24"/>
          <w:szCs w:val="24"/>
        </w:rPr>
        <w:t xml:space="preserve">）（</w:t>
      </w:r>
      <w:r>
        <w:rPr>
          <w:rFonts w:hint="eastAsia"/>
          <w:sz w:val="24"/>
          <w:szCs w:val="24"/>
        </w:rPr>
        <w:t xml:space="preserve">法定代表人身份证号码</w:t>
      </w:r>
      <w:r>
        <w:rPr>
          <w:rFonts w:hint="eastAsia"/>
          <w:sz w:val="24"/>
          <w:szCs w:val="24"/>
          <w:u w:val="single"/>
        </w:rPr>
        <w:t xml:space="preserve">：         </w:t>
      </w:r>
      <w:r>
        <w:rPr>
          <w:sz w:val="24"/>
          <w:szCs w:val="24"/>
        </w:rPr>
        <w:t xml:space="preserve">）</w:t>
      </w:r>
      <w:r>
        <w:rPr>
          <w:rFonts w:hint="eastAsia"/>
          <w:sz w:val="24"/>
          <w:szCs w:val="24"/>
        </w:rPr>
        <w:t xml:space="preserve">担任</w:t>
      </w:r>
      <w:r>
        <w:rPr>
          <w:rFonts w:hint="eastAsia"/>
          <w:sz w:val="24"/>
          <w:szCs w:val="24"/>
          <w:u w:val="single"/>
        </w:rPr>
        <w:t xml:space="preserve">            </w:t>
      </w:r>
      <w:r>
        <w:rPr>
          <w:sz w:val="24"/>
          <w:szCs w:val="24"/>
        </w:rPr>
        <w:t xml:space="preserve">(</w:t>
      </w:r>
      <w:r>
        <w:rPr>
          <w:rFonts w:hint="eastAsia"/>
          <w:sz w:val="24"/>
          <w:szCs w:val="24"/>
        </w:rPr>
        <w:t xml:space="preserve">供应商名称</w:t>
      </w:r>
      <w:r>
        <w:rPr>
          <w:sz w:val="24"/>
          <w:szCs w:val="24"/>
        </w:rPr>
        <w:t xml:space="preserve">)</w:t>
      </w:r>
      <w:r>
        <w:rPr>
          <w:rFonts w:hint="eastAsia"/>
          <w:sz w:val="24"/>
          <w:szCs w:val="24"/>
          <w:u w:val="single"/>
        </w:rPr>
        <w:t xml:space="preserve">      （职位 ）</w:t>
      </w:r>
      <w:r>
        <w:rPr>
          <w:rFonts w:hint="eastAsia"/>
          <w:sz w:val="24"/>
          <w:szCs w:val="24"/>
        </w:rPr>
        <w:t xml:space="preserve">，是我单位的法定代表人</w:t>
      </w:r>
      <w:r>
        <w:rPr>
          <w:sz w:val="24"/>
          <w:szCs w:val="24"/>
        </w:rPr>
        <w:t xml:space="preserve">。 </w:t>
      </w:r>
      <w:r/>
    </w:p>
    <w:p>
      <w:pPr>
        <w:ind w:firstLine="500"/>
        <w:spacing w:before="240" w:after="240"/>
        <w:rPr>
          <w:sz w:val="24"/>
          <w:szCs w:val="24"/>
        </w:rPr>
      </w:pPr>
      <w:r>
        <w:rPr>
          <w:sz w:val="24"/>
          <w:szCs w:val="24"/>
        </w:rPr>
        <w:t xml:space="preserve">特此</w:t>
      </w:r>
      <w:r>
        <w:rPr>
          <w:rFonts w:hint="eastAsia"/>
          <w:sz w:val="24"/>
          <w:szCs w:val="24"/>
        </w:rPr>
        <w:t xml:space="preserve">证</w:t>
      </w:r>
      <w:r>
        <w:rPr>
          <w:sz w:val="24"/>
          <w:szCs w:val="24"/>
        </w:rPr>
        <w:t xml:space="preserve">明。  </w:t>
      </w:r>
      <w:r/>
    </w:p>
    <w:p>
      <w:pPr>
        <w:ind w:firstLine="500"/>
        <w:spacing w:before="240" w:after="240"/>
        <w:rPr>
          <w:rFonts w:ascii="Times New Roman" w:hAnsi="Times New Roman" w:eastAsia="Times New Roman"/>
          <w:sz w:val="24"/>
          <w:szCs w:val="24"/>
        </w:rPr>
      </w:pPr>
      <w:r>
        <w:rPr>
          <w:rFonts w:ascii="Times New Roman" w:hAnsi="Times New Roman" w:eastAsia="Times New Roman"/>
          <w:sz w:val="24"/>
          <w:szCs w:val="24"/>
        </w:rPr>
      </w:r>
      <w:r/>
    </w:p>
    <w:p>
      <w:pPr>
        <w:ind w:firstLine="240"/>
        <w:spacing w:before="240" w:after="240"/>
        <w:rPr>
          <w:sz w:val="24"/>
          <w:szCs w:val="24"/>
        </w:rPr>
      </w:pPr>
      <w:r>
        <w:rPr>
          <w:sz w:val="24"/>
          <w:szCs w:val="24"/>
        </w:rPr>
        <w:t xml:space="preserve"> </w:t>
      </w:r>
      <w:r>
        <w:rPr>
          <w:rFonts w:hint="eastAsia"/>
          <w:sz w:val="24"/>
          <w:szCs w:val="24"/>
        </w:rPr>
        <w:t xml:space="preserve">                       </w:t>
      </w:r>
      <w:r/>
    </w:p>
    <w:p>
      <w:pPr>
        <w:ind w:firstLine="3570"/>
        <w:spacing w:before="240" w:after="240"/>
        <w:rPr>
          <w:sz w:val="24"/>
          <w:szCs w:val="24"/>
        </w:rPr>
      </w:pPr>
      <w:r>
        <w:rPr>
          <w:rFonts w:hint="eastAsia"/>
          <w:sz w:val="24"/>
          <w:szCs w:val="24"/>
        </w:rPr>
        <w:t xml:space="preserve">法定代表人</w:t>
      </w:r>
      <w:r>
        <w:rPr>
          <w:sz w:val="24"/>
          <w:szCs w:val="24"/>
        </w:rPr>
        <w:t xml:space="preserve">联系电话：（手机）   </w:t>
      </w:r>
      <w:r/>
    </w:p>
    <w:p>
      <w:pPr>
        <w:ind w:firstLine="3570"/>
        <w:spacing w:before="240" w:after="240"/>
        <w:rPr>
          <w:sz w:val="24"/>
          <w:szCs w:val="24"/>
        </w:rPr>
      </w:pPr>
      <w:r>
        <w:rPr>
          <w:sz w:val="24"/>
          <w:szCs w:val="24"/>
        </w:rPr>
        <w:t xml:space="preserve">单位名称：   （加盖公章）</w:t>
      </w:r>
      <w:r/>
    </w:p>
    <w:p>
      <w:pPr>
        <w:ind w:firstLine="3570"/>
        <w:spacing w:before="240" w:after="240"/>
        <w:rPr>
          <w:sz w:val="24"/>
          <w:szCs w:val="24"/>
        </w:rPr>
      </w:pPr>
      <w:r>
        <w:rPr>
          <w:sz w:val="24"/>
          <w:szCs w:val="24"/>
        </w:rPr>
        <w:t xml:space="preserve">单位地址：   </w:t>
      </w:r>
      <w:r>
        <w:rPr>
          <w:rFonts w:hint="eastAsia"/>
          <w:sz w:val="24"/>
          <w:szCs w:val="24"/>
        </w:rPr>
        <w:t xml:space="preserve"> </w:t>
      </w:r>
      <w:r/>
    </w:p>
    <w:p>
      <w:pPr>
        <w:ind w:firstLine="3600"/>
        <w:spacing w:before="240" w:after="240"/>
        <w:rPr>
          <w:sz w:val="24"/>
          <w:szCs w:val="24"/>
        </w:rPr>
      </w:pPr>
      <w:r>
        <w:rPr>
          <w:sz w:val="24"/>
          <w:szCs w:val="24"/>
        </w:rPr>
        <w:t xml:space="preserve">日期：   </w:t>
      </w:r>
      <w:r>
        <w:rPr>
          <w:rFonts w:hint="eastAsia"/>
          <w:sz w:val="24"/>
          <w:szCs w:val="24"/>
        </w:rPr>
        <w:t xml:space="preserve">年   月   日</w:t>
      </w:r>
      <w:bookmarkEnd w:id="250"/>
      <w:r/>
      <w:r/>
    </w:p>
    <w:p>
      <w:pPr>
        <w:rPr>
          <w:rStyle w:val="1006"/>
          <w:rFonts w:hint="eastAsia" w:ascii="宋体" w:hAnsi="宋体"/>
          <w:b/>
          <w:sz w:val="28"/>
        </w:rPr>
      </w:pPr>
      <w:r>
        <w:rPr>
          <w:rFonts w:hint="eastAsia" w:ascii="宋体" w:hAnsi="宋体"/>
          <w:b/>
          <w:sz w:val="28"/>
        </w:rPr>
      </w:r>
      <w:r/>
    </w:p>
    <w:p>
      <w:pPr>
        <w:pStyle w:val="1084"/>
        <w:rPr>
          <w:rStyle w:val="1006"/>
          <w:rFonts w:ascii="宋体"/>
          <w:b/>
          <w:sz w:val="28"/>
        </w:rPr>
      </w:pPr>
      <w:r>
        <w:rPr>
          <w:rFonts w:ascii="宋体"/>
          <w:b/>
          <w:sz w:val="28"/>
        </w:rPr>
      </w:r>
      <w:r/>
    </w:p>
    <w:p>
      <w:pPr>
        <w:pStyle w:val="1056"/>
        <w:rPr>
          <w:rStyle w:val="1006"/>
          <w:rFonts w:hint="eastAsia" w:ascii="宋体" w:hAnsi="宋体"/>
          <w:b/>
          <w:sz w:val="28"/>
        </w:rPr>
        <w:outlineLvl w:val="0"/>
      </w:pPr>
      <w:r>
        <w:rPr>
          <w:rFonts w:hint="eastAsia" w:ascii="宋体" w:hAnsi="宋体"/>
          <w:b/>
          <w:sz w:val="28"/>
        </w:rPr>
      </w:r>
      <w:r/>
    </w:p>
    <w:p>
      <w:pPr>
        <w:pStyle w:val="1056"/>
        <w:rPr>
          <w:rStyle w:val="1006"/>
          <w:rFonts w:hint="eastAsia" w:ascii="宋体" w:hAnsi="宋体"/>
          <w:b/>
          <w:sz w:val="32"/>
        </w:rPr>
        <w:outlineLvl w:val="0"/>
      </w:pPr>
      <w:r/>
      <w:bookmarkStart w:id="252" w:name="_Toc13868"/>
      <w:r/>
      <w:bookmarkStart w:id="253" w:name="_Toc15093"/>
      <w:r>
        <w:rPr>
          <w:rStyle w:val="1006"/>
          <w:rFonts w:ascii="宋体" w:hAnsi="宋体"/>
          <w:b/>
          <w:sz w:val="32"/>
        </w:rPr>
        <w:t xml:space="preserve">五、第四章项目需求中实质性要求响应对照表</w:t>
      </w:r>
      <w:bookmarkEnd w:id="252"/>
      <w:r/>
      <w:bookmarkEnd w:id="253"/>
      <w:r/>
      <w:r/>
    </w:p>
    <w:p>
      <w:pPr>
        <w:pStyle w:val="1064"/>
        <w:spacing w:line="440" w:lineRule="exact"/>
        <w:rPr>
          <w:rFonts w:hint="eastAsia" w:ascii="宋体" w:hAnsi="宋体" w:eastAsia="宋体"/>
          <w:b/>
          <w:bCs/>
        </w:rPr>
      </w:pPr>
      <w:r>
        <w:rPr>
          <w:rFonts w:ascii="宋体" w:hAnsi="宋体" w:eastAsia="宋体"/>
          <w:b/>
          <w:bCs/>
        </w:rPr>
        <w:t xml:space="preserve"> </w:t>
      </w:r>
      <w:r>
        <w:rPr>
          <w:rFonts w:hint="eastAsia" w:ascii="宋体" w:hAnsi="宋体" w:eastAsia="宋体"/>
          <w:b/>
          <w:bCs/>
        </w:rPr>
        <w:t xml:space="preserve">1、</w:t>
      </w:r>
      <w:bookmarkStart w:id="254" w:name="OLE_LINK13"/>
      <w:r>
        <w:rPr>
          <w:rFonts w:hint="eastAsia" w:ascii="宋体" w:hAnsi="宋体" w:eastAsia="宋体"/>
          <w:b/>
          <w:bCs/>
        </w:rPr>
        <w:t xml:space="preserve">商务条款的实质性格式</w:t>
      </w:r>
      <w:r>
        <w:rPr>
          <w:rFonts w:ascii="宋体" w:hAnsi="宋体" w:eastAsia="宋体"/>
          <w:b/>
          <w:bCs/>
        </w:rPr>
        <w:t xml:space="preserve"> </w:t>
      </w:r>
      <w:r/>
    </w:p>
    <w:tbl>
      <w:tblPr>
        <w:tblStyle w:val="816"/>
        <w:tblW w:w="8019"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1064"/>
              <w:jc w:val="center"/>
              <w:rPr>
                <w:rFonts w:hint="eastAsia" w:ascii="宋体" w:hAnsi="宋体" w:eastAsia="宋体"/>
              </w:rPr>
            </w:pPr>
            <w:r>
              <w:rPr>
                <w:rFonts w:ascii="宋体" w:hAnsi="宋体" w:eastAsia="宋体"/>
              </w:rPr>
              <w:t xml:space="preserve">序号</w:t>
            </w:r>
            <w:r/>
          </w:p>
        </w:tc>
        <w:tc>
          <w:tcPr>
            <w:tcMar>
              <w:left w:w="0" w:type="dxa"/>
              <w:top w:w="0" w:type="dxa"/>
              <w:right w:w="0" w:type="dxa"/>
              <w:bottom w:w="0" w:type="dxa"/>
            </w:tcMar>
            <w:tcW w:w="4444" w:type="dxa"/>
            <w:vAlign w:val="center"/>
            <w:textDirection w:val="lrTb"/>
            <w:noWrap w:val="false"/>
          </w:tcPr>
          <w:p>
            <w:pPr>
              <w:pStyle w:val="1064"/>
              <w:jc w:val="center"/>
              <w:rPr>
                <w:rFonts w:hint="eastAsia" w:ascii="宋体" w:hAnsi="宋体" w:eastAsia="宋体"/>
              </w:rPr>
            </w:pPr>
            <w:r>
              <w:rPr>
                <w:rFonts w:hint="eastAsia" w:ascii="宋体" w:hAnsi="宋体" w:eastAsia="宋体"/>
              </w:rPr>
              <w:t xml:space="preserve">商务条款</w:t>
            </w:r>
            <w:r>
              <w:rPr>
                <w:rFonts w:ascii="宋体" w:hAnsi="宋体" w:eastAsia="宋体"/>
              </w:rPr>
              <w:t xml:space="preserve">的实质性要求</w:t>
            </w:r>
            <w:r/>
          </w:p>
          <w:p>
            <w:pPr>
              <w:pStyle w:val="1064"/>
              <w:jc w:val="center"/>
              <w:rPr>
                <w:rFonts w:ascii="宋体" w:hAnsi="宋体"/>
                <w:i/>
                <w:u w:val="single"/>
              </w:rPr>
            </w:pP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Mar>
              <w:left w:w="0" w:type="dxa"/>
              <w:top w:w="0" w:type="dxa"/>
              <w:right w:w="0" w:type="dxa"/>
              <w:bottom w:w="0" w:type="dxa"/>
            </w:tcMar>
            <w:tcW w:w="1662" w:type="dxa"/>
            <w:vAlign w:val="center"/>
            <w:textDirection w:val="lrTb"/>
            <w:noWrap w:val="false"/>
          </w:tcPr>
          <w:p>
            <w:pPr>
              <w:pStyle w:val="1064"/>
              <w:jc w:val="center"/>
              <w:rPr>
                <w:rFonts w:hint="eastAsia" w:ascii="宋体" w:hAnsi="宋体" w:eastAsia="宋体"/>
              </w:rPr>
            </w:pPr>
            <w:r>
              <w:rPr>
                <w:rFonts w:hint="eastAsia" w:ascii="宋体" w:hAnsi="宋体" w:eastAsia="宋体"/>
              </w:rPr>
              <w:t xml:space="preserve">投标响应情况</w:t>
            </w:r>
            <w:r/>
          </w:p>
        </w:tc>
        <w:tc>
          <w:tcPr>
            <w:tcMar>
              <w:left w:w="0" w:type="dxa"/>
              <w:top w:w="0" w:type="dxa"/>
              <w:right w:w="0" w:type="dxa"/>
              <w:bottom w:w="0" w:type="dxa"/>
            </w:tcMar>
            <w:tcW w:w="1409" w:type="dxa"/>
            <w:vAlign w:val="center"/>
            <w:textDirection w:val="lrTb"/>
            <w:noWrap w:val="false"/>
          </w:tcPr>
          <w:p>
            <w:pPr>
              <w:pStyle w:val="1064"/>
              <w:jc w:val="center"/>
              <w:rPr>
                <w:rFonts w:hint="eastAsia" w:ascii="宋体" w:hAnsi="宋体" w:eastAsia="宋体"/>
              </w:rPr>
            </w:pPr>
            <w:r>
              <w:rPr>
                <w:rFonts w:hint="eastAsia" w:ascii="宋体" w:hAnsi="宋体" w:eastAsia="宋体"/>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1064"/>
              <w:jc w:val="center"/>
              <w:rPr>
                <w:rFonts w:hint="eastAsia" w:ascii="宋体" w:hAnsi="宋体" w:eastAsia="宋体"/>
              </w:rPr>
            </w:pPr>
            <w:r>
              <w:rPr>
                <w:rFonts w:hint="eastAsia" w:ascii="宋体" w:hAnsi="宋体" w:eastAsia="宋体"/>
              </w:rPr>
              <w:t xml:space="preserve">1</w:t>
            </w:r>
            <w:r/>
          </w:p>
        </w:tc>
        <w:tc>
          <w:tcPr>
            <w:tcMar>
              <w:left w:w="0" w:type="dxa"/>
              <w:top w:w="0" w:type="dxa"/>
              <w:right w:w="0" w:type="dxa"/>
              <w:bottom w:w="0" w:type="dxa"/>
            </w:tcMar>
            <w:tcW w:w="4444" w:type="dxa"/>
            <w:vAlign w:val="center"/>
            <w:textDirection w:val="lrTb"/>
            <w:noWrap w:val="false"/>
          </w:tcPr>
          <w:p>
            <w:pPr>
              <w:pStyle w:val="1035"/>
              <w:ind w:firstLine="500"/>
              <w:spacing w:line="440" w:lineRule="exact"/>
              <w:rPr>
                <w:rFonts w:hint="eastAsia" w:ascii="宋体" w:hAnsi="宋体" w:eastAsia="宋体"/>
                <w:i/>
                <w:u w:val="single"/>
              </w:rPr>
            </w:pPr>
            <w:r>
              <w:rPr>
                <w:rFonts w:hint="eastAsia" w:ascii="宋体" w:hAnsi="宋体" w:eastAsia="宋体"/>
                <w:i/>
                <w:u w:val="single"/>
              </w:rPr>
            </w:r>
            <w:r/>
          </w:p>
        </w:tc>
        <w:tc>
          <w:tcPr>
            <w:tcMar>
              <w:left w:w="0" w:type="dxa"/>
              <w:top w:w="0" w:type="dxa"/>
              <w:right w:w="0" w:type="dxa"/>
              <w:bottom w:w="0" w:type="dxa"/>
            </w:tcMar>
            <w:tcW w:w="1662"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Mar>
              <w:left w:w="0" w:type="dxa"/>
              <w:top w:w="0" w:type="dxa"/>
              <w:right w:w="0" w:type="dxa"/>
              <w:bottom w:w="0" w:type="dxa"/>
            </w:tcMar>
            <w:tcW w:w="1409"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r>
      <w:tr>
        <w:trPr>
          <w:trHeight w:val="488"/>
        </w:trPr>
        <w:tc>
          <w:tcPr>
            <w:tcMar>
              <w:left w:w="0" w:type="dxa"/>
              <w:top w:w="0" w:type="dxa"/>
              <w:right w:w="0" w:type="dxa"/>
              <w:bottom w:w="0" w:type="dxa"/>
            </w:tcMar>
            <w:tcW w:w="504" w:type="dxa"/>
            <w:vAlign w:val="center"/>
            <w:textDirection w:val="lrTb"/>
            <w:noWrap w:val="false"/>
          </w:tcPr>
          <w:p>
            <w:pPr>
              <w:pStyle w:val="1064"/>
              <w:jc w:val="center"/>
              <w:rPr>
                <w:rFonts w:hint="eastAsia" w:ascii="宋体" w:hAnsi="宋体" w:eastAsia="宋体"/>
              </w:rPr>
            </w:pPr>
            <w:r>
              <w:rPr>
                <w:rFonts w:hint="eastAsia" w:ascii="宋体" w:hAnsi="宋体" w:eastAsia="宋体"/>
              </w:rPr>
              <w:t xml:space="preserve">2</w:t>
            </w:r>
            <w:r/>
          </w:p>
        </w:tc>
        <w:tc>
          <w:tcPr>
            <w:tcMar>
              <w:left w:w="0" w:type="dxa"/>
              <w:top w:w="0" w:type="dxa"/>
              <w:right w:w="0" w:type="dxa"/>
              <w:bottom w:w="0" w:type="dxa"/>
            </w:tcMar>
            <w:tcW w:w="4444" w:type="dxa"/>
            <w:vAlign w:val="center"/>
            <w:textDirection w:val="lrTb"/>
            <w:noWrap w:val="false"/>
          </w:tcPr>
          <w:p>
            <w:pPr>
              <w:pStyle w:val="1035"/>
              <w:ind w:firstLine="500"/>
              <w:spacing w:line="440" w:lineRule="exact"/>
              <w:rPr>
                <w:rFonts w:hint="eastAsia" w:ascii="宋体" w:hAnsi="宋体" w:eastAsia="宋体"/>
              </w:rPr>
            </w:pPr>
            <w:r>
              <w:rPr>
                <w:rFonts w:hint="eastAsia" w:ascii="宋体" w:hAnsi="宋体" w:eastAsia="宋体"/>
              </w:rPr>
            </w:r>
            <w:r/>
          </w:p>
        </w:tc>
        <w:tc>
          <w:tcPr>
            <w:tcMar>
              <w:left w:w="0" w:type="dxa"/>
              <w:top w:w="0" w:type="dxa"/>
              <w:right w:w="0" w:type="dxa"/>
              <w:bottom w:w="0" w:type="dxa"/>
            </w:tcMar>
            <w:tcW w:w="1662"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Mar>
              <w:left w:w="0" w:type="dxa"/>
              <w:top w:w="0" w:type="dxa"/>
              <w:right w:w="0" w:type="dxa"/>
              <w:bottom w:w="0" w:type="dxa"/>
            </w:tcMar>
            <w:tcW w:w="1409"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r>
      <w:tr>
        <w:trPr>
          <w:trHeight w:val="504"/>
        </w:trPr>
        <w:tc>
          <w:tcPr>
            <w:tcMar>
              <w:left w:w="0" w:type="dxa"/>
              <w:top w:w="0" w:type="dxa"/>
              <w:right w:w="0" w:type="dxa"/>
              <w:bottom w:w="0" w:type="dxa"/>
            </w:tcMar>
            <w:tcW w:w="504"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Mar>
              <w:left w:w="0" w:type="dxa"/>
              <w:top w:w="0" w:type="dxa"/>
              <w:right w:w="0" w:type="dxa"/>
              <w:bottom w:w="0" w:type="dxa"/>
            </w:tcMar>
            <w:tcW w:w="4444" w:type="dxa"/>
            <w:vAlign w:val="center"/>
            <w:textDirection w:val="lrTb"/>
            <w:noWrap w:val="false"/>
          </w:tcPr>
          <w:p>
            <w:pPr>
              <w:pStyle w:val="1035"/>
              <w:spacing w:line="440" w:lineRule="exact"/>
              <w:rPr>
                <w:rFonts w:hint="eastAsia" w:ascii="宋体" w:hAnsi="宋体" w:eastAsia="宋体"/>
              </w:rPr>
            </w:pPr>
            <w:r>
              <w:rPr>
                <w:rFonts w:hint="eastAsia" w:ascii="宋体" w:hAnsi="宋体" w:eastAsia="宋体"/>
              </w:rPr>
              <w:t xml:space="preserve">……</w:t>
            </w:r>
            <w:r/>
          </w:p>
        </w:tc>
        <w:tc>
          <w:tcPr>
            <w:tcMar>
              <w:left w:w="0" w:type="dxa"/>
              <w:top w:w="0" w:type="dxa"/>
              <w:right w:w="0" w:type="dxa"/>
              <w:bottom w:w="0" w:type="dxa"/>
            </w:tcMar>
            <w:tcW w:w="1662"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Mar>
              <w:left w:w="0" w:type="dxa"/>
              <w:top w:w="0" w:type="dxa"/>
              <w:right w:w="0" w:type="dxa"/>
              <w:bottom w:w="0" w:type="dxa"/>
            </w:tcMar>
            <w:tcW w:w="1409"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r>
    </w:tbl>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对商务</w:t>
      </w:r>
      <w:r>
        <w:rPr>
          <w:rFonts w:hint="eastAsia" w:ascii="宋体" w:hAnsi="宋体"/>
          <w:sz w:val="24"/>
          <w:szCs w:val="24"/>
        </w:rPr>
        <w:t xml:space="preserve">条款</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bookmarkEnd w:id="254"/>
      <w:r/>
      <w:r/>
    </w:p>
    <w:p>
      <w:pPr>
        <w:pStyle w:val="1064"/>
        <w:rPr>
          <w:rFonts w:hint="eastAsia" w:ascii="宋体" w:hAnsi="宋体" w:eastAsia="宋体"/>
        </w:rPr>
      </w:pPr>
      <w:r>
        <w:rPr>
          <w:rFonts w:hint="eastAsia" w:ascii="宋体" w:hAnsi="宋体" w:eastAsia="宋体"/>
        </w:rPr>
      </w:r>
      <w:r/>
    </w:p>
    <w:p>
      <w:pPr>
        <w:pStyle w:val="1064"/>
        <w:ind w:firstLine="482"/>
        <w:rPr>
          <w:rFonts w:hint="eastAsia" w:ascii="宋体" w:hAnsi="宋体" w:eastAsia="宋体"/>
          <w:b/>
          <w:bCs/>
        </w:rPr>
      </w:pPr>
      <w:r>
        <w:rPr>
          <w:rFonts w:hint="eastAsia" w:ascii="宋体" w:hAnsi="宋体" w:eastAsia="宋体"/>
          <w:b/>
          <w:bCs/>
        </w:rPr>
      </w:r>
      <w:r/>
    </w:p>
    <w:p>
      <w:pPr>
        <w:pStyle w:val="1064"/>
        <w:ind w:firstLine="482"/>
        <w:rPr>
          <w:rFonts w:hint="eastAsia" w:ascii="宋体" w:hAnsi="宋体" w:eastAsia="宋体"/>
          <w:b/>
          <w:bCs/>
        </w:rPr>
      </w:pPr>
      <w:r>
        <w:rPr>
          <w:rFonts w:hint="eastAsia" w:ascii="宋体" w:hAnsi="宋体" w:eastAsia="宋体"/>
          <w:b/>
          <w:bCs/>
        </w:rPr>
        <w:t xml:space="preserve">2、</w:t>
      </w:r>
      <w:bookmarkStart w:id="255" w:name="OLE_LINK8"/>
      <w:r/>
      <w:bookmarkStart w:id="256" w:name="OLE_LINK14"/>
      <w:r>
        <w:rPr>
          <w:rFonts w:hint="eastAsia" w:ascii="宋体" w:hAnsi="宋体" w:eastAsia="宋体"/>
          <w:b/>
          <w:bCs/>
        </w:rPr>
        <w:t xml:space="preserve">技术要求的实质性格式</w:t>
      </w:r>
      <w:r/>
    </w:p>
    <w:tbl>
      <w:tblPr>
        <w:tblStyle w:val="816"/>
        <w:tblW w:w="8052"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Mar>
              <w:left w:w="0" w:type="dxa"/>
              <w:top w:w="0" w:type="dxa"/>
              <w:right w:w="0" w:type="dxa"/>
              <w:bottom w:w="0" w:type="dxa"/>
            </w:tcMar>
            <w:tcW w:w="474" w:type="dxa"/>
            <w:vAlign w:val="center"/>
            <w:textDirection w:val="lrTb"/>
            <w:noWrap w:val="false"/>
          </w:tcPr>
          <w:p>
            <w:pPr>
              <w:pStyle w:val="1064"/>
              <w:jc w:val="center"/>
              <w:rPr>
                <w:rFonts w:hint="eastAsia" w:ascii="宋体" w:hAnsi="宋体" w:eastAsia="宋体"/>
              </w:rPr>
            </w:pPr>
            <w:r>
              <w:rPr>
                <w:rFonts w:ascii="宋体" w:hAnsi="宋体" w:eastAsia="宋体"/>
              </w:rPr>
              <w:t xml:space="preserve">序号</w:t>
            </w:r>
            <w:r/>
          </w:p>
        </w:tc>
        <w:tc>
          <w:tcPr>
            <w:tcMar>
              <w:left w:w="0" w:type="dxa"/>
              <w:top w:w="0" w:type="dxa"/>
              <w:right w:w="0" w:type="dxa"/>
              <w:bottom w:w="0" w:type="dxa"/>
            </w:tcMar>
            <w:tcW w:w="4510" w:type="dxa"/>
            <w:vAlign w:val="center"/>
            <w:textDirection w:val="lrTb"/>
            <w:noWrap w:val="false"/>
          </w:tcPr>
          <w:p>
            <w:pPr>
              <w:pStyle w:val="1064"/>
              <w:jc w:val="center"/>
              <w:rPr>
                <w:rFonts w:hint="eastAsia" w:ascii="宋体" w:hAnsi="宋体" w:eastAsia="宋体"/>
              </w:rPr>
            </w:pPr>
            <w:r>
              <w:rPr>
                <w:rFonts w:hint="eastAsia" w:ascii="宋体" w:hAnsi="宋体" w:eastAsia="宋体"/>
              </w:rPr>
              <w:t xml:space="preserve">技术要求</w:t>
            </w:r>
            <w:r>
              <w:rPr>
                <w:rFonts w:ascii="宋体" w:hAnsi="宋体" w:eastAsia="宋体"/>
              </w:rPr>
              <w:t xml:space="preserve">的实质性要求</w:t>
            </w:r>
            <w:r/>
          </w:p>
          <w:p>
            <w:pPr>
              <w:pStyle w:val="1064"/>
              <w:jc w:val="center"/>
              <w:rPr>
                <w:rFonts w:ascii="宋体" w:hAnsi="宋体"/>
                <w:i/>
                <w:u w:val="single"/>
              </w:rPr>
            </w:pP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Mar>
              <w:left w:w="0" w:type="dxa"/>
              <w:top w:w="0" w:type="dxa"/>
              <w:right w:w="0" w:type="dxa"/>
              <w:bottom w:w="0" w:type="dxa"/>
            </w:tcMar>
            <w:tcW w:w="1534" w:type="dxa"/>
            <w:vAlign w:val="center"/>
            <w:textDirection w:val="lrTb"/>
            <w:noWrap w:val="false"/>
          </w:tcPr>
          <w:p>
            <w:pPr>
              <w:pStyle w:val="1064"/>
              <w:jc w:val="center"/>
              <w:rPr>
                <w:rFonts w:hint="eastAsia" w:ascii="宋体" w:hAnsi="宋体" w:eastAsia="宋体"/>
              </w:rPr>
            </w:pPr>
            <w:r>
              <w:rPr>
                <w:rFonts w:hint="eastAsia" w:ascii="宋体" w:hAnsi="宋体" w:eastAsia="宋体"/>
              </w:rPr>
              <w:t xml:space="preserve">投标响应情况</w:t>
            </w:r>
            <w:r/>
          </w:p>
        </w:tc>
        <w:tc>
          <w:tcPr>
            <w:tcMar>
              <w:left w:w="0" w:type="dxa"/>
              <w:top w:w="0" w:type="dxa"/>
              <w:right w:w="0" w:type="dxa"/>
              <w:bottom w:w="0" w:type="dxa"/>
            </w:tcMar>
            <w:tcW w:w="1534" w:type="dxa"/>
            <w:vAlign w:val="center"/>
            <w:textDirection w:val="lrTb"/>
            <w:noWrap w:val="false"/>
          </w:tcPr>
          <w:p>
            <w:pPr>
              <w:pStyle w:val="1064"/>
              <w:jc w:val="center"/>
              <w:rPr>
                <w:rFonts w:hint="eastAsia" w:ascii="宋体" w:hAnsi="宋体" w:eastAsia="宋体"/>
              </w:rPr>
            </w:pPr>
            <w:r>
              <w:rPr>
                <w:rFonts w:hint="eastAsia" w:ascii="宋体" w:hAnsi="宋体" w:eastAsia="宋体"/>
              </w:rPr>
              <w:t xml:space="preserve">正偏离、符合或负偏离</w:t>
            </w:r>
            <w:r/>
          </w:p>
        </w:tc>
      </w:tr>
      <w:tr>
        <w:trPr>
          <w:trHeight w:val="257"/>
        </w:trPr>
        <w:tc>
          <w:tcPr>
            <w:tcMar>
              <w:left w:w="0" w:type="dxa"/>
              <w:top w:w="0" w:type="dxa"/>
              <w:right w:w="0" w:type="dxa"/>
              <w:bottom w:w="0" w:type="dxa"/>
            </w:tcMar>
            <w:tcW w:w="474" w:type="dxa"/>
            <w:vAlign w:val="center"/>
            <w:textDirection w:val="lrTb"/>
            <w:noWrap w:val="false"/>
          </w:tcPr>
          <w:p>
            <w:pPr>
              <w:pStyle w:val="1064"/>
              <w:jc w:val="center"/>
              <w:rPr>
                <w:rFonts w:hint="eastAsia" w:ascii="宋体" w:hAnsi="宋体" w:eastAsia="宋体"/>
              </w:rPr>
            </w:pPr>
            <w:r>
              <w:rPr>
                <w:rFonts w:hint="eastAsia" w:ascii="宋体" w:hAnsi="宋体" w:eastAsia="宋体"/>
              </w:rPr>
              <w:t xml:space="preserve">1</w:t>
            </w:r>
            <w:r/>
          </w:p>
        </w:tc>
        <w:tc>
          <w:tcPr>
            <w:tcMar>
              <w:left w:w="0" w:type="dxa"/>
              <w:top w:w="0" w:type="dxa"/>
              <w:right w:w="0" w:type="dxa"/>
              <w:bottom w:w="0" w:type="dxa"/>
            </w:tcMar>
            <w:tcW w:w="4510" w:type="dxa"/>
            <w:vAlign w:val="center"/>
            <w:textDirection w:val="lrTb"/>
            <w:noWrap w:val="false"/>
          </w:tcPr>
          <w:p>
            <w:pPr>
              <w:pStyle w:val="1064"/>
              <w:rPr>
                <w:rFonts w:hint="eastAsia" w:ascii="宋体" w:hAnsi="宋体" w:eastAsia="宋体"/>
                <w:i/>
                <w:u w:val="single"/>
              </w:rPr>
            </w:pPr>
            <w:r>
              <w:rPr>
                <w:rFonts w:hint="eastAsia" w:ascii="宋体" w:hAnsi="宋体" w:eastAsia="宋体"/>
                <w:i/>
                <w:u w:val="single"/>
              </w:rPr>
            </w:r>
            <w:r/>
          </w:p>
        </w:tc>
        <w:tc>
          <w:tcPr>
            <w:tcMar>
              <w:left w:w="0" w:type="dxa"/>
              <w:top w:w="0" w:type="dxa"/>
              <w:right w:w="0" w:type="dxa"/>
              <w:bottom w:w="0" w:type="dxa"/>
            </w:tcMar>
            <w:tcW w:w="1534"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Mar>
              <w:left w:w="0" w:type="dxa"/>
              <w:top w:w="0" w:type="dxa"/>
              <w:right w:w="0" w:type="dxa"/>
              <w:bottom w:w="0" w:type="dxa"/>
            </w:tcMar>
            <w:tcW w:w="1534"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r>
      <w:tr>
        <w:trPr>
          <w:trHeight w:val="257"/>
        </w:trPr>
        <w:tc>
          <w:tcPr>
            <w:tcMar>
              <w:left w:w="0" w:type="dxa"/>
              <w:top w:w="0" w:type="dxa"/>
              <w:right w:w="0" w:type="dxa"/>
              <w:bottom w:w="0" w:type="dxa"/>
            </w:tcMar>
            <w:tcW w:w="474" w:type="dxa"/>
            <w:vAlign w:val="center"/>
            <w:textDirection w:val="lrTb"/>
            <w:noWrap w:val="false"/>
          </w:tcPr>
          <w:p>
            <w:pPr>
              <w:pStyle w:val="1064"/>
              <w:jc w:val="center"/>
              <w:rPr>
                <w:rFonts w:hint="eastAsia" w:ascii="宋体" w:hAnsi="宋体" w:eastAsia="宋体"/>
              </w:rPr>
            </w:pPr>
            <w:r>
              <w:rPr>
                <w:rFonts w:hint="eastAsia" w:ascii="宋体" w:hAnsi="宋体" w:eastAsia="宋体"/>
              </w:rPr>
              <w:t xml:space="preserve">2</w:t>
            </w:r>
            <w:r/>
          </w:p>
        </w:tc>
        <w:tc>
          <w:tcPr>
            <w:tcMar>
              <w:left w:w="0" w:type="dxa"/>
              <w:top w:w="0" w:type="dxa"/>
              <w:right w:w="0" w:type="dxa"/>
              <w:bottom w:w="0" w:type="dxa"/>
            </w:tcMar>
            <w:tcW w:w="4510" w:type="dxa"/>
            <w:vAlign w:val="center"/>
            <w:textDirection w:val="lrTb"/>
            <w:noWrap w:val="false"/>
          </w:tcPr>
          <w:p>
            <w:pPr>
              <w:pStyle w:val="1064"/>
              <w:rPr>
                <w:rFonts w:ascii="宋体" w:hAnsi="宋体"/>
                <w:b/>
                <w:i/>
                <w:iCs/>
                <w:u w:val="single"/>
              </w:rPr>
            </w:pPr>
            <w:r>
              <w:rPr>
                <w:rFonts w:ascii="宋体" w:hAnsi="宋体"/>
                <w:b/>
                <w:i/>
                <w:iCs/>
                <w:u w:val="single"/>
              </w:rPr>
            </w:r>
            <w:r/>
          </w:p>
        </w:tc>
        <w:tc>
          <w:tcPr>
            <w:tcMar>
              <w:left w:w="0" w:type="dxa"/>
              <w:top w:w="0" w:type="dxa"/>
              <w:right w:w="0" w:type="dxa"/>
              <w:bottom w:w="0" w:type="dxa"/>
            </w:tcMar>
            <w:tcW w:w="1534"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Mar>
              <w:left w:w="0" w:type="dxa"/>
              <w:top w:w="0" w:type="dxa"/>
              <w:right w:w="0" w:type="dxa"/>
              <w:bottom w:w="0" w:type="dxa"/>
            </w:tcMar>
            <w:tcW w:w="1534"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r>
      <w:tr>
        <w:trPr>
          <w:trHeight w:val="257"/>
        </w:trPr>
        <w:tc>
          <w:tcPr>
            <w:tcMar>
              <w:left w:w="0" w:type="dxa"/>
              <w:top w:w="0" w:type="dxa"/>
              <w:right w:w="0" w:type="dxa"/>
              <w:bottom w:w="0" w:type="dxa"/>
            </w:tcMar>
            <w:tcW w:w="474" w:type="dxa"/>
            <w:vAlign w:val="center"/>
            <w:textDirection w:val="lrTb"/>
            <w:noWrap w:val="false"/>
          </w:tcPr>
          <w:p>
            <w:pPr>
              <w:pStyle w:val="1064"/>
              <w:jc w:val="center"/>
              <w:rPr>
                <w:rFonts w:hint="eastAsia" w:ascii="宋体" w:hAnsi="宋体" w:eastAsia="宋体"/>
              </w:rPr>
            </w:pPr>
            <w:r>
              <w:rPr>
                <w:rFonts w:hint="eastAsia" w:ascii="宋体" w:hAnsi="宋体" w:eastAsia="宋体"/>
              </w:rPr>
              <w:t xml:space="preserve">3</w:t>
            </w:r>
            <w:r/>
          </w:p>
        </w:tc>
        <w:tc>
          <w:tcPr>
            <w:tcMar>
              <w:left w:w="0" w:type="dxa"/>
              <w:top w:w="0" w:type="dxa"/>
              <w:right w:w="0" w:type="dxa"/>
              <w:bottom w:w="0" w:type="dxa"/>
            </w:tcMar>
            <w:tcW w:w="4510" w:type="dxa"/>
            <w:vAlign w:val="center"/>
            <w:textDirection w:val="lrTb"/>
            <w:noWrap w:val="false"/>
          </w:tcPr>
          <w:p>
            <w:pPr>
              <w:pStyle w:val="1064"/>
              <w:rPr>
                <w:rFonts w:hint="eastAsia" w:ascii="宋体" w:hAnsi="宋体" w:eastAsia="宋体"/>
              </w:rPr>
            </w:pPr>
            <w:r>
              <w:rPr>
                <w:rFonts w:hint="eastAsia" w:ascii="宋体" w:hAnsi="宋体" w:eastAsia="宋体"/>
              </w:rPr>
            </w:r>
            <w:r/>
          </w:p>
        </w:tc>
        <w:tc>
          <w:tcPr>
            <w:tcMar>
              <w:left w:w="0" w:type="dxa"/>
              <w:top w:w="0" w:type="dxa"/>
              <w:right w:w="0" w:type="dxa"/>
              <w:bottom w:w="0" w:type="dxa"/>
            </w:tcMar>
            <w:tcW w:w="1534"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Mar>
              <w:left w:w="0" w:type="dxa"/>
              <w:top w:w="0" w:type="dxa"/>
              <w:right w:w="0" w:type="dxa"/>
              <w:bottom w:w="0" w:type="dxa"/>
            </w:tcMar>
            <w:tcW w:w="1534"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r>
      <w:tr>
        <w:trPr>
          <w:trHeight w:val="269"/>
        </w:trPr>
        <w:tc>
          <w:tcPr>
            <w:tcMar>
              <w:left w:w="0" w:type="dxa"/>
              <w:top w:w="0" w:type="dxa"/>
              <w:right w:w="0" w:type="dxa"/>
              <w:bottom w:w="0" w:type="dxa"/>
            </w:tcMar>
            <w:tcW w:w="474"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Mar>
              <w:left w:w="0" w:type="dxa"/>
              <w:top w:w="0" w:type="dxa"/>
              <w:right w:w="0" w:type="dxa"/>
              <w:bottom w:w="0" w:type="dxa"/>
            </w:tcMar>
            <w:tcW w:w="4510" w:type="dxa"/>
            <w:vAlign w:val="center"/>
            <w:textDirection w:val="lrTb"/>
            <w:noWrap w:val="false"/>
          </w:tcPr>
          <w:p>
            <w:pPr>
              <w:pStyle w:val="1064"/>
              <w:rPr>
                <w:rFonts w:hint="eastAsia" w:ascii="宋体" w:hAnsi="宋体" w:eastAsia="宋体"/>
              </w:rPr>
            </w:pPr>
            <w:r>
              <w:rPr>
                <w:rFonts w:hint="eastAsia" w:ascii="宋体" w:hAnsi="宋体" w:eastAsia="宋体"/>
              </w:rPr>
              <w:t xml:space="preserve">……</w:t>
            </w:r>
            <w:r/>
          </w:p>
        </w:tc>
        <w:tc>
          <w:tcPr>
            <w:tcMar>
              <w:left w:w="0" w:type="dxa"/>
              <w:top w:w="0" w:type="dxa"/>
              <w:right w:w="0" w:type="dxa"/>
              <w:bottom w:w="0" w:type="dxa"/>
            </w:tcMar>
            <w:tcW w:w="1534"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Mar>
              <w:left w:w="0" w:type="dxa"/>
              <w:top w:w="0" w:type="dxa"/>
              <w:right w:w="0" w:type="dxa"/>
              <w:bottom w:w="0" w:type="dxa"/>
            </w:tcMar>
            <w:tcW w:w="1534"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r>
    </w:tbl>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4"/>
        </w:rPr>
        <w:t xml:space="preserve">技术要求</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bookmarkEnd w:id="255"/>
      <w:r/>
      <w:bookmarkEnd w:id="256"/>
      <w:r/>
      <w:r/>
    </w:p>
    <w:p>
      <w:pPr>
        <w:spacing w:line="400" w:lineRule="exact"/>
        <w:rPr>
          <w:rStyle w:val="1006"/>
          <w:rFonts w:ascii="Times New Roman" w:hAnsi="Times New Roman" w:eastAsia="Times New Roman"/>
        </w:rPr>
      </w:pPr>
      <w:r>
        <w:rPr>
          <w:rFonts w:ascii="Times New Roman" w:hAnsi="Times New Roman" w:eastAsia="Times New Roman"/>
        </w:rPr>
      </w:r>
      <w:r/>
    </w:p>
    <w:p>
      <w:pPr>
        <w:pStyle w:val="1065"/>
        <w:rPr>
          <w:rStyle w:val="1006"/>
        </w:rPr>
      </w:pPr>
      <w:r>
        <w:rPr>
          <w:rStyle w:val="1006"/>
        </w:rPr>
        <w:br w:type="page" w:clear="all"/>
      </w:r>
      <w:bookmarkStart w:id="257" w:name="_Toc256000018"/>
      <w:r/>
      <w:bookmarkEnd w:id="257"/>
      <w:r/>
      <w:r/>
    </w:p>
    <w:p>
      <w:pPr>
        <w:pStyle w:val="1056"/>
        <w:rPr>
          <w:rStyle w:val="1006"/>
          <w:rFonts w:hint="eastAsia" w:ascii="宋体" w:hAnsi="宋体"/>
          <w:b/>
          <w:sz w:val="32"/>
        </w:rPr>
        <w:outlineLvl w:val="1"/>
      </w:pPr>
      <w:r/>
      <w:bookmarkStart w:id="258" w:name="_Toc23281"/>
      <w:r/>
      <w:bookmarkStart w:id="259" w:name="_Toc31328"/>
      <w:r>
        <w:rPr>
          <w:rStyle w:val="1006"/>
          <w:rFonts w:hint="eastAsia" w:ascii="宋体" w:hAnsi="宋体"/>
          <w:b/>
          <w:sz w:val="32"/>
        </w:rPr>
        <w:t xml:space="preserve">六、</w:t>
      </w:r>
      <w:bookmarkEnd w:id="258"/>
      <w:r/>
      <w:bookmarkEnd w:id="259"/>
      <w:r>
        <w:rPr>
          <w:rFonts w:ascii="宋体" w:hAnsi="宋体" w:eastAsia="宋体"/>
          <w:b/>
          <w:sz w:val="32"/>
        </w:rPr>
        <w:t xml:space="preserve">投标配置及分项报价表</w:t>
      </w:r>
      <w:r/>
    </w:p>
    <w:p>
      <w:pPr>
        <w:pStyle w:val="1064"/>
        <w:spacing w:line="440" w:lineRule="exact"/>
        <w:rPr>
          <w:rFonts w:hint="eastAsia" w:ascii="宋体" w:hAnsi="宋体" w:eastAsia="宋体"/>
        </w:rPr>
      </w:pPr>
      <w:r>
        <w:rPr>
          <w:rFonts w:ascii="宋体" w:hAnsi="宋体" w:eastAsia="宋体"/>
        </w:rPr>
        <w:t xml:space="preserve">﻿ </w:t>
      </w:r>
      <w:r/>
    </w:p>
    <w:p>
      <w:pPr>
        <w:pStyle w:val="1064"/>
        <w:ind w:firstLine="420"/>
        <w:jc w:val="center"/>
        <w:spacing w:before="400" w:after="400" w:line="300" w:lineRule="auto"/>
        <w:rPr>
          <w:rFonts w:hint="eastAsia" w:ascii="黑体" w:hAnsi="黑体" w:eastAsia="黑体"/>
          <w:b/>
          <w:bCs/>
          <w:sz w:val="40"/>
          <w:szCs w:val="40"/>
        </w:rPr>
      </w:pPr>
      <w:r>
        <w:rPr>
          <w:rFonts w:ascii="黑体" w:hAnsi="黑体" w:eastAsia="黑体"/>
          <w:b/>
          <w:bCs/>
          <w:sz w:val="40"/>
          <w:szCs w:val="40"/>
        </w:rPr>
        <w:t xml:space="preserve">投标配置及分项报价表 </w:t>
      </w:r>
      <w:r/>
    </w:p>
    <w:p>
      <w:pPr>
        <w:pStyle w:val="1064"/>
        <w:spacing w:before="240" w:after="240"/>
        <w:rPr>
          <w:rFonts w:hint="eastAsia" w:ascii="宋体" w:hAnsi="宋体" w:eastAsia="宋体"/>
        </w:rPr>
      </w:pPr>
      <w:r>
        <w:rPr>
          <w:rFonts w:ascii="宋体" w:hAnsi="宋体" w:eastAsia="宋体"/>
        </w:rPr>
        <w:t xml:space="preserve">  </w:t>
      </w:r>
      <w:r/>
    </w:p>
    <w:tbl>
      <w:tblPr>
        <w:tblStyle w:val="816"/>
        <w:tblW w:w="8764" w:type="dxa"/>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67"/>
        <w:gridCol w:w="1401"/>
        <w:gridCol w:w="923"/>
        <w:gridCol w:w="764"/>
        <w:gridCol w:w="923"/>
        <w:gridCol w:w="923"/>
        <w:gridCol w:w="923"/>
        <w:gridCol w:w="446"/>
        <w:gridCol w:w="1149"/>
        <w:gridCol w:w="945"/>
      </w:tblGrid>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64"/>
              <w:jc w:val="center"/>
              <w:rPr>
                <w:rFonts w:hint="eastAsia" w:ascii="宋体" w:hAnsi="宋体" w:eastAsia="宋体"/>
              </w:rPr>
            </w:pPr>
            <w:r>
              <w:rPr>
                <w:rFonts w:ascii="宋体" w:hAnsi="宋体" w:eastAsia="宋体"/>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64"/>
              <w:jc w:val="center"/>
              <w:rPr>
                <w:rFonts w:hint="eastAsia" w:ascii="宋体" w:hAnsi="宋体" w:eastAsia="宋体"/>
              </w:rPr>
            </w:pPr>
            <w:r>
              <w:rPr>
                <w:rFonts w:ascii="宋体" w:hAnsi="宋体" w:eastAsia="宋体"/>
              </w:rPr>
              <w:t xml:space="preserve">设备名称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t xml:space="preserve">品牌</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64"/>
              <w:jc w:val="center"/>
              <w:rPr>
                <w:rFonts w:hint="eastAsia" w:ascii="宋体" w:hAnsi="宋体" w:eastAsia="宋体"/>
              </w:rPr>
            </w:pPr>
            <w:r>
              <w:rPr>
                <w:rFonts w:ascii="宋体" w:hAnsi="宋体" w:eastAsia="宋体"/>
              </w:rPr>
              <w:t xml:space="preserve">规格型号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ascii="宋体" w:hAnsi="宋体" w:eastAsia="宋体"/>
              </w:rPr>
              <w:t xml:space="preserve">制造厂商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ascii="宋体" w:hAnsi="宋体" w:eastAsia="宋体"/>
              </w:rPr>
              <w:t xml:space="preserve">产地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ascii="宋体" w:hAnsi="宋体" w:eastAsia="宋体"/>
              </w:rPr>
              <w:t xml:space="preserve">数量</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64"/>
              <w:jc w:val="center"/>
              <w:rPr>
                <w:rFonts w:hint="eastAsia" w:ascii="宋体" w:hAnsi="宋体" w:eastAsia="宋体"/>
              </w:rPr>
            </w:pPr>
            <w:r>
              <w:rPr>
                <w:rFonts w:ascii="宋体" w:hAnsi="宋体" w:eastAsia="宋体"/>
              </w:rPr>
              <w:t xml:space="preserve">单位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64"/>
              <w:jc w:val="center"/>
              <w:rPr>
                <w:rFonts w:hint="eastAsia" w:ascii="宋体" w:hAnsi="宋体" w:eastAsia="宋体"/>
              </w:rPr>
            </w:pPr>
            <w:r>
              <w:rPr>
                <w:rFonts w:ascii="宋体" w:hAnsi="宋体" w:eastAsia="宋体"/>
              </w:rPr>
              <w:t xml:space="preserve">单价（元）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64"/>
              <w:jc w:val="center"/>
              <w:rPr>
                <w:rFonts w:hint="eastAsia" w:ascii="宋体" w:hAnsi="宋体" w:eastAsia="宋体"/>
              </w:rPr>
            </w:pPr>
            <w:r>
              <w:rPr>
                <w:rFonts w:ascii="宋体" w:hAnsi="宋体" w:eastAsia="宋体"/>
              </w:rPr>
              <w:t xml:space="preserve">总价（元）</w:t>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064"/>
              <w:jc w:val="center"/>
              <w:rPr>
                <w:rFonts w:hint="eastAsia" w:ascii="宋体" w:hAnsi="宋体" w:eastAsia="宋体"/>
              </w:rPr>
            </w:pPr>
            <w:r>
              <w:rPr>
                <w:rFonts w:hint="eastAsia" w:ascii="宋体" w:hAnsi="宋体" w:eastAsia="宋体"/>
              </w:rPr>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064"/>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064"/>
              <w:rPr>
                <w:rFonts w:hint="eastAsia" w:ascii="宋体" w:hAnsi="宋体" w:eastAsia="宋体"/>
              </w:rPr>
            </w:pPr>
            <w:r>
              <w:rPr>
                <w:rFonts w:ascii="宋体" w:hAnsi="宋体" w:eastAsia="宋体"/>
              </w:rPr>
              <w:t xml:space="preserve">合计 </w:t>
            </w:r>
            <w:r/>
          </w:p>
        </w:tc>
        <w:tc>
          <w:tcPr>
            <w:gridSpan w:val="8"/>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996" w:type="dxa"/>
            <w:vAlign w:val="center"/>
            <w:textDirection w:val="lrTb"/>
            <w:noWrap w:val="false"/>
          </w:tcPr>
          <w:p>
            <w:pPr>
              <w:pStyle w:val="1064"/>
              <w:rPr>
                <w:rFonts w:hint="eastAsia" w:ascii="宋体" w:hAnsi="宋体" w:eastAsia="宋体"/>
              </w:rPr>
            </w:pPr>
            <w:r>
              <w:rPr>
                <w:rFonts w:ascii="宋体" w:hAnsi="宋体" w:eastAsia="宋体"/>
              </w:rPr>
              <w:t xml:space="preserve">   元(大写：   ) </w:t>
            </w:r>
            <w:r/>
          </w:p>
        </w:tc>
      </w:tr>
      <w:tr>
        <w:trPr/>
        <w:tc>
          <w:tcPr>
            <w:gridSpan w:val="10"/>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64" w:type="dxa"/>
            <w:vAlign w:val="center"/>
            <w:textDirection w:val="lrTb"/>
            <w:noWrap w:val="false"/>
          </w:tcPr>
          <w:p>
            <w:pPr>
              <w:pStyle w:val="1064"/>
              <w:tabs>
                <w:tab w:val="left" w:pos="993" w:leader="none"/>
              </w:tabs>
              <w:rPr>
                <w:rFonts w:hint="eastAsia" w:ascii="宋体" w:hAnsi="宋体" w:eastAsia="宋体"/>
              </w:rPr>
            </w:pPr>
            <w:r>
              <w:rPr>
                <w:rFonts w:hint="eastAsia" w:ascii="宋体" w:hAnsi="宋体" w:eastAsia="宋体" w:cs="宋体"/>
              </w:rPr>
              <w:t xml:space="preserve">本采购包中提供的符合本国产品标准的产品成本之和占该采购包提供的全部产品成本之和的比例为</w:t>
            </w:r>
            <w:r>
              <w:rPr>
                <w:rFonts w:hint="eastAsia" w:ascii="宋体" w:hAnsi="宋体" w:eastAsia="宋体" w:cs="宋体"/>
                <w:u w:val="single"/>
              </w:rPr>
              <w:t xml:space="preserve">    </w:t>
            </w:r>
            <w:r>
              <w:rPr>
                <w:rFonts w:hint="eastAsia" w:ascii="宋体" w:hAnsi="宋体" w:eastAsia="宋体" w:cs="宋体"/>
              </w:rPr>
              <w:t xml:space="preserve">%。</w:t>
            </w:r>
            <w:r/>
          </w:p>
        </w:tc>
      </w:tr>
    </w:tbl>
    <w:p>
      <w:pPr>
        <w:pStyle w:val="1064"/>
        <w:spacing w:before="240" w:after="240"/>
        <w:rPr>
          <w:rFonts w:hint="eastAsia" w:ascii="宋体" w:hAnsi="宋体" w:eastAsia="宋体"/>
        </w:rPr>
      </w:pPr>
      <w:r>
        <w:rPr>
          <w:rFonts w:ascii="宋体" w:hAnsi="宋体" w:eastAsia="宋体"/>
        </w:rPr>
        <w:t xml:space="preserve">  </w:t>
      </w:r>
      <w:r/>
    </w:p>
    <w:p>
      <w:pPr>
        <w:pStyle w:val="1064"/>
        <w:spacing w:before="240" w:after="240"/>
        <w:rPr>
          <w:rFonts w:hint="eastAsia" w:ascii="宋体" w:hAnsi="宋体" w:eastAsia="宋体"/>
        </w:rPr>
      </w:pPr>
      <w:r>
        <w:rPr>
          <w:rFonts w:ascii="宋体" w:hAnsi="宋体" w:eastAsia="宋体"/>
        </w:rPr>
        <w:t xml:space="preserve">注： </w:t>
      </w:r>
      <w:r/>
    </w:p>
    <w:p>
      <w:pPr>
        <w:pStyle w:val="1064"/>
        <w:spacing w:before="240" w:after="240"/>
        <w:rPr>
          <w:rFonts w:hint="eastAsia" w:ascii="宋体" w:hAnsi="宋体" w:eastAsia="宋体"/>
        </w:rPr>
      </w:pPr>
      <w:r>
        <w:rPr>
          <w:rFonts w:ascii="宋体" w:hAnsi="宋体" w:eastAsia="宋体"/>
        </w:rPr>
        <w:t xml:space="preserve">1</w:t>
      </w:r>
      <w:r>
        <w:rPr>
          <w:rFonts w:hint="eastAsia" w:ascii="宋体" w:hAnsi="宋体" w:eastAsia="宋体"/>
        </w:rPr>
        <w:t xml:space="preserve">.</w:t>
      </w:r>
      <w:r>
        <w:rPr>
          <w:rFonts w:ascii="宋体" w:hAnsi="宋体" w:eastAsia="宋体"/>
        </w:rPr>
        <w:t xml:space="preserve">技术要求详见招标文件第四章项目需求；此表的总计金额应与开标一览表相符。 </w:t>
      </w:r>
      <w:r/>
    </w:p>
    <w:p>
      <w:pPr>
        <w:pStyle w:val="1064"/>
        <w:spacing w:before="240" w:after="240"/>
        <w:rPr>
          <w:rFonts w:hint="eastAsia" w:ascii="宋体" w:hAnsi="宋体" w:eastAsia="宋体"/>
        </w:rPr>
      </w:pPr>
      <w:r>
        <w:rPr>
          <w:rFonts w:ascii="宋体" w:hAnsi="宋体" w:eastAsia="宋体"/>
        </w:rPr>
        <w:t xml:space="preserve">2</w:t>
      </w:r>
      <w:r>
        <w:rPr>
          <w:rFonts w:hint="eastAsia" w:ascii="宋体" w:hAnsi="宋体" w:eastAsia="宋体"/>
        </w:rPr>
        <w:t xml:space="preserve">.</w:t>
      </w:r>
      <w:r>
        <w:rPr>
          <w:rFonts w:ascii="宋体" w:hAnsi="宋体" w:eastAsia="宋体"/>
        </w:rPr>
        <w:t xml:space="preserve">请提供本</w:t>
      </w:r>
      <w:r>
        <w:rPr>
          <w:rFonts w:hint="eastAsia" w:ascii="宋体" w:hAnsi="宋体" w:eastAsia="宋体"/>
        </w:rPr>
        <w:t xml:space="preserve">标书</w:t>
      </w:r>
      <w:r>
        <w:rPr>
          <w:rFonts w:ascii="宋体" w:hAnsi="宋体" w:eastAsia="宋体"/>
        </w:rPr>
        <w:t xml:space="preserve">要求设备详细的配置清单及分项报价，包括标准件及选购件。 </w:t>
      </w:r>
      <w:r/>
    </w:p>
    <w:p>
      <w:pPr>
        <w:pStyle w:val="1064"/>
        <w:spacing w:before="240" w:after="240"/>
        <w:rPr>
          <w:rFonts w:hint="eastAsia" w:ascii="宋体" w:hAnsi="宋体" w:eastAsia="宋体"/>
        </w:rPr>
      </w:pPr>
      <w:r>
        <w:rPr>
          <w:rFonts w:ascii="宋体" w:hAnsi="宋体" w:eastAsia="宋体"/>
        </w:rPr>
        <w:t xml:space="preserve">3</w:t>
      </w:r>
      <w:r>
        <w:rPr>
          <w:rFonts w:hint="eastAsia" w:ascii="宋体" w:hAnsi="宋体" w:eastAsia="宋体"/>
        </w:rPr>
        <w:t xml:space="preserve">.</w:t>
      </w:r>
      <w:r>
        <w:rPr>
          <w:rFonts w:ascii="宋体" w:hAnsi="宋体" w:eastAsia="宋体"/>
        </w:rPr>
        <w:t xml:space="preserve">若无</w:t>
      </w:r>
      <w:r>
        <w:rPr>
          <w:rFonts w:hint="eastAsia" w:ascii="宋体" w:hAnsi="宋体" w:eastAsia="宋体"/>
        </w:rPr>
        <w:t xml:space="preserve">品牌</w:t>
      </w:r>
      <w:r>
        <w:rPr>
          <w:rFonts w:ascii="宋体" w:hAnsi="宋体" w:eastAsia="宋体"/>
        </w:rPr>
        <w:t xml:space="preserve">，可填“自制”。 </w:t>
      </w:r>
      <w:r/>
    </w:p>
    <w:p>
      <w:pPr>
        <w:pStyle w:val="1064"/>
        <w:spacing w:before="240" w:after="240"/>
        <w:rPr>
          <w:rFonts w:hint="eastAsia" w:ascii="宋体" w:hAnsi="宋体" w:eastAsia="宋体"/>
          <w:b/>
          <w:sz w:val="32"/>
        </w:rPr>
      </w:pPr>
      <w:r>
        <w:rPr>
          <w:rFonts w:hint="eastAsia" w:ascii="宋体" w:hAnsi="宋体" w:eastAsia="宋体"/>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065"/>
        <w:rPr>
          <w:rFonts w:hint="eastAsia" w:ascii="宋体" w:hAnsi="宋体" w:eastAsia="宋体"/>
          <w:b/>
          <w:sz w:val="32"/>
        </w:rPr>
      </w:pPr>
      <w:r>
        <w:rPr>
          <w:rFonts w:hint="eastAsia" w:ascii="宋体" w:hAnsi="宋体" w:eastAsia="宋体"/>
          <w:b/>
          <w:sz w:val="32"/>
        </w:rPr>
      </w:r>
      <w:r/>
    </w:p>
    <w:p>
      <w:pPr>
        <w:pStyle w:val="1065"/>
        <w:rPr>
          <w:rFonts w:hint="eastAsia" w:ascii="宋体" w:hAnsi="宋体" w:eastAsia="宋体"/>
          <w:b/>
          <w:sz w:val="32"/>
        </w:rPr>
      </w:pPr>
      <w:r>
        <w:rPr>
          <w:rFonts w:hint="eastAsia" w:ascii="宋体" w:hAnsi="宋体" w:eastAsia="宋体"/>
          <w:b/>
          <w:sz w:val="32"/>
        </w:rPr>
        <w:t xml:space="preserve">七</w:t>
      </w:r>
      <w:r>
        <w:rPr>
          <w:rFonts w:ascii="宋体" w:hAnsi="宋体" w:eastAsia="宋体"/>
          <w:b/>
          <w:sz w:val="32"/>
        </w:rPr>
        <w:t xml:space="preserve">、常用零件及耗材报价表</w:t>
      </w:r>
      <w:r/>
    </w:p>
    <w:p>
      <w:pPr>
        <w:pStyle w:val="1066"/>
        <w:spacing w:line="440" w:lineRule="exact"/>
        <w:rPr>
          <w:rFonts w:hint="eastAsia" w:ascii="宋体" w:hAnsi="宋体" w:eastAsia="宋体"/>
        </w:rPr>
      </w:pPr>
      <w:r>
        <w:rPr>
          <w:rFonts w:ascii="宋体" w:hAnsi="宋体" w:eastAsia="宋体"/>
        </w:rPr>
        <w:t xml:space="preserve">﻿ </w:t>
      </w:r>
      <w:r/>
    </w:p>
    <w:p>
      <w:pPr>
        <w:pStyle w:val="1064"/>
        <w:ind w:firstLine="420"/>
        <w:jc w:val="center"/>
        <w:spacing w:before="400" w:after="400" w:line="300" w:lineRule="auto"/>
        <w:rPr>
          <w:rFonts w:hint="eastAsia" w:ascii="黑体" w:hAnsi="黑体" w:eastAsia="黑体"/>
          <w:b/>
          <w:bCs/>
          <w:sz w:val="40"/>
          <w:szCs w:val="40"/>
        </w:rPr>
      </w:pPr>
      <w:r/>
      <w:bookmarkStart w:id="260" w:name="OLE_LINK23"/>
      <w:r>
        <w:rPr>
          <w:rFonts w:hint="eastAsia" w:ascii="黑体" w:hAnsi="黑体" w:eastAsia="黑体"/>
          <w:b/>
          <w:bCs/>
          <w:sz w:val="40"/>
          <w:szCs w:val="40"/>
        </w:rPr>
        <w:t xml:space="preserve">常用零配件及耗材报价表</w:t>
      </w:r>
      <w:r/>
    </w:p>
    <w:p>
      <w:pPr>
        <w:pStyle w:val="1066"/>
        <w:spacing w:before="240" w:after="240"/>
        <w:rPr>
          <w:rFonts w:hint="eastAsia" w:ascii="宋体" w:hAnsi="宋体" w:eastAsia="宋体"/>
        </w:rPr>
      </w:pPr>
      <w:r>
        <w:rPr>
          <w:rFonts w:ascii="宋体" w:hAnsi="宋体" w:eastAsia="宋体"/>
        </w:rPr>
        <w:t xml:space="preserve"> </w:t>
      </w:r>
      <w:r/>
    </w:p>
    <w:tbl>
      <w:tblPr>
        <w:tblStyle w:val="816"/>
        <w:tblW w:w="9360" w:type="dxa"/>
        <w:tblInd w:w="-3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9"/>
        <w:gridCol w:w="2183"/>
        <w:gridCol w:w="2817"/>
        <w:gridCol w:w="1040"/>
        <w:gridCol w:w="1040"/>
        <w:gridCol w:w="1421"/>
      </w:tblGrid>
      <w:tr>
        <w:trPr>
          <w:trHeight w:val="287"/>
        </w:trPr>
        <w:tc>
          <w:tcPr>
            <w:tcMar>
              <w:left w:w="0" w:type="dxa"/>
              <w:top w:w="0" w:type="dxa"/>
              <w:right w:w="0" w:type="dxa"/>
              <w:bottom w:w="0" w:type="dxa"/>
            </w:tcMar>
            <w:tcW w:w="859" w:type="dxa"/>
            <w:vAlign w:val="center"/>
            <w:textDirection w:val="lrTb"/>
            <w:noWrap w:val="false"/>
          </w:tcPr>
          <w:p>
            <w:pPr>
              <w:pStyle w:val="1066"/>
              <w:jc w:val="center"/>
              <w:rPr>
                <w:rFonts w:hint="eastAsia" w:ascii="宋体" w:hAnsi="宋体" w:eastAsia="宋体"/>
              </w:rPr>
            </w:pPr>
            <w:r>
              <w:rPr>
                <w:rFonts w:ascii="宋体" w:hAnsi="宋体" w:eastAsia="宋体"/>
              </w:rPr>
              <w:t xml:space="preserve">序号</w:t>
            </w:r>
            <w:r/>
          </w:p>
        </w:tc>
        <w:tc>
          <w:tcPr>
            <w:tcMar>
              <w:left w:w="0" w:type="dxa"/>
              <w:top w:w="0" w:type="dxa"/>
              <w:right w:w="0" w:type="dxa"/>
              <w:bottom w:w="0" w:type="dxa"/>
            </w:tcMar>
            <w:tcW w:w="2183" w:type="dxa"/>
            <w:vAlign w:val="center"/>
            <w:textDirection w:val="lrTb"/>
            <w:noWrap w:val="false"/>
          </w:tcPr>
          <w:p>
            <w:pPr>
              <w:pStyle w:val="1066"/>
              <w:jc w:val="center"/>
              <w:rPr>
                <w:rFonts w:hint="eastAsia" w:ascii="宋体" w:hAnsi="宋体" w:eastAsia="宋体"/>
              </w:rPr>
            </w:pPr>
            <w:r>
              <w:rPr>
                <w:rFonts w:ascii="宋体" w:hAnsi="宋体" w:eastAsia="宋体"/>
              </w:rPr>
              <w:t xml:space="preserve">产品名称</w:t>
            </w:r>
            <w:r/>
          </w:p>
        </w:tc>
        <w:tc>
          <w:tcPr>
            <w:tcMar>
              <w:left w:w="0" w:type="dxa"/>
              <w:top w:w="0" w:type="dxa"/>
              <w:right w:w="0" w:type="dxa"/>
              <w:bottom w:w="0" w:type="dxa"/>
            </w:tcMar>
            <w:tcW w:w="2817" w:type="dxa"/>
            <w:vAlign w:val="center"/>
            <w:textDirection w:val="lrTb"/>
            <w:noWrap w:val="false"/>
          </w:tcPr>
          <w:p>
            <w:pPr>
              <w:pStyle w:val="1066"/>
              <w:jc w:val="center"/>
              <w:rPr>
                <w:rFonts w:hint="eastAsia" w:ascii="宋体" w:hAnsi="宋体" w:eastAsia="宋体"/>
              </w:rPr>
            </w:pPr>
            <w:r>
              <w:rPr>
                <w:rFonts w:ascii="宋体" w:hAnsi="宋体" w:eastAsia="宋体"/>
              </w:rPr>
              <w:t xml:space="preserve">规格型号</w:t>
            </w:r>
            <w:r/>
          </w:p>
        </w:tc>
        <w:tc>
          <w:tcPr>
            <w:tcMar>
              <w:left w:w="0" w:type="dxa"/>
              <w:top w:w="0" w:type="dxa"/>
              <w:right w:w="0" w:type="dxa"/>
              <w:bottom w:w="0" w:type="dxa"/>
            </w:tcMar>
            <w:tcW w:w="1040" w:type="dxa"/>
            <w:vAlign w:val="center"/>
            <w:textDirection w:val="lrTb"/>
            <w:noWrap w:val="false"/>
          </w:tcPr>
          <w:p>
            <w:pPr>
              <w:pStyle w:val="1066"/>
              <w:jc w:val="center"/>
              <w:rPr>
                <w:rFonts w:hint="eastAsia" w:ascii="宋体" w:hAnsi="宋体" w:eastAsia="宋体"/>
              </w:rPr>
            </w:pPr>
            <w:r>
              <w:rPr>
                <w:rFonts w:ascii="宋体" w:hAnsi="宋体" w:eastAsia="宋体"/>
              </w:rPr>
              <w:t xml:space="preserve">计量单位</w:t>
            </w:r>
            <w:r/>
          </w:p>
        </w:tc>
        <w:tc>
          <w:tcPr>
            <w:tcMar>
              <w:left w:w="0" w:type="dxa"/>
              <w:top w:w="0" w:type="dxa"/>
              <w:right w:w="0" w:type="dxa"/>
              <w:bottom w:w="0" w:type="dxa"/>
            </w:tcMar>
            <w:tcW w:w="1040" w:type="dxa"/>
            <w:vAlign w:val="center"/>
            <w:textDirection w:val="lrTb"/>
            <w:noWrap w:val="false"/>
          </w:tcPr>
          <w:p>
            <w:pPr>
              <w:pStyle w:val="1066"/>
              <w:jc w:val="center"/>
              <w:rPr>
                <w:rFonts w:hint="eastAsia" w:ascii="宋体" w:hAnsi="宋体" w:eastAsia="宋体"/>
              </w:rPr>
            </w:pPr>
            <w:r>
              <w:rPr>
                <w:rFonts w:ascii="宋体" w:hAnsi="宋体" w:eastAsia="宋体"/>
              </w:rPr>
              <w:t xml:space="preserve">数量</w:t>
            </w:r>
            <w:r/>
          </w:p>
        </w:tc>
        <w:tc>
          <w:tcPr>
            <w:tcMar>
              <w:left w:w="0" w:type="dxa"/>
              <w:top w:w="0" w:type="dxa"/>
              <w:right w:w="0" w:type="dxa"/>
              <w:bottom w:w="0" w:type="dxa"/>
            </w:tcMar>
            <w:tcW w:w="1421" w:type="dxa"/>
            <w:vAlign w:val="center"/>
            <w:textDirection w:val="lrTb"/>
            <w:noWrap w:val="false"/>
          </w:tcPr>
          <w:p>
            <w:pPr>
              <w:pStyle w:val="1066"/>
              <w:jc w:val="center"/>
              <w:rPr>
                <w:rFonts w:hint="eastAsia" w:ascii="宋体" w:hAnsi="宋体" w:eastAsia="宋体"/>
              </w:rPr>
            </w:pPr>
            <w:r>
              <w:rPr>
                <w:rFonts w:ascii="宋体" w:hAnsi="宋体" w:eastAsia="宋体"/>
              </w:rPr>
              <w:t xml:space="preserve">单价（元）</w:t>
            </w:r>
            <w:r/>
          </w:p>
        </w:tc>
      </w:tr>
      <w:tr>
        <w:trPr>
          <w:trHeight w:val="287"/>
        </w:trPr>
        <w:tc>
          <w:tcPr>
            <w:tcMar>
              <w:left w:w="0" w:type="dxa"/>
              <w:top w:w="0" w:type="dxa"/>
              <w:right w:w="0" w:type="dxa"/>
              <w:bottom w:w="0" w:type="dxa"/>
            </w:tcMar>
            <w:tcW w:w="859" w:type="dxa"/>
            <w:vAlign w:val="center"/>
            <w:textDirection w:val="lrTb"/>
            <w:noWrap w:val="false"/>
          </w:tcPr>
          <w:p>
            <w:pPr>
              <w:pStyle w:val="1066"/>
              <w:jc w:val="center"/>
              <w:rPr>
                <w:rFonts w:hint="eastAsia" w:ascii="宋体" w:hAnsi="宋体" w:eastAsia="宋体"/>
              </w:rPr>
            </w:pPr>
            <w:r>
              <w:rPr>
                <w:rFonts w:ascii="宋体" w:hAnsi="宋体" w:eastAsia="宋体"/>
              </w:rPr>
              <w:t xml:space="preserve">1</w:t>
            </w:r>
            <w:r/>
          </w:p>
        </w:tc>
        <w:tc>
          <w:tcPr>
            <w:tcMar>
              <w:left w:w="0" w:type="dxa"/>
              <w:top w:w="0" w:type="dxa"/>
              <w:right w:w="0" w:type="dxa"/>
              <w:bottom w:w="0" w:type="dxa"/>
            </w:tcMar>
            <w:tcW w:w="2183" w:type="dxa"/>
            <w:vAlign w:val="center"/>
            <w:textDirection w:val="lrTb"/>
            <w:noWrap w:val="false"/>
          </w:tcPr>
          <w:p>
            <w:pPr>
              <w:pStyle w:val="1066"/>
              <w:jc w:val="center"/>
              <w:rPr>
                <w:rFonts w:hint="eastAsia" w:ascii="宋体" w:hAnsi="宋体" w:eastAsia="宋体"/>
              </w:rPr>
            </w:pPr>
            <w:r>
              <w:rPr>
                <w:rFonts w:ascii="宋体" w:hAnsi="宋体" w:eastAsia="宋体"/>
              </w:rPr>
              <w:t xml:space="preserve">    </w:t>
            </w:r>
            <w:r/>
          </w:p>
        </w:tc>
        <w:tc>
          <w:tcPr>
            <w:tcMar>
              <w:left w:w="0" w:type="dxa"/>
              <w:top w:w="0" w:type="dxa"/>
              <w:right w:w="0" w:type="dxa"/>
              <w:bottom w:w="0" w:type="dxa"/>
            </w:tcMar>
            <w:tcW w:w="2817" w:type="dxa"/>
            <w:vAlign w:val="center"/>
            <w:textDirection w:val="lrTb"/>
            <w:noWrap w:val="false"/>
          </w:tcPr>
          <w:p>
            <w:pPr>
              <w:pStyle w:val="1066"/>
              <w:jc w:val="center"/>
              <w:rPr>
                <w:rFonts w:hint="eastAsia" w:ascii="宋体" w:hAnsi="宋体" w:eastAsia="宋体"/>
              </w:rPr>
            </w:pPr>
            <w:r>
              <w:rPr>
                <w:rFonts w:ascii="宋体" w:hAnsi="宋体" w:eastAsia="宋体"/>
              </w:rPr>
              <w:t xml:space="preserve">    </w:t>
            </w:r>
            <w:r/>
          </w:p>
        </w:tc>
        <w:tc>
          <w:tcPr>
            <w:tcMar>
              <w:left w:w="0" w:type="dxa"/>
              <w:top w:w="0" w:type="dxa"/>
              <w:right w:w="0" w:type="dxa"/>
              <w:bottom w:w="0" w:type="dxa"/>
            </w:tcMar>
            <w:tcW w:w="1040" w:type="dxa"/>
            <w:vAlign w:val="center"/>
            <w:textDirection w:val="lrTb"/>
            <w:noWrap w:val="false"/>
          </w:tcPr>
          <w:p>
            <w:pPr>
              <w:pStyle w:val="1066"/>
              <w:jc w:val="center"/>
              <w:rPr>
                <w:rFonts w:hint="eastAsia" w:ascii="宋体" w:hAnsi="宋体" w:eastAsia="宋体"/>
              </w:rPr>
            </w:pPr>
            <w:r>
              <w:rPr>
                <w:rFonts w:ascii="宋体" w:hAnsi="宋体" w:eastAsia="宋体"/>
              </w:rPr>
              <w:t xml:space="preserve">    </w:t>
            </w:r>
            <w:r/>
          </w:p>
        </w:tc>
        <w:tc>
          <w:tcPr>
            <w:tcMar>
              <w:left w:w="0" w:type="dxa"/>
              <w:top w:w="0" w:type="dxa"/>
              <w:right w:w="0" w:type="dxa"/>
              <w:bottom w:w="0" w:type="dxa"/>
            </w:tcMar>
            <w:tcW w:w="1040" w:type="dxa"/>
            <w:vAlign w:val="center"/>
            <w:textDirection w:val="lrTb"/>
            <w:noWrap w:val="false"/>
          </w:tcPr>
          <w:p>
            <w:pPr>
              <w:pStyle w:val="1066"/>
              <w:jc w:val="center"/>
              <w:rPr>
                <w:rFonts w:hint="eastAsia" w:ascii="宋体" w:hAnsi="宋体" w:eastAsia="宋体"/>
              </w:rPr>
            </w:pPr>
            <w:r>
              <w:rPr>
                <w:rFonts w:ascii="宋体" w:hAnsi="宋体" w:eastAsia="宋体"/>
              </w:rPr>
              <w:t xml:space="preserve">    </w:t>
            </w:r>
            <w:r/>
          </w:p>
        </w:tc>
        <w:tc>
          <w:tcPr>
            <w:tcMar>
              <w:left w:w="0" w:type="dxa"/>
              <w:top w:w="0" w:type="dxa"/>
              <w:right w:w="0" w:type="dxa"/>
              <w:bottom w:w="0" w:type="dxa"/>
            </w:tcMar>
            <w:tcW w:w="1421" w:type="dxa"/>
            <w:vAlign w:val="center"/>
            <w:textDirection w:val="lrTb"/>
            <w:noWrap w:val="false"/>
          </w:tcPr>
          <w:p>
            <w:pPr>
              <w:pStyle w:val="1066"/>
              <w:jc w:val="center"/>
              <w:rPr>
                <w:rFonts w:hint="eastAsia" w:ascii="宋体" w:hAnsi="宋体" w:eastAsia="宋体"/>
              </w:rPr>
            </w:pPr>
            <w:r>
              <w:rPr>
                <w:rFonts w:ascii="宋体" w:hAnsi="宋体" w:eastAsia="宋体"/>
              </w:rPr>
              <w:t xml:space="preserve">    </w:t>
            </w:r>
            <w:r/>
          </w:p>
        </w:tc>
      </w:tr>
    </w:tbl>
    <w:p>
      <w:pPr>
        <w:pStyle w:val="1066"/>
        <w:spacing w:before="240" w:after="240"/>
        <w:rPr>
          <w:rFonts w:hint="eastAsia" w:ascii="宋体" w:hAnsi="宋体" w:eastAsia="宋体"/>
        </w:rPr>
      </w:pPr>
      <w:r>
        <w:rPr>
          <w:rFonts w:ascii="宋体" w:hAnsi="宋体" w:eastAsia="宋体"/>
        </w:rPr>
        <w:t xml:space="preserve">注：以上常用零配件及耗材必须保证与所投报设备兼容配套使用。</w:t>
      </w:r>
      <w:bookmarkEnd w:id="260"/>
      <w:r/>
      <w:r/>
    </w:p>
    <w:p>
      <w:pPr>
        <w:rPr>
          <w:rStyle w:val="1006"/>
          <w:rFonts w:hint="eastAsia" w:ascii="宋体" w:hAnsi="宋体"/>
          <w:b/>
          <w:sz w:val="32"/>
        </w:rPr>
      </w:pPr>
      <w:r>
        <w:rPr>
          <w:rStyle w:val="1006"/>
          <w:rFonts w:hint="eastAsia" w:ascii="宋体" w:hAnsi="宋体"/>
          <w:b/>
          <w:sz w:val="32"/>
        </w:rPr>
        <w:br w:type="page" w:clear="all"/>
      </w:r>
      <w:r/>
    </w:p>
    <w:p>
      <w:pPr>
        <w:pStyle w:val="817"/>
        <w:rPr>
          <w:rFonts w:hint="eastAsia"/>
        </w:rPr>
      </w:pPr>
      <w:r>
        <w:rPr>
          <w:rFonts w:hint="eastAsia"/>
        </w:rPr>
      </w:r>
      <w:r/>
    </w:p>
    <w:p>
      <w:pPr>
        <w:pStyle w:val="1067"/>
        <w:rPr>
          <w:rFonts w:ascii="宋体" w:hAnsi="宋体"/>
          <w:b/>
          <w:bCs/>
          <w:sz w:val="20"/>
          <w:szCs w:val="32"/>
          <w:highlight w:val="white"/>
        </w:rPr>
      </w:pPr>
      <w:r>
        <w:rPr>
          <w:rFonts w:ascii="宋体" w:hAnsi="宋体"/>
          <w:b/>
          <w:bCs/>
          <w:sz w:val="20"/>
          <w:szCs w:val="32"/>
          <w:highlight w:val="white"/>
        </w:rPr>
      </w:r>
      <w:r/>
    </w:p>
    <w:p>
      <w:pPr>
        <w:spacing w:line="400" w:lineRule="exact"/>
        <w:rPr>
          <w:rFonts w:hint="eastAsia" w:ascii="宋体" w:hAnsi="宋体" w:cs="宋体"/>
          <w:b/>
          <w:sz w:val="32"/>
          <w:szCs w:val="24"/>
        </w:rPr>
      </w:pPr>
      <w:r>
        <w:rPr>
          <w:rStyle w:val="1006"/>
          <w:rFonts w:hint="eastAsia" w:ascii="宋体" w:hAnsi="宋体" w:cs="宋体"/>
          <w:b/>
          <w:sz w:val="32"/>
        </w:rPr>
        <w:t xml:space="preserve">八、</w:t>
      </w:r>
      <w:r>
        <w:rPr>
          <w:rFonts w:hint="eastAsia" w:ascii="宋体" w:hAnsi="宋体" w:cs="宋体"/>
          <w:b/>
          <w:sz w:val="32"/>
          <w:szCs w:val="24"/>
        </w:rPr>
        <w:t xml:space="preserve">技术参数响应及偏离表</w:t>
      </w:r>
      <w:r/>
    </w:p>
    <w:p>
      <w:pPr>
        <w:ind w:firstLine="480"/>
        <w:jc w:val="left"/>
        <w:spacing w:line="360" w:lineRule="auto"/>
        <w:rPr>
          <w:rFonts w:hint="eastAsia" w:ascii="宋体" w:hAnsi="宋体"/>
          <w:sz w:val="24"/>
        </w:rPr>
      </w:pPr>
      <w:r>
        <w:rPr>
          <w:rFonts w:hint="eastAsia" w:ascii="宋体" w:hAnsi="宋体"/>
          <w:sz w:val="24"/>
        </w:rPr>
      </w:r>
      <w:r/>
    </w:p>
    <w:p>
      <w:pPr>
        <w:pStyle w:val="1095"/>
        <w:jc w:val="center"/>
        <w:spacing w:before="320" w:after="320" w:line="300" w:lineRule="auto"/>
        <w:rPr>
          <w:rFonts w:hint="eastAsia" w:ascii="黑体" w:hAnsi="黑体" w:eastAsia="黑体" w:cs="黑体"/>
          <w:b/>
          <w:bCs/>
          <w:sz w:val="32"/>
          <w:szCs w:val="32"/>
        </w:rPr>
      </w:pPr>
      <w:r/>
      <w:bookmarkStart w:id="261" w:name="OLE_LINK21"/>
      <w:r/>
      <w:bookmarkStart w:id="262" w:name="OLE_LINK15"/>
      <w:r>
        <w:rPr>
          <w:rFonts w:hint="eastAsia" w:ascii="黑体" w:hAnsi="黑体" w:eastAsia="黑体" w:cs="黑体"/>
          <w:b/>
          <w:bCs/>
          <w:sz w:val="32"/>
          <w:szCs w:val="32"/>
        </w:rPr>
        <w:t xml:space="preserve">技术参数</w:t>
      </w:r>
      <w:r>
        <w:rPr>
          <w:rFonts w:ascii="黑体" w:hAnsi="黑体" w:eastAsia="黑体" w:cs="黑体"/>
          <w:b/>
          <w:bCs/>
          <w:sz w:val="32"/>
          <w:szCs w:val="32"/>
        </w:rPr>
        <w:t xml:space="preserve">响应及偏离表 </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tbl>
      <w:tblPr>
        <w:tblStyle w:val="8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cs="宋体"/>
                <w:sz w:val="24"/>
                <w:szCs w:val="24"/>
              </w:rPr>
              <w:t xml:space="preserve">正偏离、符合或负偏离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。因未标明或表述含糊导致的评标风险将由投标人承担。</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bookmarkEnd w:id="261"/>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pStyle w:val="1067"/>
        <w:rPr>
          <w:rStyle w:val="1006"/>
          <w:rFonts w:hint="eastAsia" w:ascii="宋体" w:hAnsi="宋体" w:cs="宋体"/>
          <w:b/>
          <w:sz w:val="32"/>
        </w:rPr>
      </w:pPr>
      <w:r>
        <w:rPr>
          <w:rStyle w:val="1006"/>
          <w:rFonts w:hint="eastAsia" w:ascii="宋体" w:hAnsi="宋体" w:cs="宋体"/>
          <w:b/>
          <w:sz w:val="32"/>
        </w:rPr>
        <w:t xml:space="preserve">九、同一品牌要求表</w:t>
      </w:r>
      <w:r/>
    </w:p>
    <w:tbl>
      <w:tblPr>
        <w:tblStyle w:val="816"/>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1465"/>
        <w:gridCol w:w="5919"/>
        <w:gridCol w:w="1470"/>
      </w:tblGrid>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830"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品牌</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张力围栏终端</w:t>
            </w:r>
            <w:r/>
          </w:p>
        </w:tc>
        <w:tc>
          <w:tcPr>
            <w:tcBorders>
              <w:top w:val="single" w:color="000000" w:sz="4" w:space="0"/>
              <w:left w:val="single" w:color="000000" w:sz="4" w:space="0"/>
              <w:bottom w:val="single" w:color="000000" w:sz="4" w:space="0"/>
              <w:right w:val="single" w:color="000000" w:sz="4" w:space="0"/>
            </w:tcBorders>
            <w:tcW w:w="830" w:type="pct"/>
            <w:vAlign w:val="center"/>
            <w:vMerge w:val="restart"/>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6线单防控制杆包</w:t>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警灯警号</w:t>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周界防范控制键盘</w:t>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报警联动模块</w:t>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单防区地址模块</w:t>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多媒体交互式智能一体机</w:t>
            </w:r>
            <w:r/>
          </w:p>
        </w:tc>
        <w:tc>
          <w:tcPr>
            <w:tcBorders>
              <w:top w:val="single" w:color="000000" w:sz="4" w:space="0"/>
              <w:left w:val="single" w:color="000000" w:sz="4" w:space="0"/>
              <w:bottom w:val="single" w:color="000000" w:sz="4" w:space="0"/>
              <w:right w:val="single" w:color="000000" w:sz="4" w:space="0"/>
            </w:tcBorders>
            <w:tcW w:w="830" w:type="pct"/>
            <w:vAlign w:val="center"/>
            <w:vMerge w:val="restart"/>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插拔模块 </w:t>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无线投屏器</w:t>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手持式无线话筒</w:t>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8路调音台</w:t>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11"/>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音频处理器1</w:t>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高效抑制处理器1</w:t>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吸顶音箱</w:t>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数字功放1</w:t>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电源时序器1</w:t>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IP网络广播软件</w:t>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网线1</w:t>
            </w:r>
            <w:r/>
          </w:p>
        </w:tc>
        <w:tc>
          <w:tcPr>
            <w:tcBorders>
              <w:top w:val="single" w:color="000000" w:sz="4" w:space="0"/>
              <w:left w:val="single" w:color="000000" w:sz="4" w:space="0"/>
              <w:bottom w:val="single" w:color="000000" w:sz="4" w:space="0"/>
              <w:right w:val="single" w:color="000000" w:sz="4" w:space="0"/>
            </w:tcBorders>
            <w:tcW w:w="830" w:type="pct"/>
            <w:vAlign w:val="center"/>
            <w:vMerge w:val="restart"/>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网线2</w:t>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网线3</w:t>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网线4</w:t>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网线5</w:t>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机柜1</w:t>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交互终端1</w:t>
            </w:r>
            <w:r/>
          </w:p>
        </w:tc>
        <w:tc>
          <w:tcPr>
            <w:tcBorders>
              <w:top w:val="single" w:color="000000" w:sz="4" w:space="0"/>
              <w:left w:val="single" w:color="000000" w:sz="4" w:space="0"/>
              <w:right w:val="single" w:color="000000" w:sz="4" w:space="0"/>
            </w:tcBorders>
            <w:tcW w:w="830" w:type="pct"/>
            <w:vAlign w:val="center"/>
            <w:vMerge w:val="restart"/>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交互一体机</w:t>
            </w:r>
            <w:r/>
          </w:p>
        </w:tc>
        <w:tc>
          <w:tcPr>
            <w:tcBorders>
              <w:left w:val="single" w:color="000000" w:sz="4" w:space="0"/>
              <w:right w:val="single" w:color="000000" w:sz="4" w:space="0"/>
            </w:tcBorders>
            <w:tcW w:w="830"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交互终端3</w:t>
            </w:r>
            <w:r/>
          </w:p>
        </w:tc>
        <w:tc>
          <w:tcPr>
            <w:tcBorders>
              <w:left w:val="single" w:color="000000" w:sz="4" w:space="0"/>
              <w:right w:val="single" w:color="000000" w:sz="4" w:space="0"/>
            </w:tcBorders>
            <w:tcW w:w="830"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交互终端4</w:t>
            </w:r>
            <w:r/>
          </w:p>
        </w:tc>
        <w:tc>
          <w:tcPr>
            <w:tcBorders>
              <w:left w:val="single" w:color="000000" w:sz="4" w:space="0"/>
              <w:bottom w:val="single" w:color="000000" w:sz="4" w:space="0"/>
              <w:right w:val="single" w:color="000000" w:sz="4" w:space="0"/>
            </w:tcBorders>
            <w:tcW w:w="830"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交互终端控制器1</w:t>
            </w:r>
            <w:r/>
          </w:p>
        </w:tc>
        <w:tc>
          <w:tcPr>
            <w:tcBorders>
              <w:top w:val="single" w:color="000000" w:sz="4" w:space="0"/>
              <w:left w:val="single" w:color="000000" w:sz="4" w:space="0"/>
              <w:right w:val="single" w:color="000000" w:sz="4" w:space="0"/>
            </w:tcBorders>
            <w:tcW w:w="830" w:type="pct"/>
            <w:vAlign w:val="center"/>
            <w:vMerge w:val="restart"/>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交互终端控制器2</w:t>
            </w:r>
            <w:r/>
          </w:p>
        </w:tc>
        <w:tc>
          <w:tcPr>
            <w:tcBorders>
              <w:left w:val="single" w:color="000000" w:sz="4" w:space="0"/>
              <w:right w:val="single" w:color="000000" w:sz="4" w:space="0"/>
            </w:tcBorders>
            <w:tcW w:w="830"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交互终端控制器3</w:t>
            </w:r>
            <w:r/>
          </w:p>
        </w:tc>
        <w:tc>
          <w:tcPr>
            <w:tcBorders>
              <w:left w:val="single" w:color="000000" w:sz="4" w:space="0"/>
              <w:bottom w:val="single" w:color="000000" w:sz="4" w:space="0"/>
              <w:right w:val="single" w:color="000000" w:sz="4" w:space="0"/>
            </w:tcBorders>
            <w:tcW w:w="830"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31</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摄像机1</w:t>
            </w:r>
            <w:r/>
          </w:p>
        </w:tc>
        <w:tc>
          <w:tcPr>
            <w:tcBorders>
              <w:top w:val="single" w:color="000000" w:sz="4" w:space="0"/>
              <w:left w:val="single" w:color="000000" w:sz="4" w:space="0"/>
              <w:bottom w:val="single" w:color="000000" w:sz="4" w:space="0"/>
              <w:right w:val="single" w:color="000000" w:sz="4" w:space="0"/>
            </w:tcBorders>
            <w:tcW w:w="830" w:type="pct"/>
            <w:vAlign w:val="center"/>
            <w:vMerge w:val="restart"/>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32</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摄像机2</w:t>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33</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摄像机3</w:t>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34</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摄像机4</w:t>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摄像机5</w:t>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摄像机6</w:t>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37</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摄像机7</w:t>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摄像机8</w:t>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39</w:t>
            </w:r>
            <w:r/>
          </w:p>
        </w:tc>
        <w:tc>
          <w:tcPr>
            <w:tcBorders>
              <w:top w:val="single" w:color="000000" w:sz="4" w:space="0"/>
              <w:left w:val="single" w:color="000000" w:sz="4" w:space="0"/>
              <w:bottom w:val="single" w:color="000000" w:sz="4" w:space="0"/>
              <w:right w:val="single" w:color="000000" w:sz="4" w:space="0"/>
            </w:tcBorders>
            <w:tcW w:w="33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摄像机9</w:t>
            </w:r>
            <w:r/>
          </w:p>
        </w:tc>
        <w:tc>
          <w:tcPr>
            <w:tcBorders>
              <w:top w:val="single" w:color="000000" w:sz="4" w:space="0"/>
              <w:left w:val="single" w:color="000000" w:sz="4" w:space="0"/>
              <w:bottom w:val="single" w:color="000000" w:sz="4" w:space="0"/>
              <w:right w:val="single" w:color="000000" w:sz="4" w:space="0"/>
            </w:tcBorders>
            <w:tcW w:w="830" w:type="pct"/>
            <w:vAlign w:val="center"/>
            <w:vMerge w:val="continue"/>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bookmarkEnd w:id="262"/>
            <w:r/>
            <w:r/>
          </w:p>
        </w:tc>
      </w:tr>
    </w:tbl>
    <w:p>
      <w:pPr>
        <w:pStyle w:val="1064"/>
        <w:spacing w:before="240" w:after="240"/>
        <w:rPr>
          <w:rFonts w:hint="eastAsia" w:ascii="宋体" w:hAnsi="宋体" w:eastAsia="宋体" w:cs="宋体"/>
        </w:rPr>
      </w:pPr>
      <w:r>
        <w:rPr>
          <w:rFonts w:ascii="宋体" w:hAnsi="宋体" w:eastAsia="宋体" w:cs="宋体"/>
        </w:rPr>
        <w:t xml:space="preserve">注： </w:t>
      </w:r>
      <w:r/>
    </w:p>
    <w:p>
      <w:pPr>
        <w:pStyle w:val="1064"/>
        <w:numPr>
          <w:ilvl w:val="0"/>
          <w:numId w:val="10"/>
        </w:numPr>
        <w:spacing w:before="240" w:after="240"/>
        <w:rPr>
          <w:rFonts w:hint="eastAsia" w:ascii="宋体" w:hAnsi="宋体" w:eastAsia="宋体" w:cs="宋体"/>
        </w:rPr>
      </w:pPr>
      <w:r>
        <w:rPr>
          <w:rFonts w:ascii="宋体" w:hAnsi="宋体" w:eastAsia="宋体" w:cs="宋体"/>
        </w:rPr>
        <w:t xml:space="preserve">此表</w:t>
      </w:r>
      <w:r>
        <w:rPr>
          <w:rFonts w:hint="eastAsia" w:ascii="宋体" w:hAnsi="宋体" w:eastAsia="宋体" w:cs="宋体"/>
        </w:rPr>
        <w:t xml:space="preserve">填写的产品</w:t>
      </w:r>
      <w:r>
        <w:rPr>
          <w:rFonts w:ascii="宋体" w:hAnsi="宋体" w:eastAsia="宋体" w:cs="宋体"/>
        </w:rPr>
        <w:t xml:space="preserve">的</w:t>
      </w:r>
      <w:r>
        <w:rPr>
          <w:rFonts w:hint="eastAsia" w:ascii="宋体" w:hAnsi="宋体" w:eastAsia="宋体" w:cs="宋体"/>
        </w:rPr>
        <w:t xml:space="preserve">品牌</w:t>
      </w:r>
      <w:r>
        <w:rPr>
          <w:rFonts w:ascii="宋体" w:hAnsi="宋体" w:eastAsia="宋体" w:cs="宋体"/>
        </w:rPr>
        <w:t xml:space="preserve">应与</w:t>
      </w:r>
      <w:r>
        <w:rPr>
          <w:rFonts w:hint="eastAsia" w:ascii="宋体" w:hAnsi="宋体" w:eastAsia="宋体" w:cs="宋体"/>
        </w:rPr>
        <w:t xml:space="preserve">投标配置及分项报价表中品牌一致</w:t>
      </w:r>
      <w:r>
        <w:rPr>
          <w:rFonts w:ascii="宋体" w:hAnsi="宋体" w:eastAsia="宋体" w:cs="宋体"/>
        </w:rPr>
        <w:t xml:space="preserve">。 </w:t>
      </w:r>
      <w:r/>
    </w:p>
    <w:p>
      <w:pPr>
        <w:pStyle w:val="1064"/>
        <w:numPr>
          <w:ilvl w:val="0"/>
          <w:numId w:val="10"/>
        </w:numPr>
        <w:spacing w:before="240" w:after="240"/>
        <w:rPr>
          <w:rFonts w:hint="eastAsia" w:ascii="宋体" w:hAnsi="宋体" w:eastAsia="宋体" w:cs="宋体"/>
        </w:rPr>
      </w:pPr>
      <w:r>
        <w:rPr>
          <w:rFonts w:hint="eastAsia" w:ascii="宋体" w:hAnsi="宋体" w:cs="宋体"/>
          <w:i/>
          <w:iCs/>
          <w:u w:val="single"/>
        </w:rPr>
        <w:t xml:space="preserve">同一品牌</w:t>
      </w:r>
      <w:r>
        <w:rPr>
          <w:rFonts w:hint="eastAsia" w:ascii="宋体" w:hAnsi="宋体" w:eastAsia="宋体" w:cs="宋体"/>
          <w:i/>
          <w:iCs/>
          <w:u w:val="single"/>
        </w:rPr>
        <w:t xml:space="preserve">要求</w:t>
      </w: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rPr>
          <w:rFonts w:hint="eastAsia" w:ascii="宋体" w:hAnsi="宋体" w:eastAsia="宋体"/>
          <w:iCs/>
        </w:rPr>
        <w:t xml:space="preserve">为</w:t>
      </w:r>
      <w:r>
        <w:rPr>
          <w:rFonts w:ascii="宋体" w:hAnsi="宋体"/>
          <w:iCs/>
        </w:rPr>
        <w:t xml:space="preserve">实</w:t>
      </w:r>
      <w:r>
        <w:rPr>
          <w:rFonts w:ascii="宋体" w:hAnsi="宋体"/>
        </w:rPr>
        <w:t xml:space="preserve">质性要求</w:t>
      </w:r>
      <w:r>
        <w:rPr>
          <w:rFonts w:hint="eastAsia" w:ascii="宋体" w:hAnsi="宋体" w:eastAsia="宋体"/>
        </w:rPr>
        <w:t xml:space="preserve">，不满足做无效投标处理。</w:t>
      </w:r>
      <w:r/>
    </w:p>
    <w:p>
      <w:pPr>
        <w:pStyle w:val="1067"/>
        <w:rPr>
          <w:rStyle w:val="1006"/>
          <w:rFonts w:hint="eastAsia" w:ascii="宋体" w:hAnsi="宋体" w:cs="宋体"/>
          <w:b/>
          <w:sz w:val="32"/>
        </w:rPr>
      </w:pPr>
      <w:r>
        <w:rPr>
          <w:rFonts w:hint="eastAsia" w:ascii="宋体" w:hAnsi="宋体" w:cs="宋体"/>
          <w:b/>
          <w:sz w:val="32"/>
        </w:rPr>
      </w:r>
      <w:r/>
    </w:p>
    <w:p>
      <w:pPr>
        <w:pStyle w:val="1067"/>
        <w:rPr>
          <w:rStyle w:val="1006"/>
          <w:rFonts w:hint="eastAsia" w:ascii="宋体" w:hAnsi="宋体" w:cs="宋体"/>
          <w:b/>
          <w:sz w:val="32"/>
        </w:rPr>
      </w:pPr>
      <w:r>
        <w:rPr>
          <w:rFonts w:hint="eastAsia" w:ascii="宋体" w:hAnsi="宋体" w:cs="宋体"/>
          <w:b/>
          <w:sz w:val="32"/>
        </w:rPr>
      </w:r>
      <w:r/>
    </w:p>
    <w:p>
      <w:pPr>
        <w:pStyle w:val="1067"/>
        <w:rPr>
          <w:rStyle w:val="1006"/>
          <w:rFonts w:hint="eastAsia" w:ascii="宋体" w:hAnsi="宋体" w:cs="宋体"/>
          <w:b/>
          <w:sz w:val="32"/>
        </w:rPr>
      </w:pPr>
      <w:r>
        <w:rPr>
          <w:rFonts w:hint="eastAsia" w:ascii="宋体" w:hAnsi="宋体" w:cs="宋体"/>
          <w:b/>
          <w:sz w:val="32"/>
        </w:rPr>
      </w:r>
      <w:r/>
    </w:p>
    <w:p>
      <w:pPr>
        <w:pStyle w:val="1067"/>
        <w:rPr>
          <w:rStyle w:val="1006"/>
          <w:rFonts w:hint="eastAsia" w:ascii="宋体" w:hAnsi="宋体" w:cs="宋体"/>
          <w:b/>
          <w:sz w:val="32"/>
        </w:rPr>
      </w:pPr>
      <w:r>
        <w:rPr>
          <w:rFonts w:hint="eastAsia" w:ascii="宋体" w:hAnsi="宋体" w:cs="宋体"/>
          <w:b/>
          <w:sz w:val="32"/>
        </w:rPr>
      </w:r>
      <w:r/>
    </w:p>
    <w:p>
      <w:pPr>
        <w:pStyle w:val="1067"/>
        <w:rPr>
          <w:rStyle w:val="1006"/>
          <w:rFonts w:hint="eastAsia" w:ascii="宋体" w:hAnsi="宋体" w:cs="宋体"/>
          <w:b/>
          <w:sz w:val="32"/>
        </w:rPr>
      </w:pPr>
      <w:r>
        <w:rPr>
          <w:rFonts w:hint="eastAsia" w:ascii="宋体" w:hAnsi="宋体" w:cs="宋体"/>
          <w:b/>
          <w:sz w:val="32"/>
        </w:rPr>
      </w:r>
      <w:r/>
    </w:p>
    <w:p>
      <w:pPr>
        <w:pStyle w:val="1067"/>
        <w:rPr>
          <w:rStyle w:val="1006"/>
          <w:rFonts w:hint="eastAsia" w:ascii="宋体" w:hAnsi="宋体" w:cs="宋体"/>
          <w:b/>
          <w:sz w:val="32"/>
        </w:rPr>
      </w:pPr>
      <w:r>
        <w:rPr>
          <w:rFonts w:hint="eastAsia" w:ascii="宋体" w:hAnsi="宋体" w:cs="宋体"/>
          <w:b/>
          <w:sz w:val="32"/>
        </w:rPr>
      </w:r>
      <w:r/>
    </w:p>
    <w:p>
      <w:pPr>
        <w:pStyle w:val="1067"/>
        <w:rPr>
          <w:rStyle w:val="1006"/>
          <w:rFonts w:hint="eastAsia" w:ascii="宋体" w:hAnsi="宋体" w:cs="宋体"/>
          <w:b/>
          <w:sz w:val="32"/>
        </w:rPr>
      </w:pPr>
      <w:r>
        <w:rPr>
          <w:rFonts w:hint="eastAsia" w:ascii="宋体" w:hAnsi="宋体" w:cs="宋体"/>
          <w:b/>
          <w:sz w:val="32"/>
        </w:rPr>
      </w:r>
      <w:r/>
    </w:p>
    <w:p>
      <w:pPr>
        <w:pStyle w:val="1067"/>
        <w:rPr>
          <w:rStyle w:val="1006"/>
          <w:rFonts w:hint="eastAsia" w:ascii="宋体" w:hAnsi="宋体" w:cs="宋体"/>
          <w:b/>
          <w:sz w:val="32"/>
        </w:rPr>
      </w:pPr>
      <w:r>
        <w:rPr>
          <w:rFonts w:hint="eastAsia" w:ascii="宋体" w:hAnsi="宋体" w:cs="宋体"/>
          <w:b/>
          <w:sz w:val="32"/>
        </w:rPr>
      </w:r>
      <w:r/>
    </w:p>
    <w:p>
      <w:pPr>
        <w:pStyle w:val="1067"/>
        <w:rPr>
          <w:rStyle w:val="1006"/>
          <w:rFonts w:hint="eastAsia" w:ascii="宋体" w:hAnsi="宋体" w:cs="宋体"/>
          <w:b/>
          <w:sz w:val="32"/>
        </w:rPr>
      </w:pPr>
      <w:r>
        <w:rPr>
          <w:rFonts w:hint="eastAsia" w:ascii="宋体" w:hAnsi="宋体" w:cs="宋体"/>
          <w:b/>
          <w:sz w:val="32"/>
        </w:rPr>
      </w:r>
      <w:r/>
    </w:p>
    <w:p>
      <w:pPr>
        <w:pStyle w:val="1067"/>
        <w:rPr>
          <w:rStyle w:val="1006"/>
          <w:rFonts w:hint="eastAsia" w:ascii="宋体" w:hAnsi="宋体" w:cs="宋体"/>
          <w:b/>
          <w:sz w:val="32"/>
        </w:rPr>
      </w:pPr>
      <w:r>
        <w:rPr>
          <w:rFonts w:hint="eastAsia" w:ascii="宋体" w:hAnsi="宋体" w:cs="宋体"/>
          <w:b/>
          <w:sz w:val="32"/>
        </w:rPr>
      </w:r>
      <w:r/>
    </w:p>
    <w:p>
      <w:pPr>
        <w:pStyle w:val="1067"/>
        <w:rPr>
          <w:rStyle w:val="1006"/>
          <w:rFonts w:hint="eastAsia" w:ascii="宋体" w:hAnsi="宋体" w:cs="宋体"/>
          <w:b/>
          <w:sz w:val="32"/>
        </w:rPr>
      </w:pPr>
      <w:r>
        <w:rPr>
          <w:rFonts w:hint="eastAsia" w:ascii="宋体" w:hAnsi="宋体" w:cs="宋体"/>
          <w:b/>
          <w:sz w:val="32"/>
        </w:rPr>
      </w:r>
      <w:r/>
    </w:p>
    <w:p>
      <w:pPr>
        <w:pStyle w:val="1067"/>
        <w:rPr>
          <w:rStyle w:val="1006"/>
          <w:rFonts w:hint="eastAsia" w:ascii="宋体" w:hAnsi="宋体" w:cs="宋体"/>
          <w:b/>
          <w:sz w:val="32"/>
        </w:rPr>
      </w:pPr>
      <w:r>
        <w:rPr>
          <w:rFonts w:hint="eastAsia" w:ascii="宋体" w:hAnsi="宋体" w:cs="宋体"/>
          <w:b/>
          <w:sz w:val="32"/>
        </w:rPr>
      </w:r>
      <w:r/>
    </w:p>
    <w:p>
      <w:pPr>
        <w:pStyle w:val="1067"/>
        <w:rPr>
          <w:rStyle w:val="1006"/>
          <w:rFonts w:hint="eastAsia" w:ascii="宋体" w:hAnsi="宋体" w:cs="宋体"/>
          <w:b/>
          <w:sz w:val="32"/>
        </w:rPr>
      </w:pPr>
      <w:r>
        <w:rPr>
          <w:rFonts w:hint="eastAsia" w:ascii="宋体" w:hAnsi="宋体" w:cs="宋体"/>
          <w:b/>
          <w:sz w:val="32"/>
        </w:rPr>
      </w:r>
      <w:r/>
    </w:p>
    <w:p>
      <w:pPr>
        <w:pStyle w:val="1067"/>
        <w:rPr>
          <w:rStyle w:val="1006"/>
          <w:rFonts w:hint="eastAsia" w:ascii="宋体" w:hAnsi="宋体" w:cs="宋体"/>
          <w:b/>
          <w:sz w:val="32"/>
        </w:rPr>
      </w:pPr>
      <w:r>
        <w:rPr>
          <w:rFonts w:hint="eastAsia" w:ascii="宋体" w:hAnsi="宋体" w:cs="宋体"/>
          <w:b/>
          <w:sz w:val="32"/>
        </w:rPr>
      </w:r>
      <w:r/>
    </w:p>
    <w:p>
      <w:pPr>
        <w:pStyle w:val="1067"/>
        <w:rPr>
          <w:rStyle w:val="1006"/>
          <w:rFonts w:hint="eastAsia" w:ascii="宋体" w:hAnsi="宋体" w:cs="宋体"/>
          <w:b/>
          <w:sz w:val="32"/>
        </w:rPr>
      </w:pPr>
      <w:r>
        <w:rPr>
          <w:rFonts w:hint="eastAsia" w:ascii="宋体" w:hAnsi="宋体" w:cs="宋体"/>
          <w:b/>
          <w:sz w:val="32"/>
        </w:rPr>
      </w:r>
      <w:r/>
    </w:p>
    <w:p>
      <w:pPr>
        <w:pStyle w:val="1067"/>
        <w:rPr>
          <w:rStyle w:val="1006"/>
          <w:rFonts w:hint="eastAsia" w:ascii="宋体" w:hAnsi="宋体" w:cs="宋体"/>
          <w:b/>
          <w:sz w:val="32"/>
        </w:rPr>
      </w:pPr>
      <w:r>
        <w:rPr>
          <w:rFonts w:hint="eastAsia" w:ascii="宋体" w:hAnsi="宋体" w:cs="宋体"/>
          <w:b/>
          <w:sz w:val="32"/>
        </w:rPr>
      </w:r>
      <w:r/>
    </w:p>
    <w:p>
      <w:pPr>
        <w:pStyle w:val="1067"/>
        <w:rPr>
          <w:rStyle w:val="1006"/>
          <w:rFonts w:hint="eastAsia" w:ascii="宋体" w:hAnsi="宋体" w:cs="宋体"/>
          <w:b/>
          <w:sz w:val="32"/>
        </w:rPr>
      </w:pPr>
      <w:r>
        <w:rPr>
          <w:rFonts w:hint="eastAsia" w:ascii="宋体" w:hAnsi="宋体" w:cs="宋体"/>
          <w:b/>
          <w:sz w:val="32"/>
        </w:rPr>
      </w:r>
      <w:r/>
    </w:p>
    <w:p>
      <w:pPr>
        <w:pStyle w:val="1067"/>
        <w:rPr>
          <w:rStyle w:val="1006"/>
          <w:rFonts w:hint="eastAsia" w:ascii="宋体" w:hAnsi="宋体" w:cs="宋体"/>
          <w:b/>
          <w:sz w:val="32"/>
        </w:rPr>
      </w:pPr>
      <w:r>
        <w:rPr>
          <w:rFonts w:hint="eastAsia" w:ascii="宋体" w:hAnsi="宋体" w:cs="宋体"/>
          <w:b/>
          <w:sz w:val="32"/>
        </w:rPr>
      </w:r>
      <w:r/>
    </w:p>
    <w:p>
      <w:pPr>
        <w:pStyle w:val="1067"/>
        <w:rPr>
          <w:rStyle w:val="1006"/>
          <w:rFonts w:hint="eastAsia" w:ascii="宋体" w:hAnsi="宋体" w:cs="宋体"/>
          <w:b/>
          <w:sz w:val="32"/>
        </w:rPr>
      </w:pPr>
      <w:r>
        <w:rPr>
          <w:rFonts w:hint="eastAsia" w:ascii="宋体" w:hAnsi="宋体" w:cs="宋体"/>
          <w:b/>
          <w:sz w:val="32"/>
        </w:rPr>
      </w:r>
      <w:r/>
    </w:p>
    <w:p>
      <w:pPr>
        <w:pStyle w:val="1067"/>
        <w:rPr>
          <w:rStyle w:val="1006"/>
          <w:rFonts w:hint="eastAsia" w:ascii="宋体" w:hAnsi="宋体" w:cs="宋体"/>
          <w:b/>
          <w:sz w:val="32"/>
        </w:rPr>
      </w:pPr>
      <w:r>
        <w:rPr>
          <w:rFonts w:hint="eastAsia" w:ascii="宋体" w:hAnsi="宋体" w:cs="宋体"/>
          <w:b/>
          <w:sz w:val="32"/>
        </w:rPr>
      </w:r>
      <w:r/>
    </w:p>
    <w:p>
      <w:pPr>
        <w:pStyle w:val="1067"/>
        <w:rPr>
          <w:rStyle w:val="1006"/>
          <w:rFonts w:hint="eastAsia" w:ascii="宋体" w:hAnsi="宋体" w:cs="宋体"/>
          <w:b/>
          <w:sz w:val="32"/>
        </w:rPr>
      </w:pPr>
      <w:r>
        <w:rPr>
          <w:rFonts w:hint="eastAsia" w:ascii="宋体" w:hAnsi="宋体" w:cs="宋体"/>
          <w:b/>
          <w:sz w:val="32"/>
        </w:rPr>
      </w:r>
      <w:r/>
    </w:p>
    <w:p>
      <w:pPr>
        <w:pStyle w:val="1067"/>
        <w:rPr>
          <w:rStyle w:val="1006"/>
          <w:rFonts w:hint="eastAsia" w:ascii="宋体" w:hAnsi="宋体" w:cs="宋体"/>
          <w:b/>
          <w:sz w:val="32"/>
        </w:rPr>
      </w:pPr>
      <w:r>
        <w:rPr>
          <w:rFonts w:hint="eastAsia" w:ascii="宋体" w:hAnsi="宋体" w:cs="宋体"/>
          <w:b/>
          <w:sz w:val="32"/>
        </w:rPr>
      </w:r>
      <w:r/>
    </w:p>
    <w:p>
      <w:pPr>
        <w:pStyle w:val="1067"/>
        <w:rPr>
          <w:rStyle w:val="1006"/>
          <w:rFonts w:hint="eastAsia" w:ascii="宋体" w:hAnsi="宋体" w:cs="宋体"/>
          <w:b/>
          <w:sz w:val="32"/>
        </w:rPr>
      </w:pPr>
      <w:r>
        <w:rPr>
          <w:rFonts w:hint="eastAsia" w:ascii="宋体" w:hAnsi="宋体" w:cs="宋体"/>
          <w:b/>
          <w:sz w:val="32"/>
        </w:rPr>
      </w:r>
      <w:r/>
    </w:p>
    <w:p>
      <w:pPr>
        <w:pStyle w:val="1067"/>
        <w:rPr>
          <w:rStyle w:val="1006"/>
          <w:rFonts w:hint="eastAsia" w:ascii="宋体" w:hAnsi="宋体" w:cs="宋体"/>
          <w:b/>
          <w:sz w:val="32"/>
        </w:rPr>
      </w:pPr>
      <w:r>
        <w:rPr>
          <w:rFonts w:hint="eastAsia" w:ascii="宋体" w:hAnsi="宋体" w:cs="宋体"/>
          <w:b/>
          <w:sz w:val="32"/>
        </w:rPr>
      </w:r>
      <w:r/>
    </w:p>
    <w:p>
      <w:pPr>
        <w:pStyle w:val="1067"/>
        <w:rPr>
          <w:rStyle w:val="1006"/>
          <w:rFonts w:hint="eastAsia" w:ascii="宋体" w:hAnsi="宋体" w:cs="宋体"/>
          <w:b/>
          <w:sz w:val="32"/>
        </w:rPr>
      </w:pPr>
      <w:r>
        <w:rPr>
          <w:rFonts w:hint="eastAsia" w:ascii="宋体" w:hAnsi="宋体" w:cs="宋体"/>
          <w:b/>
          <w:sz w:val="32"/>
        </w:rPr>
      </w:r>
      <w:r/>
    </w:p>
    <w:p>
      <w:pPr>
        <w:pStyle w:val="1067"/>
        <w:rPr>
          <w:rStyle w:val="1006"/>
          <w:rFonts w:hint="eastAsia" w:ascii="宋体" w:hAnsi="宋体" w:cs="宋体"/>
          <w:b/>
          <w:sz w:val="32"/>
        </w:rPr>
      </w:pPr>
      <w:r>
        <w:rPr>
          <w:rFonts w:hint="eastAsia" w:ascii="宋体" w:hAnsi="宋体" w:cs="宋体"/>
          <w:b/>
          <w:sz w:val="32"/>
        </w:rPr>
      </w:r>
      <w:r/>
    </w:p>
    <w:p>
      <w:pPr>
        <w:pStyle w:val="1067"/>
        <w:rPr>
          <w:rStyle w:val="1006"/>
          <w:rFonts w:hint="eastAsia" w:ascii="宋体" w:hAnsi="宋体" w:cs="宋体"/>
          <w:b/>
          <w:sz w:val="32"/>
        </w:rPr>
      </w:pPr>
      <w:r>
        <w:rPr>
          <w:rFonts w:hint="eastAsia" w:ascii="宋体" w:hAnsi="宋体" w:cs="宋体"/>
          <w:b/>
          <w:sz w:val="32"/>
        </w:rPr>
      </w:r>
      <w:r/>
    </w:p>
    <w:p>
      <w:pPr>
        <w:pStyle w:val="1067"/>
        <w:rPr>
          <w:rStyle w:val="1006"/>
          <w:rFonts w:hint="eastAsia" w:ascii="宋体" w:hAnsi="宋体" w:cs="宋体"/>
          <w:b/>
          <w:sz w:val="32"/>
        </w:rPr>
      </w:pPr>
      <w:r>
        <w:rPr>
          <w:rFonts w:hint="eastAsia" w:ascii="宋体" w:hAnsi="宋体" w:cs="宋体"/>
          <w:b/>
          <w:sz w:val="32"/>
        </w:rPr>
      </w:r>
      <w:r/>
    </w:p>
    <w:p>
      <w:pPr>
        <w:pStyle w:val="1067"/>
        <w:rPr>
          <w:rStyle w:val="1006"/>
          <w:rFonts w:hint="eastAsia" w:ascii="宋体" w:hAnsi="宋体" w:cs="宋体"/>
          <w:b/>
          <w:sz w:val="32"/>
        </w:rPr>
      </w:pPr>
      <w:r>
        <w:rPr>
          <w:rFonts w:hint="eastAsia" w:ascii="宋体" w:hAnsi="宋体" w:cs="宋体"/>
          <w:b/>
          <w:sz w:val="32"/>
        </w:rPr>
      </w:r>
      <w:r/>
    </w:p>
    <w:p>
      <w:pPr>
        <w:pStyle w:val="1067"/>
        <w:rPr>
          <w:rStyle w:val="1006"/>
          <w:rFonts w:hint="eastAsia" w:ascii="宋体" w:hAnsi="宋体" w:cs="宋体"/>
          <w:b/>
          <w:sz w:val="32"/>
        </w:rPr>
      </w:pPr>
      <w:r>
        <w:rPr>
          <w:rFonts w:hint="eastAsia" w:ascii="宋体" w:hAnsi="宋体" w:cs="宋体"/>
          <w:b/>
          <w:sz w:val="32"/>
        </w:rPr>
      </w:r>
      <w:r/>
    </w:p>
    <w:p>
      <w:pPr>
        <w:pStyle w:val="1067"/>
        <w:rPr>
          <w:rStyle w:val="1006"/>
        </w:rPr>
      </w:pPr>
      <w:r>
        <w:rPr>
          <w:rStyle w:val="1006"/>
          <w:rFonts w:hint="eastAsia" w:ascii="宋体" w:hAnsi="宋体" w:cs="宋体"/>
          <w:b/>
          <w:sz w:val="32"/>
        </w:rPr>
        <w:t xml:space="preserve">十、</w:t>
      </w:r>
      <w:r>
        <w:rPr>
          <w:rStyle w:val="1006"/>
          <w:rFonts w:ascii="宋体" w:hAnsi="宋体" w:cs="宋体"/>
          <w:b/>
          <w:sz w:val="32"/>
        </w:rPr>
        <w:t xml:space="preserve">服务方案</w:t>
      </w:r>
      <w:r/>
    </w:p>
    <w:p>
      <w:pPr>
        <w:jc w:val="center"/>
        <w:keepLines/>
        <w:keepNext/>
        <w:spacing w:before="260" w:after="260" w:line="415" w:lineRule="auto"/>
        <w:rPr>
          <w:rStyle w:val="1006"/>
          <w:rFonts w:hint="eastAsia" w:ascii="宋体" w:hAnsi="宋体"/>
          <w:b/>
          <w:bCs/>
          <w:sz w:val="28"/>
          <w:szCs w:val="28"/>
        </w:rPr>
        <w:outlineLvl w:val="1"/>
      </w:pPr>
      <w:r>
        <w:rPr>
          <w:rStyle w:val="1006"/>
          <w:rFonts w:hint="eastAsia" w:ascii="宋体" w:hAnsi="宋体"/>
          <w:b/>
          <w:bCs/>
          <w:sz w:val="28"/>
          <w:szCs w:val="28"/>
        </w:rPr>
        <w:t xml:space="preserve">服务方案</w:t>
      </w:r>
      <w:r/>
    </w:p>
    <w:p>
      <w:pPr>
        <w:jc w:val="left"/>
        <w:spacing w:line="360" w:lineRule="auto"/>
        <w:rPr>
          <w:rStyle w:val="1006"/>
          <w:rFonts w:hint="eastAsia" w:ascii="宋体" w:hAnsi="宋体"/>
          <w:sz w:val="24"/>
          <w:szCs w:val="24"/>
        </w:rPr>
      </w:pPr>
      <w:r>
        <w:rPr>
          <w:rFonts w:hint="eastAsia" w:ascii="宋体" w:hAnsi="宋体"/>
          <w:sz w:val="24"/>
          <w:szCs w:val="24"/>
        </w:rPr>
      </w:r>
      <w:r/>
    </w:p>
    <w:p>
      <w:pPr>
        <w:jc w:val="center"/>
        <w:spacing w:line="360" w:lineRule="auto"/>
        <w:rPr>
          <w:rStyle w:val="1006"/>
          <w:rFonts w:hint="eastAsia" w:ascii="宋体" w:hAnsi="宋体" w:cs="Arial"/>
          <w:sz w:val="24"/>
          <w:szCs w:val="21"/>
        </w:rPr>
        <w:outlineLvl w:val="1"/>
      </w:pPr>
      <w:r>
        <w:rPr>
          <w:rStyle w:val="1006"/>
          <w:rFonts w:hint="eastAsia" w:ascii="宋体" w:hAnsi="宋体" w:cs="Arial"/>
          <w:sz w:val="24"/>
          <w:szCs w:val="21"/>
        </w:rPr>
        <w:t xml:space="preserve">（服务方案的内容编排等由投标人自定）</w:t>
      </w:r>
      <w:r/>
    </w:p>
    <w:p>
      <w:pPr>
        <w:pStyle w:val="1068"/>
        <w:rPr>
          <w:rFonts w:hint="eastAsia" w:ascii="宋体" w:hAnsi="宋体" w:eastAsia="宋体" w:cs="宋体"/>
          <w:lang w:bidi="ar"/>
        </w:rPr>
        <w:outlineLvl w:val="0"/>
      </w:pPr>
      <w:r>
        <w:rPr>
          <w:rStyle w:val="1006"/>
        </w:rPr>
        <w:br w:type="page" w:clear="all"/>
      </w:r>
      <w:bookmarkStart w:id="263" w:name="_Toc16991"/>
      <w:r/>
      <w:bookmarkStart w:id="264" w:name="_Toc17468"/>
      <w:r/>
      <w:bookmarkStart w:id="265" w:name="_Toc11335"/>
      <w:r>
        <w:rPr>
          <w:rStyle w:val="1006"/>
          <w:rFonts w:hint="eastAsia" w:ascii="宋体" w:hAnsi="宋体" w:cs="宋体"/>
          <w:b/>
          <w:sz w:val="32"/>
        </w:rPr>
        <w:t xml:space="preserve">十一</w:t>
      </w:r>
      <w:r>
        <w:rPr>
          <w:rStyle w:val="1006"/>
          <w:rFonts w:ascii="宋体" w:hAnsi="宋体" w:cs="宋体"/>
          <w:b/>
          <w:sz w:val="32"/>
        </w:rPr>
        <w:t xml:space="preserve">、投标人情况介绍</w:t>
      </w:r>
      <w:r>
        <w:rPr>
          <w:rStyle w:val="1006"/>
          <w:rFonts w:hint="eastAsia" w:ascii="宋体" w:hAnsi="宋体" w:cs="Arial"/>
          <w:sz w:val="24"/>
          <w:szCs w:val="24"/>
        </w:rPr>
        <w:t xml:space="preserve">（内容自定，可参考如下）</w:t>
      </w:r>
      <w:bookmarkEnd w:id="263"/>
      <w:r/>
      <w:bookmarkEnd w:id="264"/>
      <w:r/>
      <w:bookmarkEnd w:id="265"/>
      <w:r/>
      <w:r/>
    </w:p>
    <w:p>
      <w:pPr>
        <w:spacing w:line="440" w:lineRule="exact"/>
        <w:widowControl/>
        <w:rPr>
          <w:rFonts w:hint="eastAsia" w:ascii="宋体" w:hAnsi="宋体" w:cs="宋体"/>
          <w:color w:val="000000"/>
          <w:sz w:val="24"/>
          <w:szCs w:val="24"/>
          <w:lang w:bidi="ar"/>
        </w:rPr>
      </w:pPr>
      <w:r/>
      <w:bookmarkStart w:id="266" w:name="_Toc29985"/>
      <w:r>
        <w:rPr>
          <w:rFonts w:hint="eastAsia" w:ascii="宋体" w:hAnsi="宋体" w:cs="宋体"/>
          <w:color w:val="000000"/>
          <w:sz w:val="24"/>
          <w:szCs w:val="24"/>
          <w:lang w:bidi="ar"/>
        </w:rPr>
        <w:t xml:space="preserve">1.类似业绩</w:t>
      </w:r>
      <w:r/>
    </w:p>
    <w:p>
      <w:pPr>
        <w:spacing w:line="440" w:lineRule="exact"/>
        <w:widowControl/>
        <w:rPr>
          <w:rFonts w:hint="eastAsia" w:ascii="宋体" w:hAnsi="宋体"/>
          <w:color w:val="000000"/>
          <w:sz w:val="24"/>
          <w:szCs w:val="24"/>
        </w:rPr>
      </w:pPr>
      <w:r>
        <w:rPr>
          <w:rFonts w:hint="eastAsia" w:ascii="宋体" w:hAnsi="宋体"/>
          <w:color w:val="000000"/>
          <w:sz w:val="24"/>
          <w:szCs w:val="24"/>
        </w:rPr>
        <w:t xml:space="preserve">……</w:t>
      </w:r>
      <w:r/>
    </w:p>
    <w:p>
      <w:pPr>
        <w:pStyle w:val="1069"/>
        <w:rPr>
          <w:rFonts w:hint="eastAsia" w:ascii="宋体" w:hAnsi="宋体" w:eastAsia="宋体" w:cs="宋体"/>
          <w:b/>
          <w:sz w:val="32"/>
        </w:rPr>
        <w:outlineLvl w:val="0"/>
      </w:pPr>
      <w:r>
        <w:rPr>
          <w:rFonts w:hint="eastAsia" w:ascii="宋体" w:hAnsi="宋体" w:eastAsia="宋体" w:cs="宋体"/>
          <w:b/>
          <w:sz w:val="32"/>
        </w:rPr>
      </w:r>
      <w:r/>
    </w:p>
    <w:p>
      <w:pPr>
        <w:pStyle w:val="1069"/>
        <w:rPr>
          <w:rFonts w:hint="eastAsia" w:ascii="宋体" w:hAnsi="宋体" w:eastAsia="宋体" w:cs="宋体"/>
          <w:b/>
          <w:sz w:val="32"/>
        </w:rPr>
        <w:outlineLvl w:val="0"/>
      </w:pPr>
      <w:r>
        <w:rPr>
          <w:rFonts w:hint="eastAsia" w:ascii="宋体" w:hAnsi="宋体" w:eastAsia="宋体" w:cs="宋体"/>
          <w:b/>
          <w:sz w:val="32"/>
        </w:rPr>
      </w:r>
      <w:r/>
    </w:p>
    <w:p>
      <w:pPr>
        <w:pStyle w:val="1069"/>
        <w:rPr>
          <w:rFonts w:hint="eastAsia" w:ascii="宋体" w:hAnsi="宋体" w:eastAsia="宋体" w:cs="宋体"/>
          <w:b/>
          <w:sz w:val="32"/>
        </w:rPr>
        <w:outlineLvl w:val="0"/>
      </w:pPr>
      <w:r>
        <w:rPr>
          <w:rFonts w:hint="eastAsia" w:ascii="宋体" w:hAnsi="宋体" w:eastAsia="宋体" w:cs="宋体"/>
          <w:b/>
          <w:sz w:val="32"/>
        </w:rPr>
      </w:r>
      <w:r/>
    </w:p>
    <w:p>
      <w:pPr>
        <w:pStyle w:val="1069"/>
        <w:rPr>
          <w:rFonts w:hint="eastAsia" w:ascii="宋体" w:hAnsi="宋体" w:eastAsia="宋体" w:cs="宋体"/>
          <w:b/>
          <w:sz w:val="32"/>
        </w:rPr>
        <w:outlineLvl w:val="0"/>
      </w:pPr>
      <w:r>
        <w:rPr>
          <w:rFonts w:hint="eastAsia" w:ascii="宋体" w:hAnsi="宋体" w:eastAsia="宋体" w:cs="宋体"/>
          <w:b/>
          <w:sz w:val="32"/>
        </w:rPr>
      </w:r>
      <w:r/>
    </w:p>
    <w:p>
      <w:pPr>
        <w:pStyle w:val="1069"/>
        <w:rPr>
          <w:rFonts w:hint="eastAsia" w:ascii="宋体" w:hAnsi="宋体" w:eastAsia="宋体" w:cs="宋体"/>
          <w:b/>
          <w:sz w:val="32"/>
        </w:rPr>
        <w:outlineLvl w:val="0"/>
      </w:pPr>
      <w:r>
        <w:rPr>
          <w:rFonts w:hint="eastAsia" w:ascii="宋体" w:hAnsi="宋体" w:eastAsia="宋体" w:cs="宋体"/>
          <w:b/>
          <w:sz w:val="32"/>
        </w:rPr>
      </w:r>
      <w:r/>
    </w:p>
    <w:p>
      <w:pPr>
        <w:pStyle w:val="1069"/>
        <w:rPr>
          <w:rFonts w:hint="eastAsia" w:ascii="宋体" w:hAnsi="宋体" w:eastAsia="宋体" w:cs="宋体"/>
          <w:b/>
          <w:sz w:val="32"/>
        </w:rPr>
        <w:outlineLvl w:val="0"/>
      </w:pPr>
      <w:r>
        <w:rPr>
          <w:rFonts w:hint="eastAsia" w:ascii="宋体" w:hAnsi="宋体" w:eastAsia="宋体" w:cs="宋体"/>
          <w:b/>
          <w:sz w:val="32"/>
        </w:rPr>
      </w:r>
      <w:r/>
    </w:p>
    <w:p>
      <w:pPr>
        <w:pStyle w:val="1069"/>
        <w:rPr>
          <w:rFonts w:hint="eastAsia" w:ascii="宋体" w:hAnsi="宋体" w:eastAsia="宋体" w:cs="宋体"/>
          <w:b/>
          <w:sz w:val="32"/>
        </w:rPr>
        <w:outlineLvl w:val="0"/>
      </w:pPr>
      <w:r>
        <w:rPr>
          <w:rFonts w:hint="eastAsia" w:ascii="宋体" w:hAnsi="宋体" w:eastAsia="宋体" w:cs="宋体"/>
          <w:b/>
          <w:sz w:val="32"/>
        </w:rPr>
      </w:r>
      <w:r/>
    </w:p>
    <w:p>
      <w:pPr>
        <w:pStyle w:val="1069"/>
        <w:rPr>
          <w:rFonts w:hint="eastAsia" w:ascii="宋体" w:hAnsi="宋体" w:eastAsia="宋体" w:cs="宋体"/>
          <w:b/>
          <w:sz w:val="32"/>
        </w:rPr>
        <w:outlineLvl w:val="0"/>
      </w:pPr>
      <w:r>
        <w:rPr>
          <w:rFonts w:hint="eastAsia" w:ascii="宋体" w:hAnsi="宋体" w:eastAsia="宋体" w:cs="宋体"/>
          <w:b/>
          <w:sz w:val="32"/>
        </w:rPr>
      </w:r>
      <w:r/>
    </w:p>
    <w:p>
      <w:pPr>
        <w:pStyle w:val="1069"/>
        <w:rPr>
          <w:rFonts w:hint="eastAsia" w:ascii="宋体" w:hAnsi="宋体" w:eastAsia="宋体" w:cs="宋体"/>
          <w:b/>
          <w:sz w:val="32"/>
        </w:rPr>
        <w:outlineLvl w:val="0"/>
      </w:pPr>
      <w:r>
        <w:rPr>
          <w:rFonts w:hint="eastAsia" w:ascii="宋体" w:hAnsi="宋体" w:eastAsia="宋体" w:cs="宋体"/>
          <w:b/>
          <w:sz w:val="32"/>
        </w:rPr>
      </w:r>
      <w:r/>
    </w:p>
    <w:p>
      <w:pPr>
        <w:pStyle w:val="1069"/>
        <w:rPr>
          <w:rFonts w:hint="eastAsia" w:ascii="宋体" w:hAnsi="宋体" w:eastAsia="宋体" w:cs="宋体"/>
          <w:b/>
          <w:sz w:val="32"/>
        </w:rPr>
        <w:outlineLvl w:val="0"/>
      </w:pPr>
      <w:r>
        <w:rPr>
          <w:rFonts w:hint="eastAsia" w:ascii="宋体" w:hAnsi="宋体" w:eastAsia="宋体" w:cs="宋体"/>
          <w:b/>
          <w:sz w:val="32"/>
        </w:rPr>
      </w:r>
      <w:r/>
    </w:p>
    <w:p>
      <w:pPr>
        <w:pStyle w:val="1069"/>
        <w:rPr>
          <w:rFonts w:hint="eastAsia" w:ascii="宋体" w:hAnsi="宋体" w:eastAsia="宋体" w:cs="宋体"/>
          <w:b/>
          <w:sz w:val="32"/>
        </w:rPr>
        <w:outlineLvl w:val="0"/>
      </w:pPr>
      <w:r>
        <w:rPr>
          <w:rFonts w:hint="eastAsia" w:ascii="宋体" w:hAnsi="宋体" w:eastAsia="宋体" w:cs="宋体"/>
          <w:b/>
          <w:sz w:val="32"/>
        </w:rPr>
      </w:r>
      <w:r/>
    </w:p>
    <w:p>
      <w:pPr>
        <w:pStyle w:val="1069"/>
        <w:rPr>
          <w:rFonts w:hint="eastAsia" w:ascii="宋体" w:hAnsi="宋体" w:eastAsia="宋体" w:cs="宋体"/>
          <w:b/>
          <w:sz w:val="32"/>
        </w:rPr>
        <w:outlineLvl w:val="0"/>
      </w:pPr>
      <w:r>
        <w:rPr>
          <w:rFonts w:hint="eastAsia" w:ascii="宋体" w:hAnsi="宋体" w:eastAsia="宋体" w:cs="宋体"/>
          <w:b/>
          <w:sz w:val="32"/>
        </w:rPr>
      </w:r>
      <w:r/>
    </w:p>
    <w:p>
      <w:pPr>
        <w:pStyle w:val="1069"/>
        <w:rPr>
          <w:rFonts w:hint="eastAsia" w:ascii="宋体" w:hAnsi="宋体" w:eastAsia="宋体" w:cs="宋体"/>
          <w:b/>
          <w:sz w:val="32"/>
        </w:rPr>
        <w:outlineLvl w:val="0"/>
      </w:pPr>
      <w:r>
        <w:rPr>
          <w:rFonts w:hint="eastAsia" w:ascii="宋体" w:hAnsi="宋体" w:eastAsia="宋体" w:cs="宋体"/>
          <w:b/>
          <w:sz w:val="32"/>
        </w:rPr>
      </w:r>
      <w:r/>
    </w:p>
    <w:p>
      <w:pPr>
        <w:pStyle w:val="1069"/>
        <w:rPr>
          <w:rFonts w:hint="eastAsia" w:ascii="宋体" w:hAnsi="宋体" w:eastAsia="宋体" w:cs="宋体"/>
          <w:b/>
          <w:sz w:val="32"/>
        </w:rPr>
        <w:outlineLvl w:val="0"/>
      </w:pPr>
      <w:r>
        <w:rPr>
          <w:rFonts w:hint="eastAsia" w:ascii="宋体" w:hAnsi="宋体" w:eastAsia="宋体" w:cs="宋体"/>
          <w:b/>
          <w:sz w:val="32"/>
        </w:rPr>
      </w:r>
      <w:r/>
    </w:p>
    <w:p>
      <w:pPr>
        <w:pStyle w:val="1069"/>
        <w:rPr>
          <w:rFonts w:hint="eastAsia" w:ascii="宋体" w:hAnsi="宋体" w:eastAsia="宋体" w:cs="宋体"/>
          <w:b/>
          <w:sz w:val="32"/>
        </w:rPr>
        <w:outlineLvl w:val="0"/>
      </w:pPr>
      <w:r>
        <w:rPr>
          <w:rFonts w:hint="eastAsia" w:ascii="宋体" w:hAnsi="宋体" w:eastAsia="宋体" w:cs="宋体"/>
          <w:b/>
          <w:sz w:val="32"/>
        </w:rPr>
      </w:r>
      <w:r/>
    </w:p>
    <w:p>
      <w:pPr>
        <w:pStyle w:val="1069"/>
        <w:rPr>
          <w:rFonts w:hint="eastAsia" w:ascii="宋体" w:hAnsi="宋体" w:eastAsia="宋体" w:cs="宋体"/>
          <w:b/>
          <w:sz w:val="32"/>
        </w:rPr>
        <w:outlineLvl w:val="0"/>
      </w:pPr>
      <w:r>
        <w:rPr>
          <w:rFonts w:hint="eastAsia" w:ascii="宋体" w:hAnsi="宋体" w:eastAsia="宋体" w:cs="宋体"/>
          <w:b/>
          <w:sz w:val="32"/>
        </w:rPr>
      </w:r>
      <w:r/>
    </w:p>
    <w:p>
      <w:pPr>
        <w:pStyle w:val="1069"/>
        <w:rPr>
          <w:rFonts w:hint="eastAsia" w:ascii="宋体" w:hAnsi="宋体" w:eastAsia="宋体" w:cs="宋体"/>
          <w:b/>
          <w:sz w:val="32"/>
        </w:rPr>
        <w:outlineLvl w:val="0"/>
      </w:pPr>
      <w:r>
        <w:rPr>
          <w:rFonts w:hint="eastAsia" w:ascii="宋体" w:hAnsi="宋体" w:eastAsia="宋体" w:cs="宋体"/>
          <w:b/>
          <w:sz w:val="32"/>
        </w:rPr>
      </w:r>
      <w:r/>
    </w:p>
    <w:p>
      <w:pPr>
        <w:pStyle w:val="1069"/>
        <w:rPr>
          <w:rFonts w:hint="eastAsia" w:ascii="宋体" w:hAnsi="宋体" w:eastAsia="宋体" w:cs="宋体"/>
          <w:b/>
          <w:sz w:val="32"/>
        </w:rPr>
        <w:outlineLvl w:val="0"/>
      </w:pPr>
      <w:r>
        <w:rPr>
          <w:rFonts w:hint="eastAsia" w:ascii="宋体" w:hAnsi="宋体" w:eastAsia="宋体" w:cs="宋体"/>
          <w:b/>
          <w:sz w:val="32"/>
        </w:rPr>
      </w:r>
      <w:r/>
    </w:p>
    <w:p>
      <w:pPr>
        <w:pStyle w:val="1069"/>
        <w:rPr>
          <w:rFonts w:hint="eastAsia" w:ascii="宋体" w:hAnsi="宋体" w:eastAsia="宋体" w:cs="宋体"/>
          <w:b/>
          <w:sz w:val="32"/>
        </w:rPr>
        <w:outlineLvl w:val="0"/>
      </w:pPr>
      <w:r>
        <w:rPr>
          <w:rFonts w:hint="eastAsia" w:ascii="宋体" w:hAnsi="宋体" w:eastAsia="宋体" w:cs="宋体"/>
          <w:b/>
          <w:sz w:val="32"/>
        </w:rPr>
      </w:r>
      <w:r/>
    </w:p>
    <w:p>
      <w:pPr>
        <w:pStyle w:val="1069"/>
        <w:rPr>
          <w:rFonts w:hint="eastAsia" w:ascii="宋体" w:hAnsi="宋体" w:eastAsia="宋体" w:cs="宋体"/>
          <w:b/>
          <w:sz w:val="32"/>
        </w:rPr>
        <w:outlineLvl w:val="0"/>
      </w:pPr>
      <w:r>
        <w:rPr>
          <w:rFonts w:hint="eastAsia" w:ascii="宋体" w:hAnsi="宋体" w:eastAsia="宋体" w:cs="宋体"/>
          <w:b/>
          <w:sz w:val="32"/>
        </w:rPr>
      </w:r>
      <w:r/>
    </w:p>
    <w:p>
      <w:pPr>
        <w:pStyle w:val="1069"/>
        <w:rPr>
          <w:rFonts w:hint="eastAsia" w:ascii="宋体" w:hAnsi="宋体" w:eastAsia="宋体" w:cs="宋体"/>
          <w:b/>
          <w:sz w:val="32"/>
        </w:rPr>
        <w:outlineLvl w:val="0"/>
      </w:pPr>
      <w:r>
        <w:rPr>
          <w:rFonts w:hint="eastAsia" w:ascii="宋体" w:hAnsi="宋体" w:eastAsia="宋体" w:cs="宋体"/>
          <w:b/>
          <w:sz w:val="32"/>
        </w:rPr>
      </w:r>
      <w:r/>
    </w:p>
    <w:p>
      <w:pPr>
        <w:pStyle w:val="1069"/>
        <w:rPr>
          <w:rFonts w:hint="eastAsia" w:ascii="宋体" w:hAnsi="宋体" w:eastAsia="宋体" w:cs="宋体"/>
          <w:b/>
          <w:sz w:val="32"/>
        </w:rPr>
        <w:outlineLvl w:val="0"/>
      </w:pPr>
      <w:r>
        <w:rPr>
          <w:rFonts w:hint="eastAsia" w:ascii="宋体" w:hAnsi="宋体" w:eastAsia="宋体" w:cs="宋体"/>
          <w:b/>
          <w:sz w:val="32"/>
        </w:rPr>
      </w:r>
      <w:r/>
    </w:p>
    <w:p>
      <w:pPr>
        <w:pStyle w:val="1069"/>
        <w:rPr>
          <w:rFonts w:hint="eastAsia" w:ascii="宋体" w:hAnsi="宋体" w:eastAsia="宋体" w:cs="宋体"/>
          <w:b/>
          <w:sz w:val="32"/>
        </w:rPr>
        <w:outlineLvl w:val="0"/>
      </w:pPr>
      <w:r>
        <w:rPr>
          <w:rFonts w:hint="eastAsia" w:ascii="宋体" w:hAnsi="宋体" w:eastAsia="宋体" w:cs="宋体"/>
          <w:b/>
          <w:sz w:val="32"/>
        </w:rPr>
      </w:r>
      <w:r/>
    </w:p>
    <w:p>
      <w:pPr>
        <w:pStyle w:val="1069"/>
        <w:rPr>
          <w:rFonts w:hint="eastAsia" w:ascii="宋体" w:hAnsi="宋体" w:eastAsia="宋体" w:cs="宋体"/>
          <w:b/>
          <w:sz w:val="32"/>
        </w:rPr>
        <w:outlineLvl w:val="0"/>
      </w:pPr>
      <w:r>
        <w:rPr>
          <w:rFonts w:hint="eastAsia" w:ascii="宋体" w:hAnsi="宋体" w:eastAsia="宋体" w:cs="宋体"/>
          <w:b/>
          <w:sz w:val="32"/>
        </w:rPr>
      </w:r>
      <w:r/>
    </w:p>
    <w:p>
      <w:pPr>
        <w:pStyle w:val="1069"/>
        <w:rPr>
          <w:rFonts w:hint="eastAsia" w:ascii="宋体" w:hAnsi="宋体" w:eastAsia="宋体" w:cs="宋体"/>
          <w:b/>
          <w:sz w:val="32"/>
        </w:rPr>
        <w:outlineLvl w:val="0"/>
      </w:pPr>
      <w:r>
        <w:rPr>
          <w:rFonts w:hint="eastAsia" w:ascii="宋体" w:hAnsi="宋体" w:eastAsia="宋体" w:cs="宋体"/>
          <w:b/>
          <w:sz w:val="32"/>
        </w:rPr>
      </w:r>
      <w:r/>
    </w:p>
    <w:p>
      <w:pPr>
        <w:pStyle w:val="1069"/>
        <w:rPr>
          <w:rFonts w:hint="eastAsia" w:ascii="宋体" w:hAnsi="宋体" w:eastAsia="宋体" w:cs="宋体"/>
          <w:b/>
          <w:sz w:val="32"/>
        </w:rPr>
        <w:outlineLvl w:val="0"/>
      </w:pPr>
      <w:r>
        <w:rPr>
          <w:rFonts w:hint="eastAsia" w:ascii="宋体" w:hAnsi="宋体" w:eastAsia="宋体" w:cs="宋体"/>
          <w:b/>
          <w:sz w:val="32"/>
        </w:rPr>
      </w:r>
      <w:r/>
    </w:p>
    <w:p>
      <w:pPr>
        <w:pStyle w:val="1069"/>
        <w:rPr>
          <w:rFonts w:hint="eastAsia" w:ascii="宋体" w:hAnsi="宋体" w:eastAsia="宋体" w:cs="宋体"/>
          <w:b/>
          <w:sz w:val="32"/>
        </w:rPr>
        <w:outlineLvl w:val="0"/>
      </w:pPr>
      <w:r>
        <w:rPr>
          <w:rFonts w:hint="eastAsia" w:ascii="宋体" w:hAnsi="宋体" w:eastAsia="宋体" w:cs="宋体"/>
          <w:b/>
          <w:sz w:val="32"/>
        </w:rPr>
      </w:r>
      <w:r/>
    </w:p>
    <w:p>
      <w:pPr>
        <w:pStyle w:val="1069"/>
        <w:rPr>
          <w:rFonts w:hint="eastAsia" w:ascii="宋体" w:hAnsi="宋体" w:eastAsia="宋体" w:cs="宋体"/>
          <w:b/>
          <w:sz w:val="32"/>
        </w:rPr>
        <w:outlineLvl w:val="0"/>
      </w:pPr>
      <w:r>
        <w:rPr>
          <w:rFonts w:hint="eastAsia" w:ascii="宋体" w:hAnsi="宋体" w:eastAsia="宋体" w:cs="宋体"/>
          <w:b/>
          <w:sz w:val="32"/>
        </w:rPr>
      </w:r>
      <w:r/>
    </w:p>
    <w:p>
      <w:pPr>
        <w:pStyle w:val="1069"/>
        <w:rPr>
          <w:rFonts w:hint="eastAsia" w:ascii="宋体" w:hAnsi="宋体" w:eastAsia="宋体" w:cs="宋体"/>
          <w:b/>
          <w:sz w:val="32"/>
        </w:rPr>
        <w:outlineLvl w:val="0"/>
      </w:pPr>
      <w:r>
        <w:rPr>
          <w:rFonts w:hint="eastAsia" w:ascii="宋体" w:hAnsi="宋体" w:eastAsia="宋体" w:cs="宋体"/>
          <w:b/>
          <w:sz w:val="32"/>
        </w:rPr>
      </w:r>
      <w:r/>
    </w:p>
    <w:p>
      <w:pPr>
        <w:pStyle w:val="1069"/>
        <w:rPr>
          <w:rFonts w:hint="eastAsia" w:ascii="宋体" w:hAnsi="宋体" w:eastAsia="宋体" w:cs="宋体"/>
          <w:b/>
          <w:sz w:val="32"/>
        </w:rPr>
        <w:outlineLvl w:val="0"/>
      </w:pPr>
      <w:r>
        <w:rPr>
          <w:rFonts w:hint="eastAsia" w:ascii="宋体" w:hAnsi="宋体" w:eastAsia="宋体" w:cs="宋体"/>
          <w:b/>
          <w:sz w:val="32"/>
        </w:rPr>
      </w:r>
      <w:r/>
    </w:p>
    <w:p>
      <w:pPr>
        <w:pStyle w:val="1069"/>
        <w:rPr>
          <w:rFonts w:hint="eastAsia" w:ascii="宋体" w:hAnsi="宋体" w:eastAsia="宋体" w:cs="宋体"/>
        </w:rPr>
        <w:outlineLvl w:val="0"/>
      </w:pPr>
      <w:r/>
      <w:bookmarkStart w:id="267" w:name="_Toc20966"/>
      <w:r/>
      <w:bookmarkStart w:id="268" w:name="_Toc11441"/>
      <w:r>
        <w:rPr>
          <w:rFonts w:hint="eastAsia" w:ascii="宋体" w:hAnsi="宋体" w:eastAsia="宋体" w:cs="宋体"/>
          <w:b/>
          <w:sz w:val="32"/>
        </w:rPr>
        <w:t xml:space="preserve">十一、</w:t>
      </w:r>
      <w:r>
        <w:rPr>
          <w:rFonts w:ascii="宋体" w:hAnsi="宋体" w:eastAsia="宋体" w:cs="宋体"/>
          <w:b/>
          <w:sz w:val="32"/>
        </w:rPr>
        <w:t xml:space="preserve">中小企业声明函</w:t>
      </w:r>
      <w:r>
        <w:rPr>
          <w:rFonts w:hint="eastAsia" w:ascii="宋体" w:hAnsi="宋体" w:eastAsia="宋体" w:cs="宋体"/>
          <w:b/>
          <w:sz w:val="32"/>
        </w:rPr>
        <w:t xml:space="preserve">等</w:t>
      </w:r>
      <w:bookmarkEnd w:id="266"/>
      <w:r/>
      <w:bookmarkEnd w:id="267"/>
      <w:r/>
      <w:bookmarkEnd w:id="268"/>
      <w:r/>
      <w:r/>
    </w:p>
    <w:p>
      <w:pPr>
        <w:pStyle w:val="1057"/>
        <w:jc w:val="center"/>
        <w:spacing w:before="320" w:after="320"/>
        <w:rPr>
          <w:rFonts w:hint="eastAsia" w:ascii="宋体" w:hAnsi="宋体" w:eastAsia="宋体" w:cs="宋体"/>
          <w:sz w:val="32"/>
          <w:szCs w:val="32"/>
        </w:rPr>
      </w:pPr>
      <w:r/>
      <w:bookmarkStart w:id="269" w:name="OLE_LINK16"/>
      <w:r>
        <w:rPr>
          <w:rFonts w:hint="eastAsia" w:ascii="宋体" w:hAnsi="宋体" w:eastAsia="宋体" w:cs="宋体"/>
          <w:sz w:val="32"/>
          <w:szCs w:val="32"/>
        </w:rPr>
        <w:t xml:space="preserve">中小企业声明函（货物）</w:t>
      </w:r>
      <w:r>
        <w:rPr>
          <w:rFonts w:ascii="宋体" w:hAnsi="宋体" w:eastAsia="宋体" w:cs="宋体"/>
          <w:sz w:val="32"/>
          <w:szCs w:val="32"/>
        </w:rPr>
        <w:t xml:space="preserve"> </w:t>
      </w:r>
      <w:r/>
    </w:p>
    <w:p>
      <w:pPr>
        <w:pStyle w:val="1057"/>
        <w:ind w:firstLine="480"/>
        <w:spacing w:before="240" w:after="240"/>
        <w:rPr>
          <w:rFonts w:hint="eastAsia" w:ascii="宋体" w:hAnsi="宋体" w:eastAsia="宋体" w:cs="宋体"/>
        </w:rPr>
      </w:pPr>
      <w:r>
        <w:rPr>
          <w:rFonts w:ascii="宋体" w:hAnsi="宋体" w:eastAsia="宋体" w:cs="宋体"/>
        </w:rPr>
        <w:t xml:space="preserve">本公司郑重声明，根据《政府采购促进中小企业发展管理办法》 (财库〔2020〕46号)的规定，本公司参加</w:t>
      </w:r>
      <w:r>
        <w:rPr>
          <w:rFonts w:ascii="宋体" w:hAnsi="宋体" w:eastAsia="宋体" w:cs="宋体"/>
          <w:u w:val="single"/>
        </w:rPr>
        <w:t xml:space="preserve">   （</w:t>
      </w:r>
      <w:r>
        <w:rPr>
          <w:rFonts w:ascii="宋体" w:hAnsi="宋体" w:eastAsia="宋体" w:cs="宋体"/>
        </w:rPr>
        <w:t xml:space="preserve">单位名称）的</w:t>
      </w:r>
      <w:r>
        <w:rPr>
          <w:rFonts w:ascii="宋体" w:hAnsi="宋体" w:eastAsia="宋体" w:cs="宋体"/>
          <w:u w:val="single"/>
        </w:rPr>
        <w:t xml:space="preserve"> </w:t>
      </w:r>
      <w:r>
        <w:rPr>
          <w:rFonts w:hint="eastAsia" w:ascii="宋体" w:hAnsi="宋体" w:eastAsia="宋体" w:cs="宋体"/>
          <w:u w:val="single"/>
        </w:rPr>
        <w:t xml:space="preserve">  </w:t>
      </w:r>
      <w:r>
        <w:rPr>
          <w:rFonts w:ascii="宋体" w:hAnsi="宋体" w:eastAsia="宋体" w:cs="宋体"/>
          <w:u w:val="single"/>
        </w:rPr>
        <w:t xml:space="preserve">  </w:t>
      </w:r>
      <w:r>
        <w:rPr>
          <w:rFonts w:ascii="宋体" w:hAnsi="宋体" w:eastAsia="宋体" w:cs="宋体"/>
        </w:rPr>
        <w:t xml:space="preserve">（项目名称）采购活动，提供的货物全部由符合政策要求的中小企业制造。相关企业的具体情况如下：</w:t>
      </w:r>
      <w:r/>
    </w:p>
    <w:p>
      <w:pPr>
        <w:pStyle w:val="1058"/>
        <w:spacing w:line="44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1058"/>
        <w:spacing w:line="44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1057"/>
        <w:spacing w:before="240" w:after="240"/>
        <w:rPr>
          <w:rFonts w:hint="eastAsia" w:ascii="宋体" w:hAnsi="宋体" w:eastAsia="宋体" w:cs="宋体"/>
        </w:rPr>
      </w:pPr>
      <w:r>
        <w:rPr>
          <w:rFonts w:hint="eastAsia" w:ascii="宋体" w:hAnsi="宋体" w:eastAsia="宋体" w:cs="宋体"/>
        </w:rPr>
        <w:t xml:space="preserve">3.</w:t>
      </w:r>
      <w:r/>
    </w:p>
    <w:p>
      <w:pPr>
        <w:pStyle w:val="1057"/>
        <w:spacing w:before="240" w:after="240"/>
        <w:rPr>
          <w:rFonts w:hint="eastAsia" w:ascii="宋体" w:hAnsi="宋体" w:eastAsia="宋体" w:cs="宋体"/>
        </w:rPr>
      </w:pPr>
      <w:r>
        <w:rPr>
          <w:rFonts w:hint="eastAsia" w:ascii="宋体" w:hAnsi="宋体" w:eastAsia="宋体" w:cs="宋体"/>
        </w:rPr>
        <w:t xml:space="preserve">4.</w:t>
      </w:r>
      <w:r/>
    </w:p>
    <w:p>
      <w:pPr>
        <w:pStyle w:val="1057"/>
        <w:ind w:firstLine="480"/>
        <w:spacing w:before="240" w:after="240"/>
        <w:rPr>
          <w:rFonts w:hint="eastAsia" w:ascii="宋体" w:hAnsi="宋体" w:eastAsia="宋体" w:cs="宋体"/>
        </w:rPr>
      </w:pPr>
      <w:r>
        <w:rPr>
          <w:rFonts w:ascii="宋体" w:hAnsi="宋体" w:eastAsia="宋体" w:cs="宋体"/>
        </w:rPr>
        <w:t xml:space="preserve">以上企业，不属于大企业的分支机构，不存在控股股东为大企业的情形，也不存在与大企业的负责人为同一人的情形。 </w:t>
      </w:r>
      <w:r/>
    </w:p>
    <w:p>
      <w:pPr>
        <w:pStyle w:val="1057"/>
        <w:ind w:firstLine="480"/>
        <w:spacing w:before="240" w:after="240"/>
        <w:rPr>
          <w:rFonts w:hint="eastAsia" w:ascii="宋体" w:hAnsi="宋体" w:eastAsia="宋体" w:cs="宋体"/>
        </w:rPr>
      </w:pPr>
      <w:r>
        <w:rPr>
          <w:rFonts w:ascii="宋体" w:hAnsi="宋体" w:eastAsia="宋体" w:cs="宋体"/>
        </w:rPr>
        <w:t xml:space="preserve">本企业对上述声明内容的真实性负责。如有虚假，将依法承担相应责任。 </w:t>
      </w:r>
      <w:r/>
    </w:p>
    <w:p>
      <w:pPr>
        <w:pStyle w:val="1057"/>
        <w:spacing w:before="240" w:after="240"/>
        <w:rPr>
          <w:rFonts w:hint="eastAsia" w:ascii="宋体" w:hAnsi="宋体" w:eastAsia="宋体" w:cs="宋体"/>
        </w:rPr>
      </w:pPr>
      <w:r>
        <w:rPr>
          <w:rFonts w:ascii="宋体" w:hAnsi="宋体" w:eastAsia="宋体" w:cs="宋体"/>
        </w:rPr>
        <w:t xml:space="preserve">企业名称（盖章）：   </w:t>
      </w:r>
      <w:r/>
    </w:p>
    <w:p>
      <w:pPr>
        <w:pStyle w:val="1057"/>
        <w:spacing w:before="240" w:after="240"/>
        <w:rPr>
          <w:rFonts w:hint="eastAsia" w:ascii="宋体" w:hAnsi="宋体" w:eastAsia="宋体" w:cs="宋体"/>
        </w:rPr>
      </w:pPr>
      <w:r>
        <w:rPr>
          <w:rFonts w:ascii="宋体" w:hAnsi="宋体" w:eastAsia="宋体" w:cs="宋体"/>
        </w:rPr>
        <w:t xml:space="preserve">日期：   </w:t>
      </w:r>
      <w:r/>
    </w:p>
    <w:p>
      <w:pPr>
        <w:pStyle w:val="1057"/>
        <w:spacing w:before="240" w:after="240"/>
        <w:rPr>
          <w:rFonts w:hint="eastAsia" w:ascii="宋体" w:hAnsi="宋体" w:eastAsia="宋体" w:cs="宋体"/>
        </w:rPr>
      </w:pPr>
      <w:r>
        <w:rPr>
          <w:rFonts w:hint="eastAsia" w:ascii="宋体" w:hAnsi="宋体" w:eastAsia="宋体" w:cs="宋体"/>
        </w:rPr>
      </w:r>
      <w:r/>
    </w:p>
    <w:p>
      <w:pPr>
        <w:pStyle w:val="1057"/>
        <w:spacing w:before="240" w:after="240"/>
        <w:rPr>
          <w:rFonts w:hint="eastAsia" w:ascii="宋体" w:hAnsi="宋体" w:eastAsia="宋体" w:cs="宋体"/>
        </w:rPr>
      </w:pPr>
      <w:r>
        <w:rPr>
          <w:rFonts w:ascii="宋体" w:hAnsi="宋体" w:eastAsia="宋体" w:cs="宋体"/>
        </w:rPr>
        <w:t xml:space="preserve">注：供应商对照《关于印发中小企业划型标准规定的通知》（工信部联企业【2011】300号）中的标准，明确标的承接企业所属企业类型。</w:t>
      </w:r>
      <w:r/>
    </w:p>
    <w:p>
      <w:pPr>
        <w:pStyle w:val="1057"/>
        <w:spacing w:before="240" w:after="240"/>
        <w:rPr>
          <w:rFonts w:hint="eastAsia" w:ascii="宋体" w:hAnsi="宋体" w:eastAsia="宋体" w:cs="宋体"/>
        </w:rPr>
      </w:pPr>
      <w:r>
        <w:rPr>
          <w:rFonts w:ascii="宋体" w:hAnsi="宋体" w:eastAsia="宋体" w:cs="宋体"/>
        </w:rPr>
        <w:t xml:space="preserve">备注：1.从业人员、营业收入、资产总额填报上一年度数据，无上一年度数据的新成立企业可不填报。</w:t>
      </w:r>
      <w:r/>
    </w:p>
    <w:p>
      <w:pPr>
        <w:pStyle w:val="1057"/>
        <w:spacing w:before="240" w:after="240"/>
        <w:rPr>
          <w:rFonts w:hint="eastAsia" w:ascii="宋体" w:hAnsi="宋体" w:eastAsia="宋体" w:cs="宋体"/>
        </w:rPr>
      </w:pPr>
      <w:r>
        <w:rPr>
          <w:rFonts w:ascii="宋体" w:hAnsi="宋体" w:eastAsia="宋体" w:cs="宋体"/>
        </w:rPr>
        <w:t xml:space="preserve">2.涉及多个采购标的的项目，供应商应当</w:t>
      </w:r>
      <w:r>
        <w:rPr>
          <w:rFonts w:ascii="宋体" w:hAnsi="宋体" w:eastAsia="宋体" w:cs="宋体"/>
          <w:b/>
          <w:bCs/>
        </w:rPr>
        <w:t xml:space="preserve">逐一填报与采购项目属性一致的每个采购标的（主要采购标的，不包括配件、辅料等</w:t>
      </w:r>
      <w:r>
        <w:rPr>
          <w:rFonts w:ascii="宋体" w:hAnsi="宋体" w:eastAsia="宋体" w:cs="宋体"/>
        </w:rPr>
        <w:t xml:space="preserve">）的制造商或者承建（承接）供应商信息。</w:t>
      </w:r>
      <w:r/>
    </w:p>
    <w:p>
      <w:pPr>
        <w:pStyle w:val="1057"/>
        <w:spacing w:before="240" w:after="240"/>
        <w:rPr>
          <w:rStyle w:val="1006"/>
          <w:rFonts w:hint="eastAsia" w:ascii="宋体" w:hAnsi="宋体" w:cs="宋体"/>
          <w:b/>
          <w:bCs/>
          <w:color w:val="000000"/>
          <w:sz w:val="24"/>
          <w:szCs w:val="24"/>
        </w:rPr>
      </w:pPr>
      <w:r>
        <w:rPr>
          <w:rStyle w:val="1006"/>
          <w:rFonts w:hint="eastAsia" w:ascii="宋体" w:hAnsi="宋体" w:cs="宋体"/>
          <w:color w:val="000000"/>
          <w:sz w:val="24"/>
          <w:szCs w:val="24"/>
        </w:rPr>
        <w:t xml:space="preserve">3.</w:t>
      </w:r>
      <w:r>
        <w:rPr>
          <w:rStyle w:val="1006"/>
          <w:rFonts w:ascii="宋体" w:hAnsi="宋体" w:cs="宋体"/>
          <w:color w:val="000000"/>
          <w:sz w:val="24"/>
          <w:szCs w:val="24"/>
        </w:rPr>
        <w:t xml:space="preserve">在服务采购项目中，服务由中小企业承接，即提供服务的人员为中小企业依照《中华人民共和国劳动合同法》订立劳动合同的从业人员。</w:t>
      </w:r>
      <w:r>
        <w:rPr>
          <w:rStyle w:val="1006"/>
          <w:rFonts w:ascii="宋体" w:hAnsi="宋体" w:cs="宋体"/>
          <w:b/>
          <w:bCs/>
          <w:color w:val="000000"/>
          <w:sz w:val="24"/>
          <w:szCs w:val="24"/>
        </w:rPr>
        <w:t xml:space="preserve">服务类项目中供应商若使用退休人员，将不享受相应扶持政策。</w:t>
      </w:r>
      <w:r/>
    </w:p>
    <w:p>
      <w:pPr>
        <w:pStyle w:val="1057"/>
        <w:spacing w:line="440" w:lineRule="exact"/>
        <w:rPr>
          <w:rFonts w:hint="eastAsia" w:ascii="宋体" w:hAnsi="宋体" w:eastAsia="宋体" w:cs="宋体"/>
        </w:rPr>
      </w:pPr>
      <w:r>
        <w:rPr>
          <w:rFonts w:hint="eastAsia" w:ascii="宋体" w:hAnsi="宋体" w:eastAsia="宋体" w:cs="宋体"/>
        </w:rPr>
        <w:t xml:space="preserve">4.</w:t>
      </w:r>
      <w:r>
        <w:rPr>
          <w:rFonts w:ascii="宋体" w:hAnsi="宋体" w:eastAsia="宋体" w:cs="宋体"/>
        </w:rPr>
        <w:t xml:space="preserve">若供应商对照《政府采购促进中小企业发展管理办法》 (财库〔2020〕46号)中的规定，明确不符合</w:t>
      </w:r>
      <w:r>
        <w:rPr>
          <w:rFonts w:hint="eastAsia" w:ascii="宋体" w:hAnsi="宋体" w:eastAsia="宋体" w:cs="宋体"/>
        </w:rPr>
        <w:t xml:space="preserve">中小企业</w:t>
      </w:r>
      <w:r>
        <w:rPr>
          <w:rFonts w:ascii="宋体" w:hAnsi="宋体" w:eastAsia="宋体" w:cs="宋体"/>
        </w:rPr>
        <w:t xml:space="preserve">的，则无需提供此声明函。 </w:t>
      </w:r>
      <w:r/>
    </w:p>
    <w:p>
      <w:pPr>
        <w:pStyle w:val="1057"/>
        <w:spacing w:before="240" w:after="240"/>
        <w:rPr>
          <w:rFonts w:hint="eastAsia" w:ascii="宋体" w:hAnsi="宋体" w:eastAsia="宋体" w:cs="宋体"/>
        </w:rPr>
      </w:pPr>
      <w:r>
        <w:rPr>
          <w:rFonts w:hint="eastAsia" w:ascii="宋体" w:hAnsi="宋体" w:eastAsia="宋体" w:cs="宋体"/>
        </w:rPr>
      </w:r>
      <w:r/>
    </w:p>
    <w:p>
      <w:pPr>
        <w:pStyle w:val="1057"/>
        <w:spacing w:before="240" w:after="240"/>
        <w:rPr>
          <w:rFonts w:hint="eastAsia" w:ascii="宋体" w:hAnsi="宋体" w:eastAsia="宋体" w:cs="宋体"/>
        </w:rPr>
      </w:pPr>
      <w:r>
        <w:rPr>
          <w:rFonts w:ascii="宋体" w:hAnsi="宋体" w:eastAsia="宋体" w:cs="宋体"/>
        </w:rPr>
        <w:t xml:space="preserve">附：中小企业划型标准规定</w:t>
      </w:r>
      <w:r/>
    </w:p>
    <w:p>
      <w:pPr>
        <w:pStyle w:val="1057"/>
        <w:spacing w:before="240" w:after="240"/>
        <w:rPr>
          <w:rFonts w:hint="eastAsia" w:ascii="宋体" w:hAnsi="宋体" w:eastAsia="宋体" w:cs="宋体"/>
        </w:rPr>
      </w:pPr>
      <w:r>
        <w:rPr>
          <w:rFonts w:ascii="宋体" w:hAnsi="宋体" w:eastAsia="宋体" w:cs="宋体"/>
        </w:rPr>
        <w:t xml:space="preserve">（一）农、林、牧、渔业。营业收入20000万元以下的为中小微型企业。其中，营业收入500万元及以上的为中型企业，营业收入50万元及以上的为小型企业，营业收入50万元以下的为微型企业。</w:t>
      </w:r>
      <w:r/>
    </w:p>
    <w:p>
      <w:pPr>
        <w:pStyle w:val="1057"/>
        <w:spacing w:before="240" w:after="240"/>
        <w:rPr>
          <w:rFonts w:hint="eastAsia" w:ascii="宋体" w:hAnsi="宋体" w:eastAsia="宋体" w:cs="宋体"/>
        </w:rPr>
      </w:pPr>
      <w:r>
        <w:rPr>
          <w:rFonts w:ascii="宋体" w:hAnsi="宋体" w:eastAsia="宋体" w:cs="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057"/>
        <w:spacing w:before="240" w:after="240"/>
        <w:rPr>
          <w:rFonts w:hint="eastAsia" w:ascii="宋体" w:hAnsi="宋体" w:eastAsia="宋体" w:cs="宋体"/>
        </w:rPr>
      </w:pPr>
      <w:r>
        <w:rPr>
          <w:rFonts w:ascii="宋体" w:hAnsi="宋体" w:eastAsia="宋体" w:cs="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057"/>
        <w:spacing w:before="240" w:after="240"/>
        <w:rPr>
          <w:rFonts w:hint="eastAsia" w:ascii="宋体" w:hAnsi="宋体" w:eastAsia="宋体" w:cs="宋体"/>
        </w:rPr>
      </w:pPr>
      <w:r>
        <w:rPr>
          <w:rFonts w:ascii="宋体" w:hAnsi="宋体" w:eastAsia="宋体" w:cs="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057"/>
        <w:spacing w:before="240" w:after="240"/>
        <w:rPr>
          <w:rFonts w:hint="eastAsia" w:ascii="宋体" w:hAnsi="宋体" w:eastAsia="宋体" w:cs="宋体"/>
        </w:rPr>
      </w:pPr>
      <w:r>
        <w:rPr>
          <w:rFonts w:ascii="宋体" w:hAnsi="宋体" w:eastAsia="宋体" w:cs="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057"/>
        <w:spacing w:before="240" w:after="240"/>
        <w:rPr>
          <w:rFonts w:hint="eastAsia" w:ascii="宋体" w:hAnsi="宋体" w:eastAsia="宋体" w:cs="宋体"/>
        </w:rPr>
      </w:pPr>
      <w:r>
        <w:rPr>
          <w:rFonts w:ascii="宋体" w:hAnsi="宋体" w:eastAsia="宋体" w:cs="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057"/>
        <w:spacing w:before="240" w:after="240"/>
        <w:rPr>
          <w:rFonts w:hint="eastAsia" w:ascii="宋体" w:hAnsi="宋体" w:eastAsia="宋体" w:cs="宋体"/>
        </w:rPr>
      </w:pPr>
      <w:r>
        <w:rPr>
          <w:rFonts w:ascii="宋体" w:hAnsi="宋体" w:eastAsia="宋体" w:cs="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057"/>
        <w:spacing w:before="240" w:after="240"/>
        <w:rPr>
          <w:rFonts w:hint="eastAsia" w:ascii="宋体" w:hAnsi="宋体" w:eastAsia="宋体" w:cs="宋体"/>
        </w:rPr>
      </w:pPr>
      <w:r>
        <w:rPr>
          <w:rFonts w:ascii="宋体" w:hAnsi="宋体" w:eastAsia="宋体" w:cs="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057"/>
        <w:spacing w:before="240" w:after="240"/>
        <w:rPr>
          <w:rFonts w:hint="eastAsia" w:ascii="宋体" w:hAnsi="宋体" w:eastAsia="宋体" w:cs="宋体"/>
        </w:rPr>
      </w:pPr>
      <w:r>
        <w:rPr>
          <w:rFonts w:ascii="宋体" w:hAnsi="宋体" w:eastAsia="宋体" w:cs="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57"/>
        <w:spacing w:before="240" w:after="240"/>
        <w:rPr>
          <w:rFonts w:hint="eastAsia" w:ascii="宋体" w:hAnsi="宋体" w:eastAsia="宋体" w:cs="宋体"/>
        </w:rPr>
      </w:pPr>
      <w:r>
        <w:rPr>
          <w:rFonts w:ascii="宋体" w:hAnsi="宋体" w:eastAsia="宋体" w:cs="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57"/>
        <w:spacing w:before="240" w:after="240"/>
        <w:rPr>
          <w:rFonts w:hint="eastAsia" w:ascii="宋体" w:hAnsi="宋体" w:eastAsia="宋体" w:cs="宋体"/>
        </w:rPr>
      </w:pPr>
      <w:r>
        <w:rPr>
          <w:rFonts w:ascii="宋体" w:hAnsi="宋体" w:eastAsia="宋体" w:cs="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057"/>
        <w:spacing w:before="240" w:after="240"/>
        <w:rPr>
          <w:rFonts w:hint="eastAsia" w:ascii="宋体" w:hAnsi="宋体" w:eastAsia="宋体" w:cs="宋体"/>
        </w:rPr>
      </w:pPr>
      <w:r>
        <w:rPr>
          <w:rFonts w:ascii="宋体" w:hAnsi="宋体" w:eastAsia="宋体" w:cs="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057"/>
        <w:spacing w:before="240" w:after="240"/>
        <w:rPr>
          <w:rFonts w:hint="eastAsia" w:ascii="宋体" w:hAnsi="宋体" w:eastAsia="宋体" w:cs="宋体"/>
        </w:rPr>
      </w:pPr>
      <w:r>
        <w:rPr>
          <w:rFonts w:ascii="宋体" w:hAnsi="宋体" w:eastAsia="宋体" w:cs="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057"/>
        <w:spacing w:before="240" w:after="240"/>
        <w:rPr>
          <w:rFonts w:hint="eastAsia" w:ascii="宋体" w:hAnsi="宋体" w:eastAsia="宋体" w:cs="宋体"/>
        </w:rPr>
      </w:pPr>
      <w:r>
        <w:rPr>
          <w:rFonts w:ascii="宋体" w:hAnsi="宋体" w:eastAsia="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057"/>
        <w:spacing w:before="240" w:after="240"/>
        <w:rPr>
          <w:rFonts w:hint="eastAsia" w:ascii="宋体" w:hAnsi="宋体" w:eastAsia="宋体" w:cs="宋体"/>
        </w:rPr>
      </w:pPr>
      <w:r>
        <w:rPr>
          <w:rFonts w:ascii="宋体" w:hAnsi="宋体" w:eastAsia="宋体" w:cs="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57"/>
        <w:spacing w:before="240" w:after="240"/>
        <w:rPr>
          <w:rFonts w:hint="eastAsia" w:ascii="宋体" w:hAnsi="宋体" w:eastAsia="宋体" w:cs="宋体"/>
        </w:rPr>
      </w:pPr>
      <w:r>
        <w:rPr>
          <w:rFonts w:ascii="宋体" w:hAnsi="宋体" w:eastAsia="宋体" w:cs="宋体"/>
        </w:rPr>
        <w:t xml:space="preserve">（十六）其他未列明行业。从业人员300人以下的为中小微型企业。其中，从业人员100人及以上的为中型企业；从业人员10人及以上的为小型企业；从业人员10人以下的为微型企业。</w:t>
      </w:r>
      <w:r/>
    </w:p>
    <w:p>
      <w:pPr>
        <w:pStyle w:val="1059"/>
        <w:spacing w:before="240" w:after="240"/>
        <w:rPr>
          <w:rFonts w:hint="eastAsia" w:ascii="宋体" w:hAnsi="宋体" w:eastAsia="宋体" w:cs="宋体"/>
        </w:rPr>
      </w:pPr>
      <w:r>
        <w:rPr>
          <w:rFonts w:hint="eastAsia" w:ascii="宋体" w:hAnsi="宋体" w:eastAsia="宋体" w:cs="宋体"/>
        </w:rPr>
      </w:r>
      <w:r/>
    </w:p>
    <w:p>
      <w:pPr>
        <w:pStyle w:val="1059"/>
        <w:spacing w:before="240" w:after="240"/>
        <w:rPr>
          <w:rFonts w:hint="eastAsia" w:ascii="宋体" w:hAnsi="宋体" w:eastAsia="宋体" w:cs="宋体"/>
        </w:rPr>
      </w:pPr>
      <w:r>
        <w:rPr>
          <w:rFonts w:hint="eastAsia" w:ascii="宋体" w:hAnsi="宋体" w:eastAsia="宋体" w:cs="宋体"/>
        </w:rPr>
      </w:r>
      <w:r/>
    </w:p>
    <w:p>
      <w:pPr>
        <w:pStyle w:val="1059"/>
        <w:spacing w:before="240" w:after="240"/>
        <w:rPr>
          <w:rFonts w:hint="eastAsia" w:ascii="宋体" w:hAnsi="宋体" w:eastAsia="宋体" w:cs="宋体"/>
        </w:rPr>
      </w:pPr>
      <w:r>
        <w:rPr>
          <w:rFonts w:hint="eastAsia" w:ascii="宋体" w:hAnsi="宋体" w:eastAsia="宋体" w:cs="宋体"/>
        </w:rPr>
      </w:r>
      <w:r/>
    </w:p>
    <w:p>
      <w:pPr>
        <w:pStyle w:val="1059"/>
        <w:spacing w:before="240" w:after="240"/>
        <w:rPr>
          <w:rFonts w:hint="eastAsia" w:ascii="宋体" w:hAnsi="宋体" w:eastAsia="宋体" w:cs="宋体"/>
        </w:rPr>
      </w:pPr>
      <w:r>
        <w:rPr>
          <w:rFonts w:ascii="宋体" w:hAnsi="宋体" w:eastAsia="宋体" w:cs="宋体"/>
        </w:rPr>
        <w:t xml:space="preserve"> </w:t>
      </w:r>
      <w:r/>
    </w:p>
    <w:p>
      <w:pPr>
        <w:pStyle w:val="1059"/>
        <w:jc w:val="center"/>
        <w:spacing w:before="320" w:after="320"/>
        <w:rPr>
          <w:rFonts w:hint="eastAsia" w:ascii="宋体" w:hAnsi="宋体" w:eastAsia="宋体" w:cs="宋体"/>
          <w:sz w:val="32"/>
          <w:szCs w:val="32"/>
        </w:rPr>
      </w:pPr>
      <w:r>
        <w:rPr>
          <w:rFonts w:ascii="宋体" w:hAnsi="宋体" w:eastAsia="宋体" w:cs="宋体"/>
          <w:sz w:val="32"/>
          <w:szCs w:val="32"/>
        </w:rPr>
        <w:t xml:space="preserve">残疾人福利性单位声明函 </w:t>
      </w:r>
      <w:r/>
    </w:p>
    <w:p>
      <w:pPr>
        <w:pStyle w:val="1059"/>
        <w:spacing w:before="240" w:after="240"/>
        <w:rPr>
          <w:rFonts w:hint="eastAsia" w:ascii="宋体" w:hAnsi="宋体" w:eastAsia="宋体" w:cs="宋体"/>
        </w:rPr>
      </w:pPr>
      <w:r>
        <w:rPr>
          <w:rFonts w:ascii="宋体" w:hAnsi="宋体" w:eastAsia="宋体" w:cs="宋体"/>
        </w:rPr>
        <w:t xml:space="preserve"> </w:t>
      </w:r>
      <w:r/>
    </w:p>
    <w:p>
      <w:pPr>
        <w:pStyle w:val="1059"/>
        <w:spacing w:before="240" w:after="240"/>
        <w:rPr>
          <w:rFonts w:hint="eastAsia" w:ascii="宋体" w:hAnsi="宋体" w:eastAsia="宋体" w:cs="宋体"/>
        </w:rPr>
      </w:pPr>
      <w:r>
        <w:rPr>
          <w:rFonts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u w:val="single"/>
        </w:rPr>
        <w:t xml:space="preserve">   </w:t>
      </w:r>
      <w:r>
        <w:rPr>
          <w:rFonts w:ascii="宋体" w:hAnsi="宋体" w:eastAsia="宋体" w:cs="宋体"/>
        </w:rPr>
        <w:t xml:space="preserve">单位的</w:t>
      </w:r>
      <w:r>
        <w:rPr>
          <w:rFonts w:ascii="宋体" w:hAnsi="宋体" w:eastAsia="宋体" w:cs="宋体"/>
          <w:u w:val="single"/>
        </w:rPr>
        <w:t xml:space="preserve">   </w:t>
      </w:r>
      <w:r>
        <w:rPr>
          <w:rFonts w:ascii="宋体" w:hAnsi="宋体" w:eastAsia="宋体" w:cs="宋体"/>
        </w:rPr>
        <w:t xml:space="preserve">项目采购活动提供本单位制造的货物（由本单位承担工程/提供服务），或者提供其他残疾人福利性单位制造的货物（不包括使用非残疾人福利性单位注册商标的货物）。 </w:t>
      </w:r>
      <w:r/>
    </w:p>
    <w:p>
      <w:pPr>
        <w:pStyle w:val="1059"/>
        <w:spacing w:before="240" w:after="240"/>
        <w:rPr>
          <w:rFonts w:hint="eastAsia" w:ascii="宋体" w:hAnsi="宋体" w:eastAsia="宋体" w:cs="宋体"/>
        </w:rPr>
      </w:pPr>
      <w:r>
        <w:rPr>
          <w:rFonts w:ascii="宋体" w:hAnsi="宋体" w:eastAsia="宋体" w:cs="宋体"/>
        </w:rPr>
        <w:t xml:space="preserve">本单位对上述声明的真实性负责。如有虚假，将依法承担相应责任。</w:t>
      </w:r>
      <w:r/>
    </w:p>
    <w:p>
      <w:pPr>
        <w:pStyle w:val="1059"/>
        <w:jc w:val="center"/>
        <w:spacing w:before="240" w:after="240"/>
        <w:rPr>
          <w:rFonts w:hint="eastAsia" w:ascii="宋体" w:hAnsi="宋体" w:eastAsia="宋体" w:cs="宋体"/>
        </w:rPr>
      </w:pPr>
      <w:r>
        <w:rPr>
          <w:rFonts w:ascii="宋体" w:hAnsi="宋体" w:eastAsia="宋体" w:cs="宋体"/>
        </w:rPr>
        <w:t xml:space="preserve"> </w:t>
      </w:r>
      <w:r/>
    </w:p>
    <w:p>
      <w:pPr>
        <w:pStyle w:val="1059"/>
        <w:jc w:val="center"/>
        <w:spacing w:before="240" w:after="240"/>
        <w:rPr>
          <w:rFonts w:hint="eastAsia" w:ascii="宋体" w:hAnsi="宋体" w:eastAsia="宋体" w:cs="宋体"/>
        </w:rPr>
      </w:pPr>
      <w:r>
        <w:rPr>
          <w:rFonts w:ascii="宋体" w:hAnsi="宋体" w:eastAsia="宋体" w:cs="宋体"/>
        </w:rPr>
        <w:t xml:space="preserve"> </w:t>
      </w:r>
      <w:r/>
    </w:p>
    <w:p>
      <w:pPr>
        <w:pStyle w:val="1059"/>
        <w:jc w:val="center"/>
        <w:spacing w:before="240" w:after="240"/>
        <w:rPr>
          <w:rFonts w:hint="eastAsia" w:ascii="宋体" w:hAnsi="宋体" w:eastAsia="宋体" w:cs="宋体"/>
        </w:rPr>
      </w:pPr>
      <w:r>
        <w:rPr>
          <w:rFonts w:ascii="宋体" w:hAnsi="宋体" w:eastAsia="宋体" w:cs="宋体"/>
        </w:rPr>
        <w:t xml:space="preserve"> </w:t>
      </w:r>
      <w:r/>
    </w:p>
    <w:p>
      <w:pPr>
        <w:pStyle w:val="1059"/>
        <w:spacing w:before="240" w:after="240"/>
        <w:rPr>
          <w:rFonts w:hint="eastAsia" w:ascii="宋体" w:hAnsi="宋体" w:eastAsia="宋体" w:cs="宋体"/>
        </w:rPr>
      </w:pPr>
      <w:r>
        <w:rPr>
          <w:rFonts w:ascii="宋体" w:hAnsi="宋体" w:eastAsia="宋体" w:cs="宋体"/>
        </w:rPr>
        <w:t xml:space="preserve">单位名称（盖章）：   </w:t>
      </w:r>
      <w:r/>
    </w:p>
    <w:p>
      <w:pPr>
        <w:pStyle w:val="1059"/>
        <w:spacing w:before="240" w:after="240"/>
        <w:rPr>
          <w:rFonts w:hint="eastAsia" w:ascii="宋体" w:hAnsi="宋体" w:eastAsia="宋体" w:cs="宋体"/>
        </w:rPr>
      </w:pPr>
      <w:r>
        <w:rPr>
          <w:rFonts w:ascii="宋体" w:hAnsi="宋体" w:eastAsia="宋体" w:cs="宋体"/>
        </w:rPr>
        <w:t xml:space="preserve">日期：   </w:t>
      </w:r>
      <w:r/>
    </w:p>
    <w:p>
      <w:pPr>
        <w:pStyle w:val="1059"/>
        <w:spacing w:before="240" w:after="240"/>
        <w:rPr>
          <w:rFonts w:hint="eastAsia" w:ascii="宋体" w:hAnsi="宋体" w:eastAsia="宋体" w:cs="宋体"/>
        </w:rPr>
      </w:pPr>
      <w:r>
        <w:rPr>
          <w:rFonts w:ascii="宋体" w:hAnsi="宋体" w:eastAsia="宋体" w:cs="宋体"/>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059"/>
        <w:spacing w:before="240" w:after="240"/>
        <w:rPr>
          <w:rFonts w:hint="eastAsia" w:ascii="宋体" w:hAnsi="宋体" w:eastAsia="宋体" w:cs="宋体"/>
        </w:rPr>
      </w:pPr>
      <w:r>
        <w:rPr>
          <w:rFonts w:ascii="宋体" w:hAnsi="宋体" w:eastAsia="宋体" w:cs="宋体"/>
        </w:rPr>
        <w:t xml:space="preserve">供应商提供的《残疾人福利性单位声明函》与事实不符的，依照《政府采购法》第七十七条第一款的规定追究法律责任。</w:t>
      </w:r>
      <w:r/>
    </w:p>
    <w:p>
      <w:pPr>
        <w:pStyle w:val="1059"/>
        <w:spacing w:before="240" w:after="240"/>
        <w:rPr>
          <w:rFonts w:hint="eastAsia" w:ascii="宋体" w:hAnsi="宋体" w:eastAsia="宋体" w:cs="宋体"/>
        </w:rPr>
      </w:pPr>
      <w:r>
        <w:rPr>
          <w:rFonts w:ascii="宋体" w:hAnsi="宋体" w:eastAsia="宋体" w:cs="宋体"/>
        </w:rPr>
        <w:t xml:space="preserve">中标、成交供应商为残疾人福利性单位的，采购人或者其委托的采购代理机构应当随中标、成交结果同时公告其《残疾人福利性单位声明函》，接受社会监督。</w:t>
      </w:r>
      <w:r/>
    </w:p>
    <w:p>
      <w:pPr>
        <w:pStyle w:val="1059"/>
        <w:spacing w:before="240" w:after="240"/>
        <w:rPr>
          <w:rFonts w:hint="eastAsia" w:ascii="宋体" w:hAnsi="宋体" w:eastAsia="宋体" w:cs="宋体"/>
        </w:rPr>
      </w:pPr>
      <w:r>
        <w:rPr>
          <w:rFonts w:ascii="宋体" w:hAnsi="宋体" w:eastAsia="宋体" w:cs="宋体"/>
        </w:rPr>
        <w:t xml:space="preserve">2、若供应商对照《关于促进残疾人就业政府采购政策的通知》（财库〔2017〕141号）中的规定，明确不符合残疾人福利性单位条件的，则无需提供此声明函。 </w:t>
      </w:r>
      <w:r/>
    </w:p>
    <w:p>
      <w:pPr>
        <w:pStyle w:val="1060"/>
        <w:outlineLvl w:val="0"/>
      </w:pPr>
      <w:r>
        <w:br w:type="page" w:clear="all"/>
      </w:r>
      <w:r/>
    </w:p>
    <w:p>
      <w:pPr>
        <w:jc w:val="center"/>
        <w:rPr>
          <w:sz w:val="32"/>
          <w:szCs w:val="32"/>
        </w:rPr>
      </w:pPr>
      <w:r>
        <w:rPr>
          <w:rFonts w:hint="eastAsia"/>
          <w:sz w:val="32"/>
          <w:szCs w:val="32"/>
        </w:rPr>
        <w:t xml:space="preserve">监狱企业的证明文件</w:t>
      </w:r>
      <w:r/>
    </w:p>
    <w:p>
      <w:pPr>
        <w:rPr>
          <w:rFonts w:hint="eastAsia" w:ascii="宋体" w:hAnsi="宋体" w:cs="宋体"/>
          <w:sz w:val="24"/>
          <w:szCs w:val="28"/>
        </w:rPr>
      </w:pPr>
      <w:r>
        <w:rPr>
          <w:rFonts w:hint="eastAsia" w:ascii="宋体" w:hAnsi="宋体" w:cs="宋体"/>
          <w:sz w:val="24"/>
          <w:szCs w:val="28"/>
        </w:rPr>
        <w:t xml:space="preserve">（证明文件）</w:t>
      </w:r>
      <w:r/>
    </w:p>
    <w:p>
      <w:pPr>
        <w:ind w:firstLine="480"/>
        <w:jc w:val="left"/>
        <w:spacing w:line="360" w:lineRule="auto"/>
        <w:rPr>
          <w:rFonts w:hint="eastAsia" w:ascii="等线" w:hAnsi="等线" w:eastAsia="等线"/>
        </w:rPr>
      </w:pPr>
      <w:r>
        <w:rPr>
          <w:rFonts w:hint="eastAsia" w:ascii="等线" w:hAnsi="等线" w:eastAsia="等线"/>
        </w:rPr>
      </w:r>
      <w:r/>
    </w:p>
    <w:p>
      <w:pPr>
        <w:jc w:val="left"/>
        <w:spacing w:line="360" w:lineRule="auto"/>
        <w:rPr>
          <w:rFonts w:hint="eastAsia" w:ascii="等线" w:hAnsi="等线" w:eastAsia="等线"/>
        </w:rPr>
      </w:pPr>
      <w:r>
        <w:rPr>
          <w:rFonts w:hint="eastAsia" w:ascii="等线" w:hAnsi="等线" w:eastAsia="等线"/>
        </w:rPr>
      </w:r>
      <w:r/>
    </w:p>
    <w:p>
      <w:pPr>
        <w:ind w:firstLine="480"/>
        <w:jc w:val="left"/>
        <w:spacing w:line="360" w:lineRule="auto"/>
        <w:rPr>
          <w:rFonts w:hint="eastAsia" w:ascii="等线" w:hAnsi="等线" w:eastAsia="等线"/>
        </w:rPr>
      </w:pPr>
      <w:r>
        <w:rPr>
          <w:rFonts w:hint="eastAsia" w:ascii="等线" w:hAnsi="等线" w:eastAsia="等线"/>
        </w:rPr>
      </w:r>
      <w:r/>
    </w:p>
    <w:p>
      <w:pPr>
        <w:ind w:firstLine="480"/>
        <w:jc w:val="left"/>
        <w:spacing w:line="360" w:lineRule="auto"/>
        <w:rPr>
          <w:rFonts w:hint="eastAsia" w:ascii="等线" w:hAnsi="等线" w:eastAsia="等线"/>
        </w:rPr>
      </w:pPr>
      <w:r>
        <w:rPr>
          <w:rFonts w:hint="eastAsia" w:ascii="等线" w:hAnsi="等线" w:eastAsia="等线"/>
        </w:rPr>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等线" w:hAnsi="等线" w:eastAsia="等线"/>
        </w:rPr>
      </w:pPr>
      <w:r>
        <w:rPr>
          <w:rFonts w:hint="eastAsia" w:ascii="等线" w:hAnsi="等线" w:eastAsia="等线"/>
        </w:rPr>
        <w:t xml:space="preserve">      </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2、若供应商对照《关于政府采购支持监狱企业发展有关问题的通知》（财库〔2014〕68号）中的规定，明确不符合监狱企业条件的，则无需提供相关证明文件。 </w:t>
      </w:r>
      <w:bookmarkEnd w:id="269"/>
      <w:r/>
      <w:r/>
    </w:p>
    <w:p>
      <w:pPr>
        <w:spacing w:line="440" w:lineRule="exact"/>
        <w:widowControl/>
        <w:rPr>
          <w:rFonts w:hint="eastAsia" w:ascii="宋体" w:hAnsi="宋体"/>
          <w:sz w:val="24"/>
          <w:szCs w:val="24"/>
        </w:rPr>
      </w:pPr>
      <w:r>
        <w:rPr>
          <w:rFonts w:hint="eastAsia" w:ascii="宋体" w:hAnsi="宋体"/>
          <w:sz w:val="24"/>
          <w:szCs w:val="24"/>
        </w:rPr>
      </w:r>
      <w:r/>
    </w:p>
    <w:p>
      <w:pPr>
        <w:pStyle w:val="1066"/>
        <w:rPr>
          <w:rStyle w:val="1006"/>
        </w:rPr>
      </w:pPr>
      <w:r/>
      <w:r/>
    </w:p>
    <w:p>
      <w:pPr>
        <w:pStyle w:val="1096"/>
        <w:jc w:val="center"/>
        <w:spacing w:before="240" w:after="240"/>
        <w:rPr>
          <w:rStyle w:val="1006"/>
        </w:rPr>
      </w:pPr>
      <w:r>
        <w:rPr>
          <w:rStyle w:val="1006"/>
          <w:rFonts w:ascii="宋体" w:hAnsi="宋体" w:cs="宋体"/>
          <w:b/>
          <w:sz w:val="28"/>
        </w:rPr>
        <w:t xml:space="preserve"> </w:t>
      </w:r>
      <w:r/>
    </w:p>
    <w:p>
      <w:pPr>
        <w:pStyle w:val="1097"/>
        <w:spacing w:before="240" w:after="240"/>
        <w:rPr>
          <w:rStyle w:val="1006"/>
        </w:rPr>
      </w:pPr>
      <w:r>
        <w:rPr>
          <w:rStyle w:val="1006"/>
        </w:rPr>
        <w:t xml:space="preserve"> </w:t>
      </w:r>
      <w:r/>
    </w:p>
    <w:p>
      <w:pPr>
        <w:pStyle w:val="1095"/>
        <w:spacing w:before="240" w:after="240"/>
        <w:rPr>
          <w:rFonts w:hint="eastAsia" w:ascii="宋体" w:hAnsi="宋体" w:eastAsiaTheme="minorEastAsia"/>
          <w:b/>
          <w:bCs/>
          <w:sz w:val="20"/>
          <w:szCs w:val="32"/>
        </w:rPr>
      </w:pPr>
      <w:r>
        <w:rPr>
          <w:rFonts w:hint="eastAsia" w:ascii="宋体" w:hAnsi="宋体" w:eastAsiaTheme="minorEastAsia"/>
          <w:b/>
          <w:bCs/>
          <w:sz w:val="20"/>
          <w:szCs w:val="32"/>
        </w:rPr>
        <w:t xml:space="preserve"> </w:t>
      </w:r>
      <w:r/>
    </w:p>
    <w:p>
      <w:pPr>
        <w:pStyle w:val="1067"/>
        <w:rPr>
          <w:rFonts w:ascii="宋体" w:hAnsi="宋体"/>
          <w:b/>
          <w:bCs/>
          <w:sz w:val="20"/>
          <w:szCs w:val="32"/>
          <w:highlight w:val="white"/>
        </w:rPr>
      </w:pPr>
      <w:r>
        <w:rPr>
          <w:rFonts w:ascii="宋体" w:hAnsi="宋体"/>
          <w:b/>
          <w:bCs/>
          <w:sz w:val="20"/>
          <w:szCs w:val="32"/>
          <w:highlight w:val="white"/>
        </w:rPr>
      </w:r>
      <w:r/>
    </w:p>
    <w:p>
      <w:pPr>
        <w:pStyle w:val="1067"/>
        <w:rPr>
          <w:rFonts w:ascii="宋体" w:hAnsi="宋体"/>
          <w:b/>
          <w:bCs/>
          <w:sz w:val="20"/>
          <w:szCs w:val="32"/>
          <w:highlight w:val="white"/>
        </w:rPr>
      </w:pPr>
      <w:r>
        <w:rPr>
          <w:rFonts w:ascii="宋体" w:hAnsi="宋体"/>
          <w:b/>
          <w:bCs/>
          <w:sz w:val="20"/>
          <w:szCs w:val="32"/>
          <w:highlight w:val="white"/>
        </w:rPr>
      </w:r>
      <w:r/>
    </w:p>
    <w:p>
      <w:pPr>
        <w:pStyle w:val="1067"/>
        <w:rPr>
          <w:rFonts w:ascii="宋体" w:hAnsi="宋体"/>
          <w:b/>
          <w:bCs/>
          <w:sz w:val="20"/>
          <w:szCs w:val="32"/>
          <w:highlight w:val="white"/>
        </w:rPr>
      </w:pPr>
      <w:r>
        <w:rPr>
          <w:rFonts w:ascii="宋体" w:hAnsi="宋体"/>
          <w:b/>
          <w:bCs/>
          <w:sz w:val="20"/>
          <w:szCs w:val="32"/>
          <w:highlight w:val="white"/>
        </w:rPr>
      </w:r>
      <w:r/>
    </w:p>
    <w:p>
      <w:pPr>
        <w:pStyle w:val="1067"/>
        <w:rPr>
          <w:rFonts w:ascii="宋体" w:hAnsi="宋体"/>
          <w:b/>
          <w:bCs/>
          <w:sz w:val="20"/>
          <w:szCs w:val="32"/>
          <w:highlight w:val="white"/>
        </w:rPr>
      </w:pPr>
      <w:r>
        <w:rPr>
          <w:rFonts w:ascii="宋体" w:hAnsi="宋体"/>
          <w:b/>
          <w:bCs/>
          <w:sz w:val="20"/>
          <w:szCs w:val="32"/>
          <w:highlight w:val="white"/>
        </w:rPr>
      </w:r>
      <w:r/>
    </w:p>
    <w:p>
      <w:pPr>
        <w:pStyle w:val="1067"/>
        <w:rPr>
          <w:rFonts w:ascii="宋体" w:hAnsi="宋体"/>
          <w:b/>
          <w:bCs/>
          <w:sz w:val="20"/>
          <w:szCs w:val="32"/>
          <w:highlight w:val="white"/>
        </w:rPr>
      </w:pPr>
      <w:r>
        <w:rPr>
          <w:rFonts w:ascii="宋体" w:hAnsi="宋体"/>
          <w:b/>
          <w:bCs/>
          <w:sz w:val="20"/>
          <w:szCs w:val="32"/>
          <w:highlight w:val="white"/>
        </w:rPr>
      </w:r>
      <w:r/>
    </w:p>
    <w:p>
      <w:pPr>
        <w:rPr>
          <w:rFonts w:hint="eastAsia" w:ascii="宋体" w:hAnsi="宋体"/>
          <w:b/>
          <w:bCs/>
          <w:sz w:val="20"/>
          <w:szCs w:val="32"/>
          <w:highlight w:val="white"/>
        </w:rPr>
      </w:pPr>
      <w:r>
        <w:rPr>
          <w:rFonts w:ascii="宋体" w:hAnsi="宋体"/>
          <w:b/>
          <w:bCs/>
          <w:sz w:val="20"/>
          <w:szCs w:val="32"/>
          <w:highlight w:val="white"/>
        </w:rPr>
        <w:br w:type="page" w:clear="all"/>
      </w:r>
      <w:r/>
    </w:p>
    <w:p>
      <w:pPr>
        <w:pStyle w:val="1069"/>
        <w:rPr>
          <w:rFonts w:hint="eastAsia" w:ascii="宋体" w:hAnsi="宋体" w:eastAsia="宋体" w:cs="宋体"/>
          <w:b/>
          <w:sz w:val="32"/>
        </w:rPr>
        <w:outlineLvl w:val="0"/>
      </w:pPr>
      <w:r>
        <w:rPr>
          <w:rFonts w:hint="eastAsia" w:ascii="宋体" w:hAnsi="宋体" w:eastAsia="宋体" w:cs="宋体"/>
          <w:b/>
          <w:sz w:val="32"/>
        </w:rPr>
        <w:t xml:space="preserve">十二、</w:t>
      </w:r>
      <w:r>
        <w:rPr>
          <w:rFonts w:ascii="宋体" w:hAnsi="宋体" w:eastAsia="宋体" w:cs="宋体"/>
          <w:b/>
          <w:sz w:val="32"/>
        </w:rPr>
        <w:t xml:space="preserve">关于符合本国产品标准的声明函</w:t>
      </w:r>
      <w:r/>
    </w:p>
    <w:p>
      <w:pPr>
        <w:pStyle w:val="1069"/>
        <w:rPr>
          <w:rFonts w:hint="eastAsia" w:ascii="宋体" w:hAnsi="宋体" w:eastAsia="宋体" w:cs="宋体"/>
          <w:b/>
          <w:sz w:val="32"/>
        </w:rPr>
        <w:outlineLvl w:val="0"/>
      </w:pPr>
      <w:r>
        <w:rPr>
          <w:rFonts w:hint="eastAsia" w:ascii="宋体" w:hAnsi="宋体" w:eastAsia="宋体" w:cs="宋体"/>
          <w:b/>
          <w:sz w:val="32"/>
        </w:rPr>
      </w:r>
      <w:r/>
    </w:p>
    <w:p>
      <w:pPr>
        <w:pStyle w:val="1069"/>
        <w:ind w:firstLine="1920"/>
        <w:rPr>
          <w:rFonts w:hint="eastAsia" w:ascii="宋体" w:hAnsi="宋体" w:eastAsia="宋体" w:cs="宋体"/>
          <w:bCs/>
          <w:sz w:val="32"/>
        </w:rPr>
        <w:outlineLvl w:val="0"/>
      </w:pPr>
      <w:r/>
      <w:bookmarkStart w:id="270" w:name="OLE_LINK17"/>
      <w:r>
        <w:rPr>
          <w:rFonts w:hint="eastAsia" w:ascii="宋体" w:hAnsi="宋体" w:eastAsia="宋体" w:cs="宋体"/>
          <w:bCs/>
          <w:sz w:val="32"/>
        </w:rPr>
        <w:t xml:space="preserve">关于符合本国产品标准的声明函</w:t>
      </w:r>
      <w:r/>
    </w:p>
    <w:p>
      <w:pPr>
        <w:ind w:firstLine="420"/>
        <w:jc w:val="left"/>
        <w:spacing w:line="0" w:lineRule="atLeast"/>
        <w:widowControl/>
        <w:rPr>
          <w:rFonts w:ascii="方正魏碑_GBK" w:hAnsi="方正魏碑_GBK" w:eastAsia="方正魏碑_GBK" w:cs="方正魏碑_GBK"/>
          <w:color w:val="ff0000"/>
          <w:sz w:val="24"/>
          <w:szCs w:val="24"/>
        </w:rPr>
      </w:pPr>
      <w:r>
        <w:rPr>
          <w:rFonts w:ascii="方正魏碑_GBK" w:hAnsi="方正魏碑_GBK" w:eastAsia="方正魏碑_GBK" w:cs="方正魏碑_GBK"/>
          <w:color w:val="ff0000"/>
          <w:sz w:val="24"/>
          <w:szCs w:val="24"/>
        </w:rPr>
      </w:r>
      <w:r/>
    </w:p>
    <w:p>
      <w:pPr>
        <w:ind w:firstLine="420"/>
        <w:jc w:val="left"/>
        <w:spacing w:line="0" w:lineRule="atLeast"/>
        <w:widowControl/>
        <w:rPr>
          <w:rFonts w:hint="eastAsia" w:ascii="宋体" w:hAnsi="宋体" w:cs="宋体"/>
          <w:sz w:val="24"/>
          <w:szCs w:val="24"/>
        </w:rPr>
      </w:pPr>
      <w:r>
        <w:rPr>
          <w:rFonts w:hint="eastAsia" w:ascii="宋体" w:hAnsi="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0" w:lineRule="atLeast"/>
        <w:widowControl/>
        <w:rPr>
          <w:rFonts w:hint="eastAsia" w:ascii="宋体" w:hAnsi="宋体" w:cs="宋体"/>
          <w:sz w:val="24"/>
          <w:szCs w:val="24"/>
        </w:rPr>
      </w:pP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-128270</wp:posOffset>
                </wp:positionH>
                <wp:positionV relativeFrom="paragraph">
                  <wp:posOffset>401955</wp:posOffset>
                </wp:positionV>
                <wp:extent cx="565785" cy="130810"/>
                <wp:effectExtent l="1270" t="4445" r="4445" b="17145"/>
                <wp:wrapNone/>
                <wp:docPr id="3" name="直接箭头连接符 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1552;o:allowoverlap:true;o:allowincell:true;mso-position-horizontal-relative:text;margin-left:-10.1pt;mso-position-horizontal:absolute;mso-position-vertical-relative:text;margin-top:31.6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5074285</wp:posOffset>
                </wp:positionH>
                <wp:positionV relativeFrom="paragraph">
                  <wp:posOffset>260985</wp:posOffset>
                </wp:positionV>
                <wp:extent cx="196215" cy="97790"/>
                <wp:effectExtent l="1905" t="4445" r="11430" b="12065"/>
                <wp:wrapNone/>
                <wp:docPr id="4" name="直接箭头连接符 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399.5pt;mso-position-horizontal:absolute;mso-position-vertical-relative:text;margin-top:20.6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2863850</wp:posOffset>
                </wp:positionH>
                <wp:positionV relativeFrom="paragraph">
                  <wp:posOffset>393700</wp:posOffset>
                </wp:positionV>
                <wp:extent cx="816610" cy="147320"/>
                <wp:effectExtent l="635" t="4445" r="1905" b="1968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225.5pt;mso-position-horizontal:absolute;mso-position-vertical-relative:text;margin-top:31.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-139065</wp:posOffset>
                </wp:positionH>
                <wp:positionV relativeFrom="paragraph">
                  <wp:posOffset>233680</wp:posOffset>
                </wp:positionV>
                <wp:extent cx="364490" cy="97790"/>
                <wp:effectExtent l="1270" t="4445" r="15240" b="12065"/>
                <wp:wrapNone/>
                <wp:docPr id="6" name="直接箭头连接符 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10.9pt;mso-position-horizontal:absolute;mso-position-vertical-relative:text;margin-top:18.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4723130</wp:posOffset>
                </wp:positionH>
                <wp:positionV relativeFrom="paragraph">
                  <wp:posOffset>40640</wp:posOffset>
                </wp:positionV>
                <wp:extent cx="577215" cy="92075"/>
                <wp:effectExtent l="635" t="4445" r="12700" b="17780"/>
                <wp:wrapNone/>
                <wp:docPr id="7" name="直接箭头连接符 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371.9pt;mso-position-horizontal:absolute;mso-position-vertical-relative:text;margin-top:3.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1678305</wp:posOffset>
                </wp:positionH>
                <wp:positionV relativeFrom="paragraph">
                  <wp:posOffset>407670</wp:posOffset>
                </wp:positionV>
                <wp:extent cx="876300" cy="120015"/>
                <wp:effectExtent l="635" t="4445" r="18415" b="8890"/>
                <wp:wrapNone/>
                <wp:docPr id="8"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132.2pt;mso-position-horizontal:absolute;mso-position-vertical-relative:text;margin-top:32.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3778885</wp:posOffset>
                </wp:positionH>
                <wp:positionV relativeFrom="paragraph">
                  <wp:posOffset>244475</wp:posOffset>
                </wp:positionV>
                <wp:extent cx="816610" cy="103505"/>
                <wp:effectExtent l="635" t="4445" r="1905" b="635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297.6pt;mso-position-horizontal:absolute;mso-position-vertical-relative:text;margin-top:19.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2701290</wp:posOffset>
                </wp:positionH>
                <wp:positionV relativeFrom="paragraph">
                  <wp:posOffset>244475</wp:posOffset>
                </wp:positionV>
                <wp:extent cx="816610" cy="76200"/>
                <wp:effectExtent l="635" t="4445" r="1905" b="1460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212.7pt;mso-position-horizontal:absolute;mso-position-vertical-relative:text;margin-top:19.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shd w:val="clear" w:color="auto" w:fill="ffffff"/>
        </w:rPr>
        <w:t xml:space="preserve">1.</w:t>
      </w:r>
      <w:r>
        <w:rPr>
          <w:rStyle w:val="841"/>
          <w:rFonts w:hint="eastAsia" w:ascii="宋体" w:hAnsi="宋体" w:cs="宋体"/>
          <w:i w:val="0"/>
          <w:sz w:val="24"/>
          <w:szCs w:val="24"/>
          <w:u w:val="single"/>
          <w:shd w:val="clear" w:color="auto" w:fill="ffffff"/>
        </w:rPr>
        <w:t xml:space="preserve">（产品名称1）</w:t>
      </w:r>
      <w:r>
        <w:rPr>
          <w:rStyle w:val="841"/>
          <w:rFonts w:hint="eastAsia" w:ascii="宋体" w:hAnsi="宋体" w:cs="宋体"/>
          <w:i w:val="0"/>
          <w:sz w:val="24"/>
          <w:szCs w:val="24"/>
          <w:shd w:val="clear" w:color="auto" w:fill="ffffff"/>
          <w:vertAlign w:val="superscript"/>
        </w:rPr>
        <w:t xml:space="preserve">1</w:t>
      </w:r>
      <w:r>
        <w:rPr>
          <w:rFonts w:hint="eastAsia" w:ascii="宋体" w:hAnsi="宋体" w:cs="宋体"/>
          <w:sz w:val="24"/>
          <w:szCs w:val="24"/>
          <w:shd w:val="clear" w:color="auto" w:fill="ffffff"/>
        </w:rPr>
        <w:t xml:space="preserve">，生产厂为</w:t>
      </w:r>
      <w:r>
        <w:rPr>
          <w:rStyle w:val="841"/>
          <w:rFonts w:hint="eastAsia" w:ascii="宋体" w:hAnsi="宋体" w:cs="宋体"/>
          <w:i w:val="0"/>
          <w:sz w:val="24"/>
          <w:szCs w:val="24"/>
          <w:u w:val="single"/>
          <w:shd w:val="clear" w:color="auto" w:fill="ffffff"/>
        </w:rPr>
        <w:t xml:space="preserve">（厂名）</w:t>
      </w:r>
      <w:r>
        <w:rPr>
          <w:rStyle w:val="841"/>
          <w:rFonts w:hint="eastAsia" w:ascii="宋体" w:hAnsi="宋体" w:cs="宋体"/>
          <w:i w:val="0"/>
          <w:sz w:val="24"/>
          <w:szCs w:val="24"/>
          <w:shd w:val="clear" w:color="auto" w:fill="ffffff"/>
          <w:vertAlign w:val="superscript"/>
        </w:rPr>
        <w:t xml:space="preserve">2</w:t>
      </w:r>
      <w:r>
        <w:rPr>
          <w:rFonts w:hint="eastAsia" w:ascii="宋体" w:hAnsi="宋体" w:cs="宋体"/>
          <w:sz w:val="24"/>
          <w:szCs w:val="24"/>
          <w:shd w:val="clear" w:color="auto" w:fill="ffffff"/>
        </w:rPr>
        <w:t xml:space="preserve">，厂址为</w:t>
      </w:r>
      <w:r>
        <w:rPr>
          <w:rStyle w:val="841"/>
          <w:rFonts w:hint="eastAsia" w:ascii="宋体" w:hAnsi="宋体" w:cs="宋体"/>
          <w:i w:val="0"/>
          <w:sz w:val="24"/>
          <w:szCs w:val="24"/>
          <w:u w:val="single"/>
          <w:shd w:val="clear" w:color="auto" w:fill="ffffff"/>
        </w:rPr>
        <w:t xml:space="preserve">（生产厂址）</w:t>
      </w:r>
      <w:r>
        <w:rPr>
          <w:rFonts w:hint="eastAsia" w:ascii="宋体" w:hAnsi="宋体" w:cs="宋体"/>
          <w:sz w:val="24"/>
          <w:szCs w:val="24"/>
          <w:shd w:val="clear" w:color="auto" w:fill="ffffff"/>
        </w:rPr>
        <w:t xml:space="preserve">。</w:t>
      </w:r>
      <w:r>
        <w:rPr>
          <w:rFonts w:hint="eastAsia" w:ascii="宋体" w:hAnsi="宋体" w:cs="宋体"/>
          <w:sz w:val="24"/>
          <w:szCs w:val="24"/>
          <w:u w:val="single"/>
          <w:shd w:val="clear" w:color="auto" w:fill="ffffff"/>
        </w:rPr>
        <w:t xml:space="preserve"> </w:t>
      </w:r>
      <w:r>
        <w:rPr>
          <w:rStyle w:val="841"/>
          <w:rFonts w:hint="eastAsia" w:ascii="宋体" w:hAnsi="宋体" w:cs="宋体"/>
          <w:i w:val="0"/>
          <w:sz w:val="24"/>
          <w:szCs w:val="24"/>
          <w:u w:val="single"/>
          <w:shd w:val="clear" w:color="auto" w:fill="ffffff"/>
        </w:rPr>
        <w:t xml:space="preserve">（产品名称1） </w:t>
      </w:r>
      <w:r>
        <w:rPr>
          <w:rFonts w:hint="eastAsia" w:ascii="宋体" w:hAnsi="宋体" w:cs="宋体"/>
          <w:sz w:val="24"/>
          <w:szCs w:val="24"/>
          <w:shd w:val="clear" w:color="auto" w:fill="ffffff"/>
        </w:rPr>
        <w:t xml:space="preserve">的中国境内生产的组件成本占比≥</w:t>
      </w:r>
      <w:r>
        <w:rPr>
          <w:rStyle w:val="841"/>
          <w:rFonts w:hint="eastAsia" w:ascii="宋体" w:hAnsi="宋体" w:cs="宋体"/>
          <w:i w:val="0"/>
          <w:sz w:val="24"/>
          <w:szCs w:val="24"/>
          <w:u w:val="single"/>
          <w:shd w:val="clear" w:color="auto" w:fill="ffffff"/>
        </w:rPr>
        <w:t xml:space="preserve">（规定比例）</w:t>
      </w:r>
      <w:r>
        <w:rPr>
          <w:rStyle w:val="841"/>
          <w:rFonts w:hint="eastAsia" w:ascii="宋体" w:hAnsi="宋体" w:cs="宋体"/>
          <w:i w:val="0"/>
          <w:sz w:val="24"/>
          <w:szCs w:val="24"/>
          <w:shd w:val="clear" w:color="auto" w:fill="ffffff"/>
          <w:vertAlign w:val="superscript"/>
        </w:rPr>
        <w:t xml:space="preserve">3</w:t>
      </w:r>
      <w:r>
        <w:rPr>
          <w:rFonts w:hint="eastAsia" w:ascii="宋体" w:hAnsi="宋体" w:cs="宋体"/>
          <w:sz w:val="24"/>
          <w:szCs w:val="24"/>
          <w:shd w:val="clear" w:color="auto" w:fill="ffffff"/>
        </w:rPr>
        <w:t xml:space="preserve">。</w:t>
      </w:r>
      <w:r>
        <w:rPr>
          <w:rStyle w:val="841"/>
          <w:rFonts w:hint="eastAsia" w:ascii="宋体" w:hAnsi="宋体" w:cs="宋体"/>
          <w:i w:val="0"/>
          <w:sz w:val="24"/>
          <w:szCs w:val="24"/>
          <w:u w:val="single"/>
          <w:shd w:val="clear" w:color="auto" w:fill="ffffff"/>
        </w:rPr>
        <w:t xml:space="preserve">（产品名称1）</w:t>
      </w:r>
      <w:r>
        <w:rPr>
          <w:rFonts w:hint="eastAsia" w:ascii="宋体" w:hAnsi="宋体" w:cs="宋体"/>
          <w:sz w:val="24"/>
          <w:szCs w:val="24"/>
          <w:shd w:val="clear" w:color="auto" w:fill="ffffff"/>
        </w:rPr>
        <w:t xml:space="preserve">的</w:t>
      </w:r>
      <w:r>
        <w:rPr>
          <w:rStyle w:val="841"/>
          <w:rFonts w:hint="eastAsia" w:ascii="宋体" w:hAnsi="宋体" w:cs="宋体"/>
          <w:i w:val="0"/>
          <w:sz w:val="24"/>
          <w:szCs w:val="24"/>
          <w:u w:val="single"/>
          <w:shd w:val="clear" w:color="auto" w:fill="ffffff"/>
        </w:rPr>
        <w:t xml:space="preserve">（关键组件）</w:t>
      </w:r>
      <w:r>
        <w:rPr>
          <w:rStyle w:val="841"/>
          <w:rFonts w:hint="eastAsia" w:ascii="宋体" w:hAnsi="宋体" w:cs="宋体"/>
          <w:i w:val="0"/>
          <w:sz w:val="24"/>
          <w:szCs w:val="24"/>
          <w:shd w:val="clear" w:color="auto" w:fill="ffffff"/>
          <w:vertAlign w:val="superscript"/>
        </w:rPr>
        <w:t xml:space="preserve">4</w:t>
      </w:r>
      <w:r>
        <w:rPr>
          <w:rFonts w:hint="eastAsia" w:ascii="宋体" w:hAnsi="宋体" w:cs="宋体"/>
          <w:sz w:val="24"/>
          <w:szCs w:val="24"/>
          <w:shd w:val="clear" w:color="auto" w:fill="ffffff"/>
        </w:rPr>
        <w:t xml:space="preserve">在中国境内生产。</w:t>
      </w:r>
      <w:r>
        <w:rPr>
          <w:rStyle w:val="841"/>
          <w:rFonts w:hint="eastAsia" w:ascii="宋体" w:hAnsi="宋体" w:cs="宋体"/>
          <w:i w:val="0"/>
          <w:sz w:val="24"/>
          <w:szCs w:val="24"/>
          <w:u w:val="single"/>
          <w:shd w:val="clear" w:color="auto" w:fill="ffffff"/>
        </w:rPr>
        <w:t xml:space="preserve">（产品名称1）</w:t>
      </w:r>
      <w:r>
        <w:rPr>
          <w:rFonts w:hint="eastAsia" w:ascii="宋体" w:hAnsi="宋体" w:cs="宋体"/>
          <w:sz w:val="24"/>
          <w:szCs w:val="24"/>
          <w:shd w:val="clear" w:color="auto" w:fill="ffffff"/>
        </w:rPr>
        <w:t xml:space="preserve">的</w:t>
      </w:r>
      <w:r>
        <w:rPr>
          <w:rStyle w:val="841"/>
          <w:rFonts w:hint="eastAsia" w:ascii="宋体" w:hAnsi="宋体" w:cs="宋体"/>
          <w:i w:val="0"/>
          <w:sz w:val="24"/>
          <w:szCs w:val="24"/>
          <w:u w:val="single"/>
          <w:shd w:val="clear" w:color="auto" w:fill="ffffff"/>
        </w:rPr>
        <w:t xml:space="preserve">（关键工序）</w:t>
      </w:r>
      <w:r>
        <w:rPr>
          <w:rStyle w:val="841"/>
          <w:rFonts w:hint="eastAsia" w:ascii="宋体" w:hAnsi="宋体" w:cs="宋体"/>
          <w:i w:val="0"/>
          <w:sz w:val="24"/>
          <w:szCs w:val="24"/>
          <w:shd w:val="clear" w:color="auto" w:fill="ffffff"/>
          <w:vertAlign w:val="superscript"/>
        </w:rPr>
        <w:t xml:space="preserve">5</w:t>
      </w:r>
      <w:r>
        <w:rPr>
          <w:rFonts w:hint="eastAsia" w:ascii="宋体" w:hAnsi="宋体" w:cs="宋体"/>
          <w:sz w:val="24"/>
          <w:szCs w:val="24"/>
          <w:shd w:val="clear" w:color="auto" w:fill="ffffff"/>
        </w:rPr>
        <w:t xml:space="preserve">在中国境内完成。</w:t>
      </w:r>
      <w:r/>
    </w:p>
    <w:p>
      <w:pPr>
        <w:ind w:firstLine="420"/>
        <w:jc w:val="left"/>
        <w:spacing w:before="30" w:after="30" w:line="0" w:lineRule="atLeast"/>
        <w:widowControl/>
        <w:rPr>
          <w:rFonts w:hint="eastAsia" w:ascii="宋体" w:hAnsi="宋体" w:cs="宋体"/>
          <w:sz w:val="24"/>
          <w:szCs w:val="24"/>
        </w:rPr>
      </w:pP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4710430</wp:posOffset>
                </wp:positionH>
                <wp:positionV relativeFrom="paragraph">
                  <wp:posOffset>194945</wp:posOffset>
                </wp:positionV>
                <wp:extent cx="462280" cy="147320"/>
                <wp:effectExtent l="1270" t="4445" r="12700" b="19685"/>
                <wp:wrapNone/>
                <wp:docPr id="11"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0.9pt;mso-position-horizontal:absolute;mso-position-vertical-relative:text;margin-top:15.3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2"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1353185</wp:posOffset>
                </wp:positionH>
                <wp:positionV relativeFrom="paragraph">
                  <wp:posOffset>370840</wp:posOffset>
                </wp:positionV>
                <wp:extent cx="763270" cy="140970"/>
                <wp:effectExtent l="4762" t="4762" r="4762" b="4762"/>
                <wp:wrapNone/>
                <wp:docPr id="13" name="直接箭头连接符 13"/>
                <wp:cNvGraphicFramePr/>
                <a:graphic xmlns:a="http://schemas.openxmlformats.org/drawingml/2006/main">
                  <a:graphicData uri="http://schemas.microsoft.com/office/word/2010/wordprocessingShape">
                    <wps:wsp>
                      <wps:cNvPr id="0" name=""/>
                      <wps:cNvSpPr/>
                      <wps:spPr bwMode="auto">
                        <a:xfrm flipV="1">
                          <a:off x="0" y="0"/>
                          <a:ext cx="763081" cy="140969"/>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106.5pt;mso-position-horizontal:absolute;mso-position-vertical-relative:text;margin-top:29.2pt;mso-position-vertical:absolute;width:60.1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2545080</wp:posOffset>
                </wp:positionH>
                <wp:positionV relativeFrom="paragraph">
                  <wp:posOffset>403225</wp:posOffset>
                </wp:positionV>
                <wp:extent cx="633730" cy="121285"/>
                <wp:effectExtent l="4762" t="4762" r="4762" b="4762"/>
                <wp:wrapNone/>
                <wp:docPr id="14" name="直接箭头连接符 14"/>
                <wp:cNvGraphicFramePr/>
                <a:graphic xmlns:a="http://schemas.openxmlformats.org/drawingml/2006/main">
                  <a:graphicData uri="http://schemas.microsoft.com/office/word/2010/wordprocessingShape">
                    <wps:wsp>
                      <wps:cNvPr id="0" name=""/>
                      <wps:cNvSpPr/>
                      <wps:spPr bwMode="auto">
                        <a:xfrm flipV="1">
                          <a:off x="0" y="0"/>
                          <a:ext cx="633486" cy="121602"/>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200.4pt;mso-position-horizontal:absolute;mso-position-vertical-relative:text;margin-top:31.8pt;mso-position-vertical:absolute;width:49.9pt;height:9.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3423920</wp:posOffset>
                </wp:positionH>
                <wp:positionV relativeFrom="paragraph">
                  <wp:posOffset>208915</wp:posOffset>
                </wp:positionV>
                <wp:extent cx="763270" cy="120015"/>
                <wp:effectExtent l="4762" t="4762" r="4762" b="4762"/>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763197"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269.6pt;mso-position-horizontal:absolute;mso-position-vertical-relative:text;margin-top:16.4pt;mso-position-vertical:absolute;width:60.1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2292350</wp:posOffset>
                </wp:positionH>
                <wp:positionV relativeFrom="paragraph">
                  <wp:posOffset>208915</wp:posOffset>
                </wp:positionV>
                <wp:extent cx="692785" cy="125730"/>
                <wp:effectExtent l="4762" t="4762" r="4762" b="4762"/>
                <wp:wrapNone/>
                <wp:docPr id="16" name="直接箭头连接符 16"/>
                <wp:cNvGraphicFramePr/>
                <a:graphic xmlns:a="http://schemas.openxmlformats.org/drawingml/2006/main">
                  <a:graphicData uri="http://schemas.microsoft.com/office/word/2010/wordprocessingShape">
                    <wps:wsp>
                      <wps:cNvPr id="0" name=""/>
                      <wps:cNvSpPr/>
                      <wps:spPr bwMode="auto">
                        <a:xfrm flipV="1">
                          <a:off x="0" y="0"/>
                          <a:ext cx="693102"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180.5pt;mso-position-horizontal:absolute;mso-position-vertical-relative:text;margin-top:16.4pt;mso-position-vertical:absolute;width:54.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shd w:val="clear" w:color="auto" w:fill="ffffff"/>
        </w:rPr>
        <w:t xml:space="preserve">2.</w:t>
      </w:r>
      <w:r>
        <w:rPr>
          <w:rStyle w:val="841"/>
          <w:rFonts w:hint="eastAsia" w:ascii="宋体" w:hAnsi="宋体" w:cs="宋体"/>
          <w:i w:val="0"/>
          <w:sz w:val="24"/>
          <w:szCs w:val="24"/>
          <w:u w:val="single"/>
          <w:shd w:val="clear" w:color="auto" w:fill="ffffff"/>
        </w:rPr>
        <w:t xml:space="preserve">（产品名称2）</w:t>
      </w:r>
      <w:r>
        <w:rPr>
          <w:rFonts w:hint="eastAsia" w:ascii="宋体" w:hAnsi="宋体" w:cs="宋体"/>
          <w:sz w:val="24"/>
          <w:szCs w:val="24"/>
          <w:shd w:val="clear" w:color="auto" w:fill="ffffff"/>
        </w:rPr>
        <w:t xml:space="preserve">，生产厂为</w:t>
      </w:r>
      <w:r>
        <w:rPr>
          <w:rStyle w:val="841"/>
          <w:rFonts w:hint="eastAsia" w:ascii="宋体" w:hAnsi="宋体" w:cs="宋体"/>
          <w:i w:val="0"/>
          <w:sz w:val="24"/>
          <w:szCs w:val="24"/>
          <w:u w:val="single"/>
          <w:shd w:val="clear" w:color="auto" w:fill="ffffff"/>
        </w:rPr>
        <w:t xml:space="preserve">（厂名）</w:t>
      </w:r>
      <w:r>
        <w:rPr>
          <w:rFonts w:hint="eastAsia" w:ascii="宋体" w:hAnsi="宋体" w:cs="宋体"/>
          <w:sz w:val="24"/>
          <w:szCs w:val="24"/>
          <w:shd w:val="clear" w:color="auto" w:fill="ffffff"/>
        </w:rPr>
        <w:t xml:space="preserve">，厂址为</w:t>
      </w:r>
      <w:r>
        <w:rPr>
          <w:rStyle w:val="841"/>
          <w:rFonts w:hint="eastAsia" w:ascii="宋体" w:hAnsi="宋体" w:cs="宋体"/>
          <w:i w:val="0"/>
          <w:sz w:val="24"/>
          <w:szCs w:val="24"/>
          <w:u w:val="single"/>
          <w:shd w:val="clear" w:color="auto" w:fill="ffffff"/>
        </w:rPr>
        <w:t xml:space="preserve">（生产厂址）</w:t>
      </w:r>
      <w:r>
        <w:rPr>
          <w:rFonts w:hint="eastAsia" w:ascii="宋体" w:hAnsi="宋体" w:cs="宋体"/>
          <w:sz w:val="24"/>
          <w:szCs w:val="24"/>
          <w:shd w:val="clear" w:color="auto" w:fill="ffffff"/>
        </w:rPr>
        <w:t xml:space="preserve">。</w:t>
      </w:r>
      <w:r>
        <w:rPr>
          <w:rStyle w:val="841"/>
          <w:rFonts w:hint="eastAsia" w:ascii="宋体" w:hAnsi="宋体" w:cs="宋体"/>
          <w:i w:val="0"/>
          <w:sz w:val="24"/>
          <w:szCs w:val="24"/>
          <w:u w:val="single"/>
          <w:shd w:val="clear" w:color="auto" w:fill="ffffff"/>
        </w:rPr>
        <w:t xml:space="preserve">（产品名称2）</w:t>
      </w:r>
      <w:r>
        <w:rPr>
          <w:rFonts w:hint="eastAsia" w:ascii="宋体" w:hAnsi="宋体" w:cs="宋体"/>
          <w:sz w:val="24"/>
          <w:szCs w:val="24"/>
          <w:shd w:val="clear" w:color="auto" w:fill="ffffff"/>
        </w:rPr>
        <w:t xml:space="preserve">的中国境内生产的组件成本占比≥</w:t>
      </w:r>
      <w:r>
        <w:rPr>
          <w:rStyle w:val="841"/>
          <w:rFonts w:hint="eastAsia" w:ascii="宋体" w:hAnsi="宋体" w:cs="宋体"/>
          <w:i w:val="0"/>
          <w:sz w:val="24"/>
          <w:szCs w:val="24"/>
          <w:u w:val="single"/>
          <w:shd w:val="clear" w:color="auto" w:fill="ffffff"/>
        </w:rPr>
        <w:t xml:space="preserve">（规定比例）</w:t>
      </w:r>
      <w:r>
        <w:rPr>
          <w:rFonts w:hint="eastAsia" w:ascii="宋体" w:hAnsi="宋体" w:cs="宋体"/>
          <w:sz w:val="24"/>
          <w:szCs w:val="24"/>
          <w:shd w:val="clear" w:color="auto" w:fill="ffffff"/>
        </w:rPr>
        <w:t xml:space="preserve">。</w:t>
      </w:r>
      <w:r>
        <w:rPr>
          <w:rStyle w:val="841"/>
          <w:rFonts w:hint="eastAsia" w:ascii="宋体" w:hAnsi="宋体" w:cs="宋体"/>
          <w:i w:val="0"/>
          <w:sz w:val="24"/>
          <w:szCs w:val="24"/>
          <w:u w:val="single"/>
          <w:shd w:val="clear" w:color="auto" w:fill="ffffff"/>
        </w:rPr>
        <w:t xml:space="preserve">（产品名称2）</w:t>
      </w:r>
      <w:r>
        <w:rPr>
          <w:rFonts w:hint="eastAsia" w:ascii="宋体" w:hAnsi="宋体" w:cs="宋体"/>
          <w:sz w:val="24"/>
          <w:szCs w:val="24"/>
          <w:shd w:val="clear" w:color="auto" w:fill="ffffff"/>
        </w:rPr>
        <w:t xml:space="preserve">的</w:t>
      </w:r>
      <w:r>
        <w:rPr>
          <w:rStyle w:val="841"/>
          <w:rFonts w:hint="eastAsia" w:ascii="宋体" w:hAnsi="宋体" w:cs="宋体"/>
          <w:i w:val="0"/>
          <w:sz w:val="24"/>
          <w:szCs w:val="24"/>
          <w:u w:val="single"/>
          <w:shd w:val="clear" w:color="auto" w:fill="ffffff"/>
        </w:rPr>
        <w:t xml:space="preserve">（关键组件）</w:t>
      </w:r>
      <w:r>
        <w:rPr>
          <w:rFonts w:hint="eastAsia" w:ascii="宋体" w:hAnsi="宋体" w:cs="宋体"/>
          <w:sz w:val="24"/>
          <w:szCs w:val="24"/>
          <w:shd w:val="clear" w:color="auto" w:fill="ffffff"/>
        </w:rPr>
        <w:t xml:space="preserve">在中国境内生产。</w:t>
      </w:r>
      <w:r>
        <w:rPr>
          <w:rStyle w:val="841"/>
          <w:rFonts w:hint="eastAsia" w:ascii="宋体" w:hAnsi="宋体" w:cs="宋体"/>
          <w:i w:val="0"/>
          <w:sz w:val="24"/>
          <w:szCs w:val="24"/>
          <w:u w:val="single"/>
          <w:shd w:val="clear" w:color="auto" w:fill="ffffff"/>
        </w:rPr>
        <w:t xml:space="preserve">（产品名称1）</w:t>
      </w:r>
      <w:r>
        <w:rPr>
          <w:rFonts w:hint="eastAsia" w:ascii="宋体" w:hAnsi="宋体" w:cs="宋体"/>
          <w:sz w:val="24"/>
          <w:szCs w:val="24"/>
          <w:shd w:val="clear" w:color="auto" w:fill="ffffff"/>
        </w:rPr>
        <w:t xml:space="preserve">的</w:t>
      </w:r>
      <w:r>
        <w:rPr>
          <w:rStyle w:val="841"/>
          <w:rFonts w:hint="eastAsia" w:ascii="宋体" w:hAnsi="宋体" w:cs="宋体"/>
          <w:i w:val="0"/>
          <w:sz w:val="24"/>
          <w:szCs w:val="24"/>
          <w:u w:val="single"/>
          <w:shd w:val="clear" w:color="auto" w:fill="ffffff"/>
        </w:rPr>
        <w:t xml:space="preserve">（关键工序）</w:t>
      </w:r>
      <w:r>
        <w:rPr>
          <w:rFonts w:hint="eastAsia" w:ascii="宋体" w:hAnsi="宋体" w:cs="宋体"/>
          <w:sz w:val="24"/>
          <w:szCs w:val="24"/>
          <w:shd w:val="clear" w:color="auto" w:fill="ffffff"/>
        </w:rPr>
        <w:t xml:space="preserve">在中国境内完成。</w:t>
      </w:r>
      <w:r/>
    </w:p>
    <w:p>
      <w:pPr>
        <w:ind w:firstLine="420"/>
        <w:jc w:val="left"/>
        <w:spacing w:before="30" w:after="30" w:line="0" w:lineRule="atLeast"/>
        <w:widowControl/>
        <w:rPr>
          <w:rFonts w:hint="eastAsia" w:ascii="宋体" w:hAnsi="宋体" w:cs="宋体"/>
          <w:sz w:val="24"/>
          <w:szCs w:val="24"/>
        </w:rPr>
      </w:pPr>
      <w:r>
        <w:rPr>
          <w:rFonts w:hint="eastAsia" w:ascii="宋体" w:hAnsi="宋体" w:cs="宋体"/>
          <w:sz w:val="24"/>
          <w:szCs w:val="24"/>
          <w:shd w:val="clear" w:color="auto" w:fill="ffffff"/>
        </w:rPr>
        <w:t xml:space="preserve">……</w:t>
      </w:r>
      <w:r/>
    </w:p>
    <w:p>
      <w:pPr>
        <w:ind w:firstLine="420"/>
        <w:jc w:val="left"/>
        <w:spacing w:before="30" w:after="30" w:line="0" w:lineRule="atLeast"/>
        <w:widowControl/>
        <w:rPr>
          <w:rFonts w:hint="eastAsia" w:ascii="宋体" w:hAnsi="宋体" w:cs="宋体"/>
          <w:sz w:val="24"/>
          <w:szCs w:val="24"/>
        </w:rPr>
      </w:pPr>
      <w:r>
        <w:rPr>
          <w:rFonts w:hint="eastAsia" w:ascii="宋体" w:hAnsi="宋体" w:cs="宋体"/>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cs="宋体"/>
          <w:sz w:val="24"/>
          <w:szCs w:val="24"/>
        </w:rPr>
      </w:pPr>
      <w:r>
        <w:rPr>
          <w:rFonts w:hint="eastAsia" w:ascii="宋体" w:hAnsi="宋体" w:cs="宋体"/>
          <w:sz w:val="24"/>
          <w:szCs w:val="24"/>
        </w:rPr>
      </w:r>
      <w:r/>
    </w:p>
    <w:p>
      <w:pPr>
        <w:ind w:right="480" w:firstLine="3720"/>
        <w:jc w:val="left"/>
        <w:spacing w:before="30" w:after="30" w:line="0" w:lineRule="atLeast"/>
        <w:widowControl/>
        <w:rPr>
          <w:rFonts w:hint="eastAsia" w:ascii="宋体" w:hAnsi="宋体" w:cs="宋体"/>
          <w:sz w:val="24"/>
          <w:szCs w:val="24"/>
        </w:rPr>
      </w:pPr>
      <w:r>
        <w:rPr>
          <w:rFonts w:hint="eastAsia" w:ascii="宋体" w:hAnsi="宋体" w:cs="宋体"/>
          <w:sz w:val="24"/>
          <w:szCs w:val="24"/>
          <w:shd w:val="clear" w:color="auto" w:fill="ffffff"/>
        </w:rPr>
        <w:t xml:space="preserve">公司（单位）名称（盖章）：　        </w:t>
      </w:r>
      <w:r/>
    </w:p>
    <w:p>
      <w:pPr>
        <w:jc w:val="center"/>
        <w:spacing w:before="30" w:after="30" w:line="0" w:lineRule="atLeast"/>
        <w:widowControl/>
        <w:rPr>
          <w:rFonts w:hint="eastAsia" w:ascii="宋体" w:hAnsi="宋体" w:cs="宋体"/>
          <w:sz w:val="24"/>
          <w:szCs w:val="24"/>
        </w:rPr>
      </w:pPr>
      <w:r>
        <w:rPr>
          <w:rFonts w:hint="eastAsia" w:ascii="宋体" w:hAnsi="宋体" w:cs="宋体"/>
          <w:sz w:val="24"/>
          <w:szCs w:val="24"/>
          <w:shd w:val="clear" w:color="auto" w:fill="ffffff"/>
        </w:rPr>
        <w:t xml:space="preserve">                                日期：　   年　  月　  日         </w:t>
      </w:r>
      <w:r/>
    </w:p>
    <w:p>
      <w:pPr>
        <w:jc w:val="left"/>
        <w:spacing w:before="30" w:after="30" w:line="0" w:lineRule="atLeast"/>
        <w:widowControl/>
        <w:rPr>
          <w:rFonts w:hint="eastAsia" w:ascii="宋体" w:hAnsi="宋体" w:cs="宋体"/>
          <w:sz w:val="24"/>
          <w:szCs w:val="24"/>
        </w:rPr>
      </w:pPr>
      <w:r>
        <w:rPr>
          <w:rFonts w:hint="eastAsia" w:ascii="宋体" w:hAnsi="宋体" w:cs="宋体"/>
          <w:sz w:val="24"/>
          <w:szCs w:val="24"/>
          <w:shd w:val="clear" w:color="auto" w:fill="ffffff"/>
        </w:rPr>
        <w:t xml:space="preserve">__________________</w:t>
      </w:r>
      <w:r/>
    </w:p>
    <w:p>
      <w:pPr>
        <w:jc w:val="left"/>
        <w:spacing w:before="30" w:after="30" w:line="0" w:lineRule="atLeast"/>
        <w:widowControl/>
        <w:rPr>
          <w:rFonts w:hint="eastAsia" w:ascii="宋体" w:hAnsi="宋体" w:cs="宋体"/>
          <w:sz w:val="22"/>
          <w:szCs w:val="24"/>
        </w:rPr>
      </w:pPr>
      <w:r>
        <w:rPr>
          <w:rFonts w:hint="eastAsia" w:ascii="宋体" w:hAnsi="宋体" w:cs="宋体"/>
          <w:sz w:val="22"/>
          <w:szCs w:val="24"/>
          <w:shd w:val="clear" w:color="auto" w:fill="ffffff"/>
        </w:rPr>
        <w:t xml:space="preserve">1.产品如有型号，请在“产品名称”栏一并填写。</w:t>
      </w:r>
      <w:r/>
    </w:p>
    <w:p>
      <w:pPr>
        <w:jc w:val="left"/>
        <w:spacing w:before="30" w:after="30" w:line="0" w:lineRule="atLeast"/>
        <w:widowControl/>
        <w:rPr>
          <w:rFonts w:hint="eastAsia" w:ascii="宋体" w:hAnsi="宋体" w:cs="宋体"/>
          <w:sz w:val="22"/>
          <w:szCs w:val="24"/>
        </w:rPr>
      </w:pPr>
      <w:r>
        <w:rPr>
          <w:rFonts w:hint="eastAsia" w:ascii="宋体" w:hAnsi="宋体" w:cs="宋体"/>
          <w:sz w:val="22"/>
          <w:szCs w:val="24"/>
          <w:shd w:val="clear" w:color="auto" w:fill="ffffff"/>
        </w:rPr>
        <w:t xml:space="preserve">2.生产厂名与厂址应与生产厂营业执照载明的相关信息保持一致。</w:t>
      </w:r>
      <w:r/>
    </w:p>
    <w:p>
      <w:pPr>
        <w:jc w:val="left"/>
        <w:spacing w:before="30" w:after="30" w:line="0" w:lineRule="atLeast"/>
        <w:widowControl/>
        <w:rPr>
          <w:rFonts w:hint="eastAsia" w:ascii="宋体" w:hAnsi="宋体" w:cs="宋体"/>
          <w:sz w:val="22"/>
          <w:szCs w:val="24"/>
        </w:rPr>
      </w:pPr>
      <w:r>
        <w:rPr>
          <w:rFonts w:hint="eastAsia" w:ascii="宋体" w:hAnsi="宋体" w:cs="宋体"/>
          <w:sz w:val="22"/>
          <w:szCs w:val="24"/>
          <w:shd w:val="clear" w:color="auto" w:fill="ffffff"/>
        </w:rPr>
        <w:t xml:space="preserve">3.该产品的中国境内生产的组件成本占比相关要求实施前，“规定比例”栏可不填，下同。</w:t>
      </w:r>
      <w:r/>
    </w:p>
    <w:p>
      <w:pPr>
        <w:jc w:val="left"/>
        <w:spacing w:before="30" w:after="30" w:line="0" w:lineRule="atLeast"/>
        <w:widowControl/>
        <w:rPr>
          <w:rFonts w:hint="eastAsia" w:ascii="宋体" w:hAnsi="宋体" w:cs="宋体"/>
          <w:sz w:val="22"/>
          <w:szCs w:val="24"/>
        </w:rPr>
      </w:pPr>
      <w:r>
        <w:rPr>
          <w:rFonts w:hint="eastAsia" w:ascii="宋体" w:hAnsi="宋体" w:cs="宋体"/>
          <w:sz w:val="22"/>
          <w:szCs w:val="24"/>
          <w:shd w:val="clear" w:color="auto" w:fill="ffffff"/>
        </w:rPr>
        <w:t xml:space="preserve">4.该产品的关键组件要求实施前，“关键组件”栏可不填，下同。</w:t>
      </w:r>
      <w:r/>
    </w:p>
    <w:p>
      <w:pPr>
        <w:jc w:val="left"/>
        <w:spacing w:before="30" w:after="30" w:line="0" w:lineRule="atLeast"/>
        <w:widowControl/>
        <w:rPr>
          <w:rFonts w:hint="eastAsia" w:ascii="宋体" w:hAnsi="宋体" w:cs="宋体"/>
          <w:sz w:val="22"/>
          <w:szCs w:val="24"/>
          <w:shd w:val="clear" w:color="auto" w:fill="ffffff"/>
        </w:rPr>
      </w:pPr>
      <w:r>
        <w:rPr>
          <w:rFonts w:hint="eastAsia" w:ascii="宋体" w:hAnsi="宋体" w:cs="宋体"/>
          <w:sz w:val="22"/>
          <w:szCs w:val="24"/>
          <w:shd w:val="clear" w:color="auto" w:fill="ffffff"/>
        </w:rPr>
        <w:t xml:space="preserve">5.该产品的关键工序要求实施前，“关键工序”栏可不填，下同。</w:t>
      </w:r>
      <w:r/>
    </w:p>
    <w:p>
      <w:pPr>
        <w:jc w:val="left"/>
        <w:spacing w:before="30" w:after="30" w:line="0" w:lineRule="atLeast"/>
        <w:widowControl/>
        <w:rPr>
          <w:rFonts w:hint="eastAsia" w:ascii="宋体" w:hAnsi="宋体" w:cs="宋体"/>
          <w:sz w:val="22"/>
          <w:szCs w:val="24"/>
          <w:shd w:val="clear" w:color="auto" w:fill="ffffff"/>
        </w:rPr>
      </w:pPr>
      <w:r>
        <w:rPr>
          <w:rFonts w:hint="eastAsia" w:ascii="宋体" w:hAnsi="宋体" w:cs="宋体"/>
          <w:sz w:val="22"/>
          <w:szCs w:val="24"/>
          <w:shd w:val="clear" w:color="auto" w:fill="ffffff"/>
        </w:rPr>
        <w:t xml:space="preserve">6.用斜线划除的地方无需填写。</w:t>
      </w:r>
      <w:bookmarkEnd w:id="270"/>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1067"/>
        <w:rPr>
          <w:rFonts w:ascii="宋体" w:hAnsi="宋体"/>
          <w:b/>
          <w:bCs/>
          <w:sz w:val="20"/>
          <w:szCs w:val="32"/>
          <w:highlight w:val="white"/>
        </w:rPr>
      </w:pPr>
      <w:r>
        <w:rPr>
          <w:rFonts w:ascii="宋体" w:hAnsi="宋体"/>
          <w:b/>
          <w:bCs/>
          <w:sz w:val="20"/>
          <w:szCs w:val="32"/>
          <w:highlight w:val="white"/>
        </w:rPr>
      </w:r>
      <w:r/>
    </w:p>
    <w:p>
      <w:pPr>
        <w:pStyle w:val="1067"/>
        <w:rPr>
          <w:rFonts w:ascii="宋体" w:hAnsi="宋体"/>
          <w:b/>
          <w:bCs/>
          <w:sz w:val="20"/>
          <w:szCs w:val="32"/>
          <w:highlight w:val="white"/>
        </w:rPr>
      </w:pPr>
      <w:r>
        <w:rPr>
          <w:rFonts w:ascii="宋体" w:hAnsi="宋体"/>
          <w:b/>
          <w:bCs/>
          <w:sz w:val="20"/>
          <w:szCs w:val="32"/>
          <w:highlight w:val="white"/>
        </w:rPr>
      </w:r>
      <w:r/>
    </w:p>
    <w:p>
      <w:pPr>
        <w:pStyle w:val="1067"/>
        <w:rPr>
          <w:rFonts w:ascii="宋体" w:hAnsi="宋体"/>
          <w:b/>
          <w:bCs/>
          <w:sz w:val="20"/>
          <w:szCs w:val="32"/>
          <w:highlight w:val="white"/>
        </w:rPr>
      </w:pPr>
      <w:r>
        <w:rPr>
          <w:rFonts w:ascii="宋体" w:hAnsi="宋体"/>
          <w:b/>
          <w:bCs/>
          <w:sz w:val="20"/>
          <w:szCs w:val="32"/>
          <w:highlight w:val="white"/>
        </w:rPr>
      </w:r>
      <w:r/>
    </w:p>
    <w:p>
      <w:pPr>
        <w:pStyle w:val="1067"/>
        <w:rPr>
          <w:rFonts w:ascii="宋体" w:hAnsi="宋体"/>
          <w:b/>
          <w:bCs/>
          <w:sz w:val="20"/>
          <w:szCs w:val="32"/>
          <w:highlight w:val="white"/>
        </w:rPr>
      </w:pPr>
      <w:r>
        <w:rPr>
          <w:rFonts w:ascii="宋体" w:hAnsi="宋体"/>
          <w:b/>
          <w:bCs/>
          <w:sz w:val="20"/>
          <w:szCs w:val="32"/>
          <w:highlight w:val="white"/>
        </w:rPr>
      </w:r>
      <w:r/>
    </w:p>
    <w:p>
      <w:pPr>
        <w:pStyle w:val="1067"/>
        <w:rPr>
          <w:rFonts w:ascii="宋体" w:hAnsi="宋体"/>
          <w:b/>
          <w:bCs/>
          <w:sz w:val="20"/>
          <w:szCs w:val="32"/>
          <w:highlight w:val="white"/>
        </w:rPr>
      </w:pPr>
      <w:r>
        <w:rPr>
          <w:rFonts w:ascii="宋体" w:hAnsi="宋体"/>
          <w:b/>
          <w:bCs/>
          <w:sz w:val="20"/>
          <w:szCs w:val="32"/>
          <w:highlight w:val="white"/>
        </w:rPr>
      </w:r>
      <w:r/>
    </w:p>
    <w:p>
      <w:pPr>
        <w:pStyle w:val="1067"/>
        <w:rPr>
          <w:rFonts w:ascii="宋体" w:hAnsi="宋体"/>
          <w:b/>
          <w:bCs/>
          <w:sz w:val="20"/>
          <w:szCs w:val="32"/>
          <w:highlight w:val="white"/>
        </w:rPr>
      </w:pPr>
      <w:r>
        <w:rPr>
          <w:rFonts w:ascii="宋体" w:hAnsi="宋体"/>
          <w:b/>
          <w:bCs/>
          <w:sz w:val="20"/>
          <w:szCs w:val="32"/>
          <w:highlight w:val="white"/>
        </w:rPr>
      </w:r>
      <w:r/>
    </w:p>
    <w:p>
      <w:pPr>
        <w:pStyle w:val="817"/>
        <w:rPr>
          <w:rFonts w:hint="eastAsia"/>
        </w:rPr>
      </w:pPr>
      <w:r>
        <w:rPr>
          <w:rFonts w:hint="eastAsia"/>
        </w:rPr>
      </w:r>
      <w:r/>
    </w:p>
    <w:p>
      <w:r/>
      <w:r/>
    </w:p>
    <w:sectPr>
      <w:footerReference w:type="default" r:id="rId13"/>
      <w:footerReference w:type="first" r:id="rId14"/>
      <w:footnotePr/>
      <w:endnotePr/>
      <w:type w:val="nextPage"/>
      <w:pgSz w:w="11906" w:h="16838" w:orient="portrait"/>
      <w:pgMar w:top="1440" w:right="1466" w:bottom="1440" w:left="1797"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Symbol">
    <w:panose1 w:val="05050102010706020507"/>
  </w:font>
  <w:font w:name="Wingdings">
    <w:panose1 w:val="05000000000000000000"/>
  </w:font>
  <w:font w:name="Courier New">
    <w:panose1 w:val="02070309020205020404"/>
  </w:font>
  <w:font w:name="Cambria">
    <w:panose1 w:val="02040503050406030204"/>
  </w:font>
  <w:font w:name="华文中宋">
    <w:panose1 w:val="02010600040101010101"/>
  </w:font>
  <w:font w:name="黑体">
    <w:panose1 w:val="02010609060101010101"/>
  </w:font>
  <w:font w:name="幼圆">
    <w:panose1 w:val="02010509060101010101"/>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framePr w:wrap="around" w:vAnchor="text" w:hAnchor="margin" w:xAlign="center" w:y="1"/>
    </w:pPr>
    <w:r>
      <w:fldChar w:fldCharType="begin"/>
    </w:r>
    <w:r>
      <w:rPr>
        <w:rStyle w:val="1072"/>
        <w:sz w:val="21"/>
        <w:szCs w:val="22"/>
        <w:highlight w:val="white"/>
      </w:rPr>
      <w:instrText xml:space="preserve">PAGE  </w:instrText>
    </w:r>
    <w:r>
      <w:fldChar w:fldCharType="end"/>
    </w:r>
    <w:r/>
  </w:p>
  <w:p>
    <w:pPr>
      <w:pStyle w:val="10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1"/>
      <w:numFmt w:val="decimal"/>
      <w:pStyle w:val="1049"/>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3"/>
      <w:numFmt w:val="decimal"/>
      <w:isLgl w:val="false"/>
      <w:suff w:val="tab"/>
      <w:lvlText w:val="（%1）"/>
      <w:lvlJc w:val="left"/>
      <w:pPr>
        <w:ind w:left="1200" w:hanging="720"/>
      </w:pPr>
      <w:rPr>
        <w:rFonts w:hint="default"/>
        <w:lang w:val="en-US"/>
      </w:rPr>
    </w:lvl>
    <w:lvl w:ilvl="1">
      <w:start w:val="2"/>
      <w:numFmt w:val="decimal"/>
      <w:isLgl w:val="false"/>
      <w:suff w:val="tab"/>
      <w:lvlText w:val="%2）"/>
      <w:lvlJc w:val="left"/>
      <w:pPr>
        <w:ind w:left="1280" w:hanging="360"/>
      </w:pPr>
      <w:rPr>
        <w:rFonts w:hint="default"/>
      </w:r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0"/>
  </w:num>
  <w:num w:numId="4">
    <w:abstractNumId w:val="9"/>
  </w:num>
  <w:num w:numId="5">
    <w:abstractNumId w:val="7"/>
  </w:num>
  <w:num w:numId="6">
    <w:abstractNumId w:val="5"/>
  </w:num>
  <w:num w:numId="7">
    <w:abstractNumId w:val="6"/>
  </w:num>
  <w:num w:numId="8">
    <w:abstractNumId w:val="3"/>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0">
    <w:name w:val="Heading 1 Char"/>
    <w:basedOn w:val="815"/>
    <w:link w:val="806"/>
    <w:uiPriority w:val="9"/>
    <w:rPr>
      <w:rFonts w:ascii="Arial" w:hAnsi="Arial" w:eastAsia="Arial" w:cs="Arial"/>
      <w:sz w:val="40"/>
      <w:szCs w:val="40"/>
    </w:rPr>
  </w:style>
  <w:style w:type="character" w:styleId="771">
    <w:name w:val="Heading 2 Char"/>
    <w:basedOn w:val="815"/>
    <w:link w:val="807"/>
    <w:uiPriority w:val="9"/>
    <w:rPr>
      <w:rFonts w:ascii="Arial" w:hAnsi="Arial" w:eastAsia="Arial" w:cs="Arial"/>
      <w:sz w:val="34"/>
    </w:rPr>
  </w:style>
  <w:style w:type="character" w:styleId="772">
    <w:name w:val="Heading 3 Char"/>
    <w:basedOn w:val="815"/>
    <w:link w:val="808"/>
    <w:uiPriority w:val="9"/>
    <w:rPr>
      <w:rFonts w:ascii="Arial" w:hAnsi="Arial" w:eastAsia="Arial" w:cs="Arial"/>
      <w:sz w:val="30"/>
      <w:szCs w:val="30"/>
    </w:rPr>
  </w:style>
  <w:style w:type="character" w:styleId="773">
    <w:name w:val="Heading 4 Char"/>
    <w:basedOn w:val="815"/>
    <w:link w:val="809"/>
    <w:uiPriority w:val="9"/>
    <w:rPr>
      <w:rFonts w:ascii="Arial" w:hAnsi="Arial" w:eastAsia="Arial" w:cs="Arial"/>
      <w:b/>
      <w:bCs/>
      <w:sz w:val="26"/>
      <w:szCs w:val="26"/>
    </w:rPr>
  </w:style>
  <w:style w:type="character" w:styleId="774">
    <w:name w:val="Heading 5 Char"/>
    <w:basedOn w:val="815"/>
    <w:link w:val="810"/>
    <w:uiPriority w:val="9"/>
    <w:rPr>
      <w:rFonts w:ascii="Arial" w:hAnsi="Arial" w:eastAsia="Arial" w:cs="Arial"/>
      <w:b/>
      <w:bCs/>
      <w:sz w:val="24"/>
      <w:szCs w:val="24"/>
    </w:rPr>
  </w:style>
  <w:style w:type="character" w:styleId="775">
    <w:name w:val="Heading 6 Char"/>
    <w:basedOn w:val="815"/>
    <w:link w:val="811"/>
    <w:uiPriority w:val="9"/>
    <w:rPr>
      <w:rFonts w:ascii="Arial" w:hAnsi="Arial" w:eastAsia="Arial" w:cs="Arial"/>
      <w:b/>
      <w:bCs/>
      <w:sz w:val="22"/>
      <w:szCs w:val="22"/>
    </w:rPr>
  </w:style>
  <w:style w:type="character" w:styleId="776">
    <w:name w:val="Heading 7 Char"/>
    <w:basedOn w:val="815"/>
    <w:link w:val="812"/>
    <w:uiPriority w:val="9"/>
    <w:rPr>
      <w:rFonts w:ascii="Arial" w:hAnsi="Arial" w:eastAsia="Arial" w:cs="Arial"/>
      <w:b/>
      <w:bCs/>
      <w:i/>
      <w:iCs/>
      <w:sz w:val="22"/>
      <w:szCs w:val="22"/>
    </w:rPr>
  </w:style>
  <w:style w:type="character" w:styleId="777">
    <w:name w:val="Heading 8 Char"/>
    <w:basedOn w:val="815"/>
    <w:link w:val="813"/>
    <w:uiPriority w:val="9"/>
    <w:rPr>
      <w:rFonts w:ascii="Arial" w:hAnsi="Arial" w:eastAsia="Arial" w:cs="Arial"/>
      <w:i/>
      <w:iCs/>
      <w:sz w:val="22"/>
      <w:szCs w:val="22"/>
    </w:rPr>
  </w:style>
  <w:style w:type="character" w:styleId="778">
    <w:name w:val="Heading 9 Char"/>
    <w:basedOn w:val="815"/>
    <w:link w:val="814"/>
    <w:uiPriority w:val="9"/>
    <w:rPr>
      <w:rFonts w:ascii="Arial" w:hAnsi="Arial" w:eastAsia="Arial" w:cs="Arial"/>
      <w:i/>
      <w:iCs/>
      <w:sz w:val="21"/>
      <w:szCs w:val="21"/>
    </w:rPr>
  </w:style>
  <w:style w:type="character" w:styleId="779">
    <w:name w:val="Title Char"/>
    <w:basedOn w:val="815"/>
    <w:link w:val="838"/>
    <w:uiPriority w:val="10"/>
    <w:rPr>
      <w:sz w:val="48"/>
      <w:szCs w:val="48"/>
    </w:rPr>
  </w:style>
  <w:style w:type="character" w:styleId="780">
    <w:name w:val="Subtitle Char"/>
    <w:basedOn w:val="815"/>
    <w:link w:val="831"/>
    <w:uiPriority w:val="11"/>
    <w:rPr>
      <w:sz w:val="24"/>
      <w:szCs w:val="24"/>
    </w:rPr>
  </w:style>
  <w:style w:type="character" w:styleId="781">
    <w:name w:val="Quote Char"/>
    <w:link w:val="858"/>
    <w:uiPriority w:val="29"/>
    <w:rPr>
      <w:i/>
    </w:rPr>
  </w:style>
  <w:style w:type="character" w:styleId="782">
    <w:name w:val="Intense Quote Char"/>
    <w:link w:val="860"/>
    <w:uiPriority w:val="30"/>
    <w:rPr>
      <w:i/>
    </w:rPr>
  </w:style>
  <w:style w:type="table" w:styleId="783">
    <w:name w:val="Plain Table 1"/>
    <w:basedOn w:val="8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basedOn w:val="8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basedOn w:val="8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2"/>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3"/>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basedOn w:val="8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5 Dark"/>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6 Colorful"/>
    <w:basedOn w:val="8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7 Colorful"/>
    <w:basedOn w:val="8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List Table 1 Light"/>
    <w:basedOn w:val="8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2"/>
    <w:basedOn w:val="8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3"/>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5 Dark"/>
    <w:basedOn w:val="8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basedOn w:val="8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7 Colorful"/>
    <w:basedOn w:val="8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2">
    <w:name w:val="Footnote Text Char"/>
    <w:link w:val="832"/>
    <w:uiPriority w:val="99"/>
    <w:rPr>
      <w:sz w:val="18"/>
    </w:rPr>
  </w:style>
  <w:style w:type="character" w:styleId="803">
    <w:name w:val="Endnote Text Char"/>
    <w:link w:val="826"/>
    <w:uiPriority w:val="99"/>
    <w:rPr>
      <w:sz w:val="20"/>
    </w:rPr>
  </w:style>
  <w:style w:type="paragraph" w:styleId="804">
    <w:name w:val="TOC Heading"/>
    <w:uiPriority w:val="39"/>
    <w:unhideWhenUsed/>
  </w:style>
  <w:style w:type="paragraph" w:styleId="805" w:default="1">
    <w:name w:val="Normal"/>
    <w:next w:val="817"/>
    <w:uiPriority w:val="0"/>
    <w:qFormat/>
    <w:pPr>
      <w:jc w:val="both"/>
      <w:widowControl w:val="off"/>
    </w:pPr>
    <w:rPr>
      <w:rFonts w:ascii="Calibri" w:hAnsi="Calibri" w:eastAsia="宋体" w:cs="Times New Roman"/>
      <w:sz w:val="21"/>
      <w:szCs w:val="22"/>
      <w:lang w:val="en-US" w:eastAsia="zh-CN" w:bidi="ar-SA"/>
    </w:rPr>
  </w:style>
  <w:style w:type="paragraph" w:styleId="806">
    <w:name w:val="Heading 1"/>
    <w:basedOn w:val="805"/>
    <w:next w:val="805"/>
    <w:link w:val="845"/>
    <w:uiPriority w:val="9"/>
    <w:qFormat/>
    <w:pPr>
      <w:keepLines/>
      <w:keepNext/>
      <w:spacing w:before="480" w:after="200"/>
      <w:outlineLvl w:val="0"/>
    </w:pPr>
    <w:rPr>
      <w:rFonts w:ascii="Arial" w:hAnsi="Arial" w:eastAsia="Arial" w:cs="Arial"/>
      <w:sz w:val="40"/>
      <w:szCs w:val="40"/>
    </w:rPr>
  </w:style>
  <w:style w:type="paragraph" w:styleId="807">
    <w:name w:val="Heading 2"/>
    <w:basedOn w:val="805"/>
    <w:next w:val="805"/>
    <w:link w:val="846"/>
    <w:uiPriority w:val="9"/>
    <w:unhideWhenUsed/>
    <w:qFormat/>
    <w:pPr>
      <w:keepLines/>
      <w:keepNext/>
      <w:spacing w:before="360" w:after="200"/>
      <w:outlineLvl w:val="1"/>
    </w:pPr>
    <w:rPr>
      <w:rFonts w:ascii="Arial" w:hAnsi="Arial" w:eastAsia="Arial" w:cs="Arial"/>
      <w:sz w:val="34"/>
    </w:rPr>
  </w:style>
  <w:style w:type="paragraph" w:styleId="808">
    <w:name w:val="Heading 3"/>
    <w:basedOn w:val="805"/>
    <w:next w:val="805"/>
    <w:link w:val="847"/>
    <w:uiPriority w:val="9"/>
    <w:unhideWhenUsed/>
    <w:qFormat/>
    <w:pPr>
      <w:keepLines/>
      <w:keepNext/>
      <w:spacing w:before="320" w:after="200"/>
      <w:outlineLvl w:val="2"/>
    </w:pPr>
    <w:rPr>
      <w:rFonts w:ascii="Arial" w:hAnsi="Arial" w:eastAsia="Arial" w:cs="Arial"/>
      <w:sz w:val="30"/>
      <w:szCs w:val="30"/>
    </w:rPr>
  </w:style>
  <w:style w:type="paragraph" w:styleId="809">
    <w:name w:val="Heading 4"/>
    <w:basedOn w:val="805"/>
    <w:next w:val="805"/>
    <w:link w:val="848"/>
    <w:uiPriority w:val="9"/>
    <w:unhideWhenUsed/>
    <w:qFormat/>
    <w:pPr>
      <w:keepLines/>
      <w:keepNext/>
      <w:spacing w:before="320" w:after="200"/>
      <w:outlineLvl w:val="3"/>
    </w:pPr>
    <w:rPr>
      <w:rFonts w:ascii="Arial" w:hAnsi="Arial" w:eastAsia="Arial" w:cs="Arial"/>
      <w:b/>
      <w:bCs/>
      <w:sz w:val="26"/>
      <w:szCs w:val="26"/>
    </w:rPr>
  </w:style>
  <w:style w:type="paragraph" w:styleId="810">
    <w:name w:val="Heading 5"/>
    <w:basedOn w:val="805"/>
    <w:next w:val="805"/>
    <w:link w:val="849"/>
    <w:uiPriority w:val="9"/>
    <w:unhideWhenUsed/>
    <w:qFormat/>
    <w:pPr>
      <w:keepLines/>
      <w:keepNext/>
      <w:spacing w:before="320" w:after="200"/>
      <w:outlineLvl w:val="4"/>
    </w:pPr>
    <w:rPr>
      <w:rFonts w:ascii="Arial" w:hAnsi="Arial" w:eastAsia="Arial" w:cs="Arial"/>
      <w:b/>
      <w:bCs/>
      <w:sz w:val="24"/>
      <w:szCs w:val="24"/>
    </w:rPr>
  </w:style>
  <w:style w:type="paragraph" w:styleId="811">
    <w:name w:val="Heading 6"/>
    <w:basedOn w:val="805"/>
    <w:next w:val="805"/>
    <w:link w:val="850"/>
    <w:uiPriority w:val="9"/>
    <w:unhideWhenUsed/>
    <w:qFormat/>
    <w:pPr>
      <w:keepLines/>
      <w:keepNext/>
      <w:spacing w:before="320" w:after="200"/>
      <w:outlineLvl w:val="5"/>
    </w:pPr>
    <w:rPr>
      <w:rFonts w:ascii="Arial" w:hAnsi="Arial" w:eastAsia="Arial" w:cs="Arial"/>
      <w:b/>
      <w:bCs/>
      <w:sz w:val="22"/>
    </w:rPr>
  </w:style>
  <w:style w:type="paragraph" w:styleId="812">
    <w:name w:val="Heading 7"/>
    <w:basedOn w:val="805"/>
    <w:next w:val="805"/>
    <w:link w:val="851"/>
    <w:uiPriority w:val="9"/>
    <w:unhideWhenUsed/>
    <w:qFormat/>
    <w:pPr>
      <w:keepLines/>
      <w:keepNext/>
      <w:spacing w:before="320" w:after="200"/>
      <w:outlineLvl w:val="6"/>
    </w:pPr>
    <w:rPr>
      <w:rFonts w:ascii="Arial" w:hAnsi="Arial" w:eastAsia="Arial" w:cs="Arial"/>
      <w:b/>
      <w:bCs/>
      <w:i/>
      <w:iCs/>
      <w:sz w:val="22"/>
    </w:rPr>
  </w:style>
  <w:style w:type="paragraph" w:styleId="813">
    <w:name w:val="Heading 8"/>
    <w:basedOn w:val="805"/>
    <w:next w:val="805"/>
    <w:link w:val="852"/>
    <w:uiPriority w:val="9"/>
    <w:unhideWhenUsed/>
    <w:qFormat/>
    <w:pPr>
      <w:keepLines/>
      <w:keepNext/>
      <w:spacing w:before="320" w:after="200"/>
      <w:outlineLvl w:val="7"/>
    </w:pPr>
    <w:rPr>
      <w:rFonts w:ascii="Arial" w:hAnsi="Arial" w:eastAsia="Arial" w:cs="Arial"/>
      <w:i/>
      <w:iCs/>
      <w:sz w:val="22"/>
    </w:rPr>
  </w:style>
  <w:style w:type="paragraph" w:styleId="814">
    <w:name w:val="Heading 9"/>
    <w:basedOn w:val="805"/>
    <w:next w:val="805"/>
    <w:link w:val="853"/>
    <w:uiPriority w:val="9"/>
    <w:unhideWhenUsed/>
    <w:qFormat/>
    <w:pPr>
      <w:keepLines/>
      <w:keepNext/>
      <w:spacing w:before="320" w:after="200"/>
      <w:outlineLvl w:val="8"/>
    </w:pPr>
    <w:rPr>
      <w:rFonts w:ascii="Arial" w:hAnsi="Arial" w:eastAsia="Arial" w:cs="Arial"/>
      <w:i/>
      <w:iCs/>
      <w:szCs w:val="21"/>
    </w:rPr>
  </w:style>
  <w:style w:type="character" w:styleId="815" w:default="1">
    <w:name w:val="Default Paragraph Font"/>
    <w:uiPriority w:val="1"/>
    <w:semiHidden/>
    <w:unhideWhenUsed/>
    <w:qFormat/>
  </w:style>
  <w:style w:type="table" w:styleId="816" w:default="1">
    <w:name w:val="Normal Table"/>
    <w:uiPriority w:val="99"/>
    <w:semiHidden/>
    <w:unhideWhenUsed/>
    <w:qFormat/>
    <w:tblPr>
      <w:tblCellMar>
        <w:left w:w="108" w:type="dxa"/>
        <w:top w:w="0" w:type="dxa"/>
        <w:right w:w="108" w:type="dxa"/>
        <w:bottom w:w="0" w:type="dxa"/>
      </w:tblCellMar>
    </w:tblPr>
  </w:style>
  <w:style w:type="paragraph" w:styleId="817" w:customStyle="1">
    <w:name w:val="首行缩进"/>
    <w:next w:val="805"/>
    <w:uiPriority w:val="0"/>
    <w:qFormat/>
    <w:pPr>
      <w:ind w:firstLine="480"/>
      <w:spacing w:line="360" w:lineRule="auto"/>
      <w:widowControl w:val="off"/>
    </w:pPr>
    <w:rPr>
      <w:rFonts w:ascii="宋体" w:hAnsi="宋体" w:eastAsia="宋体" w:cs="Times New Roman"/>
      <w:sz w:val="24"/>
      <w:szCs w:val="22"/>
      <w:lang w:val="en-US" w:eastAsia="zh-CN" w:bidi="ar-SA"/>
    </w:rPr>
  </w:style>
  <w:style w:type="paragraph" w:styleId="818">
    <w:name w:val="toc 7"/>
    <w:basedOn w:val="805"/>
    <w:next w:val="805"/>
    <w:uiPriority w:val="39"/>
    <w:unhideWhenUsed/>
    <w:qFormat/>
    <w:pPr>
      <w:ind w:left="1701"/>
      <w:spacing w:after="57"/>
    </w:pPr>
  </w:style>
  <w:style w:type="paragraph" w:styleId="819">
    <w:name w:val="Normal Indent"/>
    <w:basedOn w:val="805"/>
    <w:next w:val="805"/>
    <w:uiPriority w:val="0"/>
    <w:qFormat/>
    <w:pPr>
      <w:ind w:firstLine="420"/>
      <w:jc w:val="left"/>
    </w:pPr>
    <w:rPr>
      <w:sz w:val="24"/>
    </w:rPr>
  </w:style>
  <w:style w:type="paragraph" w:styleId="820">
    <w:name w:val="Caption"/>
    <w:basedOn w:val="805"/>
    <w:next w:val="8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1">
    <w:name w:val="annotation text"/>
    <w:basedOn w:val="805"/>
    <w:uiPriority w:val="0"/>
    <w:qFormat/>
    <w:pPr>
      <w:jc w:val="left"/>
    </w:pPr>
  </w:style>
  <w:style w:type="paragraph" w:styleId="822">
    <w:name w:val="Body Text"/>
    <w:basedOn w:val="805"/>
    <w:next w:val="819"/>
    <w:uiPriority w:val="0"/>
    <w:qFormat/>
    <w:pPr>
      <w:jc w:val="left"/>
      <w:spacing w:after="60"/>
      <w:tabs>
        <w:tab w:val="right" w:pos="2520" w:leader="none"/>
        <w:tab w:val="left" w:pos="2880" w:leader="none"/>
      </w:tabs>
    </w:pPr>
    <w:rPr>
      <w:sz w:val="22"/>
      <w:szCs w:val="20"/>
    </w:rPr>
  </w:style>
  <w:style w:type="paragraph" w:styleId="823">
    <w:name w:val="toc 5"/>
    <w:basedOn w:val="805"/>
    <w:next w:val="805"/>
    <w:uiPriority w:val="39"/>
    <w:unhideWhenUsed/>
    <w:qFormat/>
    <w:pPr>
      <w:ind w:left="1134"/>
      <w:spacing w:after="57"/>
    </w:pPr>
  </w:style>
  <w:style w:type="paragraph" w:styleId="824">
    <w:name w:val="toc 3"/>
    <w:basedOn w:val="805"/>
    <w:next w:val="805"/>
    <w:uiPriority w:val="39"/>
    <w:unhideWhenUsed/>
    <w:qFormat/>
    <w:pPr>
      <w:ind w:left="567"/>
      <w:spacing w:after="57"/>
    </w:pPr>
  </w:style>
  <w:style w:type="paragraph" w:styleId="825">
    <w:name w:val="toc 8"/>
    <w:basedOn w:val="805"/>
    <w:next w:val="805"/>
    <w:uiPriority w:val="39"/>
    <w:unhideWhenUsed/>
    <w:qFormat/>
    <w:pPr>
      <w:ind w:left="1984"/>
      <w:spacing w:after="57"/>
    </w:pPr>
  </w:style>
  <w:style w:type="paragraph" w:styleId="826">
    <w:name w:val="endnote text"/>
    <w:basedOn w:val="805"/>
    <w:link w:val="991"/>
    <w:uiPriority w:val="99"/>
    <w:semiHidden/>
    <w:unhideWhenUsed/>
    <w:qFormat/>
    <w:rPr>
      <w:sz w:val="20"/>
    </w:rPr>
  </w:style>
  <w:style w:type="paragraph" w:styleId="827">
    <w:name w:val="Footer"/>
    <w:basedOn w:val="805"/>
    <w:uiPriority w:val="99"/>
    <w:unhideWhenUsed/>
    <w:qFormat/>
    <w:pPr>
      <w:tabs>
        <w:tab w:val="center" w:pos="7143" w:leader="none"/>
        <w:tab w:val="right" w:pos="14287" w:leader="none"/>
      </w:tabs>
    </w:pPr>
  </w:style>
  <w:style w:type="paragraph" w:styleId="828">
    <w:name w:val="Header"/>
    <w:basedOn w:val="805"/>
    <w:uiPriority w:val="99"/>
    <w:unhideWhenUsed/>
    <w:qFormat/>
    <w:pPr>
      <w:tabs>
        <w:tab w:val="center" w:pos="7143" w:leader="none"/>
        <w:tab w:val="right" w:pos="14287" w:leader="none"/>
      </w:tabs>
    </w:pPr>
  </w:style>
  <w:style w:type="paragraph" w:styleId="829">
    <w:name w:val="toc 1"/>
    <w:basedOn w:val="805"/>
    <w:next w:val="805"/>
    <w:uiPriority w:val="0"/>
    <w:qFormat/>
  </w:style>
  <w:style w:type="paragraph" w:styleId="830">
    <w:name w:val="toc 4"/>
    <w:basedOn w:val="805"/>
    <w:next w:val="805"/>
    <w:uiPriority w:val="39"/>
    <w:unhideWhenUsed/>
    <w:qFormat/>
    <w:pPr>
      <w:ind w:left="850"/>
      <w:spacing w:after="57"/>
    </w:pPr>
  </w:style>
  <w:style w:type="paragraph" w:styleId="831">
    <w:name w:val="Subtitle"/>
    <w:basedOn w:val="805"/>
    <w:next w:val="805"/>
    <w:link w:val="857"/>
    <w:uiPriority w:val="11"/>
    <w:qFormat/>
    <w:pPr>
      <w:spacing w:before="200" w:after="200"/>
    </w:pPr>
    <w:rPr>
      <w:sz w:val="24"/>
      <w:szCs w:val="24"/>
    </w:rPr>
  </w:style>
  <w:style w:type="paragraph" w:styleId="832">
    <w:name w:val="footnote text"/>
    <w:basedOn w:val="805"/>
    <w:link w:val="990"/>
    <w:uiPriority w:val="99"/>
    <w:semiHidden/>
    <w:unhideWhenUsed/>
    <w:qFormat/>
    <w:pPr>
      <w:spacing w:after="40"/>
    </w:pPr>
    <w:rPr>
      <w:sz w:val="18"/>
    </w:rPr>
  </w:style>
  <w:style w:type="paragraph" w:styleId="833">
    <w:name w:val="toc 6"/>
    <w:basedOn w:val="805"/>
    <w:next w:val="805"/>
    <w:uiPriority w:val="39"/>
    <w:unhideWhenUsed/>
    <w:qFormat/>
    <w:pPr>
      <w:ind w:left="1417"/>
      <w:spacing w:after="57"/>
    </w:pPr>
  </w:style>
  <w:style w:type="paragraph" w:styleId="834">
    <w:name w:val="table of figures"/>
    <w:basedOn w:val="805"/>
    <w:next w:val="805"/>
    <w:uiPriority w:val="99"/>
    <w:unhideWhenUsed/>
    <w:qFormat/>
  </w:style>
  <w:style w:type="paragraph" w:styleId="835">
    <w:name w:val="toc 2"/>
    <w:basedOn w:val="805"/>
    <w:next w:val="805"/>
    <w:uiPriority w:val="39"/>
    <w:unhideWhenUsed/>
    <w:qFormat/>
    <w:pPr>
      <w:ind w:left="283"/>
      <w:spacing w:after="57"/>
    </w:pPr>
  </w:style>
  <w:style w:type="paragraph" w:styleId="836">
    <w:name w:val="toc 9"/>
    <w:basedOn w:val="805"/>
    <w:next w:val="805"/>
    <w:uiPriority w:val="39"/>
    <w:unhideWhenUsed/>
    <w:qFormat/>
    <w:pPr>
      <w:ind w:left="2268"/>
      <w:spacing w:after="57"/>
    </w:pPr>
  </w:style>
  <w:style w:type="paragraph" w:styleId="837">
    <w:name w:val="Normal (Web)"/>
    <w:basedOn w:val="805"/>
    <w:uiPriority w:val="99"/>
    <w:qFormat/>
    <w:pPr>
      <w:jc w:val="left"/>
      <w:spacing w:before="100" w:beforeAutospacing="1" w:after="100" w:afterAutospacing="1"/>
      <w:widowControl/>
    </w:pPr>
    <w:rPr>
      <w:rFonts w:ascii="宋体" w:hAnsi="宋体" w:cs="宋体"/>
      <w:sz w:val="24"/>
      <w:szCs w:val="24"/>
    </w:rPr>
  </w:style>
  <w:style w:type="paragraph" w:styleId="838">
    <w:name w:val="Title"/>
    <w:basedOn w:val="805"/>
    <w:next w:val="805"/>
    <w:link w:val="856"/>
    <w:uiPriority w:val="10"/>
    <w:qFormat/>
    <w:pPr>
      <w:contextualSpacing/>
      <w:spacing w:before="300" w:after="200"/>
    </w:pPr>
    <w:rPr>
      <w:sz w:val="48"/>
      <w:szCs w:val="48"/>
    </w:rPr>
  </w:style>
  <w:style w:type="table" w:styleId="83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0">
    <w:name w:val="endnote reference"/>
    <w:basedOn w:val="815"/>
    <w:uiPriority w:val="99"/>
    <w:semiHidden/>
    <w:unhideWhenUsed/>
    <w:qFormat/>
    <w:rPr>
      <w:vertAlign w:val="superscript"/>
    </w:rPr>
  </w:style>
  <w:style w:type="character" w:styleId="841">
    <w:name w:val="Emphasis"/>
    <w:uiPriority w:val="0"/>
    <w:qFormat/>
    <w:rPr>
      <w:i/>
    </w:rPr>
  </w:style>
  <w:style w:type="character" w:styleId="842">
    <w:name w:val="Hyperlink"/>
    <w:uiPriority w:val="99"/>
    <w:unhideWhenUsed/>
    <w:qFormat/>
    <w:rPr>
      <w:color w:val="0000ff" w:themeColor="hyperlink"/>
      <w:u w:val="single"/>
      <w14:textFill>
        <w14:solidFill>
          <w14:schemeClr w14:val="hlink"/>
        </w14:solidFill>
      </w14:textFill>
    </w:rPr>
  </w:style>
  <w:style w:type="character" w:styleId="843">
    <w:name w:val="annotation reference"/>
    <w:basedOn w:val="815"/>
    <w:uiPriority w:val="99"/>
    <w:semiHidden/>
    <w:unhideWhenUsed/>
    <w:qFormat/>
    <w:rPr>
      <w:sz w:val="21"/>
      <w:szCs w:val="21"/>
    </w:rPr>
  </w:style>
  <w:style w:type="character" w:styleId="844">
    <w:name w:val="footnote reference"/>
    <w:basedOn w:val="815"/>
    <w:uiPriority w:val="99"/>
    <w:unhideWhenUsed/>
    <w:qFormat/>
    <w:rPr>
      <w:vertAlign w:val="superscript"/>
    </w:rPr>
  </w:style>
  <w:style w:type="character" w:styleId="845" w:customStyle="1">
    <w:name w:val="标题 1 字符"/>
    <w:basedOn w:val="815"/>
    <w:link w:val="806"/>
    <w:uiPriority w:val="9"/>
    <w:qFormat/>
    <w:rPr>
      <w:rFonts w:ascii="Arial" w:hAnsi="Arial" w:eastAsia="Arial" w:cs="Arial"/>
      <w:sz w:val="40"/>
      <w:szCs w:val="40"/>
    </w:rPr>
  </w:style>
  <w:style w:type="character" w:styleId="846" w:customStyle="1">
    <w:name w:val="标题 2 字符"/>
    <w:basedOn w:val="815"/>
    <w:link w:val="807"/>
    <w:uiPriority w:val="9"/>
    <w:qFormat/>
    <w:rPr>
      <w:rFonts w:ascii="Arial" w:hAnsi="Arial" w:eastAsia="Arial" w:cs="Arial"/>
      <w:sz w:val="34"/>
    </w:rPr>
  </w:style>
  <w:style w:type="character" w:styleId="847" w:customStyle="1">
    <w:name w:val="标题 3 字符"/>
    <w:basedOn w:val="815"/>
    <w:link w:val="808"/>
    <w:uiPriority w:val="9"/>
    <w:qFormat/>
    <w:rPr>
      <w:rFonts w:ascii="Arial" w:hAnsi="Arial" w:eastAsia="Arial" w:cs="Arial"/>
      <w:sz w:val="30"/>
      <w:szCs w:val="30"/>
    </w:rPr>
  </w:style>
  <w:style w:type="character" w:styleId="848" w:customStyle="1">
    <w:name w:val="标题 4 字符"/>
    <w:basedOn w:val="815"/>
    <w:link w:val="809"/>
    <w:uiPriority w:val="9"/>
    <w:qFormat/>
    <w:rPr>
      <w:rFonts w:ascii="Arial" w:hAnsi="Arial" w:eastAsia="Arial" w:cs="Arial"/>
      <w:b/>
      <w:bCs/>
      <w:sz w:val="26"/>
      <w:szCs w:val="26"/>
    </w:rPr>
  </w:style>
  <w:style w:type="character" w:styleId="849" w:customStyle="1">
    <w:name w:val="标题 5 字符"/>
    <w:basedOn w:val="815"/>
    <w:link w:val="810"/>
    <w:uiPriority w:val="9"/>
    <w:qFormat/>
    <w:rPr>
      <w:rFonts w:ascii="Arial" w:hAnsi="Arial" w:eastAsia="Arial" w:cs="Arial"/>
      <w:b/>
      <w:bCs/>
      <w:sz w:val="24"/>
      <w:szCs w:val="24"/>
    </w:rPr>
  </w:style>
  <w:style w:type="character" w:styleId="850" w:customStyle="1">
    <w:name w:val="标题 6 字符"/>
    <w:basedOn w:val="815"/>
    <w:link w:val="811"/>
    <w:uiPriority w:val="9"/>
    <w:qFormat/>
    <w:rPr>
      <w:rFonts w:ascii="Arial" w:hAnsi="Arial" w:eastAsia="Arial" w:cs="Arial"/>
      <w:b/>
      <w:bCs/>
      <w:sz w:val="22"/>
      <w:szCs w:val="22"/>
    </w:rPr>
  </w:style>
  <w:style w:type="character" w:styleId="851" w:customStyle="1">
    <w:name w:val="标题 7 字符"/>
    <w:basedOn w:val="815"/>
    <w:link w:val="812"/>
    <w:uiPriority w:val="9"/>
    <w:qFormat/>
    <w:rPr>
      <w:rFonts w:ascii="Arial" w:hAnsi="Arial" w:eastAsia="Arial" w:cs="Arial"/>
      <w:b/>
      <w:bCs/>
      <w:i/>
      <w:iCs/>
      <w:sz w:val="22"/>
      <w:szCs w:val="22"/>
    </w:rPr>
  </w:style>
  <w:style w:type="character" w:styleId="852" w:customStyle="1">
    <w:name w:val="标题 8 字符"/>
    <w:basedOn w:val="815"/>
    <w:link w:val="813"/>
    <w:uiPriority w:val="9"/>
    <w:qFormat/>
    <w:rPr>
      <w:rFonts w:ascii="Arial" w:hAnsi="Arial" w:eastAsia="Arial" w:cs="Arial"/>
      <w:i/>
      <w:iCs/>
      <w:sz w:val="22"/>
      <w:szCs w:val="22"/>
    </w:rPr>
  </w:style>
  <w:style w:type="character" w:styleId="853" w:customStyle="1">
    <w:name w:val="标题 9 字符"/>
    <w:basedOn w:val="815"/>
    <w:link w:val="814"/>
    <w:uiPriority w:val="9"/>
    <w:qFormat/>
    <w:rPr>
      <w:rFonts w:ascii="Arial" w:hAnsi="Arial" w:eastAsia="Arial" w:cs="Arial"/>
      <w:i/>
      <w:iCs/>
      <w:sz w:val="21"/>
      <w:szCs w:val="21"/>
    </w:rPr>
  </w:style>
  <w:style w:type="paragraph" w:styleId="854">
    <w:name w:val="List Paragraph"/>
    <w:basedOn w:val="805"/>
    <w:uiPriority w:val="34"/>
    <w:qFormat/>
    <w:pPr>
      <w:contextualSpacing/>
      <w:ind w:left="720"/>
    </w:pPr>
  </w:style>
  <w:style w:type="paragraph" w:styleId="855">
    <w:name w:val="No Spacing"/>
    <w:uiPriority w:val="1"/>
    <w:qFormat/>
    <w:rPr>
      <w:rFonts w:ascii="Times New Roman" w:hAnsi="Times New Roman" w:eastAsia="宋体" w:cs="Times New Roman"/>
      <w:lang w:val="en-US" w:eastAsia="zh-CN" w:bidi="ar-SA"/>
    </w:rPr>
  </w:style>
  <w:style w:type="character" w:styleId="856" w:customStyle="1">
    <w:name w:val="标题 字符"/>
    <w:basedOn w:val="815"/>
    <w:link w:val="838"/>
    <w:uiPriority w:val="10"/>
    <w:qFormat/>
    <w:rPr>
      <w:sz w:val="48"/>
      <w:szCs w:val="48"/>
    </w:rPr>
  </w:style>
  <w:style w:type="character" w:styleId="857" w:customStyle="1">
    <w:name w:val="副标题 字符"/>
    <w:basedOn w:val="815"/>
    <w:link w:val="831"/>
    <w:uiPriority w:val="11"/>
    <w:qFormat/>
    <w:rPr>
      <w:sz w:val="24"/>
      <w:szCs w:val="24"/>
    </w:rPr>
  </w:style>
  <w:style w:type="paragraph" w:styleId="858">
    <w:name w:val="Quote"/>
    <w:basedOn w:val="805"/>
    <w:next w:val="805"/>
    <w:link w:val="859"/>
    <w:uiPriority w:val="29"/>
    <w:qFormat/>
    <w:pPr>
      <w:ind w:left="720" w:right="720"/>
    </w:pPr>
    <w:rPr>
      <w:i/>
    </w:rPr>
  </w:style>
  <w:style w:type="character" w:styleId="859" w:customStyle="1">
    <w:name w:val="引用 字符"/>
    <w:link w:val="858"/>
    <w:uiPriority w:val="29"/>
    <w:qFormat/>
    <w:rPr>
      <w:i/>
    </w:rPr>
  </w:style>
  <w:style w:type="paragraph" w:styleId="860">
    <w:name w:val="Intense Quote"/>
    <w:basedOn w:val="805"/>
    <w:next w:val="805"/>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明显引用 字符"/>
    <w:link w:val="860"/>
    <w:uiPriority w:val="30"/>
    <w:qFormat/>
    <w:rPr>
      <w:i/>
    </w:rPr>
  </w:style>
  <w:style w:type="character" w:styleId="862" w:customStyle="1">
    <w:name w:val="Header Char"/>
    <w:basedOn w:val="815"/>
    <w:uiPriority w:val="99"/>
    <w:qFormat/>
  </w:style>
  <w:style w:type="character" w:styleId="863" w:customStyle="1">
    <w:name w:val="Footer Char"/>
    <w:basedOn w:val="815"/>
    <w:uiPriority w:val="99"/>
    <w:qFormat/>
  </w:style>
  <w:style w:type="character" w:styleId="864" w:customStyle="1">
    <w:name w:val="Caption Char"/>
    <w:uiPriority w:val="99"/>
    <w:qFormat/>
  </w:style>
  <w:style w:type="table" w:styleId="865" w:customStyle="1">
    <w:name w:val="Table Grid Light"/>
    <w:basedOn w:val="81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6" w:customStyle="1">
    <w:name w:val="无格式表格 11"/>
    <w:basedOn w:val="81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21"/>
    <w:basedOn w:val="81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31"/>
    <w:basedOn w:val="81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customStyle="1">
    <w:name w:val="无格式表格 41"/>
    <w:basedOn w:val="81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customStyle="1">
    <w:name w:val="无格式表格 51"/>
    <w:basedOn w:val="81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1" w:customStyle="1">
    <w:name w:val="网格表 1 浅色1"/>
    <w:basedOn w:val="81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1"/>
    <w:basedOn w:val="81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2"/>
    <w:basedOn w:val="81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3"/>
    <w:basedOn w:val="81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4"/>
    <w:basedOn w:val="81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5"/>
    <w:basedOn w:val="81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6"/>
    <w:basedOn w:val="81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8" w:customStyle="1">
    <w:name w:val="网格表 21"/>
    <w:basedOn w:val="81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9" w:customStyle="1">
    <w:name w:val="Grid Table 2 - Accent 1"/>
    <w:basedOn w:val="81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0" w:customStyle="1">
    <w:name w:val="Grid Table 2 - Accent 2"/>
    <w:basedOn w:val="81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2 - Accent 3"/>
    <w:basedOn w:val="81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2 - Accent 4"/>
    <w:basedOn w:val="81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2 - Accent 5"/>
    <w:basedOn w:val="81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Grid Table 2 - Accent 6"/>
    <w:basedOn w:val="81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网格表 31"/>
    <w:basedOn w:val="81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1"/>
    <w:basedOn w:val="81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2"/>
    <w:basedOn w:val="81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3"/>
    <w:basedOn w:val="81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4"/>
    <w:basedOn w:val="81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5"/>
    <w:basedOn w:val="81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6"/>
    <w:basedOn w:val="81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网格表 41"/>
    <w:basedOn w:val="81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customStyle="1">
    <w:name w:val="Grid Table 4 - Accent 1"/>
    <w:basedOn w:val="81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4" w:customStyle="1">
    <w:name w:val="Grid Table 4 - Accent 2"/>
    <w:basedOn w:val="81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5" w:customStyle="1">
    <w:name w:val="Grid Table 4 - Accent 3"/>
    <w:basedOn w:val="81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6" w:customStyle="1">
    <w:name w:val="Grid Table 4 - Accent 4"/>
    <w:basedOn w:val="81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7" w:customStyle="1">
    <w:name w:val="Grid Table 4 - Accent 5"/>
    <w:basedOn w:val="81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8" w:customStyle="1">
    <w:name w:val="Grid Table 4 - Accent 6"/>
    <w:basedOn w:val="81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9" w:customStyle="1">
    <w:name w:val="网格表 5 深色1"/>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0" w:customStyle="1">
    <w:name w:val="Grid Table 5 Dark- Accent 1"/>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1" w:customStyle="1">
    <w:name w:val="Grid Table 5 Dark - Accent 2"/>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2" w:customStyle="1">
    <w:name w:val="Grid Table 5 Dark - Accent 3"/>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3" w:customStyle="1">
    <w:name w:val="Grid Table 5 Dark- Accent 4"/>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4" w:customStyle="1">
    <w:name w:val="Grid Table 5 Dark - Accent 5"/>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5" w:customStyle="1">
    <w:name w:val="Grid Table 5 Dark - Accent 6"/>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6" w:customStyle="1">
    <w:name w:val="网格表 6 彩色1"/>
    <w:basedOn w:val="81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7" w:customStyle="1">
    <w:name w:val="Grid Table 6 Colorful - Accent 1"/>
    <w:basedOn w:val="81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8" w:customStyle="1">
    <w:name w:val="Grid Table 6 Colorful - Accent 2"/>
    <w:basedOn w:val="81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9" w:customStyle="1">
    <w:name w:val="Grid Table 6 Colorful - Accent 3"/>
    <w:basedOn w:val="81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0" w:customStyle="1">
    <w:name w:val="Grid Table 6 Colorful - Accent 4"/>
    <w:basedOn w:val="81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1" w:customStyle="1">
    <w:name w:val="Grid Table 6 Colorful - Accent 5"/>
    <w:basedOn w:val="81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2" w:customStyle="1">
    <w:name w:val="Grid Table 6 Colorful - Accent 6"/>
    <w:basedOn w:val="81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3" w:customStyle="1">
    <w:name w:val="网格表 7 彩色1"/>
    <w:basedOn w:val="81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Grid Table 7 Colorful - Accent 1"/>
    <w:basedOn w:val="81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5" w:customStyle="1">
    <w:name w:val="Grid Table 7 Colorful - Accent 2"/>
    <w:basedOn w:val="81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Grid Table 7 Colorful - Accent 3"/>
    <w:basedOn w:val="81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7" w:customStyle="1">
    <w:name w:val="Grid Table 7 Colorful - Accent 4"/>
    <w:basedOn w:val="81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Grid Table 7 Colorful - Accent 5"/>
    <w:basedOn w:val="81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9" w:customStyle="1">
    <w:name w:val="Grid Table 7 Colorful - Accent 6"/>
    <w:basedOn w:val="81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0" w:customStyle="1">
    <w:name w:val="清单表 1 浅色1"/>
    <w:basedOn w:val="81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customStyle="1">
    <w:name w:val="List Table 1 Light - Accent 1"/>
    <w:basedOn w:val="81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1 Light - Accent 2"/>
    <w:basedOn w:val="816"/>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3" w:customStyle="1">
    <w:name w:val="List Table 1 Light - Accent 3"/>
    <w:basedOn w:val="816"/>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4" w:customStyle="1">
    <w:name w:val="List Table 1 Light - Accent 4"/>
    <w:basedOn w:val="81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5" w:customStyle="1">
    <w:name w:val="List Table 1 Light - Accent 5"/>
    <w:basedOn w:val="81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6" w:customStyle="1">
    <w:name w:val="List Table 1 Light - Accent 6"/>
    <w:basedOn w:val="816"/>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7" w:customStyle="1">
    <w:name w:val="清单表 21"/>
    <w:basedOn w:val="81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8" w:customStyle="1">
    <w:name w:val="List Table 2 - Accent 1"/>
    <w:basedOn w:val="81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9" w:customStyle="1">
    <w:name w:val="List Table 2 - Accent 2"/>
    <w:basedOn w:val="81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0" w:customStyle="1">
    <w:name w:val="List Table 2 - Accent 3"/>
    <w:basedOn w:val="81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1" w:customStyle="1">
    <w:name w:val="List Table 2 - Accent 4"/>
    <w:basedOn w:val="81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2" w:customStyle="1">
    <w:name w:val="List Table 2 - Accent 5"/>
    <w:basedOn w:val="81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3" w:customStyle="1">
    <w:name w:val="List Table 2 - Accent 6"/>
    <w:basedOn w:val="81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4" w:customStyle="1">
    <w:name w:val="清单表 31"/>
    <w:basedOn w:val="8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3 - Accent 1"/>
    <w:basedOn w:val="81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6" w:customStyle="1">
    <w:name w:val="List Table 3 - Accent 2"/>
    <w:basedOn w:val="81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7" w:customStyle="1">
    <w:name w:val="List Table 3 - Accent 3"/>
    <w:basedOn w:val="81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8" w:customStyle="1">
    <w:name w:val="List Table 3 - Accent 4"/>
    <w:basedOn w:val="81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9" w:customStyle="1">
    <w:name w:val="List Table 3 - Accent 5"/>
    <w:basedOn w:val="81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0" w:customStyle="1">
    <w:name w:val="List Table 3 - Accent 6"/>
    <w:basedOn w:val="81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1" w:customStyle="1">
    <w:name w:val="清单表 41"/>
    <w:basedOn w:val="8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4 - Accent 1"/>
    <w:basedOn w:val="81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4 - Accent 2"/>
    <w:basedOn w:val="81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4" w:customStyle="1">
    <w:name w:val="List Table 4 - Accent 3"/>
    <w:basedOn w:val="81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5" w:customStyle="1">
    <w:name w:val="List Table 4 - Accent 4"/>
    <w:basedOn w:val="81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6" w:customStyle="1">
    <w:name w:val="List Table 4 - Accent 5"/>
    <w:basedOn w:val="81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7" w:customStyle="1">
    <w:name w:val="List Table 4 - Accent 6"/>
    <w:basedOn w:val="81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8" w:customStyle="1">
    <w:name w:val="清单表 5 深色1"/>
    <w:basedOn w:val="81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1"/>
    <w:basedOn w:val="81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2"/>
    <w:basedOn w:val="81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3"/>
    <w:basedOn w:val="81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4"/>
    <w:basedOn w:val="81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5"/>
    <w:basedOn w:val="81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6"/>
    <w:basedOn w:val="81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清单表 6 彩色1"/>
    <w:basedOn w:val="81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6" w:customStyle="1">
    <w:name w:val="List Table 6 Colorful - Accent 1"/>
    <w:basedOn w:val="816"/>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7" w:customStyle="1">
    <w:name w:val="List Table 6 Colorful - Accent 2"/>
    <w:basedOn w:val="816"/>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8" w:customStyle="1">
    <w:name w:val="List Table 6 Colorful - Accent 3"/>
    <w:basedOn w:val="816"/>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9" w:customStyle="1">
    <w:name w:val="List Table 6 Colorful - Accent 4"/>
    <w:basedOn w:val="81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0" w:customStyle="1">
    <w:name w:val="List Table 6 Colorful - Accent 5"/>
    <w:basedOn w:val="81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1" w:customStyle="1">
    <w:name w:val="List Table 6 Colorful - Accent 6"/>
    <w:basedOn w:val="81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2" w:customStyle="1">
    <w:name w:val="清单表 7 彩色1"/>
    <w:basedOn w:val="81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3" w:customStyle="1">
    <w:name w:val="List Table 7 Colorful - Accent 1"/>
    <w:basedOn w:val="816"/>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4" w:customStyle="1">
    <w:name w:val="List Table 7 Colorful - Accent 2"/>
    <w:basedOn w:val="816"/>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5" w:customStyle="1">
    <w:name w:val="List Table 7 Colorful - Accent 3"/>
    <w:basedOn w:val="816"/>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6" w:customStyle="1">
    <w:name w:val="List Table 7 Colorful - Accent 4"/>
    <w:basedOn w:val="816"/>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List Table 7 Colorful - Accent 5"/>
    <w:basedOn w:val="816"/>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8" w:customStyle="1">
    <w:name w:val="List Table 7 Colorful - Accent 6"/>
    <w:basedOn w:val="816"/>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9" w:customStyle="1">
    <w:name w:val="Lined - Accent"/>
    <w:basedOn w:val="8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Lined - Accent 1"/>
    <w:basedOn w:val="8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1" w:customStyle="1">
    <w:name w:val="Lined - Accent 2"/>
    <w:basedOn w:val="8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2" w:customStyle="1">
    <w:name w:val="Lined - Accent 3"/>
    <w:basedOn w:val="8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3" w:customStyle="1">
    <w:name w:val="Lined - Accent 4"/>
    <w:basedOn w:val="8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4" w:customStyle="1">
    <w:name w:val="Lined - Accent 5"/>
    <w:basedOn w:val="8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5" w:customStyle="1">
    <w:name w:val="Lined - Accent 6"/>
    <w:basedOn w:val="8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6" w:customStyle="1">
    <w:name w:val="Bordered &amp; Lined - Accent"/>
    <w:basedOn w:val="81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Bordered &amp; Lined - Accent 1"/>
    <w:basedOn w:val="81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Bordered &amp; Lined - Accent 2"/>
    <w:basedOn w:val="81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Bordered &amp; Lined - Accent 3"/>
    <w:basedOn w:val="81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Bordered &amp; Lined - Accent 4"/>
    <w:basedOn w:val="81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Bordered &amp; Lined - Accent 5"/>
    <w:basedOn w:val="81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Bordered &amp; Lined - Accent 6"/>
    <w:basedOn w:val="81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w:basedOn w:val="81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4" w:customStyle="1">
    <w:name w:val="Bordered - Accent 1"/>
    <w:basedOn w:val="81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5" w:customStyle="1">
    <w:name w:val="Bordered - Accent 2"/>
    <w:basedOn w:val="81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6" w:customStyle="1">
    <w:name w:val="Bordered - Accent 3"/>
    <w:basedOn w:val="81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7" w:customStyle="1">
    <w:name w:val="Bordered - Accent 4"/>
    <w:basedOn w:val="81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8" w:customStyle="1">
    <w:name w:val="Bordered - Accent 5"/>
    <w:basedOn w:val="81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9" w:customStyle="1">
    <w:name w:val="Bordered - Accent 6"/>
    <w:basedOn w:val="81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0" w:customStyle="1">
    <w:name w:val="脚注文本 字符"/>
    <w:link w:val="832"/>
    <w:uiPriority w:val="99"/>
    <w:qFormat/>
    <w:rPr>
      <w:sz w:val="18"/>
    </w:rPr>
  </w:style>
  <w:style w:type="character" w:styleId="991" w:customStyle="1">
    <w:name w:val="尾注文本 字符"/>
    <w:link w:val="826"/>
    <w:uiPriority w:val="99"/>
    <w:qFormat/>
    <w:rPr>
      <w:sz w:val="20"/>
    </w:rPr>
  </w:style>
  <w:style w:type="paragraph" w:styleId="992" w:customStyle="1">
    <w:name w:val="TOC 标题1"/>
    <w:uiPriority w:val="39"/>
    <w:unhideWhenUsed/>
    <w:qFormat/>
    <w:rPr>
      <w:rFonts w:ascii="Times New Roman" w:hAnsi="Times New Roman" w:eastAsia="宋体" w:cs="Times New Roman"/>
      <w:lang w:val="en-US" w:eastAsia="zh-CN" w:bidi="ar-SA"/>
    </w:rPr>
  </w:style>
  <w:style w:type="paragraph" w:styleId="993" w:customStyle="1">
    <w:name w:val="标题 11"/>
    <w:uiPriority w:val="0"/>
    <w:qFormat/>
    <w:pPr>
      <w:jc w:val="both"/>
      <w:keepLines/>
      <w:keepNext/>
      <w:spacing w:before="480" w:after="200"/>
      <w:widowControl w:val="off"/>
      <w:outlineLvl w:val="0"/>
    </w:pPr>
    <w:rPr>
      <w:rFonts w:ascii="Arial" w:hAnsi="Arial" w:eastAsia="Arial" w:cs="Times New Roman"/>
      <w:sz w:val="40"/>
      <w:szCs w:val="40"/>
      <w:lang w:val="en-US" w:eastAsia="zh-CN" w:bidi="ar-SA"/>
    </w:rPr>
  </w:style>
  <w:style w:type="paragraph" w:styleId="994" w:customStyle="1">
    <w:name w:val="标题 212"/>
    <w:basedOn w:val="805"/>
    <w:uiPriority w:val="0"/>
    <w:qFormat/>
    <w:pPr>
      <w:keepLines/>
      <w:keepNext/>
      <w:spacing w:before="360" w:after="200"/>
      <w:outlineLvl w:val="1"/>
    </w:pPr>
    <w:rPr>
      <w:rFonts w:ascii="Arial" w:hAnsi="Arial"/>
      <w:sz w:val="34"/>
    </w:rPr>
  </w:style>
  <w:style w:type="character" w:styleId="995" w:customStyle="1">
    <w:name w:val="默认段落字体13"/>
    <w:uiPriority w:val="0"/>
    <w:semiHidden/>
    <w:qFormat/>
  </w:style>
  <w:style w:type="table" w:styleId="996" w:customStyle="1">
    <w:name w:val="普通表格1"/>
    <w:uiPriority w:val="0"/>
    <w:semiHidden/>
    <w:qFormat/>
    <w:tblPr>
      <w:tblCellMar>
        <w:left w:w="0" w:type="dxa"/>
        <w:top w:w="0" w:type="dxa"/>
        <w:right w:w="0" w:type="dxa"/>
        <w:bottom w:w="0" w:type="dxa"/>
      </w:tblCellMar>
    </w:tblPr>
  </w:style>
  <w:style w:type="paragraph" w:styleId="997" w:customStyle="1">
    <w:name w:val="正文缩进11"/>
    <w:basedOn w:val="805"/>
    <w:uiPriority w:val="0"/>
    <w:qFormat/>
    <w:pPr>
      <w:ind w:firstLine="420"/>
      <w:jc w:val="left"/>
    </w:pPr>
    <w:rPr>
      <w:sz w:val="24"/>
      <w:szCs w:val="24"/>
    </w:rPr>
  </w:style>
  <w:style w:type="paragraph" w:styleId="998" w:customStyle="1">
    <w:name w:val="批注文字1"/>
    <w:basedOn w:val="805"/>
    <w:uiPriority w:val="0"/>
    <w:qFormat/>
    <w:pPr>
      <w:jc w:val="left"/>
    </w:pPr>
  </w:style>
  <w:style w:type="paragraph" w:styleId="999" w:customStyle="1">
    <w:name w:val="正文文本缩进11"/>
    <w:basedOn w:val="805"/>
    <w:uiPriority w:val="0"/>
    <w:qFormat/>
    <w:pPr>
      <w:ind w:firstLine="645"/>
    </w:pPr>
    <w:rPr>
      <w:rFonts w:ascii="楷体_GB2312" w:hAnsi="宋体" w:eastAsia="楷体_GB2312"/>
      <w:sz w:val="32"/>
      <w:szCs w:val="32"/>
    </w:rPr>
  </w:style>
  <w:style w:type="paragraph" w:styleId="1000" w:customStyle="1">
    <w:name w:val="寄信人地址11"/>
    <w:uiPriority w:val="0"/>
    <w:qFormat/>
    <w:pPr>
      <w:jc w:val="both"/>
      <w:widowControl w:val="off"/>
    </w:pPr>
    <w:rPr>
      <w:rFonts w:ascii="Arial" w:hAnsi="Arial" w:eastAsia="宋体" w:cs="Times New Roman"/>
      <w:sz w:val="21"/>
      <w:szCs w:val="22"/>
      <w:lang w:val="en-US" w:eastAsia="zh-CN" w:bidi="ar-SA"/>
    </w:rPr>
  </w:style>
  <w:style w:type="paragraph" w:styleId="1001" w:customStyle="1">
    <w:name w:val="普通(网站)1"/>
    <w:basedOn w:val="805"/>
    <w:uiPriority w:val="0"/>
    <w:qFormat/>
    <w:pPr>
      <w:jc w:val="left"/>
      <w:spacing w:beforeAutospacing="1" w:afterAutospacing="1"/>
    </w:pPr>
    <w:rPr>
      <w:sz w:val="24"/>
    </w:rPr>
  </w:style>
  <w:style w:type="paragraph" w:styleId="1002" w:customStyle="1">
    <w:name w:val="正文首行缩进 21"/>
    <w:basedOn w:val="999"/>
    <w:uiPriority w:val="0"/>
    <w:qFormat/>
    <w:pPr>
      <w:ind w:left="420" w:firstLine="420"/>
      <w:spacing w:line="360" w:lineRule="exact"/>
    </w:pPr>
    <w:rPr>
      <w:rFonts w:ascii="Times New Roman" w:hAnsi="Times New Roman" w:eastAsia="宋体"/>
      <w:sz w:val="21"/>
      <w:szCs w:val="22"/>
    </w:rPr>
  </w:style>
  <w:style w:type="table" w:styleId="1003" w:customStyle="1">
    <w:name w:val="网格型11"/>
    <w:uiPriority w:val="0"/>
    <w:qFormat/>
    <w:tblPr>
      <w:tblCellMar>
        <w:left w:w="0" w:type="dxa"/>
        <w:top w:w="0" w:type="dxa"/>
        <w:right w:w="0" w:type="dxa"/>
        <w:bottom w:w="0" w:type="dxa"/>
      </w:tblCellMar>
    </w:tblPr>
  </w:style>
  <w:style w:type="character" w:styleId="1004" w:customStyle="1">
    <w:name w:val="要点1"/>
    <w:uiPriority w:val="0"/>
    <w:qFormat/>
    <w:rPr>
      <w:b/>
    </w:rPr>
  </w:style>
  <w:style w:type="character" w:styleId="1005" w:customStyle="1">
    <w:name w:val="超链接1"/>
    <w:basedOn w:val="995"/>
    <w:uiPriority w:val="0"/>
    <w:qFormat/>
    <w:rPr>
      <w:color w:val="0000ff"/>
      <w:u w:val="single"/>
    </w:rPr>
  </w:style>
  <w:style w:type="character" w:styleId="1006" w:customStyle="1">
    <w:name w:val="默认段落字体11"/>
    <w:uiPriority w:val="0"/>
    <w:qFormat/>
    <w:rPr>
      <w:rFonts w:ascii="Calibri" w:hAnsi="Calibri" w:eastAsia="宋体"/>
      <w:sz w:val="21"/>
      <w:szCs w:val="22"/>
      <w:lang w:val="en-US" w:eastAsia="zh-CN" w:bidi="ar-SA"/>
    </w:rPr>
  </w:style>
  <w:style w:type="paragraph" w:styleId="1007" w:customStyle="1">
    <w:name w:val="标题 211"/>
    <w:basedOn w:val="805"/>
    <w:uiPriority w:val="0"/>
    <w:qFormat/>
    <w:pPr>
      <w:jc w:val="center"/>
      <w:keepLines/>
      <w:keepNext/>
      <w:spacing w:before="260" w:after="260" w:line="416" w:lineRule="auto"/>
      <w:outlineLvl w:val="1"/>
    </w:pPr>
    <w:rPr>
      <w:rFonts w:ascii="幼圆" w:eastAsia="楷体_GB2312"/>
      <w:b/>
      <w:sz w:val="44"/>
      <w:szCs w:val="20"/>
    </w:rPr>
  </w:style>
  <w:style w:type="character" w:styleId="1008" w:customStyle="1">
    <w:name w:val="已访问的超链接1"/>
    <w:uiPriority w:val="0"/>
    <w:qFormat/>
    <w:rPr>
      <w:color w:val="800080"/>
      <w:u w:val="single"/>
    </w:rPr>
  </w:style>
  <w:style w:type="paragraph" w:styleId="1009" w:customStyle="1">
    <w:name w:val="普通正文"/>
    <w:uiPriority w:val="0"/>
    <w:qFormat/>
    <w:pPr>
      <w:ind w:firstLine="480"/>
      <w:spacing w:before="120" w:after="120" w:line="360" w:lineRule="auto"/>
      <w:widowControl w:val="off"/>
    </w:pPr>
    <w:rPr>
      <w:rFonts w:ascii="Arial" w:hAnsi="Arial" w:eastAsia="宋体" w:cs="Times New Roman"/>
      <w:sz w:val="24"/>
      <w:szCs w:val="22"/>
      <w:lang w:val="en-US" w:eastAsia="zh-CN" w:bidi="ar-SA"/>
    </w:rPr>
  </w:style>
  <w:style w:type="paragraph" w:styleId="1010" w:customStyle="1">
    <w:name w:val="日期1"/>
    <w:uiPriority w:val="0"/>
    <w:qFormat/>
    <w:pPr>
      <w:jc w:val="both"/>
      <w:widowControl w:val="off"/>
    </w:pPr>
    <w:rPr>
      <w:rFonts w:ascii="Calibri" w:hAnsi="Calibri" w:eastAsia="宋体" w:cs="Times New Roman"/>
      <w:sz w:val="24"/>
      <w:szCs w:val="22"/>
      <w:lang w:val="en-US" w:eastAsia="zh-CN" w:bidi="ar-SA"/>
    </w:rPr>
  </w:style>
  <w:style w:type="paragraph" w:styleId="1011" w:customStyle="1">
    <w:name w:val="WPSOffice手动目录 1"/>
    <w:uiPriority w:val="0"/>
    <w:qFormat/>
    <w:rPr>
      <w:rFonts w:ascii="Times New Roman" w:hAnsi="Times New Roman" w:eastAsia="宋体" w:cs="Times New Roman"/>
      <w:lang w:val="en-US" w:eastAsia="zh-CN" w:bidi="ar-SA"/>
    </w:rPr>
  </w:style>
  <w:style w:type="paragraph" w:styleId="1012" w:customStyle="1">
    <w:name w:val="Normal_14"/>
    <w:uiPriority w:val="0"/>
    <w:qFormat/>
    <w:rPr>
      <w:rFonts w:ascii="Times New Roman" w:hAnsi="Times New Roman" w:eastAsia="Times New Roman" w:cs="Times New Roman"/>
      <w:sz w:val="24"/>
      <w:szCs w:val="24"/>
      <w:lang w:val="en-US" w:eastAsia="zh-CN" w:bidi="ar-SA"/>
    </w:rPr>
  </w:style>
  <w:style w:type="paragraph" w:styleId="1013" w:customStyle="1">
    <w:name w:val="标题11"/>
    <w:uiPriority w:val="0"/>
    <w:qFormat/>
    <w:pPr>
      <w:jc w:val="center"/>
      <w:spacing w:before="240" w:after="60"/>
      <w:widowControl w:val="off"/>
      <w:outlineLvl w:val="0"/>
    </w:pPr>
    <w:rPr>
      <w:rFonts w:ascii="Arial" w:hAnsi="Arial" w:eastAsia="黑体" w:cs="Times New Roman"/>
      <w:b/>
      <w:bCs/>
      <w:sz w:val="44"/>
      <w:szCs w:val="32"/>
      <w:lang w:val="en-US" w:eastAsia="zh-CN" w:bidi="ar-SA"/>
    </w:rPr>
  </w:style>
  <w:style w:type="paragraph" w:styleId="1014" w:customStyle="1">
    <w:name w:val="标题 21"/>
    <w:uiPriority w:val="0"/>
    <w:qFormat/>
    <w:pPr>
      <w:jc w:val="center"/>
      <w:keepLines/>
      <w:keepNext/>
      <w:spacing w:before="260" w:after="260" w:line="415" w:lineRule="auto"/>
      <w:widowControl w:val="off"/>
      <w:outlineLvl w:val="1"/>
    </w:pPr>
    <w:rPr>
      <w:rFonts w:ascii="Arial" w:hAnsi="Arial" w:eastAsia="幼圆" w:cs="Times New Roman"/>
      <w:b/>
      <w:bCs/>
      <w:sz w:val="44"/>
      <w:szCs w:val="44"/>
      <w:lang w:val="en-US" w:eastAsia="zh-CN" w:bidi="ar-SA"/>
    </w:rPr>
  </w:style>
  <w:style w:type="character" w:styleId="1015" w:customStyle="1">
    <w:name w:val="标题 4 Char"/>
    <w:uiPriority w:val="0"/>
    <w:qFormat/>
    <w:rPr>
      <w:rFonts w:ascii="Cambria" w:hAnsi="Cambria" w:eastAsia="宋体"/>
      <w:b/>
      <w:bCs/>
      <w:sz w:val="28"/>
      <w:szCs w:val="28"/>
    </w:rPr>
  </w:style>
  <w:style w:type="paragraph" w:styleId="1016" w:customStyle="1">
    <w:name w:val="p0"/>
    <w:uiPriority w:val="0"/>
    <w:qFormat/>
    <w:pPr>
      <w:jc w:val="both"/>
    </w:pPr>
    <w:rPr>
      <w:rFonts w:ascii="Calibri" w:hAnsi="Calibri" w:eastAsia="宋体" w:cs="Times New Roman"/>
      <w:sz w:val="21"/>
      <w:szCs w:val="21"/>
      <w:lang w:val="en-US" w:eastAsia="zh-CN" w:bidi="ar-SA"/>
    </w:rPr>
  </w:style>
  <w:style w:type="paragraph" w:styleId="1017" w:customStyle="1">
    <w:name w:val="Normal_4"/>
    <w:uiPriority w:val="0"/>
    <w:qFormat/>
    <w:rPr>
      <w:rFonts w:ascii="Times New Roman" w:hAnsi="Times New Roman" w:eastAsia="Times New Roman" w:cs="Times New Roman"/>
      <w:sz w:val="24"/>
      <w:szCs w:val="24"/>
      <w:lang w:val="en-US" w:eastAsia="zh-CN" w:bidi="ar-SA"/>
    </w:rPr>
  </w:style>
  <w:style w:type="paragraph" w:styleId="1018" w:customStyle="1">
    <w:name w:val="Normal_5"/>
    <w:uiPriority w:val="0"/>
    <w:qFormat/>
    <w:rPr>
      <w:rFonts w:ascii="Times New Roman" w:hAnsi="Times New Roman" w:eastAsia="Times New Roman" w:cs="Times New Roman"/>
      <w:sz w:val="24"/>
      <w:szCs w:val="24"/>
      <w:lang w:val="en-US" w:eastAsia="zh-CN" w:bidi="ar-SA"/>
    </w:rPr>
  </w:style>
  <w:style w:type="paragraph" w:styleId="1019" w:customStyle="1">
    <w:name w:val="Normal_6"/>
    <w:uiPriority w:val="0"/>
    <w:qFormat/>
    <w:rPr>
      <w:rFonts w:ascii="Times New Roman" w:hAnsi="Times New Roman" w:eastAsia="Times New Roman" w:cs="Times New Roman"/>
      <w:sz w:val="24"/>
      <w:szCs w:val="24"/>
      <w:lang w:val="en-US" w:eastAsia="zh-CN" w:bidi="ar-SA"/>
    </w:rPr>
  </w:style>
  <w:style w:type="paragraph" w:styleId="1020" w:customStyle="1">
    <w:name w:val="Normal_7"/>
    <w:uiPriority w:val="0"/>
    <w:qFormat/>
    <w:rPr>
      <w:rFonts w:ascii="Times New Roman" w:hAnsi="Times New Roman" w:eastAsia="Times New Roman" w:cs="Times New Roman"/>
      <w:sz w:val="24"/>
      <w:szCs w:val="24"/>
      <w:lang w:val="en-US" w:eastAsia="zh-CN" w:bidi="ar-SA"/>
    </w:rPr>
  </w:style>
  <w:style w:type="paragraph" w:styleId="1021" w:customStyle="1">
    <w:name w:val="Normal_9"/>
    <w:uiPriority w:val="0"/>
    <w:qFormat/>
    <w:rPr>
      <w:rFonts w:ascii="Times New Roman" w:hAnsi="Times New Roman" w:eastAsia="Times New Roman" w:cs="Times New Roman"/>
      <w:sz w:val="24"/>
      <w:szCs w:val="24"/>
      <w:lang w:val="en-US" w:eastAsia="zh-CN" w:bidi="ar-SA"/>
    </w:rPr>
  </w:style>
  <w:style w:type="paragraph" w:styleId="1022" w:customStyle="1">
    <w:name w:val="Normal_16"/>
    <w:uiPriority w:val="0"/>
    <w:qFormat/>
    <w:rPr>
      <w:rFonts w:ascii="Times New Roman" w:hAnsi="Times New Roman" w:eastAsia="Times New Roman" w:cs="Times New Roman"/>
      <w:sz w:val="24"/>
      <w:szCs w:val="24"/>
      <w:lang w:val="en-US" w:eastAsia="zh-CN" w:bidi="ar-SA"/>
    </w:rPr>
  </w:style>
  <w:style w:type="paragraph" w:styleId="1023" w:customStyle="1">
    <w:name w:val="Normal_0_0"/>
    <w:uiPriority w:val="0"/>
    <w:qFormat/>
    <w:rPr>
      <w:rFonts w:ascii="Times New Roman" w:hAnsi="Times New Roman" w:eastAsia="Times New Roman" w:cs="Times New Roman"/>
      <w:sz w:val="24"/>
      <w:szCs w:val="24"/>
      <w:lang w:val="en-US" w:eastAsia="zh-CN" w:bidi="ar-SA"/>
    </w:rPr>
  </w:style>
  <w:style w:type="paragraph" w:styleId="1024" w:customStyle="1">
    <w:name w:val="Normal_1_0"/>
    <w:uiPriority w:val="0"/>
    <w:qFormat/>
    <w:rPr>
      <w:rFonts w:ascii="Times New Roman" w:hAnsi="Times New Roman" w:eastAsia="Times New Roman" w:cs="Times New Roman"/>
      <w:sz w:val="24"/>
      <w:szCs w:val="24"/>
      <w:lang w:val="en-US" w:eastAsia="zh-CN" w:bidi="ar-SA"/>
    </w:rPr>
  </w:style>
  <w:style w:type="paragraph" w:styleId="1025" w:customStyle="1">
    <w:name w:val="Normal_21"/>
    <w:uiPriority w:val="0"/>
    <w:qFormat/>
    <w:rPr>
      <w:rFonts w:ascii="Times New Roman" w:hAnsi="Times New Roman" w:eastAsia="Times New Roman" w:cs="Times New Roman"/>
      <w:sz w:val="24"/>
      <w:szCs w:val="24"/>
      <w:lang w:val="en-US" w:eastAsia="zh-CN" w:bidi="ar-SA"/>
    </w:rPr>
  </w:style>
  <w:style w:type="paragraph" w:styleId="1026" w:customStyle="1">
    <w:name w:val="Normal_0"/>
    <w:uiPriority w:val="0"/>
    <w:qFormat/>
    <w:pPr>
      <w:jc w:val="both"/>
      <w:widowControl w:val="off"/>
    </w:pPr>
    <w:rPr>
      <w:rFonts w:ascii="Times New Roman" w:hAnsi="Times New Roman" w:eastAsia="宋体" w:cs="Times New Roman"/>
      <w:sz w:val="21"/>
      <w:szCs w:val="24"/>
      <w:lang w:val="en-US" w:eastAsia="zh-CN" w:bidi="ar-SA"/>
    </w:rPr>
  </w:style>
  <w:style w:type="paragraph" w:styleId="1027" w:customStyle="1">
    <w:name w:val="首行缩进_0"/>
    <w:uiPriority w:val="0"/>
    <w:qFormat/>
    <w:pPr>
      <w:ind w:firstLine="480"/>
      <w:spacing w:line="360" w:lineRule="auto"/>
      <w:widowControl w:val="off"/>
    </w:pPr>
    <w:rPr>
      <w:rFonts w:ascii="宋体" w:hAnsi="宋体" w:eastAsia="宋体" w:cs="Times New Roman"/>
      <w:sz w:val="24"/>
      <w:szCs w:val="24"/>
      <w:lang w:val="en-US" w:eastAsia="zh-CN" w:bidi="ar-SA"/>
    </w:rPr>
  </w:style>
  <w:style w:type="paragraph" w:styleId="1028" w:customStyle="1">
    <w:name w:val="Normal_2_0"/>
    <w:uiPriority w:val="0"/>
    <w:qFormat/>
    <w:rPr>
      <w:rFonts w:ascii="Times New Roman" w:hAnsi="Times New Roman" w:eastAsia="Times New Roman" w:cs="Times New Roman"/>
      <w:sz w:val="24"/>
      <w:szCs w:val="24"/>
      <w:lang w:val="en-US" w:eastAsia="zh-CN" w:bidi="ar-SA"/>
    </w:rPr>
  </w:style>
  <w:style w:type="paragraph" w:styleId="1029" w:customStyle="1">
    <w:name w:val="Normal_0_0_0"/>
    <w:uiPriority w:val="0"/>
    <w:qFormat/>
    <w:rPr>
      <w:rFonts w:ascii="Times New Roman" w:hAnsi="Times New Roman" w:eastAsia="Times New Roman" w:cs="Times New Roman"/>
      <w:sz w:val="24"/>
      <w:szCs w:val="24"/>
      <w:lang w:val="en-US" w:eastAsia="zh-CN" w:bidi="ar-SA"/>
    </w:rPr>
  </w:style>
  <w:style w:type="paragraph" w:styleId="1030" w:customStyle="1">
    <w:name w:val="Normal_1_1"/>
    <w:uiPriority w:val="0"/>
    <w:qFormat/>
    <w:rPr>
      <w:rFonts w:ascii="Times New Roman" w:hAnsi="Times New Roman" w:eastAsia="Times New Roman" w:cs="Times New Roman"/>
      <w:sz w:val="24"/>
      <w:szCs w:val="24"/>
      <w:lang w:val="en-US" w:eastAsia="zh-CN" w:bidi="ar-SA"/>
    </w:rPr>
  </w:style>
  <w:style w:type="paragraph" w:styleId="1031" w:customStyle="1">
    <w:name w:val="Normal_4_0"/>
    <w:uiPriority w:val="0"/>
    <w:qFormat/>
    <w:rPr>
      <w:rFonts w:ascii="Times New Roman" w:hAnsi="Times New Roman" w:eastAsia="Times New Roman" w:cs="Times New Roman"/>
      <w:sz w:val="24"/>
      <w:szCs w:val="24"/>
      <w:lang w:val="en-US" w:eastAsia="zh-CN" w:bidi="ar-SA"/>
    </w:rPr>
  </w:style>
  <w:style w:type="paragraph" w:styleId="1032" w:customStyle="1">
    <w:name w:val="Normal_0_0_2"/>
    <w:uiPriority w:val="0"/>
    <w:qFormat/>
    <w:rPr>
      <w:rFonts w:ascii="Times New Roman" w:hAnsi="Times New Roman" w:eastAsia="Times New Roman" w:cs="Times New Roman"/>
      <w:sz w:val="24"/>
      <w:szCs w:val="24"/>
      <w:lang w:val="en-US" w:eastAsia="zh-CN" w:bidi="ar-SA"/>
    </w:rPr>
  </w:style>
  <w:style w:type="paragraph" w:styleId="1033" w:customStyle="1">
    <w:name w:val="Normal_6_0"/>
    <w:uiPriority w:val="0"/>
    <w:qFormat/>
    <w:rPr>
      <w:rFonts w:ascii="Times New Roman" w:hAnsi="Times New Roman" w:eastAsia="Times New Roman" w:cs="Times New Roman"/>
      <w:sz w:val="24"/>
      <w:szCs w:val="24"/>
      <w:lang w:val="en-US" w:eastAsia="zh-CN" w:bidi="ar-SA"/>
    </w:rPr>
  </w:style>
  <w:style w:type="paragraph" w:styleId="1034" w:customStyle="1">
    <w:name w:val="Normal_0_2"/>
    <w:uiPriority w:val="0"/>
    <w:qFormat/>
    <w:rPr>
      <w:rFonts w:ascii="Times New Roman" w:hAnsi="Times New Roman" w:eastAsia="Times New Roman" w:cs="Times New Roman"/>
      <w:sz w:val="24"/>
      <w:szCs w:val="24"/>
      <w:lang w:val="en-US" w:eastAsia="zh-CN" w:bidi="ar-SA"/>
    </w:rPr>
  </w:style>
  <w:style w:type="paragraph" w:styleId="1035" w:customStyle="1">
    <w:name w:val="Normal_0_3"/>
    <w:uiPriority w:val="0"/>
    <w:qFormat/>
    <w:rPr>
      <w:rFonts w:ascii="Times New Roman" w:hAnsi="Times New Roman" w:eastAsia="Times New Roman" w:cs="Times New Roman"/>
      <w:sz w:val="24"/>
      <w:szCs w:val="24"/>
      <w:lang w:val="en-US" w:eastAsia="zh-CN" w:bidi="ar-SA"/>
    </w:rPr>
  </w:style>
  <w:style w:type="paragraph" w:styleId="1036" w:customStyle="1">
    <w:name w:val="Normal_11"/>
    <w:uiPriority w:val="0"/>
    <w:qFormat/>
    <w:rPr>
      <w:rFonts w:ascii="Times New Roman" w:hAnsi="Times New Roman" w:eastAsia="Times New Roman" w:cs="Times New Roman"/>
      <w:sz w:val="24"/>
      <w:szCs w:val="24"/>
      <w:lang w:val="en-US" w:eastAsia="zh-CN" w:bidi="ar-SA"/>
    </w:rPr>
  </w:style>
  <w:style w:type="paragraph" w:styleId="1037" w:customStyle="1">
    <w:name w:val="Normal_12"/>
    <w:uiPriority w:val="0"/>
    <w:qFormat/>
    <w:rPr>
      <w:rFonts w:ascii="Times New Roman" w:hAnsi="Times New Roman" w:eastAsia="Times New Roman" w:cs="Times New Roman"/>
      <w:sz w:val="24"/>
      <w:szCs w:val="24"/>
      <w:lang w:val="en-US" w:eastAsia="zh-CN" w:bidi="ar-SA"/>
    </w:rPr>
  </w:style>
  <w:style w:type="paragraph" w:styleId="1038" w:customStyle="1">
    <w:name w:val="Normal_18"/>
    <w:uiPriority w:val="0"/>
    <w:qFormat/>
    <w:rPr>
      <w:rFonts w:ascii="Times New Roman" w:hAnsi="Times New Roman" w:eastAsia="Times New Roman" w:cs="Times New Roman"/>
      <w:sz w:val="24"/>
      <w:szCs w:val="24"/>
      <w:lang w:val="en-US" w:eastAsia="zh-CN" w:bidi="ar-SA"/>
    </w:rPr>
  </w:style>
  <w:style w:type="paragraph" w:styleId="1039" w:customStyle="1">
    <w:name w:val="Normal_17"/>
    <w:uiPriority w:val="0"/>
    <w:qFormat/>
    <w:rPr>
      <w:rFonts w:ascii="Times New Roman" w:hAnsi="Times New Roman" w:eastAsia="Times New Roman" w:cs="Times New Roman"/>
      <w:sz w:val="24"/>
      <w:szCs w:val="24"/>
      <w:lang w:val="en-US" w:eastAsia="zh-CN" w:bidi="ar-SA"/>
    </w:rPr>
  </w:style>
  <w:style w:type="paragraph" w:styleId="1040" w:customStyle="1">
    <w:name w:val="Normal_0_4"/>
    <w:uiPriority w:val="0"/>
    <w:qFormat/>
    <w:rPr>
      <w:rFonts w:ascii="Times New Roman" w:hAnsi="Times New Roman" w:eastAsia="Times New Roman" w:cs="Times New Roman"/>
      <w:sz w:val="24"/>
      <w:szCs w:val="24"/>
      <w:lang w:val="en-US" w:eastAsia="zh-CN" w:bidi="ar-SA"/>
    </w:rPr>
  </w:style>
  <w:style w:type="paragraph" w:styleId="1041" w:customStyle="1">
    <w:name w:val="Normal_0_7"/>
    <w:uiPriority w:val="0"/>
    <w:qFormat/>
    <w:rPr>
      <w:rFonts w:ascii="Times New Roman" w:hAnsi="Times New Roman" w:eastAsia="Times New Roman" w:cs="Times New Roman"/>
      <w:sz w:val="24"/>
      <w:szCs w:val="24"/>
      <w:lang w:val="en-US" w:eastAsia="zh-CN" w:bidi="ar-SA"/>
    </w:rPr>
  </w:style>
  <w:style w:type="paragraph" w:styleId="1042" w:customStyle="1">
    <w:name w:val="Normal_1_2"/>
    <w:uiPriority w:val="0"/>
    <w:qFormat/>
    <w:rPr>
      <w:rFonts w:ascii="Times New Roman" w:hAnsi="Times New Roman" w:eastAsia="Times New Roman" w:cs="Times New Roman"/>
      <w:sz w:val="24"/>
      <w:szCs w:val="24"/>
      <w:lang w:val="en-US" w:eastAsia="zh-CN" w:bidi="ar-SA"/>
    </w:rPr>
  </w:style>
  <w:style w:type="paragraph" w:styleId="1043" w:customStyle="1">
    <w:name w:val="Normal_2_1"/>
    <w:uiPriority w:val="0"/>
    <w:qFormat/>
    <w:rPr>
      <w:rFonts w:ascii="Times New Roman" w:hAnsi="Times New Roman" w:eastAsia="Times New Roman" w:cs="Times New Roman"/>
      <w:sz w:val="24"/>
      <w:szCs w:val="24"/>
      <w:lang w:val="en-US" w:eastAsia="zh-CN" w:bidi="ar-SA"/>
    </w:rPr>
  </w:style>
  <w:style w:type="paragraph" w:styleId="1044" w:customStyle="1">
    <w:name w:val="Normal_3_0"/>
    <w:uiPriority w:val="0"/>
    <w:qFormat/>
    <w:rPr>
      <w:rFonts w:ascii="Times New Roman" w:hAnsi="Times New Roman" w:eastAsia="Times New Roman" w:cs="Times New Roman"/>
      <w:sz w:val="24"/>
      <w:szCs w:val="24"/>
      <w:lang w:val="en-US" w:eastAsia="zh-CN" w:bidi="ar-SA"/>
    </w:rPr>
  </w:style>
  <w:style w:type="paragraph" w:styleId="1045" w:customStyle="1">
    <w:name w:val="Normal_4_1"/>
    <w:uiPriority w:val="0"/>
    <w:qFormat/>
    <w:rPr>
      <w:rFonts w:ascii="Times New Roman" w:hAnsi="Times New Roman" w:eastAsia="Times New Roman" w:cs="Times New Roman"/>
      <w:sz w:val="24"/>
      <w:szCs w:val="24"/>
      <w:lang w:val="en-US" w:eastAsia="zh-CN" w:bidi="ar-SA"/>
    </w:rPr>
  </w:style>
  <w:style w:type="paragraph" w:styleId="1046" w:customStyle="1">
    <w:name w:val="Normal_5_1"/>
    <w:uiPriority w:val="0"/>
    <w:qFormat/>
    <w:rPr>
      <w:rFonts w:ascii="Times New Roman" w:hAnsi="Times New Roman" w:eastAsia="Times New Roman" w:cs="Times New Roman"/>
      <w:sz w:val="24"/>
      <w:szCs w:val="24"/>
      <w:lang w:val="en-US" w:eastAsia="zh-CN" w:bidi="ar-SA"/>
    </w:rPr>
  </w:style>
  <w:style w:type="paragraph" w:styleId="1047" w:customStyle="1">
    <w:name w:val="Normal_6_1"/>
    <w:uiPriority w:val="0"/>
    <w:qFormat/>
    <w:rPr>
      <w:rFonts w:ascii="Times New Roman" w:hAnsi="Times New Roman" w:eastAsia="Times New Roman" w:cs="Times New Roman"/>
      <w:sz w:val="24"/>
      <w:szCs w:val="24"/>
      <w:lang w:val="en-US" w:eastAsia="zh-CN" w:bidi="ar-SA"/>
    </w:rPr>
  </w:style>
  <w:style w:type="paragraph" w:styleId="1048" w:customStyle="1">
    <w:name w:val="Normal_7_0"/>
    <w:uiPriority w:val="0"/>
    <w:qFormat/>
    <w:rPr>
      <w:rFonts w:ascii="Times New Roman" w:hAnsi="Times New Roman" w:eastAsia="Times New Roman" w:cs="Times New Roman"/>
      <w:sz w:val="24"/>
      <w:szCs w:val="24"/>
      <w:lang w:val="en-US" w:eastAsia="zh-CN" w:bidi="ar-SA"/>
    </w:rPr>
  </w:style>
  <w:style w:type="paragraph" w:styleId="1049" w:customStyle="1">
    <w:name w:val="样式1"/>
    <w:uiPriority w:val="0"/>
    <w:qFormat/>
    <w:pPr>
      <w:numPr>
        <w:ilvl w:val="0"/>
        <w:numId w:val="1"/>
      </w:numPr>
      <w:jc w:val="both"/>
      <w:widowControl w:val="off"/>
    </w:pPr>
    <w:rPr>
      <w:rFonts w:ascii="宋体" w:hAnsi="宋体" w:eastAsia="宋体" w:cs="Times New Roman"/>
      <w:sz w:val="21"/>
      <w:szCs w:val="21"/>
      <w:lang w:val="en-US" w:eastAsia="zh-CN" w:bidi="ar-SA"/>
    </w:rPr>
  </w:style>
  <w:style w:type="paragraph" w:styleId="1050" w:customStyle="1">
    <w:name w:val="Normal_9_0"/>
    <w:uiPriority w:val="0"/>
    <w:qFormat/>
    <w:rPr>
      <w:rFonts w:ascii="Times New Roman" w:hAnsi="Times New Roman" w:eastAsia="Times New Roman" w:cs="Times New Roman"/>
      <w:sz w:val="24"/>
      <w:szCs w:val="24"/>
      <w:lang w:val="en-US" w:eastAsia="zh-CN" w:bidi="ar-SA"/>
    </w:rPr>
  </w:style>
  <w:style w:type="paragraph" w:styleId="1051" w:customStyle="1">
    <w:name w:val="Normal_18_0"/>
    <w:uiPriority w:val="0"/>
    <w:qFormat/>
    <w:rPr>
      <w:rFonts w:ascii="Times New Roman" w:hAnsi="Times New Roman" w:eastAsia="Times New Roman" w:cs="Times New Roman"/>
      <w:sz w:val="24"/>
      <w:szCs w:val="24"/>
      <w:lang w:val="en-US" w:eastAsia="zh-CN" w:bidi="ar-SA"/>
    </w:rPr>
  </w:style>
  <w:style w:type="paragraph" w:styleId="1052" w:customStyle="1">
    <w:name w:val="Normal_14_0"/>
    <w:uiPriority w:val="0"/>
    <w:qFormat/>
    <w:rPr>
      <w:rFonts w:ascii="Times New Roman" w:hAnsi="Times New Roman" w:eastAsia="Times New Roman" w:cs="Times New Roman"/>
      <w:sz w:val="24"/>
      <w:szCs w:val="24"/>
      <w:lang w:val="en-US" w:eastAsia="zh-CN" w:bidi="ar-SA"/>
    </w:rPr>
  </w:style>
  <w:style w:type="paragraph" w:styleId="1053" w:customStyle="1">
    <w:name w:val="Normal_15_0"/>
    <w:uiPriority w:val="0"/>
    <w:qFormat/>
    <w:rPr>
      <w:rFonts w:ascii="Times New Roman" w:hAnsi="Times New Roman" w:eastAsia="Times New Roman" w:cs="Times New Roman"/>
      <w:sz w:val="24"/>
      <w:szCs w:val="24"/>
      <w:lang w:val="en-US" w:eastAsia="zh-CN" w:bidi="ar-SA"/>
    </w:rPr>
  </w:style>
  <w:style w:type="paragraph" w:styleId="1054" w:customStyle="1">
    <w:name w:val="Normal_16_0"/>
    <w:uiPriority w:val="0"/>
    <w:qFormat/>
    <w:rPr>
      <w:rFonts w:ascii="Times New Roman" w:hAnsi="Times New Roman" w:eastAsia="Times New Roman" w:cs="Times New Roman"/>
      <w:sz w:val="24"/>
      <w:szCs w:val="24"/>
      <w:lang w:val="en-US" w:eastAsia="zh-CN" w:bidi="ar-SA"/>
    </w:rPr>
  </w:style>
  <w:style w:type="paragraph" w:styleId="1055" w:customStyle="1">
    <w:name w:val="正文缩进1"/>
    <w:uiPriority w:val="0"/>
    <w:qFormat/>
    <w:pPr>
      <w:ind w:firstLine="420"/>
      <w:jc w:val="both"/>
      <w:widowControl w:val="off"/>
    </w:pPr>
    <w:rPr>
      <w:rFonts w:ascii="Calibri" w:hAnsi="Calibri" w:eastAsia="宋体" w:cs="Times New Roman"/>
      <w:sz w:val="21"/>
      <w:szCs w:val="21"/>
      <w:lang w:val="en-US" w:eastAsia="zh-CN" w:bidi="ar-SA"/>
    </w:rPr>
  </w:style>
  <w:style w:type="paragraph" w:styleId="1056" w:customStyle="1">
    <w:name w:val="Normal_27"/>
    <w:uiPriority w:val="0"/>
    <w:qFormat/>
    <w:rPr>
      <w:rFonts w:ascii="Times New Roman" w:hAnsi="Times New Roman" w:eastAsia="Times New Roman" w:cs="Times New Roman"/>
      <w:sz w:val="24"/>
      <w:szCs w:val="24"/>
      <w:lang w:val="en-US" w:eastAsia="zh-CN" w:bidi="ar-SA"/>
    </w:rPr>
  </w:style>
  <w:style w:type="paragraph" w:styleId="1057" w:customStyle="1">
    <w:name w:val="Normal_23"/>
    <w:uiPriority w:val="0"/>
    <w:qFormat/>
    <w:rPr>
      <w:rFonts w:ascii="Times New Roman" w:hAnsi="Times New Roman" w:eastAsia="Times New Roman" w:cs="Times New Roman"/>
      <w:sz w:val="24"/>
      <w:szCs w:val="24"/>
      <w:lang w:val="en-US" w:eastAsia="zh-CN" w:bidi="ar-SA"/>
    </w:rPr>
  </w:style>
  <w:style w:type="paragraph" w:styleId="1058" w:customStyle="1">
    <w:name w:val="Normal_43"/>
    <w:uiPriority w:val="0"/>
    <w:qFormat/>
    <w:rPr>
      <w:rFonts w:ascii="Times New Roman" w:hAnsi="Times New Roman" w:eastAsia="Times New Roman" w:cs="Times New Roman"/>
      <w:sz w:val="24"/>
      <w:szCs w:val="24"/>
      <w:lang w:val="en-US" w:eastAsia="zh-CN" w:bidi="ar-SA"/>
    </w:rPr>
  </w:style>
  <w:style w:type="paragraph" w:styleId="1059" w:customStyle="1">
    <w:name w:val="Normal_25"/>
    <w:uiPriority w:val="0"/>
    <w:qFormat/>
    <w:rPr>
      <w:rFonts w:ascii="Times New Roman" w:hAnsi="Times New Roman" w:eastAsia="Times New Roman" w:cs="Times New Roman"/>
      <w:sz w:val="24"/>
      <w:szCs w:val="24"/>
      <w:lang w:val="en-US" w:eastAsia="zh-CN" w:bidi="ar-SA"/>
    </w:rPr>
  </w:style>
  <w:style w:type="paragraph" w:styleId="1060" w:customStyle="1">
    <w:name w:val="Normal_26"/>
    <w:uiPriority w:val="0"/>
    <w:qFormat/>
    <w:rPr>
      <w:rFonts w:ascii="Times New Roman" w:hAnsi="Times New Roman" w:eastAsia="Times New Roman" w:cs="Times New Roman"/>
      <w:sz w:val="24"/>
      <w:szCs w:val="24"/>
      <w:lang w:val="en-US" w:eastAsia="zh-CN" w:bidi="ar-SA"/>
    </w:rPr>
  </w:style>
  <w:style w:type="paragraph" w:styleId="1061"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062" w:customStyle="1">
    <w:name w:val="正文文本_0"/>
    <w:uiPriority w:val="0"/>
    <w:qFormat/>
    <w:pPr>
      <w:jc w:val="both"/>
      <w:spacing w:line="400" w:lineRule="exact"/>
      <w:widowControl w:val="off"/>
    </w:pPr>
    <w:rPr>
      <w:rFonts w:ascii="Times New Roman" w:hAnsi="Times New Roman" w:eastAsia="宋体" w:cs="Times New Roman"/>
      <w:sz w:val="24"/>
      <w:lang w:val="en-US" w:eastAsia="zh-CN" w:bidi="ar-SA"/>
    </w:rPr>
  </w:style>
  <w:style w:type="paragraph" w:styleId="1063" w:customStyle="1">
    <w:name w:val="正文_1"/>
    <w:uiPriority w:val="0"/>
    <w:qFormat/>
    <w:pPr>
      <w:jc w:val="both"/>
      <w:widowControl w:val="off"/>
    </w:pPr>
    <w:rPr>
      <w:rFonts w:ascii="Times New Roman" w:hAnsi="Times New Roman" w:eastAsia="宋体" w:cs="Times New Roman"/>
      <w:sz w:val="21"/>
      <w:lang w:val="en-US" w:eastAsia="zh-CN" w:bidi="ar-SA"/>
    </w:rPr>
  </w:style>
  <w:style w:type="paragraph" w:styleId="1064" w:customStyle="1">
    <w:name w:val="Normal_28"/>
    <w:uiPriority w:val="0"/>
    <w:qFormat/>
    <w:rPr>
      <w:rFonts w:ascii="Times New Roman" w:hAnsi="Times New Roman" w:eastAsia="Times New Roman" w:cs="Times New Roman"/>
      <w:sz w:val="24"/>
      <w:szCs w:val="24"/>
      <w:lang w:val="en-US" w:eastAsia="zh-CN" w:bidi="ar-SA"/>
    </w:rPr>
  </w:style>
  <w:style w:type="paragraph" w:styleId="1065" w:customStyle="1">
    <w:name w:val="Normal_29"/>
    <w:uiPriority w:val="0"/>
    <w:qFormat/>
    <w:rPr>
      <w:rFonts w:ascii="Times New Roman" w:hAnsi="Times New Roman" w:eastAsia="Times New Roman" w:cs="Times New Roman"/>
      <w:sz w:val="24"/>
      <w:szCs w:val="24"/>
      <w:lang w:val="en-US" w:eastAsia="zh-CN" w:bidi="ar-SA"/>
    </w:rPr>
  </w:style>
  <w:style w:type="paragraph" w:styleId="1066" w:customStyle="1">
    <w:name w:val="Normal_30"/>
    <w:uiPriority w:val="0"/>
    <w:qFormat/>
    <w:rPr>
      <w:rFonts w:ascii="Times New Roman" w:hAnsi="Times New Roman" w:eastAsia="Times New Roman" w:cs="Times New Roman"/>
      <w:sz w:val="24"/>
      <w:szCs w:val="24"/>
      <w:lang w:val="en-US" w:eastAsia="zh-CN" w:bidi="ar-SA"/>
    </w:rPr>
  </w:style>
  <w:style w:type="paragraph" w:styleId="1067" w:customStyle="1">
    <w:name w:val="Normal_38"/>
    <w:uiPriority w:val="0"/>
    <w:qFormat/>
    <w:rPr>
      <w:rFonts w:ascii="Times New Roman" w:hAnsi="Times New Roman" w:eastAsia="Times New Roman" w:cs="Times New Roman"/>
      <w:sz w:val="24"/>
      <w:szCs w:val="24"/>
      <w:lang w:val="en-US" w:eastAsia="zh-CN" w:bidi="ar-SA"/>
    </w:rPr>
  </w:style>
  <w:style w:type="paragraph" w:styleId="1068" w:customStyle="1">
    <w:name w:val="Normal_34"/>
    <w:uiPriority w:val="0"/>
    <w:qFormat/>
    <w:rPr>
      <w:rFonts w:ascii="Times New Roman" w:hAnsi="Times New Roman" w:eastAsia="Times New Roman" w:cs="Times New Roman"/>
      <w:sz w:val="24"/>
      <w:szCs w:val="24"/>
      <w:lang w:val="en-US" w:eastAsia="zh-CN" w:bidi="ar-SA"/>
    </w:rPr>
  </w:style>
  <w:style w:type="paragraph" w:styleId="1069" w:customStyle="1">
    <w:name w:val="Normal_22"/>
    <w:uiPriority w:val="0"/>
    <w:qFormat/>
    <w:rPr>
      <w:rFonts w:ascii="Times New Roman" w:hAnsi="Times New Roman" w:eastAsia="Times New Roman" w:cs="Times New Roman"/>
      <w:sz w:val="24"/>
      <w:szCs w:val="24"/>
      <w:lang w:val="en-US" w:eastAsia="zh-CN" w:bidi="ar-SA"/>
    </w:rPr>
  </w:style>
  <w:style w:type="paragraph" w:styleId="1070" w:customStyle="1">
    <w:name w:val="页眉1"/>
    <w:uiPriority w:val="0"/>
    <w:qFormat/>
    <w:pPr>
      <w:jc w:val="center"/>
      <w:widowControl w:val="off"/>
      <w:tabs>
        <w:tab w:val="center" w:pos="4153" w:leader="none"/>
        <w:tab w:val="right" w:pos="8306" w:leader="none"/>
      </w:tabs>
      <w:pBdr>
        <w:bottom w:val="single" w:color="auto" w:sz="6" w:space="1"/>
      </w:pBdr>
    </w:pPr>
    <w:rPr>
      <w:rFonts w:ascii="Calibri" w:hAnsi="Calibri" w:eastAsia="宋体" w:cs="Times New Roman"/>
      <w:sz w:val="18"/>
      <w:szCs w:val="18"/>
      <w:lang w:val="en-US" w:eastAsia="zh-CN" w:bidi="ar-SA"/>
    </w:rPr>
  </w:style>
  <w:style w:type="paragraph" w:styleId="1071" w:customStyle="1">
    <w:name w:val="页脚1"/>
    <w:uiPriority w:val="0"/>
    <w:qFormat/>
    <w:pPr>
      <w:widowControl w:val="off"/>
      <w:tabs>
        <w:tab w:val="center" w:pos="4153" w:leader="none"/>
        <w:tab w:val="right" w:pos="8306" w:leader="none"/>
      </w:tabs>
    </w:pPr>
    <w:rPr>
      <w:rFonts w:ascii="Calibri" w:hAnsi="Calibri" w:eastAsia="宋体" w:cs="Times New Roman"/>
      <w:sz w:val="18"/>
      <w:szCs w:val="18"/>
      <w:lang w:val="en-US" w:eastAsia="zh-CN" w:bidi="ar-SA"/>
    </w:rPr>
  </w:style>
  <w:style w:type="character" w:styleId="1072" w:customStyle="1">
    <w:name w:val="页码1"/>
    <w:uiPriority w:val="0"/>
    <w:qFormat/>
  </w:style>
  <w:style w:type="character" w:styleId="1073" w:customStyle="1">
    <w:name w:val="标题 4 Char3"/>
    <w:uiPriority w:val="0"/>
    <w:qFormat/>
    <w:rPr>
      <w:rFonts w:ascii="Cambria" w:hAnsi="Cambria" w:eastAsia="宋体"/>
      <w:b/>
      <w:bCs/>
      <w:sz w:val="28"/>
      <w:szCs w:val="28"/>
    </w:rPr>
  </w:style>
  <w:style w:type="paragraph" w:styleId="1074" w:customStyle="1">
    <w:name w:val="Normal_0_1"/>
    <w:uiPriority w:val="0"/>
    <w:qFormat/>
    <w:rPr>
      <w:rFonts w:ascii="Times New Roman" w:hAnsi="Times New Roman" w:eastAsia="Times New Roman" w:cs="Times New Roman"/>
      <w:sz w:val="24"/>
      <w:szCs w:val="24"/>
      <w:lang w:val="en-US" w:eastAsia="zh-CN" w:bidi="ar-SA"/>
    </w:rPr>
  </w:style>
  <w:style w:type="paragraph" w:styleId="1075" w:customStyle="1">
    <w:name w:val="Normal_0_1_0"/>
    <w:uiPriority w:val="0"/>
    <w:qFormat/>
    <w:rPr>
      <w:rFonts w:ascii="Times New Roman" w:hAnsi="Times New Roman" w:eastAsia="Times New Roman" w:cs="Times New Roman"/>
      <w:sz w:val="24"/>
      <w:szCs w:val="24"/>
      <w:lang w:val="en-US" w:eastAsia="zh-CN" w:bidi="ar-SA"/>
    </w:rPr>
  </w:style>
  <w:style w:type="paragraph" w:styleId="1076" w:customStyle="1">
    <w:name w:val="Normal_5_0"/>
    <w:uiPriority w:val="0"/>
    <w:qFormat/>
    <w:rPr>
      <w:rFonts w:ascii="Times New Roman" w:hAnsi="Times New Roman" w:eastAsia="Times New Roman" w:cs="Times New Roman"/>
      <w:sz w:val="24"/>
      <w:szCs w:val="24"/>
      <w:lang w:val="en-US" w:eastAsia="zh-CN" w:bidi="ar-SA"/>
    </w:rPr>
  </w:style>
  <w:style w:type="character" w:styleId="1077" w:customStyle="1">
    <w:name w:val="默认段落字体12"/>
    <w:uiPriority w:val="0"/>
    <w:qFormat/>
  </w:style>
  <w:style w:type="character" w:styleId="1078" w:customStyle="1">
    <w:name w:val="默认段落字体111"/>
    <w:uiPriority w:val="0"/>
    <w:qFormat/>
  </w:style>
  <w:style w:type="paragraph" w:styleId="1079" w:customStyle="1">
    <w:name w:val="Plain Text1"/>
    <w:basedOn w:val="805"/>
    <w:uiPriority w:val="0"/>
    <w:qFormat/>
    <w:rPr>
      <w:rFonts w:ascii="宋体" w:hAnsi="Courier New"/>
      <w:szCs w:val="24"/>
    </w:rPr>
  </w:style>
  <w:style w:type="paragraph" w:styleId="1080" w:customStyle="1">
    <w:name w:val="纯文本11"/>
    <w:basedOn w:val="805"/>
    <w:uiPriority w:val="0"/>
    <w:qFormat/>
    <w:pPr>
      <w:jc w:val="left"/>
      <w:widowControl/>
    </w:pPr>
    <w:rPr>
      <w:rFonts w:ascii="宋体" w:hAnsi="Courier New" w:eastAsia="楷体_GB2312"/>
      <w:sz w:val="26"/>
    </w:rPr>
  </w:style>
  <w:style w:type="character" w:styleId="1081" w:customStyle="1">
    <w:name w:val="15"/>
    <w:basedOn w:val="995"/>
    <w:uiPriority w:val="0"/>
    <w:qFormat/>
    <w:rPr>
      <w:rFonts w:ascii="Times New Roman" w:hAnsi="Times New Roman"/>
    </w:rPr>
  </w:style>
  <w:style w:type="paragraph" w:styleId="1082" w:customStyle="1">
    <w:name w:val="纯文本1"/>
    <w:basedOn w:val="805"/>
    <w:uiPriority w:val="0"/>
    <w:qFormat/>
    <w:rPr>
      <w:rFonts w:hint="eastAsia" w:ascii="宋体" w:hAnsi="Courier New"/>
      <w:sz w:val="28"/>
      <w:szCs w:val="20"/>
    </w:rPr>
  </w:style>
  <w:style w:type="paragraph" w:styleId="1083" w:customStyle="1">
    <w:name w:val="寄信人地址1"/>
    <w:basedOn w:val="805"/>
    <w:uiPriority w:val="0"/>
    <w:qFormat/>
    <w:rPr>
      <w:rFonts w:ascii="Arial" w:hAnsi="Arial"/>
    </w:rPr>
  </w:style>
  <w:style w:type="paragraph" w:styleId="1084" w:customStyle="1">
    <w:name w:val="正文文本缩进1"/>
    <w:uiPriority w:val="0"/>
    <w:qFormat/>
    <w:pPr>
      <w:ind w:firstLine="645"/>
      <w:jc w:val="both"/>
      <w:widowControl w:val="off"/>
    </w:pPr>
    <w:rPr>
      <w:rFonts w:ascii="楷体_GB2312" w:hAnsi="宋体" w:eastAsia="楷体_GB2312" w:cs="Times New Roman"/>
      <w:sz w:val="32"/>
      <w:szCs w:val="32"/>
      <w:lang w:val="en-US" w:eastAsia="zh-CN" w:bidi="ar-SA"/>
    </w:rPr>
  </w:style>
  <w:style w:type="table" w:styleId="1085" w:customStyle="1">
    <w:name w:val="网格型1"/>
    <w:uiPriority w:val="0"/>
    <w:qFormat/>
    <w:tblPr>
      <w:tblCellMar>
        <w:left w:w="0" w:type="dxa"/>
        <w:top w:w="0" w:type="dxa"/>
        <w:right w:w="0" w:type="dxa"/>
        <w:bottom w:w="0" w:type="dxa"/>
      </w:tblCellMar>
    </w:tblPr>
  </w:style>
  <w:style w:type="character" w:styleId="1086" w:customStyle="1">
    <w:name w:val="默认段落字体1"/>
    <w:uiPriority w:val="0"/>
    <w:qFormat/>
  </w:style>
  <w:style w:type="paragraph" w:styleId="1087" w:customStyle="1">
    <w:name w:val="页眉2"/>
    <w:basedOn w:val="805"/>
    <w:link w:val="1088"/>
    <w:uiPriority w:val="0"/>
    <w:qFormat/>
    <w:pPr>
      <w:jc w:val="center"/>
      <w:tabs>
        <w:tab w:val="center" w:pos="4153" w:leader="none"/>
        <w:tab w:val="right" w:pos="8306" w:leader="none"/>
      </w:tabs>
      <w:pBdr>
        <w:bottom w:val="single" w:color="auto" w:sz="6" w:space="1"/>
      </w:pBdr>
    </w:pPr>
    <w:rPr>
      <w:sz w:val="18"/>
      <w:szCs w:val="18"/>
    </w:rPr>
  </w:style>
  <w:style w:type="character" w:styleId="1088" w:customStyle="1">
    <w:name w:val="页眉 Char"/>
    <w:basedOn w:val="995"/>
    <w:link w:val="1087"/>
    <w:uiPriority w:val="0"/>
    <w:qFormat/>
    <w:rPr>
      <w:rFonts w:ascii="Calibri" w:hAnsi="Calibri"/>
      <w:sz w:val="18"/>
      <w:szCs w:val="18"/>
    </w:rPr>
  </w:style>
  <w:style w:type="paragraph" w:styleId="1089" w:customStyle="1">
    <w:name w:val="页脚2"/>
    <w:basedOn w:val="805"/>
    <w:link w:val="1090"/>
    <w:uiPriority w:val="0"/>
    <w:qFormat/>
    <w:pPr>
      <w:jc w:val="left"/>
      <w:tabs>
        <w:tab w:val="center" w:pos="4153" w:leader="none"/>
        <w:tab w:val="right" w:pos="8306" w:leader="none"/>
      </w:tabs>
    </w:pPr>
    <w:rPr>
      <w:sz w:val="18"/>
      <w:szCs w:val="18"/>
    </w:rPr>
  </w:style>
  <w:style w:type="character" w:styleId="1090" w:customStyle="1">
    <w:name w:val="页脚 Char"/>
    <w:basedOn w:val="995"/>
    <w:link w:val="1089"/>
    <w:uiPriority w:val="0"/>
    <w:qFormat/>
    <w:rPr>
      <w:rFonts w:ascii="Calibri" w:hAnsi="Calibri"/>
      <w:sz w:val="18"/>
      <w:szCs w:val="18"/>
    </w:rPr>
  </w:style>
  <w:style w:type="paragraph" w:styleId="1091" w:customStyle="1">
    <w:name w:val="批注框文本1"/>
    <w:basedOn w:val="805"/>
    <w:link w:val="1092"/>
    <w:uiPriority w:val="0"/>
    <w:qFormat/>
    <w:rPr>
      <w:sz w:val="18"/>
      <w:szCs w:val="18"/>
    </w:rPr>
  </w:style>
  <w:style w:type="character" w:styleId="1092" w:customStyle="1">
    <w:name w:val="批注框文本 Char"/>
    <w:basedOn w:val="995"/>
    <w:link w:val="1091"/>
    <w:uiPriority w:val="0"/>
    <w:qFormat/>
    <w:rPr>
      <w:rFonts w:ascii="Calibri" w:hAnsi="Calibri"/>
      <w:sz w:val="18"/>
      <w:szCs w:val="18"/>
    </w:rPr>
  </w:style>
  <w:style w:type="paragraph" w:styleId="1093" w:customStyle="1">
    <w:name w:val="Normal_0_0_0_0"/>
    <w:uiPriority w:val="0"/>
    <w:qFormat/>
    <w:rPr>
      <w:rFonts w:ascii="Times New Roman" w:hAnsi="Times New Roman" w:eastAsia="Times New Roman" w:cs="Times New Roman"/>
      <w:sz w:val="24"/>
      <w:szCs w:val="24"/>
      <w:lang w:val="en-US" w:eastAsia="zh-CN" w:bidi="ar-SA"/>
    </w:rPr>
  </w:style>
  <w:style w:type="paragraph" w:styleId="1094" w:customStyle="1">
    <w:name w:val="Normal_1_3"/>
    <w:uiPriority w:val="0"/>
    <w:qFormat/>
    <w:rPr>
      <w:rFonts w:ascii="Times New Roman" w:hAnsi="Times New Roman" w:eastAsia="Times New Roman" w:cs="Times New Roman"/>
      <w:sz w:val="24"/>
      <w:szCs w:val="24"/>
      <w:lang w:val="en-US" w:eastAsia="zh-CN" w:bidi="ar-SA"/>
    </w:rPr>
  </w:style>
  <w:style w:type="paragraph" w:styleId="1095" w:customStyle="1">
    <w:name w:val="Normal_39"/>
    <w:uiPriority w:val="0"/>
    <w:qFormat/>
    <w:rPr>
      <w:rFonts w:ascii="Times New Roman" w:hAnsi="Times New Roman" w:eastAsia="Times New Roman" w:cs="Times New Roman"/>
      <w:sz w:val="24"/>
      <w:szCs w:val="24"/>
      <w:lang w:val="en-US" w:eastAsia="zh-CN" w:bidi="ar-SA"/>
    </w:rPr>
  </w:style>
  <w:style w:type="paragraph" w:styleId="1096" w:customStyle="1">
    <w:name w:val="Normal_33"/>
    <w:uiPriority w:val="0"/>
    <w:qFormat/>
    <w:rPr>
      <w:rFonts w:ascii="Times New Roman" w:hAnsi="Times New Roman" w:eastAsia="Times New Roman" w:cs="Times New Roman"/>
      <w:sz w:val="24"/>
      <w:szCs w:val="24"/>
      <w:lang w:val="en-US" w:eastAsia="zh-CN" w:bidi="ar-SA"/>
    </w:rPr>
  </w:style>
  <w:style w:type="paragraph" w:styleId="1097" w:customStyle="1">
    <w:name w:val="Normal_37"/>
    <w:uiPriority w:val="0"/>
    <w:qFormat/>
    <w:rPr>
      <w:rFonts w:ascii="Times New Roman" w:hAnsi="Times New Roman" w:eastAsia="Times New Roman" w:cs="Times New Roman"/>
      <w:sz w:val="24"/>
      <w:szCs w:val="24"/>
      <w:lang w:val="en-US" w:eastAsia="zh-CN" w:bidi="ar-SA"/>
    </w:rPr>
  </w:style>
  <w:style w:type="paragraph" w:styleId="1098" w:customStyle="1">
    <w:name w:val="段"/>
    <w:next w:val="805"/>
    <w:uiPriority w:val="0"/>
    <w:qFormat/>
    <w:pPr>
      <w:ind w:firstLine="200"/>
      <w:jc w:val="both"/>
    </w:pPr>
    <w:rPr>
      <w:rFonts w:ascii="宋体" w:hAnsi="Times New Roman" w:eastAsia="Times New Roman" w:cs="Times New Roman"/>
      <w:sz w:val="21"/>
      <w:szCs w:val="22"/>
      <w:lang w:val="en-US" w:eastAsia="zh-CN" w:bidi="ar-SA"/>
    </w:rPr>
  </w:style>
  <w:style w:type="paragraph" w:styleId="1099" w:customStyle="1">
    <w:name w:val="Normal_1_0_0"/>
    <w:uiPriority w:val="0"/>
    <w:qFormat/>
    <w:rPr>
      <w:rFonts w:ascii="Times New Roman" w:hAnsi="Times New Roman" w:eastAsia="Times New Roman" w:cs="Times New Roman"/>
      <w:sz w:val="24"/>
      <w:szCs w:val="24"/>
      <w:lang w:val="en-US" w:eastAsia="zh-CN" w:bidi="ar-SA"/>
    </w:rPr>
  </w:style>
  <w:style w:type="paragraph" w:styleId="1100" w:customStyle="1">
    <w:name w:val="标题 411"/>
    <w:basedOn w:val="805"/>
    <w:next w:val="805"/>
    <w:uiPriority w:val="0"/>
    <w:unhideWhenUsed/>
    <w:qFormat/>
    <w:pPr>
      <w:keepLines/>
      <w:keepNext/>
      <w:spacing w:before="280" w:after="290" w:line="374" w:lineRule="auto"/>
      <w:outlineLvl w:val="3"/>
    </w:pPr>
    <w:rPr>
      <w:rFonts w:ascii="Arial" w:hAnsi="Arial" w:eastAsia="黑体" w:cs="Arial"/>
      <w:b/>
      <w:bCs/>
      <w:sz w:val="28"/>
      <w:szCs w:val="28"/>
    </w:rPr>
  </w:style>
  <w:style w:type="table" w:styleId="1101" w:customStyle="1">
    <w:name w:val="Table Normal"/>
    <w:uiPriority w:val="0"/>
    <w:semiHidden/>
    <w:unhideWhenUsed/>
    <w:qFormat/>
    <w:tblPr>
      <w:tblCellMar>
        <w:left w:w="0" w:type="dxa"/>
        <w:top w:w="0" w:type="dxa"/>
        <w:right w:w="0" w:type="dxa"/>
        <w:bottom w:w="0" w:type="dxa"/>
      </w:tblCellMar>
    </w:tblPr>
  </w:style>
  <w:style w:type="paragraph" w:styleId="1102" w:customStyle="1">
    <w:name w:val="Normal_0_0_1"/>
    <w:uiPriority w:val="0"/>
    <w:qFormat/>
    <w:rPr>
      <w:rFonts w:ascii="Times New Roman" w:hAnsi="Times New Roman" w:eastAsia="Times New Roman" w:cs="Times New Roman"/>
      <w:sz w:val="24"/>
      <w:szCs w:val="24"/>
      <w:lang w:val="en-US" w:eastAsia="zh-CN" w:bidi="ar-SA"/>
    </w:rPr>
  </w:style>
  <w:style w:type="paragraph" w:styleId="1103" w:customStyle="1">
    <w:name w:val="Table Text"/>
    <w:basedOn w:val="805"/>
    <w:uiPriority w:val="0"/>
    <w:semiHidden/>
    <w:qFormat/>
    <w:rPr>
      <w:rFonts w:ascii="宋体" w:hAnsi="宋体" w:cs="宋体"/>
      <w:sz w:val="24"/>
      <w:szCs w:val="24"/>
      <w:lang w:eastAsia="en-US"/>
    </w:rPr>
  </w:style>
  <w:style w:type="paragraph" w:styleId="1104" w:customStyle="1">
    <w:name w:val="正文缩进(ALT+Z)"/>
    <w:basedOn w:val="805"/>
    <w:uiPriority w:val="0"/>
    <w:qFormat/>
    <w:pPr>
      <w:ind w:firstLine="200"/>
    </w:pPr>
    <w:rPr>
      <w:rFonts w:asciiTheme="minorHAnsi" w:hAnsiTheme="minorHAnsi" w:eastAsiaTheme="minorEastAsia" w:cstheme="minorBidi"/>
      <w:sz w:val="24"/>
      <w:szCs w:val="24"/>
    </w:rPr>
  </w:style>
  <w:style w:type="paragraph" w:styleId="1105" w:customStyle="1">
    <w:name w:val="Normal_19"/>
    <w:uiPriority w:val="0"/>
    <w:qFormat/>
    <w:rPr>
      <w:rFonts w:ascii="Times New Roman" w:hAnsi="Times New Roman" w:eastAsia="Times New Roman" w:cs="Times New Roman"/>
      <w:sz w:val="24"/>
      <w:szCs w:val="24"/>
      <w:lang w:val="en-US" w:eastAsia="zh-CN" w:bidi="ar-SA"/>
    </w:rPr>
  </w:style>
  <w:style w:type="character" w:styleId="1106" w:customStyle="1">
    <w:name w:val="font21"/>
    <w:basedOn w:val="815"/>
    <w:uiPriority w:val="0"/>
    <w:qFormat/>
    <w:rPr>
      <w:rFonts w:hint="eastAsia" w:ascii="宋体" w:hAnsi="宋体" w:eastAsia="宋体" w:cs="宋体"/>
      <w:color w:val="000000"/>
      <w:sz w:val="24"/>
      <w:szCs w:val="24"/>
      <w:u w:val="single"/>
    </w:rPr>
  </w:style>
  <w:style w:type="character" w:styleId="1107" w:customStyle="1">
    <w:name w:val="font11"/>
    <w:basedOn w:val="815"/>
    <w:uiPriority w:val="0"/>
    <w:qFormat/>
    <w:rPr>
      <w:rFonts w:hint="eastAsia" w:ascii="宋体" w:hAnsi="宋体" w:eastAsia="宋体" w:cs="宋体"/>
      <w:color w:val="000000"/>
      <w:sz w:val="24"/>
      <w:szCs w:val="24"/>
      <w:u w:val="none"/>
    </w:rPr>
  </w:style>
  <w:style w:type="character" w:styleId="1108" w:customStyle="1">
    <w:name w:val="font31"/>
    <w:basedOn w:val="815"/>
    <w:uiPriority w:val="0"/>
    <w:qFormat/>
    <w:rPr>
      <w:rFonts w:hint="eastAsia" w:ascii="宋体" w:hAnsi="宋体" w:eastAsia="宋体" w:cs="宋体"/>
      <w:color w:val="000000"/>
      <w:sz w:val="24"/>
      <w:szCs w:val="24"/>
      <w:u w:val="none"/>
    </w:rPr>
  </w:style>
  <w:style w:type="numbering" w:styleId="11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林空鹿饮溪</dc:creator>
  <cp:lastModifiedBy>欧心怡</cp:lastModifiedBy>
  <cp:revision>14</cp:revision>
  <dcterms:created xsi:type="dcterms:W3CDTF">2025-09-16T01:10:00Z</dcterms:created>
  <dcterms:modified xsi:type="dcterms:W3CDTF">2026-10-26T05:17:01Z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998934EE454344AF8ED4167DC52155F4_13</vt:lpwstr>
  </property>
  <property fmtid="{D5CDD505-2E9C-101B-9397-08002B2CF9AE}" pid="4" name="KSOTemplateDocerSaveRecord">
    <vt:lpwstr>eyJoZGlkIjoiZTk5YjJmMjlkNTFiMDAyNGZkNWZiYzNlY2NjMGFlNTQiLCJ1c2VySWQiOiIzOTAwODMyOTAifQ==</vt:lpwstr>
  </property>
</Properties>
</file>