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20"/>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20"/>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eastAsia" w:ascii="宋体" w:hAnsi="宋体" w:eastAsia="宋体" w:cs="宋体"/>
          <w:b w:val="0"/>
          <w:bCs w:val="0"/>
          <w:color w:val="auto"/>
          <w:sz w:val="32"/>
          <w:szCs w:val="24"/>
          <w:highlight w:val="none"/>
          <w:lang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JSZC-320000-JSZG-G2026-0057</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徐州医科大学附属第三医院彩色多普勒超声系统</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徐州医科大学附属第三医院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2158365</wp:posOffset>
                </wp:positionH>
                <wp:positionV relativeFrom="page">
                  <wp:posOffset>6468745</wp:posOffset>
                </wp:positionV>
                <wp:extent cx="1217295" cy="826135"/>
                <wp:effectExtent l="0" t="0" r="1905" b="12065"/>
                <wp:wrapNone/>
                <wp:docPr id="3"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775714904280"/>
                        <pic:cNvPicPr>
                          <a:picLocks noChangeAspect="1"/>
                        </pic:cNvPicPr>
                        <pic:nvPr/>
                      </pic:nvPicPr>
                      <pic:blipFill>
                        <a:blip r:embed="rId16"/>
                        <a:stretch/>
                      </pic:blipFill>
                      <pic:spPr bwMode="auto">
                        <a:xfrm>
                          <a:off x="0" y="0"/>
                          <a:ext cx="1217295" cy="8261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9.9pt;mso-position-horizontal:absolute;mso-position-vertical-relative:page;margin-top:509.3pt;mso-position-vertical:absolute;width:95.8pt;height:65.0pt;mso-wrap-distance-left:9.0pt;mso-wrap-distance-top:0.0pt;mso-wrap-distance-right:9.0pt;mso-wrap-distance-bottom:0.0pt;" stroked="false">
                <v:path textboxrect="0,0,0,0"/>
                <v:imagedata r:id="rId16"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16"/>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九</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885"/>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885"/>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885"/>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885"/>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885"/>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885"/>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885"/>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pageBreakBefore w:val="0"/>
        <w:spacing w:line="360" w:lineRule="auto"/>
        <w:widowControl w:val="off"/>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徐州医科大学附属第三医院彩色多普勒超声系统</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pStyle w:val="757"/>
        <w:pageBreakBefore w:val="0"/>
        <w:spacing w:before="0" w:after="0" w:line="360" w:lineRule="auto"/>
        <w:widowControl w:val="off"/>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江苏中冠工程咨询有限公司</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徐州医科大学附属第三医院彩色多普勒超声系统</w:t>
      </w:r>
      <w:r>
        <w:rPr>
          <w:rFonts w:hint="eastAsia" w:ascii="宋体" w:hAnsi="宋体" w:eastAsia="宋体" w:cs="宋体"/>
          <w:color w:val="auto"/>
          <w:sz w:val="24"/>
          <w:szCs w:val="24"/>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30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徐州医科大学附属第三医院彩色多普勒超声系统</w:t>
      </w:r>
      <w:r/>
    </w:p>
    <w:p>
      <w:pPr>
        <w:ind w:firstLine="30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JSZC-320000-JSZG-G2026-0057</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pStyle w:val="806"/>
        <w:ind w:firstLine="2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（1）潜在供应商访问电子招标投标交易平台的网络地址和方法：</w:t>
      </w:r>
      <w:r/>
    </w:p>
    <w:p>
      <w:pPr>
        <w:pStyle w:val="806"/>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6"/>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06"/>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③“CA数字证书”的获取：</w:t>
      </w:r>
      <w:r/>
    </w:p>
    <w:p>
      <w:pPr>
        <w:pStyle w:val="806"/>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06"/>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6"/>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（2）采购代理机构将数据电文形式的招标文件加载至电子招标投标交易平台，供潜在供应商下载或者查阅。</w:t>
      </w:r>
      <w:r/>
    </w:p>
    <w:p>
      <w:pPr>
        <w:pStyle w:val="806"/>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（3）苏采云系统使用谷歌浏览器参与不见面开标。</w:t>
      </w:r>
      <w:r/>
    </w:p>
    <w:p>
      <w:pPr>
        <w:ind w:firstLine="579"/>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（4）售价：免费。</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cs="宋体"/>
          <w:b/>
          <w:color w:val="auto"/>
          <w:sz w:val="24"/>
          <w:szCs w:val="24"/>
          <w:highlight w:val="none"/>
          <w:lang w:val="en-US" w:eastAsia="zh-CN"/>
        </w:rPr>
        <w:tab/>
      </w:r>
      <w:r>
        <w:rPr>
          <w:rFonts w:hint="eastAsia" w:ascii="宋体" w:hAnsi="宋体" w:eastAsia="宋体" w:cs="宋体"/>
          <w:color w:val="auto"/>
          <w:sz w:val="24"/>
          <w:szCs w:val="24"/>
          <w:highlight w:val="none"/>
        </w:rPr>
        <w:t xml:space="preserve">。</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2026年10月15日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（一）名称：徐州医科大学附属第三医院</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（二）地址：徐州市复兴南路388号</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）采购项目联系人：张</w:t>
      </w:r>
      <w:r>
        <w:rPr>
          <w:rFonts w:hint="eastAsia" w:ascii="宋体" w:hAnsi="宋体" w:cs="宋体"/>
          <w:color w:val="auto"/>
          <w:sz w:val="24"/>
          <w:szCs w:val="24"/>
          <w:highlight w:val="none"/>
          <w:lang w:eastAsia="zh-CN"/>
        </w:rPr>
        <w:t xml:space="preserve">黎明</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eastAsia="zh-CN"/>
        </w:rPr>
        <w:t xml:space="preserve">：0516-83638985</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（二）地址：徐州市高新区康宁路1号高科金汇大厦A座13楼</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）采购项目联系人：</w:t>
      </w:r>
      <w:r>
        <w:rPr>
          <w:rFonts w:hint="eastAsia" w:ascii="宋体" w:hAnsi="宋体" w:eastAsia="宋体" w:cs="宋体"/>
          <w:color w:val="auto"/>
          <w:sz w:val="24"/>
          <w:szCs w:val="24"/>
          <w:highlight w:val="none"/>
          <w:lang w:val="en-US" w:eastAsia="zh-CN"/>
        </w:rPr>
        <w:t xml:space="preserve">孟巍 李秀玲</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0516-85187599 </w:t>
      </w:r>
      <w:r/>
    </w:p>
    <w:p>
      <w:pPr>
        <w:rPr>
          <w:rFonts w:hint="eastAsia"/>
          <w:color w:val="auto"/>
          <w:highlight w:val="none"/>
        </w:rPr>
      </w:pPr>
      <w:r>
        <w:rPr>
          <w:rFonts w:hint="eastAsia"/>
          <w:color w:val="auto"/>
          <w:highlight w:val="none"/>
        </w:rPr>
        <w:br w:type="page" w:clear="all"/>
      </w:r>
      <w:r/>
    </w:p>
    <w:p>
      <w:pPr>
        <w:pStyle w:val="757"/>
        <w:rPr>
          <w:rFonts w:hint="eastAsia"/>
          <w:color w:val="auto"/>
          <w:highlight w:val="none"/>
        </w:rPr>
      </w:pPr>
      <w:r>
        <w:rPr>
          <w:rFonts w:hint="eastAsia"/>
          <w:color w:val="auto"/>
          <w:highlight w:val="none"/>
        </w:rPr>
        <w:t xml:space="preserve">第二章 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885"/>
          <w:rFonts w:hint="eastAsia" w:ascii="宋体" w:hAnsi="宋体" w:eastAsia="宋体" w:cs="宋体"/>
          <w:color w:val="auto"/>
          <w:sz w:val="24"/>
          <w:szCs w:val="24"/>
          <w:highlight w:val="none"/>
          <w:u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885"/>
          <w:rFonts w:hint="eastAsia" w:ascii="宋体" w:hAnsi="宋体" w:eastAsia="宋体" w:cs="宋体"/>
          <w:color w:val="auto"/>
          <w:sz w:val="24"/>
          <w:szCs w:val="24"/>
          <w:highlight w:val="none"/>
          <w:u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85"/>
          <w:rFonts w:hint="eastAsia" w:ascii="宋体" w:hAnsi="宋体" w:eastAsia="宋体" w:cs="宋体"/>
          <w:color w:val="auto"/>
          <w:sz w:val="24"/>
          <w:szCs w:val="24"/>
          <w:highlight w:val="none"/>
          <w:u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，即投标报价&lt;全部通过符合性审查供应商投标报价平均值</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，即投标报价&lt;通过符合性审查的次低报价供应商投标报价</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3.投标报价低于采购项目最高限价（未设定最高限价的采购项目，以采购项目预算金额作为最高限价）</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%的，</w:t>
      </w:r>
      <w:r>
        <w:rPr>
          <w:rFonts w:hint="eastAsia" w:ascii="宋体" w:hAnsi="宋体" w:eastAsia="宋体" w:cs="宋体"/>
          <w:color w:val="auto"/>
          <w:sz w:val="24"/>
          <w:szCs w:val="24"/>
          <w:highlight w:val="none"/>
        </w:rPr>
        <w:t xml:space="preserve">即投标报价&lt;采购项目最高限价</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w:t>
      </w:r>
      <w:r>
        <w:rPr>
          <w:rFonts w:hint="eastAsia" w:ascii="宋体" w:hAnsi="宋体" w:eastAsia="宋体" w:cs="宋体"/>
          <w:b w:val="0"/>
          <w:bCs/>
          <w:color w:val="auto"/>
          <w:sz w:val="24"/>
          <w:szCs w:val="24"/>
          <w:highlight w:val="none"/>
        </w:rPr>
        <w:t xml:space="preserve">详见《第三章 投标资料表》</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w:t>
      </w:r>
      <w:r>
        <w:rPr>
          <w:rFonts w:hint="eastAsia" w:ascii="宋体" w:hAnsi="宋体" w:eastAsia="宋体" w:cs="宋体"/>
          <w:color w:val="auto"/>
          <w:sz w:val="24"/>
          <w:szCs w:val="24"/>
          <w:highlight w:val="none"/>
          <w:lang w:val="en-US" w:eastAsia="zh-CN"/>
        </w:rPr>
        <w:t xml:space="preserve">真相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jc w:val="left"/>
        <w:keepLines w:val="0"/>
        <w:keepNext w:val="0"/>
        <w:pageBreakBefore w:val="0"/>
        <w:spacing w:line="360" w:lineRule="auto"/>
        <w:rPr>
          <w:rStyle w:val="822"/>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rFonts w:hint="eastAsia" w:ascii="宋体" w:hAnsi="宋体" w:eastAsia="宋体" w:cs="宋体"/>
          <w:color w:val="auto"/>
          <w:sz w:val="28"/>
          <w:szCs w:val="22"/>
          <w:highlight w:val="none"/>
        </w:rPr>
        <w:t xml:space="preserve">。</w:t>
      </w:r>
      <w:r>
        <w:rPr>
          <w:rStyle w:val="822"/>
          <w:rFonts w:hint="eastAsia"/>
          <w:color w:val="auto"/>
          <w:highlight w:val="none"/>
        </w:rPr>
        <w:br w:type="page" w:clear="all"/>
      </w:r>
      <w:r/>
    </w:p>
    <w:p>
      <w:pPr>
        <w:jc w:val="center"/>
        <w:spacing w:line="720" w:lineRule="atLeast"/>
        <w:rPr>
          <w:rStyle w:val="822"/>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22"/>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sz w:val="24"/>
          <w:szCs w:val="24"/>
          <w:highlight w:val="none"/>
        </w:rPr>
      </w:pPr>
      <w:r>
        <w:rPr>
          <w:rFonts w:hint="eastAsia"/>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7"/>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徐州医科大学附属第三医院</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5728"/>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right="0" w:firstLine="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Theme="minorEastAsia" w:hAnsiTheme="minorEastAsia" w:eastAsiaTheme="minorEastAsia" w:cstheme="minorEastAsia"/>
                <w:b/>
                <w:color w:val="auto"/>
                <w:sz w:val="24"/>
                <w:szCs w:val="24"/>
                <w:highlight w:val="none"/>
                <w:lang w:val="en-US" w:eastAsia="zh-CN"/>
              </w:rPr>
              <w:t xml:space="preserve">本</w:t>
            </w:r>
            <w:r>
              <w:rPr>
                <w:rFonts w:hint="eastAsia" w:asciiTheme="minorEastAsia" w:hAnsiTheme="minorEastAsia" w:eastAsiaTheme="minorEastAsia" w:cstheme="minorEastAsia"/>
                <w:b/>
                <w:color w:val="auto"/>
                <w:sz w:val="24"/>
                <w:szCs w:val="24"/>
                <w:highlight w:val="none"/>
              </w:rPr>
              <w:t xml:space="preserve">项目</w:t>
            </w:r>
            <w:r>
              <w:rPr>
                <w:rFonts w:hint="eastAsia" w:asciiTheme="minorEastAsia" w:hAnsiTheme="minorEastAsia" w:eastAsiaTheme="minorEastAsia" w:cstheme="minorEastAsia"/>
                <w:b/>
                <w:color w:val="auto"/>
                <w:sz w:val="24"/>
                <w:szCs w:val="24"/>
                <w:highlight w:val="none"/>
                <w:lang w:val="en-US" w:eastAsia="zh-CN"/>
              </w:rPr>
              <w:t xml:space="preserve">不</w:t>
            </w:r>
            <w:r>
              <w:rPr>
                <w:rFonts w:hint="eastAsia" w:asciiTheme="minorEastAsia" w:hAnsiTheme="minorEastAsia" w:eastAsiaTheme="minorEastAsia" w:cstheme="minorEastAsia"/>
                <w:b/>
                <w:color w:val="auto"/>
                <w:sz w:val="24"/>
                <w:szCs w:val="24"/>
                <w:highlight w:val="none"/>
              </w:rPr>
              <w:t xml:space="preserve">属于专门面向中小微企业采购的</w:t>
            </w:r>
            <w:r>
              <w:rPr>
                <w:rFonts w:hint="eastAsia" w:ascii="宋体" w:hAnsi="宋体" w:cs="宋体"/>
                <w:b/>
                <w:bCs/>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right="0" w:firstLine="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1636"/>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预算金额已包含招标代理服务费，招标代理服务费由中标人在领取中标通知书前一次性支付至采购代理机构指定账户，按照《江苏省政府采购代理服务收费指导意见》(苏政采协[2024]20号)计取（见附件）。</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2648"/>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四)具备履行合同所必需的设备和专业技术能力的证明材料（即投标文件中提供：《具备履行合同所必需的设备和专业技术能力的书面声明》（加盖电子签章，格式见招标文件第七章《投标文件相关格式》）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）投标人关于单位负责人为同一人或者存在直接控股、管理关系的不同投标人，不得参加同一合同项下的政府采购活动的承诺。（加盖电子签章，格式见招标文件第七章《投标文件相关格式》）。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ind w:left="0" w:right="0" w:firstLine="0"/>
              <w:jc w:val="both"/>
              <w:keepLines w:val="0"/>
              <w:keepNext w:val="0"/>
              <w:pageBreakBefore w:val="0"/>
              <w:widowControl w:val="off"/>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（八）</w:t>
            </w:r>
            <w:r>
              <w:rPr>
                <w:rFonts w:hint="eastAsia" w:ascii="宋体" w:hAnsi="宋体" w:cs="宋体"/>
                <w:b/>
                <w:bCs/>
                <w:color w:val="auto"/>
                <w:sz w:val="24"/>
                <w:szCs w:val="24"/>
                <w:highlight w:val="none"/>
                <w:lang w:val="en-US" w:eastAsia="zh-CN"/>
              </w:rPr>
              <w:t xml:space="preserve">特定资格要求：</w:t>
            </w:r>
            <w:r/>
          </w:p>
          <w:p>
            <w:pPr>
              <w:numPr>
                <w:ilvl w:val="0"/>
                <w:numId w:val="0"/>
              </w:numPr>
              <w:ind w:left="0" w:righ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报价符合性审查</w:t>
            </w:r>
            <w:r>
              <w:rPr>
                <w:rFonts w:hint="eastAsia" w:ascii="宋体" w:hAnsi="宋体" w:eastAsia="宋体" w:cs="宋体"/>
                <w:b/>
                <w:bCs/>
                <w:color w:val="auto"/>
                <w:sz w:val="24"/>
                <w:highlight w:val="none"/>
                <w:lang w:eastAsia="zh-CN"/>
              </w:rPr>
              <w:t xml:space="preserve">》。</w:t>
            </w:r>
            <w:r>
              <w:rPr>
                <w:rFonts w:hint="eastAsia" w:ascii="宋体" w:hAnsi="宋体" w:eastAsia="宋体" w:cs="宋体"/>
                <w:b w:val="0"/>
                <w:bCs w:val="0"/>
                <w:color w:val="auto"/>
                <w:sz w:val="24"/>
                <w:highlight w:val="none"/>
                <w:lang w:eastAsia="zh-CN"/>
              </w:rPr>
              <w:t xml:space="preserve">属于评审（评标）委员会应当启动异常低价投标（响应）审查程序</w:t>
            </w:r>
            <w:r>
              <w:rPr>
                <w:rFonts w:hint="eastAsia" w:ascii="宋体" w:hAnsi="宋体" w:eastAsia="宋体" w:cs="宋体"/>
                <w:b w:val="0"/>
                <w:bCs w:val="0"/>
                <w:color w:val="auto"/>
                <w:sz w:val="24"/>
                <w:highlight w:val="none"/>
                <w:lang w:val="en-US" w:eastAsia="zh-CN"/>
              </w:rPr>
              <w:t xml:space="preserve">情形之一的，</w:t>
            </w:r>
            <w:r>
              <w:rPr>
                <w:rFonts w:hint="eastAsia" w:ascii="宋体" w:hAnsi="宋体" w:eastAsia="宋体" w:cs="宋体"/>
                <w:b w:val="0"/>
                <w:bCs w:val="0"/>
                <w:color w:val="auto"/>
                <w:sz w:val="24"/>
                <w:highlight w:val="none"/>
                <w:lang w:eastAsia="zh-CN"/>
              </w:rPr>
              <w:t xml:space="preserve">供应商可随投标（响应）文件一并提交相关书面说明及必要的证明材料。</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left="0" w:right="0" w:firstLine="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投标人投标文件中须提交药品监督管理局颁发的相关</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eastAsia="zh-CN"/>
              </w:rPr>
              <w:t xml:space="preserve">产品的医疗器械注册证</w:t>
            </w:r>
            <w:r>
              <w:rPr>
                <w:rFonts w:hint="eastAsia" w:ascii="宋体" w:hAnsi="宋体" w:eastAsia="宋体" w:cs="宋体"/>
                <w:b/>
                <w:bCs/>
                <w:color w:val="auto"/>
                <w:sz w:val="24"/>
                <w:szCs w:val="24"/>
                <w:highlight w:val="none"/>
                <w:lang w:val="en-US" w:eastAsia="zh-CN"/>
              </w:rPr>
              <w:t xml:space="preserve">或备案凭证</w:t>
            </w:r>
            <w:r>
              <w:rPr>
                <w:rFonts w:hint="eastAsia" w:ascii="宋体" w:hAnsi="宋体" w:eastAsia="宋体" w:cs="宋体"/>
                <w:b/>
                <w:bCs/>
                <w:color w:val="auto"/>
                <w:sz w:val="24"/>
                <w:szCs w:val="24"/>
                <w:highlight w:val="none"/>
                <w:lang w:eastAsia="zh-CN"/>
              </w:rPr>
              <w:t xml:space="preserve">（如果属于医疗器械类）的复印件并加盖投标人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电子签章</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。本项为实质性要求，如有不满足或负偏离则按照无效投标处理。</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ind w:left="0" w:right="0" w:firstLine="0"/>
              <w:jc w:val="both"/>
              <w:keepLines w:val="0"/>
              <w:keepNext w:val="0"/>
              <w:pageBreakBefore w:val="0"/>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rPr>
              <w:t xml:space="preserve">要求见招标文件第六章《采购需求》及第四章《评标标准》中《评分细则》；</w:t>
            </w:r>
            <w:r/>
          </w:p>
          <w:p>
            <w:pPr>
              <w:ind w:left="0" w:right="0" w:firstLine="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ind w:left="0" w:right="0" w:firstLine="0"/>
              <w:jc w:val="both"/>
              <w:keepLines w:val="0"/>
              <w:keepNext w:val="0"/>
              <w:pageBreakBefore w:val="0"/>
              <w:widowControl w:val="off"/>
              <w:rPr>
                <w:rFonts w:hint="eastAsia" w:asciiTheme="minorEastAsia" w:hAnsiTheme="minorEastAsia" w:eastAsiaTheme="minorEastAsia" w:cstheme="minorEastAsia"/>
                <w:strike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rPr>
              <w:t xml:space="preserve">要求见本文件第四章《评标标准》中《评分细则》）；</w:t>
            </w:r>
            <w:r/>
          </w:p>
          <w:p>
            <w:pPr>
              <w:ind w:left="0" w:right="0" w:firstLine="0"/>
              <w:jc w:val="both"/>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left="0" w:right="0" w:firstLine="0"/>
              <w:jc w:val="both"/>
              <w:keepLines w:val="0"/>
              <w:keepNext w:val="0"/>
              <w:pageBreakBefore w:val="0"/>
              <w:spacing w:line="360" w:lineRule="auto"/>
              <w:widowControl w:val="off"/>
              <w:rPr>
                <w:rFonts w:hint="eastAsia" w:ascii="宋体" w:hAnsi="宋体" w:eastAsia="宋体" w:cs="宋体"/>
                <w:b/>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本项目</w:t>
            </w:r>
            <w:r>
              <w:rPr>
                <w:rFonts w:hint="eastAsia" w:ascii="宋体" w:hAnsi="宋体" w:cs="宋体"/>
                <w:b/>
                <w:bCs/>
                <w:color w:val="auto"/>
                <w:sz w:val="24"/>
                <w:szCs w:val="24"/>
                <w:highlight w:val="none"/>
                <w:lang w:val="en-US" w:eastAsia="zh-CN"/>
              </w:rPr>
              <w:t xml:space="preserve">不属于</w:t>
            </w:r>
            <w:r>
              <w:rPr>
                <w:rFonts w:hint="eastAsia" w:ascii="宋体" w:hAnsi="宋体" w:eastAsia="宋体" w:cs="宋体"/>
                <w:b/>
                <w:bCs/>
                <w:color w:val="auto"/>
                <w:sz w:val="24"/>
                <w:szCs w:val="24"/>
                <w:highlight w:val="none"/>
              </w:rPr>
              <w:t xml:space="preserve">专门面向中小微企业采购的项目</w:t>
            </w:r>
            <w:r>
              <w:rPr>
                <w:rFonts w:hint="eastAsia" w:ascii="宋体" w:hAnsi="宋体" w:eastAsia="宋体" w:cs="宋体"/>
                <w:b/>
                <w:bCs/>
                <w:color w:val="auto"/>
                <w:sz w:val="24"/>
                <w:szCs w:val="24"/>
                <w:highlight w:val="none"/>
                <w:lang w:eastAsia="zh-CN"/>
              </w:rPr>
              <w:t xml:space="preserve">。</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（一）小微企业、监狱和戒毒企业、残疾人福利单位声明函：</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企业报价折扣证明：</w:t>
            </w:r>
            <w:r>
              <w:rPr>
                <w:rFonts w:hint="eastAsia" w:ascii="宋体" w:hAnsi="宋体" w:eastAsia="宋体" w:cs="宋体"/>
                <w:b/>
                <w:bCs w:val="0"/>
                <w:color w:val="auto"/>
                <w:sz w:val="24"/>
                <w:szCs w:val="24"/>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《中小企业声明函》查询渠道参考工业和信息化部发布的中小企业规模自测小程序。中小企业规模自测小程序详见《中小企业声明函》。</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注：具体以《政府采购促进中小企业发展管理办法》（财库[2020]46号）和《关于印发中小企业划型标准规定的通知》（工信部联企业[2011]300号）的规定为准。</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监狱企业和残疾人福利性单位等同于小微企业。</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投标人为监狱企业的，提供省级以上监狱管理局、戒毒管理局（含新疆生产建设兵团）出具的属于监狱企业的证明文件原件的扫描件。</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具体以《财政部 司法部关于政府采购支持监狱企业发展有关问题的通知》（财库〔2014〕68号）的规定为准。</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享受政府采购支持政策的残疾人福利性单位应当同时满足以下条件：</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①安置的残疾人占本单位在职职工人数的比例不低于25%（含25%），并且安置的残疾人人数不少于10人（含10人）；</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②依法与安置的每位残疾人签订了一年以上（含一年）的劳动合同或服务协议；</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③为安置的每位残疾人按月足额缴纳了基本养老保险、基本医疗保险、失业保险、工伤保险和生育保险等社会保险费；</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④通过银行等金融机构向安置的每位残疾人，按月支付了不低于单位所在区县适用的经省级人民政府批准的月最低工资标准的工资；</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具体以《三部门联合发布关于促进残疾人就业政府采购政策的通知》（财库〔2017〕141号）规定为准。</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（二）本国产品报价折扣证明：</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ind w:left="0" w:righ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1513"/>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148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本项目不接受超过人民币</w:t>
            </w:r>
            <w:r>
              <w:rPr>
                <w:rFonts w:hint="eastAsia" w:ascii="宋体" w:hAnsi="宋体" w:cs="宋体"/>
                <w:b/>
                <w:bCs/>
                <w:color w:val="auto"/>
                <w:sz w:val="24"/>
                <w:szCs w:val="24"/>
                <w:highlight w:val="none"/>
                <w:lang w:val="en-US" w:eastAsia="zh-CN"/>
              </w:rPr>
              <w:t xml:space="preserve">120.00</w:t>
            </w:r>
            <w:r>
              <w:rPr>
                <w:rFonts w:hint="eastAsia" w:ascii="宋体" w:hAnsi="宋体" w:eastAsia="宋体" w:cs="宋体"/>
                <w:b/>
                <w:bCs/>
                <w:color w:val="auto"/>
                <w:sz w:val="24"/>
                <w:szCs w:val="24"/>
                <w:highlight w:val="none"/>
              </w:rPr>
              <w:t xml:space="preserve">万元（采购项目预算金额）的投标报价。</w:t>
            </w:r>
            <w:r>
              <w:rPr>
                <w:rFonts w:hint="eastAsia" w:ascii="宋体" w:hAnsi="宋体" w:eastAsia="宋体" w:cs="宋体"/>
                <w:color w:val="auto"/>
                <w:sz w:val="24"/>
                <w:szCs w:val="24"/>
                <w:highlight w:val="none"/>
              </w:rPr>
              <w:t xml:space="preserve">报价包括产品价、税金、运费、安装调试、检验、保险、验收等全部费用。用户不再支付报价以外的任何费用。</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556"/>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1990"/>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02"/>
              <w:ind w:left="0" w:right="0" w:firstLine="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1、投标文件提交时间：2026年10月15日北京时间9:30前。</w:t>
            </w:r>
            <w:r/>
          </w:p>
          <w:p>
            <w:pPr>
              <w:pStyle w:val="802"/>
              <w:ind w:left="0" w:right="0" w:firstLine="0"/>
              <w:pageBreakBefore w:val="0"/>
              <w:spacing w:before="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2、投标截止时间：2026年10月15日北京时间9:30。</w:t>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ind w:left="0" w:right="0" w:firstLine="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证书登陆“苏采云”系统在线编制投标文件（电子数据），并在投标截止时间之前上传投标文件。投标人应在达到开标时间后，使用CA数字证书解密各自投标文件。</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2026年10月15日</w:t>
            </w:r>
            <w:r>
              <w:rPr>
                <w:rFonts w:hint="eastAsia" w:ascii="宋体" w:hAnsi="宋体" w:eastAsia="宋体" w:cs="宋体"/>
                <w:b/>
                <w:color w:val="auto"/>
                <w:sz w:val="24"/>
                <w:szCs w:val="24"/>
                <w:highlight w:val="none"/>
              </w:rPr>
              <w:t xml:space="preserve">09：30（北京时间）</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center"/>
            <w:textDirection w:val="lrTb"/>
            <w:noWrap w:val="false"/>
          </w:tcPr>
          <w:p>
            <w:pPr>
              <w:ind w:left="0" w:right="0" w:firstLine="0"/>
              <w:jc w:val="center"/>
              <w:keepLines/>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center"/>
            <w:textDirection w:val="lrTb"/>
            <w:noWrap w:val="false"/>
          </w:tcPr>
          <w:p>
            <w:pPr>
              <w:ind w:left="0" w:right="0" w:firstLine="0"/>
              <w:jc w:val="both"/>
              <w:keepLines/>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left="0" w:right="0" w:firstLine="0"/>
              <w:jc w:val="both"/>
              <w:keepLines/>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ind w:left="0" w:right="0" w:firstLine="0"/>
              <w:jc w:val="both"/>
              <w:keepLines/>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center"/>
            <w:textDirection w:val="lrTb"/>
            <w:noWrap w:val="false"/>
          </w:tcPr>
          <w:p>
            <w:pPr>
              <w:ind w:left="0" w:right="0" w:firstLine="0"/>
              <w:keepLines w:val="0"/>
              <w:keepNext w:val="0"/>
              <w:pageBreakBefore w:val="0"/>
              <w:spacing w:line="360" w:lineRule="auto"/>
              <w:widowControl w:val="off"/>
              <w:rPr>
                <w:rFonts w:ascii="宋体" w:hAnsi="宋体" w:cs="宋体"/>
                <w:color w:val="auto"/>
                <w:sz w:val="24"/>
                <w:highlight w:val="none"/>
              </w:rPr>
            </w:pPr>
            <w:r/>
            <w:bookmarkStart w:id="0" w:name="OLE_LINK4"/>
            <w:r/>
            <w:bookmarkStart w:id="1" w:name="OLE_LINK7"/>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不提供书面说明、证明材料，或者提供的书面说明、证明材料不能证明其报价合理性的，评审委员会应当将其作为无效投标处理。</w:t>
            </w:r>
            <w:bookmarkEnd w:id="0"/>
            <w:r/>
            <w:bookmarkEnd w:id="1"/>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ind w:left="0" w:right="0" w:firstLine="0"/>
              <w:jc w:val="both"/>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本项目不收取履约保证金</w:t>
            </w:r>
            <w:r>
              <w:rPr>
                <w:rFonts w:hint="eastAsia" w:ascii="宋体" w:hAnsi="宋体" w:eastAsia="宋体" w:cs="宋体"/>
                <w:b/>
                <w:bCs/>
                <w:color w:val="auto"/>
                <w:sz w:val="24"/>
                <w:szCs w:val="24"/>
                <w:highlight w:val="none"/>
                <w:lang w:eastAsia="zh-CN"/>
              </w:rPr>
              <w:t xml:space="preserve">。</w:t>
            </w:r>
            <w:r/>
          </w:p>
        </w:tc>
      </w:tr>
      <w:tr>
        <w:trPr>
          <w:jc w:val="center"/>
          <w:trHeight w:val="756"/>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center"/>
            <w:textDirection w:val="lrTb"/>
            <w:noWrap w:val="false"/>
          </w:tcPr>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孟巍；</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0516-85187599</w:t>
            </w:r>
            <w:r>
              <w:rPr>
                <w:rFonts w:hint="eastAsia" w:ascii="宋体" w:hAnsi="宋体" w:cs="宋体"/>
                <w:color w:val="auto"/>
                <w:sz w:val="24"/>
                <w:szCs w:val="24"/>
                <w:highlight w:val="none"/>
                <w:lang w:val="en-US" w:eastAsia="zh-CN"/>
              </w:rPr>
              <w:t xml:space="preserve">；</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center"/>
            <w:textDirection w:val="lrTb"/>
            <w:noWrap w:val="false"/>
          </w:tcPr>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highlight w:val="none"/>
                <w:lang w:eastAsia="zh-CN"/>
              </w:rPr>
              <w:t xml:space="preserve">本</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69"/>
        <w:gridCol w:w="3419"/>
      </w:tblGrid>
      <w:tr>
        <w:trPr>
          <w:trHeight w:val="510"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1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1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1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1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1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1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3.代理服务费基准金额（按差额定率累进法计算的）=中标金额（按差额定率累进法计算的）*费率（%）</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6.有分包(分标段)的按采购包计算。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7.以上价格为协会指导价，双方可根据项目难易程度和优质优价原则协商确定。</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aps w:val="0"/>
          <w:color w:val="auto"/>
          <w:spacing w:val="0"/>
          <w:sz w:val="24"/>
          <w:szCs w:val="24"/>
          <w:highlight w:val="none"/>
          <w:lang w:val="en-US" w:eastAsia="zh-CN"/>
        </w:rPr>
        <w:t xml:space="preserve">8、根据苏财规[2026]1号文件有关规定，本项目代理服务费由中标人支付，各投标人在投标报价时应充分考虑在内。</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lang w:val="en-US" w:eastAsia="zh-CN"/>
        </w:rPr>
        <w:t xml:space="preserve">.账户信息：</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rPr>
          <w:rFonts w:hint="eastAsia" w:ascii="宋体" w:hAnsi="宋体" w:eastAsia="宋体" w:cs="宋体"/>
          <w:b/>
          <w:color w:val="auto"/>
          <w:sz w:val="28"/>
          <w:szCs w:val="22"/>
          <w:highlight w:val="none"/>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rPr>
          <w:rFonts w:hint="eastAsia" w:ascii="宋体" w:hAnsi="宋体" w:eastAsia="宋体" w:cs="宋体"/>
          <w:b/>
          <w:color w:val="auto"/>
          <w:sz w:val="28"/>
          <w:szCs w:val="22"/>
          <w:highlight w:val="none"/>
        </w:rPr>
        <w:br w:type="page" w:clear="all"/>
      </w:r>
      <w:r/>
    </w:p>
    <w:p>
      <w:pPr>
        <w:pStyle w:val="757"/>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tbl>
      <w:tblPr>
        <w:tblStyle w:val="767"/>
        <w:tblW w:w="55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90"/>
        <w:gridCol w:w="8296"/>
      </w:tblGrid>
      <w:tr>
        <w:trPr>
          <w:jc w:val="center"/>
          <w:trHeight w:val="543"/>
          <w:tblHeader/>
        </w:trPr>
        <w:tc>
          <w:tcPr>
            <w:tcW w:w="76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23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6990"/>
        </w:trPr>
        <w:tc>
          <w:tcPr>
            <w:tcW w:w="76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投标报价（30分）</w:t>
            </w:r>
            <w:r/>
          </w:p>
        </w:tc>
        <w:tc>
          <w:tcPr>
            <w:tcW w:w="4238" w:type="pct"/>
            <w:vAlign w:val="center"/>
            <w:textDirection w:val="lrTb"/>
            <w:noWrap w:val="false"/>
          </w:tcPr>
          <w:p>
            <w:pPr>
              <w:pStyle w:val="809"/>
              <w:numPr>
                <w:ilvl w:val="0"/>
                <w:numId w:val="0"/>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采用低价优先法计算，即满足招标文件要求且投标人评审价格最低的投标报价为评标基准价，其价格得分为满分；</w:t>
            </w:r>
            <w:r/>
          </w:p>
          <w:p>
            <w:pPr>
              <w:pStyle w:val="809"/>
              <w:numPr>
                <w:ilvl w:val="0"/>
                <w:numId w:val="0"/>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各投标人价格得分=最低报价（投标人的最低评审价格）÷各投标人评审价格×30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注：</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该投标人的评审价格=《开标一览表》中的“总价”*（100%-10%）</w:t>
            </w:r>
            <w:r/>
          </w:p>
          <w:p>
            <w:pPr>
              <w:ind w:firstLine="0"/>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firstLine="0"/>
              <w:keepLines w:val="0"/>
              <w:keepNext w:val="0"/>
              <w:pageBreakBefore w:val="0"/>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5159"/>
        </w:trPr>
        <w:tc>
          <w:tcPr>
            <w:tcW w:w="761" w:type="pct"/>
            <w:vAlign w:val="center"/>
            <w:textDirection w:val="lrTb"/>
            <w:noWrap w:val="false"/>
          </w:tcPr>
          <w:p>
            <w:pPr>
              <w:numPr>
                <w:ilvl w:val="255"/>
                <w:numId w:val="0"/>
              </w:numPr>
              <w:ind w:firstLine="0"/>
              <w:jc w:val="center"/>
              <w:keepLines w:val="0"/>
              <w:keepNext w:val="0"/>
              <w:pageBreakBefore w:val="0"/>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cs="宋体"/>
                <w:b w:val="0"/>
                <w:bCs/>
                <w:color w:val="auto"/>
                <w:sz w:val="24"/>
                <w:szCs w:val="24"/>
                <w:highlight w:val="none"/>
                <w:lang w:val="en-US" w:eastAsia="zh-CN"/>
              </w:rPr>
              <w:t xml:space="preserve">26</w:t>
            </w:r>
            <w:r>
              <w:rPr>
                <w:rFonts w:hint="eastAsia" w:ascii="宋体" w:hAnsi="宋体" w:eastAsia="宋体" w:cs="宋体"/>
                <w:b w:val="0"/>
                <w:bCs/>
                <w:color w:val="auto"/>
                <w:sz w:val="24"/>
                <w:szCs w:val="24"/>
                <w:highlight w:val="none"/>
              </w:rPr>
              <w:t xml:space="preserve">分）</w:t>
            </w:r>
            <w:r/>
          </w:p>
        </w:tc>
        <w:tc>
          <w:tcPr>
            <w:tcW w:w="4238" w:type="pct"/>
            <w:vAlign w:val="center"/>
            <w:textDirection w:val="lrTb"/>
            <w:noWrap w:val="false"/>
          </w:tcPr>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设备技术参数全部满足招标</w:t>
            </w:r>
            <w:r>
              <w:rPr>
                <w:rFonts w:hint="eastAsia" w:ascii="宋体" w:hAnsi="宋体" w:eastAsia="宋体" w:cs="宋体"/>
                <w:bCs/>
                <w:color w:val="auto"/>
                <w:sz w:val="24"/>
                <w:szCs w:val="24"/>
                <w:highlight w:val="none"/>
                <w:lang w:val="en-US" w:eastAsia="zh-CN"/>
              </w:rPr>
              <w:t xml:space="preserve">文件第六章《采购需求》中的“技术规格参数要求”的</w:t>
            </w:r>
            <w:r>
              <w:rPr>
                <w:rFonts w:hint="eastAsia" w:ascii="宋体" w:hAnsi="宋体" w:eastAsia="宋体" w:cs="宋体"/>
                <w:bCs/>
                <w:color w:val="auto"/>
                <w:sz w:val="24"/>
                <w:szCs w:val="24"/>
                <w:highlight w:val="none"/>
              </w:rPr>
              <w:t xml:space="preserve">得满分</w:t>
            </w:r>
            <w:r>
              <w:rPr>
                <w:rFonts w:hint="eastAsia"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分；具体由评委根据供应商的投标文件中产品情况、《分项报价表》、《技术条款偏离表》等有关资料打分。</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1.技术参数中加“▲”的参数（共</w:t>
            </w:r>
            <w:r>
              <w:rPr>
                <w:rFonts w:hint="eastAsia"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条），每有一项不符合（负偏离）的，扣</w:t>
            </w:r>
            <w:r>
              <w:rPr>
                <w:rFonts w:hint="eastAsia"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分，扣完</w:t>
            </w:r>
            <w:r>
              <w:rPr>
                <w:rFonts w:hint="eastAsia"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分为止。</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2.技术参数中一般响应指标（共</w:t>
            </w:r>
            <w:r>
              <w:rPr>
                <w:rFonts w:hint="eastAsia"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条），每有一条不符合（负偏离）的，扣</w:t>
            </w:r>
            <w:r>
              <w:rPr>
                <w:rFonts w:hint="eastAsia"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rPr>
              <w:t xml:space="preserve">分，扣完</w:t>
            </w:r>
            <w:r>
              <w:rPr>
                <w:rFonts w:hint="eastAsia"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分为止。</w:t>
            </w:r>
            <w:r/>
          </w:p>
          <w:p>
            <w:pPr>
              <w:pStyle w:val="809"/>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w:t>
            </w:r>
            <w:r>
              <w:rPr>
                <w:rFonts w:hint="eastAsia"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分，最低不得分。</w:t>
            </w:r>
            <w:r/>
          </w:p>
          <w:p>
            <w:pPr>
              <w:pStyle w:val="809"/>
              <w:spacing w:line="3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注：技术参数中标注加“★”标志为实质性响应指标不允许负偏离，否则按无效投标处理；</w:t>
            </w:r>
            <w:r>
              <w:rPr>
                <w:rFonts w:hint="eastAsia" w:ascii="宋体" w:hAnsi="宋体" w:eastAsia="宋体" w:cs="宋体"/>
                <w:b/>
                <w:color w:val="auto"/>
                <w:sz w:val="24"/>
                <w:szCs w:val="24"/>
                <w:highlight w:val="none"/>
              </w:rPr>
              <w:t xml:space="preserve">“▲”的指标为次重要响应指标，其他为一般响应指标，未按要求提供证明材料的视为不满足。</w:t>
            </w:r>
            <w:r/>
          </w:p>
          <w:p>
            <w:pPr>
              <w:pStyle w:val="809"/>
              <w:spacing w:line="3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标注“▲”的技术参数</w:t>
            </w:r>
            <w:r>
              <w:rPr>
                <w:rFonts w:hint="eastAsia" w:ascii="宋体" w:hAnsi="宋体" w:eastAsia="宋体" w:cs="宋体"/>
                <w:b/>
                <w:color w:val="auto"/>
                <w:sz w:val="24"/>
                <w:szCs w:val="24"/>
                <w:highlight w:val="none"/>
              </w:rPr>
              <w:t xml:space="preserve">必须在投标文件内提供技术支持资料（如白皮书、彩页、手册、检测报告等），未提供技术支持资料的，评审时不予认可。</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u w:val="none"/>
              </w:rPr>
              <w:t xml:space="preserve">注：项目参数、技术参数和相关要求响应情况需如实填写，不得虚假响应，否则视为提供虚假材料谋取中标。</w:t>
            </w:r>
            <w:r/>
          </w:p>
        </w:tc>
      </w:tr>
      <w:tr>
        <w:trPr>
          <w:jc w:val="center"/>
          <w:trHeight w:val="1603"/>
        </w:trPr>
        <w:tc>
          <w:tcPr>
            <w:shd w:val="clear" w:color="auto" w:fill="auto"/>
            <w:tcW w:w="761" w:type="pct"/>
            <w:vAlign w:val="center"/>
            <w:textDirection w:val="lrTb"/>
            <w:noWrap w:val="false"/>
          </w:tcPr>
          <w:p>
            <w:pPr>
              <w:numPr>
                <w:ilvl w:val="255"/>
                <w:numId w:val="0"/>
              </w:numPr>
              <w:ind w:left="0" w:firstLine="0"/>
              <w:jc w:val="center"/>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业绩</w:t>
            </w:r>
            <w:r/>
          </w:p>
          <w:p>
            <w:pPr>
              <w:numPr>
                <w:ilvl w:val="255"/>
                <w:numId w:val="0"/>
              </w:numPr>
              <w:ind w:left="0" w:firstLine="0"/>
              <w:jc w:val="center"/>
              <w:keepLines w:val="0"/>
              <w:keepNext w:val="0"/>
              <w:pageBreakBefore w:val="0"/>
              <w:spacing w:line="24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（4分）</w:t>
            </w:r>
            <w:r/>
          </w:p>
        </w:tc>
        <w:tc>
          <w:tcPr>
            <w:shd w:val="clear" w:color="auto" w:fill="auto"/>
            <w:tcW w:w="4238"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投标人或所投产品制造商或制造商其他代理商，自202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年1月1日（以合同签订时间为准）以来与所投产品同品牌的类似</w:t>
            </w:r>
            <w:r>
              <w:rPr>
                <w:rFonts w:hint="eastAsia" w:ascii="宋体" w:hAnsi="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合同复印件，加盖投标人公章，满足前述要求的业绩证明材料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关键页清晰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jc w:val="center"/>
          <w:trHeight w:val="2989"/>
        </w:trPr>
        <w:tc>
          <w:tcPr>
            <w:shd w:val="clear" w:color="auto" w:fill="auto"/>
            <w:tcW w:w="761"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所投产品质量、性能评价（</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p>
        </w:tc>
        <w:tc>
          <w:tcPr>
            <w:shd w:val="clear" w:color="auto" w:fill="auto"/>
            <w:tcW w:w="423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根据所投产品实样照片、产品配置、产品品质、医疗机构应用情况</w:t>
            </w:r>
            <w:r>
              <w:rPr>
                <w:rFonts w:hint="eastAsia" w:asciiTheme="minorEastAsia" w:hAnsiTheme="minorEastAsia" w:eastAsiaTheme="minorEastAsia" w:cstheme="minorEastAsia"/>
                <w:b w:val="0"/>
                <w:bCs w:val="0"/>
                <w:color w:val="auto"/>
                <w:sz w:val="24"/>
                <w:szCs w:val="24"/>
                <w:highlight w:val="none"/>
                <w:lang w:val="en-US" w:eastAsia="zh-CN"/>
              </w:rPr>
              <w:t xml:space="preserve">以及针对采购包关注重点等内容</w:t>
            </w:r>
            <w:r>
              <w:rPr>
                <w:rFonts w:hint="eastAsia" w:ascii="宋体" w:hAnsi="宋体" w:eastAsia="宋体" w:cs="宋体"/>
                <w:color w:val="auto"/>
                <w:sz w:val="24"/>
                <w:szCs w:val="24"/>
                <w:highlight w:val="none"/>
                <w:lang w:val="en-US" w:eastAsia="zh-CN"/>
              </w:rPr>
              <w:t xml:space="preserve">等，从性能稳定性、质量可靠性、技术先进性方面综合评分。</w:t>
            </w:r>
            <w:r/>
          </w:p>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分；性能稳定性一般的得2分；性能稳定性较差的得1分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分）：质量可靠性高的得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分；产品质量可靠性一般的得2分；质量可靠性程度较差的得1分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分）：技术先进的得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分；技术较先进的得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分；技术较落后的得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分，最低不得分。</w:t>
            </w:r>
            <w:r/>
          </w:p>
        </w:tc>
      </w:tr>
      <w:tr>
        <w:trPr>
          <w:jc w:val="center"/>
          <w:trHeight w:val="2964"/>
        </w:trPr>
        <w:tc>
          <w:tcPr>
            <w:shd w:val="clear" w:color="auto" w:fill="auto"/>
            <w:tcW w:w="761" w:type="pct"/>
            <w:vAlign w:val="center"/>
            <w:textDirection w:val="lrTb"/>
            <w:noWrap w:val="false"/>
          </w:tcPr>
          <w:p>
            <w:pPr>
              <w:numPr>
                <w:ilvl w:val="255"/>
                <w:numId w:val="0"/>
              </w:numPr>
              <w:ind w:left="0" w:firstLine="0"/>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项目实施方案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shd w:val="clear" w:color="auto" w:fill="auto"/>
            <w:tcW w:w="423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cs="宋体"/>
                <w:color w:val="auto"/>
                <w:sz w:val="24"/>
                <w:szCs w:val="24"/>
                <w:highlight w:val="none"/>
                <w:lang w:val="en-US" w:eastAsia="zh-CN"/>
              </w:rPr>
              <w:t xml:space="preserve">进行评价</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cs="宋体"/>
                <w:color w:val="auto"/>
                <w:sz w:val="24"/>
                <w:szCs w:val="24"/>
                <w:highlight w:val="none"/>
                <w:lang w:val="en-US" w:eastAsia="zh-CN"/>
              </w:rPr>
              <w:t xml:space="preserve">实施</w:t>
            </w:r>
            <w:r>
              <w:rPr>
                <w:rFonts w:hint="eastAsia" w:asciiTheme="minorEastAsia" w:hAnsiTheme="minorEastAsia" w:eastAsiaTheme="minorEastAsia" w:cstheme="minorEastAsia"/>
                <w:b w:val="0"/>
                <w:bCs w:val="0"/>
                <w:color w:val="auto"/>
                <w:sz w:val="24"/>
                <w:szCs w:val="24"/>
                <w:highlight w:val="none"/>
                <w:lang w:val="en-US" w:eastAsia="zh-CN"/>
              </w:rPr>
              <w:t xml:space="preserve">人员安排、实施流程、供货的保障措施、供货计划安排、安装调试方案</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分，最低不得分。</w:t>
            </w:r>
            <w:r/>
          </w:p>
        </w:tc>
      </w:tr>
      <w:tr>
        <w:trPr>
          <w:jc w:val="center"/>
          <w:trHeight w:val="3026"/>
        </w:trPr>
        <w:tc>
          <w:tcPr>
            <w:shd w:val="clear" w:color="auto" w:fill="auto"/>
            <w:tcW w:w="761"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售后服务方案（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W w:w="423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对售后服务</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进行评价</w:t>
            </w:r>
            <w:r>
              <w:rPr>
                <w:rFonts w:hint="eastAsia" w:ascii="宋体" w:hAnsi="宋体" w:eastAsia="宋体" w:cs="宋体"/>
                <w:color w:val="auto"/>
                <w:sz w:val="24"/>
                <w:szCs w:val="24"/>
                <w:highlight w:val="none"/>
                <w:lang w:val="en-US" w:eastAsia="zh-CN"/>
              </w:rPr>
              <w:t xml:space="preserve">，内容包含但不限于质保期</w:t>
            </w:r>
            <w:r>
              <w:rPr>
                <w:rFonts w:hint="eastAsia" w:ascii="宋体" w:hAnsi="宋体" w:cs="宋体"/>
                <w:color w:val="auto"/>
                <w:sz w:val="24"/>
                <w:szCs w:val="24"/>
                <w:highlight w:val="none"/>
                <w:lang w:val="en-US" w:eastAsia="zh-CN"/>
              </w:rPr>
              <w:t xml:space="preserve">限承诺、售后</w:t>
            </w:r>
            <w:r>
              <w:rPr>
                <w:rFonts w:hint="eastAsia" w:ascii="宋体" w:hAnsi="宋体" w:eastAsia="宋体" w:cs="宋体"/>
                <w:color w:val="auto"/>
                <w:sz w:val="24"/>
                <w:szCs w:val="24"/>
                <w:highlight w:val="none"/>
                <w:lang w:val="en-US" w:eastAsia="zh-CN"/>
              </w:rPr>
              <w:t xml:space="preserve">服务方式、响应时间、故障处理、应急保障措施、质保期满后配件供应等。</w:t>
            </w:r>
            <w:r/>
          </w:p>
          <w:p>
            <w:pPr>
              <w:ind w:lef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分；不太全面得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分；针对性一般的得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欠缺针对性的得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分，最低不得分。</w:t>
            </w:r>
            <w:r/>
          </w:p>
        </w:tc>
      </w:tr>
      <w:tr>
        <w:trPr>
          <w:jc w:val="center"/>
          <w:trHeight w:val="1823"/>
        </w:trPr>
        <w:tc>
          <w:tcPr>
            <w:shd w:val="clear" w:color="auto" w:fill="auto"/>
            <w:tcW w:w="761" w:type="pct"/>
            <w:vAlign w:val="center"/>
            <w:textDirection w:val="lrTb"/>
            <w:noWrap w:val="false"/>
          </w:tcPr>
          <w:p>
            <w:pPr>
              <w:numPr>
                <w:ilvl w:val="255"/>
                <w:numId w:val="0"/>
              </w:numPr>
              <w:ind w:left="0" w:firstLine="0"/>
              <w:jc w:val="center"/>
              <w:spacing w:line="240" w:lineRule="auto"/>
              <w:rPr>
                <w:rFonts w:hint="default" w:ascii="宋体" w:hAnsi="宋体" w:eastAsia="宋体" w:cs="宋体"/>
                <w:b w:val="0"/>
                <w:bCs/>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W w:w="4238"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进行评价</w:t>
            </w:r>
            <w:r>
              <w:rPr>
                <w:rFonts w:hint="eastAsia" w:ascii="宋体" w:hAnsi="宋体" w:eastAsia="宋体" w:cs="宋体"/>
                <w:color w:val="auto"/>
                <w:sz w:val="24"/>
                <w:szCs w:val="24"/>
                <w:highlight w:val="none"/>
                <w:lang w:val="en-US" w:eastAsia="zh-CN"/>
              </w:rPr>
              <w:t xml:space="preserve">，内容包含但不限于：培训计划、培训内容、培训方式等。</w:t>
            </w:r>
            <w:r/>
          </w:p>
          <w:p>
            <w:pPr>
              <w:ind w:left="0" w:firstLine="0"/>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针对性强、符合实际切实可行的得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left="0" w:firstLine="0"/>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针对性一般、较可行的得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left="0" w:firstLine="0"/>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欠缺针对性和可行性的得1分。</w:t>
            </w:r>
            <w:r/>
          </w:p>
          <w:p>
            <w:pPr>
              <w:pStyle w:val="812"/>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未提供的不得分，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分，最低不得分。</w:t>
            </w:r>
            <w:r/>
          </w:p>
        </w:tc>
      </w:tr>
      <w:tr>
        <w:trPr>
          <w:jc w:val="center"/>
          <w:trHeight w:val="2039"/>
        </w:trPr>
        <w:tc>
          <w:tcPr>
            <w:tcW w:w="761" w:type="pct"/>
            <w:vAlign w:val="center"/>
            <w:textDirection w:val="lrTb"/>
            <w:noWrap w:val="false"/>
          </w:tcPr>
          <w:p>
            <w:pPr>
              <w:pStyle w:val="809"/>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所投产品为“环境标志产品”</w:t>
            </w:r>
            <w:r/>
          </w:p>
          <w:p>
            <w:pPr>
              <w:pStyle w:val="809"/>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238" w:type="pct"/>
            <w:vAlign w:val="center"/>
            <w:textDirection w:val="lrTb"/>
            <w:noWrap w:val="false"/>
          </w:tcPr>
          <w:p>
            <w:pPr>
              <w:pStyle w:val="812"/>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308"/>
        </w:trPr>
        <w:tc>
          <w:tcPr>
            <w:tcW w:w="761" w:type="pct"/>
            <w:vAlign w:val="center"/>
            <w:textDirection w:val="lrTb"/>
            <w:noWrap w:val="false"/>
          </w:tcPr>
          <w:p>
            <w:pPr>
              <w:pStyle w:val="809"/>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所投产品为“节能产品”</w:t>
            </w:r>
            <w:r/>
          </w:p>
          <w:p>
            <w:pPr>
              <w:pStyle w:val="809"/>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W w:w="4238" w:type="pct"/>
            <w:vAlign w:val="center"/>
            <w:textDirection w:val="lrTb"/>
            <w:noWrap w:val="false"/>
          </w:tcPr>
          <w:p>
            <w:pPr>
              <w:pStyle w:val="812"/>
              <w:ind w:firstLine="0"/>
              <w:keepLines w:val="0"/>
              <w:keepNext w:val="0"/>
              <w:pageBreakBefore w:val="0"/>
              <w:spacing w:line="24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57"/>
        <w:rPr>
          <w:rFonts w:hint="eastAsia"/>
          <w:color w:val="auto"/>
          <w:highlight w:val="none"/>
        </w:rPr>
      </w:pPr>
      <w:r>
        <w:rPr>
          <w:rFonts w:hint="eastAsia"/>
          <w:color w:val="auto"/>
          <w:highlight w:val="none"/>
        </w:rPr>
        <w:t xml:space="preserve">第五章 拟签订的合同文本</w:t>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left"/>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项目编号：</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徐州医科大学附属第三医院</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775"/>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775"/>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775"/>
        <w:ind w:left="0" w:right="0"/>
        <w:spacing w:after="0" w:line="360" w:lineRule="auto"/>
        <w:rPr>
          <w:rFonts w:hint="eastAsia" w:asciiTheme="minorEastAsia" w:hAnsiTheme="minorEastAsia" w:eastAsiaTheme="minorEastAsia" w:cstheme="minorEastAsia"/>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1"/>
        <w:keepLines w:val="0"/>
        <w:keepNext w:val="0"/>
        <w:pageBreakBefore w:val="0"/>
        <w:spacing w:line="40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24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w:t>
      </w:r>
      <w:r>
        <w:rPr>
          <w:rFonts w:hint="eastAsia" w:ascii="宋体" w:hAnsi="宋体" w:cs="宋体"/>
          <w:color w:val="auto"/>
          <w:sz w:val="24"/>
          <w:highlight w:val="none"/>
          <w:lang w:eastAsia="zh-CN"/>
        </w:rPr>
        <w:t xml:space="preserve">项目说明</w:t>
      </w:r>
      <w:r>
        <w:rPr>
          <w:rFonts w:hint="eastAsia" w:ascii="宋体" w:hAnsi="宋体" w:eastAsia="宋体" w:cs="宋体"/>
          <w:color w:val="auto"/>
          <w:sz w:val="24"/>
          <w:highlight w:val="none"/>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792"/>
        <w:ind w:firstLine="482"/>
        <w:spacing w:before="0" w:beforeAutospacing="0" w:after="0" w:afterAutospacing="0" w:line="360" w:lineRule="auto"/>
        <w:rPr>
          <w:rFonts w:hint="eastAsia"/>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lang w:val="en-US" w:eastAsia="zh-CN"/>
        </w:rPr>
        <w:t xml:space="preserve">徐州医科大学附属第三医院   </w:t>
      </w:r>
      <w:r>
        <w:rPr>
          <w:rFonts w:hint="eastAsia"/>
          <w:color w:val="auto"/>
          <w:highlight w:val="none"/>
        </w:rPr>
        <w:t xml:space="preserve">（以下简称甲方） </w:t>
      </w:r>
      <w:r/>
    </w:p>
    <w:p>
      <w:pPr>
        <w:pStyle w:val="792"/>
        <w:ind w:firstLine="482"/>
        <w:spacing w:before="0" w:beforeAutospacing="0" w:after="0" w:afterAutospacing="0" w:line="360" w:lineRule="auto"/>
        <w:rPr>
          <w:rFonts w:hint="eastAsia"/>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（以下简称乙方） </w:t>
      </w:r>
      <w:r/>
    </w:p>
    <w:p>
      <w:pPr>
        <w:pStyle w:val="792"/>
        <w:ind w:firstLine="482"/>
        <w:spacing w:before="0" w:beforeAutospacing="0" w:after="0" w:afterAutospacing="0" w:line="360" w:lineRule="auto"/>
        <w:rPr>
          <w:rFonts w:hint="eastAsia" w:eastAsia="宋体"/>
          <w:b/>
          <w:color w:val="auto"/>
          <w:highlight w:val="none"/>
          <w:lang w:val="en-US" w:eastAsia="zh-CN"/>
        </w:rPr>
      </w:pPr>
      <w:r>
        <w:rPr>
          <w:rFonts w:hint="eastAsia"/>
          <w:b/>
          <w:color w:val="auto"/>
          <w:highlight w:val="none"/>
        </w:rPr>
        <w:t xml:space="preserve">合同签署地点：</w:t>
      </w:r>
      <w:r>
        <w:rPr>
          <w:rFonts w:hint="eastAsia"/>
          <w:color w:val="auto"/>
          <w:highlight w:val="none"/>
        </w:rPr>
        <w:t xml:space="preserve">江苏省徐州市</w:t>
      </w:r>
      <w:r>
        <w:rPr>
          <w:rFonts w:hint="eastAsia"/>
          <w:color w:val="auto"/>
          <w:highlight w:val="none"/>
          <w:lang w:val="en-US" w:eastAsia="zh-CN"/>
        </w:rPr>
        <w:t xml:space="preserve">云龙区</w:t>
      </w:r>
      <w:r/>
    </w:p>
    <w:p>
      <w:pPr>
        <w:pStyle w:val="792"/>
        <w:spacing w:before="0" w:beforeAutospacing="0" w:after="0" w:afterAutospacing="0" w:line="360" w:lineRule="auto"/>
        <w:rPr>
          <w:rFonts w:hint="eastAsia"/>
          <w:color w:val="auto"/>
          <w:highlight w:val="none"/>
        </w:rPr>
      </w:pPr>
      <w:r>
        <w:rPr>
          <w:rFonts w:hint="eastAsia"/>
          <w:color w:val="auto"/>
          <w:highlight w:val="none"/>
        </w:rPr>
        <w:t xml:space="preserve">　　根据《中华人民共和国民法典》，经双方协商一致，签订本合同： </w:t>
      </w:r>
      <w:r/>
    </w:p>
    <w:p>
      <w:pPr>
        <w:ind w:firstLine="420"/>
        <w:spacing w:line="360" w:lineRule="auto"/>
        <w:rPr>
          <w:rStyle w:val="892"/>
          <w:rFonts w:hint="eastAsia" w:ascii="宋体" w:hAnsi="宋体"/>
          <w:b/>
          <w:color w:val="auto"/>
          <w:sz w:val="24"/>
          <w:szCs w:val="24"/>
          <w:highlight w:val="none"/>
        </w:rPr>
      </w:pPr>
      <w:r>
        <w:rPr>
          <w:rStyle w:val="892"/>
          <w:rFonts w:ascii="宋体" w:hAnsi="宋体"/>
          <w:b/>
          <w:color w:val="auto"/>
          <w:sz w:val="24"/>
          <w:szCs w:val="24"/>
          <w:highlight w:val="none"/>
        </w:rPr>
        <w:t xml:space="preserve">第一条</w:t>
      </w:r>
      <w:r>
        <w:rPr>
          <w:rStyle w:val="892"/>
          <w:rFonts w:hint="eastAsia" w:ascii="宋体" w:hAnsi="宋体"/>
          <w:b/>
          <w:color w:val="auto"/>
          <w:sz w:val="24"/>
          <w:szCs w:val="24"/>
          <w:highlight w:val="none"/>
        </w:rPr>
        <w:t xml:space="preserve"> 产品名称</w:t>
      </w:r>
      <w:r>
        <w:rPr>
          <w:rStyle w:val="892"/>
          <w:rFonts w:ascii="宋体" w:hAnsi="宋体"/>
          <w:b/>
          <w:color w:val="auto"/>
          <w:sz w:val="24"/>
          <w:szCs w:val="24"/>
          <w:highlight w:val="none"/>
        </w:rPr>
        <w:t xml:space="preserve">、</w:t>
      </w:r>
      <w:r>
        <w:rPr>
          <w:rStyle w:val="892"/>
          <w:rFonts w:hint="eastAsia" w:ascii="宋体" w:hAnsi="宋体"/>
          <w:b/>
          <w:color w:val="auto"/>
          <w:sz w:val="24"/>
          <w:szCs w:val="24"/>
          <w:highlight w:val="none"/>
        </w:rPr>
        <w:t xml:space="preserve">种类、规格、</w:t>
      </w:r>
      <w:r>
        <w:rPr>
          <w:rStyle w:val="892"/>
          <w:rFonts w:ascii="宋体" w:hAnsi="宋体"/>
          <w:b/>
          <w:color w:val="auto"/>
          <w:sz w:val="24"/>
          <w:szCs w:val="24"/>
          <w:highlight w:val="none"/>
        </w:rPr>
        <w:t xml:space="preserve">数量</w:t>
      </w:r>
      <w:r>
        <w:rPr>
          <w:rStyle w:val="892"/>
          <w:rFonts w:hint="eastAsia" w:ascii="宋体" w:hAnsi="宋体"/>
          <w:b/>
          <w:color w:val="auto"/>
          <w:sz w:val="24"/>
          <w:szCs w:val="24"/>
          <w:highlight w:val="none"/>
        </w:rPr>
        <w:t xml:space="preserve">及</w:t>
      </w:r>
      <w:r>
        <w:rPr>
          <w:rStyle w:val="892"/>
          <w:rFonts w:ascii="宋体" w:hAnsi="宋体"/>
          <w:b/>
          <w:color w:val="auto"/>
          <w:sz w:val="24"/>
          <w:szCs w:val="24"/>
          <w:highlight w:val="none"/>
        </w:rPr>
        <w:t xml:space="preserve">价款</w:t>
      </w:r>
      <w:r/>
    </w:p>
    <w:tbl>
      <w:tblPr>
        <w:tblStyle w:val="767"/>
        <w:tblW w:w="9349" w:type="dxa"/>
        <w:jc w:val="center"/>
        <w:tblCellSpacing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502"/>
        <w:gridCol w:w="914"/>
        <w:gridCol w:w="1198"/>
        <w:gridCol w:w="588"/>
        <w:gridCol w:w="965"/>
        <w:gridCol w:w="1000"/>
        <w:gridCol w:w="1125"/>
        <w:gridCol w:w="2057"/>
      </w:tblGrid>
      <w:tr>
        <w:trPr>
          <w:cantSplit/>
          <w:jc w:val="center"/>
          <w:tblCellSpacing w:w="0" w:type="dxa"/>
          <w:trHeight w:val="404"/>
        </w:trPr>
        <w:tc>
          <w:tcPr>
            <w:tcW w:w="1502" w:type="dxa"/>
            <w:vAlign w:val="center"/>
            <w:textDirection w:val="lrTb"/>
            <w:noWrap w:val="false"/>
          </w:tcPr>
          <w:p>
            <w:pPr>
              <w:ind w:left="0" w:firstLine="0"/>
              <w:jc w:val="left"/>
              <w:spacing w:line="360" w:lineRule="auto"/>
              <w:rPr>
                <w:rFonts w:ascii="宋体" w:hAnsi="宋体"/>
                <w:b/>
                <w:color w:val="auto"/>
                <w:sz w:val="24"/>
                <w:highlight w:val="none"/>
              </w:rPr>
            </w:pPr>
            <w:r>
              <w:rPr>
                <w:rStyle w:val="892"/>
                <w:rFonts w:hint="eastAsia" w:ascii="宋体" w:hAnsi="宋体"/>
                <w:b/>
                <w:color w:val="auto"/>
                <w:sz w:val="24"/>
                <w:szCs w:val="24"/>
                <w:highlight w:val="none"/>
              </w:rPr>
              <w:t xml:space="preserve">产品</w:t>
            </w:r>
            <w:r>
              <w:rPr>
                <w:rFonts w:ascii="宋体" w:hAnsi="宋体"/>
                <w:b/>
                <w:color w:val="auto"/>
                <w:sz w:val="24"/>
                <w:highlight w:val="none"/>
              </w:rPr>
              <w:t xml:space="preserve">名称</w:t>
            </w:r>
            <w:r/>
          </w:p>
        </w:tc>
        <w:tc>
          <w:tcPr>
            <w:tcW w:w="914" w:type="dxa"/>
            <w:vAlign w:val="center"/>
            <w:textDirection w:val="lrTb"/>
            <w:noWrap w:val="false"/>
          </w:tcPr>
          <w:p>
            <w:pPr>
              <w:ind w:left="0" w:firstLine="0"/>
              <w:jc w:val="left"/>
              <w:spacing w:line="360" w:lineRule="auto"/>
              <w:rPr>
                <w:rFonts w:ascii="宋体" w:hAnsi="宋体"/>
                <w:b/>
                <w:color w:val="auto"/>
                <w:sz w:val="24"/>
                <w:highlight w:val="none"/>
              </w:rPr>
            </w:pPr>
            <w:r>
              <w:rPr>
                <w:rFonts w:hint="eastAsia" w:ascii="宋体" w:hAnsi="宋体"/>
                <w:b/>
                <w:color w:val="auto"/>
                <w:sz w:val="24"/>
                <w:highlight w:val="none"/>
              </w:rPr>
              <w:t xml:space="preserve">品牌</w:t>
            </w:r>
            <w:r/>
          </w:p>
        </w:tc>
        <w:tc>
          <w:tcPr>
            <w:tcW w:w="1198" w:type="dxa"/>
            <w:vAlign w:val="center"/>
            <w:textDirection w:val="lrTb"/>
            <w:noWrap w:val="false"/>
          </w:tcPr>
          <w:p>
            <w:pPr>
              <w:ind w:left="0" w:firstLine="0"/>
              <w:jc w:val="left"/>
              <w:spacing w:line="360" w:lineRule="auto"/>
              <w:rPr>
                <w:rFonts w:ascii="宋体" w:hAnsi="宋体"/>
                <w:b/>
                <w:color w:val="auto"/>
                <w:sz w:val="24"/>
                <w:highlight w:val="none"/>
              </w:rPr>
            </w:pPr>
            <w:r>
              <w:rPr>
                <w:rFonts w:ascii="宋体" w:hAnsi="宋体"/>
                <w:b/>
                <w:color w:val="auto"/>
                <w:sz w:val="24"/>
                <w:highlight w:val="none"/>
              </w:rPr>
              <w:t xml:space="preserve">型号</w:t>
            </w:r>
            <w:r/>
          </w:p>
        </w:tc>
        <w:tc>
          <w:tcPr>
            <w:tcW w:w="588" w:type="dxa"/>
            <w:vAlign w:val="center"/>
            <w:textDirection w:val="lrTb"/>
            <w:noWrap w:val="false"/>
          </w:tcPr>
          <w:p>
            <w:pPr>
              <w:ind w:left="0" w:firstLine="0"/>
              <w:jc w:val="left"/>
              <w:spacing w:line="360" w:lineRule="auto"/>
              <w:rPr>
                <w:rFonts w:ascii="宋体" w:hAnsi="宋体"/>
                <w:b/>
                <w:color w:val="auto"/>
                <w:sz w:val="24"/>
                <w:highlight w:val="none"/>
              </w:rPr>
            </w:pPr>
            <w:r>
              <w:rPr>
                <w:rFonts w:ascii="宋体" w:hAnsi="宋体"/>
                <w:b/>
                <w:color w:val="auto"/>
                <w:sz w:val="24"/>
                <w:highlight w:val="none"/>
              </w:rPr>
              <w:t xml:space="preserve">单位</w:t>
            </w:r>
            <w:r/>
          </w:p>
        </w:tc>
        <w:tc>
          <w:tcPr>
            <w:tcW w:w="965" w:type="dxa"/>
            <w:vAlign w:val="center"/>
            <w:textDirection w:val="lrTb"/>
            <w:noWrap w:val="false"/>
          </w:tcPr>
          <w:p>
            <w:pPr>
              <w:ind w:left="0" w:firstLine="0"/>
              <w:jc w:val="left"/>
              <w:spacing w:line="360" w:lineRule="auto"/>
              <w:rPr>
                <w:rFonts w:ascii="宋体" w:hAnsi="宋体"/>
                <w:b/>
                <w:color w:val="auto"/>
                <w:sz w:val="24"/>
                <w:highlight w:val="none"/>
              </w:rPr>
            </w:pPr>
            <w:r>
              <w:rPr>
                <w:rFonts w:ascii="宋体" w:hAnsi="宋体"/>
                <w:b/>
                <w:color w:val="auto"/>
                <w:sz w:val="24"/>
                <w:highlight w:val="none"/>
              </w:rPr>
              <w:t xml:space="preserve">数量</w:t>
            </w:r>
            <w:r/>
          </w:p>
        </w:tc>
        <w:tc>
          <w:tcPr>
            <w:tcW w:w="1000" w:type="dxa"/>
            <w:vAlign w:val="center"/>
            <w:textDirection w:val="lrTb"/>
            <w:noWrap w:val="false"/>
          </w:tcPr>
          <w:p>
            <w:pPr>
              <w:ind w:left="0" w:firstLine="0"/>
              <w:jc w:val="left"/>
              <w:spacing w:line="360" w:lineRule="auto"/>
              <w:rPr>
                <w:rFonts w:ascii="宋体" w:hAnsi="宋体"/>
                <w:b/>
                <w:color w:val="auto"/>
                <w:sz w:val="24"/>
                <w:highlight w:val="none"/>
              </w:rPr>
            </w:pPr>
            <w:r>
              <w:rPr>
                <w:rFonts w:ascii="宋体" w:hAnsi="宋体"/>
                <w:b/>
                <w:color w:val="auto"/>
                <w:sz w:val="24"/>
                <w:highlight w:val="none"/>
              </w:rPr>
              <w:t xml:space="preserve">单价</w:t>
            </w:r>
            <w:r/>
          </w:p>
        </w:tc>
        <w:tc>
          <w:tcPr>
            <w:tcW w:w="1125" w:type="dxa"/>
            <w:vAlign w:val="center"/>
            <w:textDirection w:val="lrTb"/>
            <w:noWrap w:val="false"/>
          </w:tcPr>
          <w:p>
            <w:pPr>
              <w:ind w:left="0" w:firstLine="0"/>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合计</w:t>
            </w:r>
            <w:r/>
          </w:p>
        </w:tc>
        <w:tc>
          <w:tcPr>
            <w:tcW w:w="2057" w:type="dxa"/>
            <w:vAlign w:val="center"/>
            <w:textDirection w:val="lrTb"/>
            <w:noWrap w:val="false"/>
          </w:tcPr>
          <w:p>
            <w:pPr>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配置说明</w:t>
            </w:r>
            <w:r/>
          </w:p>
        </w:tc>
      </w:tr>
      <w:tr>
        <w:trPr>
          <w:jc w:val="center"/>
          <w:tblCellSpacing w:w="0" w:type="dxa"/>
          <w:trHeight w:val="600"/>
        </w:trPr>
        <w:tc>
          <w:tcPr>
            <w:tcW w:w="1502" w:type="dxa"/>
            <w:vAlign w:val="center"/>
            <w:textDirection w:val="lrTb"/>
            <w:noWrap w:val="false"/>
          </w:tcPr>
          <w:p>
            <w:pPr>
              <w:jc w:val="center"/>
              <w:spacing w:line="360" w:lineRule="auto"/>
              <w:rPr>
                <w:rFonts w:hint="default" w:ascii="宋体" w:hAnsi="宋体" w:eastAsia="宋体"/>
                <w:color w:val="auto"/>
                <w:sz w:val="24"/>
                <w:szCs w:val="24"/>
                <w:highlight w:val="none"/>
                <w:lang w:val="en-US" w:eastAsia="zh-CN" w:bidi="ar-SA"/>
              </w:rPr>
            </w:pPr>
            <w:r>
              <w:rPr>
                <w:rFonts w:hint="default" w:ascii="宋体" w:hAnsi="宋体" w:eastAsia="宋体"/>
                <w:color w:val="auto"/>
                <w:sz w:val="24"/>
                <w:szCs w:val="24"/>
                <w:highlight w:val="none"/>
                <w:lang w:val="en-US" w:eastAsia="zh-CN" w:bidi="ar-SA"/>
              </w:rPr>
            </w:r>
            <w:r/>
          </w:p>
        </w:tc>
        <w:tc>
          <w:tcPr>
            <w:tcW w:w="914" w:type="dxa"/>
            <w:vAlign w:val="center"/>
            <w:textDirection w:val="lrTb"/>
            <w:noWrap w:val="false"/>
          </w:tcPr>
          <w:p>
            <w:pPr>
              <w:jc w:val="cente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tc>
        <w:tc>
          <w:tcPr>
            <w:tcW w:w="1198" w:type="dxa"/>
            <w:vAlign w:val="center"/>
            <w:textDirection w:val="lrTb"/>
            <w:noWrap w:val="false"/>
          </w:tcPr>
          <w:p>
            <w:pPr>
              <w:jc w:val="center"/>
              <w:spacing w:line="360" w:lineRule="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r>
            <w:r/>
          </w:p>
        </w:tc>
        <w:tc>
          <w:tcPr>
            <w:tcW w:w="588" w:type="dxa"/>
            <w:vAlign w:val="center"/>
            <w:textDirection w:val="lrTb"/>
            <w:noWrap w:val="false"/>
          </w:tcPr>
          <w:p>
            <w:pPr>
              <w:jc w:val="cente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tc>
        <w:tc>
          <w:tcPr>
            <w:tcW w:w="965" w:type="dxa"/>
            <w:vAlign w:val="center"/>
            <w:textDirection w:val="lrTb"/>
            <w:noWrap w:val="false"/>
          </w:tcPr>
          <w:p>
            <w:pPr>
              <w:jc w:val="cente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r>
            <w:r/>
          </w:p>
        </w:tc>
        <w:tc>
          <w:tcPr>
            <w:tcW w:w="1000" w:type="dxa"/>
            <w:vAlign w:val="center"/>
            <w:textDirection w:val="lrTb"/>
            <w:noWrap w:val="false"/>
          </w:tcPr>
          <w:p>
            <w:pPr>
              <w:jc w:val="center"/>
              <w:spacing w:line="360" w:lineRule="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r>
            <w:r/>
          </w:p>
        </w:tc>
        <w:tc>
          <w:tcPr>
            <w:tcW w:w="1125" w:type="dxa"/>
            <w:vAlign w:val="center"/>
            <w:textDirection w:val="lrTb"/>
            <w:noWrap w:val="false"/>
          </w:tcPr>
          <w:p>
            <w:pPr>
              <w:jc w:val="center"/>
              <w:spacing w:line="360" w:lineRule="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r>
            <w:r/>
          </w:p>
        </w:tc>
        <w:tc>
          <w:tcPr>
            <w:tcW w:w="2057" w:type="dxa"/>
            <w:vAlign w:val="center"/>
            <w:textDirection w:val="lrTb"/>
            <w:noWrap w:val="false"/>
          </w:tcPr>
          <w:p>
            <w:pPr>
              <w:jc w:val="left"/>
              <w:spacing w:line="360" w:lineRule="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r>
            <w:r/>
          </w:p>
        </w:tc>
      </w:tr>
      <w:tr>
        <w:trPr>
          <w:jc w:val="center"/>
          <w:tblCellSpacing w:w="0" w:type="dxa"/>
          <w:trHeight w:val="600"/>
        </w:trPr>
        <w:tc>
          <w:tcPr>
            <w:gridSpan w:val="8"/>
            <w:tcW w:w="9349" w:type="dxa"/>
            <w:vAlign w:val="center"/>
            <w:textDirection w:val="lrTb"/>
            <w:noWrap w:val="false"/>
          </w:tcPr>
          <w:p>
            <w:pPr>
              <w:ind w:left="480" w:hanging="480"/>
              <w:spacing w:line="360" w:lineRule="auto"/>
              <w:rPr>
                <w:rFonts w:hint="eastAsia" w:ascii="宋体" w:hAnsi="宋体"/>
                <w:color w:val="auto"/>
                <w:szCs w:val="21"/>
                <w:highlight w:val="none"/>
              </w:rPr>
            </w:pPr>
            <w:r>
              <w:rPr>
                <w:rFonts w:hint="eastAsia" w:ascii="宋体" w:hAnsi="宋体"/>
                <w:color w:val="auto"/>
                <w:sz w:val="24"/>
                <w:highlight w:val="none"/>
              </w:rPr>
              <w:t xml:space="preserve">合计大写：</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合计小写：</w:t>
            </w:r>
            <w:r/>
          </w:p>
        </w:tc>
      </w:tr>
    </w:tbl>
    <w:p>
      <w:pPr>
        <w:pStyle w:val="792"/>
        <w:spacing w:before="0" w:beforeAutospacing="0" w:after="0" w:afterAutospacing="0" w:line="360" w:lineRule="auto"/>
        <w:rPr>
          <w:rFonts w:hint="eastAsia"/>
          <w:color w:val="auto"/>
          <w:highlight w:val="none"/>
        </w:rPr>
      </w:pPr>
      <w:r>
        <w:rPr>
          <w:rFonts w:hint="eastAsia"/>
          <w:color w:val="auto"/>
          <w:highlight w:val="none"/>
        </w:rPr>
        <w:t xml:space="preserve">本合同供货价格包含货款、包装费、运至甲方指定地点的运费、搬运费、装卸费、保险费、税费、技术支持及</w:t>
      </w:r>
      <w:r>
        <w:rPr>
          <w:rFonts w:hint="eastAsia"/>
          <w:color w:val="auto"/>
          <w:highlight w:val="none"/>
          <w:lang w:val="en-US" w:eastAsia="zh-CN"/>
        </w:rPr>
        <w:t xml:space="preserve">培训</w:t>
      </w:r>
      <w:r>
        <w:rPr>
          <w:rFonts w:hint="eastAsia"/>
          <w:color w:val="auto"/>
          <w:highlight w:val="none"/>
        </w:rPr>
        <w:t xml:space="preserve">费。该价格亦涵盖设备运抵甲方指定地点后、安装调试至验收合格前以及质保期内的所有维修费用。除本合同另有约定外，甲方无需另行支付任何报价之外的费用。</w:t>
      </w:r>
      <w:r/>
    </w:p>
    <w:p>
      <w:pPr>
        <w:pStyle w:val="792"/>
        <w:ind w:firstLine="482"/>
        <w:spacing w:before="0" w:beforeAutospacing="0" w:after="0" w:afterAutospacing="0" w:line="360" w:lineRule="auto"/>
        <w:rPr>
          <w:b/>
          <w:color w:val="auto"/>
          <w:highlight w:val="none"/>
        </w:rPr>
      </w:pPr>
      <w:r>
        <w:rPr>
          <w:b/>
          <w:color w:val="auto"/>
          <w:highlight w:val="none"/>
        </w:rPr>
        <w:t xml:space="preserve">第</w:t>
      </w:r>
      <w:r>
        <w:rPr>
          <w:rFonts w:hint="eastAsia"/>
          <w:b/>
          <w:color w:val="auto"/>
          <w:highlight w:val="none"/>
        </w:rPr>
        <w:t xml:space="preserve">二</w:t>
      </w:r>
      <w:r>
        <w:rPr>
          <w:b/>
          <w:color w:val="auto"/>
          <w:highlight w:val="none"/>
        </w:rPr>
        <w:t xml:space="preserve">条</w:t>
      </w:r>
      <w:r>
        <w:rPr>
          <w:rFonts w:hint="eastAsia"/>
          <w:b/>
          <w:color w:val="auto"/>
          <w:highlight w:val="none"/>
        </w:rPr>
        <w:t xml:space="preserve"> </w:t>
      </w:r>
      <w:r>
        <w:rPr>
          <w:b/>
          <w:color w:val="auto"/>
          <w:highlight w:val="none"/>
        </w:rPr>
        <w:t xml:space="preserve">交货方式</w:t>
      </w:r>
      <w:r>
        <w:rPr>
          <w:rFonts w:hint="eastAsia"/>
          <w:b/>
          <w:color w:val="auto"/>
          <w:highlight w:val="none"/>
        </w:rPr>
        <w:t xml:space="preserve">与交货地点</w:t>
      </w:r>
      <w:r>
        <w:rPr>
          <w:b/>
          <w:color w:val="auto"/>
          <w:highlight w:val="none"/>
        </w:rPr>
        <w:t xml:space="preserve"> </w:t>
      </w:r>
      <w:r/>
    </w:p>
    <w:p>
      <w:pPr>
        <w:ind w:firstLine="480"/>
        <w:spacing w:line="360" w:lineRule="auto"/>
        <w:rPr>
          <w:rFonts w:hint="eastAsia"/>
          <w:color w:val="auto"/>
          <w:highlight w:val="none"/>
          <w:lang w:val="en-US" w:eastAsia="zh-CN"/>
        </w:rPr>
      </w:pPr>
      <w:r>
        <w:rPr>
          <w:rFonts w:hint="eastAsia" w:ascii="宋体" w:hAnsi="宋体"/>
          <w:color w:val="auto"/>
          <w:sz w:val="24"/>
          <w:highlight w:val="none"/>
        </w:rPr>
        <w:t xml:space="preserve">1、交货时间：自</w:t>
      </w:r>
      <w:r>
        <w:rPr>
          <w:rFonts w:hint="eastAsia" w:ascii="宋体" w:hAnsi="宋体" w:cs="宋体"/>
          <w:b/>
          <w:bCs/>
          <w:color w:val="auto"/>
          <w:sz w:val="24"/>
          <w:szCs w:val="24"/>
          <w:highlight w:val="none"/>
          <w:lang w:val="en-US" w:eastAsia="zh-CN"/>
        </w:rPr>
        <w:t xml:space="preserve">合同签订之日起30日内</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终端医院：</w:t>
      </w:r>
      <w:r>
        <w:rPr>
          <w:rFonts w:hint="eastAsia"/>
          <w:color w:val="auto"/>
          <w:sz w:val="24"/>
          <w:szCs w:val="24"/>
          <w:highlight w:val="none"/>
          <w:u w:val="single"/>
          <w:lang w:val="en-US" w:eastAsia="zh-CN"/>
        </w:rPr>
        <w:t xml:space="preserve">徐州医科大学附属第三医院。</w:t>
      </w:r>
      <w:r>
        <w:rPr>
          <w:rFonts w:hint="eastAsia"/>
          <w:color w:val="auto"/>
          <w:highlight w:val="none"/>
          <w:lang w:val="en-US" w:eastAsia="zh-CN"/>
        </w:rPr>
        <w:t xml:space="preserve">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2、乙方负责将产品安全运至甲方指定地点，运输及装卸费用</w:t>
      </w:r>
      <w:r>
        <w:rPr>
          <w:rFonts w:hint="eastAsia" w:ascii="宋体" w:hAnsi="宋体"/>
          <w:color w:val="auto"/>
          <w:sz w:val="24"/>
          <w:highlight w:val="none"/>
          <w:lang w:val="en-US" w:eastAsia="zh-CN"/>
        </w:rPr>
        <w:t xml:space="preserve">等一切相关费用</w:t>
      </w:r>
      <w:r>
        <w:rPr>
          <w:rFonts w:hint="eastAsia" w:ascii="宋体" w:hAnsi="宋体"/>
          <w:color w:val="auto"/>
          <w:sz w:val="24"/>
          <w:highlight w:val="none"/>
        </w:rPr>
        <w:t xml:space="preserve">由乙方承担。</w:t>
      </w:r>
      <w:r/>
    </w:p>
    <w:p>
      <w:pPr>
        <w:pStyle w:val="792"/>
        <w:ind w:left="0" w:firstLine="482"/>
        <w:spacing w:before="0" w:beforeAutospacing="0" w:after="0" w:afterAutospacing="0" w:line="360" w:lineRule="auto"/>
        <w:rPr>
          <w:rStyle w:val="892"/>
          <w:rFonts w:hint="eastAsia"/>
          <w:b/>
          <w:color w:val="auto"/>
          <w:sz w:val="24"/>
          <w:szCs w:val="24"/>
          <w:highlight w:val="none"/>
        </w:rPr>
      </w:pPr>
      <w:r>
        <w:rPr>
          <w:b/>
          <w:color w:val="auto"/>
          <w:highlight w:val="none"/>
        </w:rPr>
        <w:t xml:space="preserve">第</w:t>
      </w:r>
      <w:r>
        <w:rPr>
          <w:rFonts w:hint="eastAsia"/>
          <w:b/>
          <w:color w:val="auto"/>
          <w:highlight w:val="none"/>
        </w:rPr>
        <w:t xml:space="preserve">三</w:t>
      </w:r>
      <w:r>
        <w:rPr>
          <w:b/>
          <w:color w:val="auto"/>
          <w:highlight w:val="none"/>
        </w:rPr>
        <w:t xml:space="preserve">条</w:t>
      </w:r>
      <w:r>
        <w:rPr>
          <w:rFonts w:hint="eastAsia"/>
          <w:b/>
          <w:color w:val="auto"/>
          <w:highlight w:val="none"/>
        </w:rPr>
        <w:t xml:space="preserve"> </w:t>
      </w:r>
      <w:r>
        <w:rPr>
          <w:rStyle w:val="892"/>
          <w:b/>
          <w:color w:val="auto"/>
          <w:sz w:val="24"/>
          <w:szCs w:val="24"/>
          <w:highlight w:val="none"/>
        </w:rPr>
        <w:t xml:space="preserve">安装</w:t>
      </w:r>
      <w:r>
        <w:rPr>
          <w:rStyle w:val="892"/>
          <w:rFonts w:hint="eastAsia"/>
          <w:b/>
          <w:color w:val="auto"/>
          <w:sz w:val="24"/>
          <w:szCs w:val="24"/>
          <w:highlight w:val="none"/>
        </w:rPr>
        <w:t xml:space="preserve">、调试与验收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需要安装的设备，由乙方负责设备的安装和调试工作。设备正常运行</w:t>
      </w:r>
      <w:r>
        <w:rPr>
          <w:rFonts w:hint="eastAsia" w:ascii="宋体" w:hAnsi="宋体"/>
          <w:color w:val="auto"/>
          <w:sz w:val="24"/>
          <w:highlight w:val="none"/>
          <w:u w:val="single"/>
          <w:lang w:val="en-US" w:eastAsia="zh-CN"/>
        </w:rPr>
        <w:t xml:space="preserve">10个工作日</w:t>
      </w:r>
      <w:r>
        <w:rPr>
          <w:rFonts w:hint="eastAsia" w:ascii="宋体" w:hAnsi="宋体"/>
          <w:color w:val="auto"/>
          <w:sz w:val="24"/>
          <w:highlight w:val="none"/>
          <w:u w:val="single"/>
        </w:rPr>
        <w:t xml:space="preserve">后</w:t>
      </w:r>
      <w:r>
        <w:rPr>
          <w:rFonts w:hint="eastAsia" w:ascii="宋体" w:hAnsi="宋体"/>
          <w:color w:val="auto"/>
          <w:sz w:val="24"/>
          <w:highlight w:val="none"/>
        </w:rPr>
        <w:t xml:space="preserve">由甲方的归口管理部门组织相关科室、部门会同乙方共同验收。不需安装的设备由甲方组织验收。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验收步骤: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A、开箱验收:甲乙双方根据详细的设备</w:t>
      </w:r>
      <w:r>
        <w:rPr>
          <w:rFonts w:hint="eastAsia" w:ascii="宋体" w:hAnsi="宋体"/>
          <w:color w:val="auto"/>
          <w:sz w:val="24"/>
          <w:highlight w:val="none"/>
          <w:lang w:val="en-US" w:eastAsia="zh-CN"/>
        </w:rPr>
        <w:t xml:space="preserve">装箱</w:t>
      </w:r>
      <w:r>
        <w:rPr>
          <w:rFonts w:hint="eastAsia" w:ascii="宋体" w:hAnsi="宋体"/>
          <w:color w:val="auto"/>
          <w:sz w:val="24"/>
          <w:highlight w:val="none"/>
        </w:rPr>
        <w:t xml:space="preserve">清单</w:t>
      </w:r>
      <w:r>
        <w:rPr>
          <w:rFonts w:hint="eastAsia" w:ascii="宋体" w:hAnsi="宋体"/>
          <w:color w:val="auto"/>
          <w:sz w:val="24"/>
          <w:highlight w:val="none"/>
          <w:lang w:val="en-US" w:eastAsia="zh-CN"/>
        </w:rPr>
        <w:t xml:space="preserve">或标书清单</w:t>
      </w:r>
      <w:r>
        <w:rPr>
          <w:rFonts w:hint="eastAsia" w:ascii="宋体" w:hAnsi="宋体"/>
          <w:color w:val="auto"/>
          <w:sz w:val="24"/>
          <w:highlight w:val="none"/>
        </w:rPr>
        <w:t xml:space="preserve">验收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要求（1）</w:t>
      </w:r>
      <w:r>
        <w:rPr>
          <w:rFonts w:hint="eastAsia" w:ascii="宋体" w:hAnsi="宋体"/>
          <w:color w:val="auto"/>
          <w:sz w:val="24"/>
          <w:highlight w:val="none"/>
          <w:lang w:eastAsia="zh-CN"/>
        </w:rPr>
        <w:t xml:space="preserve">货物外观、包装完好；（</w:t>
      </w:r>
      <w:r>
        <w:rPr>
          <w:rFonts w:hint="eastAsia" w:ascii="宋体" w:hAnsi="宋体"/>
          <w:color w:val="auto"/>
          <w:sz w:val="24"/>
          <w:highlight w:val="none"/>
          <w:lang w:val="en-US" w:eastAsia="zh-CN"/>
        </w:rPr>
        <w:t xml:space="preserve">2</w:t>
      </w:r>
      <w:r>
        <w:rPr>
          <w:rFonts w:hint="eastAsia" w:ascii="宋体" w:hAnsi="宋体"/>
          <w:color w:val="auto"/>
          <w:sz w:val="24"/>
          <w:highlight w:val="none"/>
          <w:lang w:eastAsia="zh-CN"/>
        </w:rPr>
        <w:t xml:space="preserve">）数量、规格/型号无误；（</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）货物符合合同</w:t>
      </w:r>
      <w:r>
        <w:rPr>
          <w:rFonts w:hint="eastAsia" w:ascii="宋体" w:hAnsi="宋体"/>
          <w:color w:val="auto"/>
          <w:sz w:val="24"/>
          <w:highlight w:val="none"/>
          <w:lang w:val="en-US" w:eastAsia="zh-CN"/>
        </w:rPr>
        <w:t xml:space="preserve">及标书</w:t>
      </w:r>
      <w:r>
        <w:rPr>
          <w:rFonts w:hint="eastAsia" w:ascii="宋体" w:hAnsi="宋体"/>
          <w:color w:val="auto"/>
          <w:sz w:val="24"/>
          <w:highlight w:val="none"/>
          <w:lang w:eastAsia="zh-CN"/>
        </w:rPr>
        <w:t xml:space="preserve">要求及标准，配置齐全，乙方对该货物有质量说明的，也应符合该质量说明</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B、整机验收:乙方安装调试完毕通知甲方组织验收，技术规格和性能指标</w:t>
      </w:r>
      <w:r>
        <w:rPr>
          <w:rFonts w:hint="eastAsia" w:ascii="宋体" w:hAnsi="宋体"/>
          <w:color w:val="auto"/>
          <w:sz w:val="24"/>
          <w:highlight w:val="none"/>
          <w:lang w:val="en-US" w:eastAsia="zh-CN"/>
        </w:rPr>
        <w:t xml:space="preserve">符合标书要求，</w:t>
      </w:r>
      <w:r>
        <w:rPr>
          <w:rFonts w:hint="eastAsia" w:ascii="宋体" w:hAnsi="宋体"/>
          <w:color w:val="auto"/>
          <w:sz w:val="24"/>
          <w:highlight w:val="none"/>
        </w:rPr>
        <w:t xml:space="preserve">验收标准为国家或者相关行业标准。</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C、资料验收：乙方应根据招标文件的要求提供必要的技术资料，生产厂家及乙方资质，国产设备提供医疗器械注册证、保修卡、合格证、中文说明书，进口设备提供医疗器械注册证、报关单、商检报告、中文说明书。</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D、其他要求：如果发现数量不足或有质量、技术等问题，乙方应在七日内，按照甲方的要求，采取补足、更换或退货等处理措施，并承担由此发生的一切损失和费用。</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若7天内无法满足甲方的要求，造成验收不合格，乙方无条件退场，由此造成的损失自负，同时赔偿由此给甲方造成的相关损失，并每天按合同总价款1%计算违约金额。</w:t>
      </w:r>
      <w:r/>
    </w:p>
    <w:p>
      <w:pPr>
        <w:ind w:firstLine="482"/>
        <w:spacing w:line="360" w:lineRule="auto"/>
        <w:rPr>
          <w:rFonts w:hint="eastAsia" w:ascii="宋体" w:hAnsi="宋体"/>
          <w:b/>
          <w:color w:val="auto"/>
          <w:sz w:val="24"/>
          <w:highlight w:val="none"/>
        </w:rPr>
      </w:pPr>
      <w:r>
        <w:rPr>
          <w:rFonts w:ascii="宋体" w:hAnsi="宋体"/>
          <w:b/>
          <w:color w:val="auto"/>
          <w:sz w:val="24"/>
          <w:highlight w:val="none"/>
        </w:rPr>
        <w:t xml:space="preserve">第</w:t>
      </w:r>
      <w:r>
        <w:rPr>
          <w:rFonts w:hint="eastAsia" w:ascii="宋体" w:hAnsi="宋体"/>
          <w:b/>
          <w:color w:val="auto"/>
          <w:sz w:val="24"/>
          <w:highlight w:val="none"/>
        </w:rPr>
        <w:t xml:space="preserve">四</w:t>
      </w:r>
      <w:r>
        <w:rPr>
          <w:rFonts w:ascii="宋体" w:hAnsi="宋体"/>
          <w:b/>
          <w:color w:val="auto"/>
          <w:sz w:val="24"/>
          <w:highlight w:val="none"/>
        </w:rPr>
        <w:t xml:space="preserve">条</w:t>
      </w:r>
      <w:r>
        <w:rPr>
          <w:rFonts w:hint="eastAsia" w:ascii="宋体" w:hAnsi="宋体"/>
          <w:b/>
          <w:color w:val="auto"/>
          <w:sz w:val="24"/>
          <w:highlight w:val="none"/>
        </w:rPr>
        <w:t xml:space="preserve"> 付款方式</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eastAsia="zh-CN"/>
        </w:rPr>
        <w:t xml:space="preserve">四</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合同总价的百分之</w:t>
      </w:r>
      <w:r>
        <w:rPr>
          <w:rFonts w:hint="eastAsia" w:ascii="宋体" w:hAnsi="宋体" w:cs="宋体"/>
          <w:b w:val="0"/>
          <w:bCs/>
          <w:color w:val="auto"/>
          <w:sz w:val="24"/>
          <w:highlight w:val="none"/>
          <w:lang w:eastAsia="zh-CN"/>
        </w:rPr>
        <w:t xml:space="preserve">六</w:t>
      </w:r>
      <w:r>
        <w:rPr>
          <w:rFonts w:hint="eastAsia" w:ascii="宋体" w:hAnsi="宋体" w:eastAsia="宋体" w:cs="宋体"/>
          <w:b w:val="0"/>
          <w:bCs/>
          <w:color w:val="auto"/>
          <w:sz w:val="24"/>
          <w:highlight w:val="none"/>
        </w:rPr>
        <w:t xml:space="preserve">十(</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合同价款的百分之</w:t>
      </w:r>
      <w:r>
        <w:rPr>
          <w:rFonts w:hint="eastAsia" w:ascii="宋体" w:hAnsi="宋体" w:cs="宋体"/>
          <w:b w:val="0"/>
          <w:bCs/>
          <w:color w:val="auto"/>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合同总价的百分之</w:t>
      </w:r>
      <w:r>
        <w:rPr>
          <w:rFonts w:hint="eastAsia" w:ascii="宋体" w:hAnsi="宋体" w:cs="宋体"/>
          <w:b w:val="0"/>
          <w:bCs/>
          <w:color w:val="auto"/>
          <w:sz w:val="24"/>
          <w:highlight w:val="none"/>
          <w:lang w:val="en-US" w:eastAsia="zh-CN"/>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乙方需提交的申请支付文件包括：</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70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合同约定的乙方收款账户：</w:t>
      </w:r>
      <w:r/>
    </w:p>
    <w:p>
      <w:pPr>
        <w:ind w:firstLine="65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65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乙方出具的全额正式发票。乙方未出具发票的，甲方有权拒绝付款且不承担违约责任，但乙方仍应按照约定履行合同义务。</w:t>
      </w:r>
      <w:r/>
    </w:p>
    <w:p>
      <w:pPr>
        <w:ind w:left="0" w:firstLine="482"/>
        <w:spacing w:line="360" w:lineRule="auto"/>
        <w:rPr>
          <w:rFonts w:hint="eastAsia" w:ascii="宋体" w:hAnsi="宋体"/>
          <w:b/>
          <w:color w:val="auto"/>
          <w:sz w:val="24"/>
          <w:highlight w:val="none"/>
        </w:rPr>
      </w:pPr>
      <w:r>
        <w:rPr>
          <w:rFonts w:ascii="宋体" w:hAnsi="宋体"/>
          <w:b/>
          <w:color w:val="auto"/>
          <w:sz w:val="24"/>
          <w:highlight w:val="none"/>
        </w:rPr>
        <w:t xml:space="preserve">第</w:t>
      </w:r>
      <w:r>
        <w:rPr>
          <w:rFonts w:hint="eastAsia" w:ascii="宋体" w:hAnsi="宋体"/>
          <w:b/>
          <w:color w:val="auto"/>
          <w:sz w:val="24"/>
          <w:highlight w:val="none"/>
        </w:rPr>
        <w:t xml:space="preserve">五</w:t>
      </w:r>
      <w:r>
        <w:rPr>
          <w:rFonts w:ascii="宋体" w:hAnsi="宋体"/>
          <w:b/>
          <w:color w:val="auto"/>
          <w:sz w:val="24"/>
          <w:highlight w:val="none"/>
        </w:rPr>
        <w:t xml:space="preserve">条</w:t>
      </w:r>
      <w:r>
        <w:rPr>
          <w:rFonts w:hint="eastAsia" w:ascii="宋体" w:hAnsi="宋体"/>
          <w:b/>
          <w:color w:val="auto"/>
          <w:sz w:val="24"/>
          <w:highlight w:val="none"/>
        </w:rPr>
        <w:t xml:space="preserve"> 质量保证、保修期及服务承诺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乙方保证向甲方提供的产品满足中国国家标准或相关行业标准。根据国家规定，如需要提供3</w:t>
      </w:r>
      <w:r>
        <w:rPr>
          <w:rFonts w:ascii="宋体" w:hAnsi="宋体"/>
          <w:color w:val="auto"/>
          <w:sz w:val="24"/>
          <w:highlight w:val="none"/>
        </w:rPr>
        <w:t xml:space="preserve">C</w:t>
      </w:r>
      <w:r>
        <w:rPr>
          <w:rFonts w:hint="eastAsia" w:ascii="宋体" w:hAnsi="宋体"/>
          <w:color w:val="auto"/>
          <w:sz w:val="24"/>
          <w:highlight w:val="none"/>
        </w:rPr>
        <w:t xml:space="preserve">认证证书和标记的设备及有关配置，必须提供上述证书和标记。</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color w:val="auto"/>
          <w:sz w:val="24"/>
          <w:highlight w:val="none"/>
        </w:rPr>
        <w:t xml:space="preserve">产品保修期</w:t>
      </w:r>
      <w:r>
        <w:rPr>
          <w:rFonts w:hint="eastAsia" w:ascii="宋体" w:hAnsi="宋体"/>
          <w:color w:val="auto"/>
          <w:sz w:val="24"/>
          <w:highlight w:val="none"/>
          <w:u w:val="single"/>
          <w:lang w:val="en-US" w:eastAsia="zh-CN"/>
        </w:rPr>
        <w:t xml:space="preserve">5</w:t>
      </w:r>
      <w:r>
        <w:rPr>
          <w:rFonts w:hint="eastAsia" w:ascii="宋体" w:hAnsi="宋体"/>
          <w:color w:val="auto"/>
          <w:sz w:val="24"/>
          <w:highlight w:val="none"/>
        </w:rPr>
        <w:t xml:space="preserve">年，保修期内免费维修</w:t>
      </w:r>
      <w:r>
        <w:rPr>
          <w:rFonts w:hint="eastAsia" w:ascii="宋体" w:hAnsi="宋体" w:eastAsia="宋体" w:cs="Times New Roman"/>
          <w:color w:val="auto"/>
          <w:sz w:val="24"/>
          <w:highlight w:val="none"/>
          <w:lang w:val="en-US" w:eastAsia="zh-CN"/>
        </w:rPr>
        <w:t xml:space="preserve">（保修期内乙方为甲方提供设备故障排除及每年不低于四次的定期维护保养，且需出具书面维护保养报告，一年进行一次质控并提供质控报告，其中包括不限于人工服务费、差旅费、材料、维修配件费（保修期内维修服务内容包括所有第三方生产的设备及服务））。</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设备故障48小时无法修好，免费提供备用机服务。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保修期满后，只收取维修配件的成本费，并保证对本设备终身负责维修。保修期内确保开机率≥9</w:t>
      </w:r>
      <w:r>
        <w:rPr>
          <w:rFonts w:ascii="宋体" w:hAnsi="宋体"/>
          <w:color w:val="auto"/>
          <w:sz w:val="24"/>
          <w:highlight w:val="none"/>
        </w:rPr>
        <w:t xml:space="preserve">5</w:t>
      </w:r>
      <w:r>
        <w:rPr>
          <w:rFonts w:hint="eastAsia" w:ascii="宋体" w:hAnsi="宋体"/>
          <w:color w:val="auto"/>
          <w:sz w:val="24"/>
          <w:highlight w:val="none"/>
        </w:rPr>
        <w:t xml:space="preserve">%，如停机率＞</w:t>
      </w:r>
      <w:r>
        <w:rPr>
          <w:rFonts w:ascii="宋体" w:hAnsi="宋体"/>
          <w:color w:val="auto"/>
          <w:sz w:val="24"/>
          <w:highlight w:val="none"/>
        </w:rPr>
        <w:t xml:space="preserve">5</w:t>
      </w:r>
      <w:r>
        <w:rPr>
          <w:rFonts w:hint="eastAsia" w:ascii="宋体" w:hAnsi="宋体"/>
          <w:color w:val="auto"/>
          <w:sz w:val="24"/>
          <w:highlight w:val="none"/>
        </w:rPr>
        <w:t xml:space="preserve">%（一年按365天计算，每年18天），每超过一天，保修期相应延长两周。</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服务响应时间：</w:t>
      </w:r>
      <w:r>
        <w:rPr>
          <w:rFonts w:hint="eastAsia" w:ascii="宋体" w:hAnsi="宋体"/>
          <w:color w:val="auto"/>
          <w:sz w:val="24"/>
          <w:highlight w:val="none"/>
          <w:lang w:val="en-US" w:eastAsia="zh-CN"/>
        </w:rPr>
        <w:t xml:space="preserve">电话1小时，到场服务</w:t>
      </w:r>
      <w:r>
        <w:rPr>
          <w:rFonts w:hint="eastAsia" w:ascii="宋体" w:hAnsi="宋体"/>
          <w:color w:val="auto"/>
          <w:sz w:val="24"/>
          <w:highlight w:val="none"/>
        </w:rPr>
        <w:t xml:space="preserve"> 24 小时</w:t>
      </w:r>
      <w:r>
        <w:rPr>
          <w:rFonts w:hint="eastAsia" w:ascii="宋体" w:hAnsi="宋体"/>
          <w:color w:val="auto"/>
          <w:sz w:val="24"/>
          <w:highlight w:val="none"/>
          <w:lang w:eastAsia="zh-CN"/>
        </w:rPr>
        <w:t xml:space="preserve">。</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24小时服务热线电话：</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必填）</w:t>
      </w:r>
      <w:r/>
    </w:p>
    <w:p>
      <w:pPr>
        <w:ind w:firstLine="480"/>
        <w:spacing w:line="360" w:lineRule="auto"/>
        <w:rPr>
          <w:rFonts w:hint="default"/>
          <w:color w:val="auto"/>
          <w:highlight w:val="none"/>
          <w:lang w:val="en-US" w:eastAsia="zh-CN"/>
        </w:rPr>
      </w:pPr>
      <w:r>
        <w:rPr>
          <w:rFonts w:hint="eastAsia" w:ascii="宋体" w:hAnsi="宋体"/>
          <w:color w:val="auto"/>
          <w:sz w:val="24"/>
          <w:highlight w:val="none"/>
          <w:lang w:eastAsia="zh-CN"/>
        </w:rPr>
        <w:t xml:space="preserve">现场维修48小时仍不能处理的故障，</w:t>
      </w:r>
      <w:r>
        <w:rPr>
          <w:rFonts w:hint="eastAsia" w:ascii="宋体" w:hAnsi="宋体"/>
          <w:color w:val="auto"/>
          <w:sz w:val="24"/>
          <w:highlight w:val="none"/>
          <w:lang w:val="en-US" w:eastAsia="zh-CN"/>
        </w:rPr>
        <w:t xml:space="preserve">需</w:t>
      </w:r>
      <w:r>
        <w:rPr>
          <w:rFonts w:hint="eastAsia" w:ascii="宋体" w:hAnsi="宋体"/>
          <w:color w:val="auto"/>
          <w:sz w:val="24"/>
          <w:highlight w:val="none"/>
          <w:lang w:eastAsia="zh-CN"/>
        </w:rPr>
        <w:t xml:space="preserve">免费提供备用机。</w:t>
      </w:r>
      <w:r/>
    </w:p>
    <w:p>
      <w:pPr>
        <w:pStyle w:val="792"/>
        <w:ind w:firstLine="472"/>
        <w:spacing w:before="0" w:beforeAutospacing="0" w:after="0" w:afterAutospacing="0" w:line="360" w:lineRule="auto"/>
        <w:rPr>
          <w:rFonts w:hint="eastAsia"/>
          <w:b/>
          <w:color w:val="auto"/>
          <w:highlight w:val="none"/>
        </w:rPr>
      </w:pPr>
      <w:r>
        <w:rPr>
          <w:b/>
          <w:color w:val="auto"/>
          <w:highlight w:val="none"/>
        </w:rPr>
        <w:t xml:space="preserve">第</w:t>
      </w:r>
      <w:r>
        <w:rPr>
          <w:rFonts w:hint="eastAsia"/>
          <w:b/>
          <w:color w:val="auto"/>
          <w:highlight w:val="none"/>
        </w:rPr>
        <w:t xml:space="preserve">六</w:t>
      </w:r>
      <w:r>
        <w:rPr>
          <w:b/>
          <w:color w:val="auto"/>
          <w:highlight w:val="none"/>
        </w:rPr>
        <w:t xml:space="preserve">条</w:t>
      </w:r>
      <w:r>
        <w:rPr>
          <w:rFonts w:hint="eastAsia"/>
          <w:b/>
          <w:color w:val="auto"/>
          <w:highlight w:val="none"/>
        </w:rPr>
        <w:t xml:space="preserve"> </w:t>
      </w:r>
      <w:r>
        <w:rPr>
          <w:rFonts w:hint="eastAsia"/>
          <w:b/>
          <w:color w:val="auto"/>
          <w:highlight w:val="none"/>
          <w:lang w:eastAsia="zh-CN"/>
        </w:rPr>
        <w:t xml:space="preserve">特别质量保证条款</w:t>
      </w:r>
      <w:r>
        <w:rPr>
          <w:b/>
          <w:color w:val="auto"/>
          <w:highlight w:val="none"/>
        </w:rPr>
        <w:t xml:space="preserve"> </w:t>
      </w:r>
      <w:r/>
    </w:p>
    <w:p>
      <w:pPr>
        <w:pStyle w:val="792"/>
        <w:ind w:firstLine="470"/>
        <w:spacing w:before="0" w:beforeAutospacing="0" w:after="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乙方保证向甲方提供的产品满足中国国家标准或相关行业标准。根据国家规定，如需要提供3C认证证书和标记的设备及有关配置，必须提供上述证书和标记。</w:t>
      </w:r>
      <w:r/>
    </w:p>
    <w:p>
      <w:pPr>
        <w:pStyle w:val="792"/>
        <w:ind w:firstLine="470"/>
        <w:spacing w:before="0" w:beforeAutospacing="0" w:after="0" w:afterAutospacing="0" w:line="360" w:lineRule="auto"/>
        <w:rPr>
          <w:rFonts w:hint="eastAsia" w:ascii="宋体" w:hAnsi="宋体"/>
          <w:color w:val="auto"/>
          <w:sz w:val="24"/>
          <w:highlight w:val="none"/>
        </w:rPr>
      </w:pPr>
      <w:r>
        <w:rPr>
          <w:rFonts w:hint="eastAsia" w:ascii="宋体" w:hAnsi="宋体"/>
          <w:color w:val="auto"/>
          <w:sz w:val="24"/>
          <w:highlight w:val="none"/>
        </w:rPr>
        <w:t xml:space="preserve">①所提供医疗器械产品注册证必须真实有效；②所提供产品上的中文品名、型号及产品说明书所注适用范围必须与医疗器械产品注册证所标明的完全一致；③国产医疗设备上的铭牌必须标注医疗器械注册证号；④发票上所列品名与型号必须与合同所列品名与型号完全一致；⑤进口设备提供相关报关材料；⑥其他未提及事项必须符合国家药品监督管理总局的相关规定。⑦若乙方提供虚假注册证、合格证、报关材料或</w:t>
      </w:r>
      <w:r>
        <w:rPr>
          <w:rFonts w:hint="eastAsia"/>
          <w:color w:val="auto"/>
          <w:sz w:val="24"/>
          <w:highlight w:val="none"/>
          <w:lang w:eastAsia="zh-CN"/>
        </w:rPr>
        <w:t xml:space="preserve">违反上述</w:t>
      </w:r>
      <w:r>
        <w:rPr>
          <w:rFonts w:hint="eastAsia" w:ascii="宋体" w:hAnsi="宋体"/>
          <w:color w:val="auto"/>
          <w:sz w:val="24"/>
          <w:highlight w:val="none"/>
        </w:rPr>
        <w:t xml:space="preserve">①</w:t>
      </w:r>
      <w:r>
        <w:rPr>
          <w:rFonts w:hint="eastAsia"/>
          <w:color w:val="auto"/>
          <w:sz w:val="24"/>
          <w:highlight w:val="none"/>
          <w:lang w:val="en-US" w:eastAsia="zh-CN"/>
        </w:rPr>
        <w:t xml:space="preserve">至</w:t>
      </w:r>
      <w:r>
        <w:rPr>
          <w:rFonts w:hint="eastAsia" w:ascii="宋体" w:hAnsi="宋体"/>
          <w:color w:val="auto"/>
          <w:sz w:val="24"/>
          <w:highlight w:val="none"/>
        </w:rPr>
        <w:t xml:space="preserve">⑥</w:t>
      </w:r>
      <w:r>
        <w:rPr>
          <w:rFonts w:hint="eastAsia"/>
          <w:color w:val="auto"/>
          <w:sz w:val="24"/>
          <w:highlight w:val="none"/>
          <w:lang w:val="en-US" w:eastAsia="zh-CN"/>
        </w:rPr>
        <w:t xml:space="preserve">任何一项</w:t>
      </w:r>
      <w:r>
        <w:rPr>
          <w:rFonts w:hint="eastAsia"/>
          <w:color w:val="auto"/>
          <w:sz w:val="24"/>
          <w:highlight w:val="none"/>
          <w:lang w:eastAsia="zh-CN"/>
        </w:rPr>
        <w:t xml:space="preserve">约定的</w:t>
      </w:r>
      <w:r>
        <w:rPr>
          <w:rFonts w:hint="eastAsia" w:ascii="宋体" w:hAnsi="宋体"/>
          <w:color w:val="auto"/>
          <w:sz w:val="24"/>
          <w:highlight w:val="none"/>
        </w:rPr>
        <w:t xml:space="preserve">，</w:t>
      </w:r>
      <w:r>
        <w:rPr>
          <w:rFonts w:hint="eastAsia"/>
          <w:color w:val="auto"/>
          <w:sz w:val="24"/>
          <w:highlight w:val="none"/>
          <w:lang w:eastAsia="zh-CN"/>
        </w:rPr>
        <w:t xml:space="preserve">均</w:t>
      </w:r>
      <w:r>
        <w:rPr>
          <w:rFonts w:hint="eastAsia" w:ascii="宋体" w:hAnsi="宋体"/>
          <w:color w:val="auto"/>
          <w:sz w:val="24"/>
          <w:highlight w:val="none"/>
        </w:rPr>
        <w:t xml:space="preserve">视为根本违约，甲方</w:t>
      </w:r>
      <w:r>
        <w:rPr>
          <w:rFonts w:hint="eastAsia"/>
          <w:color w:val="auto"/>
          <w:sz w:val="24"/>
          <w:highlight w:val="none"/>
          <w:lang w:eastAsia="zh-CN"/>
        </w:rPr>
        <w:t xml:space="preserve">有权单方</w:t>
      </w:r>
      <w:r>
        <w:rPr>
          <w:rFonts w:hint="eastAsia" w:ascii="宋体" w:hAnsi="宋体"/>
          <w:color w:val="auto"/>
          <w:sz w:val="24"/>
          <w:highlight w:val="none"/>
        </w:rPr>
        <w:t xml:space="preserve">解除合同，乙方</w:t>
      </w:r>
      <w:r>
        <w:rPr>
          <w:rFonts w:hint="eastAsia"/>
          <w:color w:val="auto"/>
          <w:sz w:val="24"/>
          <w:highlight w:val="none"/>
          <w:lang w:eastAsia="zh-CN"/>
        </w:rPr>
        <w:t xml:space="preserve">除</w:t>
      </w:r>
      <w:r>
        <w:rPr>
          <w:rFonts w:hint="eastAsia" w:ascii="宋体" w:hAnsi="宋体"/>
          <w:color w:val="auto"/>
          <w:sz w:val="24"/>
          <w:highlight w:val="none"/>
        </w:rPr>
        <w:t xml:space="preserve">应返还</w:t>
      </w:r>
      <w:r>
        <w:rPr>
          <w:rFonts w:hint="eastAsia"/>
          <w:color w:val="auto"/>
          <w:sz w:val="24"/>
          <w:highlight w:val="none"/>
          <w:lang w:eastAsia="zh-CN"/>
        </w:rPr>
        <w:t xml:space="preserve">甲方</w:t>
      </w:r>
      <w:r>
        <w:rPr>
          <w:rFonts w:hint="eastAsia" w:ascii="宋体" w:hAnsi="宋体"/>
          <w:color w:val="auto"/>
          <w:sz w:val="24"/>
          <w:highlight w:val="none"/>
        </w:rPr>
        <w:t xml:space="preserve">已付</w:t>
      </w:r>
      <w:r>
        <w:rPr>
          <w:rFonts w:hint="eastAsia"/>
          <w:color w:val="auto"/>
          <w:sz w:val="24"/>
          <w:highlight w:val="none"/>
          <w:lang w:eastAsia="zh-CN"/>
        </w:rPr>
        <w:t xml:space="preserve">的</w:t>
      </w:r>
      <w:r>
        <w:rPr>
          <w:rFonts w:hint="eastAsia" w:ascii="宋体" w:hAnsi="宋体"/>
          <w:color w:val="auto"/>
          <w:sz w:val="24"/>
          <w:highlight w:val="none"/>
        </w:rPr>
        <w:t xml:space="preserve">款项</w:t>
      </w:r>
      <w:r>
        <w:rPr>
          <w:rFonts w:hint="eastAsia"/>
          <w:color w:val="auto"/>
          <w:sz w:val="24"/>
          <w:highlight w:val="none"/>
          <w:lang w:eastAsia="zh-CN"/>
        </w:rPr>
        <w:t xml:space="preserve">外，还应向甲方支付</w:t>
      </w:r>
      <w:r>
        <w:rPr>
          <w:rFonts w:hint="eastAsia" w:ascii="宋体" w:hAnsi="宋体"/>
          <w:color w:val="auto"/>
          <w:sz w:val="24"/>
          <w:highlight w:val="none"/>
        </w:rPr>
        <w:t xml:space="preserve">合同总</w:t>
      </w:r>
      <w:r>
        <w:rPr>
          <w:rFonts w:hint="eastAsia"/>
          <w:color w:val="auto"/>
          <w:sz w:val="24"/>
          <w:highlight w:val="none"/>
          <w:lang w:eastAsia="zh-CN"/>
        </w:rPr>
        <w:t xml:space="preserve">价款</w:t>
      </w:r>
      <w:r>
        <w:rPr>
          <w:rFonts w:hint="eastAsia" w:ascii="宋体" w:hAnsi="宋体"/>
          <w:color w:val="auto"/>
          <w:sz w:val="24"/>
          <w:highlight w:val="none"/>
        </w:rPr>
        <w:t xml:space="preserve">20%</w:t>
      </w:r>
      <w:r>
        <w:rPr>
          <w:rFonts w:hint="eastAsia"/>
          <w:color w:val="auto"/>
          <w:sz w:val="24"/>
          <w:highlight w:val="none"/>
          <w:lang w:eastAsia="zh-CN"/>
        </w:rPr>
        <w:t xml:space="preserve">的</w:t>
      </w:r>
      <w:r>
        <w:rPr>
          <w:rFonts w:hint="eastAsia" w:ascii="宋体" w:hAnsi="宋体"/>
          <w:color w:val="auto"/>
          <w:sz w:val="24"/>
          <w:highlight w:val="none"/>
        </w:rPr>
        <w:t xml:space="preserve">违约金</w:t>
      </w:r>
      <w:r>
        <w:rPr>
          <w:rFonts w:hint="eastAsia"/>
          <w:color w:val="auto"/>
          <w:sz w:val="24"/>
          <w:highlight w:val="none"/>
          <w:lang w:eastAsia="zh-CN"/>
        </w:rPr>
        <w:t xml:space="preserve">，并赔偿甲方因此遭受的一切损失（包括但不限于行政处罚、诉讼费、律师费、替代采购差价等）。</w:t>
      </w:r>
      <w:r/>
    </w:p>
    <w:p>
      <w:pPr>
        <w:pStyle w:val="792"/>
        <w:ind w:firstLine="472"/>
        <w:spacing w:before="0" w:beforeAutospacing="0" w:after="0" w:afterAutospacing="0" w:line="360" w:lineRule="auto"/>
        <w:rPr>
          <w:b/>
          <w:color w:val="auto"/>
          <w:highlight w:val="none"/>
        </w:rPr>
      </w:pPr>
      <w:r>
        <w:rPr>
          <w:b/>
          <w:color w:val="auto"/>
          <w:highlight w:val="none"/>
        </w:rPr>
        <w:t xml:space="preserve">第</w:t>
      </w:r>
      <w:r>
        <w:rPr>
          <w:rFonts w:hint="eastAsia"/>
          <w:b/>
          <w:color w:val="auto"/>
          <w:highlight w:val="none"/>
        </w:rPr>
        <w:t xml:space="preserve">七</w:t>
      </w:r>
      <w:r>
        <w:rPr>
          <w:b/>
          <w:color w:val="auto"/>
          <w:highlight w:val="none"/>
        </w:rPr>
        <w:t xml:space="preserve">条</w:t>
      </w:r>
      <w:r>
        <w:rPr>
          <w:rFonts w:hint="eastAsia"/>
          <w:b/>
          <w:color w:val="auto"/>
          <w:highlight w:val="none"/>
        </w:rPr>
        <w:t xml:space="preserve"> </w:t>
      </w:r>
      <w:r>
        <w:rPr>
          <w:b/>
          <w:color w:val="auto"/>
          <w:highlight w:val="none"/>
        </w:rPr>
        <w:t xml:space="preserve">违约责任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乙方未能按时交付本合</w:t>
      </w:r>
      <w:r>
        <w:rPr>
          <w:rFonts w:hint="eastAsia" w:ascii="宋体" w:hAnsi="宋体"/>
          <w:color w:val="auto"/>
          <w:sz w:val="24"/>
          <w:highlight w:val="none"/>
          <w:lang w:val="en-US" w:eastAsia="zh-CN"/>
        </w:rPr>
        <w:t xml:space="preserve">同</w:t>
      </w:r>
      <w:r>
        <w:rPr>
          <w:rFonts w:hint="eastAsia" w:ascii="宋体" w:hAnsi="宋体"/>
          <w:color w:val="auto"/>
          <w:sz w:val="24"/>
          <w:highlight w:val="none"/>
          <w:lang w:eastAsia="zh-CN"/>
        </w:rPr>
        <w:t xml:space="preserve">约定的产品，或未履行本合同规定的其他义务，甲方在向乙方发出书面违约通知后</w:t>
      </w:r>
      <w:r>
        <w:rPr>
          <w:rFonts w:hint="eastAsia" w:ascii="宋体" w:hAnsi="宋体"/>
          <w:color w:val="auto"/>
          <w:sz w:val="24"/>
          <w:highlight w:val="none"/>
          <w:lang w:val="en-US" w:eastAsia="zh-CN"/>
        </w:rPr>
        <w:t xml:space="preserve">3日内，乙方仍未予以纠正的</w:t>
      </w:r>
      <w:r>
        <w:rPr>
          <w:rFonts w:hint="eastAsia" w:ascii="宋体" w:hAnsi="宋体"/>
          <w:color w:val="auto"/>
          <w:sz w:val="24"/>
          <w:highlight w:val="none"/>
        </w:rPr>
        <w:t xml:space="preserve">，</w:t>
      </w:r>
      <w:r>
        <w:rPr>
          <w:rFonts w:hint="eastAsia" w:ascii="宋体" w:hAnsi="宋体"/>
          <w:color w:val="auto"/>
          <w:sz w:val="24"/>
          <w:highlight w:val="none"/>
          <w:lang w:eastAsia="zh-CN"/>
        </w:rPr>
        <w:t xml:space="preserve">甲方有权全部或部分解除本合同，</w:t>
      </w:r>
      <w:r>
        <w:rPr>
          <w:rFonts w:hint="eastAsia" w:ascii="宋体" w:hAnsi="宋体"/>
          <w:color w:val="auto"/>
          <w:sz w:val="24"/>
          <w:highlight w:val="none"/>
        </w:rPr>
        <w:t xml:space="preserve">同时，乙方应向甲方按</w:t>
      </w:r>
      <w:r>
        <w:rPr>
          <w:rFonts w:hint="eastAsia" w:ascii="宋体" w:hAnsi="宋体"/>
          <w:color w:val="auto"/>
          <w:sz w:val="24"/>
          <w:highlight w:val="none"/>
          <w:lang w:eastAsia="zh-CN"/>
        </w:rPr>
        <w:t xml:space="preserve">合同总价款</w:t>
      </w:r>
      <w:r>
        <w:rPr>
          <w:rFonts w:hint="eastAsia" w:ascii="宋体" w:hAnsi="宋体"/>
          <w:color w:val="auto"/>
          <w:sz w:val="24"/>
          <w:highlight w:val="none"/>
        </w:rPr>
        <w:t xml:space="preserve">的10%支付违约金，并赔偿因此造成的损失。</w:t>
      </w:r>
      <w:r>
        <w:rPr>
          <w:rFonts w:ascii="宋体" w:hAnsi="宋体"/>
          <w:color w:val="auto"/>
          <w:sz w:val="24"/>
          <w:highlight w:val="none"/>
        </w:rPr>
        <w:t xml:space="preserve">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2.乙方所供产品如验收不合格，根据甲方的要求，乙方必须无条件换货或退货，由此引起的一切损失由乙方承担。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3.乙方</w:t>
      </w:r>
      <w:r>
        <w:rPr>
          <w:rFonts w:ascii="宋体" w:hAnsi="宋体"/>
          <w:color w:val="auto"/>
          <w:sz w:val="24"/>
          <w:highlight w:val="none"/>
        </w:rPr>
        <w:t xml:space="preserve">所</w:t>
      </w:r>
      <w:r>
        <w:rPr>
          <w:rFonts w:hint="eastAsia" w:ascii="宋体" w:hAnsi="宋体"/>
          <w:color w:val="auto"/>
          <w:sz w:val="24"/>
          <w:highlight w:val="none"/>
        </w:rPr>
        <w:t xml:space="preserve">交产品品种、型号、规格、</w:t>
      </w:r>
      <w:r>
        <w:rPr>
          <w:rFonts w:hint="eastAsia" w:ascii="宋体" w:hAnsi="宋体"/>
          <w:color w:val="auto"/>
          <w:sz w:val="24"/>
          <w:highlight w:val="none"/>
          <w:lang w:eastAsia="zh-CN"/>
        </w:rPr>
        <w:t xml:space="preserve">配置、技术指标或质量状况</w:t>
      </w:r>
      <w:r>
        <w:rPr>
          <w:rFonts w:ascii="宋体" w:hAnsi="宋体"/>
          <w:color w:val="auto"/>
          <w:sz w:val="24"/>
          <w:highlight w:val="none"/>
        </w:rPr>
        <w:t xml:space="preserve">不</w:t>
      </w:r>
      <w:r>
        <w:rPr>
          <w:rFonts w:hint="eastAsia" w:ascii="宋体" w:hAnsi="宋体"/>
          <w:color w:val="auto"/>
          <w:sz w:val="24"/>
          <w:highlight w:val="none"/>
        </w:rPr>
        <w:t xml:space="preserve">符合合同规定的</w:t>
      </w:r>
      <w:r>
        <w:rPr>
          <w:rFonts w:ascii="宋体" w:hAnsi="宋体"/>
          <w:color w:val="auto"/>
          <w:sz w:val="24"/>
          <w:highlight w:val="none"/>
        </w:rPr>
        <w:t xml:space="preserve">，</w:t>
      </w:r>
      <w:r>
        <w:rPr>
          <w:rFonts w:hint="eastAsia" w:ascii="宋体" w:hAnsi="宋体"/>
          <w:color w:val="auto"/>
          <w:sz w:val="24"/>
          <w:highlight w:val="none"/>
        </w:rPr>
        <w:t xml:space="preserve">甲方</w:t>
      </w:r>
      <w:r>
        <w:rPr>
          <w:rFonts w:ascii="宋体" w:hAnsi="宋体"/>
          <w:color w:val="auto"/>
          <w:sz w:val="24"/>
          <w:highlight w:val="none"/>
        </w:rPr>
        <w:t xml:space="preserve">有权拒绝付款，因此所发生的一切费用损失，由</w:t>
      </w:r>
      <w:r>
        <w:rPr>
          <w:rFonts w:hint="eastAsia" w:ascii="宋体" w:hAnsi="宋体"/>
          <w:color w:val="auto"/>
          <w:sz w:val="24"/>
          <w:highlight w:val="none"/>
        </w:rPr>
        <w:t xml:space="preserve">乙方</w:t>
      </w:r>
      <w:r>
        <w:rPr>
          <w:rFonts w:ascii="宋体" w:hAnsi="宋体"/>
          <w:color w:val="auto"/>
          <w:sz w:val="24"/>
          <w:highlight w:val="none"/>
        </w:rPr>
        <w:t xml:space="preserve">负责。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4.甲方未按合同规定的时间和要求提供相应的场地技术资料等，交货日期经双方协商可相应顺延。</w:t>
      </w:r>
      <w:r/>
    </w:p>
    <w:p>
      <w:pPr>
        <w:pStyle w:val="792"/>
        <w:ind w:firstLine="480"/>
        <w:spacing w:before="0" w:beforeAutospacing="0" w:after="0" w:afterAutospacing="0"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w:t>
      </w:r>
      <w:r>
        <w:rPr>
          <w:rFonts w:hint="default" w:ascii="宋体" w:hAnsi="宋体" w:eastAsia="宋体" w:cs="Times New Roman"/>
          <w:color w:val="auto"/>
          <w:sz w:val="24"/>
          <w:szCs w:val="24"/>
          <w:highlight w:val="none"/>
          <w:lang w:val="en-US" w:eastAsia="zh-CN" w:bidi="ar-SA"/>
        </w:rPr>
        <w:t xml:space="preserve">乙方未能在本合同约定的响应时间内派员到场维修，或单次维修时间超过【</w:t>
      </w:r>
      <w:r>
        <w:rPr>
          <w:rFonts w:hint="eastAsia" w:cs="Times New Roman"/>
          <w:color w:val="auto"/>
          <w:sz w:val="24"/>
          <w:szCs w:val="24"/>
          <w:highlight w:val="none"/>
          <w:lang w:val="en-US" w:eastAsia="zh-CN" w:bidi="ar-SA"/>
        </w:rPr>
        <w:t xml:space="preserve">72</w:t>
      </w:r>
      <w:r>
        <w:rPr>
          <w:rFonts w:hint="default" w:ascii="宋体" w:hAnsi="宋体" w:eastAsia="宋体" w:cs="Times New Roman"/>
          <w:color w:val="auto"/>
          <w:sz w:val="24"/>
          <w:szCs w:val="24"/>
          <w:highlight w:val="none"/>
          <w:lang w:val="en-US" w:eastAsia="zh-CN" w:bidi="ar-SA"/>
        </w:rPr>
        <w:t xml:space="preserve">】小时未能解决故障，</w:t>
      </w:r>
      <w:r>
        <w:rPr>
          <w:rFonts w:hint="eastAsia" w:ascii="宋体" w:hAnsi="宋体" w:eastAsia="宋体" w:cs="Times New Roman"/>
          <w:color w:val="auto"/>
          <w:sz w:val="24"/>
          <w:szCs w:val="24"/>
          <w:highlight w:val="none"/>
          <w:lang w:val="en-US" w:eastAsia="zh-CN" w:bidi="ar-SA"/>
        </w:rPr>
        <w:t xml:space="preserve">且不提供备用机的，</w:t>
      </w:r>
      <w:r>
        <w:rPr>
          <w:rFonts w:hint="default" w:ascii="宋体" w:hAnsi="宋体" w:eastAsia="宋体" w:cs="Times New Roman"/>
          <w:color w:val="auto"/>
          <w:sz w:val="24"/>
          <w:szCs w:val="24"/>
          <w:highlight w:val="none"/>
          <w:lang w:val="en-US" w:eastAsia="zh-CN" w:bidi="ar-SA"/>
        </w:rPr>
        <w:t xml:space="preserve">每发生一次，应向甲方支付【</w:t>
      </w:r>
      <w:r>
        <w:rPr>
          <w:rFonts w:hint="eastAsia" w:ascii="宋体" w:hAnsi="宋体" w:eastAsia="宋体" w:cs="Times New Roman"/>
          <w:color w:val="auto"/>
          <w:sz w:val="24"/>
          <w:szCs w:val="24"/>
          <w:highlight w:val="none"/>
          <w:lang w:val="en-US" w:eastAsia="zh-CN" w:bidi="ar-SA"/>
        </w:rPr>
        <w:t xml:space="preserve">1000</w:t>
      </w:r>
      <w:r>
        <w:rPr>
          <w:rFonts w:hint="default" w:ascii="宋体" w:hAnsi="宋体" w:eastAsia="宋体" w:cs="Times New Roman"/>
          <w:color w:val="auto"/>
          <w:sz w:val="24"/>
          <w:szCs w:val="24"/>
          <w:highlight w:val="none"/>
          <w:lang w:val="en-US" w:eastAsia="zh-CN" w:bidi="ar-SA"/>
        </w:rPr>
        <w:t xml:space="preserve">元】的违约金。同一故障在质保期内累计发生【</w:t>
      </w:r>
      <w:r>
        <w:rPr>
          <w:rFonts w:hint="eastAsia" w:ascii="宋体" w:hAnsi="宋体" w:eastAsia="宋体" w:cs="Times New Roman"/>
          <w:color w:val="auto"/>
          <w:sz w:val="24"/>
          <w:szCs w:val="24"/>
          <w:highlight w:val="none"/>
          <w:lang w:val="en-US" w:eastAsia="zh-CN" w:bidi="ar-SA"/>
        </w:rPr>
        <w:t xml:space="preserve">3</w:t>
      </w:r>
      <w:r>
        <w:rPr>
          <w:rFonts w:hint="default" w:ascii="宋体" w:hAnsi="宋体" w:eastAsia="宋体" w:cs="Times New Roman"/>
          <w:color w:val="auto"/>
          <w:sz w:val="24"/>
          <w:szCs w:val="24"/>
          <w:highlight w:val="none"/>
          <w:lang w:val="en-US" w:eastAsia="zh-CN" w:bidi="ar-SA"/>
        </w:rPr>
        <w:t xml:space="preserve">】次以上（含本数）未能彻底解决的，甲方有权要求乙方更换同型号全新设备，若乙方拒绝更换，甲方有权解除合同，并要求乙方退还全部已付货款，并支付合同总价</w:t>
      </w:r>
      <w:r>
        <w:rPr>
          <w:rFonts w:hint="eastAsia" w:ascii="宋体" w:hAnsi="宋体" w:eastAsia="宋体" w:cs="Times New Roman"/>
          <w:color w:val="auto"/>
          <w:sz w:val="24"/>
          <w:szCs w:val="24"/>
          <w:highlight w:val="none"/>
          <w:lang w:val="en-US" w:eastAsia="zh-CN" w:bidi="ar-SA"/>
        </w:rPr>
        <w:t xml:space="preserve">款10%</w:t>
      </w:r>
      <w:r>
        <w:rPr>
          <w:rFonts w:hint="default" w:ascii="宋体" w:hAnsi="宋体" w:eastAsia="宋体" w:cs="Times New Roman"/>
          <w:color w:val="auto"/>
          <w:sz w:val="24"/>
          <w:szCs w:val="24"/>
          <w:highlight w:val="none"/>
          <w:lang w:val="en-US" w:eastAsia="zh-CN" w:bidi="ar-SA"/>
        </w:rPr>
        <w:t xml:space="preserve">的违约金。</w:t>
      </w:r>
      <w:r/>
    </w:p>
    <w:p>
      <w:pPr>
        <w:pStyle w:val="792"/>
        <w:ind w:firstLine="480"/>
        <w:spacing w:before="0" w:beforeAutospacing="0" w:after="0" w:afterAutospacing="0" w:line="360" w:lineRule="auto"/>
        <w:rPr>
          <w:rFonts w:hint="eastAsia"/>
          <w:b/>
          <w:color w:val="auto"/>
          <w:highlight w:val="none"/>
        </w:rPr>
      </w:pPr>
      <w:r>
        <w:rPr>
          <w:b/>
          <w:color w:val="auto"/>
          <w:highlight w:val="none"/>
        </w:rPr>
        <w:t xml:space="preserve">第</w:t>
      </w:r>
      <w:r>
        <w:rPr>
          <w:rFonts w:hint="eastAsia"/>
          <w:b/>
          <w:color w:val="auto"/>
          <w:highlight w:val="none"/>
        </w:rPr>
        <w:t xml:space="preserve">八</w:t>
      </w:r>
      <w:r>
        <w:rPr>
          <w:b/>
          <w:color w:val="auto"/>
          <w:highlight w:val="none"/>
        </w:rPr>
        <w:t xml:space="preserve">条</w:t>
      </w:r>
      <w:r>
        <w:rPr>
          <w:rFonts w:hint="eastAsia"/>
          <w:b/>
          <w:color w:val="auto"/>
          <w:highlight w:val="none"/>
        </w:rPr>
        <w:t xml:space="preserve"> 其他</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当事人一方因不可抗力</w:t>
      </w:r>
      <w:r>
        <w:rPr>
          <w:rFonts w:hint="eastAsia" w:ascii="宋体" w:hAnsi="宋体"/>
          <w:color w:val="auto"/>
          <w:sz w:val="24"/>
          <w:highlight w:val="none"/>
        </w:rPr>
        <w:t xml:space="preserve">的原因</w:t>
      </w:r>
      <w:r>
        <w:rPr>
          <w:rFonts w:ascii="宋体" w:hAnsi="宋体"/>
          <w:color w:val="auto"/>
          <w:sz w:val="24"/>
          <w:highlight w:val="none"/>
        </w:rPr>
        <w:t xml:space="preserve">不能履行合同时，应当及时通知对方，并在合理期限内提供有关机构出具的证明，可以全部或部分免除该方当事人的</w:t>
      </w:r>
      <w:r>
        <w:rPr>
          <w:rFonts w:hint="eastAsia" w:ascii="宋体" w:hAnsi="宋体"/>
          <w:color w:val="auto"/>
          <w:sz w:val="24"/>
          <w:highlight w:val="none"/>
        </w:rPr>
        <w:t xml:space="preserve">违约</w:t>
      </w:r>
      <w:r>
        <w:rPr>
          <w:rFonts w:ascii="宋体" w:hAnsi="宋体"/>
          <w:color w:val="auto"/>
          <w:sz w:val="24"/>
          <w:highlight w:val="none"/>
        </w:rPr>
        <w:t xml:space="preserve">责任。 </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本合同在</w:t>
      </w:r>
      <w:r>
        <w:rPr>
          <w:rFonts w:hint="eastAsia" w:ascii="宋体" w:hAnsi="宋体"/>
          <w:color w:val="auto"/>
          <w:sz w:val="24"/>
          <w:highlight w:val="none"/>
        </w:rPr>
        <w:t xml:space="preserve">履行</w:t>
      </w:r>
      <w:r>
        <w:rPr>
          <w:rFonts w:ascii="宋体" w:hAnsi="宋体"/>
          <w:color w:val="auto"/>
          <w:sz w:val="24"/>
          <w:highlight w:val="none"/>
        </w:rPr>
        <w:t xml:space="preserve">中发生</w:t>
      </w:r>
      <w:r>
        <w:rPr>
          <w:rFonts w:hint="eastAsia" w:ascii="宋体" w:hAnsi="宋体"/>
          <w:color w:val="auto"/>
          <w:sz w:val="24"/>
          <w:highlight w:val="none"/>
        </w:rPr>
        <w:t xml:space="preserve">争议</w:t>
      </w:r>
      <w:r>
        <w:rPr>
          <w:rFonts w:ascii="宋体" w:hAnsi="宋体"/>
          <w:color w:val="auto"/>
          <w:sz w:val="24"/>
          <w:highlight w:val="none"/>
        </w:rPr>
        <w:t xml:space="preserve">，</w:t>
      </w:r>
      <w:r>
        <w:rPr>
          <w:rFonts w:hint="eastAsia" w:ascii="宋体" w:hAnsi="宋体"/>
          <w:color w:val="auto"/>
          <w:sz w:val="24"/>
          <w:highlight w:val="none"/>
        </w:rPr>
        <w:t xml:space="preserve">由当事人双方协商解决，</w:t>
      </w:r>
      <w:r>
        <w:rPr>
          <w:rFonts w:ascii="宋体" w:hAnsi="宋体"/>
          <w:color w:val="auto"/>
          <w:sz w:val="24"/>
          <w:highlight w:val="none"/>
        </w:rPr>
        <w:t xml:space="preserve">协商</w:t>
      </w:r>
      <w:r>
        <w:rPr>
          <w:rFonts w:hint="eastAsia" w:ascii="宋体" w:hAnsi="宋体"/>
          <w:color w:val="auto"/>
          <w:sz w:val="24"/>
          <w:highlight w:val="none"/>
        </w:rPr>
        <w:t xml:space="preserve">不成时可向徐州市云龙区人民法院提出诉讼。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本合同自双方签字盖章之日起生效。本合同未尽事宜，经双方共同协商后可作出补充说明，补充说明与本合同有同等法律效力。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本合同一式</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val="en-US" w:eastAsia="zh-CN"/>
        </w:rPr>
        <w:t xml:space="preserve">陆</w:t>
      </w:r>
      <w:r>
        <w:rPr>
          <w:rFonts w:hint="eastAsia" w:ascii="宋体" w:hAnsi="宋体"/>
          <w:b/>
          <w:color w:val="auto"/>
          <w:sz w:val="24"/>
          <w:highlight w:val="none"/>
          <w:u w:val="single"/>
        </w:rPr>
        <w:t xml:space="preserve">  </w:t>
      </w:r>
      <w:r>
        <w:rPr>
          <w:rFonts w:hint="eastAsia" w:ascii="宋体" w:hAnsi="宋体"/>
          <w:color w:val="auto"/>
          <w:sz w:val="24"/>
          <w:highlight w:val="none"/>
        </w:rPr>
        <w:t xml:space="preserve">份，甲方</w:t>
      </w:r>
      <w:r>
        <w:rPr>
          <w:rFonts w:hint="eastAsia" w:ascii="宋体" w:hAnsi="宋体"/>
          <w:color w:val="auto"/>
          <w:sz w:val="24"/>
          <w:highlight w:val="none"/>
          <w:lang w:val="en-US" w:eastAsia="zh-CN"/>
        </w:rPr>
        <w:t xml:space="preserve">肆</w:t>
      </w:r>
      <w:r>
        <w:rPr>
          <w:rFonts w:hint="eastAsia" w:ascii="宋体" w:hAnsi="宋体"/>
          <w:color w:val="auto"/>
          <w:sz w:val="24"/>
          <w:highlight w:val="none"/>
        </w:rPr>
        <w:t xml:space="preserve">份，乙方</w:t>
      </w:r>
      <w:r>
        <w:rPr>
          <w:rFonts w:hint="eastAsia" w:ascii="宋体" w:hAnsi="宋体"/>
          <w:color w:val="auto"/>
          <w:sz w:val="24"/>
          <w:highlight w:val="none"/>
          <w:lang w:val="en-US" w:eastAsia="zh-CN"/>
        </w:rPr>
        <w:t xml:space="preserve">贰</w:t>
      </w:r>
      <w:r>
        <w:rPr>
          <w:rFonts w:hint="eastAsia" w:ascii="宋体" w:hAnsi="宋体"/>
          <w:color w:val="auto"/>
          <w:sz w:val="24"/>
          <w:highlight w:val="none"/>
        </w:rPr>
        <w:t xml:space="preserve">份。</w:t>
      </w:r>
      <w:r/>
    </w:p>
    <w:p>
      <w:pPr>
        <w:ind w:firstLine="480"/>
        <w:spacing w:line="360" w:lineRule="exact"/>
        <w:rPr>
          <w:rFonts w:hint="eastAsia" w:ascii="宋体" w:hAnsi="宋体"/>
          <w:color w:val="auto"/>
          <w:sz w:val="24"/>
          <w:highlight w:val="none"/>
        </w:rPr>
      </w:pPr>
      <w:r>
        <w:rPr>
          <w:rFonts w:hint="eastAsia" w:ascii="宋体" w:hAnsi="宋体"/>
          <w:color w:val="auto"/>
          <w:sz w:val="24"/>
          <w:highlight w:val="none"/>
        </w:rPr>
      </w:r>
      <w:r/>
    </w:p>
    <w:tbl>
      <w:tblPr>
        <w:tblStyle w:val="767"/>
        <w:tblW w:w="10022" w:type="dxa"/>
        <w:tblInd w:w="-420" w:type="dxa"/>
        <w:tblLayout w:type="fixed"/>
        <w:tblCellMar>
          <w:left w:w="0" w:type="dxa"/>
          <w:top w:w="0" w:type="dxa"/>
          <w:right w:w="0" w:type="dxa"/>
          <w:bottom w:w="0" w:type="dxa"/>
        </w:tblCellMar>
        <w:tblLook w:val="04A0" w:firstRow="1" w:lastRow="0" w:firstColumn="1" w:lastColumn="0" w:noHBand="0" w:noVBand="1"/>
      </w:tblPr>
      <w:tblGrid>
        <w:gridCol w:w="5275"/>
        <w:gridCol w:w="4747"/>
      </w:tblGrid>
      <w:tr>
        <w:trPr>
          <w:trHeight w:val="629"/>
        </w:trPr>
        <w:tc>
          <w:tcPr>
            <w:tcW w:w="5275"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徐州医科大学附属第三医院</w:t>
            </w:r>
            <w:r/>
          </w:p>
        </w:tc>
        <w:tc>
          <w:tcPr>
            <w:tcW w:w="4747"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w:t>
            </w:r>
            <w:r/>
          </w:p>
        </w:tc>
      </w:tr>
      <w:tr>
        <w:trPr>
          <w:trHeight w:val="549"/>
        </w:trPr>
        <w:tc>
          <w:tcPr>
            <w:tcW w:w="5275"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pacing w:val="-6"/>
                <w:sz w:val="24"/>
                <w:szCs w:val="24"/>
                <w:highlight w:val="none"/>
                <w:u w:val="none"/>
              </w:rPr>
              <w:t xml:space="preserve">江苏省徐州市云龙区复兴南路388号</w:t>
            </w:r>
            <w:r/>
          </w:p>
        </w:tc>
        <w:tc>
          <w:tcPr>
            <w:tcW w:w="4747"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p>
        </w:tc>
      </w:tr>
      <w:tr>
        <w:trPr>
          <w:trHeight w:val="529"/>
        </w:trPr>
        <w:tc>
          <w:tcPr>
            <w:tcW w:w="5275"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电话：</w:t>
            </w:r>
            <w:r/>
          </w:p>
        </w:tc>
        <w:tc>
          <w:tcPr>
            <w:tcW w:w="4747" w:type="dxa"/>
            <w:vAlign w:val="center"/>
            <w:textDirection w:val="lrTb"/>
            <w:noWrap w:val="false"/>
          </w:tcPr>
          <w:p>
            <w:pPr>
              <w:jc w:val="left"/>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帐  号：</w:t>
            </w:r>
            <w:r/>
          </w:p>
        </w:tc>
      </w:tr>
      <w:tr>
        <w:trPr>
          <w:trHeight w:val="489"/>
        </w:trPr>
        <w:tc>
          <w:tcPr>
            <w:tcW w:w="5275"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盖章：</w:t>
            </w:r>
            <w:r/>
          </w:p>
        </w:tc>
        <w:tc>
          <w:tcPr>
            <w:tcW w:w="4747"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盖章：</w:t>
            </w:r>
            <w:r/>
          </w:p>
        </w:tc>
      </w:tr>
      <w:tr>
        <w:trPr>
          <w:trHeight w:val="548"/>
        </w:trPr>
        <w:tc>
          <w:tcPr>
            <w:tcW w:w="5275"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法人或委托代理人：</w:t>
            </w:r>
            <w:r/>
          </w:p>
        </w:tc>
        <w:tc>
          <w:tcPr>
            <w:tcW w:w="4747"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法人或委托代理人：</w:t>
            </w:r>
            <w:r/>
          </w:p>
        </w:tc>
      </w:tr>
      <w:tr>
        <w:trPr>
          <w:trHeight w:val="629"/>
        </w:trPr>
        <w:tc>
          <w:tcPr>
            <w:tcW w:w="5275" w:type="dxa"/>
            <w:vAlign w:val="center"/>
            <w:textDirection w:val="lrTb"/>
            <w:noWrap w:val="false"/>
          </w:tcPr>
          <w:p>
            <w:pPr>
              <w:ind w:firstLine="8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tc>
        <w:tc>
          <w:tcPr>
            <w:tcW w:w="4747"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tc>
      </w:tr>
    </w:tbl>
    <w:p>
      <w:pPr>
        <w:jc w:val="center"/>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jc w:val="center"/>
        <w:rPr>
          <w:rFonts w:hint="eastAsia" w:ascii="宋体" w:hAnsi="宋体" w:eastAsia="宋体" w:cs="宋体"/>
          <w:b w:val="0"/>
          <w:bCs/>
          <w:color w:val="auto"/>
          <w:sz w:val="30"/>
          <w:szCs w:val="30"/>
          <w:highlight w:val="none"/>
        </w:rPr>
      </w:pPr>
      <w:r>
        <w:rPr>
          <w:rFonts w:hint="eastAsia" w:ascii="仿宋" w:hAnsi="仿宋" w:eastAsia="仿宋" w:cs="仿宋"/>
          <w:b w:val="0"/>
          <w:bCs/>
          <w:color w:val="auto"/>
          <w:sz w:val="24"/>
          <w:highlight w:val="none"/>
        </w:rPr>
        <w:br w:type="page" w:clear="all"/>
      </w: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合同附件5：验收标准（要求见招标文件第六章《采购需求》；）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徐州医科大学附属第三医院</w:t>
      </w:r>
      <w:r>
        <w:rPr>
          <w:rFonts w:hint="eastAsia" w:ascii="宋体" w:hAnsi="宋体" w:eastAsia="宋体" w:cs="宋体"/>
          <w:b w:val="0"/>
          <w:bCs/>
          <w:color w:val="auto"/>
          <w:sz w:val="36"/>
          <w:szCs w:val="36"/>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徐州医科大学附属第三医院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w:t>
      </w:r>
      <w:r>
        <w:rPr>
          <w:rFonts w:hint="eastAsia" w:ascii="宋体" w:hAnsi="宋体" w:cs="宋体"/>
          <w:b w:val="0"/>
          <w:bCs/>
          <w:color w:val="auto"/>
          <w:sz w:val="24"/>
          <w:szCs w:val="24"/>
          <w:highlight w:val="none"/>
          <w:lang w:eastAsia="zh-CN"/>
        </w:rPr>
        <w:t xml:space="preserve">卫生健康委员会相关</w:t>
      </w:r>
      <w:r>
        <w:rPr>
          <w:rFonts w:hint="eastAsia" w:ascii="宋体" w:hAnsi="宋体" w:eastAsia="宋体" w:cs="宋体"/>
          <w:b w:val="0"/>
          <w:bCs/>
          <w:color w:val="auto"/>
          <w:sz w:val="24"/>
          <w:szCs w:val="24"/>
          <w:highlight w:val="none"/>
        </w:rPr>
        <w:t xml:space="preserve">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w:t>
      </w:r>
      <w:r>
        <w:rPr>
          <w:rFonts w:hint="eastAsia" w:ascii="宋体" w:hAnsi="宋体" w:cs="宋体"/>
          <w:b w:val="0"/>
          <w:bCs/>
          <w:color w:val="auto"/>
          <w:sz w:val="24"/>
          <w:szCs w:val="24"/>
          <w:highlight w:val="none"/>
          <w:lang w:eastAsia="zh-CN"/>
        </w:rPr>
        <w:t xml:space="preserve">健康</w:t>
      </w:r>
      <w:r>
        <w:rPr>
          <w:rFonts w:hint="eastAsia" w:ascii="宋体" w:hAnsi="宋体" w:eastAsia="宋体" w:cs="宋体"/>
          <w:b w:val="0"/>
          <w:bCs/>
          <w:color w:val="auto"/>
          <w:sz w:val="24"/>
          <w:szCs w:val="24"/>
          <w:highlight w:val="none"/>
        </w:rPr>
        <w:t xml:space="preserve">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徐州医科大学附属第三医院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color w:val="auto"/>
          <w:highlight w:val="none"/>
        </w:rPr>
      </w:pPr>
      <w:r>
        <w:rPr>
          <w:color w:val="auto"/>
          <w:highlight w:val="none"/>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57"/>
        <w:numPr>
          <w:ilvl w:val="0"/>
          <w:numId w:val="0"/>
        </w:numPr>
        <w:jc w:val="center"/>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2457054"/>
      <w:r/>
      <w:bookmarkEnd w:id="2"/>
      <w:r/>
      <w:bookmarkStart w:id="3" w:name="_Toc324452802"/>
      <w:r/>
      <w:bookmarkEnd w:id="3"/>
      <w:r/>
      <w:r/>
    </w:p>
    <w:p>
      <w:pPr>
        <w:rPr>
          <w:rFonts w:hint="eastAsia"/>
          <w:color w:val="auto"/>
          <w:highlight w:val="none"/>
        </w:rPr>
      </w:pPr>
      <w:r>
        <w:rPr>
          <w:rFonts w:hint="eastAsia"/>
          <w:color w:val="auto"/>
          <w:highlight w:val="none"/>
        </w:rPr>
      </w:r>
      <w:r/>
    </w:p>
    <w:p>
      <w:pPr>
        <w:ind w:left="0" w:firstLine="0"/>
        <w:spacing w:line="360" w:lineRule="auto"/>
        <w:rPr>
          <w:rStyle w:val="893"/>
          <w:rFonts w:hint="eastAsia" w:ascii="宋体" w:hAnsi="宋体" w:eastAsia="宋体" w:cs="宋体"/>
          <w:b/>
          <w:bCs/>
          <w:color w:val="auto"/>
          <w:sz w:val="24"/>
          <w:szCs w:val="24"/>
          <w:highlight w:val="none"/>
          <w:lang w:val="en-US"/>
        </w:rPr>
      </w:pPr>
      <w:r>
        <w:rPr>
          <w:rStyle w:val="893"/>
          <w:rFonts w:hint="eastAsia" w:ascii="宋体" w:hAnsi="宋体" w:cs="宋体"/>
          <w:b/>
          <w:bCs/>
          <w:color w:val="auto"/>
          <w:sz w:val="24"/>
          <w:szCs w:val="24"/>
          <w:highlight w:val="none"/>
          <w:lang w:val="en-US"/>
        </w:rPr>
        <w:t xml:space="preserve">一、本</w:t>
      </w:r>
      <w:r>
        <w:rPr>
          <w:rStyle w:val="893"/>
          <w:rFonts w:hint="eastAsia" w:ascii="宋体" w:hAnsi="宋体" w:eastAsia="宋体" w:cs="宋体"/>
          <w:b/>
          <w:bCs/>
          <w:color w:val="auto"/>
          <w:sz w:val="24"/>
          <w:szCs w:val="24"/>
          <w:highlight w:val="none"/>
          <w:lang w:val="en-US"/>
        </w:rPr>
        <w:t xml:space="preserve">项目不属于专门面向中小微企业采购的项目</w:t>
      </w:r>
      <w:r>
        <w:rPr>
          <w:rFonts w:hint="eastAsia" w:ascii="宋体" w:hAnsi="宋体" w:eastAsia="宋体" w:cs="宋体"/>
          <w:b/>
          <w:bCs/>
          <w:color w:val="auto"/>
          <w:sz w:val="24"/>
          <w:szCs w:val="24"/>
          <w:highlight w:val="none"/>
        </w:rPr>
        <w:t xml:space="preserve">，且本项目</w:t>
      </w:r>
      <w:r>
        <w:rPr>
          <w:rFonts w:hint="eastAsia" w:ascii="宋体" w:hAnsi="宋体" w:eastAsia="宋体" w:cs="宋体"/>
          <w:b/>
          <w:bCs/>
          <w:color w:val="auto"/>
          <w:sz w:val="24"/>
          <w:szCs w:val="24"/>
          <w:highlight w:val="none"/>
          <w:lang w:val="en-US" w:eastAsia="zh-CN"/>
        </w:rPr>
        <w:t xml:space="preserve">不接受</w:t>
      </w:r>
      <w:r>
        <w:rPr>
          <w:rFonts w:hint="eastAsia" w:ascii="宋体" w:hAnsi="宋体" w:eastAsia="宋体" w:cs="宋体"/>
          <w:b/>
          <w:bCs/>
          <w:color w:val="auto"/>
          <w:sz w:val="24"/>
          <w:szCs w:val="24"/>
          <w:highlight w:val="none"/>
        </w:rPr>
        <w:t xml:space="preserve">进口产品</w:t>
      </w:r>
      <w:r>
        <w:rPr>
          <w:rFonts w:hint="eastAsia" w:ascii="宋体" w:hAnsi="宋体" w:eastAsia="宋体" w:cs="宋体"/>
          <w:b/>
          <w:bCs/>
          <w:color w:val="auto"/>
          <w:sz w:val="24"/>
          <w:szCs w:val="24"/>
          <w:highlight w:val="none"/>
          <w:lang w:val="en-US" w:eastAsia="zh-CN"/>
        </w:rPr>
        <w:t xml:space="preserve">投标</w:t>
      </w:r>
      <w:r>
        <w:rPr>
          <w:rStyle w:val="893"/>
          <w:rFonts w:hint="eastAsia" w:ascii="宋体" w:hAnsi="宋体" w:eastAsia="宋体" w:cs="宋体"/>
          <w:b/>
          <w:bCs/>
          <w:color w:val="auto"/>
          <w:sz w:val="24"/>
          <w:szCs w:val="24"/>
          <w:highlight w:val="none"/>
          <w:lang w:val="en-US"/>
        </w:rPr>
        <w:t xml:space="preserve">。</w:t>
      </w:r>
      <w:r/>
    </w:p>
    <w:p>
      <w:pPr>
        <w:ind w:left="0" w:firstLine="0"/>
        <w:spacing w:line="360" w:lineRule="auto"/>
        <w:rPr>
          <w:rStyle w:val="893"/>
          <w:rFonts w:hint="default" w:ascii="宋体" w:hAnsi="宋体" w:cs="宋体"/>
          <w:b w:val="0"/>
          <w:bCs/>
          <w:color w:val="auto"/>
          <w:sz w:val="24"/>
          <w:szCs w:val="24"/>
          <w:highlight w:val="none"/>
          <w:lang w:val="en-US"/>
        </w:rPr>
      </w:pPr>
      <w:r>
        <w:rPr>
          <w:rStyle w:val="893"/>
          <w:rFonts w:hint="eastAsia" w:ascii="宋体" w:hAnsi="宋体" w:eastAsia="宋体" w:cs="宋体"/>
          <w:b/>
          <w:bCs/>
          <w:color w:val="auto"/>
          <w:sz w:val="24"/>
          <w:szCs w:val="24"/>
          <w:highlight w:val="none"/>
          <w:lang w:val="en-US"/>
        </w:rPr>
        <w:t xml:space="preserve">二、本项目不接受超过人民币</w:t>
      </w:r>
      <w:r>
        <w:rPr>
          <w:rStyle w:val="893"/>
          <w:rFonts w:hint="eastAsia" w:ascii="宋体" w:hAnsi="宋体" w:cs="宋体"/>
          <w:b/>
          <w:bCs/>
          <w:color w:val="auto"/>
          <w:sz w:val="24"/>
          <w:szCs w:val="24"/>
          <w:highlight w:val="none"/>
          <w:lang w:val="en-US"/>
        </w:rPr>
        <w:t xml:space="preserve">120</w:t>
      </w:r>
      <w:r>
        <w:rPr>
          <w:rStyle w:val="893"/>
          <w:rFonts w:hint="eastAsia" w:ascii="宋体" w:hAnsi="宋体" w:eastAsia="宋体" w:cs="宋体"/>
          <w:b/>
          <w:bCs/>
          <w:color w:val="auto"/>
          <w:sz w:val="24"/>
          <w:szCs w:val="24"/>
          <w:highlight w:val="none"/>
          <w:lang w:val="en-US"/>
        </w:rPr>
        <w:t xml:space="preserve">.00万元（采购项目预算金额）的投标报价。</w:t>
      </w:r>
      <w:r/>
    </w:p>
    <w:p>
      <w:pPr>
        <w:ind w:left="0" w:firstLine="0"/>
        <w:spacing w:line="360" w:lineRule="auto"/>
        <w:rPr>
          <w:rFonts w:hint="eastAsia" w:ascii="宋体" w:hAnsi="宋体" w:eastAsia="宋体" w:cs="宋体"/>
          <w:b/>
          <w:bCs/>
          <w:color w:val="auto"/>
          <w:sz w:val="24"/>
          <w:szCs w:val="24"/>
          <w:highlight w:val="none"/>
        </w:rPr>
      </w:pPr>
      <w:r>
        <w:rPr>
          <w:rStyle w:val="893"/>
          <w:rFonts w:hint="eastAsia" w:ascii="宋体" w:hAnsi="宋体" w:cs="宋体"/>
          <w:b/>
          <w:bCs w:val="0"/>
          <w:color w:val="auto"/>
          <w:sz w:val="24"/>
          <w:szCs w:val="24"/>
          <w:highlight w:val="none"/>
          <w:lang w:val="en-US"/>
        </w:rPr>
        <w:t xml:space="preserve">三、</w:t>
      </w:r>
      <w:r>
        <w:rPr>
          <w:rFonts w:hint="eastAsia" w:ascii="宋体" w:hAnsi="宋体" w:eastAsia="宋体" w:cs="宋体"/>
          <w:b/>
          <w:bCs/>
          <w:color w:val="auto"/>
          <w:sz w:val="24"/>
          <w:szCs w:val="24"/>
          <w:highlight w:val="none"/>
        </w:rPr>
        <w:t xml:space="preserve">项目说明</w:t>
      </w:r>
      <w:r/>
    </w:p>
    <w:p>
      <w:pPr>
        <w:ind w:left="0" w:firstLine="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采购人：</w:t>
      </w:r>
      <w:r>
        <w:rPr>
          <w:rFonts w:hint="eastAsia" w:ascii="宋体" w:hAnsi="宋体" w:cs="宋体"/>
          <w:b w:val="0"/>
          <w:bCs w:val="0"/>
          <w:color w:val="auto"/>
          <w:sz w:val="24"/>
          <w:szCs w:val="24"/>
          <w:highlight w:val="none"/>
          <w:lang w:eastAsia="zh-CN"/>
        </w:rPr>
        <w:t xml:space="preserve">徐州医科大学附属第三医院</w:t>
      </w:r>
      <w:r>
        <w:rPr>
          <w:rFonts w:hint="eastAsia" w:ascii="宋体" w:hAnsi="宋体" w:eastAsia="宋体" w:cs="宋体"/>
          <w:b w:val="0"/>
          <w:bCs w:val="0"/>
          <w:color w:val="auto"/>
          <w:sz w:val="24"/>
          <w:szCs w:val="24"/>
          <w:highlight w:val="none"/>
          <w:lang w:eastAsia="zh-CN"/>
        </w:rPr>
        <w:t xml:space="preserve">。</w:t>
      </w:r>
      <w:r/>
    </w:p>
    <w:p>
      <w:pPr>
        <w:pStyle w:val="807"/>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项目名称</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徐州医科大学附属第三医院彩色多普勒超声系统</w:t>
      </w:r>
      <w:r>
        <w:rPr>
          <w:rFonts w:hint="eastAsia" w:ascii="宋体" w:hAnsi="宋体" w:eastAsia="宋体" w:cs="宋体"/>
          <w:b w:val="0"/>
          <w:bCs w:val="0"/>
          <w:color w:val="auto"/>
          <w:sz w:val="24"/>
          <w:szCs w:val="24"/>
          <w:highlight w:val="none"/>
          <w:lang w:eastAsia="zh-CN"/>
        </w:rPr>
        <w:t xml:space="preserve">。</w:t>
      </w:r>
      <w:r/>
    </w:p>
    <w:p>
      <w:pPr>
        <w:ind w:left="0" w:firstLine="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3、采购包划分：本项目共分为1个采购包。</w:t>
      </w:r>
      <w:r/>
    </w:p>
    <w:p>
      <w:pPr>
        <w:ind w:left="0" w:firstLine="0"/>
        <w:spacing w:line="360" w:lineRule="auto"/>
        <w:rPr>
          <w:rStyle w:val="893"/>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eastAsia="zh-CN"/>
        </w:rPr>
        <w:t xml:space="preserve">4、项目概况：</w:t>
      </w:r>
      <w:r>
        <w:rPr>
          <w:rStyle w:val="893"/>
          <w:rFonts w:hint="eastAsia" w:ascii="宋体" w:hAnsi="宋体" w:eastAsia="宋体" w:cs="宋体"/>
          <w:b w:val="0"/>
          <w:bCs w:val="0"/>
          <w:color w:val="auto"/>
          <w:sz w:val="24"/>
          <w:szCs w:val="24"/>
          <w:highlight w:val="none"/>
          <w:lang w:val="en-US"/>
        </w:rPr>
        <w:t xml:space="preserve">1</w:t>
      </w:r>
      <w:r>
        <w:rPr>
          <w:rStyle w:val="893"/>
          <w:rFonts w:hint="eastAsia" w:ascii="宋体" w:hAnsi="宋体" w:cs="宋体"/>
          <w:b w:val="0"/>
          <w:bCs w:val="0"/>
          <w:color w:val="auto"/>
          <w:sz w:val="24"/>
          <w:szCs w:val="24"/>
          <w:highlight w:val="none"/>
          <w:lang w:val="en-US"/>
        </w:rPr>
        <w:t xml:space="preserve">套彩色多普勒超声系统</w:t>
      </w:r>
      <w:r>
        <w:rPr>
          <w:rStyle w:val="893"/>
          <w:rFonts w:hint="eastAsia" w:ascii="宋体" w:hAnsi="宋体" w:eastAsia="宋体" w:cs="宋体"/>
          <w:b w:val="0"/>
          <w:bCs w:val="0"/>
          <w:color w:val="auto"/>
          <w:sz w:val="24"/>
          <w:szCs w:val="24"/>
          <w:highlight w:val="none"/>
          <w:lang w:val="en-US"/>
        </w:rPr>
        <w:t xml:space="preserve">采购、安装调试及配套服务。</w:t>
      </w:r>
      <w:r/>
    </w:p>
    <w:p>
      <w:pPr>
        <w:numPr>
          <w:ilvl w:val="0"/>
          <w:numId w:val="0"/>
        </w:numPr>
        <w:keepLines w:val="0"/>
        <w:keepNext w:val="0"/>
        <w:pageBreakBefore w:val="0"/>
        <w:spacing w:line="360" w:lineRule="auto"/>
        <w:widowControl/>
        <w:rPr>
          <w:rStyle w:val="893"/>
          <w:rFonts w:hint="eastAsia" w:ascii="宋体" w:hAnsi="宋体" w:eastAsia="宋体" w:cs="宋体"/>
          <w:b/>
          <w:bCs w:val="0"/>
          <w:color w:val="auto"/>
          <w:sz w:val="24"/>
          <w:szCs w:val="24"/>
          <w:highlight w:val="none"/>
        </w:rPr>
        <w:outlineLvl w:val="9"/>
      </w:pPr>
      <w:r>
        <w:rPr>
          <w:rStyle w:val="893"/>
          <w:rFonts w:hint="eastAsia" w:ascii="宋体" w:hAnsi="宋体" w:cs="宋体"/>
          <w:b/>
          <w:bCs w:val="0"/>
          <w:color w:val="auto"/>
          <w:sz w:val="24"/>
          <w:szCs w:val="24"/>
          <w:highlight w:val="none"/>
        </w:rPr>
        <w:t xml:space="preserve">四、技术规格参数要求</w:t>
      </w:r>
      <w:r>
        <w:rPr>
          <w:rStyle w:val="893"/>
          <w:rFonts w:hint="eastAsia" w:ascii="宋体" w:hAnsi="宋体" w:cs="宋体"/>
          <w:b w:val="0"/>
          <w:bCs/>
          <w:color w:val="auto"/>
          <w:sz w:val="24"/>
          <w:szCs w:val="24"/>
          <w:highlight w:val="none"/>
        </w:rPr>
        <w:t xml:space="preserve">（技术参数要求提出的是最低限度的技术条件，提供的工艺、材料、设备、参考的商标或样本目录号码等仅作为说明并没有限制性，其目的是方便投标人直观和准确地把握相应材料和设备的技术标准,不具有指定或唯一的意思表示，投标人应提供优于或相当于所列要求的标准，以满足招标人的需要）</w:t>
      </w:r>
      <w:r/>
    </w:p>
    <w:p>
      <w:pPr>
        <w:numPr>
          <w:ilvl w:val="0"/>
          <w:numId w:val="0"/>
        </w:numPr>
        <w:ind w:firstLine="723"/>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加“★”标志为实质性响应指标不允许负偏离，否则按无效投标处理；</w:t>
      </w:r>
      <w:r>
        <w:rPr>
          <w:rFonts w:hint="eastAsia" w:ascii="宋体" w:hAnsi="宋体" w:eastAsia="宋体" w:cs="宋体"/>
          <w:b/>
          <w:bCs/>
          <w:color w:val="auto"/>
          <w:sz w:val="24"/>
          <w:szCs w:val="24"/>
          <w:highlight w:val="none"/>
          <w:lang w:val="en-US" w:eastAsia="zh-CN"/>
        </w:rPr>
        <w:t xml:space="preserve">加“▲”的指标为次重要响应指标，其他为一般响应指标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投标人须在投标文件中至少提供加“▲”技术指标响应的证明材料（如白皮书、厂家对外公开发布的产品彩页、产品说明书、认证证书、检测/检验报告等扫描件加盖电子签章），未按招标文件要求提供证明材料的视为不满足。如技术参数中有具体要求，以具体要求为准；如经查证，投标人虚假响应的，将取消其中标资格并上报主管部门。</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★用途：主要用于腹部、心脏、泌尿、血管（外周、颅脑、腹部）、腔内超声、小器官等方面的临床诊断和教学工作，具备持续升级能力，能满足开展新的临床应用需求。免费开放该机型所能支持所有功能软件。</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1.主机成像系统：</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1.1高分辨率彩色液晶显示器≥21英寸。</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1.2操作面板具备角度可调液晶触摸屏≥12英寸。</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1.3彩色多普勒成像技术、微细血流成像技术、立体血流成像技术、具有方向性能量图技术。</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1.4▲具备血流参数定量分析技术：可对感兴趣区彩色血流像素及3D血流体素等多参数进行定量分析，测量结果需包含：VI/FI/VFI，支持在机及离线分析。</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1.5▲自动记录颈总动脉和颈内动脉的血流速度、峰值速度比。</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1.6空间复合成像技术，支持多档位调节和多参数联合应用，与彩色和其他高级成像模式兼容。</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1.7斑点噪声抑制技术</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1.8图像自定义排序技术：可对已经存储的图像，根据客户需求手动进行图像排序，实现对图像分类管理。</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2.高级成像技术</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2.1支持腹部、浅表、腔内探头造影成像，并提供该机型所有相关定量分析，支持TIC曲线的计算和显示，自动计算到达时间（AT）、峰值时间（TTP）、峰值强度（PI）等组织灌注参数。</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2.2实时微血管造影增强成像技术。</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2.3造影和组织混合成像模式，将造影图像和组织图像混合显示。</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2.4▲具备造影定量分析组织运动追踪技术。</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2.5▲支持融合导航、非融合导航功能下多影像实时对比。</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3.弹性成像技术</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3.1支持腹部、浅表、腔内探头。</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3.2支持应变式弹性成像、支持剪切波弹性成像。</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3.3▲具有肝纤维化分级指示器，自动将获得的剪切波数值和肝纤维化分级关联显示。</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3.4具备组织硬度定量分析软件。</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3.5具有质控图、质控指数等质控形式。</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3.6▲具备囊实性结构鉴别技术。</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4.心血管检查技术</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4.1▲具备二尖瓣环和三尖瓣瓣环运动定量分析，快速评估心脏整体功能。</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4.2心肌应变定量</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4.3自动心功能测量</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4.4自动心肌运动定量分析                 </w:t>
      </w:r>
      <w:r>
        <w:rPr>
          <w:rFonts w:hint="eastAsia" w:ascii="宋体" w:hAnsi="宋体" w:cs="宋体"/>
          <w:b w:val="0"/>
          <w:bCs w:val="0"/>
          <w:color w:val="auto"/>
          <w:sz w:val="24"/>
          <w:szCs w:val="24"/>
          <w:highlight w:val="none"/>
          <w:lang w:val="en-US" w:eastAsia="zh-CN"/>
        </w:rPr>
        <w:t xml:space="preserve">                                                                                                                                                                                                                                                                </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5.电影回放≥300秒，支持固态硬盘存储≥1TB；</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6.▲主机内置探头接口数量≥4个，单晶体腹部凸阵探头1把，单晶体线阵探头1把，单晶体心脏相控阵探头1把，单晶体腔内探头1把。</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7.内置一体化超声工作站</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8.主机开放DICOM接口，并负责做好与医院现有PACS系统的接口，实现与现有的PACS系统连接，保证图像能存储到PACS系统（不低于电子病历五级评审要求）。</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9.配备检查床一张（自动换纸功能），检查桌椅一套，UPS电源一台，台式电脑一套。</w:t>
      </w:r>
      <w:r/>
    </w:p>
    <w:p>
      <w:pPr>
        <w:ind w:left="0"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五、项目质量保障及实施要求</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（一）项目实施要求</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投标人明确所投产品的品牌、型号、规格及一些必须说明的技术参数，以及设备配置清单，并提供详细的技术参数及性能说明书。</w:t>
      </w:r>
      <w:r>
        <w:rPr>
          <w:rFonts w:hint="eastAsia" w:ascii="宋体" w:hAnsi="宋体" w:cs="宋体"/>
          <w:b w:val="0"/>
          <w:bCs w:val="0"/>
          <w:color w:val="auto"/>
          <w:sz w:val="24"/>
          <w:szCs w:val="24"/>
          <w:highlight w:val="none"/>
          <w:lang w:val="en-US" w:eastAsia="zh-CN"/>
        </w:rPr>
        <w:t xml:space="preserve">为保证本项目的顺利实施，供应商应结合各自产品特点，自行编制实施方案。</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2、交货及安装期限要求：</w:t>
      </w:r>
      <w:r>
        <w:rPr>
          <w:rFonts w:hint="eastAsia" w:ascii="宋体" w:hAnsi="宋体" w:cs="宋体"/>
          <w:b/>
          <w:bCs/>
          <w:color w:val="auto"/>
          <w:sz w:val="24"/>
          <w:szCs w:val="24"/>
          <w:highlight w:val="none"/>
          <w:lang w:val="en-US" w:eastAsia="zh-CN"/>
        </w:rPr>
        <w:t xml:space="preserve">中标人须在合同签订之日起30日内完成供货并安装调试完毕（地址为徐州医科大学附属第三医院，具体情况可现场踏勘）。</w:t>
      </w:r>
      <w:r>
        <w:rPr>
          <w:rFonts w:hint="eastAsia" w:ascii="宋体" w:hAnsi="宋体" w:cs="宋体"/>
          <w:b w:val="0"/>
          <w:bCs w:val="0"/>
          <w:color w:val="auto"/>
          <w:sz w:val="24"/>
          <w:szCs w:val="24"/>
          <w:highlight w:val="none"/>
          <w:lang w:val="en-US" w:eastAsia="zh-CN"/>
        </w:rPr>
        <w:t xml:space="preserve">设备送到项目实施现场后，中标人与采购人一</w:t>
      </w:r>
      <w:r>
        <w:rPr>
          <w:rFonts w:hint="eastAsia" w:ascii="宋体" w:hAnsi="宋体" w:cs="宋体"/>
          <w:b w:val="0"/>
          <w:bCs w:val="0"/>
          <w:color w:val="auto"/>
          <w:sz w:val="24"/>
          <w:szCs w:val="24"/>
          <w:highlight w:val="non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说明：</w:t>
      </w:r>
      <w:r>
        <w:rPr>
          <w:rFonts w:hint="eastAsia" w:ascii="宋体" w:hAnsi="宋体" w:cs="宋体"/>
          <w:b/>
          <w:bCs/>
          <w:color w:val="auto"/>
          <w:sz w:val="24"/>
          <w:szCs w:val="24"/>
          <w:highlight w:val="none"/>
          <w:lang w:val="en-US" w:eastAsia="zh-CN"/>
        </w:rPr>
        <w:t xml:space="preserve">“2、交货及安装期限要求”为不允许负偏离的实质性要求和条件，如有负偏离，在符合性审查时按照投标无效处理。</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3、厂家专职工程师到医院现场，负责仪器安装、调试，并负责本科室1至2名医师操作使用、维护培训，培训时间不少于一周。</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（二）质量保障要求</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2、投标人须提供所投产品的实样照片、提供所投产品配置清单、产品手册或技术说明书，针对所投产品的技术指标、性能稳定性进行具体说明。</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（三）配送、安装要求</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1、投标人成立配送安装小组，指定具体负责人。产品出厂前，必须明确安装/维修要求，备齐所需工具。提供人员安排和配置。</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left="0"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六、项目验收、售后服务以及培训要求</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（一）验收标准：</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2、验收期限：</w:t>
      </w:r>
      <w:r>
        <w:rPr>
          <w:rFonts w:hint="eastAsia" w:ascii="宋体" w:hAnsi="宋体"/>
          <w:color w:val="auto"/>
          <w:sz w:val="24"/>
          <w:highlight w:val="none"/>
        </w:rPr>
        <w:t xml:space="preserve">设备正常运行</w:t>
      </w:r>
      <w:r>
        <w:rPr>
          <w:rFonts w:hint="eastAsia" w:ascii="宋体" w:hAnsi="宋体"/>
          <w:color w:val="auto"/>
          <w:sz w:val="24"/>
          <w:highlight w:val="none"/>
          <w:u w:val="single"/>
          <w:lang w:val="en-US" w:eastAsia="zh-CN"/>
        </w:rPr>
        <w:t xml:space="preserve">10个工作日</w:t>
      </w:r>
      <w:r>
        <w:rPr>
          <w:rFonts w:hint="eastAsia" w:ascii="宋体" w:hAnsi="宋体"/>
          <w:color w:val="auto"/>
          <w:sz w:val="24"/>
          <w:highlight w:val="none"/>
          <w:u w:val="single"/>
        </w:rPr>
        <w:t xml:space="preserve">后</w:t>
      </w:r>
      <w:r>
        <w:rPr>
          <w:rFonts w:hint="eastAsia" w:ascii="宋体" w:hAnsi="宋体"/>
          <w:color w:val="auto"/>
          <w:sz w:val="24"/>
          <w:highlight w:val="none"/>
        </w:rPr>
        <w:t xml:space="preserve">由</w:t>
      </w:r>
      <w:r>
        <w:rPr>
          <w:rFonts w:hint="eastAsia" w:ascii="宋体" w:hAnsi="宋体"/>
          <w:color w:val="auto"/>
          <w:sz w:val="24"/>
          <w:highlight w:val="none"/>
          <w:lang w:eastAsia="zh-CN"/>
        </w:rPr>
        <w:t xml:space="preserve">采购方</w:t>
      </w:r>
      <w:r>
        <w:rPr>
          <w:rFonts w:hint="eastAsia" w:ascii="宋体" w:hAnsi="宋体"/>
          <w:color w:val="auto"/>
          <w:sz w:val="24"/>
          <w:highlight w:val="none"/>
        </w:rPr>
        <w:t xml:space="preserve">的归口管理部门组织相关科室、部门会同</w:t>
      </w:r>
      <w:r>
        <w:rPr>
          <w:rFonts w:hint="eastAsia" w:ascii="宋体" w:hAnsi="宋体"/>
          <w:color w:val="auto"/>
          <w:sz w:val="24"/>
          <w:highlight w:val="none"/>
          <w:lang w:eastAsia="zh-CN"/>
        </w:rPr>
        <w:t xml:space="preserve">中标人</w:t>
      </w:r>
      <w:r>
        <w:rPr>
          <w:rFonts w:hint="eastAsia" w:ascii="宋体" w:hAnsi="宋体"/>
          <w:color w:val="auto"/>
          <w:sz w:val="24"/>
          <w:highlight w:val="none"/>
        </w:rPr>
        <w:t xml:space="preserve">共同验收</w:t>
      </w:r>
      <w:r>
        <w:rPr>
          <w:rFonts w:hint="eastAsia" w:ascii="宋体" w:hAnsi="宋体" w:cs="宋体"/>
          <w:b w:val="0"/>
          <w:bCs w:val="0"/>
          <w:color w:val="auto"/>
          <w:sz w:val="24"/>
          <w:szCs w:val="24"/>
          <w:highlight w:val="none"/>
          <w:lang w:val="en-US" w:eastAsia="zh-CN"/>
        </w:rPr>
        <w:t xml:space="preserve">。采购人按国际和国家标准及生产厂家标准进行质量验收。中标人应向采购人提供详细的验收标准、验收手册。</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3、设备安装完成后，采购人安排专人按照货物技术指标要求和中标人的投标文件中相关指标，以及验货</w:t>
      </w:r>
      <w:r>
        <w:rPr>
          <w:rFonts w:hint="eastAsia" w:ascii="宋体" w:hAnsi="宋体" w:cs="宋体"/>
          <w:b w:val="0"/>
          <w:bCs w:val="0"/>
          <w:color w:val="auto"/>
          <w:sz w:val="24"/>
          <w:szCs w:val="24"/>
          <w:highlight w:val="none"/>
          <w:lang w:val="en-US" w:eastAsia="zh-CN"/>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（二）售后服务要求</w:t>
      </w:r>
      <w:r/>
    </w:p>
    <w:p>
      <w:pPr>
        <w:ind w:left="0" w:firstLine="24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一）质保期内的服务要求</w:t>
      </w:r>
      <w:r/>
    </w:p>
    <w:p>
      <w:pPr>
        <w:ind w:left="0"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1、质保期：提供主机、工作站及所有探头不少于5年免费原厂质保和软件终身免费升级服务，设备到货后所承诺质保期原厂系统可查。（自最终验收合格之日起，开始进入质保期）。</w:t>
      </w:r>
      <w:r/>
    </w:p>
    <w:p>
      <w:pPr>
        <w:keepLines w:val="0"/>
        <w:keepNext w:val="0"/>
        <w:pageBreakBefore w:val="0"/>
        <w:spacing w:line="360" w:lineRule="auto"/>
        <w:widowControl/>
        <w:rPr>
          <w:rFonts w:hint="eastAsia" w:ascii="宋体" w:hAnsi="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说明：本“1、质保期要求”为不允许偏离的实质性要求和条件，如有偏离，在符合性审查时按照响应无效处理。</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2、质保期内设备免费维护、维修，解决各种技术瑕疵。</w:t>
      </w:r>
      <w:r/>
    </w:p>
    <w:p>
      <w:pPr>
        <w:ind w:left="0" w:firstLine="0"/>
        <w:keepLines w:val="0"/>
        <w:keepNext w:val="0"/>
        <w:pageBreakBefore w:val="0"/>
        <w:spacing w:line="360" w:lineRule="auto"/>
        <w:widowControl/>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质保期内提供7×24小时响应服务，24小时内到达现场维修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保修期外维修仅收取成本费、不额外收取人工费；设备故障维修期间保证提供备用机。</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4、质保期过后的升级维护维修只收取部分工本维护费用。长期提供设备保养、系统升级、网络接入、链接调试、科研指导、教学培训等服务。</w:t>
      </w:r>
      <w:r/>
    </w:p>
    <w:p>
      <w:pPr>
        <w:ind w:left="0" w:firstLine="24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二）质保期满后的服务要求</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1、投标文件中提供后续维保报价、设备常用配件报价。提供的质保期满后的服务方案须满足临床使用需求。后续维保报价、设备常用配件报价须科学合理。</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2、投标文件中提供质保期满后的响应时间、人员安排。</w:t>
      </w:r>
      <w:r/>
    </w:p>
    <w:p>
      <w:pPr>
        <w:ind w:left="0" w:firstLine="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3、配件供应：保证10年以上配件供应。</w:t>
      </w:r>
      <w:r/>
    </w:p>
    <w:p>
      <w:pPr>
        <w:ind w:left="0" w:firstLine="24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三）培训要求</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1、免费提供应用培训服务，确保操作人员熟练使用，</w:t>
      </w:r>
      <w:r>
        <w:rPr>
          <w:rFonts w:hint="eastAsia" w:ascii="宋体" w:hAnsi="宋体" w:eastAsia="宋体" w:cs="宋体"/>
          <w:b w:val="0"/>
          <w:bCs w:val="0"/>
          <w:color w:val="auto"/>
          <w:sz w:val="24"/>
          <w:szCs w:val="24"/>
          <w:highlight w:val="none"/>
          <w:lang w:val="en-US" w:eastAsia="zh-CN"/>
        </w:rPr>
        <w:t xml:space="preserve">培训内容主要包括产品的工作原理、系统组成、系统操作，并结合需要对系统管理人员进行系统传输特性、验收、测试方法、验收技术标准和其它相关技术要求的培训。</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Theme="minorEastAsia" w:hAnsiTheme="minorEastAsia" w:eastAsiaTheme="minorEastAsia" w:cstheme="minorEastAsia"/>
          <w:b w:val="0"/>
          <w:bCs/>
          <w:color w:val="auto"/>
          <w:sz w:val="24"/>
          <w:szCs w:val="24"/>
          <w:highlight w:val="none"/>
          <w:lang w:val="en-US" w:eastAsia="zh-CN"/>
        </w:rPr>
        <w:t xml:space="preserve">免费提供科研支持服务，包括但不限于开展临床观察、数据采集、数据统计、科研设计、项目申报等，服务期限与质保年限一致。</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七、其他要求</w:t>
      </w:r>
      <w:r/>
    </w:p>
    <w:p>
      <w:pPr>
        <w:ind w:left="0" w:firstLine="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ind w:left="0" w:firstLine="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2、其他要求见招标文件第五章《拟签订的合同文本》。</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57"/>
        <w:rPr>
          <w:rFonts w:hint="eastAsia"/>
          <w:color w:val="auto"/>
          <w:highlight w:val="none"/>
        </w:rPr>
      </w:pPr>
      <w:r>
        <w:rPr>
          <w:rFonts w:hint="eastAsia"/>
          <w:color w:val="auto"/>
          <w:highlight w:val="none"/>
        </w:rPr>
      </w:r>
      <w:r/>
    </w:p>
    <w:p>
      <w:pPr>
        <w:pStyle w:val="757"/>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徐州医科大学附属第三医院</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pStyle w:val="806"/>
        <w:ind w:right="29" w:firstLine="879"/>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6"/>
        <w:ind w:right="29" w:firstLine="879"/>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06"/>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6"/>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highlight w:val="none"/>
          <w:u w:val="single"/>
        </w:rPr>
      </w:pPr>
      <w:r>
        <w:rPr>
          <w:rFonts w:hint="eastAsia" w:ascii="宋体" w:hAnsi="宋体" w:eastAsia="宋体" w:cs="宋体"/>
          <w:i/>
          <w:iCs/>
          <w:color w:val="auto"/>
          <w:sz w:val="30"/>
          <w:szCs w:val="30"/>
          <w:highlight w:val="none"/>
          <w:u w:val="single"/>
        </w:rPr>
        <w:t xml:space="preserve">具体以苏采云系统内格式为准</w:t>
      </w:r>
      <w:r>
        <w:rPr>
          <w:rFonts w:hint="eastAsia" w:ascii="宋体" w:hAnsi="宋体" w:eastAsia="宋体" w:cs="宋体"/>
          <w:i/>
          <w:iCs/>
          <w:color w:val="auto"/>
          <w:sz w:val="30"/>
          <w:szCs w:val="30"/>
          <w:highlight w:val="none"/>
          <w:u w:val="single"/>
          <w:lang w:eastAsia="zh-CN"/>
        </w:rPr>
        <w:t xml:space="preserve">，</w:t>
      </w:r>
      <w:r>
        <w:rPr>
          <w:rFonts w:hint="eastAsia" w:ascii="宋体" w:hAnsi="宋体" w:eastAsia="宋体" w:cs="宋体"/>
          <w:i/>
          <w:iCs/>
          <w:color w:val="auto"/>
          <w:sz w:val="30"/>
          <w:szCs w:val="30"/>
          <w:highlight w:val="none"/>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2"/>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 </w:t>
      </w:r>
      <w:r>
        <w:rPr>
          <w:rFonts w:ascii="黑体" w:hAnsi="宋体" w:eastAsia="黑体" w:cs="黑体"/>
          <w:b/>
          <w:bCs/>
          <w:color w:val="000000"/>
          <w:sz w:val="32"/>
          <w:szCs w:val="32"/>
        </w:rPr>
        <w:t xml:space="preserve">投标分项报价表</w:t>
      </w:r>
      <w:r/>
    </w:p>
    <w:tbl>
      <w:tblPr>
        <w:tblStyle w:val="767"/>
        <w:tblW w:w="9431" w:type="dxa"/>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1"/>
        <w:gridCol w:w="1883"/>
        <w:gridCol w:w="1297"/>
        <w:gridCol w:w="1297"/>
        <w:gridCol w:w="1297"/>
        <w:gridCol w:w="610"/>
        <w:gridCol w:w="687"/>
        <w:gridCol w:w="1299"/>
      </w:tblGrid>
      <w:tr>
        <w:trPr>
          <w:tblCellSpacing w:w="0" w:type="dxa"/>
          <w:trHeight w:val="544"/>
        </w:trPr>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vMerge w:val="restart"/>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883"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single" w:color="000000" w:sz="8"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gridSpan w:val="2"/>
            <w:shd w:val="clear" w:color="auto" w:fill="auto"/>
            <w:tcBorders>
              <w:top w:val="single" w:color="000000" w:sz="8"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129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8" w:space="0"/>
              <w:left w:val="single" w:color="000000" w:sz="8" w:space="0"/>
              <w:bottom w:val="single" w:color="000000" w:sz="8" w:space="0"/>
              <w:right w:val="single" w:color="000000" w:sz="8" w:space="0"/>
            </w:tcBorders>
            <w:tcW w:w="1061" w:type="dxa"/>
            <w:vAlign w:val="center"/>
            <w:vMerge w:val="continue"/>
            <w:textDirection w:val="lrTb"/>
            <w:noWrap w:val="false"/>
          </w:tcPr>
          <w:p>
            <w:pPr>
              <w:jc w:val="cente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883"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分项服务名称</w:t>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交付期</w:t>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分项单位</w:t>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数量</w:t>
            </w:r>
            <w:r/>
          </w:p>
        </w:tc>
        <w:tc>
          <w:tcPr>
            <w:gridSpan w:val="2"/>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分项单价</w:t>
            </w:r>
            <w:r/>
          </w:p>
        </w:tc>
        <w:tc>
          <w:tcPr>
            <w:shd w:val="clear" w:color="auto" w:fill="auto"/>
            <w:tcBorders>
              <w:top w:val="none" w:color="000000" w:sz="4" w:space="0"/>
              <w:left w:val="none" w:color="000000" w:sz="4" w:space="0"/>
              <w:bottom w:val="single" w:color="000000" w:sz="8" w:space="0"/>
              <w:right w:val="single" w:color="000000" w:sz="8" w:space="0"/>
            </w:tcBorders>
            <w:tcW w:w="1299"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分项总价</w:t>
            </w:r>
            <w:r/>
          </w:p>
        </w:tc>
      </w:tr>
      <w:tr>
        <w:trPr>
          <w:tblCellSpacing w:w="0" w:type="dxa"/>
          <w:trHeight w:val="654"/>
        </w:trPr>
        <w:tc>
          <w:tcPr>
            <w:shd w:val="clear" w:color="auto" w:fill="auto"/>
            <w:tcBorders>
              <w:top w:val="none" w:color="000000" w:sz="4" w:space="0"/>
              <w:left w:val="single" w:color="000000" w:sz="8" w:space="0"/>
              <w:bottom w:val="single" w:color="000000" w:sz="8" w:space="0"/>
              <w:right w:val="single" w:color="000000" w:sz="8" w:space="0"/>
            </w:tcBorders>
            <w:tcW w:w="1061"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883"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gridSpan w:val="2"/>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54"/>
        </w:trPr>
        <w:tc>
          <w:tcPr>
            <w:shd w:val="clear" w:color="auto" w:fill="auto"/>
            <w:tcBorders>
              <w:top w:val="none" w:color="000000" w:sz="4" w:space="0"/>
              <w:left w:val="single" w:color="000000" w:sz="8" w:space="0"/>
              <w:bottom w:val="single" w:color="000000" w:sz="8" w:space="0"/>
              <w:right w:val="single" w:color="000000" w:sz="8" w:space="0"/>
            </w:tcBorders>
            <w:tcW w:w="1061"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883"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gridSpan w:val="2"/>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54"/>
        </w:trPr>
        <w:tc>
          <w:tcPr>
            <w:shd w:val="clear" w:color="auto" w:fill="auto"/>
            <w:tcBorders>
              <w:top w:val="none" w:color="000000" w:sz="4" w:space="0"/>
              <w:left w:val="single" w:color="000000" w:sz="8" w:space="0"/>
              <w:bottom w:val="single" w:color="000000" w:sz="8" w:space="0"/>
              <w:right w:val="single" w:color="000000" w:sz="8" w:space="0"/>
            </w:tcBorders>
            <w:tcW w:w="1061"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883"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gridSpan w:val="2"/>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54"/>
        </w:trPr>
        <w:tc>
          <w:tcPr>
            <w:shd w:val="clear" w:color="auto" w:fill="auto"/>
            <w:tcBorders>
              <w:top w:val="none" w:color="000000" w:sz="4" w:space="0"/>
              <w:left w:val="single" w:color="000000" w:sz="8" w:space="0"/>
              <w:bottom w:val="single" w:color="000000" w:sz="8" w:space="0"/>
              <w:right w:val="single" w:color="000000" w:sz="8" w:space="0"/>
            </w:tcBorders>
            <w:tcW w:w="1061" w:type="dxa"/>
            <w:vAlign w:val="center"/>
            <w:textDirection w:val="lrTb"/>
            <w:noWrap w:val="false"/>
          </w:tcPr>
          <w:p>
            <w:pPr>
              <w:pStyle w:val="792"/>
              <w:ind w:left="0" w:firstLine="0"/>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883"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gridSpan w:val="2"/>
            <w:shd w:val="clear" w:color="auto" w:fill="auto"/>
            <w:tcBorders>
              <w:top w:val="none" w:color="000000" w:sz="4" w:space="0"/>
              <w:left w:val="none" w:color="000000" w:sz="4" w:space="0"/>
              <w:bottom w:val="single" w:color="000000" w:sz="8" w:space="0"/>
              <w:right w:val="single" w:color="000000" w:sz="8" w:space="0"/>
            </w:tcBorders>
            <w:tcW w:w="1297"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9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487"/>
        </w:trPr>
        <w:tc>
          <w:tcPr>
            <w:gridSpan w:val="6"/>
            <w:shd w:val="clear" w:color="auto" w:fill="auto"/>
            <w:tcBorders>
              <w:top w:val="none" w:color="000000" w:sz="4" w:space="0"/>
              <w:left w:val="single" w:color="000000" w:sz="8" w:space="0"/>
              <w:bottom w:val="single" w:color="000000" w:sz="8" w:space="0"/>
              <w:right w:val="single" w:color="000000" w:sz="8" w:space="0"/>
            </w:tcBorders>
            <w:tcW w:w="744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投标总报价（人民币：元）</w:t>
            </w:r>
            <w:r/>
          </w:p>
        </w:tc>
        <w:tc>
          <w:tcPr>
            <w:gridSpan w:val="2"/>
            <w:shd w:val="clear" w:color="auto" w:fill="auto"/>
            <w:tcBorders>
              <w:top w:val="none" w:color="000000" w:sz="4" w:space="0"/>
              <w:left w:val="none" w:color="000000" w:sz="4" w:space="0"/>
              <w:bottom w:val="single" w:color="000000" w:sz="8" w:space="0"/>
              <w:right w:val="single" w:color="000000" w:sz="8" w:space="0"/>
            </w:tcBorders>
            <w:tcW w:w="1986" w:type="dxa"/>
            <w:vAlign w:val="center"/>
            <w:textDirection w:val="lrTb"/>
            <w:noWrap w:val="false"/>
          </w:tcPr>
          <w:p>
            <w:pPr>
              <w:pStyle w:val="792"/>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792"/>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2793"/>
        <w:spacing w:line="300" w:lineRule="auto"/>
      </w:pPr>
      <w:r/>
      <w:r/>
    </w:p>
    <w:p>
      <w:pPr>
        <w:ind w:firstLine="2793"/>
        <w:spacing w:line="300" w:lineRule="auto"/>
      </w:pPr>
      <w:r/>
      <w:r/>
    </w:p>
    <w:p>
      <w:pPr>
        <w:ind w:firstLine="2793"/>
        <w:spacing w:line="300" w:lineRule="auto"/>
        <w:rPr>
          <w:rFonts w:hint="eastAsia" w:ascii="宋体" w:hAnsi="宋体" w:eastAsia="宋体" w:cs="宋体"/>
          <w:color w:val="auto"/>
          <w:sz w:val="24"/>
          <w:szCs w:val="24"/>
          <w:highlight w:val="none"/>
        </w:rPr>
      </w:pPr>
      <w: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pStyle w:val="792"/>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ind w:left="0" w:firstLine="0"/>
        <w:jc w:val="left"/>
        <w:widowControl/>
        <w:rPr>
          <w:rFonts w:hint="eastAsia" w:ascii="宋体" w:hAnsi="宋体" w:eastAsia="宋体" w:cs="宋体"/>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采购人或采购代理机构有权将以上内容进行公示</w:t>
      </w:r>
      <w:r>
        <w:rPr>
          <w:rFonts w:hint="eastAsia" w:ascii="宋体" w:hAnsi="宋体" w:eastAsia="宋体" w:cs="宋体"/>
          <w:b/>
          <w:bCs/>
          <w:color w:val="auto"/>
          <w:sz w:val="24"/>
          <w:szCs w:val="24"/>
          <w:highlight w:val="none"/>
        </w:rPr>
        <w:t xml:space="preserve">。</w:t>
      </w:r>
      <w:r/>
    </w:p>
    <w:p>
      <w:pPr>
        <w:rPr>
          <w:rFonts w:hint="eastAsia"/>
          <w:b/>
          <w:bCs/>
          <w:color w:val="auto"/>
          <w:sz w:val="32"/>
          <w:szCs w:val="40"/>
          <w:highlight w:val="none"/>
          <w:lang w:val="en-US" w:eastAsia="zh-CN"/>
        </w:rPr>
      </w:pPr>
      <w:r>
        <w:rPr>
          <w:rFonts w:hint="eastAsia"/>
          <w:b/>
          <w:bCs/>
          <w:color w:val="auto"/>
          <w:sz w:val="32"/>
          <w:szCs w:val="40"/>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pStyle w:val="792"/>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商务要求响应及偏离表</w:t>
      </w:r>
      <w:r/>
    </w:p>
    <w:tbl>
      <w:tblPr>
        <w:tblStyle w:val="767"/>
        <w:tblW w:w="8962" w:type="dxa"/>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42"/>
        <w:gridCol w:w="2309"/>
        <w:gridCol w:w="2474"/>
        <w:gridCol w:w="1222"/>
        <w:gridCol w:w="1715"/>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1242"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309"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招标文件要求</w:t>
            </w:r>
            <w:r/>
          </w:p>
        </w:tc>
        <w:tc>
          <w:tcPr>
            <w:shd w:val="clear" w:color="auto" w:fill="auto"/>
            <w:tcBorders>
              <w:top w:val="single" w:color="000000" w:sz="8" w:space="0"/>
              <w:left w:val="none" w:color="000000" w:sz="4" w:space="0"/>
              <w:bottom w:val="single" w:color="000000" w:sz="8" w:space="0"/>
              <w:right w:val="single" w:color="000000" w:sz="8" w:space="0"/>
            </w:tcBorders>
            <w:tcW w:w="2474"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222"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fill="auto"/>
            <w:tcBorders>
              <w:top w:val="single" w:color="000000" w:sz="8" w:space="0"/>
              <w:left w:val="none" w:color="000000" w:sz="4" w:space="0"/>
              <w:bottom w:val="single" w:color="000000" w:sz="8" w:space="0"/>
              <w:right w:val="single" w:color="000000" w:sz="8" w:space="0"/>
            </w:tcBorders>
            <w:tcW w:w="1715"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12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12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12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12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12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12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12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12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309"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7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71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792"/>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 行数不够，可自行添加。</w:t>
      </w:r>
      <w:r/>
    </w:p>
    <w:p>
      <w:pPr>
        <w:pStyle w:val="792"/>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br w:type="page" w:clear="all"/>
      </w:r>
      <w:r/>
    </w:p>
    <w:p>
      <w:pPr>
        <w:pStyle w:val="792"/>
        <w:ind w:left="0" w:right="0"/>
        <w:jc w:val="center"/>
        <w:keepLines w:val="0"/>
        <w:keepNext w:val="0"/>
        <w:spacing w:before="0" w:beforeAutospacing="0" w:after="0" w:afterAutospacing="0"/>
        <w:widowControl/>
        <w:rPr>
          <w:rFonts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r>
      <w:r/>
    </w:p>
    <w:p>
      <w:pPr>
        <w:pStyle w:val="792"/>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sz w:val="32"/>
          <w:szCs w:val="32"/>
        </w:rPr>
        <w:t xml:space="preserve">技术要求响应及偏离表</w:t>
      </w:r>
      <w:r/>
    </w:p>
    <w:tbl>
      <w:tblPr>
        <w:tblStyle w:val="767"/>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42"/>
        <w:gridCol w:w="2738"/>
        <w:gridCol w:w="2344"/>
        <w:gridCol w:w="1222"/>
        <w:gridCol w:w="1222"/>
      </w:tblGrid>
      <w:tr>
        <w:trPr>
          <w:tblCellSpacing w:w="0" w:type="dxa"/>
        </w:trPr>
        <w:tc>
          <w:tcPr>
            <w:shd w:val="clear" w:color="auto" w:fill="auto"/>
            <w:tcBorders>
              <w:top w:val="single" w:color="000000" w:sz="8" w:space="0"/>
              <w:left w:val="single" w:color="000000" w:sz="8" w:space="0"/>
              <w:bottom w:val="single" w:color="000000" w:sz="8" w:space="0"/>
              <w:right w:val="single" w:color="000000" w:sz="8" w:space="0"/>
            </w:tcBorders>
            <w:tcW w:w="496"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842"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招标文件要求</w:t>
            </w:r>
            <w:r/>
          </w:p>
        </w:tc>
        <w:tc>
          <w:tcPr>
            <w:shd w:val="clear" w:color="auto" w:fill="auto"/>
            <w:tcBorders>
              <w:top w:val="single" w:color="000000" w:sz="8" w:space="0"/>
              <w:left w:val="none" w:color="000000" w:sz="4" w:space="0"/>
              <w:bottom w:val="single" w:color="000000" w:sz="8" w:space="0"/>
              <w:right w:val="single" w:color="000000" w:sz="8" w:space="0"/>
            </w:tcBorders>
            <w:tcW w:w="2435"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投标响应情况</w:t>
            </w:r>
            <w:r/>
          </w:p>
        </w:tc>
        <w:tc>
          <w:tcPr>
            <w:shd w:val="clear" w:color="auto" w:fill="auto"/>
            <w:tcBorders>
              <w:top w:val="single" w:color="000000" w:sz="8" w:space="0"/>
              <w:left w:val="none" w:color="000000" w:sz="4" w:space="0"/>
              <w:bottom w:val="single" w:color="000000" w:sz="8" w:space="0"/>
              <w:right w:val="single" w:color="000000" w:sz="8" w:space="0"/>
            </w:tcBorders>
            <w:tcW w:w="1176"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超出、符合或偏离</w:t>
            </w:r>
            <w:r/>
          </w:p>
        </w:tc>
        <w:tc>
          <w:tcPr>
            <w:shd w:val="clear" w:color="auto" w:fill="auto"/>
            <w:tcBorders>
              <w:top w:val="single" w:color="000000" w:sz="8" w:space="0"/>
              <w:left w:val="none" w:color="000000" w:sz="4" w:space="0"/>
              <w:bottom w:val="single" w:color="000000" w:sz="8" w:space="0"/>
              <w:right w:val="single" w:color="000000" w:sz="8" w:space="0"/>
            </w:tcBorders>
            <w:tcW w:w="1024" w:type="dxa"/>
            <w:vAlign w:val="center"/>
            <w:textDirection w:val="lrTb"/>
            <w:noWrap w:val="false"/>
          </w:tcPr>
          <w:p>
            <w:pPr>
              <w:pStyle w:val="792"/>
              <w:ind w:left="0" w:firstLine="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证明材料</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r>
        <w:trPr>
          <w:tblCellSpacing w:w="0" w:type="dxa"/>
          <w:trHeight w:val="640"/>
        </w:trPr>
        <w:tc>
          <w:tcPr>
            <w:shd w:val="clear" w:color="auto" w:fill="auto"/>
            <w:tcBorders>
              <w:top w:val="none" w:color="000000" w:sz="4" w:space="0"/>
              <w:left w:val="single" w:color="000000" w:sz="8" w:space="0"/>
              <w:bottom w:val="single" w:color="000000" w:sz="8" w:space="0"/>
              <w:right w:val="single" w:color="000000" w:sz="8" w:space="0"/>
            </w:tcBorders>
            <w:tcW w:w="49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842"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2435"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76"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24" w:type="dxa"/>
            <w:vAlign w:val="center"/>
            <w:textDirection w:val="lrTb"/>
            <w:noWrap w:val="false"/>
          </w:tcPr>
          <w:p>
            <w:pPr>
              <w:pStyle w:val="79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 </w:t>
            </w:r>
            <w:r/>
          </w:p>
        </w:tc>
      </w:tr>
    </w:tbl>
    <w:p>
      <w:pPr>
        <w:pStyle w:val="792"/>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注： 行数不够，可自行添加。</w:t>
      </w:r>
      <w:r/>
    </w:p>
    <w:p>
      <w:pPr>
        <w:spacing w:line="85"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775"/>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783"/>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05"/>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0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0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0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0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05"/>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05"/>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05"/>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5"/>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05"/>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05"/>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5"/>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lang w:eastAsia="zh-CN"/>
        </w:rPr>
        <w:t xml:space="preserve">徐州医科大学附属第三医院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徐州医科大学附属第三医院彩色多普勒超声系统</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eastAsia="zh-CN"/>
        </w:rPr>
        <w:t xml:space="preserve">标的名称</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工业</w:t>
      </w:r>
      <w:r>
        <w:rPr>
          <w:rFonts w:hint="eastAsia" w:ascii="宋体" w:hAnsi="宋体" w:eastAsia="宋体" w:cs="宋体"/>
          <w:color w:val="auto"/>
          <w:sz w:val="28"/>
          <w:szCs w:val="28"/>
          <w:highlight w:val="none"/>
        </w:rPr>
        <w:t xml:space="preserve">）行业</w:t>
      </w:r>
      <w:r>
        <w:rPr>
          <w:rFonts w:hint="eastAsia" w:asciiTheme="minorEastAsia" w:hAnsiTheme="minorEastAsia" w:eastAsiaTheme="minorEastAsia" w:cstheme="minorEastAsia"/>
          <w:color w:val="auto"/>
          <w:sz w:val="28"/>
          <w:szCs w:val="28"/>
          <w:highlight w:val="none"/>
        </w:rPr>
        <w:t xml:space="preserve">；</w:t>
      </w:r>
      <w:r>
        <w:rPr>
          <w:rFonts w:hint="eastAsia" w:ascii="宋体" w:hAnsi="宋体" w:eastAsia="宋体" w:cs="宋体"/>
          <w:color w:val="auto"/>
          <w:sz w:val="28"/>
          <w:szCs w:val="28"/>
          <w:highlight w:val="none"/>
        </w:rPr>
        <w:t xml:space="preserve">制造商为（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）（企业名称），</w:t>
      </w:r>
      <w:r>
        <w:rPr>
          <w:rFonts w:hint="eastAsia" w:ascii="宋体" w:hAnsi="宋体" w:eastAsia="宋体" w:cs="宋体"/>
          <w:color w:val="auto"/>
          <w:sz w:val="28"/>
          <w:szCs w:val="28"/>
          <w:highlight w:val="none"/>
          <w:lang w:val="en-US" w:eastAsia="zh-CN"/>
        </w:rPr>
        <w:t xml:space="preserve">其</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中型企业、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小型企业、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微型企业，</w:t>
      </w:r>
      <w:r>
        <w:rPr>
          <w:rFonts w:hint="eastAsia" w:ascii="宋体" w:hAnsi="宋体" w:eastAsia="宋体" w:cs="宋体"/>
          <w:color w:val="auto"/>
          <w:sz w:val="28"/>
          <w:szCs w:val="28"/>
          <w:highlight w:val="none"/>
          <w:lang w:eastAsia="zh-CN"/>
        </w:rPr>
        <w:t xml:space="preserve">请填写或勾选！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none"/>
          <w:lang w:eastAsia="zh-CN"/>
        </w:rPr>
        <w:t xml:space="preserve">；</w:t>
      </w:r>
      <w:r/>
    </w:p>
    <w:p>
      <w:pPr>
        <w:pStyle w:val="814"/>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pStyle w:val="814"/>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pStyle w:val="814"/>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企业名称（电子签章）：</w:t>
      </w:r>
      <w:r/>
    </w:p>
    <w:p>
      <w:pPr>
        <w:pStyle w:val="814"/>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ind w:firstLine="48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注：本项目采购的货物属于</w:t>
      </w:r>
      <w:r>
        <w:rPr>
          <w:rFonts w:hint="eastAsia" w:ascii="宋体" w:hAnsi="宋体" w:eastAsia="宋体" w:cs="宋体"/>
          <w:b/>
          <w:bCs/>
          <w:color w:val="auto"/>
          <w:sz w:val="28"/>
          <w:szCs w:val="28"/>
          <w:highlight w:val="none"/>
          <w:u w:val="single"/>
          <w:lang w:eastAsia="zh-CN"/>
        </w:rPr>
        <w:t xml:space="preserve">工业</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                                </w:t>
      </w:r>
      <w:r/>
    </w:p>
    <w:p>
      <w:pPr>
        <w:pStyle w:val="815"/>
        <w:rPr>
          <w:rFonts w:hint="eastAsia"/>
          <w:color w:val="auto"/>
          <w:highlight w:val="none"/>
        </w:rPr>
      </w:pPr>
      <w:r>
        <w:rPr>
          <w:rFonts w:hint="eastAsia"/>
          <w:color w:val="auto"/>
          <w:highlight w:val="none"/>
        </w:rPr>
      </w:r>
      <w:r/>
    </w:p>
    <w:p>
      <w:pPr>
        <w:pStyle w:val="815"/>
        <w:rPr>
          <w:rFonts w:hint="eastAsia"/>
          <w:color w:val="auto"/>
          <w:highlight w:val="none"/>
        </w:rPr>
      </w:pPr>
      <w:r>
        <w:rPr>
          <w:rFonts w:hint="eastAsia"/>
          <w:color w:val="auto"/>
          <w:highlight w:val="none"/>
        </w:rPr>
      </w:r>
      <w:r/>
    </w:p>
    <w:p>
      <w:pPr>
        <w:pStyle w:val="815"/>
        <w:rPr>
          <w:rFonts w:hint="eastAsia"/>
          <w:color w:val="auto"/>
          <w:highlight w:val="none"/>
        </w:rPr>
      </w:pPr>
      <w:r>
        <w:rPr>
          <w:rFonts w:hint="eastAsia"/>
          <w:color w:val="auto"/>
          <w:highlight w:val="none"/>
        </w:rPr>
      </w:r>
      <w:r/>
    </w:p>
    <w:p>
      <w:pPr>
        <w:pStyle w:val="815"/>
        <w:rPr>
          <w:rFonts w:hint="eastAsia"/>
          <w:color w:val="auto"/>
          <w:highlight w:val="none"/>
        </w:rPr>
      </w:pPr>
      <w:r>
        <w:rPr>
          <w:rFonts w:hint="eastAsia"/>
          <w:color w:val="auto"/>
          <w:highlight w:val="none"/>
        </w:rPr>
      </w:r>
      <w:r/>
    </w:p>
    <w:p>
      <w:pPr>
        <w:pStyle w:val="815"/>
        <w:rPr>
          <w:rFonts w:hint="eastAsia"/>
          <w:color w:val="auto"/>
          <w:highlight w:val="none"/>
        </w:rPr>
      </w:pPr>
      <w:r>
        <w:rPr>
          <w:rFonts w:hint="eastAsia"/>
          <w:color w:val="auto"/>
          <w:highlight w:val="none"/>
        </w:rPr>
      </w:r>
      <w:r/>
    </w:p>
    <w:p>
      <w:pPr>
        <w:pStyle w:val="815"/>
        <w:rPr>
          <w:rFonts w:hint="eastAsia"/>
          <w:color w:val="auto"/>
          <w:highlight w:val="none"/>
        </w:rPr>
      </w:pPr>
      <w:r>
        <w:rPr>
          <w:rFonts w:hint="eastAsia"/>
          <w:color w:val="auto"/>
          <w:highlight w:val="none"/>
        </w:rPr>
      </w:r>
      <w:r/>
    </w:p>
    <w:p>
      <w:pPr>
        <w:pStyle w:val="814"/>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14"/>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8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261870" cy="3436620"/>
                <wp:effectExtent l="0" t="0" r="5080" b="11430"/>
                <wp:docPr id="4"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7"/>
                        <a:stretch/>
                      </pic:blipFill>
                      <pic:spPr bwMode="auto">
                        <a:xfrm>
                          <a:off x="0" y="0"/>
                          <a:ext cx="2261870" cy="3436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8.1pt;height:270.6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u w:val="single"/>
          <w:lang w:eastAsia="zh-CN"/>
        </w:rPr>
        <w:t xml:space="preserve">徐州医科大学附属第三医院彩色多普勒超声系统</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JSZC-320000-JSZG-G2026-0057</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pStyle w:val="909"/>
        <w:numPr>
          <w:ilvl w:val="0"/>
          <w:numId w:val="0"/>
        </w:numPr>
        <w:ind w:firstLine="746"/>
        <w:jc w:val="center"/>
        <w:keepLines w:val="0"/>
        <w:keepNext w:val="0"/>
        <w:pageBreakBefore w:val="0"/>
        <w:spacing w:beforeAutospacing="0" w:afterAutospacing="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九、具备履行合同所必需的设备和专业技术能力的书面声明（附证明材料）</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rPr>
          <w:rFonts w:hint="eastAsia" w:ascii="宋体" w:hAnsi="宋体" w:cs="宋体"/>
          <w:bCs/>
          <w:color w:val="auto"/>
          <w:sz w:val="28"/>
          <w:szCs w:val="28"/>
          <w:highlight w:val="none"/>
          <w:lang w:eastAsia="zh-CN"/>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投标人郑重声明：投标人具备履行合同（项目名称：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所必需的设备和专业技术能力，具体为：</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设备：</w:t>
      </w:r>
      <w:r/>
    </w:p>
    <w:p>
      <w:pPr>
        <w:numPr>
          <w:ilvl w:val="0"/>
          <w:numId w:val="2"/>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numPr>
          <w:ilvl w:val="0"/>
          <w:numId w:val="2"/>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专业技术能力：</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特此声明。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投标人对上述声明的真实性负责。如有虚假，将依法承担相应责任。</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spacing w:before="0" w:after="0" w:line="85"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w:t>
      </w:r>
      <w:r>
        <w:rPr>
          <w:rFonts w:ascii="宋体" w:hAnsi="宋体" w:eastAsia="宋体" w:cs="宋体"/>
          <w:color w:val="auto"/>
          <w:sz w:val="28"/>
          <w:szCs w:val="28"/>
          <w:highlight w:val="none"/>
          <w:u w:val="single"/>
        </w:rPr>
        <w:t xml:space="preserve">（产品名称1）</w:t>
      </w:r>
      <w:r>
        <w:rPr>
          <w:rFonts w:ascii="宋体" w:hAnsi="宋体" w:eastAsia="宋体" w:cs="宋体"/>
          <w:color w:val="auto"/>
          <w:sz w:val="28"/>
          <w:szCs w:val="28"/>
          <w:highlight w:val="none"/>
          <w:vertAlign w:val="superscript"/>
        </w:rPr>
        <w:t xml:space="preserve">1</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vertAlign w:val="superscript"/>
        </w:rPr>
        <w:t xml:space="preserve">2</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3</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4</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5</w:t>
      </w:r>
      <w:r>
        <w:rPr>
          <w:rFonts w:ascii="宋体" w:hAnsi="宋体" w:eastAsia="宋体" w:cs="宋体"/>
          <w:color w:val="auto"/>
          <w:sz w:val="28"/>
          <w:szCs w:val="28"/>
          <w:highlight w:val="none"/>
        </w:rPr>
        <w:t xml:space="preserve">在中国境内完成。</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w:t>
      </w:r>
      <w:r>
        <w:rPr>
          <w:rFonts w:ascii="宋体" w:hAnsi="宋体" w:eastAsia="宋体" w:cs="宋体"/>
          <w:color w:val="auto"/>
          <w:sz w:val="28"/>
          <w:szCs w:val="28"/>
          <w:highlight w:val="none"/>
          <w:u w:val="single"/>
        </w:rPr>
        <w:t xml:space="preserve">（产品名称2）</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none"/>
        </w:rPr>
        <w:t xml:space="preserve"> </w:t>
      </w:r>
      <w:r/>
    </w:p>
    <w:p>
      <w:pPr>
        <w:ind w:left="0" w:right="0" w:firstLine="0"/>
        <w:jc w:val="right"/>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公司（单位）名称（加盖CA电子公章）：         </w:t>
      </w:r>
      <w:r/>
    </w:p>
    <w:p>
      <w:pPr>
        <w:ind w:left="0" w:right="0" w:firstLine="0"/>
        <w:jc w:val="center"/>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日期：  年  月  日         </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none"/>
        </w:rPr>
        <w:t xml:space="preserve"> </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_________________</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1.产品如有型号，请在“产品名称”栏一并填写。</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6.《声明函》中标注“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pStyle w:val="909"/>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附件</w:t>
      </w:r>
      <w:r/>
    </w:p>
    <w:p>
      <w:pPr>
        <w:pStyle w:val="9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09"/>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中国境内生产的组件成本核算基本规则</w:t>
      </w:r>
      <w:r/>
    </w:p>
    <w:p>
      <w:pPr>
        <w:pStyle w:val="90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09"/>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09"/>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909"/>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09"/>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三、产品总成本和组件成本以相关会计核算数据、采购合同、进货记录等为基础进行计算。</w:t>
      </w:r>
      <w:r/>
    </w:p>
    <w:p>
      <w:pPr>
        <w:pStyle w:val="909"/>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rPr>
          <w:rFonts w:hint="eastAsia" w:ascii="宋体" w:hAnsi="宋体" w:eastAsia="宋体" w:cs="宋体"/>
          <w:color w:val="auto"/>
          <w:sz w:val="21"/>
          <w:szCs w:val="22"/>
          <w:highlight w:val="none"/>
        </w:rPr>
        <w:br w:type="page" w:clear="all"/>
      </w:r>
      <w:r/>
    </w:p>
    <w:p>
      <w:pPr>
        <w:pStyle w:val="806"/>
        <w:ind w:firstLine="747"/>
        <w:jc w:val="center"/>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十二、投标人相关承诺</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 </w:t>
      </w:r>
      <w:r/>
    </w:p>
    <w:p>
      <w:pPr>
        <w:ind w:firstLine="624"/>
        <w:spacing w:line="480" w:lineRule="exact"/>
        <w:rPr>
          <w:rFonts w:hint="eastAsia" w:ascii="宋体" w:hAnsi="宋体" w:eastAsia="宋体" w:cs="宋体"/>
          <w:color w:val="auto"/>
          <w:spacing w:val="6"/>
          <w:sz w:val="28"/>
          <w:szCs w:val="28"/>
          <w:highlight w:val="none"/>
          <w:lang w:val="en-US" w:eastAsia="zh-CN"/>
        </w:rPr>
      </w:pPr>
      <w:r>
        <w:rPr>
          <w:rFonts w:hint="eastAsia" w:ascii="宋体" w:hAnsi="宋体" w:eastAsia="宋体" w:cs="宋体"/>
          <w:color w:val="auto"/>
          <w:spacing w:val="6"/>
          <w:sz w:val="28"/>
          <w:szCs w:val="28"/>
          <w:highlight w:val="none"/>
        </w:rPr>
        <w:t xml:space="preserve">项目编号：</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我单位承诺：</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我单位对上述承诺负责，并依法承担相应责任。</w:t>
      </w:r>
      <w:r/>
    </w:p>
    <w:p>
      <w:pPr>
        <w:pStyle w:val="1057"/>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57"/>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pStyle w:val="806"/>
        <w:ind w:firstLine="3120"/>
        <w:spacing w:line="30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投标人（电子签章）： </w:t>
      </w:r>
      <w:r/>
    </w:p>
    <w:p>
      <w:pPr>
        <w:pStyle w:val="806"/>
        <w:ind w:firstLine="312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日期：   年  月  日</w:t>
      </w:r>
      <w:r/>
    </w:p>
    <w:p>
      <w:pPr>
        <w:pStyle w:val="806"/>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06"/>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06"/>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6"/>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6"/>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5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6"/>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lang w:val="en-US" w:eastAsia="zh-CN" w:bidi="ar-SA"/>
        </w:rPr>
        <w:t xml:space="preserve">十三、投标人书面声明</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 </w:t>
      </w:r>
      <w:r/>
    </w:p>
    <w:p>
      <w:pPr>
        <w:ind w:firstLine="624"/>
        <w:spacing w:line="480" w:lineRule="exact"/>
        <w:rPr>
          <w:rFonts w:hint="eastAsia" w:ascii="宋体" w:hAnsi="宋体" w:eastAsia="宋体" w:cs="宋体"/>
          <w:color w:val="auto"/>
          <w:spacing w:val="6"/>
          <w:sz w:val="28"/>
          <w:szCs w:val="28"/>
          <w:highlight w:val="none"/>
          <w:lang w:val="en-US" w:eastAsia="zh-CN"/>
        </w:rPr>
      </w:pPr>
      <w:r>
        <w:rPr>
          <w:rFonts w:hint="eastAsia" w:ascii="宋体" w:hAnsi="宋体" w:eastAsia="宋体" w:cs="宋体"/>
          <w:color w:val="auto"/>
          <w:spacing w:val="6"/>
          <w:sz w:val="28"/>
          <w:szCs w:val="28"/>
          <w:highlight w:val="none"/>
        </w:rPr>
        <w:t xml:space="preserve">项目编号：</w:t>
      </w:r>
      <w:r/>
    </w:p>
    <w:p>
      <w:pPr>
        <w:pStyle w:val="806"/>
        <w:ind w:firstLine="48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6"/>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我单位不是为本采购项目提供整体设计、规范编制或者项目管理、监理、检测等服务的供应商。</w:t>
      </w:r>
      <w:r/>
    </w:p>
    <w:p>
      <w:pPr>
        <w:pStyle w:val="806"/>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pStyle w:val="806"/>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pStyle w:val="105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6"/>
        <w:ind w:left="0" w:firstLine="0"/>
        <w:jc w:val="righ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投标人（电子签章）：</w:t>
      </w:r>
      <w:r/>
    </w:p>
    <w:p>
      <w:pPr>
        <w:pStyle w:val="816"/>
        <w:ind w:left="0" w:firstLine="0"/>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eastAsia="zh-CN"/>
        </w:rPr>
        <w:t xml:space="preserve">五</w:t>
      </w:r>
      <w:r>
        <w:rPr>
          <w:rFonts w:hint="eastAsia" w:ascii="宋体" w:hAnsi="宋体" w:cs="宋体"/>
          <w:b/>
          <w:bCs/>
          <w:color w:val="auto"/>
          <w:sz w:val="24"/>
          <w:highlight w:val="none"/>
        </w:rPr>
        <w:t xml:space="preserve">、</w:t>
      </w:r>
      <w:r>
        <w:rPr>
          <w:rFonts w:hint="eastAsia" w:ascii="宋体" w:hAnsi="宋体" w:eastAsia="宋体" w:cs="宋体"/>
          <w:b/>
          <w:bCs/>
          <w:color w:val="auto"/>
          <w:sz w:val="24"/>
          <w:szCs w:val="24"/>
          <w:highlight w:val="none"/>
          <w:lang w:eastAsia="zh-CN"/>
        </w:rPr>
        <w:t xml:space="preserve">投标人投标文件中须提交药品监督管理局颁发的相关</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eastAsia="zh-CN"/>
        </w:rPr>
        <w:t xml:space="preserve">产品的医疗器械注册证</w:t>
      </w:r>
      <w:r>
        <w:rPr>
          <w:rFonts w:hint="eastAsia" w:ascii="宋体" w:hAnsi="宋体" w:eastAsia="宋体" w:cs="宋体"/>
          <w:b/>
          <w:bCs/>
          <w:color w:val="auto"/>
          <w:sz w:val="24"/>
          <w:szCs w:val="24"/>
          <w:highlight w:val="none"/>
          <w:lang w:val="en-US" w:eastAsia="zh-CN"/>
        </w:rPr>
        <w:t xml:space="preserve">或备案凭证</w:t>
      </w:r>
      <w:r>
        <w:rPr>
          <w:rFonts w:hint="eastAsia" w:ascii="宋体" w:hAnsi="宋体" w:eastAsia="宋体" w:cs="宋体"/>
          <w:b/>
          <w:bCs/>
          <w:color w:val="auto"/>
          <w:sz w:val="24"/>
          <w:szCs w:val="24"/>
          <w:highlight w:val="none"/>
          <w:lang w:eastAsia="zh-CN"/>
        </w:rPr>
        <w:t xml:space="preserve">（如果属于医疗器械类）的复印件并加盖投标人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电子签章</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highlight w:val="none"/>
        </w:rPr>
      </w:pPr>
      <w:r>
        <w:rPr>
          <w:color w:val="auto"/>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color w:val="auto"/>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highlight w:val="none"/>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ind w:left="0" w:firstLine="0"/>
        <w:jc w:val="both"/>
        <w:rPr>
          <w:rFonts w:hint="eastAsia" w:eastAsia="宋体"/>
          <w:b/>
          <w:bCs/>
          <w:lang w:eastAsia="zh-CN"/>
        </w:rPr>
      </w:pPr>
      <w:r>
        <w:rPr>
          <w:rFonts w:hint="eastAsia"/>
          <w:b/>
          <w:bCs/>
        </w:rPr>
        <w:t xml:space="preserve">本招标文件里投标文件格式与投标文件制作软件系统上的格式不一致时，均为有效格式，均可用。</w:t>
      </w:r>
      <w:bookmarkStart w:id="4" w:name="_GoBack"/>
      <w:r/>
      <w:bookmarkEnd w:id="4"/>
      <w:r/>
      <w:r/>
    </w:p>
    <w:p>
      <w:pPr>
        <w:ind w:firstLine="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Wingdings">
    <w:panose1 w:val="05000000000000000000"/>
  </w:font>
  <w:font w:name="微软简楷体">
    <w:panose1 w:val="020B0503020202020204"/>
  </w:font>
  <w:font w:name="PMingLiU">
    <w:panose1 w:val="02020500000000000000"/>
  </w:font>
  <w:font w:name="Symbol">
    <w:panose1 w:val="05050102010706020507"/>
  </w:font>
  <w:font w:name="新宋体">
    <w:panose1 w:val="0201060903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left" w:pos="4912"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right"/>
      <w:pBdr>
        <w:bottom w:val="single" w:color="000000" w:sz="4" w:space="0"/>
      </w:pBdr>
    </w:pPr>
    <w:r>
      <w:rPr>
        <w:rFonts w:hint="eastAsia"/>
        <w:lang w:eastAsia="zh-CN"/>
      </w:rPr>
      <w:t xml:space="preserve">徐州医科大学附属第三医院彩色多普勒超声系统</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single" w:color="000000" w:sz="4" w:space="0"/>
      </w:pBdr>
    </w:pPr>
    <w:r>
      <w:rPr>
        <w:rFonts w:hint="eastAsia"/>
        <w:sz w:val="18"/>
        <w:szCs w:val="18"/>
        <w:lang w:eastAsia="zh-CN"/>
      </w:rPr>
      <w:t xml:space="preserve">徐州医科大学附属第三医院彩色多普勒超声系统</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徐州医科大学附属第三医院彩色多普勒超声系统</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link w:val="1055"/>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57">
    <w:name w:val="Heading 1"/>
    <w:basedOn w:val="756"/>
    <w:next w:val="756"/>
    <w:link w:val="822"/>
    <w:uiPriority w:val="9"/>
    <w:qFormat/>
    <w:pPr>
      <w:jc w:val="center"/>
      <w:keepLines/>
      <w:keepNext/>
      <w:spacing w:before="100" w:after="100" w:line="240" w:lineRule="auto"/>
      <w:outlineLvl w:val="0"/>
    </w:pPr>
    <w:rPr>
      <w:rFonts w:ascii="Arial" w:hAnsi="Arial" w:cs="Arial"/>
      <w:b/>
      <w:szCs w:val="40"/>
    </w:rPr>
  </w:style>
  <w:style w:type="paragraph" w:styleId="758">
    <w:name w:val="Heading 2"/>
    <w:basedOn w:val="756"/>
    <w:next w:val="756"/>
    <w:link w:val="823"/>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24"/>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25"/>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26"/>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27"/>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29"/>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30"/>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right="0" w:firstLine="0"/>
      <w:spacing w:after="57"/>
    </w:pPr>
  </w:style>
  <w:style w:type="paragraph" w:styleId="769">
    <w:name w:val="Normal Indent"/>
    <w:basedOn w:val="756"/>
    <w:uiPriority w:val="0"/>
    <w:qFormat/>
    <w:pPr>
      <w:ind w:firstLine="420"/>
    </w:pPr>
  </w:style>
  <w:style w:type="paragraph" w:styleId="770">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index 5"/>
    <w:basedOn w:val="756"/>
    <w:next w:val="756"/>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72">
    <w:name w:val="annotation text"/>
    <w:basedOn w:val="756"/>
    <w:uiPriority w:val="99"/>
    <w:semiHidden/>
    <w:unhideWhenUsed/>
    <w:qFormat/>
    <w:pPr>
      <w:jc w:val="left"/>
    </w:pPr>
  </w:style>
  <w:style w:type="paragraph" w:styleId="773">
    <w:name w:val="Body Text"/>
    <w:basedOn w:val="756"/>
    <w:uiPriority w:val="0"/>
    <w:qFormat/>
    <w:rPr>
      <w:rFonts w:ascii="楷体_GB2312" w:hAnsi="Arial" w:eastAsia="楷体_GB2312"/>
      <w:sz w:val="28"/>
      <w:szCs w:val="28"/>
    </w:rPr>
  </w:style>
  <w:style w:type="paragraph" w:styleId="774">
    <w:name w:val="Body Text Indent"/>
    <w:basedOn w:val="756"/>
    <w:next w:val="756"/>
    <w:uiPriority w:val="0"/>
    <w:qFormat/>
    <w:pPr>
      <w:ind w:left="420"/>
      <w:spacing w:after="120"/>
    </w:pPr>
    <w:rPr>
      <w:rFonts w:ascii="Calibri" w:hAnsi="Calibri"/>
    </w:rPr>
  </w:style>
  <w:style w:type="paragraph" w:styleId="775">
    <w:name w:val="Block Text"/>
    <w:basedOn w:val="756"/>
    <w:uiPriority w:val="99"/>
    <w:unhideWhenUsed/>
    <w:qFormat/>
    <w:pPr>
      <w:ind w:left="1440" w:right="1440"/>
      <w:spacing w:after="120"/>
    </w:pPr>
  </w:style>
  <w:style w:type="paragraph" w:styleId="776">
    <w:name w:val="toc 5"/>
    <w:basedOn w:val="756"/>
    <w:next w:val="756"/>
    <w:uiPriority w:val="39"/>
    <w:unhideWhenUsed/>
    <w:qFormat/>
    <w:pPr>
      <w:ind w:left="1134" w:right="0" w:firstLine="0"/>
      <w:spacing w:after="57"/>
    </w:pPr>
  </w:style>
  <w:style w:type="paragraph" w:styleId="777">
    <w:name w:val="toc 3"/>
    <w:basedOn w:val="756"/>
    <w:next w:val="756"/>
    <w:uiPriority w:val="39"/>
    <w:unhideWhenUsed/>
    <w:qFormat/>
    <w:pPr>
      <w:ind w:left="567" w:right="0" w:firstLine="0"/>
      <w:spacing w:after="57"/>
    </w:pPr>
  </w:style>
  <w:style w:type="paragraph" w:styleId="778">
    <w:name w:val="Plain Text"/>
    <w:basedOn w:val="756"/>
    <w:uiPriority w:val="0"/>
    <w:qFormat/>
    <w:rPr>
      <w:rFonts w:ascii="宋体" w:hAnsi="宋体"/>
    </w:rPr>
  </w:style>
  <w:style w:type="paragraph" w:styleId="779">
    <w:name w:val="toc 8"/>
    <w:basedOn w:val="756"/>
    <w:next w:val="756"/>
    <w:uiPriority w:val="39"/>
    <w:unhideWhenUsed/>
    <w:qFormat/>
    <w:pPr>
      <w:ind w:left="1984" w:right="0" w:firstLine="0"/>
      <w:spacing w:after="57"/>
    </w:pPr>
  </w:style>
  <w:style w:type="paragraph" w:styleId="780">
    <w:name w:val="endnote text"/>
    <w:basedOn w:val="756"/>
    <w:link w:val="842"/>
    <w:uiPriority w:val="99"/>
    <w:semiHidden/>
    <w:unhideWhenUsed/>
    <w:qFormat/>
    <w:pPr>
      <w:spacing w:after="0" w:line="240" w:lineRule="auto"/>
    </w:pPr>
    <w:rPr>
      <w:sz w:val="20"/>
    </w:rPr>
  </w:style>
  <w:style w:type="paragraph" w:styleId="781">
    <w:name w:val="Footer"/>
    <w:basedOn w:val="756"/>
    <w:link w:val="840"/>
    <w:uiPriority w:val="99"/>
    <w:unhideWhenUsed/>
    <w:qFormat/>
    <w:pPr>
      <w:spacing w:after="0" w:line="240" w:lineRule="auto"/>
      <w:tabs>
        <w:tab w:val="center" w:pos="7143" w:leader="none"/>
        <w:tab w:val="right" w:pos="14287" w:leader="none"/>
      </w:tabs>
    </w:pPr>
  </w:style>
  <w:style w:type="paragraph" w:styleId="782">
    <w:name w:val="Header"/>
    <w:basedOn w:val="756"/>
    <w:link w:val="839"/>
    <w:uiPriority w:val="99"/>
    <w:unhideWhenUsed/>
    <w:qFormat/>
    <w:pPr>
      <w:spacing w:after="0" w:line="240" w:lineRule="auto"/>
      <w:tabs>
        <w:tab w:val="center" w:pos="7143" w:leader="none"/>
        <w:tab w:val="right" w:pos="14287" w:leader="none"/>
      </w:tabs>
    </w:pPr>
  </w:style>
  <w:style w:type="paragraph" w:styleId="783">
    <w:name w:val="toc 1"/>
    <w:basedOn w:val="756"/>
    <w:next w:val="756"/>
    <w:uiPriority w:val="39"/>
    <w:unhideWhenUsed/>
    <w:qFormat/>
    <w:pPr>
      <w:ind w:left="0" w:right="0" w:firstLine="0"/>
      <w:spacing w:after="57"/>
    </w:pPr>
  </w:style>
  <w:style w:type="paragraph" w:styleId="784">
    <w:name w:val="toc 4"/>
    <w:basedOn w:val="756"/>
    <w:next w:val="756"/>
    <w:uiPriority w:val="39"/>
    <w:unhideWhenUsed/>
    <w:qFormat/>
    <w:pPr>
      <w:ind w:left="850" w:right="0" w:firstLine="0"/>
      <w:spacing w:after="57"/>
    </w:pPr>
  </w:style>
  <w:style w:type="paragraph" w:styleId="785">
    <w:name w:val="Subtitle"/>
    <w:basedOn w:val="756"/>
    <w:next w:val="756"/>
    <w:link w:val="834"/>
    <w:uiPriority w:val="11"/>
    <w:qFormat/>
    <w:pPr>
      <w:spacing w:before="200" w:after="200"/>
    </w:pPr>
    <w:rPr>
      <w:sz w:val="24"/>
      <w:szCs w:val="24"/>
    </w:rPr>
  </w:style>
  <w:style w:type="paragraph" w:styleId="786">
    <w:name w:val="footnote text"/>
    <w:basedOn w:val="756"/>
    <w:next w:val="771"/>
    <w:link w:val="841"/>
    <w:uiPriority w:val="99"/>
    <w:semiHidden/>
    <w:unhideWhenUsed/>
    <w:qFormat/>
    <w:pPr>
      <w:spacing w:after="40" w:line="240" w:lineRule="auto"/>
    </w:pPr>
    <w:rPr>
      <w:sz w:val="18"/>
    </w:rPr>
  </w:style>
  <w:style w:type="paragraph" w:styleId="787">
    <w:name w:val="toc 6"/>
    <w:basedOn w:val="756"/>
    <w:next w:val="756"/>
    <w:uiPriority w:val="39"/>
    <w:unhideWhenUsed/>
    <w:qFormat/>
    <w:pPr>
      <w:ind w:left="1417" w:right="0" w:firstLine="0"/>
      <w:spacing w:after="57"/>
    </w:pPr>
  </w:style>
  <w:style w:type="paragraph" w:styleId="788">
    <w:name w:val="Body Text Indent 3"/>
    <w:basedOn w:val="756"/>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789">
    <w:name w:val="table of figures"/>
    <w:basedOn w:val="756"/>
    <w:next w:val="756"/>
    <w:uiPriority w:val="99"/>
    <w:unhideWhenUsed/>
    <w:qFormat/>
    <w:pPr>
      <w:spacing w:after="0" w:afterAutospacing="0"/>
    </w:pPr>
  </w:style>
  <w:style w:type="paragraph" w:styleId="790">
    <w:name w:val="toc 2"/>
    <w:basedOn w:val="756"/>
    <w:next w:val="756"/>
    <w:uiPriority w:val="39"/>
    <w:unhideWhenUsed/>
    <w:qFormat/>
    <w:pPr>
      <w:ind w:left="283" w:right="0" w:firstLine="0"/>
      <w:spacing w:after="57"/>
    </w:pPr>
  </w:style>
  <w:style w:type="paragraph" w:styleId="791">
    <w:name w:val="toc 9"/>
    <w:basedOn w:val="756"/>
    <w:next w:val="756"/>
    <w:uiPriority w:val="39"/>
    <w:unhideWhenUsed/>
    <w:qFormat/>
    <w:pPr>
      <w:ind w:left="2268" w:right="0" w:firstLine="0"/>
      <w:spacing w:after="57"/>
    </w:pPr>
  </w:style>
  <w:style w:type="paragraph" w:styleId="792">
    <w:name w:val="Normal (Web)"/>
    <w:basedOn w:val="756"/>
    <w:uiPriority w:val="0"/>
    <w:qFormat/>
    <w:pPr>
      <w:ind w:left="0" w:right="0"/>
      <w:jc w:val="left"/>
      <w:spacing w:before="0" w:beforeAutospacing="1" w:after="0" w:afterAutospacing="1"/>
    </w:pPr>
    <w:rPr>
      <w:sz w:val="24"/>
      <w:lang w:val="en-US" w:eastAsia="zh-CN" w:bidi="ar"/>
    </w:rPr>
  </w:style>
  <w:style w:type="paragraph" w:styleId="793">
    <w:name w:val="Title"/>
    <w:basedOn w:val="756"/>
    <w:next w:val="756"/>
    <w:link w:val="833"/>
    <w:uiPriority w:val="10"/>
    <w:qFormat/>
    <w:pPr>
      <w:contextualSpacing/>
      <w:spacing w:before="300" w:after="200"/>
    </w:pPr>
    <w:rPr>
      <w:sz w:val="48"/>
      <w:szCs w:val="48"/>
    </w:rPr>
  </w:style>
  <w:style w:type="paragraph" w:styleId="794">
    <w:name w:val="Body Text First Indent 2"/>
    <w:next w:val="788"/>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6"/>
    <w:uiPriority w:val="0"/>
    <w:qFormat/>
    <w:rPr>
      <w:b/>
    </w:rPr>
  </w:style>
  <w:style w:type="character" w:styleId="797">
    <w:name w:val="endnote reference"/>
    <w:uiPriority w:val="99"/>
    <w:semiHidden/>
    <w:unhideWhenUsed/>
    <w:qFormat/>
    <w:rPr>
      <w:vertAlign w:val="superscript"/>
    </w:rPr>
  </w:style>
  <w:style w:type="character" w:styleId="798">
    <w:name w:val="page number"/>
    <w:basedOn w:val="766"/>
    <w:uiPriority w:val="0"/>
    <w:qFormat/>
  </w:style>
  <w:style w:type="character" w:styleId="799">
    <w:name w:val="Emphasis"/>
    <w:basedOn w:val="766"/>
    <w:uiPriority w:val="20"/>
    <w:qFormat/>
    <w:rPr>
      <w:i/>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customStyle="1">
    <w:name w:val="标题 21"/>
    <w:basedOn w:val="756"/>
    <w:next w:val="756"/>
    <w:uiPriority w:val="0"/>
    <w:qFormat/>
    <w:pPr>
      <w:jc w:val="left"/>
      <w:keepLines/>
      <w:keepNext/>
      <w:spacing w:before="50"/>
      <w:tabs>
        <w:tab w:val="left" w:pos="0" w:leader="none"/>
      </w:tabs>
    </w:pPr>
    <w:rPr>
      <w:rFonts w:ascii="Arial" w:hAnsi="Arial" w:eastAsia="黑体"/>
      <w:sz w:val="32"/>
      <w:szCs w:val="20"/>
    </w:rPr>
  </w:style>
  <w:style w:type="character" w:styleId="803" w:customStyle="1">
    <w:name w:val="NormalCharacter11"/>
    <w:link w:val="756"/>
    <w:uiPriority w:val="0"/>
    <w:semiHidden/>
    <w:qFormat/>
    <w:rPr>
      <w:rFonts w:ascii="Times New Roman" w:hAnsi="Times New Roman" w:eastAsia="宋体"/>
      <w:sz w:val="28"/>
      <w:szCs w:val="24"/>
      <w:lang w:val="en-US" w:eastAsia="zh-CN" w:bidi="ar-SA"/>
    </w:rPr>
  </w:style>
  <w:style w:type="paragraph" w:styleId="804" w:customStyle="1">
    <w:name w:val="文本块11"/>
    <w:basedOn w:val="805"/>
    <w:uiPriority w:val="0"/>
    <w:qFormat/>
    <w:pPr>
      <w:ind w:left="1440" w:right="1440"/>
      <w:spacing w:after="120"/>
    </w:pPr>
  </w:style>
  <w:style w:type="paragraph" w:styleId="805" w:customStyle="1">
    <w:name w:val="正文12"/>
    <w:next w:val="8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customStyle="1">
    <w:name w:val="正文1"/>
    <w:basedOn w:val="807"/>
    <w:next w:val="809"/>
    <w:uiPriority w:val="0"/>
    <w:qFormat/>
    <w:pPr>
      <w:jc w:val="left"/>
      <w:spacing w:line="360" w:lineRule="atLeast"/>
    </w:pPr>
    <w:rPr>
      <w:rFonts w:ascii="宋体" w:hAnsi="Calibri" w:eastAsia="宋体" w:cs="Times New Roman"/>
      <w:sz w:val="24"/>
      <w:szCs w:val="20"/>
    </w:rPr>
  </w:style>
  <w:style w:type="paragraph" w:styleId="807" w:customStyle="1">
    <w:name w:val="正文111"/>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目录 111"/>
    <w:basedOn w:val="756"/>
    <w:next w:val="807"/>
    <w:uiPriority w:val="39"/>
    <w:unhideWhenUsed/>
    <w:qFormat/>
    <w:pPr>
      <w:ind w:left="0" w:right="0" w:firstLine="0"/>
      <w:spacing w:after="57"/>
    </w:pPr>
  </w:style>
  <w:style w:type="paragraph" w:styleId="809" w:customStyle="1">
    <w:name w:val="脚注文本1"/>
    <w:basedOn w:val="806"/>
    <w:next w:val="810"/>
    <w:uiPriority w:val="0"/>
    <w:qFormat/>
    <w:rPr>
      <w:rFonts w:eastAsia="Times New Roman"/>
      <w:sz w:val="18"/>
      <w:szCs w:val="18"/>
    </w:rPr>
  </w:style>
  <w:style w:type="paragraph" w:styleId="810" w:customStyle="1">
    <w:name w:val="索引 51"/>
    <w:basedOn w:val="806"/>
    <w:next w:val="806"/>
    <w:uiPriority w:val="0"/>
    <w:qFormat/>
    <w:pPr>
      <w:ind w:left="798"/>
    </w:pPr>
    <w:rPr>
      <w:rFonts w:ascii="Calibri" w:hAnsi="Calibri"/>
    </w:rPr>
  </w:style>
  <w:style w:type="paragraph" w:styleId="811" w:customStyle="1">
    <w:name w:val="正文文本1"/>
    <w:basedOn w:val="812"/>
    <w:next w:val="806"/>
    <w:uiPriority w:val="99"/>
    <w:qFormat/>
    <w:pPr>
      <w:spacing w:after="120"/>
    </w:pPr>
    <w:rPr>
      <w:rFonts w:ascii="Calibri" w:hAnsi="Calibri"/>
    </w:rPr>
  </w:style>
  <w:style w:type="paragraph" w:styleId="812" w:customStyle="1">
    <w:name w:val="正文11"/>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目录 11"/>
    <w:basedOn w:val="812"/>
    <w:next w:val="807"/>
    <w:uiPriority w:val="0"/>
    <w:qFormat/>
    <w:pPr>
      <w:jc w:val="left"/>
      <w:spacing w:after="100" w:line="259" w:lineRule="auto"/>
      <w:widowControl/>
    </w:pPr>
    <w:rPr>
      <w:rFonts w:ascii="Calibri" w:hAnsi="Calibri"/>
      <w:sz w:val="22"/>
      <w:szCs w:val="22"/>
    </w:rPr>
  </w:style>
  <w:style w:type="paragraph" w:styleId="814" w:customStyle="1">
    <w:name w:val="正文文本缩进1"/>
    <w:basedOn w:val="756"/>
    <w:next w:val="815"/>
    <w:uiPriority w:val="0"/>
    <w:qFormat/>
    <w:pPr>
      <w:ind w:left="420"/>
      <w:spacing w:after="120"/>
    </w:pPr>
    <w:rPr>
      <w:rFonts w:ascii="Calibri" w:hAnsi="Calibri"/>
    </w:rPr>
  </w:style>
  <w:style w:type="paragraph" w:styleId="815" w:customStyle="1">
    <w:name w:val="寄信人地址1"/>
    <w:basedOn w:val="812"/>
    <w:uiPriority w:val="0"/>
    <w:qFormat/>
    <w:rPr>
      <w:rFonts w:ascii="Arial" w:hAnsi="Arial"/>
    </w:rPr>
  </w:style>
  <w:style w:type="paragraph" w:styleId="816" w:customStyle="1">
    <w:name w:val="文本块1"/>
    <w:basedOn w:val="756"/>
    <w:next w:val="817"/>
    <w:uiPriority w:val="99"/>
    <w:unhideWhenUsed/>
    <w:qFormat/>
    <w:pPr>
      <w:ind w:left="1440" w:right="1440"/>
      <w:spacing w:after="120"/>
    </w:pPr>
  </w:style>
  <w:style w:type="paragraph" w:styleId="817" w:customStyle="1">
    <w:name w:val="标题 41"/>
    <w:basedOn w:val="805"/>
    <w:next w:val="812"/>
    <w:link w:val="865"/>
    <w:uiPriority w:val="9"/>
    <w:qFormat/>
    <w:pPr>
      <w:keepLines/>
      <w:keepNext/>
      <w:spacing w:before="320" w:after="200"/>
      <w:outlineLvl w:val="3"/>
    </w:pPr>
    <w:rPr>
      <w:rFonts w:ascii="Arial" w:hAnsi="Arial" w:eastAsia="Arial" w:cs="Arial"/>
      <w:b/>
      <w:bCs/>
      <w:sz w:val="26"/>
      <w:szCs w:val="26"/>
    </w:rPr>
  </w:style>
  <w:style w:type="paragraph" w:styleId="818" w:customStyle="1">
    <w:name w:val="脚注文本11"/>
    <w:basedOn w:val="756"/>
    <w:next w:val="810"/>
    <w:link w:val="881"/>
    <w:uiPriority w:val="99"/>
    <w:unhideWhenUsed/>
    <w:qFormat/>
    <w:pPr>
      <w:spacing w:after="40" w:line="240" w:lineRule="auto"/>
    </w:pPr>
    <w:rPr>
      <w:sz w:val="18"/>
    </w:rPr>
  </w:style>
  <w:style w:type="paragraph" w:styleId="819" w:customStyle="1">
    <w:name w:val="文本块111"/>
    <w:basedOn w:val="756"/>
    <w:uiPriority w:val="99"/>
    <w:qFormat/>
    <w:pPr>
      <w:ind w:left="420" w:right="33"/>
      <w:jc w:val="left"/>
    </w:pPr>
    <w:rPr>
      <w:sz w:val="24"/>
      <w:szCs w:val="20"/>
    </w:rPr>
  </w:style>
  <w:style w:type="paragraph" w:styleId="820" w:customStyle="1">
    <w:name w:val="信息标题1"/>
    <w:basedOn w:val="756"/>
    <w:next w:val="821"/>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21" w:customStyle="1">
    <w:name w:val="正文文本12"/>
    <w:basedOn w:val="756"/>
    <w:next w:val="756"/>
    <w:uiPriority w:val="99"/>
    <w:qFormat/>
    <w:pPr>
      <w:spacing w:after="120"/>
    </w:pPr>
  </w:style>
  <w:style w:type="character" w:styleId="822" w:customStyle="1">
    <w:name w:val="Heading 1 Char"/>
    <w:link w:val="757"/>
    <w:uiPriority w:val="9"/>
    <w:qFormat/>
    <w:rPr>
      <w:rFonts w:ascii="Arial" w:hAnsi="Arial" w:eastAsia="宋体" w:cs="Arial"/>
      <w:b/>
      <w:sz w:val="28"/>
      <w:szCs w:val="40"/>
    </w:rPr>
  </w:style>
  <w:style w:type="character" w:styleId="823" w:customStyle="1">
    <w:name w:val="Heading 2 Char"/>
    <w:link w:val="758"/>
    <w:uiPriority w:val="9"/>
    <w:qFormat/>
    <w:rPr>
      <w:rFonts w:ascii="Arial" w:hAnsi="Arial" w:eastAsia="Arial" w:cs="Arial"/>
      <w:sz w:val="34"/>
    </w:rPr>
  </w:style>
  <w:style w:type="character" w:styleId="824" w:customStyle="1">
    <w:name w:val="Heading 3 Char"/>
    <w:link w:val="759"/>
    <w:uiPriority w:val="9"/>
    <w:qFormat/>
    <w:rPr>
      <w:rFonts w:ascii="Arial" w:hAnsi="Arial" w:eastAsia="Arial" w:cs="Arial"/>
      <w:sz w:val="30"/>
      <w:szCs w:val="30"/>
    </w:rPr>
  </w:style>
  <w:style w:type="character" w:styleId="825" w:customStyle="1">
    <w:name w:val="Heading 4 Char"/>
    <w:link w:val="760"/>
    <w:uiPriority w:val="9"/>
    <w:qFormat/>
    <w:rPr>
      <w:rFonts w:ascii="Arial" w:hAnsi="Arial" w:eastAsia="Arial" w:cs="Arial"/>
      <w:b/>
      <w:bCs/>
      <w:sz w:val="26"/>
      <w:szCs w:val="26"/>
    </w:rPr>
  </w:style>
  <w:style w:type="character" w:styleId="826" w:customStyle="1">
    <w:name w:val="Heading 5 Char"/>
    <w:link w:val="761"/>
    <w:uiPriority w:val="9"/>
    <w:qFormat/>
    <w:rPr>
      <w:rFonts w:ascii="Arial" w:hAnsi="Arial" w:eastAsia="Arial" w:cs="Arial"/>
      <w:b/>
      <w:bCs/>
      <w:sz w:val="24"/>
      <w:szCs w:val="24"/>
    </w:rPr>
  </w:style>
  <w:style w:type="character" w:styleId="827" w:customStyle="1">
    <w:name w:val="Heading 6 Char"/>
    <w:link w:val="762"/>
    <w:uiPriority w:val="9"/>
    <w:qFormat/>
    <w:rPr>
      <w:rFonts w:ascii="Arial" w:hAnsi="Arial" w:eastAsia="Arial" w:cs="Arial"/>
      <w:b/>
      <w:bCs/>
      <w:sz w:val="22"/>
      <w:szCs w:val="22"/>
    </w:rPr>
  </w:style>
  <w:style w:type="character" w:styleId="828" w:customStyle="1">
    <w:name w:val="Heading 7 Char"/>
    <w:link w:val="763"/>
    <w:uiPriority w:val="9"/>
    <w:qFormat/>
    <w:rPr>
      <w:rFonts w:ascii="Arial" w:hAnsi="Arial" w:eastAsia="Arial" w:cs="Arial"/>
      <w:b/>
      <w:bCs/>
      <w:i/>
      <w:iCs/>
      <w:sz w:val="22"/>
      <w:szCs w:val="22"/>
    </w:rPr>
  </w:style>
  <w:style w:type="character" w:styleId="829" w:customStyle="1">
    <w:name w:val="Heading 8 Char"/>
    <w:link w:val="764"/>
    <w:uiPriority w:val="9"/>
    <w:qFormat/>
    <w:rPr>
      <w:rFonts w:ascii="Arial" w:hAnsi="Arial" w:eastAsia="Arial" w:cs="Arial"/>
      <w:i/>
      <w:iCs/>
      <w:sz w:val="22"/>
      <w:szCs w:val="22"/>
    </w:rPr>
  </w:style>
  <w:style w:type="character" w:styleId="830" w:customStyle="1">
    <w:name w:val="Heading 9 Char"/>
    <w:link w:val="765"/>
    <w:uiPriority w:val="9"/>
    <w:qFormat/>
    <w:rPr>
      <w:rFonts w:ascii="Arial" w:hAnsi="Arial" w:eastAsia="Arial" w:cs="Arial"/>
      <w:i/>
      <w:iCs/>
      <w:sz w:val="21"/>
      <w:szCs w:val="21"/>
    </w:rPr>
  </w:style>
  <w:style w:type="paragraph" w:styleId="831">
    <w:name w:val="List Paragraph"/>
    <w:basedOn w:val="756"/>
    <w:uiPriority w:val="34"/>
    <w:qFormat/>
    <w:pPr>
      <w:contextualSpacing/>
      <w:ind w:left="720"/>
    </w:p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
    <w:link w:val="793"/>
    <w:uiPriority w:val="10"/>
    <w:qFormat/>
    <w:rPr>
      <w:sz w:val="48"/>
      <w:szCs w:val="48"/>
    </w:rPr>
  </w:style>
  <w:style w:type="character" w:styleId="834" w:customStyle="1">
    <w:name w:val="Subtitle Char"/>
    <w:link w:val="785"/>
    <w:uiPriority w:val="11"/>
    <w:qFormat/>
    <w:rPr>
      <w:sz w:val="24"/>
      <w:szCs w:val="24"/>
    </w:rPr>
  </w:style>
  <w:style w:type="paragraph" w:styleId="835">
    <w:name w:val="Quote"/>
    <w:basedOn w:val="756"/>
    <w:next w:val="756"/>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56"/>
    <w:next w:val="756"/>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link w:val="782"/>
    <w:uiPriority w:val="99"/>
    <w:qFormat/>
  </w:style>
  <w:style w:type="character" w:styleId="840" w:customStyle="1">
    <w:name w:val="Caption Char"/>
    <w:link w:val="781"/>
    <w:uiPriority w:val="99"/>
    <w:qFormat/>
  </w:style>
  <w:style w:type="character" w:styleId="841" w:customStyle="1">
    <w:name w:val="Footnote Text Char"/>
    <w:link w:val="786"/>
    <w:uiPriority w:val="99"/>
    <w:qFormat/>
    <w:rPr>
      <w:sz w:val="18"/>
    </w:rPr>
  </w:style>
  <w:style w:type="character" w:styleId="842" w:customStyle="1">
    <w:name w:val="Endnote Text Char"/>
    <w:link w:val="780"/>
    <w:uiPriority w:val="99"/>
    <w:qFormat/>
    <w:rPr>
      <w:sz w:val="20"/>
    </w:rPr>
  </w:style>
  <w:style w:type="paragraph" w:styleId="843" w:customStyle="1">
    <w:name w:val="标题 111"/>
    <w:basedOn w:val="756"/>
    <w:next w:val="756"/>
    <w:link w:val="875"/>
    <w:uiPriority w:val="9"/>
    <w:qFormat/>
    <w:pPr>
      <w:keepLines/>
      <w:keepNext/>
      <w:spacing w:before="480" w:after="200"/>
      <w:outlineLvl w:val="0"/>
    </w:pPr>
    <w:rPr>
      <w:rFonts w:ascii="Arial" w:hAnsi="Arial" w:eastAsia="Arial" w:cs="Arial"/>
      <w:sz w:val="40"/>
      <w:szCs w:val="40"/>
    </w:rPr>
  </w:style>
  <w:style w:type="paragraph" w:styleId="844" w:customStyle="1">
    <w:name w:val="标题 211"/>
    <w:basedOn w:val="756"/>
    <w:next w:val="756"/>
    <w:link w:val="864"/>
    <w:uiPriority w:val="9"/>
    <w:qFormat/>
    <w:pPr>
      <w:keepLines/>
      <w:keepNext/>
      <w:spacing w:before="360" w:after="200"/>
      <w:outlineLvl w:val="1"/>
    </w:pPr>
    <w:rPr>
      <w:rFonts w:ascii="Arial" w:hAnsi="Arial" w:eastAsia="Arial" w:cs="Arial"/>
      <w:sz w:val="34"/>
    </w:rPr>
  </w:style>
  <w:style w:type="paragraph" w:styleId="845" w:customStyle="1">
    <w:name w:val="标题 31"/>
    <w:basedOn w:val="756"/>
    <w:next w:val="756"/>
    <w:link w:val="859"/>
    <w:uiPriority w:val="9"/>
    <w:qFormat/>
    <w:pPr>
      <w:keepLines/>
      <w:keepNext/>
      <w:spacing w:before="320" w:after="200"/>
      <w:outlineLvl w:val="2"/>
    </w:pPr>
    <w:rPr>
      <w:rFonts w:ascii="Arial" w:hAnsi="Arial" w:eastAsia="Arial" w:cs="Arial"/>
      <w:sz w:val="30"/>
      <w:szCs w:val="30"/>
    </w:rPr>
  </w:style>
  <w:style w:type="paragraph" w:styleId="846" w:customStyle="1">
    <w:name w:val="标题 51"/>
    <w:basedOn w:val="756"/>
    <w:next w:val="756"/>
    <w:link w:val="869"/>
    <w:uiPriority w:val="9"/>
    <w:qFormat/>
    <w:pPr>
      <w:keepLines/>
      <w:keepNext/>
      <w:spacing w:before="320" w:after="200"/>
      <w:outlineLvl w:val="4"/>
    </w:pPr>
    <w:rPr>
      <w:rFonts w:ascii="Arial" w:hAnsi="Arial" w:eastAsia="Arial" w:cs="Arial"/>
      <w:b/>
      <w:bCs/>
      <w:sz w:val="24"/>
      <w:szCs w:val="24"/>
    </w:rPr>
  </w:style>
  <w:style w:type="paragraph" w:styleId="847" w:customStyle="1">
    <w:name w:val="标题 61"/>
    <w:basedOn w:val="756"/>
    <w:next w:val="756"/>
    <w:link w:val="876"/>
    <w:uiPriority w:val="9"/>
    <w:qFormat/>
    <w:pPr>
      <w:keepLines/>
      <w:keepNext/>
      <w:spacing w:before="320" w:after="200"/>
      <w:outlineLvl w:val="5"/>
    </w:pPr>
    <w:rPr>
      <w:rFonts w:ascii="Arial" w:hAnsi="Arial" w:eastAsia="Arial" w:cs="Arial"/>
      <w:b/>
      <w:bCs/>
      <w:sz w:val="22"/>
      <w:szCs w:val="22"/>
    </w:rPr>
  </w:style>
  <w:style w:type="paragraph" w:styleId="848" w:customStyle="1">
    <w:name w:val="标题 71"/>
    <w:basedOn w:val="756"/>
    <w:next w:val="756"/>
    <w:link w:val="880"/>
    <w:uiPriority w:val="9"/>
    <w:qFormat/>
    <w:pPr>
      <w:keepLines/>
      <w:keepNext/>
      <w:spacing w:before="320" w:after="200"/>
      <w:outlineLvl w:val="6"/>
    </w:pPr>
    <w:rPr>
      <w:rFonts w:ascii="Arial" w:hAnsi="Arial" w:eastAsia="Arial" w:cs="Arial"/>
      <w:b/>
      <w:bCs/>
      <w:i/>
      <w:iCs/>
      <w:sz w:val="22"/>
      <w:szCs w:val="22"/>
    </w:rPr>
  </w:style>
  <w:style w:type="paragraph" w:styleId="849" w:customStyle="1">
    <w:name w:val="标题 81"/>
    <w:basedOn w:val="756"/>
    <w:next w:val="756"/>
    <w:link w:val="879"/>
    <w:uiPriority w:val="9"/>
    <w:qFormat/>
    <w:pPr>
      <w:keepLines/>
      <w:keepNext/>
      <w:spacing w:before="320" w:after="200"/>
      <w:outlineLvl w:val="7"/>
    </w:pPr>
    <w:rPr>
      <w:rFonts w:ascii="Arial" w:hAnsi="Arial" w:eastAsia="Arial" w:cs="Arial"/>
      <w:i/>
      <w:iCs/>
      <w:sz w:val="22"/>
      <w:szCs w:val="22"/>
    </w:rPr>
  </w:style>
  <w:style w:type="paragraph" w:styleId="850" w:customStyle="1">
    <w:name w:val="标题 91"/>
    <w:basedOn w:val="756"/>
    <w:next w:val="756"/>
    <w:link w:val="868"/>
    <w:uiPriority w:val="9"/>
    <w:qFormat/>
    <w:pPr>
      <w:keepLines/>
      <w:keepNext/>
      <w:spacing w:before="320" w:after="200"/>
      <w:outlineLvl w:val="8"/>
    </w:pPr>
    <w:rPr>
      <w:rFonts w:ascii="Arial" w:hAnsi="Arial" w:eastAsia="Arial" w:cs="Arial"/>
      <w:i/>
      <w:iCs/>
      <w:sz w:val="21"/>
      <w:szCs w:val="21"/>
    </w:rPr>
  </w:style>
  <w:style w:type="character" w:styleId="851" w:customStyle="1">
    <w:name w:val="默认段落字体11"/>
    <w:link w:val="756"/>
    <w:uiPriority w:val="1"/>
    <w:unhideWhenUsed/>
    <w:qFormat/>
  </w:style>
  <w:style w:type="table" w:styleId="852" w:customStyle="1">
    <w:name w:val="普通表格11"/>
    <w:uiPriority w:val="99"/>
    <w:unhideWhenUsed/>
    <w:qFormat/>
    <w:tblPr/>
  </w:style>
  <w:style w:type="character" w:styleId="853" w:customStyle="1">
    <w:name w:val="脚注引用1"/>
    <w:link w:val="756"/>
    <w:uiPriority w:val="99"/>
    <w:unhideWhenUsed/>
    <w:qFormat/>
    <w:rPr>
      <w:vertAlign w:val="superscript"/>
    </w:rPr>
  </w:style>
  <w:style w:type="character" w:styleId="854" w:customStyle="1">
    <w:name w:val="尾注引用1"/>
    <w:link w:val="756"/>
    <w:uiPriority w:val="99"/>
    <w:unhideWhenUsed/>
    <w:qFormat/>
    <w:rPr>
      <w:vertAlign w:val="superscript"/>
    </w:rPr>
  </w:style>
  <w:style w:type="character" w:styleId="855" w:customStyle="1">
    <w:name w:val="超链接11"/>
    <w:link w:val="756"/>
    <w:uiPriority w:val="99"/>
    <w:unhideWhenUsed/>
    <w:qFormat/>
    <w:rPr>
      <w:color w:val="0000ff"/>
      <w:u w:val="single"/>
    </w:rPr>
  </w:style>
  <w:style w:type="character" w:styleId="856" w:customStyle="1">
    <w:name w:val="Footer Char"/>
    <w:uiPriority w:val="99"/>
    <w:qFormat/>
  </w:style>
  <w:style w:type="character" w:styleId="857" w:customStyle="1">
    <w:name w:val="批注框文本 字符"/>
    <w:link w:val="858"/>
    <w:uiPriority w:val="0"/>
    <w:qFormat/>
    <w:rPr>
      <w:rFonts w:ascii="Times New Roman" w:hAnsi="Times New Roman" w:eastAsia="宋体" w:cs="Times New Roman"/>
      <w:sz w:val="18"/>
      <w:szCs w:val="18"/>
    </w:rPr>
  </w:style>
  <w:style w:type="paragraph" w:styleId="858" w:customStyle="1">
    <w:name w:val="批注框文本1"/>
    <w:basedOn w:val="756"/>
    <w:link w:val="857"/>
    <w:uiPriority w:val="0"/>
    <w:qFormat/>
    <w:rPr>
      <w:sz w:val="18"/>
      <w:szCs w:val="18"/>
    </w:rPr>
  </w:style>
  <w:style w:type="character" w:styleId="859" w:customStyle="1">
    <w:name w:val="标题 3 字符"/>
    <w:link w:val="845"/>
    <w:uiPriority w:val="9"/>
    <w:qFormat/>
    <w:rPr>
      <w:rFonts w:ascii="Arial" w:hAnsi="Arial" w:eastAsia="Arial" w:cs="Arial"/>
      <w:sz w:val="30"/>
      <w:szCs w:val="30"/>
    </w:rPr>
  </w:style>
  <w:style w:type="character" w:styleId="860" w:customStyle="1">
    <w:name w:val="标题 字符"/>
    <w:link w:val="861"/>
    <w:uiPriority w:val="10"/>
    <w:qFormat/>
    <w:rPr>
      <w:sz w:val="48"/>
      <w:szCs w:val="48"/>
    </w:rPr>
  </w:style>
  <w:style w:type="paragraph" w:styleId="861" w:customStyle="1">
    <w:name w:val="标题1"/>
    <w:basedOn w:val="756"/>
    <w:next w:val="756"/>
    <w:link w:val="860"/>
    <w:uiPriority w:val="10"/>
    <w:qFormat/>
    <w:pPr>
      <w:contextualSpacing/>
      <w:spacing w:before="300" w:after="200"/>
    </w:pPr>
    <w:rPr>
      <w:sz w:val="48"/>
      <w:szCs w:val="48"/>
    </w:rPr>
  </w:style>
  <w:style w:type="character" w:styleId="862" w:customStyle="1">
    <w:name w:val="副标题 字符"/>
    <w:link w:val="863"/>
    <w:uiPriority w:val="11"/>
    <w:qFormat/>
    <w:rPr>
      <w:sz w:val="24"/>
      <w:szCs w:val="24"/>
    </w:rPr>
  </w:style>
  <w:style w:type="paragraph" w:styleId="863" w:customStyle="1">
    <w:name w:val="副标题1"/>
    <w:basedOn w:val="756"/>
    <w:next w:val="756"/>
    <w:link w:val="862"/>
    <w:uiPriority w:val="11"/>
    <w:qFormat/>
    <w:pPr>
      <w:spacing w:before="200" w:after="200"/>
    </w:pPr>
    <w:rPr>
      <w:sz w:val="24"/>
      <w:szCs w:val="24"/>
    </w:rPr>
  </w:style>
  <w:style w:type="character" w:styleId="864" w:customStyle="1">
    <w:name w:val="标题 2 字符"/>
    <w:link w:val="844"/>
    <w:uiPriority w:val="9"/>
    <w:qFormat/>
    <w:rPr>
      <w:rFonts w:ascii="Arial" w:hAnsi="Arial" w:eastAsia="Arial" w:cs="Arial"/>
      <w:sz w:val="34"/>
    </w:rPr>
  </w:style>
  <w:style w:type="character" w:styleId="865" w:customStyle="1">
    <w:name w:val="标题 4 字符"/>
    <w:link w:val="817"/>
    <w:uiPriority w:val="9"/>
    <w:qFormat/>
    <w:rPr>
      <w:rFonts w:ascii="Arial" w:hAnsi="Arial" w:eastAsia="Arial" w:cs="Arial"/>
      <w:b/>
      <w:bCs/>
      <w:sz w:val="26"/>
      <w:szCs w:val="26"/>
    </w:rPr>
  </w:style>
  <w:style w:type="character" w:styleId="866" w:customStyle="1">
    <w:name w:val="页眉 字符"/>
    <w:link w:val="867"/>
    <w:uiPriority w:val="99"/>
    <w:qFormat/>
  </w:style>
  <w:style w:type="paragraph" w:styleId="867" w:customStyle="1">
    <w:name w:val="页眉11"/>
    <w:basedOn w:val="756"/>
    <w:link w:val="866"/>
    <w:uiPriority w:val="99"/>
    <w:unhideWhenUsed/>
    <w:qFormat/>
    <w:pPr>
      <w:spacing w:after="0" w:line="240" w:lineRule="auto"/>
      <w:tabs>
        <w:tab w:val="center" w:pos="7143" w:leader="none"/>
        <w:tab w:val="right" w:pos="14287" w:leader="none"/>
      </w:tabs>
    </w:pPr>
  </w:style>
  <w:style w:type="character" w:styleId="868" w:customStyle="1">
    <w:name w:val="标题 9 字符"/>
    <w:link w:val="850"/>
    <w:uiPriority w:val="9"/>
    <w:qFormat/>
    <w:rPr>
      <w:rFonts w:ascii="Arial" w:hAnsi="Arial" w:eastAsia="Arial" w:cs="Arial"/>
      <w:i/>
      <w:iCs/>
      <w:sz w:val="21"/>
      <w:szCs w:val="21"/>
    </w:rPr>
  </w:style>
  <w:style w:type="character" w:styleId="869" w:customStyle="1">
    <w:name w:val="标题 5 字符"/>
    <w:link w:val="846"/>
    <w:uiPriority w:val="9"/>
    <w:qFormat/>
    <w:rPr>
      <w:rFonts w:ascii="Arial" w:hAnsi="Arial" w:eastAsia="Arial" w:cs="Arial"/>
      <w:b/>
      <w:bCs/>
      <w:sz w:val="24"/>
      <w:szCs w:val="24"/>
    </w:rPr>
  </w:style>
  <w:style w:type="character" w:styleId="870" w:customStyle="1">
    <w:name w:val="font121"/>
    <w:link w:val="756"/>
    <w:uiPriority w:val="0"/>
    <w:qFormat/>
    <w:rPr>
      <w:rFonts w:hint="eastAsia" w:ascii="宋体" w:hAnsi="宋体" w:eastAsia="宋体" w:cs="宋体"/>
      <w:color w:val="000000"/>
      <w:sz w:val="18"/>
      <w:szCs w:val="18"/>
      <w:u w:val="none"/>
    </w:rPr>
  </w:style>
  <w:style w:type="character" w:styleId="871" w:customStyle="1">
    <w:name w:val="明显引用 字符"/>
    <w:link w:val="872"/>
    <w:uiPriority w:val="30"/>
    <w:qFormat/>
    <w:rPr>
      <w:i/>
    </w:rPr>
  </w:style>
  <w:style w:type="paragraph" w:styleId="872" w:customStyle="1">
    <w:name w:val="明显引用"/>
    <w:basedOn w:val="756"/>
    <w:next w:val="756"/>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引用 字符"/>
    <w:link w:val="874"/>
    <w:uiPriority w:val="29"/>
    <w:qFormat/>
    <w:rPr>
      <w:i/>
    </w:rPr>
  </w:style>
  <w:style w:type="paragraph" w:styleId="874" w:customStyle="1">
    <w:name w:val="引用"/>
    <w:basedOn w:val="756"/>
    <w:next w:val="756"/>
    <w:link w:val="873"/>
    <w:uiPriority w:val="29"/>
    <w:qFormat/>
    <w:pPr>
      <w:ind w:left="720" w:right="720"/>
    </w:pPr>
    <w:rPr>
      <w:i/>
    </w:rPr>
  </w:style>
  <w:style w:type="character" w:styleId="875" w:customStyle="1">
    <w:name w:val="标题 1 字符"/>
    <w:link w:val="843"/>
    <w:uiPriority w:val="9"/>
    <w:qFormat/>
    <w:rPr>
      <w:rFonts w:ascii="Arial" w:hAnsi="Arial" w:eastAsia="Arial" w:cs="Arial"/>
      <w:sz w:val="40"/>
      <w:szCs w:val="40"/>
    </w:rPr>
  </w:style>
  <w:style w:type="character" w:styleId="876" w:customStyle="1">
    <w:name w:val="标题 6 字符"/>
    <w:link w:val="847"/>
    <w:uiPriority w:val="9"/>
    <w:qFormat/>
    <w:rPr>
      <w:rFonts w:ascii="Arial" w:hAnsi="Arial" w:eastAsia="Arial" w:cs="Arial"/>
      <w:b/>
      <w:bCs/>
      <w:sz w:val="22"/>
      <w:szCs w:val="22"/>
    </w:rPr>
  </w:style>
  <w:style w:type="character" w:styleId="877" w:customStyle="1">
    <w:name w:val="页脚 字符"/>
    <w:link w:val="878"/>
    <w:uiPriority w:val="99"/>
    <w:qFormat/>
  </w:style>
  <w:style w:type="paragraph" w:styleId="878" w:customStyle="1">
    <w:name w:val="页脚11"/>
    <w:basedOn w:val="756"/>
    <w:link w:val="877"/>
    <w:uiPriority w:val="99"/>
    <w:unhideWhenUsed/>
    <w:qFormat/>
    <w:pPr>
      <w:spacing w:after="0" w:line="240" w:lineRule="auto"/>
      <w:tabs>
        <w:tab w:val="center" w:pos="7143" w:leader="none"/>
        <w:tab w:val="right" w:pos="14287" w:leader="none"/>
      </w:tabs>
    </w:pPr>
  </w:style>
  <w:style w:type="character" w:styleId="879" w:customStyle="1">
    <w:name w:val="标题 8 字符"/>
    <w:link w:val="849"/>
    <w:uiPriority w:val="9"/>
    <w:qFormat/>
    <w:rPr>
      <w:rFonts w:ascii="Arial" w:hAnsi="Arial" w:eastAsia="Arial" w:cs="Arial"/>
      <w:i/>
      <w:iCs/>
      <w:sz w:val="22"/>
      <w:szCs w:val="22"/>
    </w:rPr>
  </w:style>
  <w:style w:type="character" w:styleId="880" w:customStyle="1">
    <w:name w:val="标题 7 字符"/>
    <w:link w:val="848"/>
    <w:uiPriority w:val="9"/>
    <w:qFormat/>
    <w:rPr>
      <w:rFonts w:ascii="Arial" w:hAnsi="Arial" w:eastAsia="Arial" w:cs="Arial"/>
      <w:b/>
      <w:bCs/>
      <w:i/>
      <w:iCs/>
      <w:sz w:val="22"/>
      <w:szCs w:val="22"/>
    </w:rPr>
  </w:style>
  <w:style w:type="character" w:styleId="881" w:customStyle="1">
    <w:name w:val="脚注文本 字符"/>
    <w:link w:val="818"/>
    <w:uiPriority w:val="99"/>
    <w:qFormat/>
    <w:rPr>
      <w:sz w:val="18"/>
    </w:rPr>
  </w:style>
  <w:style w:type="character" w:styleId="882" w:customStyle="1">
    <w:name w:val="尾注文本 字符"/>
    <w:link w:val="883"/>
    <w:uiPriority w:val="99"/>
    <w:qFormat/>
    <w:rPr>
      <w:sz w:val="20"/>
    </w:rPr>
  </w:style>
  <w:style w:type="paragraph" w:styleId="883" w:customStyle="1">
    <w:name w:val="尾注文本1"/>
    <w:basedOn w:val="756"/>
    <w:link w:val="882"/>
    <w:uiPriority w:val="99"/>
    <w:unhideWhenUsed/>
    <w:qFormat/>
    <w:pPr>
      <w:spacing w:after="0" w:line="240" w:lineRule="auto"/>
    </w:pPr>
    <w:rPr>
      <w:sz w:val="20"/>
    </w:rPr>
  </w:style>
  <w:style w:type="character" w:styleId="884" w:customStyle="1">
    <w:name w:val="默认段落字体1"/>
    <w:link w:val="756"/>
    <w:uiPriority w:val="1"/>
    <w:unhideWhenUsed/>
    <w:qFormat/>
  </w:style>
  <w:style w:type="character" w:styleId="885" w:customStyle="1">
    <w:name w:val="超链接1"/>
    <w:link w:val="756"/>
    <w:uiPriority w:val="99"/>
    <w:unhideWhenUsed/>
    <w:qFormat/>
    <w:rPr>
      <w:color w:val="0000ff"/>
      <w:u w:val="single"/>
    </w:rPr>
  </w:style>
  <w:style w:type="character" w:styleId="886" w:customStyle="1">
    <w:name w:val="批注引用1"/>
    <w:link w:val="756"/>
    <w:uiPriority w:val="0"/>
    <w:qFormat/>
    <w:rPr>
      <w:sz w:val="21"/>
      <w:szCs w:val="21"/>
    </w:rPr>
  </w:style>
  <w:style w:type="character" w:styleId="887" w:customStyle="1">
    <w:name w:val="批注文字 字符"/>
    <w:link w:val="888"/>
    <w:uiPriority w:val="0"/>
    <w:qFormat/>
    <w:rPr>
      <w:rFonts w:ascii="Times New Roman" w:hAnsi="Times New Roman" w:eastAsia="宋体" w:cs="Times New Roman"/>
      <w:sz w:val="21"/>
      <w:szCs w:val="24"/>
    </w:rPr>
  </w:style>
  <w:style w:type="paragraph" w:styleId="888" w:customStyle="1">
    <w:name w:val="批注文字1"/>
    <w:basedOn w:val="756"/>
    <w:link w:val="887"/>
    <w:uiPriority w:val="0"/>
    <w:qFormat/>
    <w:pPr>
      <w:jc w:val="left"/>
    </w:pPr>
  </w:style>
  <w:style w:type="character" w:styleId="889" w:customStyle="1">
    <w:name w:val="批注主题 字符"/>
    <w:link w:val="890"/>
    <w:uiPriority w:val="0"/>
    <w:qFormat/>
    <w:rPr>
      <w:rFonts w:ascii="Times New Roman" w:hAnsi="Times New Roman" w:eastAsia="宋体" w:cs="Times New Roman"/>
      <w:b/>
      <w:bCs/>
      <w:sz w:val="21"/>
      <w:szCs w:val="24"/>
    </w:rPr>
  </w:style>
  <w:style w:type="paragraph" w:styleId="890" w:customStyle="1">
    <w:name w:val="批注主题1"/>
    <w:basedOn w:val="888"/>
    <w:next w:val="888"/>
    <w:link w:val="889"/>
    <w:uiPriority w:val="0"/>
    <w:qFormat/>
    <w:rPr>
      <w:b/>
      <w:bCs/>
    </w:rPr>
  </w:style>
  <w:style w:type="character" w:styleId="891" w:customStyle="1">
    <w:name w:val="font11"/>
    <w:link w:val="756"/>
    <w:uiPriority w:val="0"/>
    <w:qFormat/>
    <w:rPr>
      <w:rFonts w:hint="eastAsia" w:ascii="黑体" w:hAnsi="宋体" w:eastAsia="黑体" w:cs="黑体"/>
      <w:color w:val="000000"/>
      <w:sz w:val="18"/>
      <w:szCs w:val="18"/>
      <w:u w:val="none"/>
    </w:rPr>
  </w:style>
  <w:style w:type="character" w:styleId="892" w:customStyle="1">
    <w:name w:val="wyg1"/>
    <w:basedOn w:val="766"/>
    <w:link w:val="756"/>
    <w:uiPriority w:val="6"/>
    <w:qFormat/>
    <w:rPr>
      <w:color w:val="000000"/>
      <w:sz w:val="20"/>
      <w:szCs w:val="20"/>
      <w:u w:val="none"/>
    </w:rPr>
  </w:style>
  <w:style w:type="character" w:styleId="893" w:customStyle="1">
    <w:name w:val="NormalCharacter1"/>
    <w:link w:val="756"/>
    <w:uiPriority w:val="0"/>
    <w:semiHidden/>
    <w:qFormat/>
    <w:rPr>
      <w:sz w:val="28"/>
      <w:lang w:val="en-US" w:eastAsia="zh-CN" w:bidi="ar-SA"/>
    </w:rPr>
  </w:style>
  <w:style w:type="character" w:styleId="894" w:customStyle="1">
    <w:name w:val="font21"/>
    <w:link w:val="756"/>
    <w:uiPriority w:val="0"/>
    <w:qFormat/>
    <w:rPr>
      <w:rFonts w:hint="eastAsia" w:ascii="宋体" w:hAnsi="宋体" w:eastAsia="宋体" w:cs="宋体"/>
      <w:b/>
      <w:bCs/>
      <w:color w:val="000000"/>
      <w:sz w:val="28"/>
      <w:szCs w:val="28"/>
      <w:u w:val="none"/>
    </w:rPr>
  </w:style>
  <w:style w:type="character" w:styleId="895" w:customStyle="1">
    <w:name w:val="font131"/>
    <w:link w:val="756"/>
    <w:uiPriority w:val="0"/>
    <w:qFormat/>
    <w:rPr>
      <w:rFonts w:hint="eastAsia" w:ascii="宋体" w:hAnsi="宋体" w:eastAsia="宋体" w:cs="宋体"/>
      <w:color w:val="000000"/>
      <w:sz w:val="20"/>
      <w:szCs w:val="20"/>
      <w:u w:val="none"/>
    </w:rPr>
  </w:style>
  <w:style w:type="character" w:styleId="896" w:customStyle="1">
    <w:name w:val="font41"/>
    <w:link w:val="756"/>
    <w:uiPriority w:val="0"/>
    <w:qFormat/>
    <w:rPr>
      <w:rFonts w:ascii="Arial" w:hAnsi="Arial" w:cs="Arial"/>
      <w:color w:val="000000"/>
      <w:sz w:val="22"/>
      <w:szCs w:val="22"/>
      <w:u w:val="none"/>
    </w:rPr>
  </w:style>
  <w:style w:type="paragraph" w:styleId="897" w:customStyle="1">
    <w:name w:val="题注1"/>
    <w:basedOn w:val="756"/>
    <w:next w:val="756"/>
    <w:uiPriority w:val="35"/>
    <w:qFormat/>
    <w:pPr>
      <w:spacing w:line="276" w:lineRule="auto"/>
    </w:pPr>
    <w:rPr>
      <w:b/>
      <w:bCs/>
      <w:color w:val="4f81bd"/>
      <w:sz w:val="18"/>
      <w:szCs w:val="18"/>
    </w:rPr>
  </w:style>
  <w:style w:type="paragraph" w:styleId="898" w:customStyle="1">
    <w:name w:val="目录 91"/>
    <w:basedOn w:val="756"/>
    <w:next w:val="756"/>
    <w:uiPriority w:val="39"/>
    <w:unhideWhenUsed/>
    <w:qFormat/>
    <w:pPr>
      <w:ind w:left="2268" w:right="0" w:firstLine="0"/>
      <w:spacing w:after="57"/>
    </w:pPr>
  </w:style>
  <w:style w:type="paragraph" w:styleId="899" w:customStyle="1">
    <w:name w:val="正文缩进11"/>
    <w:basedOn w:val="756"/>
    <w:uiPriority w:val="0"/>
    <w:unhideWhenUsed/>
    <w:qFormat/>
    <w:pPr>
      <w:ind w:firstLine="420"/>
    </w:pPr>
  </w:style>
  <w:style w:type="paragraph" w:styleId="900" w:customStyle="1">
    <w:name w:val="目录 71"/>
    <w:basedOn w:val="756"/>
    <w:next w:val="756"/>
    <w:uiPriority w:val="39"/>
    <w:unhideWhenUsed/>
    <w:qFormat/>
    <w:pPr>
      <w:ind w:left="1701" w:right="0" w:firstLine="0"/>
      <w:spacing w:after="57"/>
    </w:pPr>
  </w:style>
  <w:style w:type="paragraph" w:styleId="901" w:customStyle="1">
    <w:name w:val="图表目录1"/>
    <w:basedOn w:val="756"/>
    <w:next w:val="756"/>
    <w:uiPriority w:val="99"/>
    <w:unhideWhenUsed/>
    <w:qFormat/>
    <w:pPr>
      <w:spacing w:after="0" w:afterAutospacing="0"/>
    </w:pPr>
  </w:style>
  <w:style w:type="paragraph" w:styleId="902" w:customStyle="1">
    <w:name w:val="目录 31"/>
    <w:basedOn w:val="756"/>
    <w:next w:val="756"/>
    <w:uiPriority w:val="39"/>
    <w:unhideWhenUsed/>
    <w:qFormat/>
    <w:pPr>
      <w:ind w:left="567" w:right="0" w:firstLine="0"/>
      <w:spacing w:after="57"/>
    </w:pPr>
  </w:style>
  <w:style w:type="paragraph" w:styleId="903" w:customStyle="1">
    <w:name w:val="目录 61"/>
    <w:basedOn w:val="756"/>
    <w:next w:val="756"/>
    <w:uiPriority w:val="39"/>
    <w:unhideWhenUsed/>
    <w:qFormat/>
    <w:pPr>
      <w:ind w:left="1417" w:right="0" w:firstLine="0"/>
      <w:spacing w:after="57"/>
    </w:pPr>
  </w:style>
  <w:style w:type="paragraph" w:styleId="904" w:customStyle="1">
    <w:name w:val="目录 41"/>
    <w:basedOn w:val="756"/>
    <w:next w:val="756"/>
    <w:uiPriority w:val="39"/>
    <w:unhideWhenUsed/>
    <w:qFormat/>
    <w:pPr>
      <w:ind w:left="850" w:right="0" w:firstLine="0"/>
      <w:spacing w:after="57"/>
    </w:pPr>
  </w:style>
  <w:style w:type="paragraph" w:styleId="905" w:customStyle="1">
    <w:name w:val="正文缩进1"/>
    <w:basedOn w:val="756"/>
    <w:uiPriority w:val="0"/>
    <w:qFormat/>
    <w:pPr>
      <w:ind w:firstLine="420"/>
    </w:pPr>
  </w:style>
  <w:style w:type="paragraph" w:styleId="906" w:customStyle="1">
    <w:name w:val="目录 21"/>
    <w:basedOn w:val="756"/>
    <w:next w:val="756"/>
    <w:uiPriority w:val="39"/>
    <w:unhideWhenUsed/>
    <w:qFormat/>
    <w:pPr>
      <w:ind w:left="283" w:right="0" w:firstLine="0"/>
      <w:spacing w:after="57"/>
    </w:pPr>
  </w:style>
  <w:style w:type="paragraph" w:styleId="907" w:customStyle="1">
    <w:name w:val="目录 51"/>
    <w:basedOn w:val="756"/>
    <w:next w:val="756"/>
    <w:uiPriority w:val="39"/>
    <w:unhideWhenUsed/>
    <w:qFormat/>
    <w:pPr>
      <w:ind w:left="1134" w:right="0" w:firstLine="0"/>
      <w:spacing w:after="57"/>
    </w:pPr>
  </w:style>
  <w:style w:type="paragraph" w:styleId="908" w:customStyle="1">
    <w:name w:val="目录 81"/>
    <w:basedOn w:val="756"/>
    <w:next w:val="756"/>
    <w:uiPriority w:val="39"/>
    <w:unhideWhenUsed/>
    <w:qFormat/>
    <w:pPr>
      <w:ind w:left="1984" w:right="0" w:firstLine="0"/>
      <w:spacing w:after="57"/>
    </w:pPr>
  </w:style>
  <w:style w:type="paragraph" w:styleId="909" w:customStyle="1">
    <w:name w:val="普通(网站)1"/>
    <w:basedOn w:val="756"/>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10" w:customStyle="1">
    <w:name w:val="列表段落"/>
    <w:basedOn w:val="756"/>
    <w:uiPriority w:val="34"/>
    <w:qFormat/>
    <w:pPr>
      <w:contextualSpacing/>
      <w:ind w:left="720"/>
    </w:pPr>
  </w:style>
  <w:style w:type="paragraph" w:styleId="911" w:customStyle="1">
    <w:name w:val="TOC Heading"/>
    <w:uiPriority w:val="39"/>
    <w:unhideWhenUsed/>
    <w:qFormat/>
    <w:rPr>
      <w:rFonts w:hint="default" w:ascii="Calibri" w:hAnsi="Calibri" w:eastAsia="宋体" w:cs="Times New Roman"/>
      <w:lang w:val="en-US" w:eastAsia="zh-CN" w:bidi="ar-SA"/>
    </w:rPr>
  </w:style>
  <w:style w:type="paragraph" w:styleId="912" w:customStyle="1">
    <w:name w:val="页眉1"/>
    <w:basedOn w:val="756"/>
    <w:uiPriority w:val="99"/>
    <w:qFormat/>
    <w:pPr>
      <w:jc w:val="center"/>
      <w:tabs>
        <w:tab w:val="center" w:pos="4153" w:leader="none"/>
        <w:tab w:val="right" w:pos="8306" w:leader="none"/>
      </w:tabs>
      <w:pBdr>
        <w:bottom w:val="single" w:color="000000" w:sz="6" w:space="1"/>
      </w:pBdr>
    </w:pPr>
    <w:rPr>
      <w:sz w:val="18"/>
      <w:szCs w:val="18"/>
    </w:rPr>
  </w:style>
  <w:style w:type="paragraph" w:styleId="913" w:customStyle="1">
    <w:name w:val="无间隔"/>
    <w:uiPriority w:val="1"/>
    <w:qFormat/>
    <w:rPr>
      <w:rFonts w:hint="default" w:ascii="Calibri" w:hAnsi="Calibri" w:eastAsia="宋体" w:cs="Times New Roman"/>
      <w:lang w:val="en-US" w:eastAsia="zh-CN" w:bidi="ar-SA"/>
    </w:rPr>
  </w:style>
  <w:style w:type="paragraph" w:styleId="914" w:customStyle="1">
    <w:name w:val="EnvelopeReturn1"/>
    <w:basedOn w:val="756"/>
    <w:uiPriority w:val="0"/>
    <w:qFormat/>
    <w:rPr>
      <w:rFonts w:ascii="Arial" w:hAnsi="Arial"/>
    </w:rPr>
  </w:style>
  <w:style w:type="paragraph" w:styleId="915" w:customStyle="1">
    <w:name w:val="EnvelopeReturn11"/>
    <w:basedOn w:val="756"/>
    <w:uiPriority w:val="0"/>
    <w:qFormat/>
    <w:rPr>
      <w:rFonts w:ascii="Arial" w:hAnsi="Arial"/>
    </w:rPr>
  </w:style>
  <w:style w:type="paragraph" w:styleId="916" w:customStyle="1">
    <w:name w:val="标题 11"/>
    <w:basedOn w:val="756"/>
    <w:next w:val="756"/>
    <w:uiPriority w:val="0"/>
    <w:qFormat/>
    <w:pPr>
      <w:jc w:val="center"/>
      <w:keepLines/>
      <w:keepNext/>
      <w:spacing w:line="578" w:lineRule="auto"/>
      <w:outlineLvl w:val="0"/>
    </w:pPr>
    <w:rPr>
      <w:rFonts w:eastAsia="新宋体"/>
      <w:b/>
      <w:bCs/>
      <w:sz w:val="30"/>
      <w:szCs w:val="44"/>
    </w:rPr>
  </w:style>
  <w:style w:type="paragraph" w:styleId="917" w:customStyle="1">
    <w:name w:val="段"/>
    <w:basedOn w:val="806"/>
    <w:next w:val="756"/>
    <w:uiPriority w:val="0"/>
    <w:qFormat/>
    <w:pPr>
      <w:ind w:firstLine="200"/>
      <w:widowControl/>
    </w:pPr>
    <w:rPr>
      <w:sz w:val="20"/>
    </w:rPr>
  </w:style>
  <w:style w:type="paragraph" w:styleId="918" w:customStyle="1">
    <w:name w:val="BodyTextIndent1"/>
    <w:basedOn w:val="756"/>
    <w:next w:val="914"/>
    <w:uiPriority w:val="0"/>
    <w:qFormat/>
    <w:pPr>
      <w:ind w:left="420"/>
      <w:spacing w:after="120"/>
    </w:pPr>
  </w:style>
  <w:style w:type="paragraph" w:styleId="919" w:customStyle="1">
    <w:name w:val="页脚1"/>
    <w:basedOn w:val="756"/>
    <w:uiPriority w:val="99"/>
    <w:qFormat/>
    <w:pPr>
      <w:jc w:val="left"/>
      <w:tabs>
        <w:tab w:val="center" w:pos="4153" w:leader="none"/>
        <w:tab w:val="right" w:pos="8306" w:leader="none"/>
      </w:tabs>
    </w:pPr>
    <w:rPr>
      <w:sz w:val="18"/>
      <w:szCs w:val="18"/>
    </w:rPr>
  </w:style>
  <w:style w:type="paragraph" w:styleId="920" w:customStyle="1">
    <w:name w:val="正文缩进2"/>
    <w:basedOn w:val="756"/>
    <w:uiPriority w:val="0"/>
    <w:qFormat/>
    <w:pPr>
      <w:ind w:firstLine="420"/>
    </w:pPr>
  </w:style>
  <w:style w:type="paragraph" w:styleId="921" w:customStyle="1">
    <w:name w:val="BodyTextIndent11"/>
    <w:basedOn w:val="756"/>
    <w:next w:val="915"/>
    <w:uiPriority w:val="0"/>
    <w:qFormat/>
    <w:pPr>
      <w:ind w:left="420"/>
      <w:spacing w:after="120"/>
    </w:pPr>
  </w:style>
  <w:style w:type="paragraph" w:styleId="922" w:customStyle="1">
    <w:name w:val="Body text|21"/>
    <w:basedOn w:val="756"/>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23" w:customStyle="1">
    <w:name w:val="Grid Table 4 - Accent 2"/>
    <w:uiPriority w:val="59"/>
    <w:qFormat/>
    <w:rPr>
      <w:lang w:val="en-US" w:eastAsia="zh-CN" w:bidi="ar-SA"/>
    </w:rPr>
    <w:tblPr/>
  </w:style>
  <w:style w:type="table" w:styleId="924" w:customStyle="1">
    <w:name w:val="Lined - Accent 3"/>
    <w:uiPriority w:val="99"/>
    <w:qFormat/>
    <w:rPr>
      <w:color w:val="404040"/>
      <w:lang w:val="en-US" w:eastAsia="zh-CN" w:bidi="ar-SA"/>
    </w:rPr>
    <w:tblPr/>
  </w:style>
  <w:style w:type="table" w:styleId="925" w:customStyle="1">
    <w:name w:val="网格型11"/>
    <w:uiPriority w:val="59"/>
    <w:qFormat/>
    <w:rPr>
      <w:lang w:val="en-US" w:eastAsia="zh-CN" w:bidi="ar-SA"/>
    </w:rPr>
    <w:tblPr/>
  </w:style>
  <w:style w:type="table" w:styleId="926" w:customStyle="1">
    <w:name w:val="List Table 6 Colorful - Accent 1"/>
    <w:uiPriority w:val="99"/>
    <w:qFormat/>
    <w:rPr>
      <w:lang w:val="en-US" w:eastAsia="zh-CN" w:bidi="ar-SA"/>
    </w:rPr>
    <w:tblPr/>
  </w:style>
  <w:style w:type="table" w:styleId="927" w:customStyle="1">
    <w:name w:val="Grid Table 2 - Accent 4"/>
    <w:uiPriority w:val="99"/>
    <w:qFormat/>
    <w:rPr>
      <w:lang w:val="en-US" w:eastAsia="zh-CN" w:bidi="ar-SA"/>
    </w:rPr>
    <w:tblPr/>
  </w:style>
  <w:style w:type="table" w:styleId="928" w:customStyle="1">
    <w:name w:val="List Table 3 - Accent 5"/>
    <w:uiPriority w:val="99"/>
    <w:qFormat/>
    <w:rPr>
      <w:lang w:val="en-US" w:eastAsia="zh-CN" w:bidi="ar-SA"/>
    </w:rPr>
    <w:tblPr/>
  </w:style>
  <w:style w:type="table" w:styleId="929" w:customStyle="1">
    <w:name w:val="普通表格1"/>
    <w:uiPriority w:val="99"/>
    <w:unhideWhenUsed/>
    <w:qFormat/>
    <w:rPr>
      <w:lang w:val="en-US" w:eastAsia="zh-CN" w:bidi="ar-SA"/>
    </w:rPr>
    <w:tblPr/>
  </w:style>
  <w:style w:type="table" w:styleId="930" w:customStyle="1">
    <w:name w:val="List Table 3 - Accent 3"/>
    <w:uiPriority w:val="99"/>
    <w:qFormat/>
    <w:rPr>
      <w:lang w:val="en-US" w:eastAsia="zh-CN" w:bidi="ar-SA"/>
    </w:rPr>
    <w:tblPr/>
  </w:style>
  <w:style w:type="table" w:styleId="931" w:customStyle="1">
    <w:name w:val="List Table 4 - Accent 2"/>
    <w:uiPriority w:val="99"/>
    <w:qFormat/>
    <w:rPr>
      <w:lang w:val="en-US" w:eastAsia="zh-CN" w:bidi="ar-SA"/>
    </w:rPr>
    <w:tblPr/>
  </w:style>
  <w:style w:type="table" w:styleId="932" w:customStyle="1">
    <w:name w:val="List Table 6 Colorful - Accent 2"/>
    <w:uiPriority w:val="99"/>
    <w:qFormat/>
    <w:rPr>
      <w:lang w:val="en-US" w:eastAsia="zh-CN" w:bidi="ar-SA"/>
    </w:rPr>
    <w:tblPr/>
  </w:style>
  <w:style w:type="table" w:styleId="933" w:customStyle="1">
    <w:name w:val="List Table 4 - Accent 4"/>
    <w:uiPriority w:val="99"/>
    <w:qFormat/>
    <w:rPr>
      <w:lang w:val="en-US" w:eastAsia="zh-CN" w:bidi="ar-SA"/>
    </w:rPr>
    <w:tblPr/>
  </w:style>
  <w:style w:type="table" w:styleId="934" w:customStyle="1">
    <w:name w:val="List Table 5 Dark - Accent 3"/>
    <w:uiPriority w:val="99"/>
    <w:qFormat/>
    <w:rPr>
      <w:lang w:val="en-US" w:eastAsia="zh-CN" w:bidi="ar-SA"/>
    </w:rPr>
    <w:tblPr/>
  </w:style>
  <w:style w:type="table" w:styleId="935" w:customStyle="1">
    <w:name w:val="List Table 2"/>
    <w:uiPriority w:val="99"/>
    <w:qFormat/>
    <w:rPr>
      <w:lang w:val="en-US" w:eastAsia="zh-CN" w:bidi="ar-SA"/>
    </w:rPr>
    <w:tblPr/>
  </w:style>
  <w:style w:type="table" w:styleId="936" w:customStyle="1">
    <w:name w:val="List Table 5 Dark - Accent 1"/>
    <w:uiPriority w:val="99"/>
    <w:qFormat/>
    <w:rPr>
      <w:lang w:val="en-US" w:eastAsia="zh-CN" w:bidi="ar-SA"/>
    </w:rPr>
    <w:tblPr/>
  </w:style>
  <w:style w:type="table" w:styleId="937" w:customStyle="1">
    <w:name w:val="Grid Table 7 Colorful - Accent 5"/>
    <w:uiPriority w:val="99"/>
    <w:qFormat/>
    <w:rPr>
      <w:lang w:val="en-US" w:eastAsia="zh-CN" w:bidi="ar-SA"/>
    </w:rPr>
    <w:tblPr/>
  </w:style>
  <w:style w:type="table" w:styleId="938" w:customStyle="1">
    <w:name w:val="List Table 2 - Accent 5"/>
    <w:uiPriority w:val="99"/>
    <w:qFormat/>
    <w:rPr>
      <w:lang w:val="en-US" w:eastAsia="zh-CN" w:bidi="ar-SA"/>
    </w:rPr>
    <w:tblPr/>
  </w:style>
  <w:style w:type="table" w:styleId="939" w:customStyle="1">
    <w:name w:val="List Table 5 Dark"/>
    <w:uiPriority w:val="99"/>
    <w:qFormat/>
    <w:rPr>
      <w:lang w:val="en-US" w:eastAsia="zh-CN" w:bidi="ar-SA"/>
    </w:rPr>
    <w:tblPr/>
  </w:style>
  <w:style w:type="table" w:styleId="940" w:customStyle="1">
    <w:name w:val="List Table 1 Light - Accent 5"/>
    <w:uiPriority w:val="99"/>
    <w:qFormat/>
    <w:rPr>
      <w:lang w:val="en-US" w:eastAsia="zh-CN" w:bidi="ar-SA"/>
    </w:rPr>
    <w:tblPr/>
  </w:style>
  <w:style w:type="table" w:styleId="941" w:customStyle="1">
    <w:name w:val="Grid Table 7 Colorful - Accent 3"/>
    <w:uiPriority w:val="99"/>
    <w:qFormat/>
    <w:rPr>
      <w:lang w:val="en-US" w:eastAsia="zh-CN" w:bidi="ar-SA"/>
    </w:rPr>
    <w:tblPr/>
  </w:style>
  <w:style w:type="table" w:styleId="942" w:customStyle="1">
    <w:name w:val="List Table 3 - Accent 6"/>
    <w:uiPriority w:val="99"/>
    <w:qFormat/>
    <w:rPr>
      <w:lang w:val="en-US" w:eastAsia="zh-CN" w:bidi="ar-SA"/>
    </w:rPr>
    <w:tblPr/>
  </w:style>
  <w:style w:type="table" w:styleId="943" w:customStyle="1">
    <w:name w:val="List Table 5 Dark - Accent 6"/>
    <w:uiPriority w:val="99"/>
    <w:qFormat/>
    <w:rPr>
      <w:lang w:val="en-US" w:eastAsia="zh-CN" w:bidi="ar-SA"/>
    </w:rPr>
    <w:tblPr/>
  </w:style>
  <w:style w:type="table" w:styleId="944" w:customStyle="1">
    <w:name w:val="List Table 4 - Accent 3"/>
    <w:uiPriority w:val="99"/>
    <w:qFormat/>
    <w:rPr>
      <w:lang w:val="en-US" w:eastAsia="zh-CN" w:bidi="ar-SA"/>
    </w:rPr>
    <w:tblPr/>
  </w:style>
  <w:style w:type="table" w:styleId="945" w:customStyle="1">
    <w:name w:val="List Table 5 Dark - Accent 2"/>
    <w:uiPriority w:val="99"/>
    <w:qFormat/>
    <w:rPr>
      <w:lang w:val="en-US" w:eastAsia="zh-CN" w:bidi="ar-SA"/>
    </w:rPr>
    <w:tblPr/>
  </w:style>
  <w:style w:type="table" w:styleId="946" w:customStyle="1">
    <w:name w:val="List Table 2 - Accent 3"/>
    <w:uiPriority w:val="99"/>
    <w:qFormat/>
    <w:rPr>
      <w:lang w:val="en-US" w:eastAsia="zh-CN" w:bidi="ar-SA"/>
    </w:rPr>
    <w:tblPr/>
  </w:style>
  <w:style w:type="table" w:styleId="947" w:customStyle="1">
    <w:name w:val="Grid Table 7 Colorful"/>
    <w:uiPriority w:val="99"/>
    <w:qFormat/>
    <w:rPr>
      <w:lang w:val="en-US" w:eastAsia="zh-CN" w:bidi="ar-SA"/>
    </w:rPr>
    <w:tblPr/>
  </w:style>
  <w:style w:type="table" w:styleId="948" w:customStyle="1">
    <w:name w:val="List Table 4 - Accent 5"/>
    <w:uiPriority w:val="99"/>
    <w:qFormat/>
    <w:rPr>
      <w:lang w:val="en-US" w:eastAsia="zh-CN" w:bidi="ar-SA"/>
    </w:rPr>
    <w:tblPr/>
  </w:style>
  <w:style w:type="table" w:styleId="949" w:customStyle="1">
    <w:name w:val="网格型1"/>
    <w:basedOn w:val="929"/>
    <w:uiPriority w:val="39"/>
    <w:qFormat/>
    <w:tblPr/>
  </w:style>
  <w:style w:type="table" w:styleId="950" w:customStyle="1">
    <w:name w:val="List Table 1 Light - Accent 4"/>
    <w:uiPriority w:val="99"/>
    <w:qFormat/>
    <w:rPr>
      <w:lang w:val="en-US" w:eastAsia="zh-CN" w:bidi="ar-SA"/>
    </w:rPr>
    <w:tblPr/>
  </w:style>
  <w:style w:type="table" w:styleId="951" w:customStyle="1">
    <w:name w:val="List Table 6 Colorful - Accent 3"/>
    <w:uiPriority w:val="99"/>
    <w:qFormat/>
    <w:rPr>
      <w:lang w:val="en-US" w:eastAsia="zh-CN" w:bidi="ar-SA"/>
    </w:rPr>
    <w:tblPr/>
  </w:style>
  <w:style w:type="table" w:styleId="952" w:customStyle="1">
    <w:name w:val="List Table 3 - Accent 2"/>
    <w:uiPriority w:val="99"/>
    <w:qFormat/>
    <w:rPr>
      <w:lang w:val="en-US" w:eastAsia="zh-CN" w:bidi="ar-SA"/>
    </w:rPr>
    <w:tblPr/>
  </w:style>
  <w:style w:type="table" w:styleId="953" w:customStyle="1">
    <w:name w:val="List Table 1 Light"/>
    <w:uiPriority w:val="99"/>
    <w:qFormat/>
    <w:rPr>
      <w:lang w:val="en-US" w:eastAsia="zh-CN" w:bidi="ar-SA"/>
    </w:rPr>
    <w:tblPr/>
  </w:style>
  <w:style w:type="table" w:styleId="954" w:customStyle="1">
    <w:name w:val="List Table 6 Colorful"/>
    <w:uiPriority w:val="99"/>
    <w:qFormat/>
    <w:rPr>
      <w:lang w:val="en-US" w:eastAsia="zh-CN" w:bidi="ar-SA"/>
    </w:rPr>
    <w:tblPr/>
  </w:style>
  <w:style w:type="table" w:styleId="955" w:customStyle="1">
    <w:name w:val="Grid Table 7 Colorful - Accent 2"/>
    <w:uiPriority w:val="99"/>
    <w:qFormat/>
    <w:rPr>
      <w:lang w:val="en-US" w:eastAsia="zh-CN" w:bidi="ar-SA"/>
    </w:rPr>
    <w:tblPr/>
  </w:style>
  <w:style w:type="table" w:styleId="956" w:customStyle="1">
    <w:name w:val="List Table 2 - Accent 4"/>
    <w:uiPriority w:val="99"/>
    <w:qFormat/>
    <w:rPr>
      <w:lang w:val="en-US" w:eastAsia="zh-CN" w:bidi="ar-SA"/>
    </w:rPr>
    <w:tblPr/>
  </w:style>
  <w:style w:type="table" w:styleId="957" w:customStyle="1">
    <w:name w:val="Grid Table 6 Colorful - Accent 1"/>
    <w:uiPriority w:val="99"/>
    <w:qFormat/>
    <w:rPr>
      <w:lang w:val="en-US" w:eastAsia="zh-CN" w:bidi="ar-SA"/>
    </w:rPr>
    <w:tblPr/>
  </w:style>
  <w:style w:type="table" w:styleId="958" w:customStyle="1">
    <w:name w:val="Grid Table 3 - Accent 2"/>
    <w:uiPriority w:val="99"/>
    <w:qFormat/>
    <w:rPr>
      <w:lang w:val="en-US" w:eastAsia="zh-CN" w:bidi="ar-SA"/>
    </w:rPr>
    <w:tblPr/>
  </w:style>
  <w:style w:type="table" w:styleId="959" w:customStyle="1">
    <w:name w:val="Grid Table 5 Dark- Accent 4"/>
    <w:uiPriority w:val="99"/>
    <w:qFormat/>
    <w:rPr>
      <w:lang w:val="en-US" w:eastAsia="zh-CN" w:bidi="ar-SA"/>
    </w:rPr>
    <w:tblPr/>
  </w:style>
  <w:style w:type="table" w:styleId="960" w:customStyle="1">
    <w:name w:val="List Table 7 Colorful - Accent 2"/>
    <w:uiPriority w:val="99"/>
    <w:qFormat/>
    <w:rPr>
      <w:lang w:val="en-US" w:eastAsia="zh-CN" w:bidi="ar-SA"/>
    </w:rPr>
    <w:tblPr/>
  </w:style>
  <w:style w:type="table" w:styleId="961" w:customStyle="1">
    <w:name w:val="Grid Table 6 Colorful - Accent 4"/>
    <w:uiPriority w:val="99"/>
    <w:qFormat/>
    <w:rPr>
      <w:lang w:val="en-US" w:eastAsia="zh-CN" w:bidi="ar-SA"/>
    </w:rPr>
    <w:tblPr/>
  </w:style>
  <w:style w:type="table" w:styleId="962" w:customStyle="1">
    <w:name w:val="List Table 3"/>
    <w:uiPriority w:val="99"/>
    <w:qFormat/>
    <w:rPr>
      <w:lang w:val="en-US" w:eastAsia="zh-CN" w:bidi="ar-SA"/>
    </w:rPr>
    <w:tblPr/>
  </w:style>
  <w:style w:type="table" w:styleId="963" w:customStyle="1">
    <w:name w:val="Grid Table 2 - Accent 5"/>
    <w:uiPriority w:val="99"/>
    <w:qFormat/>
    <w:rPr>
      <w:lang w:val="en-US" w:eastAsia="zh-CN" w:bidi="ar-SA"/>
    </w:rPr>
    <w:tblPr/>
  </w:style>
  <w:style w:type="table" w:styleId="964" w:customStyle="1">
    <w:name w:val="Grid Table 5 Dark - Accent 3"/>
    <w:uiPriority w:val="99"/>
    <w:qFormat/>
    <w:rPr>
      <w:lang w:val="en-US" w:eastAsia="zh-CN" w:bidi="ar-SA"/>
    </w:rPr>
    <w:tblPr/>
  </w:style>
  <w:style w:type="table" w:styleId="965" w:customStyle="1">
    <w:name w:val="Grid Table 2"/>
    <w:uiPriority w:val="99"/>
    <w:qFormat/>
    <w:rPr>
      <w:lang w:val="en-US" w:eastAsia="zh-CN" w:bidi="ar-SA"/>
    </w:rPr>
    <w:tblPr/>
  </w:style>
  <w:style w:type="table" w:styleId="966" w:customStyle="1">
    <w:name w:val="Lined - Accent 5"/>
    <w:uiPriority w:val="99"/>
    <w:qFormat/>
    <w:rPr>
      <w:color w:val="404040"/>
      <w:lang w:val="en-US" w:eastAsia="zh-CN" w:bidi="ar-SA"/>
    </w:rPr>
    <w:tblPr/>
  </w:style>
  <w:style w:type="table" w:styleId="967" w:customStyle="1">
    <w:name w:val="Lined - Accent 4"/>
    <w:uiPriority w:val="99"/>
    <w:qFormat/>
    <w:rPr>
      <w:color w:val="404040"/>
      <w:lang w:val="en-US" w:eastAsia="zh-CN" w:bidi="ar-SA"/>
    </w:rPr>
    <w:tblPr/>
  </w:style>
  <w:style w:type="table" w:styleId="968" w:customStyle="1">
    <w:name w:val="Plain Table 2"/>
    <w:uiPriority w:val="59"/>
    <w:qFormat/>
    <w:rPr>
      <w:lang w:val="en-US" w:eastAsia="zh-CN" w:bidi="ar-SA"/>
    </w:rPr>
    <w:tblPr/>
  </w:style>
  <w:style w:type="table" w:styleId="969" w:customStyle="1">
    <w:name w:val="Bordered - Accent 6"/>
    <w:uiPriority w:val="99"/>
    <w:qFormat/>
    <w:rPr>
      <w:lang w:val="en-US" w:eastAsia="zh-CN" w:bidi="ar-SA"/>
    </w:rPr>
    <w:tblPr/>
  </w:style>
  <w:style w:type="table" w:styleId="970" w:customStyle="1">
    <w:name w:val="Grid Table 3 - Accent 3"/>
    <w:uiPriority w:val="99"/>
    <w:qFormat/>
    <w:rPr>
      <w:lang w:val="en-US" w:eastAsia="zh-CN" w:bidi="ar-SA"/>
    </w:rPr>
    <w:tblPr/>
  </w:style>
  <w:style w:type="table" w:styleId="971" w:customStyle="1">
    <w:name w:val="Table Grid Light"/>
    <w:uiPriority w:val="59"/>
    <w:qFormat/>
    <w:rPr>
      <w:lang w:val="en-US" w:eastAsia="zh-CN" w:bidi="ar-SA"/>
    </w:rPr>
    <w:tblPr/>
  </w:style>
  <w:style w:type="table" w:styleId="972" w:customStyle="1">
    <w:name w:val="List Table 3 - Accent 4"/>
    <w:uiPriority w:val="99"/>
    <w:qFormat/>
    <w:rPr>
      <w:lang w:val="en-US" w:eastAsia="zh-CN" w:bidi="ar-SA"/>
    </w:rPr>
    <w:tblPr/>
  </w:style>
  <w:style w:type="table" w:styleId="973" w:customStyle="1">
    <w:name w:val="List Table 7 Colorful - Accent 1"/>
    <w:uiPriority w:val="99"/>
    <w:qFormat/>
    <w:rPr>
      <w:lang w:val="en-US" w:eastAsia="zh-CN" w:bidi="ar-SA"/>
    </w:rPr>
    <w:tblPr/>
  </w:style>
  <w:style w:type="table" w:styleId="974" w:customStyle="1">
    <w:name w:val="Grid Table 1 Light - Accent 1"/>
    <w:uiPriority w:val="99"/>
    <w:qFormat/>
    <w:rPr>
      <w:lang w:val="en-US" w:eastAsia="zh-CN" w:bidi="ar-SA"/>
    </w:rPr>
    <w:tblPr/>
  </w:style>
  <w:style w:type="table" w:styleId="975" w:customStyle="1">
    <w:name w:val="Lined - Accent 1"/>
    <w:uiPriority w:val="99"/>
    <w:qFormat/>
    <w:rPr>
      <w:color w:val="404040"/>
      <w:lang w:val="en-US" w:eastAsia="zh-CN" w:bidi="ar-SA"/>
    </w:rPr>
    <w:tblPr/>
  </w:style>
  <w:style w:type="table" w:styleId="976" w:customStyle="1">
    <w:name w:val="Grid Table 3 - Accent 6"/>
    <w:uiPriority w:val="99"/>
    <w:qFormat/>
    <w:rPr>
      <w:lang w:val="en-US" w:eastAsia="zh-CN" w:bidi="ar-SA"/>
    </w:rPr>
    <w:tblPr/>
  </w:style>
  <w:style w:type="table" w:styleId="977" w:customStyle="1">
    <w:name w:val="Plain Table 3"/>
    <w:uiPriority w:val="99"/>
    <w:qFormat/>
    <w:rPr>
      <w:lang w:val="en-US" w:eastAsia="zh-CN" w:bidi="ar-SA"/>
    </w:rPr>
    <w:tblPr/>
  </w:style>
  <w:style w:type="table" w:styleId="978" w:customStyle="1">
    <w:name w:val="Grid Table 4 - Accent 4"/>
    <w:uiPriority w:val="59"/>
    <w:qFormat/>
    <w:rPr>
      <w:lang w:val="en-US" w:eastAsia="zh-CN" w:bidi="ar-SA"/>
    </w:rPr>
    <w:tblPr/>
  </w:style>
  <w:style w:type="table" w:styleId="979" w:customStyle="1">
    <w:name w:val="Grid Table 3 - Accent 5"/>
    <w:uiPriority w:val="99"/>
    <w:qFormat/>
    <w:rPr>
      <w:lang w:val="en-US" w:eastAsia="zh-CN" w:bidi="ar-SA"/>
    </w:rPr>
    <w:tblPr/>
  </w:style>
  <w:style w:type="table" w:styleId="980" w:customStyle="1">
    <w:name w:val="Plain Table 1"/>
    <w:uiPriority w:val="59"/>
    <w:qFormat/>
    <w:rPr>
      <w:lang w:val="en-US" w:eastAsia="zh-CN" w:bidi="ar-SA"/>
    </w:rPr>
    <w:tblPr/>
  </w:style>
  <w:style w:type="table" w:styleId="981" w:customStyle="1">
    <w:name w:val="Bordered - Accent 5"/>
    <w:uiPriority w:val="99"/>
    <w:qFormat/>
    <w:rPr>
      <w:lang w:val="en-US" w:eastAsia="zh-CN" w:bidi="ar-SA"/>
    </w:rPr>
    <w:tblPr/>
  </w:style>
  <w:style w:type="table" w:styleId="982" w:customStyle="1">
    <w:name w:val="Grid Table 1 Light"/>
    <w:uiPriority w:val="99"/>
    <w:qFormat/>
    <w:rPr>
      <w:lang w:val="en-US" w:eastAsia="zh-CN" w:bidi="ar-SA"/>
    </w:rPr>
    <w:tblPr/>
  </w:style>
  <w:style w:type="table" w:styleId="983" w:customStyle="1">
    <w:name w:val="Grid Table 6 Colorful - Accent 2"/>
    <w:uiPriority w:val="99"/>
    <w:qFormat/>
    <w:rPr>
      <w:lang w:val="en-US" w:eastAsia="zh-CN" w:bidi="ar-SA"/>
    </w:rPr>
    <w:tblPr/>
  </w:style>
  <w:style w:type="table" w:styleId="984" w:customStyle="1">
    <w:name w:val="Grid Table 1 Light - Accent 4"/>
    <w:uiPriority w:val="99"/>
    <w:qFormat/>
    <w:rPr>
      <w:lang w:val="en-US" w:eastAsia="zh-CN" w:bidi="ar-SA"/>
    </w:rPr>
    <w:tblPr/>
  </w:style>
  <w:style w:type="table" w:styleId="985" w:customStyle="1">
    <w:name w:val="Plain Table 4"/>
    <w:uiPriority w:val="99"/>
    <w:qFormat/>
    <w:rPr>
      <w:lang w:val="en-US" w:eastAsia="zh-CN" w:bidi="ar-SA"/>
    </w:rPr>
    <w:tblPr/>
  </w:style>
  <w:style w:type="table" w:styleId="986" w:customStyle="1">
    <w:name w:val="Grid Table 4 - Accent 6"/>
    <w:uiPriority w:val="59"/>
    <w:qFormat/>
    <w:rPr>
      <w:lang w:val="en-US" w:eastAsia="zh-CN" w:bidi="ar-SA"/>
    </w:rPr>
    <w:tblPr/>
  </w:style>
  <w:style w:type="table" w:styleId="987" w:customStyle="1">
    <w:name w:val="Grid Table 1 Light - Accent 3"/>
    <w:uiPriority w:val="99"/>
    <w:qFormat/>
    <w:rPr>
      <w:lang w:val="en-US" w:eastAsia="zh-CN" w:bidi="ar-SA"/>
    </w:rPr>
    <w:tblPr/>
  </w:style>
  <w:style w:type="table" w:styleId="988" w:customStyle="1">
    <w:name w:val="Grid Table 1 Light - Accent 2"/>
    <w:uiPriority w:val="99"/>
    <w:qFormat/>
    <w:rPr>
      <w:lang w:val="en-US" w:eastAsia="zh-CN" w:bidi="ar-SA"/>
    </w:rPr>
    <w:tblPr/>
  </w:style>
  <w:style w:type="table" w:styleId="989" w:customStyle="1">
    <w:name w:val="Grid Table 5 Dark- Accent 1"/>
    <w:uiPriority w:val="99"/>
    <w:qFormat/>
    <w:rPr>
      <w:lang w:val="en-US" w:eastAsia="zh-CN" w:bidi="ar-SA"/>
    </w:rPr>
    <w:tblPr/>
  </w:style>
  <w:style w:type="table" w:styleId="990" w:customStyle="1">
    <w:name w:val="Grid Table 3 - Accent 1"/>
    <w:uiPriority w:val="99"/>
    <w:qFormat/>
    <w:rPr>
      <w:lang w:val="en-US" w:eastAsia="zh-CN" w:bidi="ar-SA"/>
    </w:rPr>
    <w:tblPr/>
  </w:style>
  <w:style w:type="table" w:styleId="991" w:customStyle="1">
    <w:name w:val="Plain Table 5"/>
    <w:uiPriority w:val="99"/>
    <w:qFormat/>
    <w:rPr>
      <w:lang w:val="en-US" w:eastAsia="zh-CN" w:bidi="ar-SA"/>
    </w:rPr>
    <w:tblPr/>
  </w:style>
  <w:style w:type="table" w:styleId="992" w:customStyle="1">
    <w:name w:val="Grid Table 4 - Accent 5"/>
    <w:uiPriority w:val="59"/>
    <w:qFormat/>
    <w:rPr>
      <w:lang w:val="en-US" w:eastAsia="zh-CN" w:bidi="ar-SA"/>
    </w:rPr>
    <w:tblPr/>
  </w:style>
  <w:style w:type="table" w:styleId="993" w:customStyle="1">
    <w:name w:val="Grid Table 1 Light - Accent 5"/>
    <w:uiPriority w:val="99"/>
    <w:qFormat/>
    <w:rPr>
      <w:lang w:val="en-US" w:eastAsia="zh-CN" w:bidi="ar-SA"/>
    </w:rPr>
    <w:tblPr/>
  </w:style>
  <w:style w:type="table" w:styleId="994" w:customStyle="1">
    <w:name w:val="List Table 7 Colorful - Accent 5"/>
    <w:uiPriority w:val="99"/>
    <w:qFormat/>
    <w:rPr>
      <w:lang w:val="en-US" w:eastAsia="zh-CN" w:bidi="ar-SA"/>
    </w:rPr>
    <w:tblPr/>
  </w:style>
  <w:style w:type="table" w:styleId="995" w:customStyle="1">
    <w:name w:val="Grid Table 1 Light - Accent 6"/>
    <w:uiPriority w:val="99"/>
    <w:qFormat/>
    <w:rPr>
      <w:lang w:val="en-US" w:eastAsia="zh-CN" w:bidi="ar-SA"/>
    </w:rPr>
    <w:tblPr/>
  </w:style>
  <w:style w:type="table" w:styleId="996" w:customStyle="1">
    <w:name w:val="Bordered &amp; Lined - Accent 5"/>
    <w:uiPriority w:val="99"/>
    <w:qFormat/>
    <w:rPr>
      <w:color w:val="404040"/>
      <w:lang w:val="en-US" w:eastAsia="zh-CN" w:bidi="ar-SA"/>
    </w:rPr>
    <w:tblPr/>
  </w:style>
  <w:style w:type="table" w:styleId="997" w:customStyle="1">
    <w:name w:val="Lined - Accent"/>
    <w:uiPriority w:val="99"/>
    <w:qFormat/>
    <w:rPr>
      <w:color w:val="404040"/>
      <w:lang w:val="en-US" w:eastAsia="zh-CN" w:bidi="ar-SA"/>
    </w:rPr>
    <w:tblPr/>
  </w:style>
  <w:style w:type="table" w:styleId="998" w:customStyle="1">
    <w:name w:val="Bordered &amp; Lined - Accent 4"/>
    <w:uiPriority w:val="99"/>
    <w:qFormat/>
    <w:rPr>
      <w:color w:val="404040"/>
      <w:lang w:val="en-US" w:eastAsia="zh-CN" w:bidi="ar-SA"/>
    </w:rPr>
    <w:tblPr/>
  </w:style>
  <w:style w:type="table" w:styleId="999" w:customStyle="1">
    <w:name w:val="Grid Table 2 - Accent 1"/>
    <w:uiPriority w:val="99"/>
    <w:qFormat/>
    <w:rPr>
      <w:lang w:val="en-US" w:eastAsia="zh-CN" w:bidi="ar-SA"/>
    </w:rPr>
    <w:tblPr/>
  </w:style>
  <w:style w:type="table" w:styleId="1000" w:customStyle="1">
    <w:name w:val="List Table 5 Dark - Accent 5"/>
    <w:uiPriority w:val="99"/>
    <w:qFormat/>
    <w:rPr>
      <w:lang w:val="en-US" w:eastAsia="zh-CN" w:bidi="ar-SA"/>
    </w:rPr>
    <w:tblPr/>
  </w:style>
  <w:style w:type="table" w:styleId="1001" w:customStyle="1">
    <w:name w:val="List Table 7 Colorful - Accent 3"/>
    <w:uiPriority w:val="99"/>
    <w:qFormat/>
    <w:rPr>
      <w:lang w:val="en-US" w:eastAsia="zh-CN" w:bidi="ar-SA"/>
    </w:rPr>
    <w:tblPr/>
  </w:style>
  <w:style w:type="table" w:styleId="1002" w:customStyle="1">
    <w:name w:val="Bordered &amp; Lined - Accent 2"/>
    <w:uiPriority w:val="99"/>
    <w:qFormat/>
    <w:rPr>
      <w:color w:val="404040"/>
      <w:lang w:val="en-US" w:eastAsia="zh-CN" w:bidi="ar-SA"/>
    </w:rPr>
    <w:tblPr/>
  </w:style>
  <w:style w:type="table" w:styleId="1003" w:customStyle="1">
    <w:name w:val="Bordered &amp; Lined - Accent 6"/>
    <w:uiPriority w:val="99"/>
    <w:qFormat/>
    <w:rPr>
      <w:color w:val="404040"/>
      <w:lang w:val="en-US" w:eastAsia="zh-CN" w:bidi="ar-SA"/>
    </w:rPr>
    <w:tblPr/>
  </w:style>
  <w:style w:type="table" w:styleId="1004" w:customStyle="1">
    <w:name w:val="Grid Table 2 - Accent 2"/>
    <w:uiPriority w:val="99"/>
    <w:qFormat/>
    <w:rPr>
      <w:lang w:val="en-US" w:eastAsia="zh-CN" w:bidi="ar-SA"/>
    </w:rPr>
    <w:tblPr/>
  </w:style>
  <w:style w:type="table" w:styleId="1005" w:customStyle="1">
    <w:name w:val="Grid Table 6 Colorful - Accent 3"/>
    <w:uiPriority w:val="99"/>
    <w:qFormat/>
    <w:rPr>
      <w:lang w:val="en-US" w:eastAsia="zh-CN" w:bidi="ar-SA"/>
    </w:rPr>
    <w:tblPr/>
  </w:style>
  <w:style w:type="table" w:styleId="1006" w:customStyle="1">
    <w:name w:val="Grid Table 5 Dark - Accent 6"/>
    <w:uiPriority w:val="99"/>
    <w:qFormat/>
    <w:rPr>
      <w:lang w:val="en-US" w:eastAsia="zh-CN" w:bidi="ar-SA"/>
    </w:rPr>
    <w:tblPr/>
  </w:style>
  <w:style w:type="table" w:styleId="1007" w:customStyle="1">
    <w:name w:val="Grid Table 2 - Accent 3"/>
    <w:uiPriority w:val="99"/>
    <w:qFormat/>
    <w:rPr>
      <w:lang w:val="en-US" w:eastAsia="zh-CN" w:bidi="ar-SA"/>
    </w:rPr>
    <w:tblPr/>
  </w:style>
  <w:style w:type="table" w:styleId="1008" w:customStyle="1">
    <w:name w:val="Grid Table 5 Dark - Accent 2"/>
    <w:uiPriority w:val="99"/>
    <w:qFormat/>
    <w:rPr>
      <w:lang w:val="en-US" w:eastAsia="zh-CN" w:bidi="ar-SA"/>
    </w:rPr>
    <w:tblPr/>
  </w:style>
  <w:style w:type="table" w:styleId="1009" w:customStyle="1">
    <w:name w:val="Bordered &amp; Lined - Accent 3"/>
    <w:uiPriority w:val="99"/>
    <w:qFormat/>
    <w:rPr>
      <w:color w:val="404040"/>
      <w:lang w:val="en-US" w:eastAsia="zh-CN" w:bidi="ar-SA"/>
    </w:rPr>
    <w:tblPr/>
  </w:style>
  <w:style w:type="table" w:styleId="1010" w:customStyle="1">
    <w:name w:val="Grid Table 5 Dark - Accent 5"/>
    <w:uiPriority w:val="99"/>
    <w:qFormat/>
    <w:rPr>
      <w:lang w:val="en-US" w:eastAsia="zh-CN" w:bidi="ar-SA"/>
    </w:rPr>
    <w:tblPr/>
  </w:style>
  <w:style w:type="table" w:styleId="1011" w:customStyle="1">
    <w:name w:val="Grid Table 2 - Accent 6"/>
    <w:uiPriority w:val="99"/>
    <w:qFormat/>
    <w:rPr>
      <w:lang w:val="en-US" w:eastAsia="zh-CN" w:bidi="ar-SA"/>
    </w:rPr>
    <w:tblPr/>
  </w:style>
  <w:style w:type="table" w:styleId="1012" w:customStyle="1">
    <w:name w:val="Bordered &amp; Lined - Accent 1"/>
    <w:uiPriority w:val="99"/>
    <w:qFormat/>
    <w:rPr>
      <w:color w:val="404040"/>
      <w:lang w:val="en-US" w:eastAsia="zh-CN" w:bidi="ar-SA"/>
    </w:rPr>
    <w:tblPr/>
  </w:style>
  <w:style w:type="table" w:styleId="1013" w:customStyle="1">
    <w:name w:val="Bordered - Accent 3"/>
    <w:uiPriority w:val="99"/>
    <w:qFormat/>
    <w:rPr>
      <w:lang w:val="en-US" w:eastAsia="zh-CN" w:bidi="ar-SA"/>
    </w:rPr>
    <w:tblPr/>
  </w:style>
  <w:style w:type="table" w:styleId="1014" w:customStyle="1">
    <w:name w:val="Grid Table 4"/>
    <w:uiPriority w:val="59"/>
    <w:qFormat/>
    <w:rPr>
      <w:lang w:val="en-US" w:eastAsia="zh-CN" w:bidi="ar-SA"/>
    </w:rPr>
    <w:tblPr/>
  </w:style>
  <w:style w:type="table" w:styleId="1015" w:customStyle="1">
    <w:name w:val="Grid Table 3"/>
    <w:uiPriority w:val="99"/>
    <w:qFormat/>
    <w:rPr>
      <w:lang w:val="en-US" w:eastAsia="zh-CN" w:bidi="ar-SA"/>
    </w:rPr>
    <w:tblPr/>
  </w:style>
  <w:style w:type="table" w:styleId="1016" w:customStyle="1">
    <w:name w:val="Bordered &amp; Lined - Accent"/>
    <w:uiPriority w:val="99"/>
    <w:qFormat/>
    <w:rPr>
      <w:color w:val="404040"/>
      <w:lang w:val="en-US" w:eastAsia="zh-CN" w:bidi="ar-SA"/>
    </w:rPr>
    <w:tblPr/>
  </w:style>
  <w:style w:type="table" w:styleId="1017" w:customStyle="1">
    <w:name w:val="List Table 7 Colorful"/>
    <w:uiPriority w:val="99"/>
    <w:qFormat/>
    <w:rPr>
      <w:lang w:val="en-US" w:eastAsia="zh-CN" w:bidi="ar-SA"/>
    </w:rPr>
    <w:tblPr/>
  </w:style>
  <w:style w:type="table" w:styleId="1018" w:customStyle="1">
    <w:name w:val="Grid Table 6 Colorful"/>
    <w:uiPriority w:val="99"/>
    <w:qFormat/>
    <w:rPr>
      <w:lang w:val="en-US" w:eastAsia="zh-CN" w:bidi="ar-SA"/>
    </w:rPr>
    <w:tblPr/>
  </w:style>
  <w:style w:type="table" w:styleId="1019" w:customStyle="1">
    <w:name w:val="List Table 7 Colorful - Accent 6"/>
    <w:uiPriority w:val="99"/>
    <w:qFormat/>
    <w:rPr>
      <w:lang w:val="en-US" w:eastAsia="zh-CN" w:bidi="ar-SA"/>
    </w:rPr>
    <w:tblPr/>
  </w:style>
  <w:style w:type="table" w:styleId="1020" w:customStyle="1">
    <w:name w:val="Grid Table 4 - Accent 1"/>
    <w:uiPriority w:val="59"/>
    <w:qFormat/>
    <w:rPr>
      <w:lang w:val="en-US" w:eastAsia="zh-CN" w:bidi="ar-SA"/>
    </w:rPr>
    <w:tblPr/>
  </w:style>
  <w:style w:type="table" w:styleId="1021" w:customStyle="1">
    <w:name w:val="Bordered - Accent 1"/>
    <w:uiPriority w:val="99"/>
    <w:qFormat/>
    <w:rPr>
      <w:lang w:val="en-US" w:eastAsia="zh-CN" w:bidi="ar-SA"/>
    </w:rPr>
    <w:tblPr/>
  </w:style>
  <w:style w:type="table" w:styleId="1022" w:customStyle="1">
    <w:name w:val="Grid Table 5 Dark"/>
    <w:uiPriority w:val="99"/>
    <w:qFormat/>
    <w:rPr>
      <w:lang w:val="en-US" w:eastAsia="zh-CN" w:bidi="ar-SA"/>
    </w:rPr>
    <w:tblPr/>
  </w:style>
  <w:style w:type="table" w:styleId="1023" w:customStyle="1">
    <w:name w:val="Bordered - Accent 4"/>
    <w:uiPriority w:val="99"/>
    <w:qFormat/>
    <w:rPr>
      <w:lang w:val="en-US" w:eastAsia="zh-CN" w:bidi="ar-SA"/>
    </w:rPr>
    <w:tblPr/>
  </w:style>
  <w:style w:type="table" w:styleId="1024" w:customStyle="1">
    <w:name w:val="Grid Table 4 - Accent 3"/>
    <w:uiPriority w:val="59"/>
    <w:qFormat/>
    <w:rPr>
      <w:lang w:val="en-US" w:eastAsia="zh-CN" w:bidi="ar-SA"/>
    </w:rPr>
    <w:tblPr/>
  </w:style>
  <w:style w:type="table" w:styleId="1025" w:customStyle="1">
    <w:name w:val="Grid Table 3 - Accent 4"/>
    <w:uiPriority w:val="99"/>
    <w:qFormat/>
    <w:rPr>
      <w:lang w:val="en-US" w:eastAsia="zh-CN" w:bidi="ar-SA"/>
    </w:rPr>
    <w:tblPr/>
  </w:style>
  <w:style w:type="table" w:styleId="1026" w:customStyle="1">
    <w:name w:val="List Table 4 - Accent 6"/>
    <w:uiPriority w:val="99"/>
    <w:qFormat/>
    <w:rPr>
      <w:lang w:val="en-US" w:eastAsia="zh-CN" w:bidi="ar-SA"/>
    </w:rPr>
    <w:tblPr/>
  </w:style>
  <w:style w:type="table" w:styleId="1027" w:customStyle="1">
    <w:name w:val="Lined - Accent 2"/>
    <w:uiPriority w:val="99"/>
    <w:qFormat/>
    <w:rPr>
      <w:color w:val="404040"/>
      <w:lang w:val="en-US" w:eastAsia="zh-CN" w:bidi="ar-SA"/>
    </w:rPr>
    <w:tblPr/>
  </w:style>
  <w:style w:type="table" w:styleId="1028" w:customStyle="1">
    <w:name w:val="Grid Table 6 Colorful - Accent 5"/>
    <w:uiPriority w:val="99"/>
    <w:qFormat/>
    <w:rPr>
      <w:lang w:val="en-US" w:eastAsia="zh-CN" w:bidi="ar-SA"/>
    </w:rPr>
    <w:tblPr/>
  </w:style>
  <w:style w:type="table" w:styleId="1029" w:customStyle="1">
    <w:name w:val="List Table 5 Dark - Accent 4"/>
    <w:uiPriority w:val="99"/>
    <w:qFormat/>
    <w:rPr>
      <w:lang w:val="en-US" w:eastAsia="zh-CN" w:bidi="ar-SA"/>
    </w:rPr>
    <w:tblPr/>
  </w:style>
  <w:style w:type="table" w:styleId="1030" w:customStyle="1">
    <w:name w:val="Grid Table 6 Colorful - Accent 6"/>
    <w:uiPriority w:val="99"/>
    <w:qFormat/>
    <w:rPr>
      <w:lang w:val="en-US" w:eastAsia="zh-CN" w:bidi="ar-SA"/>
    </w:rPr>
    <w:tblPr/>
  </w:style>
  <w:style w:type="table" w:styleId="1031" w:customStyle="1">
    <w:name w:val="Bordered"/>
    <w:uiPriority w:val="99"/>
    <w:qFormat/>
    <w:rPr>
      <w:lang w:val="en-US" w:eastAsia="zh-CN" w:bidi="ar-SA"/>
    </w:rPr>
    <w:tblPr/>
  </w:style>
  <w:style w:type="table" w:styleId="1032" w:customStyle="1">
    <w:name w:val="Grid Table 7 Colorful - Accent 1"/>
    <w:uiPriority w:val="99"/>
    <w:qFormat/>
    <w:rPr>
      <w:lang w:val="en-US" w:eastAsia="zh-CN" w:bidi="ar-SA"/>
    </w:rPr>
    <w:tblPr/>
  </w:style>
  <w:style w:type="table" w:styleId="1033" w:customStyle="1">
    <w:name w:val="Bordered - Accent 2"/>
    <w:uiPriority w:val="99"/>
    <w:qFormat/>
    <w:rPr>
      <w:lang w:val="en-US" w:eastAsia="zh-CN" w:bidi="ar-SA"/>
    </w:rPr>
    <w:tblPr/>
  </w:style>
  <w:style w:type="table" w:styleId="1034" w:customStyle="1">
    <w:name w:val="List Table 6 Colorful - Accent 6"/>
    <w:uiPriority w:val="99"/>
    <w:qFormat/>
    <w:rPr>
      <w:lang w:val="en-US" w:eastAsia="zh-CN" w:bidi="ar-SA"/>
    </w:rPr>
    <w:tblPr/>
  </w:style>
  <w:style w:type="table" w:styleId="1035" w:customStyle="1">
    <w:name w:val="List Table 4"/>
    <w:uiPriority w:val="99"/>
    <w:qFormat/>
    <w:rPr>
      <w:lang w:val="en-US" w:eastAsia="zh-CN" w:bidi="ar-SA"/>
    </w:rPr>
    <w:tblPr/>
  </w:style>
  <w:style w:type="table" w:styleId="1036" w:customStyle="1">
    <w:name w:val="List Table 6 Colorful - Accent 5"/>
    <w:uiPriority w:val="99"/>
    <w:qFormat/>
    <w:rPr>
      <w:lang w:val="en-US" w:eastAsia="zh-CN" w:bidi="ar-SA"/>
    </w:rPr>
    <w:tblPr/>
  </w:style>
  <w:style w:type="table" w:styleId="1037" w:customStyle="1">
    <w:name w:val="List Table 2 - Accent 2"/>
    <w:uiPriority w:val="99"/>
    <w:qFormat/>
    <w:rPr>
      <w:lang w:val="en-US" w:eastAsia="zh-CN" w:bidi="ar-SA"/>
    </w:rPr>
    <w:tblPr/>
  </w:style>
  <w:style w:type="table" w:styleId="1038" w:customStyle="1">
    <w:name w:val="Grid Table 7 Colorful - Accent 4"/>
    <w:uiPriority w:val="99"/>
    <w:qFormat/>
    <w:rPr>
      <w:lang w:val="en-US" w:eastAsia="zh-CN" w:bidi="ar-SA"/>
    </w:rPr>
    <w:tblPr/>
  </w:style>
  <w:style w:type="table" w:styleId="1039" w:customStyle="1">
    <w:name w:val="List Table 1 Light - Accent 6"/>
    <w:uiPriority w:val="99"/>
    <w:qFormat/>
    <w:rPr>
      <w:lang w:val="en-US" w:eastAsia="zh-CN" w:bidi="ar-SA"/>
    </w:rPr>
    <w:tblPr/>
  </w:style>
  <w:style w:type="table" w:styleId="1040" w:customStyle="1">
    <w:name w:val="List Table 3 - Accent 1"/>
    <w:uiPriority w:val="99"/>
    <w:qFormat/>
    <w:rPr>
      <w:lang w:val="en-US" w:eastAsia="zh-CN" w:bidi="ar-SA"/>
    </w:rPr>
    <w:tblPr/>
  </w:style>
  <w:style w:type="table" w:styleId="1041" w:customStyle="1">
    <w:name w:val="List Table 2 - Accent 1"/>
    <w:uiPriority w:val="99"/>
    <w:qFormat/>
    <w:rPr>
      <w:lang w:val="en-US" w:eastAsia="zh-CN" w:bidi="ar-SA"/>
    </w:rPr>
    <w:tblPr/>
  </w:style>
  <w:style w:type="table" w:styleId="1042" w:customStyle="1">
    <w:name w:val="Grid Table 7 Colorful - Accent 6"/>
    <w:uiPriority w:val="99"/>
    <w:qFormat/>
    <w:rPr>
      <w:lang w:val="en-US" w:eastAsia="zh-CN" w:bidi="ar-SA"/>
    </w:rPr>
    <w:tblPr/>
  </w:style>
  <w:style w:type="table" w:styleId="1043" w:customStyle="1">
    <w:name w:val="List Table 2 - Accent 6"/>
    <w:uiPriority w:val="99"/>
    <w:qFormat/>
    <w:rPr>
      <w:lang w:val="en-US" w:eastAsia="zh-CN" w:bidi="ar-SA"/>
    </w:rPr>
    <w:tblPr/>
  </w:style>
  <w:style w:type="table" w:styleId="1044" w:customStyle="1">
    <w:name w:val="List Table 1 Light - Accent 1"/>
    <w:uiPriority w:val="99"/>
    <w:qFormat/>
    <w:rPr>
      <w:lang w:val="en-US" w:eastAsia="zh-CN" w:bidi="ar-SA"/>
    </w:rPr>
    <w:tblPr/>
  </w:style>
  <w:style w:type="table" w:styleId="1045" w:customStyle="1">
    <w:name w:val="List Table 6 Colorful - Accent 4"/>
    <w:uiPriority w:val="99"/>
    <w:qFormat/>
    <w:rPr>
      <w:lang w:val="en-US" w:eastAsia="zh-CN" w:bidi="ar-SA"/>
    </w:rPr>
    <w:tblPr/>
  </w:style>
  <w:style w:type="table" w:styleId="1046" w:customStyle="1">
    <w:name w:val="List Table 1 Light - Accent 2"/>
    <w:uiPriority w:val="99"/>
    <w:qFormat/>
    <w:rPr>
      <w:lang w:val="en-US" w:eastAsia="zh-CN" w:bidi="ar-SA"/>
    </w:rPr>
    <w:tblPr/>
  </w:style>
  <w:style w:type="table" w:styleId="1047" w:customStyle="1">
    <w:name w:val="List Table 7 Colorful - Accent 4"/>
    <w:uiPriority w:val="99"/>
    <w:qFormat/>
    <w:rPr>
      <w:lang w:val="en-US" w:eastAsia="zh-CN" w:bidi="ar-SA"/>
    </w:rPr>
    <w:tblPr/>
  </w:style>
  <w:style w:type="table" w:styleId="1048" w:customStyle="1">
    <w:name w:val="List Table 1 Light - Accent 3"/>
    <w:uiPriority w:val="99"/>
    <w:qFormat/>
    <w:rPr>
      <w:lang w:val="en-US" w:eastAsia="zh-CN" w:bidi="ar-SA"/>
    </w:rPr>
    <w:tblPr/>
  </w:style>
  <w:style w:type="table" w:styleId="1049" w:customStyle="1">
    <w:name w:val="List Table 4 - Accent 1"/>
    <w:uiPriority w:val="99"/>
    <w:qFormat/>
    <w:rPr>
      <w:lang w:val="en-US" w:eastAsia="zh-CN" w:bidi="ar-SA"/>
    </w:rPr>
    <w:tblPr/>
  </w:style>
  <w:style w:type="table" w:styleId="1050" w:customStyle="1">
    <w:name w:val="Lined - Accent 6"/>
    <w:uiPriority w:val="99"/>
    <w:qFormat/>
    <w:rPr>
      <w:color w:val="404040"/>
      <w:lang w:val="en-US" w:eastAsia="zh-CN" w:bidi="ar-SA"/>
    </w:rPr>
    <w:tblPr/>
  </w:style>
  <w:style w:type="paragraph" w:styleId="105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52" w:customStyle="1">
    <w:name w:val="正文文本11"/>
    <w:basedOn w:val="756"/>
    <w:next w:val="756"/>
    <w:uiPriority w:val="0"/>
    <w:qFormat/>
    <w:pPr>
      <w:spacing w:line="300" w:lineRule="auto"/>
    </w:pPr>
    <w:rPr>
      <w:rFonts w:eastAsia="微软简楷体"/>
      <w:sz w:val="30"/>
    </w:rPr>
  </w:style>
  <w:style w:type="character" w:styleId="1053" w:customStyle="1">
    <w:name w:val="15"/>
    <w:basedOn w:val="766"/>
    <w:uiPriority w:val="0"/>
    <w:qFormat/>
    <w:rPr>
      <w:rFonts w:hint="default" w:ascii="Times New Roman" w:hAnsi="Times New Roman" w:cs="Times New Roman"/>
      <w:sz w:val="21"/>
      <w:szCs w:val="21"/>
    </w:rPr>
  </w:style>
  <w:style w:type="character" w:styleId="1054" w:customStyle="1">
    <w:name w:val="16"/>
    <w:basedOn w:val="766"/>
    <w:uiPriority w:val="0"/>
    <w:qFormat/>
    <w:rPr>
      <w:rFonts w:hint="default" w:ascii="Times New Roman" w:hAnsi="Times New Roman" w:eastAsia="宋体" w:cs="Times New Roman"/>
      <w:sz w:val="21"/>
      <w:szCs w:val="21"/>
    </w:rPr>
  </w:style>
  <w:style w:type="character" w:styleId="1055" w:customStyle="1">
    <w:name w:val="页码1"/>
    <w:link w:val="756"/>
    <w:uiPriority w:val="0"/>
    <w:qFormat/>
  </w:style>
  <w:style w:type="character" w:styleId="1056" w:customStyle="1">
    <w:name w:val="font71"/>
    <w:basedOn w:val="766"/>
    <w:uiPriority w:val="0"/>
    <w:qFormat/>
    <w:rPr>
      <w:rFonts w:hint="eastAsia" w:ascii="宋体" w:hAnsi="宋体" w:eastAsia="宋体" w:cs="宋体"/>
      <w:color w:val="ff0000"/>
      <w:sz w:val="24"/>
      <w:szCs w:val="24"/>
      <w:u w:val="none"/>
    </w:rPr>
  </w:style>
  <w:style w:type="paragraph" w:styleId="1057" w:customStyle="1">
    <w:name w:val="正文首行缩进 21"/>
    <w:basedOn w:val="814"/>
    <w:next w:val="807"/>
    <w:uiPriority w:val="0"/>
    <w:qFormat/>
    <w:pPr>
      <w:ind w:firstLine="420"/>
    </w:pPr>
    <w:rPr>
      <w:rFonts w:ascii="Times New Roman" w:hAnsi="Times New Roman"/>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孟巍</cp:lastModifiedBy>
  <cp:revision>26</cp:revision>
  <dcterms:created xsi:type="dcterms:W3CDTF">2023-11-15T19:32:00Z</dcterms:created>
  <dcterms:modified xsi:type="dcterms:W3CDTF">2026-09-23T07:44:29Z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024414F698DC426FAD1B243E48C8BF81_12</vt:lpwstr>
  </property>
  <property fmtid="{D5CDD505-2E9C-101B-9397-08002B2CF9AE}" pid="4" name="KSOTemplateDocerSaveRecord">
    <vt:lpwstr>eyJoZGlkIjoiYjY3YWQyMzQ4YmYwNWNjNmJmYzliZGYxMDdjNTBiNTkiLCJ1c2VySWQiOiIxMTMxMDE3MTgxIn0=</vt:lpwstr>
  </property>
</Properties>
</file>