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auto"/>
          <w:spacing w:val="20"/>
          <w:sz w:val="44"/>
          <w:highlight w:val="none"/>
        </w:rPr>
      </w:pPr>
      <w:r>
        <w:rPr>
          <w:rFonts w:hint="eastAsia" w:ascii="宋体" w:hAnsi="宋体"/>
          <w:b/>
          <w:color w:val="auto"/>
          <w:spacing w:val="20"/>
          <w:sz w:val="44"/>
          <w:highlight w:val="none"/>
        </w:rPr>
      </w:r>
      <w:r/>
    </w:p>
    <w:p>
      <w:pPr>
        <w:jc w:val="center"/>
        <w:rPr>
          <w:rFonts w:hint="eastAsia" w:ascii="宋体" w:hAnsi="宋体"/>
          <w:b/>
          <w:color w:val="auto"/>
          <w:spacing w:val="20"/>
          <w:sz w:val="36"/>
          <w:szCs w:val="36"/>
          <w:highlight w:val="none"/>
        </w:rPr>
      </w:pPr>
      <w:r>
        <w:rPr>
          <w:rFonts w:hint="eastAsia" w:ascii="Arial" w:hAnsi="Arial"/>
          <w:b/>
          <w:bCs/>
          <w:color w:val="auto"/>
          <w:sz w:val="36"/>
          <w:szCs w:val="36"/>
          <w:highlight w:val="none"/>
          <w:lang w:eastAsia="zh-CN"/>
        </w:rPr>
        <w:t xml:space="preserve">南通市通州区2026年度骨干河道水土流失治理工程施工</w:t>
      </w:r>
      <w:r/>
    </w:p>
    <w:p>
      <w:pPr>
        <w:jc w:val="center"/>
        <w:rPr>
          <w:rFonts w:hint="eastAsia" w:ascii="华文新魏" w:eastAsia="华文新魏"/>
          <w:b/>
          <w:color w:val="auto"/>
          <w:sz w:val="100"/>
          <w:szCs w:val="100"/>
          <w:highlight w:val="none"/>
        </w:rPr>
      </w:pPr>
      <w:r>
        <w:rPr>
          <w:rFonts w:hint="eastAsia" w:ascii="华文新魏" w:eastAsia="华文新魏"/>
          <w:b/>
          <w:color w:val="auto"/>
          <w:sz w:val="100"/>
          <w:szCs w:val="100"/>
          <w:highlight w:val="none"/>
        </w:rPr>
      </w:r>
      <w:r/>
    </w:p>
    <w:p>
      <w:pPr>
        <w:jc w:val="center"/>
        <w:rPr>
          <w:rFonts w:hint="eastAsia" w:ascii="华文新魏" w:eastAsia="华文新魏"/>
          <w:b/>
          <w:color w:val="auto"/>
          <w:sz w:val="100"/>
          <w:szCs w:val="100"/>
          <w:highlight w:val="none"/>
        </w:rPr>
      </w:pPr>
      <w:r>
        <w:rPr>
          <w:rFonts w:hint="eastAsia" w:ascii="华文新魏" w:eastAsia="华文新魏"/>
          <w:b/>
          <w:color w:val="auto"/>
          <w:sz w:val="100"/>
          <w:szCs w:val="100"/>
          <w:highlight w:val="none"/>
        </w:rPr>
      </w:r>
      <w:r/>
    </w:p>
    <w:p>
      <w:pPr>
        <w:jc w:val="center"/>
        <w:rPr>
          <w:rFonts w:hint="eastAsia" w:ascii="华文新魏" w:eastAsia="华文新魏"/>
          <w:b/>
          <w:color w:val="auto"/>
          <w:sz w:val="100"/>
          <w:szCs w:val="100"/>
          <w:highlight w:val="none"/>
        </w:rPr>
      </w:pPr>
      <w:r>
        <w:rPr>
          <w:rFonts w:hint="eastAsia" w:ascii="华文新魏" w:eastAsia="华文新魏"/>
          <w:b/>
          <w:color w:val="auto"/>
          <w:sz w:val="100"/>
          <w:szCs w:val="100"/>
          <w:highlight w:val="none"/>
        </w:rPr>
        <w:t xml:space="preserve">政府采购磋商文件</w:t>
      </w:r>
      <w:r/>
    </w:p>
    <w:p>
      <w:pPr>
        <w:jc w:val="center"/>
        <w:keepNext/>
        <w:spacing w:line="500" w:lineRule="exact"/>
        <w:rPr>
          <w:rFonts w:hint="eastAsia" w:ascii="宋体" w:hAnsi="宋体"/>
          <w:b/>
          <w:color w:val="auto"/>
          <w:sz w:val="36"/>
          <w:szCs w:val="36"/>
          <w:highlight w:val="none"/>
          <w:lang w:eastAsia="zh-CN"/>
        </w:rPr>
        <w:outlineLvl w:val="5"/>
      </w:pPr>
      <w:r>
        <w:rPr>
          <w:rFonts w:hint="eastAsia" w:ascii="宋体" w:hAnsi="宋体"/>
          <w:b/>
          <w:color w:val="auto"/>
          <w:sz w:val="36"/>
          <w:szCs w:val="36"/>
          <w:highlight w:val="none"/>
          <w:lang w:eastAsia="zh-CN"/>
        </w:rPr>
        <w:t xml:space="preserve">（</w:t>
      </w:r>
      <w:r>
        <w:rPr>
          <w:rFonts w:hint="eastAsia" w:ascii="宋体" w:hAnsi="宋体"/>
          <w:b/>
          <w:color w:val="auto"/>
          <w:sz w:val="36"/>
          <w:szCs w:val="36"/>
          <w:highlight w:val="none"/>
          <w:lang w:val="en-US" w:eastAsia="zh-CN"/>
        </w:rPr>
        <w:t xml:space="preserve">工程类</w:t>
      </w:r>
      <w:r>
        <w:rPr>
          <w:rFonts w:hint="eastAsia" w:ascii="宋体" w:hAnsi="宋体"/>
          <w:b/>
          <w:color w:val="auto"/>
          <w:sz w:val="36"/>
          <w:szCs w:val="36"/>
          <w:highlight w:val="none"/>
          <w:lang w:eastAsia="zh-CN"/>
        </w:rPr>
        <w:t xml:space="preserve">）</w:t>
      </w:r>
      <w:r/>
    </w:p>
    <w:p>
      <w:pPr>
        <w:jc w:val="center"/>
        <w:keepNext/>
        <w:spacing w:line="500" w:lineRule="exact"/>
        <w:rPr>
          <w:rFonts w:hint="eastAsia" w:ascii="宋体" w:hAnsi="宋体"/>
          <w:b/>
          <w:color w:val="auto"/>
          <w:sz w:val="36"/>
          <w:szCs w:val="36"/>
          <w:highlight w:val="none"/>
          <w:lang w:eastAsia="zh-CN"/>
        </w:rPr>
        <w:outlineLvl w:val="5"/>
      </w:pPr>
      <w:r>
        <w:rPr>
          <w:rFonts w:hint="eastAsia" w:ascii="宋体" w:hAnsi="宋体"/>
          <w:b/>
          <w:color w:val="auto"/>
          <w:sz w:val="36"/>
          <w:szCs w:val="36"/>
          <w:highlight w:val="none"/>
          <w:lang w:eastAsia="zh-CN"/>
        </w:rPr>
      </w:r>
      <w:r/>
    </w:p>
    <w:p>
      <w:pPr>
        <w:ind w:firstLine="723"/>
        <w:jc w:val="both"/>
        <w:keepNext/>
        <w:spacing w:line="500" w:lineRule="exact"/>
        <w:rPr>
          <w:rFonts w:hint="eastAsia" w:ascii="宋体" w:hAnsi="宋体" w:eastAsia="宋体"/>
          <w:b/>
          <w:color w:val="auto"/>
          <w:sz w:val="36"/>
          <w:szCs w:val="36"/>
          <w:highlight w:val="none"/>
          <w:lang w:eastAsia="zh-CN"/>
        </w:rPr>
        <w:outlineLvl w:val="5"/>
      </w:pPr>
      <w:r>
        <w:rPr>
          <w:rFonts w:hint="eastAsia" w:ascii="宋体" w:hAnsi="宋体"/>
          <w:b/>
          <w:color w:val="auto"/>
          <w:sz w:val="36"/>
          <w:szCs w:val="36"/>
          <w:highlight w:val="none"/>
        </w:rPr>
        <w:t xml:space="preserve">采购文件编号：</w:t>
      </w:r>
      <w:r>
        <w:rPr>
          <w:rFonts w:hint="eastAsia" w:ascii="宋体" w:hAnsi="宋体"/>
          <w:b/>
          <w:color w:val="auto"/>
          <w:sz w:val="36"/>
          <w:szCs w:val="36"/>
          <w:highlight w:val="none"/>
          <w:lang w:eastAsia="zh-CN"/>
        </w:rPr>
        <w:t xml:space="preserve">JSZC-320612-ZXHT-C2026-0004</w:t>
      </w:r>
      <w:r/>
    </w:p>
    <w:p>
      <w:pPr>
        <w:jc w:val="center"/>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jc w:val="both"/>
        <w:spacing w:line="500" w:lineRule="exact"/>
        <w:rPr>
          <w:rFonts w:hint="eastAsia" w:ascii="仿宋_GB2312" w:eastAsia="仿宋_GB2312"/>
          <w:b/>
          <w:color w:val="auto"/>
          <w:sz w:val="36"/>
          <w:highlight w:val="none"/>
        </w:rPr>
      </w:pPr>
      <w:r>
        <w:rPr>
          <w:rFonts w:hint="eastAsia" w:ascii="仿宋_GB2312" w:eastAsia="仿宋_GB2312"/>
          <w:b/>
          <w:color w:val="auto"/>
          <w:sz w:val="36"/>
          <w:highlight w:val="none"/>
        </w:rPr>
      </w:r>
      <w:r/>
    </w:p>
    <w:p>
      <w:pPr>
        <w:spacing w:line="500" w:lineRule="exact"/>
        <w:rPr>
          <w:rFonts w:hint="eastAsia" w:ascii="仿宋_GB2312" w:eastAsia="仿宋_GB2312"/>
          <w:color w:val="auto"/>
          <w:highlight w:val="none"/>
        </w:rPr>
      </w:pPr>
      <w:r>
        <w:rPr>
          <w:rFonts w:hint="eastAsia" w:ascii="仿宋_GB2312" w:eastAsia="仿宋_GB2312"/>
          <w:color w:val="auto"/>
          <w:highlight w:val="none"/>
        </w:rPr>
      </w:r>
      <w:r/>
    </w:p>
    <w:p>
      <w:pPr>
        <w:jc w:val="center"/>
        <w:spacing w:line="500" w:lineRule="exact"/>
        <w:rPr>
          <w:rFonts w:hint="eastAsia" w:ascii="宋体" w:hAnsi="宋体"/>
          <w:b/>
          <w:color w:val="auto"/>
          <w:spacing w:val="20"/>
          <w:sz w:val="44"/>
          <w:highlight w:val="none"/>
        </w:rPr>
      </w:pPr>
      <w:r>
        <w:rPr>
          <w:rFonts w:hint="eastAsia" w:ascii="宋体" w:hAnsi="宋体"/>
          <w:b/>
          <w:color w:val="auto"/>
          <w:spacing w:val="20"/>
          <w:sz w:val="44"/>
          <w:highlight w:val="none"/>
        </w:rPr>
      </w:r>
      <w:r/>
    </w:p>
    <w:p>
      <w:pPr>
        <w:jc w:val="center"/>
        <w:spacing w:line="500" w:lineRule="exact"/>
        <w:rPr>
          <w:rFonts w:hint="eastAsia" w:ascii="宋体" w:hAnsi="宋体"/>
          <w:b/>
          <w:color w:val="auto"/>
          <w:spacing w:val="20"/>
          <w:sz w:val="44"/>
          <w:highlight w:val="none"/>
        </w:rPr>
      </w:pPr>
      <w:r>
        <w:rPr>
          <w:rFonts w:hint="eastAsia" w:ascii="宋体" w:hAnsi="宋体"/>
          <w:b/>
          <w:color w:val="auto"/>
          <w:spacing w:val="20"/>
          <w:sz w:val="44"/>
          <w:highlight w:val="none"/>
        </w:rPr>
      </w:r>
      <w:r/>
    </w:p>
    <w:p>
      <w:pPr>
        <w:jc w:val="center"/>
        <w:spacing w:line="500" w:lineRule="exact"/>
        <w:rPr>
          <w:rFonts w:hint="eastAsia" w:ascii="宋体" w:hAnsi="宋体"/>
          <w:b/>
          <w:color w:val="auto"/>
          <w:spacing w:val="20"/>
          <w:sz w:val="44"/>
          <w:highlight w:val="none"/>
        </w:rPr>
      </w:pPr>
      <w:r>
        <w:rPr>
          <w:rFonts w:hint="eastAsia" w:ascii="宋体" w:hAnsi="宋体"/>
          <w:b/>
          <w:color w:val="auto"/>
          <w:spacing w:val="20"/>
          <w:sz w:val="44"/>
          <w:highlight w:val="none"/>
        </w:rPr>
      </w:r>
      <w:r/>
    </w:p>
    <w:p>
      <w:pPr>
        <w:jc w:val="center"/>
        <w:spacing w:line="500" w:lineRule="exact"/>
        <w:rPr>
          <w:rFonts w:hint="eastAsia" w:ascii="宋体" w:hAnsi="宋体"/>
          <w:b/>
          <w:color w:val="auto"/>
          <w:spacing w:val="20"/>
          <w:sz w:val="44"/>
          <w:highlight w:val="none"/>
        </w:rPr>
      </w:pPr>
      <w:r>
        <w:rPr>
          <w:rFonts w:hint="eastAsia" w:ascii="宋体" w:hAnsi="宋体"/>
          <w:b/>
          <w:color w:val="auto"/>
          <w:spacing w:val="20"/>
          <w:sz w:val="44"/>
          <w:highlight w:val="none"/>
        </w:rPr>
      </w:r>
      <w:r/>
    </w:p>
    <w:p>
      <w:pPr>
        <w:jc w:val="center"/>
        <w:spacing w:line="500" w:lineRule="exact"/>
        <w:rPr>
          <w:rFonts w:hint="eastAsia" w:ascii="宋体" w:hAnsi="宋体" w:eastAsia="宋体" w:cs="Times New Roman"/>
          <w:b/>
          <w:color w:val="auto"/>
          <w:spacing w:val="20"/>
          <w:sz w:val="28"/>
          <w:szCs w:val="28"/>
          <w:highlight w:val="none"/>
          <w:lang w:val="en-US" w:eastAsia="zh-CN"/>
        </w:rPr>
      </w:pPr>
      <w:r>
        <w:rPr>
          <w:rFonts w:hint="eastAsia" w:ascii="宋体" w:hAnsi="宋体" w:cs="Times New Roman"/>
          <w:b/>
          <w:color w:val="auto"/>
          <w:spacing w:val="20"/>
          <w:sz w:val="28"/>
          <w:szCs w:val="28"/>
          <w:highlight w:val="none"/>
          <w:lang w:val="en-US" w:eastAsia="zh-CN"/>
        </w:rPr>
        <w:t xml:space="preserve">建设</w:t>
      </w:r>
      <w:r>
        <w:rPr>
          <w:rFonts w:hint="eastAsia" w:ascii="宋体" w:hAnsi="宋体" w:eastAsia="宋体" w:cs="Times New Roman"/>
          <w:b/>
          <w:color w:val="auto"/>
          <w:spacing w:val="20"/>
          <w:sz w:val="28"/>
          <w:szCs w:val="28"/>
          <w:highlight w:val="none"/>
          <w:lang w:val="en-US" w:eastAsia="zh-CN"/>
        </w:rPr>
        <w:t xml:space="preserve">单位：南通市通州区水利局</w:t>
      </w:r>
      <w:r/>
    </w:p>
    <w:p>
      <w:pPr>
        <w:jc w:val="center"/>
        <w:spacing w:line="500" w:lineRule="exact"/>
        <w:rPr>
          <w:rFonts w:hint="eastAsia" w:ascii="宋体" w:hAnsi="宋体" w:eastAsia="宋体" w:cs="Times New Roman"/>
          <w:b/>
          <w:color w:val="auto"/>
          <w:spacing w:val="20"/>
          <w:sz w:val="28"/>
          <w:szCs w:val="28"/>
          <w:highlight w:val="none"/>
          <w:lang w:val="en-US" w:eastAsia="zh-CN"/>
        </w:rPr>
      </w:pPr>
      <w:r>
        <w:rPr>
          <w:rFonts w:hint="eastAsia" w:ascii="宋体" w:hAnsi="宋体" w:eastAsia="宋体" w:cs="Times New Roman"/>
          <w:b/>
          <w:color w:val="auto"/>
          <w:spacing w:val="20"/>
          <w:sz w:val="28"/>
          <w:szCs w:val="28"/>
          <w:highlight w:val="none"/>
          <w:lang w:val="en-US" w:eastAsia="zh-CN"/>
        </w:rPr>
        <w:t xml:space="preserve">        </w:t>
      </w:r>
      <w:r>
        <w:rPr>
          <w:rFonts w:hint="eastAsia" w:ascii="宋体" w:hAnsi="宋体" w:cs="Times New Roman"/>
          <w:b/>
          <w:color w:val="auto"/>
          <w:spacing w:val="20"/>
          <w:sz w:val="28"/>
          <w:szCs w:val="28"/>
          <w:highlight w:val="none"/>
          <w:lang w:val="en-US" w:eastAsia="zh-CN"/>
        </w:rPr>
        <w:t xml:space="preserve">集中建设实施</w:t>
      </w:r>
      <w:r>
        <w:rPr>
          <w:rFonts w:hint="eastAsia" w:ascii="宋体" w:hAnsi="宋体" w:eastAsia="宋体" w:cs="Times New Roman"/>
          <w:b/>
          <w:color w:val="auto"/>
          <w:spacing w:val="20"/>
          <w:sz w:val="28"/>
          <w:szCs w:val="28"/>
          <w:highlight w:val="none"/>
          <w:lang w:val="en-US" w:eastAsia="zh-CN"/>
        </w:rPr>
        <w:t xml:space="preserve">单位：江苏禹和水利工程建设有限公司</w:t>
      </w:r>
      <w:r/>
    </w:p>
    <w:p>
      <w:pPr>
        <w:jc w:val="center"/>
        <w:spacing w:line="500" w:lineRule="exact"/>
        <w:rPr>
          <w:rFonts w:hint="eastAsia" w:ascii="宋体" w:hAnsi="宋体"/>
          <w:b/>
          <w:color w:val="auto"/>
          <w:spacing w:val="20"/>
          <w:sz w:val="28"/>
          <w:szCs w:val="28"/>
          <w:highlight w:val="none"/>
          <w:lang w:val="en-US" w:eastAsia="zh-CN"/>
        </w:rPr>
      </w:pPr>
      <w:r>
        <w:rPr>
          <w:rFonts w:hint="eastAsia" w:ascii="宋体" w:hAnsi="宋体"/>
          <w:b/>
          <w:color w:val="auto"/>
          <w:spacing w:val="20"/>
          <w:sz w:val="28"/>
          <w:szCs w:val="28"/>
          <w:highlight w:val="none"/>
          <w:lang w:val="en-US" w:eastAsia="zh-CN"/>
        </w:rPr>
        <w:t xml:space="preserve">采购代理机构：江苏衡通咨询管理有限公司</w:t>
      </w:r>
      <w:r/>
    </w:p>
    <w:p>
      <w:pPr>
        <w:ind w:left="-2" w:right="120"/>
        <w:jc w:val="center"/>
        <w:spacing w:before="120" w:after="120" w:line="500" w:lineRule="exact"/>
        <w:rPr>
          <w:rFonts w:hint="eastAsia" w:ascii="Arial" w:hAnsi="Arial"/>
          <w:b/>
          <w:bCs/>
          <w:color w:val="auto"/>
          <w:sz w:val="32"/>
          <w:highlight w:val="none"/>
          <w:lang w:val="en-US" w:eastAsia="zh-CN"/>
        </w:rPr>
      </w:pPr>
      <w:r>
        <w:rPr>
          <w:rFonts w:hint="eastAsia" w:ascii="Arial" w:hAnsi="Arial"/>
          <w:b/>
          <w:bCs/>
          <w:color w:val="auto"/>
          <w:sz w:val="32"/>
          <w:highlight w:val="none"/>
          <w:lang w:val="en-US" w:eastAsia="zh-CN"/>
        </w:rPr>
        <w:t xml:space="preserve">二〇二六年十月</w:t>
      </w:r>
      <w:r/>
    </w:p>
    <w:p>
      <w:pPr>
        <w:pStyle w:val="981"/>
        <w:rPr>
          <w:rFonts w:hint="eastAsia" w:ascii="宋体" w:hAnsi="宋体"/>
          <w:b/>
          <w:color w:val="auto"/>
          <w:spacing w:val="20"/>
          <w:sz w:val="28"/>
          <w:szCs w:val="28"/>
          <w:highlight w:val="none"/>
          <w:lang w:val="en-US" w:eastAsia="zh-CN"/>
        </w:rPr>
      </w:pPr>
      <w:r>
        <w:rPr>
          <w:rFonts w:hint="eastAsia" w:ascii="宋体" w:hAnsi="宋体"/>
          <w:b/>
          <w:color w:val="auto"/>
          <w:spacing w:val="20"/>
          <w:sz w:val="28"/>
          <w:szCs w:val="28"/>
          <w:highlight w:val="none"/>
          <w:lang w:val="en-US" w:eastAsia="zh-CN"/>
        </w:rPr>
      </w:r>
      <w:r/>
    </w:p>
    <w:p>
      <w:pPr>
        <w:pStyle w:val="981"/>
        <w:rPr>
          <w:rFonts w:hint="eastAsia" w:ascii="宋体" w:hAnsi="宋体"/>
          <w:b/>
          <w:color w:val="auto"/>
          <w:spacing w:val="20"/>
          <w:sz w:val="28"/>
          <w:szCs w:val="28"/>
          <w:highlight w:val="none"/>
          <w:lang w:val="en-US" w:eastAsia="zh-CN"/>
        </w:rPr>
      </w:pPr>
      <w:r>
        <w:rPr>
          <w:rFonts w:hint="eastAsia" w:ascii="宋体" w:hAnsi="宋体"/>
          <w:b/>
          <w:color w:val="auto"/>
          <w:spacing w:val="20"/>
          <w:sz w:val="28"/>
          <w:szCs w:val="28"/>
          <w:highlight w:val="none"/>
          <w:lang w:val="en-US" w:eastAsia="zh-CN"/>
        </w:rPr>
      </w:r>
      <w:r/>
    </w:p>
    <w:p>
      <w:pPr>
        <w:jc w:val="both"/>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both"/>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803"/>
        <w:tblW w:w="8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9"/>
      </w:tblGrid>
      <w:tr>
        <w:trPr>
          <w:jc w:val="center"/>
          <w:trHeight w:val="3692"/>
        </w:trPr>
        <w:tc>
          <w:tcPr>
            <w:tcW w:w="8739" w:type="dxa"/>
            <w:vAlign w:val="top"/>
            <w:textDirection w:val="lrTb"/>
            <w:noWrap w:val="false"/>
          </w:tcPr>
          <w:p>
            <w:pPr>
              <w:keepLines w:val="0"/>
              <w:keepNext w:val="0"/>
              <w:pageBreakBefore w:val="0"/>
              <w:spacing w:line="360" w:lineRule="auto"/>
              <w:widowControl w:val="off"/>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rPr>
            </w:r>
            <w:r/>
          </w:p>
          <w:p>
            <w:pPr>
              <w:keepLines w:val="0"/>
              <w:keepNext w:val="0"/>
              <w:pageBreakBefore w:val="0"/>
              <w:spacing w:line="360" w:lineRule="auto"/>
              <w:widowControl w:val="off"/>
              <w:rPr>
                <w:rFonts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keepLines w:val="0"/>
              <w:keepNext w:val="0"/>
              <w:pageBreakBefore w:val="0"/>
              <w:spacing w:line="360" w:lineRule="auto"/>
              <w:widowControl w:val="off"/>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rPr>
            </w:r>
            <w:r/>
          </w:p>
          <w:p>
            <w:pPr>
              <w:keepLines w:val="0"/>
              <w:keepNext w:val="0"/>
              <w:pageBreakBefore w:val="0"/>
              <w:spacing w:line="360" w:lineRule="auto"/>
              <w:widowControl w:val="off"/>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rPr>
            </w:r>
            <w:r/>
          </w:p>
          <w:p>
            <w:pPr>
              <w:keepLines w:val="0"/>
              <w:keepNext w:val="0"/>
              <w:pageBreakBefore w:val="0"/>
              <w:spacing w:line="360" w:lineRule="auto"/>
              <w:widowControl w:val="off"/>
              <w:rPr>
                <w:rFonts w:hint="eastAsia" w:ascii="Times New Roman" w:hAnsi="Times New Roman" w:eastAsia="宋体" w:cs="Times New Roman"/>
                <w:color w:val="auto"/>
                <w:sz w:val="28"/>
                <w:szCs w:val="28"/>
                <w:highlight w:val="none"/>
                <w:lang w:val="en-US" w:eastAsia="zh-CN"/>
              </w:rPr>
            </w:pPr>
            <w:r>
              <w:rPr>
                <w:rFonts w:hint="eastAsia" w:ascii="宋体" w:hAnsi="宋体" w:eastAsia="宋体" w:cs="宋体"/>
                <w:color w:val="auto"/>
                <w:sz w:val="28"/>
                <w:szCs w:val="28"/>
                <w:highlight w:val="none"/>
                <w:lang w:bidi="ar"/>
              </w:rPr>
              <w:t xml:space="preserve">编制人：</w:t>
            </w:r>
            <w:r>
              <w:rPr>
                <w:rFonts w:hint="eastAsia" w:ascii="宋体" w:hAnsi="宋体" w:cs="宋体"/>
                <w:color w:val="auto"/>
                <w:sz w:val="28"/>
                <w:szCs w:val="28"/>
                <w:highlight w:val="none"/>
                <w:lang w:val="en-US" w:eastAsia="zh-CN" w:bidi="ar"/>
              </w:rPr>
              <w:t xml:space="preserve">顾超男</w:t>
            </w:r>
            <w:r/>
          </w:p>
          <w:p>
            <w:pPr>
              <w:jc w:val="both"/>
              <w:keepLines w:val="0"/>
              <w:keepNext w:val="0"/>
              <w:pageBreakBefore w:val="0"/>
              <w:spacing w:line="360" w:lineRule="auto"/>
              <w:widowControl w:val="off"/>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rPr>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tc>
      </w:tr>
      <w:tr>
        <w:trPr>
          <w:jc w:val="center"/>
          <w:trHeight w:val="3975"/>
        </w:trPr>
        <w:tc>
          <w:tcPr>
            <w:tcW w:w="8739" w:type="dxa"/>
            <w:vAlign w:val="top"/>
            <w:textDirection w:val="lrTb"/>
            <w:noWrap w:val="false"/>
          </w:tcPr>
          <w:p>
            <w:pPr>
              <w:keepLines w:val="0"/>
              <w:keepNext w:val="0"/>
              <w:pageBreakBefore w:val="0"/>
              <w:spacing w:line="360" w:lineRule="auto"/>
              <w:widowControl w:val="off"/>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rPr>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bidi="ar"/>
              </w:rPr>
              <w:t xml:space="preserve">建设单位</w:t>
            </w:r>
            <w:r>
              <w:rPr>
                <w:rFonts w:hint="eastAsia" w:ascii="宋体" w:hAnsi="宋体" w:eastAsia="宋体" w:cs="宋体"/>
                <w:color w:val="auto"/>
                <w:sz w:val="28"/>
                <w:szCs w:val="28"/>
                <w:highlight w:val="none"/>
                <w:lang w:bidi="ar"/>
              </w:rPr>
              <w:t xml:space="preserve">：</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ascii="Times New Roman" w:hAnsi="Times New Roman" w:eastAsia="宋体" w:cs="Times New Roman"/>
                <w:color w:val="auto"/>
                <w:sz w:val="28"/>
                <w:szCs w:val="28"/>
                <w:highlight w:val="none"/>
                <w:lang w:bidi="ar"/>
              </w:rPr>
              <w:t xml:space="preserve">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tc>
      </w:tr>
      <w:tr>
        <w:trPr>
          <w:jc w:val="center"/>
          <w:trHeight w:val="4220"/>
        </w:trPr>
        <w:tc>
          <w:tcPr>
            <w:tcW w:w="8739" w:type="dxa"/>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集中建设实施单位：</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ascii="Times New Roman" w:hAnsi="Times New Roman" w:eastAsia="宋体" w:cs="Times New Roman"/>
                <w:color w:val="auto"/>
                <w:sz w:val="28"/>
                <w:szCs w:val="28"/>
                <w:highlight w:val="none"/>
                <w:lang w:bidi="ar"/>
              </w:rPr>
              <w:t xml:space="preserve">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tc>
      </w:tr>
    </w:tbl>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1"/>
        </w:numPr>
        <w:spacing w:line="480" w:lineRule="auto"/>
        <w:rPr>
          <w:rFonts w:hint="eastAsia"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磋商邀请</w:t>
      </w:r>
      <w:r>
        <w:rPr>
          <w:rFonts w:hint="eastAsia" w:ascii="黑体" w:hAnsi="Showcard Gothic" w:eastAsia="黑体"/>
          <w:color w:val="auto"/>
          <w:sz w:val="36"/>
          <w:szCs w:val="21"/>
          <w:highlight w:val="none"/>
          <w:lang w:val="en-US" w:eastAsia="zh-CN"/>
        </w:rPr>
        <w:t xml:space="preserve"> </w:t>
      </w:r>
      <w:r>
        <w:rPr>
          <w:rFonts w:hint="eastAsia" w:ascii="黑体" w:hAnsi="Showcard Gothic" w:eastAsia="黑体"/>
          <w:color w:val="auto"/>
          <w:sz w:val="36"/>
          <w:szCs w:val="21"/>
          <w:highlight w:val="none"/>
        </w:rPr>
        <w:t xml:space="preserve"> </w:t>
      </w:r>
      <w:r/>
    </w:p>
    <w:p>
      <w:pPr>
        <w:numPr>
          <w:ilvl w:val="0"/>
          <w:numId w:val="1"/>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36"/>
          <w:highlight w:val="none"/>
          <w:lang w:val="en-US" w:eastAsia="zh-CN"/>
        </w:rPr>
        <w:t xml:space="preserve"> </w:t>
      </w:r>
      <w:r>
        <w:rPr>
          <w:rFonts w:hint="eastAsia" w:ascii="黑体" w:hAnsi="Showcard Gothic" w:eastAsia="黑体"/>
          <w:color w:val="auto"/>
          <w:sz w:val="36"/>
          <w:szCs w:val="21"/>
          <w:highlight w:val="none"/>
        </w:rPr>
        <w:t xml:space="preserve">  </w:t>
      </w:r>
      <w:r/>
    </w:p>
    <w:p>
      <w:pPr>
        <w:numPr>
          <w:ilvl w:val="0"/>
          <w:numId w:val="1"/>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lang w:val="en-US" w:eastAsia="zh-CN"/>
        </w:rPr>
        <w:t xml:space="preserve"> </w:t>
      </w:r>
      <w:r/>
    </w:p>
    <w:p>
      <w:pPr>
        <w:numPr>
          <w:ilvl w:val="0"/>
          <w:numId w:val="1"/>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lang w:val="en-US" w:eastAsia="zh-CN"/>
        </w:rPr>
        <w:t xml:space="preserve"> </w:t>
      </w:r>
      <w:r/>
    </w:p>
    <w:p>
      <w:pPr>
        <w:numPr>
          <w:ilvl w:val="0"/>
          <w:numId w:val="1"/>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评审方法与评审标准</w:t>
      </w:r>
      <w:r>
        <w:rPr>
          <w:rFonts w:hint="eastAsia" w:ascii="黑体" w:hAnsi="Showcard Gothic" w:eastAsia="黑体"/>
          <w:color w:val="auto"/>
          <w:sz w:val="36"/>
          <w:szCs w:val="21"/>
          <w:highlight w:val="none"/>
          <w:lang w:val="en-US" w:eastAsia="zh-CN"/>
        </w:rPr>
        <w:t xml:space="preserve"> </w:t>
      </w:r>
      <w:r/>
    </w:p>
    <w:p>
      <w:pPr>
        <w:numPr>
          <w:ilvl w:val="0"/>
          <w:numId w:val="1"/>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响应文件格式</w:t>
      </w:r>
      <w:r>
        <w:rPr>
          <w:rFonts w:hint="eastAsia" w:ascii="黑体" w:hAnsi="Showcard Gothic" w:eastAsia="黑体"/>
          <w:color w:val="auto"/>
          <w:sz w:val="36"/>
          <w:szCs w:val="21"/>
          <w:highlight w:val="none"/>
          <w:lang w:val="en-US" w:eastAsia="zh-CN"/>
        </w:rPr>
        <w:t xml:space="preserve"> </w:t>
      </w:r>
      <w:r/>
    </w:p>
    <w:p>
      <w:pPr>
        <w:spacing w:line="500" w:lineRule="exact"/>
        <w:tabs>
          <w:tab w:val="left" w:pos="7740" w:leader="none"/>
        </w:tabs>
        <w:rPr>
          <w:rFonts w:hint="eastAsia" w:ascii="宋体" w:hAnsi="宋体"/>
          <w:bCs/>
          <w:color w:val="auto"/>
          <w:sz w:val="32"/>
          <w:szCs w:val="32"/>
          <w:highlight w:val="none"/>
        </w:rPr>
      </w:pPr>
      <w:r>
        <w:rPr>
          <w:rFonts w:hint="eastAsia" w:ascii="宋体" w:hAnsi="宋体"/>
          <w:bCs/>
          <w:color w:val="auto"/>
          <w:sz w:val="32"/>
          <w:szCs w:val="32"/>
          <w:highlight w:val="none"/>
        </w:rPr>
      </w:r>
      <w:r/>
    </w:p>
    <w:p>
      <w:pPr>
        <w:spacing w:line="500" w:lineRule="exact"/>
        <w:tabs>
          <w:tab w:val="left" w:pos="7740" w:leader="none"/>
        </w:tabs>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center"/>
        <w:spacing w:line="500" w:lineRule="exact"/>
        <w:rPr>
          <w:rFonts w:hint="eastAsia" w:ascii="仿宋" w:hAnsi="仿宋" w:eastAsia="仿宋"/>
          <w:b/>
          <w:bCs/>
          <w:color w:val="auto"/>
          <w:sz w:val="36"/>
          <w:szCs w:val="36"/>
          <w:highlight w:val="none"/>
          <w:lang w:val="zh-CN"/>
        </w:rPr>
      </w:pPr>
      <w:r>
        <w:rPr>
          <w:rFonts w:hint="eastAsia" w:ascii="仿宋" w:hAnsi="仿宋" w:eastAsia="仿宋"/>
          <w:b/>
          <w:bCs/>
          <w:color w:val="auto"/>
          <w:sz w:val="36"/>
          <w:szCs w:val="36"/>
          <w:highlight w:val="none"/>
          <w:lang w:val="zh-CN"/>
        </w:rPr>
      </w:r>
      <w:r/>
    </w:p>
    <w:p>
      <w:pPr>
        <w:jc w:val="both"/>
        <w:keepNext/>
        <w:rPr>
          <w:rFonts w:hint="default" w:ascii="黑体" w:hAnsi="Times New Roman" w:eastAsia="黑体"/>
          <w:color w:val="auto"/>
          <w:sz w:val="44"/>
          <w:szCs w:val="44"/>
          <w:highlight w:val="none"/>
          <w:lang w:val="en-US" w:eastAsia="zh-CN"/>
        </w:rPr>
        <w:sectPr>
          <w:headerReference w:type="default" r:id="rId9"/>
          <w:footerReference w:type="default" r:id="rId11"/>
          <w:footnotePr/>
          <w:endnotePr/>
          <w:type w:val="nextPage"/>
          <w:pgSz w:w="11907" w:h="16839" w:orient="portrait"/>
          <w:pgMar w:top="1327" w:right="1293" w:bottom="1327" w:left="1293" w:header="720" w:footer="720" w:gutter="0"/>
          <w:cols w:num="1" w:sep="0" w:space="1701" w:equalWidth="1"/>
          <w:docGrid w:linePitch="360"/>
        </w:sectPr>
        <w:outlineLvl w:val="0"/>
      </w:pPr>
      <w:r>
        <w:rPr>
          <w:rFonts w:hint="eastAsia" w:ascii="黑体" w:eastAsia="黑体"/>
          <w:color w:val="auto"/>
          <w:sz w:val="44"/>
          <w:szCs w:val="44"/>
          <w:highlight w:val="none"/>
          <w:lang w:val="en-US" w:eastAsia="zh-CN"/>
        </w:rPr>
        <w:t xml:space="preserve"> </w:t>
      </w:r>
      <w:r/>
    </w:p>
    <w:p>
      <w:pPr>
        <w:jc w:val="center"/>
        <w:keepNext/>
        <w:rPr>
          <w:rFonts w:hint="eastAsia"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磋商邀请</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olor w:val="auto"/>
          <w:sz w:val="24"/>
          <w:szCs w:val="24"/>
          <w:highlight w:val="none"/>
          <w:lang w:eastAsia="zh-CN"/>
        </w:rPr>
        <w:t xml:space="preserve">南通市通州区水利局</w:t>
      </w:r>
      <w:r>
        <w:rPr>
          <w:rFonts w:hint="eastAsia" w:ascii="宋体" w:hAnsi="宋体"/>
          <w:color w:val="auto"/>
          <w:sz w:val="24"/>
          <w:szCs w:val="24"/>
          <w:highlight w:val="none"/>
          <w:lang w:eastAsia="zh-CN"/>
        </w:rPr>
        <w:t xml:space="preserve">、江苏禹和水利工程建设有限公司</w:t>
      </w:r>
      <w:r>
        <w:rPr>
          <w:rFonts w:hint="eastAsia" w:ascii="宋体" w:hAnsi="宋体" w:eastAsia="宋体" w:cs="宋体"/>
          <w:color w:val="auto"/>
          <w:sz w:val="24"/>
          <w:szCs w:val="24"/>
          <w:highlight w:val="none"/>
        </w:rPr>
        <w:t xml:space="preserve">]的委托，</w:t>
      </w:r>
      <w:r>
        <w:rPr>
          <w:rFonts w:hint="eastAsia" w:ascii="宋体" w:hAnsi="宋体"/>
          <w:color w:val="auto"/>
          <w:sz w:val="24"/>
          <w:szCs w:val="24"/>
          <w:highlight w:val="none"/>
        </w:rPr>
        <w:t xml:space="preserve">江苏衡通咨询管理有限公司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highlight w:val="none"/>
          <w:lang w:eastAsia="zh-CN"/>
        </w:rPr>
        <w:t xml:space="preserve">南通市通州区2026年度骨干河道水土流失治理工程施工</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JSZC-320612-ZXHT-C2026-0004</w:t>
      </w:r>
      <w:r>
        <w:rPr>
          <w:rFonts w:hint="eastAsia" w:ascii="宋体" w:hAnsi="宋体" w:eastAsia="宋体" w:cs="宋体"/>
          <w:color w:val="auto"/>
          <w:sz w:val="24"/>
          <w:szCs w:val="24"/>
          <w:highlight w:val="none"/>
        </w:rPr>
        <w:t xml:space="preserve">)进行竞争性磋商采购，欢迎符合条件的供应商参加磋商。</w:t>
      </w:r>
      <w:r/>
    </w:p>
    <w:p>
      <w:pPr>
        <w:ind w:firstLine="505"/>
        <w:keepLines w:val="0"/>
        <w:keepNext w:val="0"/>
        <w:pageBreakBefore w:val="0"/>
        <w:spacing w:line="460" w:lineRule="exact"/>
        <w:shd w:val="clear" w:color="auto" w:fill="ffffff"/>
        <w:widowControl/>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项目概况</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eastAsia="宋体" w:cs="宋体"/>
          <w:color w:val="auto"/>
          <w:sz w:val="24"/>
          <w:szCs w:val="24"/>
          <w:highlight w:val="none"/>
        </w:rPr>
        <w:t xml:space="preserve">采购项目的潜在供应商应在</w:t>
      </w:r>
      <w:r>
        <w:rPr>
          <w:rFonts w:hint="eastAsia" w:ascii="宋体" w:hAnsi="宋体"/>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获取采购文件，并于</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分（北京时间）前提交响应文件。</w:t>
      </w:r>
      <w:r/>
    </w:p>
    <w:p>
      <w:pPr>
        <w:ind w:firstLine="241"/>
        <w:keepLines/>
        <w:keepNext/>
        <w:spacing w:line="480" w:lineRule="exact"/>
        <w:rPr>
          <w:rFonts w:hint="eastAsia" w:ascii="宋体" w:hAnsi="宋体" w:cs="宋体"/>
          <w:b/>
          <w:bCs/>
          <w:color w:val="auto"/>
          <w:sz w:val="24"/>
          <w:szCs w:val="24"/>
          <w:highlight w:val="none"/>
        </w:rPr>
        <w:outlineLvl w:val="2"/>
      </w:pPr>
      <w:r/>
      <w:bookmarkStart w:id="0" w:name="_Toc28359002"/>
      <w:r/>
      <w:bookmarkStart w:id="1" w:name="_Toc38985263"/>
      <w:r/>
      <w:bookmarkStart w:id="2" w:name="_Toc28359079"/>
      <w:r/>
      <w:bookmarkStart w:id="3" w:name="_Toc35393790"/>
      <w:r/>
      <w:bookmarkStart w:id="4" w:name="_Toc35393621"/>
      <w:r/>
      <w:bookmarkStart w:id="5" w:name="_Hlk24379207"/>
      <w:r>
        <w:rPr>
          <w:rFonts w:hint="eastAsia" w:ascii="宋体" w:hAnsi="宋体" w:cs="宋体"/>
          <w:b/>
          <w:bCs/>
          <w:color w:val="auto"/>
          <w:sz w:val="24"/>
          <w:szCs w:val="24"/>
          <w:highlight w:val="none"/>
        </w:rPr>
        <w:t xml:space="preserve">一、项目基本情况</w:t>
      </w:r>
      <w:bookmarkEnd w:id="0"/>
      <w:r/>
      <w:bookmarkEnd w:id="1"/>
      <w:r/>
      <w:bookmarkEnd w:id="2"/>
      <w:r/>
      <w:bookmarkEnd w:id="3"/>
      <w:r/>
      <w:bookmarkEnd w:id="4"/>
      <w:r/>
      <w:bookmarkEnd w:id="5"/>
      <w:r/>
      <w:r/>
    </w:p>
    <w:p>
      <w:pPr>
        <w:ind w:firstLine="480"/>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JSZC-320612-ZXHT-C2026-0004</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olor w:val="auto"/>
          <w:sz w:val="24"/>
          <w:szCs w:val="24"/>
          <w:highlight w:val="none"/>
          <w:lang w:eastAsia="zh-CN"/>
        </w:rPr>
        <w:t xml:space="preserve">南通市通州区2026年度骨干河道水土流失治理工程施工</w:t>
      </w:r>
      <w:r/>
    </w:p>
    <w:p>
      <w:pPr>
        <w:ind w:firstLine="480"/>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项目类型：</w:t>
      </w:r>
      <w:r>
        <w:rPr>
          <w:rFonts w:hint="eastAsia" w:ascii="宋体" w:hAnsi="宋体" w:eastAsia="宋体" w:cs="宋体"/>
          <w:color w:val="auto"/>
          <w:sz w:val="24"/>
          <w:szCs w:val="24"/>
          <w:highlight w:val="none"/>
          <w:lang w:val="en-US" w:eastAsia="zh-CN"/>
        </w:rPr>
        <w:t xml:space="preserve">工程</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所属行业：</w:t>
      </w:r>
      <w:r>
        <w:rPr>
          <w:rFonts w:hint="eastAsia" w:ascii="宋体" w:hAnsi="宋体" w:eastAsia="宋体" w:cs="宋体"/>
          <w:color w:val="auto"/>
          <w:sz w:val="24"/>
          <w:szCs w:val="24"/>
          <w:highlight w:val="none"/>
          <w:lang w:val="en-US" w:eastAsia="zh-CN"/>
        </w:rPr>
        <w:t xml:space="preserve">建筑业</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60" w:lineRule="exac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364</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lang w:val="en-US"/>
        </w:rPr>
        <w:t xml:space="preserve">元</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345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firstLine="480"/>
        <w:keepLines w:val="0"/>
        <w:keepNext w:val="0"/>
        <w:pageBreakBefore w:val="0"/>
        <w:spacing w:line="460" w:lineRule="exact"/>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采购需求：本工程为通州区2026年度骨干河道水土流失治理工程，项目地点位于南通市通州区五接镇、平潮镇、刘桥镇、石港镇，建设内容为通州区新生竖河、平五河、江海河等坍塌河段进行护岸改造，对冲刷、坍塌、滑坡的河道岸坡进行防护，新建河道护岸，河道边坡清杂绿化等，具体内容详见工程量清单及施工图纸。</w:t>
      </w:r>
      <w:r/>
    </w:p>
    <w:p>
      <w:pPr>
        <w:ind w:firstLine="480"/>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合同履行期限：总工期120日历天，具体开工、竣工日期以合同签订日期为准</w:t>
      </w:r>
      <w:r>
        <w:rPr>
          <w:rFonts w:hint="eastAsia" w:ascii="宋体" w:hAnsi="宋体"/>
          <w:color w:val="auto"/>
          <w:sz w:val="24"/>
          <w:szCs w:val="24"/>
          <w:highlight w:val="none"/>
        </w:rPr>
        <w:t xml:space="preserve">。</w:t>
      </w:r>
      <w:r/>
    </w:p>
    <w:p>
      <w:pPr>
        <w:ind w:firstLine="482"/>
        <w:keepLines w:val="0"/>
        <w:keepNext w:val="0"/>
        <w:pageBreakBefore w:val="0"/>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本项目（是/否）接受分包</w:t>
      </w:r>
      <w:r>
        <w:rPr>
          <w:rFonts w:ascii="Times New Roman" w:hAnsi="Times New Roman" w:eastAsia="宋体" w:cs="Times New Roman"/>
          <w:b/>
          <w:color w:val="auto"/>
          <w:sz w:val="24"/>
          <w:highlight w:val="none"/>
        </w:rPr>
        <w:t xml:space="preserve">：否</w:t>
      </w:r>
      <w:r>
        <w:rPr>
          <w:rFonts w:hint="eastAsia" w:ascii="宋体" w:hAnsi="宋体" w:eastAsia="宋体" w:cs="宋体"/>
          <w:b/>
          <w:bCs/>
          <w:color w:val="auto"/>
          <w:sz w:val="24"/>
          <w:szCs w:val="24"/>
          <w:highlight w:val="none"/>
        </w:rPr>
        <w:t xml:space="preserve">。</w:t>
      </w:r>
      <w:r/>
    </w:p>
    <w:p>
      <w:pPr>
        <w:ind w:firstLine="373"/>
        <w:keepLines/>
        <w:keepNext/>
        <w:pageBreakBefore w:val="0"/>
        <w:spacing w:before="145" w:after="145" w:line="460" w:lineRule="exact"/>
        <w:rPr>
          <w:rFonts w:ascii="Times New Roman" w:hAnsi="Times New Roman"/>
          <w:b/>
          <w:bCs/>
          <w:color w:val="auto"/>
          <w:sz w:val="24"/>
          <w:szCs w:val="24"/>
          <w:highlight w:val="none"/>
        </w:rPr>
        <w:outlineLvl w:val="2"/>
      </w:pPr>
      <w:r/>
      <w:bookmarkStart w:id="6" w:name="_Toc28359003"/>
      <w:r/>
      <w:bookmarkStart w:id="7" w:name="_Toc35393622"/>
      <w:r/>
      <w:bookmarkStart w:id="8" w:name="_Toc35393791"/>
      <w:r/>
      <w:bookmarkStart w:id="9" w:name="_Toc28359080"/>
      <w:r/>
      <w:bookmarkStart w:id="10" w:name="_Toc38985264"/>
      <w:r/>
      <w:bookmarkStart w:id="11" w:name="_Toc16938553"/>
      <w:r/>
      <w:bookmarkStart w:id="12" w:name="_Toc513029237"/>
      <w:r/>
      <w:bookmarkStart w:id="13" w:name="_Toc20823309"/>
      <w:r>
        <w:rPr>
          <w:rFonts w:hint="eastAsia" w:ascii="Times New Roman" w:hAnsi="Times New Roman"/>
          <w:b/>
          <w:bCs/>
          <w:color w:val="auto"/>
          <w:sz w:val="24"/>
          <w:szCs w:val="24"/>
          <w:highlight w:val="none"/>
        </w:rPr>
        <w:t xml:space="preserve">二、申请人的资格要求：</w:t>
      </w:r>
      <w:bookmarkEnd w:id="6"/>
      <w:r/>
      <w:bookmarkEnd w:id="7"/>
      <w:r/>
      <w:bookmarkEnd w:id="8"/>
      <w:r/>
      <w:bookmarkEnd w:id="9"/>
      <w:r/>
      <w:bookmarkEnd w:id="10"/>
      <w:r/>
      <w:r/>
    </w:p>
    <w:p>
      <w:pPr>
        <w:ind w:firstLine="480"/>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pageBreakBefore w:val="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w:t>
      </w:r>
      <w:r/>
    </w:p>
    <w:p>
      <w:pPr>
        <w:ind w:firstLine="480"/>
        <w:pageBreakBefore w:val="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1.2</w:t>
      </w:r>
      <w:r>
        <w:rPr>
          <w:rFonts w:hint="eastAsia" w:ascii="宋体" w:hAnsi="宋体" w:cs="宋体"/>
          <w:color w:val="auto"/>
          <w:sz w:val="24"/>
          <w:szCs w:val="24"/>
          <w:highlight w:val="none"/>
          <w:lang w:val="en-US" w:eastAsia="zh-CN"/>
        </w:rPr>
        <w:t xml:space="preserve">提供2025年度由会计师事务所（或者审计机构）出具的完整的财务报告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firstLine="480"/>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0"/>
        <w:pageBreakBefore w:val="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pageBreakBefore w:val="0"/>
        <w:spacing w:line="460" w:lineRule="exact"/>
        <w:rPr>
          <w:rFonts w:hint="default" w:ascii="华文新魏" w:hAnsi="宋体" w:eastAsia="宋体"/>
          <w:color w:val="auto"/>
          <w:sz w:val="36"/>
          <w:szCs w:val="36"/>
          <w:highlight w:val="none"/>
          <w:lang w:val="en-US" w:eastAsia="zh-CN"/>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olor w:val="auto"/>
          <w:sz w:val="24"/>
          <w:szCs w:val="24"/>
          <w:highlight w:val="none"/>
          <w:lang w:val="en-US" w:eastAsia="zh-CN"/>
        </w:rPr>
        <w:t xml:space="preserve">。</w:t>
      </w:r>
      <w:r/>
    </w:p>
    <w:p>
      <w:pPr>
        <w:ind w:firstLine="480"/>
        <w:pageBreakBefore w:val="0"/>
        <w:spacing w:line="4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3.落实政府采购政策需满足的资格要求：</w:t>
      </w:r>
      <w:r>
        <w:rPr>
          <w:rFonts w:hint="eastAsia" w:ascii="宋体" w:hAnsi="宋体"/>
          <w:color w:val="auto"/>
          <w:sz w:val="24"/>
          <w:szCs w:val="24"/>
          <w:highlight w:val="none"/>
          <w:lang w:val="en-US" w:eastAsia="zh-CN"/>
        </w:rPr>
        <w:t xml:space="preserve">本项目专门面向中小企业采购。</w:t>
      </w:r>
      <w:r/>
    </w:p>
    <w:p>
      <w:pPr>
        <w:ind w:firstLine="480"/>
        <w:pageBreakBefore w:val="0"/>
        <w:spacing w:line="4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联合体参与磋商</w:t>
      </w:r>
      <w:r>
        <w:rPr>
          <w:rFonts w:hint="eastAsia" w:ascii="宋体" w:hAnsi="宋体"/>
          <w:color w:val="auto"/>
          <w:sz w:val="24"/>
          <w:szCs w:val="24"/>
          <w:highlight w:val="none"/>
          <w:lang w:eastAsia="zh-CN"/>
        </w:rPr>
        <w:t xml:space="preserve">。</w:t>
      </w:r>
      <w:r/>
    </w:p>
    <w:p>
      <w:pPr>
        <w:ind w:firstLine="480"/>
        <w:pageBreakBefore w:val="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
        </w:rPr>
        <w:t xml:space="preserve">1.</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水利水电工程施工总承包</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二级及以上资质</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460" w:lineRule="exact"/>
        <w:rPr>
          <w:rFonts w:hint="eastAsia" w:ascii="宋体" w:hAnsi="宋体" w:eastAsia="宋体" w:cs="宋体"/>
          <w:bCs/>
          <w:color w:val="auto"/>
          <w:sz w:val="24"/>
          <w:szCs w:val="24"/>
          <w:highlight w:val="none"/>
          <w:lang w:eastAsia="zh-CN" w:bidi="ar"/>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b/>
          <w:color w:val="auto"/>
          <w:sz w:val="24"/>
          <w:highlight w:val="none"/>
          <w:u w:val="single"/>
        </w:rPr>
        <w:t xml:space="preserve">水利水电工程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rPr>
        <w:t xml:space="preserve">贰级及以上注册建造师执业资格</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p>
    <w:p>
      <w:pPr>
        <w:ind w:firstLine="482"/>
        <w:keepLines/>
        <w:keepNext/>
        <w:spacing w:line="480" w:lineRule="exact"/>
        <w:rPr>
          <w:rFonts w:hint="eastAsia" w:ascii="宋体" w:hAnsi="宋体" w:eastAsia="宋体" w:cs="宋体"/>
          <w:bCs/>
          <w:color w:val="auto"/>
          <w:sz w:val="24"/>
          <w:szCs w:val="24"/>
          <w:highlight w:val="none"/>
          <w:lang w:val="en-US" w:eastAsia="zh-CN" w:bidi="ar"/>
        </w:rPr>
        <w:outlineLvl w:val="2"/>
      </w:pPr>
      <w:r>
        <w:rPr>
          <w:rFonts w:hint="eastAsia" w:ascii="宋体" w:hAnsi="宋体" w:cs="宋体"/>
          <w:b/>
          <w:bCs/>
          <w:color w:val="auto"/>
          <w:sz w:val="24"/>
          <w:szCs w:val="24"/>
          <w:highlight w:val="none"/>
        </w:rPr>
        <w:t xml:space="preserve">特别提醒：</w:t>
      </w:r>
      <w:r>
        <w:rPr>
          <w:rFonts w:hint="eastAsia" w:ascii="宋体" w:hAnsi="宋体" w:cs="宋体"/>
          <w:color w:val="auto"/>
          <w:sz w:val="24"/>
          <w:szCs w:val="24"/>
          <w:highlight w:val="none"/>
        </w:rPr>
        <w:t xml:space="preserve">①拟派项目负责人提供一级注册建造师证书的，必须满足《办公厅关于全面实行一级建造师电子注册证书的通知》（建办市〔2021〕40号）文件要求且证书注册期和使用期在有效期内的。②拟派项目负责人提供江苏省二级建造师证书的，必须按照《省住房和城乡建设厅关于我省二级建造师、二级造价工程师、二级注册建筑师、二级注册结构工程师注册证书电子证照换发的公告》（〔2023〕26号）文件要求换发新的注册证书电子证照。省外从其规定。</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拟派授权委托人</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拟派</w:t>
      </w:r>
      <w:r>
        <w:rPr>
          <w:rFonts w:hint="eastAsia" w:ascii="宋体" w:hAnsi="宋体" w:eastAsia="宋体" w:cs="宋体"/>
          <w:bCs/>
          <w:color w:val="auto"/>
          <w:sz w:val="24"/>
          <w:szCs w:val="24"/>
          <w:highlight w:val="none"/>
          <w:lang w:bidi="ar"/>
        </w:rPr>
        <w:t xml:space="preserve">项目负责人和企业签订的有效劳动合同，投标企业所在地社保机构出具的由企业为授权委托人</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拟派项目负责人缴纳的</w:t>
      </w:r>
      <w:r>
        <w:rPr>
          <w:rFonts w:ascii="Times New Roman" w:hAnsi="Times New Roman" w:eastAsia="宋体" w:cs="Times New Roman"/>
          <w:color w:val="auto"/>
          <w:sz w:val="24"/>
          <w:highlight w:val="none"/>
        </w:rPr>
        <w:t xml:space="preserve">投标截止时间前</w:t>
      </w:r>
      <w:r>
        <w:rPr>
          <w:rFonts w:hint="eastAsia" w:cs="Times New Roman"/>
          <w:color w:val="auto"/>
          <w:sz w:val="24"/>
          <w:highlight w:val="none"/>
          <w:lang w:val="en-US" w:eastAsia="zh-CN"/>
        </w:rPr>
        <w:t xml:space="preserve">三个</w:t>
      </w:r>
      <w:r>
        <w:rPr>
          <w:rFonts w:ascii="Times New Roman" w:hAnsi="Times New Roman" w:eastAsia="宋体" w:cs="Times New Roman"/>
          <w:color w:val="auto"/>
          <w:sz w:val="24"/>
          <w:highlight w:val="none"/>
        </w:rPr>
        <w:t xml:space="preserve">月（不含投标截止时间当月）中至少一个月的养老保险缴纳证明材料（注：委托代理人为法定代表人的，无需提供养老保险缴费证明）</w:t>
      </w:r>
      <w:r>
        <w:rPr>
          <w:rFonts w:hint="eastAsia" w:ascii="宋体" w:hAnsi="宋体" w:eastAsia="宋体" w:cs="宋体"/>
          <w:b w:val="0"/>
          <w:bCs/>
          <w:color w:val="auto"/>
          <w:sz w:val="24"/>
          <w:szCs w:val="24"/>
          <w:highlight w:val="none"/>
          <w:lang w:val="en-US" w:eastAsia="zh-CN"/>
        </w:rPr>
        <w:t xml:space="preserve">。</w:t>
      </w:r>
      <w:r/>
    </w:p>
    <w:p>
      <w:pPr>
        <w:ind w:firstLine="498"/>
        <w:keepLines/>
        <w:keepNext/>
        <w:pageBreakBefore w:val="0"/>
        <w:spacing w:before="145" w:after="145" w:line="46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三、获取磋商文件</w:t>
      </w:r>
      <w:r/>
    </w:p>
    <w:p>
      <w:pPr>
        <w:ind w:firstLine="540"/>
        <w:pageBreakBefore w:val="0"/>
        <w:spacing w:line="460" w:lineRule="exact"/>
        <w:rPr>
          <w:rFonts w:hint="eastAsia" w:ascii="宋体" w:hAnsi="宋体" w:eastAsia="宋体" w:cs="宋体"/>
          <w:b/>
          <w:color w:val="auto"/>
          <w:sz w:val="24"/>
          <w:szCs w:val="24"/>
          <w:highlight w:val="none"/>
        </w:rPr>
      </w:pPr>
      <w:r/>
      <w:bookmarkStart w:id="14" w:name="_Toc28359005"/>
      <w:r/>
      <w:bookmarkStart w:id="15" w:name="_Toc28359082"/>
      <w:r/>
      <w:bookmarkStart w:id="16" w:name="_Toc35393624"/>
      <w:r/>
      <w:bookmarkStart w:id="17" w:name="_Toc35393793"/>
      <w:r/>
      <w:bookmarkStart w:id="18" w:name="_Toc38985266"/>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firstLine="54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2.方式：</w:t>
      </w:r>
      <w:r>
        <w:rPr>
          <w:rFonts w:hint="eastAsia" w:ascii="宋体" w:hAnsi="宋体" w:cs="宋体"/>
          <w:color w:val="auto"/>
          <w:sz w:val="24"/>
          <w:szCs w:val="24"/>
          <w:highlight w:val="none"/>
        </w:rPr>
        <w:t xml:space="preserve">在“江苏政府采购网”自行免费下载磋商文件</w:t>
      </w:r>
      <w:r>
        <w:rPr>
          <w:rFonts w:hint="eastAsia" w:ascii="宋体" w:hAnsi="宋体" w:eastAsia="宋体" w:cs="宋体"/>
          <w:color w:val="auto"/>
          <w:sz w:val="24"/>
          <w:szCs w:val="24"/>
          <w:highlight w:val="none"/>
          <w:lang w:val="en-US" w:eastAsia="zh-CN"/>
        </w:rPr>
        <w:t xml:space="preserve">。</w:t>
      </w:r>
      <w:r/>
    </w:p>
    <w:p>
      <w:pPr>
        <w:ind w:firstLine="540"/>
        <w:pageBreakBefore w:val="0"/>
        <w:spacing w:line="4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注：如潜在供应商未按上述要求操作，将自行承担所产生的风险。</w:t>
      </w:r>
      <w:r/>
    </w:p>
    <w:p>
      <w:pPr>
        <w:ind w:firstLine="498"/>
        <w:keepLines/>
        <w:keepNext/>
        <w:pageBreakBefore w:val="0"/>
        <w:spacing w:before="145" w:after="145" w:line="460" w:lineRule="exact"/>
        <w:rPr>
          <w:rFonts w:hint="eastAsia" w:ascii="宋体" w:hAnsi="宋体" w:eastAsia="宋体" w:cs="宋体"/>
          <w:b/>
          <w:bCs/>
          <w:color w:val="auto"/>
          <w:sz w:val="24"/>
          <w:szCs w:val="24"/>
          <w:highlight w:val="none"/>
        </w:rPr>
        <w:outlineLvl w:val="2"/>
      </w:pPr>
      <w:r/>
      <w:bookmarkStart w:id="19" w:name="_Toc155343490"/>
      <w:r>
        <w:rPr>
          <w:rFonts w:hint="eastAsia" w:ascii="宋体" w:hAnsi="宋体" w:eastAsia="宋体" w:cs="宋体"/>
          <w:b/>
          <w:bCs/>
          <w:color w:val="auto"/>
          <w:sz w:val="24"/>
          <w:szCs w:val="24"/>
          <w:highlight w:val="none"/>
        </w:rPr>
        <w:t xml:space="preserve">四、提交</w:t>
      </w:r>
      <w:bookmarkEnd w:id="14"/>
      <w:r/>
      <w:bookmarkEnd w:id="15"/>
      <w:r>
        <w:rPr>
          <w:rFonts w:hint="eastAsia" w:ascii="宋体" w:hAnsi="宋体" w:eastAsia="宋体" w:cs="宋体"/>
          <w:b/>
          <w:bCs/>
          <w:color w:val="auto"/>
          <w:sz w:val="24"/>
          <w:szCs w:val="24"/>
          <w:highlight w:val="none"/>
        </w:rPr>
        <w:t xml:space="preserve">响应文件截止时间</w:t>
      </w:r>
      <w:bookmarkEnd w:id="16"/>
      <w:r/>
      <w:bookmarkEnd w:id="17"/>
      <w:r/>
      <w:bookmarkEnd w:id="18"/>
      <w:r/>
      <w:bookmarkEnd w:id="19"/>
      <w:r/>
      <w:r/>
    </w:p>
    <w:p>
      <w:pPr>
        <w:ind w:firstLine="480"/>
        <w:pageBreakBefore w:val="0"/>
        <w:spacing w:line="460" w:lineRule="exact"/>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none"/>
          <w:lang w:val="en-US" w:eastAsia="zh-CN"/>
        </w:rPr>
        <w:t xml:space="preserve"> 2026</w:t>
      </w:r>
      <w:r>
        <w:rPr>
          <w:rFonts w:hint="eastAsia" w:ascii="宋体" w:hAnsi="宋体" w:eastAsia="宋体" w:cs="宋体"/>
          <w:bCs/>
          <w:color w:val="auto"/>
          <w:sz w:val="24"/>
          <w:szCs w:val="24"/>
          <w:highlight w:val="none"/>
          <w:u w:val="none"/>
        </w:rPr>
        <w:t xml:space="preserve">年</w:t>
      </w:r>
      <w:r>
        <w:rPr>
          <w:rFonts w:hint="eastAsia" w:ascii="宋体" w:hAnsi="宋体" w:cs="宋体"/>
          <w:bCs/>
          <w:color w:val="auto"/>
          <w:sz w:val="24"/>
          <w:szCs w:val="24"/>
          <w:highlight w:val="none"/>
          <w:u w:val="none"/>
          <w:lang w:val="en-US" w:eastAsia="zh-CN"/>
        </w:rPr>
        <w:t xml:space="preserve"> 11</w:t>
      </w:r>
      <w:r>
        <w:rPr>
          <w:rFonts w:hint="eastAsia" w:ascii="宋体" w:hAnsi="宋体" w:eastAsia="宋体" w:cs="宋体"/>
          <w:bCs/>
          <w:color w:val="auto"/>
          <w:sz w:val="24"/>
          <w:szCs w:val="24"/>
          <w:highlight w:val="none"/>
          <w:u w:val="none"/>
        </w:rPr>
        <w:t xml:space="preserve">月</w:t>
      </w:r>
      <w:r>
        <w:rPr>
          <w:rFonts w:hint="eastAsia" w:ascii="宋体" w:hAnsi="宋体" w:cs="宋体"/>
          <w:bCs/>
          <w:color w:val="auto"/>
          <w:sz w:val="24"/>
          <w:szCs w:val="24"/>
          <w:highlight w:val="none"/>
          <w:u w:val="none"/>
          <w:lang w:val="en-US" w:eastAsia="zh-CN"/>
        </w:rPr>
        <w:t xml:space="preserve">11</w:t>
      </w:r>
      <w:r>
        <w:rPr>
          <w:rFonts w:hint="eastAsia" w:ascii="宋体" w:hAnsi="宋体" w:eastAsia="宋体" w:cs="宋体"/>
          <w:bCs/>
          <w:color w:val="auto"/>
          <w:sz w:val="24"/>
          <w:szCs w:val="24"/>
          <w:highlight w:val="none"/>
          <w:u w:val="none"/>
        </w:rPr>
        <w:t xml:space="preserve">日</w:t>
      </w:r>
      <w:r>
        <w:rPr>
          <w:rFonts w:hint="eastAsia" w:ascii="宋体" w:hAnsi="宋体" w:eastAsia="宋体" w:cs="宋体"/>
          <w:bCs/>
          <w:color w:val="auto"/>
          <w:sz w:val="24"/>
          <w:szCs w:val="24"/>
          <w:highlight w:val="none"/>
          <w:u w:val="none"/>
          <w:lang w:val="en-US" w:eastAsia="zh-CN"/>
        </w:rPr>
        <w:t xml:space="preserve">9</w:t>
      </w:r>
      <w:r>
        <w:rPr>
          <w:rFonts w:hint="eastAsia" w:ascii="宋体" w:hAnsi="宋体" w:eastAsia="宋体" w:cs="宋体"/>
          <w:bCs/>
          <w:color w:val="auto"/>
          <w:sz w:val="24"/>
          <w:szCs w:val="24"/>
          <w:highlight w:val="none"/>
          <w:u w:val="none"/>
        </w:rPr>
        <w:t xml:space="preserve">点</w:t>
      </w:r>
      <w:r>
        <w:rPr>
          <w:rFonts w:hint="eastAsia" w:ascii="宋体" w:hAnsi="宋体" w:eastAsia="宋体" w:cs="宋体"/>
          <w:bCs/>
          <w:color w:val="auto"/>
          <w:sz w:val="24"/>
          <w:szCs w:val="24"/>
          <w:highlight w:val="none"/>
          <w:u w:val="none"/>
          <w:lang w:val="en-US" w:eastAsia="zh-CN"/>
        </w:rPr>
        <w:t xml:space="preserve">00</w:t>
      </w:r>
      <w:r>
        <w:rPr>
          <w:rFonts w:hint="eastAsia" w:ascii="宋体" w:hAnsi="宋体" w:eastAsia="宋体" w:cs="宋体"/>
          <w:bCs/>
          <w:color w:val="auto"/>
          <w:sz w:val="24"/>
          <w:szCs w:val="24"/>
          <w:highlight w:val="none"/>
          <w:u w:val="none"/>
        </w:rPr>
        <w:t xml:space="preserve">分（北京时间）。逾时，交易系统将拒绝接受上传响应文件电子文档。</w:t>
      </w:r>
      <w:r/>
    </w:p>
    <w:p>
      <w:pPr>
        <w:ind w:firstLine="480"/>
        <w:pageBreakBefore w:val="0"/>
        <w:spacing w:line="460" w:lineRule="exact"/>
        <w:rPr>
          <w:rFonts w:hint="eastAsia" w:ascii="宋体" w:hAnsi="宋体" w:eastAsia="宋体" w:cs="宋体"/>
          <w:bCs/>
          <w:color w:val="auto"/>
          <w:sz w:val="24"/>
          <w:szCs w:val="24"/>
          <w:highlight w:val="none"/>
          <w:u w:val="none"/>
        </w:rPr>
      </w:pPr>
      <w:r>
        <w:rPr>
          <w:rFonts w:hint="eastAsia" w:ascii="宋体" w:hAnsi="宋体" w:eastAsia="宋体" w:cs="宋体"/>
          <w:color w:val="auto"/>
          <w:sz w:val="24"/>
          <w:szCs w:val="24"/>
          <w:highlight w:val="none"/>
          <w:u w:val="none"/>
        </w:rPr>
        <w:t xml:space="preserve">2.地点：“苏采云”政府采购交易系统网上开标大厅。</w:t>
      </w:r>
      <w:r/>
    </w:p>
    <w:p>
      <w:pPr>
        <w:ind w:firstLine="498"/>
        <w:keepLines/>
        <w:keepNext/>
        <w:pageBreakBefore w:val="0"/>
        <w:spacing w:before="145" w:after="145" w:line="460" w:lineRule="exact"/>
        <w:rPr>
          <w:rFonts w:hint="eastAsia" w:ascii="宋体" w:hAnsi="宋体" w:eastAsia="宋体" w:cs="宋体"/>
          <w:b/>
          <w:bCs/>
          <w:color w:val="auto"/>
          <w:sz w:val="24"/>
          <w:szCs w:val="24"/>
          <w:highlight w:val="none"/>
        </w:rPr>
        <w:outlineLvl w:val="2"/>
      </w:pPr>
      <w:r/>
      <w:bookmarkStart w:id="20" w:name="_Toc35393794"/>
      <w:r/>
      <w:bookmarkStart w:id="21" w:name="_Toc28359007"/>
      <w:r/>
      <w:bookmarkStart w:id="22" w:name="_Toc35393625"/>
      <w:r/>
      <w:bookmarkStart w:id="23" w:name="_Toc155343491"/>
      <w:r/>
      <w:bookmarkStart w:id="24" w:name="_Toc38985267"/>
      <w:r/>
      <w:bookmarkStart w:id="25" w:name="_Toc28359084"/>
      <w:r>
        <w:rPr>
          <w:rFonts w:hint="eastAsia" w:ascii="宋体" w:hAnsi="宋体" w:eastAsia="宋体" w:cs="宋体"/>
          <w:b/>
          <w:bCs/>
          <w:color w:val="auto"/>
          <w:sz w:val="24"/>
          <w:szCs w:val="24"/>
          <w:highlight w:val="none"/>
        </w:rPr>
        <w:t xml:space="preserve">五、公告期限</w:t>
      </w:r>
      <w:bookmarkEnd w:id="20"/>
      <w:r/>
      <w:bookmarkEnd w:id="21"/>
      <w:r/>
      <w:bookmarkEnd w:id="22"/>
      <w:r/>
      <w:bookmarkEnd w:id="23"/>
      <w:r/>
      <w:bookmarkEnd w:id="24"/>
      <w:r/>
      <w:bookmarkEnd w:id="25"/>
      <w:r/>
      <w:r/>
    </w:p>
    <w:p>
      <w:pPr>
        <w:ind w:firstLine="480"/>
        <w:pageBreakBefore w:val="0"/>
        <w:spacing w:line="460" w:lineRule="exact"/>
        <w:rPr>
          <w:rFonts w:hint="eastAsia" w:ascii="宋体" w:hAnsi="宋体" w:eastAsia="宋体" w:cs="宋体"/>
          <w:color w:val="auto"/>
          <w:sz w:val="24"/>
          <w:szCs w:val="24"/>
          <w:highlight w:val="none"/>
        </w:rPr>
      </w:pPr>
      <w:r/>
      <w:bookmarkStart w:id="26" w:name="_Toc38985268"/>
      <w:r/>
      <w:bookmarkStart w:id="27" w:name="_Toc35393626"/>
      <w:r/>
      <w:bookmarkStart w:id="28" w:name="_Toc35393795"/>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firstLine="498"/>
        <w:keepLines/>
        <w:keepNext/>
        <w:pageBreakBefore w:val="0"/>
        <w:spacing w:before="145" w:after="145" w:line="460" w:lineRule="exact"/>
        <w:rPr>
          <w:rFonts w:hint="eastAsia" w:ascii="宋体" w:hAnsi="宋体" w:eastAsia="宋体" w:cs="宋体"/>
          <w:b/>
          <w:bCs/>
          <w:color w:val="auto"/>
          <w:sz w:val="24"/>
          <w:szCs w:val="24"/>
          <w:highlight w:val="none"/>
        </w:rPr>
        <w:outlineLvl w:val="2"/>
      </w:pPr>
      <w:r/>
      <w:bookmarkStart w:id="29" w:name="_Toc155343492"/>
      <w:r>
        <w:rPr>
          <w:rFonts w:hint="eastAsia" w:ascii="宋体" w:hAnsi="宋体" w:eastAsia="宋体" w:cs="宋体"/>
          <w:b/>
          <w:bCs/>
          <w:color w:val="auto"/>
          <w:sz w:val="24"/>
          <w:szCs w:val="24"/>
          <w:highlight w:val="none"/>
        </w:rPr>
        <w:t xml:space="preserve">六、其他补充事宜</w:t>
      </w:r>
      <w:bookmarkEnd w:id="26"/>
      <w:r/>
      <w:bookmarkEnd w:id="27"/>
      <w:r/>
      <w:bookmarkEnd w:id="28"/>
      <w:r/>
      <w:bookmarkEnd w:id="29"/>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本次磋商不收取磋商保证金。</w:t>
      </w:r>
      <w:r/>
    </w:p>
    <w:p>
      <w:pPr>
        <w:numPr>
          <w:ilvl w:val="0"/>
          <w:numId w:val="0"/>
        </w:numPr>
        <w:ind w:firstLine="480"/>
        <w:pageBreakBefore w:val="0"/>
        <w:spacing w:line="460" w:lineRule="exact"/>
        <w:rPr>
          <w:rFonts w:hint="eastAsia" w:ascii="宋体" w:hAnsi="宋体" w:eastAsia="宋体" w:cs="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.“苏采云”系统使用相关提醒</w:t>
      </w:r>
      <w:bookmarkStart w:id="199" w:name="_GoBack"/>
      <w:r/>
      <w:bookmarkEnd w:id="199"/>
      <w:r/>
      <w:r/>
    </w:p>
    <w:p>
      <w:pPr>
        <w:ind w:firstLine="482"/>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 A和方正国际软件（北京）有限公司电子签章。如果</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w:t>
      </w:r>
      <w:r>
        <w:rPr>
          <w:rFonts w:hint="eastAsia" w:ascii="宋体" w:hAnsi="宋体" w:eastAsia="宋体" w:cs="宋体"/>
          <w:b/>
          <w:bCs/>
          <w:color w:val="auto"/>
          <w:sz w:val="24"/>
          <w:szCs w:val="24"/>
          <w:highlight w:val="none"/>
        </w:rPr>
        <w:t xml:space="preserve">具体办理指南和操作手册见链接：http://www.ccgp-jiangsu.gov.cn/jiangsu/zlxz/ee/ee3a4bc5a3454aa2b0d9312230633ce9.html。</w:t>
      </w:r>
      <w:r/>
    </w:p>
    <w:p>
      <w:pPr>
        <w:ind w:firstLine="482"/>
        <w:keepLines w:val="0"/>
        <w:keepNext w:val="0"/>
        <w:pageBreakBefore w:val="0"/>
        <w:spacing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.2领取CA和办理电子签章详见</w:t>
      </w:r>
      <w:r>
        <w:rPr>
          <w:rFonts w:hint="eastAsia" w:ascii="宋体" w:hAnsi="宋体"/>
          <w:bCs/>
          <w:color w:val="auto"/>
          <w:sz w:val="24"/>
          <w:szCs w:val="24"/>
          <w:highlight w:val="none"/>
        </w:rPr>
        <w:t xml:space="preserve">《苏采云系统供应商操作手册》（以下简称《操作手册》））、进行注册并按《操作手册》要求制作、上传电子响应文件。</w:t>
      </w:r>
      <w:r/>
    </w:p>
    <w:p>
      <w:pPr>
        <w:ind w:firstLine="482"/>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当天</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供应商应及时登录“苏采云”，并在规定时间内自行实施远程解密。</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auto"/>
          <w:sz w:val="24"/>
          <w:szCs w:val="24"/>
          <w:highlight w:val="none"/>
        </w:rPr>
        <w:t xml:space="preserve">因采购人原因或</w:t>
      </w:r>
      <w:r>
        <w:rPr>
          <w:rFonts w:hint="eastAsia" w:ascii="宋体" w:hAnsi="宋体" w:eastAsia="宋体" w:cs="宋体"/>
          <w:color w:val="auto"/>
          <w:sz w:val="24"/>
          <w:szCs w:val="24"/>
          <w:highlight w:val="none"/>
          <w:lang w:val="en-US" w:eastAsia="zh-CN"/>
        </w:rPr>
        <w:t xml:space="preserve">苏采云</w:t>
      </w:r>
      <w:r>
        <w:rPr>
          <w:rFonts w:hint="eastAsia" w:ascii="宋体" w:hAnsi="宋体" w:eastAsia="宋体" w:cs="宋体"/>
          <w:color w:val="auto"/>
          <w:sz w:val="24"/>
          <w:szCs w:val="24"/>
          <w:highlight w:val="none"/>
        </w:rPr>
        <w:t xml:space="preserve">平台发生故障，导致</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无法进行的，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可根据实际情况</w:t>
      </w:r>
      <w:r>
        <w:rPr>
          <w:rFonts w:hint="eastAsia" w:ascii="宋体" w:hAnsi="宋体" w:eastAsia="宋体" w:cs="宋体"/>
          <w:color w:val="auto"/>
          <w:sz w:val="24"/>
          <w:szCs w:val="24"/>
          <w:highlight w:val="none"/>
          <w:lang w:val="en-US" w:eastAsia="zh-CN"/>
        </w:rPr>
        <w:t xml:space="preserve">延长相应时间</w:t>
      </w:r>
      <w:r>
        <w:rPr>
          <w:rFonts w:hint="eastAsia" w:ascii="宋体" w:hAnsi="宋体" w:eastAsia="宋体" w:cs="宋体"/>
          <w:color w:val="auto"/>
          <w:sz w:val="24"/>
          <w:szCs w:val="24"/>
          <w:highlight w:val="none"/>
        </w:rPr>
        <w:t xml:space="preserve">。</w:t>
      </w:r>
      <w:r/>
    </w:p>
    <w:p>
      <w:pPr>
        <w:ind w:firstLine="498"/>
        <w:keepLines/>
        <w:keepNext/>
        <w:pageBreakBefore w:val="0"/>
        <w:spacing w:before="145" w:after="145" w:line="460" w:lineRule="exact"/>
        <w:rPr>
          <w:rFonts w:hint="eastAsia" w:ascii="宋体" w:hAnsi="宋体" w:eastAsia="宋体" w:cs="宋体"/>
          <w:b/>
          <w:bCs/>
          <w:color w:val="auto"/>
          <w:sz w:val="24"/>
          <w:szCs w:val="24"/>
          <w:highlight w:val="none"/>
        </w:rPr>
        <w:outlineLvl w:val="2"/>
      </w:pPr>
      <w:r/>
      <w:bookmarkStart w:id="30" w:name="_Toc38985269"/>
      <w:r/>
      <w:bookmarkStart w:id="31" w:name="_Toc28359085"/>
      <w:r/>
      <w:bookmarkStart w:id="32" w:name="_Toc28359008"/>
      <w:r/>
      <w:bookmarkStart w:id="33" w:name="_Toc35393796"/>
      <w:r/>
      <w:bookmarkStart w:id="34" w:name="_Toc155343493"/>
      <w:r/>
      <w:bookmarkStart w:id="35" w:name="_Toc35393627"/>
      <w:r>
        <w:rPr>
          <w:rFonts w:hint="eastAsia" w:ascii="宋体" w:hAnsi="宋体" w:eastAsia="宋体" w:cs="宋体"/>
          <w:b/>
          <w:bCs/>
          <w:color w:val="auto"/>
          <w:sz w:val="24"/>
          <w:szCs w:val="24"/>
          <w:highlight w:val="none"/>
        </w:rPr>
        <w:t xml:space="preserve">七、本次磋商联系方式</w:t>
      </w:r>
      <w:bookmarkEnd w:id="30"/>
      <w:r/>
      <w:bookmarkEnd w:id="31"/>
      <w:r/>
      <w:bookmarkEnd w:id="32"/>
      <w:r/>
      <w:bookmarkEnd w:id="33"/>
      <w:r/>
      <w:bookmarkEnd w:id="34"/>
      <w:r/>
      <w:bookmarkEnd w:id="35"/>
      <w:r/>
      <w:r/>
    </w:p>
    <w:p>
      <w:pPr>
        <w:ind w:left="0" w:firstLine="480"/>
        <w:jc w:val="left"/>
        <w:pageBreakBefore w:val="0"/>
        <w:spacing w:line="460" w:lineRule="exact"/>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1.采购人信息</w:t>
      </w:r>
      <w:r/>
    </w:p>
    <w:p>
      <w:pPr>
        <w:ind w:firstLine="480"/>
        <w:jc w:val="left"/>
        <w:spacing w:line="480" w:lineRule="exact"/>
        <w:rPr>
          <w:rFonts w:hint="eastAsia" w:ascii="宋体" w:hAnsi="宋体" w:cs="宋体"/>
          <w:color w:val="auto"/>
          <w:sz w:val="24"/>
          <w:szCs w:val="24"/>
          <w:highlight w:val="none"/>
          <w:u w:val="none"/>
        </w:rPr>
      </w:pPr>
      <w:r/>
      <w:bookmarkStart w:id="36" w:name="_Toc28359086"/>
      <w:r/>
      <w:bookmarkEnd w:id="36"/>
      <w:r/>
      <w:bookmarkStart w:id="37" w:name="_Toc28359009"/>
      <w:r/>
      <w:bookmarkEnd w:id="37"/>
      <w:r>
        <w:rPr>
          <w:rFonts w:hint="eastAsia" w:ascii="宋体" w:hAnsi="宋体" w:cs="宋体"/>
          <w:color w:val="auto"/>
          <w:sz w:val="24"/>
          <w:szCs w:val="24"/>
          <w:highlight w:val="none"/>
        </w:rPr>
        <w:t xml:space="preserve">名</w:t>
      </w:r>
      <w:r>
        <w:rPr>
          <w:rFonts w:hint="eastAsia" w:ascii="宋体" w:hAnsi="宋体" w:cs="宋体"/>
          <w:color w:val="auto"/>
          <w:sz w:val="24"/>
          <w:szCs w:val="24"/>
          <w:highlight w:val="none"/>
          <w:u w:val="none"/>
        </w:rPr>
        <w:t xml:space="preserve">称：南通市通州区水利局、江苏禹和水利工程建设有限公司</w:t>
      </w:r>
      <w:r/>
    </w:p>
    <w:p>
      <w:pPr>
        <w:ind w:firstLine="480"/>
        <w:jc w:val="left"/>
        <w:spacing w:line="480" w:lineRule="exact"/>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地址：通州区朝霞路88号</w:t>
      </w:r>
      <w:r>
        <w:rPr>
          <w:rFonts w:hint="eastAsia" w:ascii="宋体" w:hAnsi="宋体" w:cs="宋体"/>
          <w:color w:val="auto"/>
          <w:sz w:val="24"/>
          <w:highlight w:val="none"/>
          <w:u w:val="none"/>
        </w:rPr>
        <w:t xml:space="preserve">行政中心12楼</w:t>
      </w:r>
      <w:r>
        <w:rPr>
          <w:rFonts w:hint="eastAsia" w:ascii="宋体" w:hAnsi="宋体" w:cs="宋体"/>
          <w:color w:val="auto"/>
          <w:sz w:val="24"/>
          <w:szCs w:val="24"/>
          <w:highlight w:val="none"/>
          <w:u w:val="none"/>
        </w:rPr>
        <w:t xml:space="preserve">、通州区金霞路555号江海圆融汇</w:t>
      </w:r>
      <w:r>
        <w:rPr>
          <w:rFonts w:hint="eastAsia" w:ascii="宋体" w:hAnsi="宋体" w:cs="宋体"/>
          <w:color w:val="auto"/>
          <w:sz w:val="24"/>
          <w:szCs w:val="24"/>
          <w:highlight w:val="none"/>
          <w:u w:val="none"/>
          <w:lang w:val="en-US" w:eastAsia="zh-CN"/>
        </w:rPr>
        <w:t xml:space="preserve">5</w:t>
      </w:r>
      <w:r>
        <w:rPr>
          <w:rFonts w:hint="eastAsia" w:ascii="宋体" w:hAnsi="宋体" w:cs="宋体"/>
          <w:color w:val="auto"/>
          <w:sz w:val="24"/>
          <w:szCs w:val="24"/>
          <w:highlight w:val="none"/>
          <w:u w:val="none"/>
        </w:rPr>
        <w:t xml:space="preserve">楼</w:t>
      </w:r>
      <w:r/>
    </w:p>
    <w:p>
      <w:pPr>
        <w:ind w:firstLine="480"/>
        <w:jc w:val="left"/>
        <w:spacing w:line="480" w:lineRule="exact"/>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联系人：张女士、</w:t>
      </w:r>
      <w:r>
        <w:rPr>
          <w:rFonts w:hint="eastAsia" w:ascii="宋体" w:hAnsi="宋体" w:cs="宋体"/>
          <w:color w:val="auto"/>
          <w:sz w:val="24"/>
          <w:highlight w:val="none"/>
          <w:u w:val="none"/>
        </w:rPr>
        <w:t xml:space="preserve">吴先生</w:t>
      </w:r>
      <w:r/>
    </w:p>
    <w:p>
      <w:pPr>
        <w:ind w:firstLine="480"/>
        <w:jc w:val="left"/>
        <w:spacing w:line="480" w:lineRule="exact"/>
        <w:rPr>
          <w:rFonts w:hint="eastAsia" w:ascii="宋体" w:hAnsi="宋体" w:eastAsia="宋体" w:cs="宋体"/>
          <w:color w:val="auto"/>
          <w:sz w:val="24"/>
          <w:szCs w:val="24"/>
          <w:highlight w:val="none"/>
          <w:u w:val="none"/>
          <w:lang w:val="en-US"/>
        </w:rPr>
      </w:pPr>
      <w:r>
        <w:rPr>
          <w:rFonts w:hint="eastAsia" w:ascii="宋体" w:hAnsi="宋体" w:cs="宋体"/>
          <w:color w:val="auto"/>
          <w:sz w:val="24"/>
          <w:szCs w:val="24"/>
          <w:highlight w:val="none"/>
          <w:u w:val="none"/>
        </w:rPr>
        <w:t xml:space="preserve">联系方式：0513-86028692、</w:t>
      </w:r>
      <w:r>
        <w:rPr>
          <w:rFonts w:hint="eastAsia" w:ascii="宋体" w:hAnsi="宋体"/>
          <w:color w:val="auto"/>
          <w:sz w:val="24"/>
          <w:highlight w:val="none"/>
          <w:u w:val="none"/>
        </w:rPr>
        <w:t xml:space="preserve">0513-</w:t>
      </w:r>
      <w:r>
        <w:rPr>
          <w:rFonts w:hint="eastAsia" w:ascii="宋体" w:hAnsi="宋体"/>
          <w:color w:val="auto"/>
          <w:sz w:val="24"/>
          <w:highlight w:val="none"/>
          <w:u w:val="none"/>
          <w:lang w:val="en-US" w:eastAsia="zh-CN"/>
        </w:rPr>
        <w:t xml:space="preserve">86510197</w:t>
      </w:r>
      <w:r>
        <w:rPr>
          <w:rFonts w:hint="eastAsia" w:ascii="宋体" w:hAnsi="宋体" w:eastAsia="宋体" w:cs="宋体"/>
          <w:color w:val="auto"/>
          <w:sz w:val="24"/>
          <w:szCs w:val="24"/>
          <w:highlight w:val="none"/>
          <w:u w:val="none"/>
          <w:lang w:val="en-US" w:eastAsia="zh-CN"/>
        </w:rPr>
        <w:t xml:space="preserve">        </w:t>
      </w:r>
      <w:r/>
    </w:p>
    <w:p>
      <w:pPr>
        <w:ind w:left="0" w:firstLine="480"/>
        <w:jc w:val="left"/>
        <w:pageBreakBefore w:val="0"/>
        <w:spacing w:line="460" w:lineRule="exact"/>
        <w:widowControl/>
        <w:rPr>
          <w:rFonts w:hint="eastAsia" w:ascii="宋体" w:hAnsi="宋体" w:eastAsia="宋体" w:cs="宋体"/>
          <w:color w:val="auto"/>
          <w:sz w:val="24"/>
          <w:szCs w:val="24"/>
          <w:highlight w:val="none"/>
        </w:rPr>
      </w:pPr>
      <w:r/>
      <w:bookmarkStart w:id="38" w:name="_Toc28359010"/>
      <w:r/>
      <w:bookmarkStart w:id="39" w:name="_Toc28359087"/>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信息</w:t>
      </w:r>
      <w:bookmarkEnd w:id="38"/>
      <w:r/>
      <w:bookmarkEnd w:id="39"/>
      <w:r/>
      <w:r/>
    </w:p>
    <w:p>
      <w:pPr>
        <w:ind w:right="0"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称：江苏衡通咨询管理有限公司</w:t>
      </w:r>
      <w:r/>
    </w:p>
    <w:p>
      <w:pPr>
        <w:ind w:right="0"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址：南通市崇川区桃坞路2号友谊大厦902室</w:t>
      </w:r>
      <w:r/>
    </w:p>
    <w:p>
      <w:pPr>
        <w:ind w:right="0"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顾女士</w:t>
      </w:r>
      <w:r/>
    </w:p>
    <w:p>
      <w:pPr>
        <w:ind w:right="0"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联系方式：0513-</w:t>
      </w:r>
      <w:r>
        <w:rPr>
          <w:rFonts w:hint="eastAsia" w:ascii="宋体" w:hAnsi="宋体" w:eastAsia="宋体" w:cs="宋体"/>
          <w:color w:val="auto"/>
          <w:sz w:val="24"/>
          <w:szCs w:val="24"/>
          <w:highlight w:val="none"/>
          <w:lang w:val="en-US" w:eastAsia="zh-CN"/>
        </w:rPr>
        <w:t xml:space="preserve">81187561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15152885716</w:t>
      </w:r>
      <w:r>
        <w:rPr>
          <w:rFonts w:hint="eastAsia" w:ascii="宋体" w:hAnsi="宋体" w:eastAsia="宋体" w:cs="宋体"/>
          <w:color w:val="auto"/>
          <w:sz w:val="24"/>
          <w:szCs w:val="24"/>
          <w:highlight w:val="none"/>
        </w:rPr>
        <w:t xml:space="preserve"> </w:t>
      </w:r>
      <w:r/>
    </w:p>
    <w:p>
      <w:pPr>
        <w:ind w:right="0"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交易系统软件维护人员：0513-59001950 0519-86722801</w:t>
      </w:r>
      <w:r>
        <w:rPr>
          <w:rFonts w:hint="eastAsia" w:ascii="宋体" w:hAnsi="宋体" w:eastAsia="宋体" w:cs="宋体"/>
          <w:color w:val="auto"/>
          <w:sz w:val="24"/>
          <w:szCs w:val="24"/>
          <w:highlight w:val="none"/>
          <w:lang w:val="en-US" w:eastAsia="zh-CN"/>
        </w:rPr>
        <w:t xml:space="preserve"> 0519-86722806</w:t>
      </w:r>
      <w:r/>
    </w:p>
    <w:p>
      <w:pPr>
        <w:ind w:right="0" w:firstLine="480"/>
        <w:pageBreakBefore w:val="0"/>
        <w:spacing w:line="460" w:lineRule="exact"/>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r>
      <w:r/>
    </w:p>
    <w:p>
      <w:pPr>
        <w:jc w:val="left"/>
        <w:pageBreakBefore w:val="0"/>
        <w:spacing w:line="500" w:lineRule="exact"/>
        <w:widowControl/>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840"/>
        <w:pageBreakBefore w:val="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840"/>
        <w:pageBreakBefore w:val="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840"/>
        <w:pageBreakBefore w:val="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840"/>
        <w:pageBreakBefore w:val="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840"/>
        <w:pageBreakBefore w:val="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840"/>
        <w:pageBreakBefore w:val="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840"/>
        <w:pageBreakBefore w:val="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ind w:right="840"/>
        <w:pageBreakBefore w:val="0"/>
        <w:spacing w:line="50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jc w:val="center"/>
        <w:keepLines/>
        <w:keepNext/>
        <w:spacing w:before="260" w:after="260" w:line="416" w:lineRule="auto"/>
        <w:rPr>
          <w:rFonts w:ascii="Times New Roman" w:hAnsi="Times New Roman" w:eastAsia="方正仿宋_GBK" w:cs="Times New Roman"/>
          <w:color w:val="auto"/>
          <w:sz w:val="36"/>
          <w:szCs w:val="36"/>
          <w:highlight w:val="none"/>
        </w:rPr>
        <w:outlineLvl w:val="1"/>
      </w:pPr>
      <w:r/>
      <w:bookmarkStart w:id="40" w:name="_Toc120614211"/>
      <w:r>
        <w:rPr>
          <w:rFonts w:ascii="Times New Roman" w:hAnsi="Times New Roman" w:eastAsia="方正仿宋_GBK" w:cs="Times New Roman"/>
          <w:b/>
          <w:bCs/>
          <w:color w:val="auto"/>
          <w:sz w:val="28"/>
          <w:szCs w:val="28"/>
          <w:highlight w:val="none"/>
        </w:rPr>
        <w:br w:type="page" w:clear="all"/>
      </w:r>
      <w:bookmarkEnd w:id="40"/>
      <w:r>
        <w:rPr>
          <w:rFonts w:hint="eastAsia" w:ascii="黑体" w:hAnsi="Arial" w:eastAsia="黑体" w:cs="Arial"/>
          <w:b/>
          <w:bCs/>
          <w:color w:val="auto"/>
          <w:sz w:val="44"/>
          <w:szCs w:val="44"/>
          <w:highlight w:val="none"/>
        </w:rPr>
        <w:t xml:space="preserve">第二章  供应商须知</w:t>
      </w:r>
      <w:r/>
    </w:p>
    <w:p>
      <w:pPr>
        <w:ind w:firstLine="498"/>
        <w:keepLines/>
        <w:keepNext/>
        <w:pageBreakBefore w:val="0"/>
        <w:spacing w:before="145" w:after="145" w:line="360" w:lineRule="auto"/>
        <w:widowControl w:val="off"/>
        <w:rPr>
          <w:rFonts w:hint="eastAsia" w:ascii="宋体" w:hAnsi="宋体" w:eastAsia="宋体" w:cs="宋体"/>
          <w:b/>
          <w:bCs/>
          <w:color w:val="auto"/>
          <w:sz w:val="24"/>
          <w:szCs w:val="24"/>
          <w:highlight w:val="none"/>
        </w:rPr>
        <w:outlineLvl w:val="2"/>
      </w:pPr>
      <w:r/>
      <w:bookmarkStart w:id="41" w:name="_Toc513029203"/>
      <w:r/>
      <w:bookmarkStart w:id="42" w:name="_Toc120614214"/>
      <w:r/>
      <w:bookmarkStart w:id="43" w:name="_Toc155343496"/>
      <w:r/>
      <w:bookmarkStart w:id="44" w:name="_Toc20823275"/>
      <w:r/>
      <w:bookmarkStart w:id="45" w:name="_Toc16938519"/>
      <w:r>
        <w:rPr>
          <w:rFonts w:hint="eastAsia" w:ascii="宋体" w:hAnsi="宋体" w:eastAsia="宋体" w:cs="宋体"/>
          <w:b/>
          <w:bCs/>
          <w:color w:val="auto"/>
          <w:sz w:val="24"/>
          <w:szCs w:val="24"/>
          <w:highlight w:val="none"/>
        </w:rPr>
        <w:t xml:space="preserve">一、总则</w:t>
      </w:r>
      <w:bookmarkEnd w:id="41"/>
      <w:r/>
      <w:bookmarkEnd w:id="42"/>
      <w:r/>
      <w:bookmarkEnd w:id="43"/>
      <w:r/>
      <w:bookmarkEnd w:id="44"/>
      <w:r/>
      <w:bookmarkEnd w:id="45"/>
      <w:r/>
      <w:r/>
    </w:p>
    <w:p>
      <w:pPr>
        <w:ind w:firstLine="42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46" w:name="_Hlt16619475"/>
      <w:r/>
      <w:bookmarkEnd w:id="46"/>
      <w:r/>
      <w:bookmarkStart w:id="47" w:name="_Toc458694821"/>
      <w:r/>
      <w:bookmarkStart w:id="48" w:name="_Toc513029204"/>
      <w:r/>
      <w:bookmarkStart w:id="49" w:name="_Toc16938520"/>
      <w:r/>
      <w:bookmarkStart w:id="50" w:name="_Toc20823276"/>
      <w:r>
        <w:rPr>
          <w:rFonts w:hint="eastAsia" w:ascii="宋体" w:hAnsi="宋体" w:eastAsia="宋体" w:cs="宋体"/>
          <w:color w:val="auto"/>
          <w:sz w:val="24"/>
          <w:szCs w:val="24"/>
          <w:highlight w:val="none"/>
        </w:rPr>
        <w:t xml:space="preserve">1</w:t>
      </w:r>
      <w:bookmarkEnd w:id="47"/>
      <w:r>
        <w:rPr>
          <w:rFonts w:hint="eastAsia" w:ascii="宋体" w:hAnsi="宋体" w:eastAsia="宋体" w:cs="宋体"/>
          <w:color w:val="auto"/>
          <w:sz w:val="24"/>
          <w:szCs w:val="24"/>
          <w:highlight w:val="none"/>
        </w:rPr>
        <w:t xml:space="preserve">、采购方式</w:t>
      </w:r>
      <w:bookmarkEnd w:id="48"/>
      <w:r/>
      <w:bookmarkEnd w:id="49"/>
      <w:r/>
      <w:bookmarkEnd w:id="5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1.1本次政府采购活动采取竞争性磋商(以下简称磋商)方式，本磋商文件仅适用于磋商公告中所述项目。</w:t>
      </w:r>
      <w:r/>
    </w:p>
    <w:p>
      <w:pPr>
        <w:ind w:firstLine="42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1" w:name="_Toc16938521"/>
      <w:r/>
      <w:bookmarkStart w:id="52" w:name="_Toc513029205"/>
      <w:r/>
      <w:bookmarkStart w:id="53" w:name="_Toc20823277"/>
      <w:r>
        <w:rPr>
          <w:rFonts w:hint="eastAsia" w:ascii="宋体" w:hAnsi="宋体" w:eastAsia="宋体" w:cs="宋体"/>
          <w:color w:val="auto"/>
          <w:sz w:val="24"/>
          <w:szCs w:val="24"/>
          <w:highlight w:val="none"/>
        </w:rPr>
        <w:t xml:space="preserve">2、合格的</w:t>
      </w:r>
      <w:bookmarkEnd w:id="51"/>
      <w:r/>
      <w:bookmarkEnd w:id="52"/>
      <w:r/>
      <w:bookmarkEnd w:id="53"/>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2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4" w:name="_Toc16938522"/>
      <w:r/>
      <w:bookmarkStart w:id="55" w:name="_Toc20823278"/>
      <w:r/>
      <w:bookmarkStart w:id="56" w:name="_Toc513029206"/>
      <w:r>
        <w:rPr>
          <w:rFonts w:hint="eastAsia" w:ascii="宋体" w:hAnsi="宋体" w:eastAsia="宋体" w:cs="宋体"/>
          <w:color w:val="auto"/>
          <w:sz w:val="24"/>
          <w:szCs w:val="24"/>
          <w:highlight w:val="none"/>
        </w:rPr>
        <w:t xml:space="preserve">3、适用法律</w:t>
      </w:r>
      <w:bookmarkEnd w:id="54"/>
      <w:r/>
      <w:bookmarkEnd w:id="55"/>
      <w:r/>
      <w:bookmarkEnd w:id="5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2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7" w:name="_Toc20823279"/>
      <w:r/>
      <w:bookmarkStart w:id="58" w:name="_Toc513029207"/>
      <w:r/>
      <w:bookmarkStart w:id="59" w:name="_Toc16938523"/>
      <w:r/>
      <w:bookmarkStart w:id="60" w:name="_Toc462564067"/>
      <w:r>
        <w:rPr>
          <w:rFonts w:hint="eastAsia" w:ascii="宋体" w:hAnsi="宋体" w:eastAsia="宋体" w:cs="宋体"/>
          <w:color w:val="auto"/>
          <w:sz w:val="24"/>
          <w:szCs w:val="24"/>
          <w:highlight w:val="none"/>
        </w:rPr>
        <w:t xml:space="preserve">4、磋商费用</w:t>
      </w:r>
      <w:bookmarkEnd w:id="57"/>
      <w:r/>
      <w:bookmarkEnd w:id="58"/>
      <w:r/>
      <w:bookmarkEnd w:id="59"/>
      <w:r/>
      <w:bookmarkEnd w:id="6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采购人或采购代理机构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3本项目采购代理服务费3630元，报价时综合考虑，由成交供应商在领取成交通知书时支付给采购代理机构。</w:t>
      </w:r>
      <w:r/>
    </w:p>
    <w:p>
      <w:pPr>
        <w:ind w:firstLine="42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5、磋商文件的约束力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321"/>
        <w:keepLines/>
        <w:keepNext/>
        <w:pageBreakBefore w:val="0"/>
        <w:spacing w:before="145" w:after="145" w:line="460" w:lineRule="exact"/>
        <w:widowControl w:val="off"/>
        <w:rPr>
          <w:rFonts w:hint="eastAsia" w:ascii="宋体" w:hAnsi="宋体" w:eastAsia="宋体" w:cs="宋体"/>
          <w:b/>
          <w:bCs/>
          <w:color w:val="auto"/>
          <w:sz w:val="24"/>
          <w:szCs w:val="24"/>
          <w:highlight w:val="none"/>
        </w:rPr>
        <w:outlineLvl w:val="2"/>
      </w:pPr>
      <w:r/>
      <w:bookmarkStart w:id="61" w:name="_Toc513029209"/>
      <w:r/>
      <w:bookmarkStart w:id="62" w:name="_Toc16938525"/>
      <w:r/>
      <w:bookmarkStart w:id="63" w:name="_Toc120614215"/>
      <w:r/>
      <w:bookmarkStart w:id="64" w:name="_Toc20823281"/>
      <w:r/>
      <w:bookmarkStart w:id="65" w:name="_Toc155343497"/>
      <w:r>
        <w:rPr>
          <w:rFonts w:hint="eastAsia" w:ascii="宋体" w:hAnsi="宋体" w:eastAsia="宋体" w:cs="宋体"/>
          <w:b/>
          <w:bCs/>
          <w:color w:val="auto"/>
          <w:sz w:val="24"/>
          <w:szCs w:val="24"/>
          <w:highlight w:val="none"/>
        </w:rPr>
        <w:t xml:space="preserve">二、</w:t>
      </w:r>
      <w:bookmarkEnd w:id="61"/>
      <w:r/>
      <w:bookmarkEnd w:id="62"/>
      <w:r/>
      <w:bookmarkEnd w:id="63"/>
      <w:r/>
      <w:bookmarkEnd w:id="64"/>
      <w:r>
        <w:rPr>
          <w:rFonts w:hint="eastAsia" w:ascii="宋体" w:hAnsi="宋体" w:eastAsia="宋体" w:cs="宋体"/>
          <w:b/>
          <w:bCs/>
          <w:color w:val="auto"/>
          <w:sz w:val="24"/>
          <w:szCs w:val="24"/>
          <w:highlight w:val="none"/>
        </w:rPr>
        <w:t xml:space="preserve">磋商文件</w:t>
      </w:r>
      <w:bookmarkEnd w:id="65"/>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66" w:name="_Toc16938526"/>
      <w:r/>
      <w:bookmarkStart w:id="67" w:name="_Toc513029210"/>
      <w:r/>
      <w:bookmarkStart w:id="68" w:name="_Toc20823282"/>
      <w:r>
        <w:rPr>
          <w:rFonts w:hint="eastAsia" w:ascii="宋体" w:hAnsi="宋体" w:eastAsia="宋体" w:cs="宋体"/>
          <w:color w:val="auto"/>
          <w:sz w:val="24"/>
          <w:szCs w:val="24"/>
          <w:highlight w:val="none"/>
        </w:rPr>
        <w:t xml:space="preserve">6、磋商文件构成</w:t>
      </w:r>
      <w:bookmarkEnd w:id="66"/>
      <w:r/>
      <w:bookmarkEnd w:id="67"/>
      <w:r/>
      <w:bookmarkEnd w:id="68"/>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磋商文件由以下部分组成：</w:t>
      </w:r>
      <w:r/>
    </w:p>
    <w:p>
      <w:pPr>
        <w:ind w:firstLine="36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36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36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36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69" w:name="_Toc20823283"/>
      <w:r/>
      <w:bookmarkStart w:id="70" w:name="_Toc462564070"/>
      <w:r/>
      <w:bookmarkStart w:id="71" w:name="_Toc513029211"/>
      <w:r/>
      <w:bookmarkStart w:id="72" w:name="_Toc16938527"/>
      <w:r>
        <w:rPr>
          <w:rFonts w:hint="eastAsia" w:ascii="宋体" w:hAnsi="宋体" w:eastAsia="宋体" w:cs="宋体"/>
          <w:color w:val="auto"/>
          <w:sz w:val="24"/>
          <w:szCs w:val="24"/>
          <w:highlight w:val="none"/>
        </w:rPr>
        <w:t xml:space="preserve">7、磋商文件的澄清</w:t>
      </w:r>
      <w:bookmarkEnd w:id="69"/>
      <w:r/>
      <w:bookmarkEnd w:id="70"/>
      <w:r/>
      <w:bookmarkEnd w:id="71"/>
      <w:r/>
      <w:bookmarkEnd w:id="72"/>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任何要求对磋商文件进行澄清的供应商，应在磋商截止期5日前按磋商公告中的通讯地址，以书面形式通知采购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ind w:firstLine="56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73" w:name="_Toc16938528"/>
      <w:r/>
      <w:bookmarkStart w:id="74" w:name="_Toc462564071"/>
      <w:r/>
      <w:bookmarkStart w:id="75" w:name="_Toc513029212"/>
      <w:r/>
      <w:bookmarkStart w:id="76" w:name="_Toc20823284"/>
      <w:r>
        <w:rPr>
          <w:rFonts w:hint="eastAsia" w:ascii="宋体" w:hAnsi="宋体" w:eastAsia="宋体" w:cs="宋体"/>
          <w:color w:val="auto"/>
          <w:sz w:val="24"/>
          <w:szCs w:val="24"/>
          <w:highlight w:val="none"/>
        </w:rPr>
        <w:t xml:space="preserve">8、磋商文件的澄清和修改</w:t>
      </w:r>
      <w:bookmarkEnd w:id="73"/>
      <w:r/>
      <w:bookmarkEnd w:id="74"/>
      <w:r/>
      <w:bookmarkEnd w:id="75"/>
      <w:r/>
      <w:bookmarkEnd w:id="76"/>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在响应文件提交截止时间前，采购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可以对磋商文件进行澄清和修改,澄清或者修改的内容作为磋商文件的组成部分。澄清或者修改的内容可能影响响应文件编制的，采购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将顺延提交首次响应文件截止时间。</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2"/>
        <w:keepLines/>
        <w:keepNext/>
        <w:pageBreakBefore w:val="0"/>
        <w:spacing w:before="145" w:after="145" w:line="460" w:lineRule="exact"/>
        <w:widowControl w:val="off"/>
        <w:rPr>
          <w:rFonts w:hint="eastAsia" w:ascii="宋体" w:hAnsi="宋体" w:eastAsia="宋体" w:cs="宋体"/>
          <w:b/>
          <w:bCs/>
          <w:color w:val="auto"/>
          <w:sz w:val="24"/>
          <w:szCs w:val="24"/>
          <w:highlight w:val="none"/>
        </w:rPr>
        <w:outlineLvl w:val="2"/>
      </w:pPr>
      <w:r/>
      <w:bookmarkStart w:id="77" w:name="_Toc20823285"/>
      <w:r/>
      <w:bookmarkStart w:id="78" w:name="_Toc120614216"/>
      <w:r/>
      <w:bookmarkStart w:id="79" w:name="_Toc16938529"/>
      <w:r/>
      <w:bookmarkStart w:id="80" w:name="_Toc513029213"/>
      <w:r/>
      <w:bookmarkStart w:id="81" w:name="_Toc155343498"/>
      <w:r/>
      <w:bookmarkStart w:id="82" w:name="_Toc462564072"/>
      <w:r>
        <w:rPr>
          <w:rFonts w:hint="eastAsia" w:ascii="宋体" w:hAnsi="宋体" w:eastAsia="宋体" w:cs="宋体"/>
          <w:b/>
          <w:bCs/>
          <w:color w:val="auto"/>
          <w:sz w:val="24"/>
          <w:szCs w:val="24"/>
          <w:highlight w:val="none"/>
        </w:rPr>
        <w:t xml:space="preserve">三、响应文件的编制</w:t>
      </w:r>
      <w:bookmarkEnd w:id="77"/>
      <w:r/>
      <w:bookmarkEnd w:id="78"/>
      <w:r/>
      <w:bookmarkEnd w:id="79"/>
      <w:r/>
      <w:bookmarkEnd w:id="80"/>
      <w:r/>
      <w:bookmarkEnd w:id="81"/>
      <w:r/>
      <w:bookmarkEnd w:id="82"/>
      <w:r/>
      <w:r/>
    </w:p>
    <w:p>
      <w:pPr>
        <w:ind w:firstLine="560"/>
        <w:keepLines/>
        <w:keepNext/>
        <w:pageBreakBefore w:val="0"/>
        <w:spacing w:line="460" w:lineRule="exact"/>
        <w:widowControl w:val="off"/>
        <w:rPr>
          <w:rFonts w:hint="eastAsia" w:ascii="宋体" w:hAnsi="宋体" w:eastAsia="宋体" w:cs="宋体"/>
          <w:b/>
          <w:color w:val="auto"/>
          <w:sz w:val="24"/>
          <w:szCs w:val="24"/>
          <w:highlight w:val="none"/>
        </w:rPr>
        <w:outlineLvl w:val="3"/>
      </w:pPr>
      <w:r/>
      <w:bookmarkStart w:id="83" w:name="_Toc462564073"/>
      <w:r/>
      <w:bookmarkStart w:id="84" w:name="_Toc16938530"/>
      <w:r/>
      <w:bookmarkStart w:id="85" w:name="_Toc513029214"/>
      <w:r/>
      <w:bookmarkStart w:id="86" w:name="_Toc20823286"/>
      <w:r>
        <w:rPr>
          <w:rFonts w:hint="eastAsia" w:ascii="宋体" w:hAnsi="宋体" w:eastAsia="宋体" w:cs="宋体"/>
          <w:color w:val="auto"/>
          <w:sz w:val="24"/>
          <w:szCs w:val="24"/>
          <w:highlight w:val="none"/>
        </w:rPr>
        <w:t xml:space="preserve">9、响应文件的语言及度量衡单位</w:t>
      </w:r>
      <w:bookmarkEnd w:id="83"/>
      <w:r/>
      <w:bookmarkEnd w:id="84"/>
      <w:r/>
      <w:bookmarkEnd w:id="85"/>
      <w:r/>
      <w:bookmarkEnd w:id="86"/>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9.3磋商货币。响应文件中的单价和总价无特殊规定的采用人民币报价，以元为单位标注。磋商文件中另有规定的按规定执行。</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87" w:name="_Toc513029215"/>
      <w:r/>
      <w:bookmarkStart w:id="88" w:name="_Toc16938531"/>
      <w:r/>
      <w:bookmarkStart w:id="89" w:name="_Toc20823287"/>
      <w:r/>
      <w:bookmarkStart w:id="90" w:name="_Toc462564074"/>
      <w:r>
        <w:rPr>
          <w:rFonts w:hint="eastAsia" w:ascii="宋体" w:hAnsi="宋体" w:eastAsia="宋体" w:cs="宋体"/>
          <w:color w:val="auto"/>
          <w:sz w:val="24"/>
          <w:szCs w:val="24"/>
          <w:highlight w:val="none"/>
        </w:rPr>
        <w:t xml:space="preserve">10、响应文件构成</w:t>
      </w:r>
      <w:bookmarkEnd w:id="87"/>
      <w:r/>
      <w:bookmarkEnd w:id="88"/>
      <w:r/>
      <w:bookmarkEnd w:id="89"/>
      <w:r/>
      <w:bookmarkEnd w:id="90"/>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供应商编写的响应文件应包括资格证明文件、</w:t>
      </w:r>
      <w:r>
        <w:rPr>
          <w:rFonts w:hint="eastAsia" w:ascii="宋体" w:hAnsi="宋体" w:eastAsia="宋体" w:cs="宋体"/>
          <w:color w:val="auto"/>
          <w:sz w:val="24"/>
          <w:szCs w:val="24"/>
          <w:highlight w:val="none"/>
          <w:lang w:val="en-US" w:eastAsia="zh-CN"/>
        </w:rPr>
        <w:t xml:space="preserve">符合性证明文件、商务技术要求响应文件、价格文件</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rPr>
        <w:t xml:space="preserve">供应商按“第</w:t>
      </w:r>
      <w:r>
        <w:rPr>
          <w:rFonts w:hint="eastAsia" w:ascii="宋体" w:hAnsi="宋体" w:eastAsia="宋体" w:cs="宋体"/>
          <w:i w:val="0"/>
          <w:iCs w:val="0"/>
          <w:caps w:val="0"/>
          <w:color w:val="auto"/>
          <w:spacing w:val="0"/>
          <w:sz w:val="24"/>
          <w:szCs w:val="24"/>
          <w:highlight w:val="none"/>
          <w:lang w:val="en-US" w:eastAsia="zh-CN"/>
        </w:rPr>
        <w:t xml:space="preserve">六章</w:t>
      </w:r>
      <w:r>
        <w:rPr>
          <w:rFonts w:hint="eastAsia" w:ascii="宋体" w:hAnsi="宋体" w:eastAsia="宋体" w:cs="宋体"/>
          <w:i w:val="0"/>
          <w:iCs w:val="0"/>
          <w:caps w:val="0"/>
          <w:color w:val="auto"/>
          <w:spacing w:val="0"/>
          <w:sz w:val="24"/>
          <w:szCs w:val="24"/>
          <w:highlight w:val="none"/>
        </w:rPr>
        <w:t xml:space="preserve"> 响应文件</w:t>
      </w:r>
      <w:r>
        <w:rPr>
          <w:rFonts w:hint="eastAsia" w:ascii="宋体" w:hAnsi="宋体" w:eastAsia="宋体" w:cs="宋体"/>
          <w:i w:val="0"/>
          <w:iCs w:val="0"/>
          <w:caps w:val="0"/>
          <w:color w:val="auto"/>
          <w:spacing w:val="0"/>
          <w:sz w:val="24"/>
          <w:szCs w:val="24"/>
          <w:highlight w:val="none"/>
          <w:lang w:val="en-US" w:eastAsia="zh-CN"/>
        </w:rPr>
        <w:t xml:space="preserve">格式</w:t>
      </w:r>
      <w:r>
        <w:rPr>
          <w:rFonts w:hint="eastAsia" w:ascii="宋体" w:hAnsi="宋体" w:eastAsia="宋体" w:cs="宋体"/>
          <w:i w:val="0"/>
          <w:iCs w:val="0"/>
          <w:caps w:val="0"/>
          <w:color w:val="auto"/>
          <w:spacing w:val="0"/>
          <w:sz w:val="24"/>
          <w:szCs w:val="24"/>
          <w:highlight w:val="none"/>
        </w:rPr>
        <w:t xml:space="preserve">”要求编写响应文件。</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制作工具中格式和内容与“江苏政府采购网”发布的磋商文件不一致，请以“江苏政府采购网”发布的磋商文件为准。</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91" w:name="_Hlt26670360"/>
      <w:r/>
      <w:bookmarkEnd w:id="91"/>
      <w:r/>
      <w:bookmarkStart w:id="92" w:name="_Hlt26668975"/>
      <w:r/>
      <w:bookmarkEnd w:id="92"/>
      <w:r/>
      <w:bookmarkStart w:id="93" w:name="_Hlt26954838"/>
      <w:r/>
      <w:bookmarkEnd w:id="93"/>
      <w:r/>
      <w:bookmarkStart w:id="94" w:name="_Toc49090511"/>
      <w:r/>
      <w:bookmarkStart w:id="95" w:name="_Toc14577360"/>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、磋商有效期</w:t>
      </w:r>
      <w:bookmarkEnd w:id="94"/>
      <w:r/>
      <w:bookmarkEnd w:id="95"/>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.1磋商有效期为采购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、磋商有效期的延长</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.1在特殊情况下，采购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2"/>
        <w:keepLines/>
        <w:keepNext/>
        <w:pageBreakBefore w:val="0"/>
        <w:spacing w:before="145" w:after="145" w:line="460" w:lineRule="exact"/>
        <w:widowControl w:val="off"/>
        <w:rPr>
          <w:rFonts w:hint="eastAsia" w:ascii="宋体" w:hAnsi="宋体" w:eastAsia="宋体" w:cs="宋体"/>
          <w:b/>
          <w:bCs/>
          <w:color w:val="auto"/>
          <w:sz w:val="24"/>
          <w:szCs w:val="24"/>
          <w:highlight w:val="none"/>
        </w:rPr>
        <w:outlineLvl w:val="2"/>
      </w:pPr>
      <w:r/>
      <w:bookmarkStart w:id="96" w:name="_Hlt26954852"/>
      <w:r/>
      <w:bookmarkEnd w:id="96"/>
      <w:r/>
      <w:bookmarkStart w:id="97" w:name="_Hlt26954739"/>
      <w:r/>
      <w:bookmarkEnd w:id="97"/>
      <w:r/>
      <w:bookmarkStart w:id="98" w:name="_Toc16938540"/>
      <w:r/>
      <w:bookmarkStart w:id="99" w:name="_Toc120614217"/>
      <w:r/>
      <w:bookmarkStart w:id="100" w:name="_Toc513029224"/>
      <w:r/>
      <w:bookmarkStart w:id="101" w:name="_Toc155343499"/>
      <w:r/>
      <w:bookmarkStart w:id="102" w:name="_Toc20823296"/>
      <w:r>
        <w:rPr>
          <w:rFonts w:hint="eastAsia" w:ascii="宋体" w:hAnsi="宋体" w:eastAsia="宋体" w:cs="宋体"/>
          <w:b/>
          <w:bCs/>
          <w:color w:val="auto"/>
          <w:sz w:val="24"/>
          <w:szCs w:val="24"/>
          <w:highlight w:val="none"/>
        </w:rPr>
        <w:t xml:space="preserve">四、响应文件的递交</w:t>
      </w:r>
      <w:bookmarkEnd w:id="98"/>
      <w:r/>
      <w:bookmarkEnd w:id="99"/>
      <w:r/>
      <w:bookmarkEnd w:id="100"/>
      <w:r/>
      <w:bookmarkEnd w:id="101"/>
      <w:r/>
      <w:bookmarkEnd w:id="102"/>
      <w:r/>
      <w:r/>
    </w:p>
    <w:p>
      <w:pPr>
        <w:ind w:firstLine="56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03" w:name="_Toc462564084"/>
      <w:r/>
      <w:bookmarkStart w:id="104" w:name="_Toc513029225"/>
      <w:r/>
      <w:bookmarkStart w:id="105" w:name="_Toc20823297"/>
      <w:r/>
      <w:bookmarkStart w:id="106" w:name="_Toc16938541"/>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、电子磋商</w:t>
      </w:r>
      <w:bookmarkEnd w:id="103"/>
      <w:r/>
      <w:bookmarkEnd w:id="104"/>
      <w:r/>
      <w:bookmarkEnd w:id="105"/>
      <w:r/>
      <w:bookmarkEnd w:id="106"/>
      <w:r>
        <w:rPr>
          <w:rFonts w:hint="eastAsia" w:ascii="宋体" w:hAnsi="宋体" w:eastAsia="宋体" w:cs="宋体"/>
          <w:color w:val="auto"/>
          <w:sz w:val="24"/>
          <w:szCs w:val="24"/>
          <w:highlight w:val="none"/>
        </w:rPr>
        <w:t xml:space="preserve">响应文件的递交</w:t>
      </w:r>
      <w:r/>
    </w:p>
    <w:p>
      <w:pPr>
        <w:ind w:firstLine="60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.1供应商应当按照《操作手册》规定，在提交响应文件截止时间前制作并上传电子响应文件。</w:t>
      </w:r>
      <w:bookmarkStart w:id="107" w:name="_Toc20823298"/>
      <w:r/>
      <w:bookmarkStart w:id="108" w:name="_Toc16938542"/>
      <w:r/>
      <w:bookmarkStart w:id="109" w:name="_Toc513029226"/>
      <w:r/>
      <w:r/>
    </w:p>
    <w:p>
      <w:pPr>
        <w:ind w:firstLine="60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、提交响应文件截止时间</w:t>
      </w:r>
      <w:bookmarkEnd w:id="107"/>
      <w:r/>
      <w:bookmarkEnd w:id="108"/>
      <w:r/>
      <w:bookmarkEnd w:id="109"/>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供应商上传电子响应文件的时间不得迟于磋商公告中规定的提交响应文件截止时间。</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.3.2条规定做无效响应处理。</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 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10" w:name="_Toc513029227"/>
      <w:r/>
      <w:bookmarkStart w:id="111" w:name="_Toc16938543"/>
      <w:r/>
      <w:bookmarkStart w:id="112" w:name="_Toc20823299"/>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、响应文件</w:t>
      </w:r>
      <w:bookmarkEnd w:id="110"/>
      <w:r/>
      <w:bookmarkEnd w:id="111"/>
      <w:r/>
      <w:bookmarkEnd w:id="112"/>
      <w:r>
        <w:rPr>
          <w:rFonts w:hint="eastAsia" w:ascii="宋体" w:hAnsi="宋体" w:eastAsia="宋体" w:cs="宋体"/>
          <w:color w:val="auto"/>
          <w:sz w:val="24"/>
          <w:szCs w:val="24"/>
          <w:highlight w:val="none"/>
        </w:rPr>
        <w:t xml:space="preserve">的拒收</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.1 采购</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拒绝接收在其规定的提交响应文件截止时间后上传的任何电子响应文件。</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13" w:name="_Toc20823300"/>
      <w:r/>
      <w:bookmarkStart w:id="114" w:name="_Toc16938544"/>
      <w:r/>
      <w:bookmarkStart w:id="115" w:name="_Toc513029228"/>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、响应文件的撤回和修改</w:t>
      </w:r>
      <w:bookmarkEnd w:id="113"/>
      <w:r/>
      <w:bookmarkEnd w:id="114"/>
      <w:r/>
      <w:bookmarkEnd w:id="115"/>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.1响应文件的撤回</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.1.1 电子响应文件的撤回</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.2响应文件的修改</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 在提交响应文件截止时间至磋商文件中规定的磋商有效期满之间的这段时间内，供应商不得撤回其响应文件。</w:t>
      </w:r>
      <w:r/>
    </w:p>
    <w:p>
      <w:pPr>
        <w:ind w:firstLine="482"/>
        <w:keepLines/>
        <w:keepNext/>
        <w:pageBreakBefore w:val="0"/>
        <w:spacing w:before="145" w:after="145" w:line="460" w:lineRule="exact"/>
        <w:widowControl w:val="off"/>
        <w:rPr>
          <w:rFonts w:hint="eastAsia" w:ascii="宋体" w:hAnsi="宋体" w:eastAsia="宋体" w:cs="宋体"/>
          <w:b/>
          <w:bCs/>
          <w:color w:val="auto"/>
          <w:sz w:val="24"/>
          <w:szCs w:val="24"/>
          <w:highlight w:val="none"/>
        </w:rPr>
        <w:outlineLvl w:val="2"/>
      </w:pPr>
      <w:r/>
      <w:bookmarkStart w:id="116" w:name="_Toc155343500"/>
      <w:r/>
      <w:bookmarkStart w:id="117" w:name="_Toc20823301"/>
      <w:r/>
      <w:bookmarkStart w:id="118" w:name="_Toc513029229"/>
      <w:r/>
      <w:bookmarkStart w:id="119" w:name="_Toc16938545"/>
      <w:r/>
      <w:bookmarkStart w:id="120" w:name="_Toc120614218"/>
      <w:r>
        <w:rPr>
          <w:rFonts w:hint="eastAsia" w:ascii="宋体" w:hAnsi="宋体" w:eastAsia="宋体" w:cs="宋体"/>
          <w:b/>
          <w:bCs/>
          <w:color w:val="auto"/>
          <w:sz w:val="24"/>
          <w:szCs w:val="24"/>
          <w:highlight w:val="none"/>
        </w:rPr>
        <w:t xml:space="preserve">五、响应文件的解密与评审</w:t>
      </w:r>
      <w:bookmarkEnd w:id="116"/>
      <w:r/>
      <w:bookmarkEnd w:id="117"/>
      <w:r/>
      <w:bookmarkEnd w:id="118"/>
      <w:r/>
      <w:bookmarkEnd w:id="119"/>
      <w:r/>
      <w:bookmarkEnd w:id="120"/>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21" w:name="_Toc16938546"/>
      <w:r/>
      <w:bookmarkStart w:id="122" w:name="_Toc513029230"/>
      <w:r/>
      <w:bookmarkStart w:id="123" w:name="_Toc20823302"/>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w:t>
      </w:r>
      <w:bookmarkEnd w:id="121"/>
      <w:r/>
      <w:bookmarkEnd w:id="122"/>
      <w:r/>
      <w:bookmarkEnd w:id="123"/>
      <w:r>
        <w:rPr>
          <w:rFonts w:hint="eastAsia" w:ascii="宋体" w:hAnsi="宋体" w:eastAsia="宋体" w:cs="宋体"/>
          <w:color w:val="auto"/>
          <w:sz w:val="24"/>
          <w:szCs w:val="24"/>
          <w:highlight w:val="none"/>
        </w:rPr>
        <w:t xml:space="preserve">响应文件解密</w:t>
      </w:r>
      <w:r/>
    </w:p>
    <w:p>
      <w:pPr>
        <w:ind w:firstLine="36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24" w:name="_Toc16938547"/>
      <w:r/>
      <w:bookmarkStart w:id="125" w:name="_Toc20823303"/>
      <w:r/>
      <w:bookmarkStart w:id="126" w:name="_Toc513029231"/>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、磋商小组</w:t>
      </w:r>
      <w:r/>
    </w:p>
    <w:p>
      <w:pPr>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24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.2磋商小组独立工作，负责评审所有响应文件并确定成交侯选人。</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、评审过程的保密与公正</w:t>
      </w:r>
      <w:bookmarkEnd w:id="124"/>
      <w:r/>
      <w:bookmarkEnd w:id="125"/>
      <w:r/>
      <w:bookmarkEnd w:id="126"/>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磋商小组、采购人和采购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.2在评审过程中，供应商不得以任何行为影响磋商评审过程，否则其响应文件将被作为无效响应文件。</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.3在项目评审期间，采购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27" w:name="_Toc20823304"/>
      <w:r/>
      <w:bookmarkStart w:id="128" w:name="_Toc513029232"/>
      <w:r/>
      <w:bookmarkStart w:id="129" w:name="_Toc16938548"/>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、评审过程中的的澄清</w:t>
      </w:r>
      <w:bookmarkEnd w:id="127"/>
      <w:r/>
      <w:bookmarkEnd w:id="128"/>
      <w:r/>
      <w:bookmarkEnd w:id="129"/>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30" w:name="_Toc513029233"/>
      <w:r/>
      <w:bookmarkStart w:id="131" w:name="_Toc16938549"/>
      <w:r/>
      <w:bookmarkStart w:id="132" w:name="_Toc20823305"/>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、对响应文件的审</w:t>
      </w:r>
      <w:bookmarkEnd w:id="130"/>
      <w:r/>
      <w:bookmarkEnd w:id="131"/>
      <w:r/>
      <w:bookmarkEnd w:id="132"/>
      <w:r>
        <w:rPr>
          <w:rFonts w:hint="eastAsia" w:ascii="宋体" w:hAnsi="宋体" w:eastAsia="宋体" w:cs="宋体"/>
          <w:color w:val="auto"/>
          <w:sz w:val="24"/>
          <w:szCs w:val="24"/>
          <w:highlight w:val="none"/>
        </w:rPr>
        <w:t xml:space="preserve">查</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响应文件审查分为资格审查和符合性审查。</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.3未实质性响应磋商文件的情形</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.3.1供应商在苏采云系统规定的时间内未成功解密电子响应文件的。</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.3.2供应商未按照磋商文件要求上传电子响应文件的。</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.3.3供应商同一分包提交两个（含两个）以上不同的响应文件或者最后报价的。</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.3.4供应商不具备磋商文件中规定资格要求的。</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.3.5供应商的最后报价超过了采购预算。</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.3.6不符合磋商文件中规定的实质性要求的。</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.3.8  响应文件含有采购人不能接受的附加条件的。</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响应文件未按照磋商文件要求加盖CA电子公章的。</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.4未实质性响应磋商文件的响应文件按无效响应处理。</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60" w:lineRule="exact"/>
        <w:widowControl w:val="off"/>
        <w:rPr>
          <w:rFonts w:hint="eastAsia" w:ascii="宋体" w:hAnsi="宋体" w:eastAsia="宋体" w:cs="宋体"/>
          <w:color w:val="auto"/>
          <w:sz w:val="24"/>
          <w:szCs w:val="24"/>
          <w:highlight w:val="none"/>
        </w:rPr>
      </w:pPr>
      <w:r/>
      <w:bookmarkStart w:id="133" w:name="_Toc513029234"/>
      <w:r/>
      <w:bookmarkStart w:id="134" w:name="_Toc16938550"/>
      <w:r/>
      <w:bookmarkStart w:id="135" w:name="_Toc20823306"/>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.6供应商在项目评审全过程中应保持通讯畅通，并安排专人与采购</w:t>
      </w:r>
      <w:r>
        <w:rPr>
          <w:rFonts w:hint="eastAsia" w:ascii="宋体" w:hAnsi="宋体" w:eastAsia="宋体" w:cs="宋体"/>
          <w:color w:val="auto"/>
          <w:sz w:val="24"/>
          <w:szCs w:val="24"/>
          <w:highlight w:val="none"/>
          <w:lang w:val="en-US" w:eastAsia="zh-CN"/>
        </w:rPr>
        <w:t xml:space="preserve">代理人员</w:t>
      </w:r>
      <w:r>
        <w:rPr>
          <w:rFonts w:hint="eastAsia" w:ascii="宋体" w:hAnsi="宋体" w:eastAsia="宋体" w:cs="宋体"/>
          <w:color w:val="auto"/>
          <w:sz w:val="24"/>
          <w:szCs w:val="24"/>
          <w:highlight w:val="none"/>
        </w:rPr>
        <w:t xml:space="preserve">及磋商小组联系。</w:t>
      </w:r>
      <w:r/>
    </w:p>
    <w:p>
      <w:pPr>
        <w:ind w:firstLine="42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bookmarkEnd w:id="133"/>
      <w:r/>
      <w:bookmarkEnd w:id="134"/>
      <w:r/>
      <w:bookmarkEnd w:id="135"/>
      <w:r>
        <w:rPr>
          <w:rFonts w:hint="eastAsia" w:ascii="宋体" w:hAnsi="宋体" w:eastAsia="宋体" w:cs="宋体"/>
          <w:color w:val="auto"/>
          <w:sz w:val="24"/>
          <w:szCs w:val="24"/>
          <w:highlight w:val="none"/>
        </w:rPr>
        <w:t xml:space="preserve">磋商程序及评审方法和评审标准</w:t>
      </w:r>
      <w:r/>
    </w:p>
    <w:p>
      <w:pPr>
        <w:ind w:firstLine="478"/>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.1磋商程序</w:t>
      </w:r>
      <w:r/>
    </w:p>
    <w:p>
      <w:pPr>
        <w:ind w:firstLine="478"/>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78"/>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评审方法和评审标准</w:t>
      </w:r>
      <w:r/>
    </w:p>
    <w:p>
      <w:pPr>
        <w:ind w:firstLine="478"/>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.2.2评审标准</w:t>
      </w:r>
      <w:r/>
    </w:p>
    <w:p>
      <w:pPr>
        <w:ind w:firstLine="478"/>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w:t>
      </w:r>
      <w:r>
        <w:rPr>
          <w:rFonts w:hint="eastAsia" w:ascii="宋体" w:hAnsi="宋体" w:eastAsia="宋体" w:cs="宋体"/>
          <w:color w:val="auto"/>
          <w:sz w:val="24"/>
          <w:szCs w:val="24"/>
          <w:highlight w:val="none"/>
          <w:lang w:val="en-US" w:eastAsia="zh-CN"/>
        </w:rPr>
        <w:t xml:space="preserve">四部分</w:t>
      </w:r>
      <w:r>
        <w:rPr>
          <w:rFonts w:hint="eastAsia" w:ascii="宋体" w:hAnsi="宋体" w:eastAsia="宋体" w:cs="宋体"/>
          <w:color w:val="auto"/>
          <w:sz w:val="24"/>
          <w:szCs w:val="24"/>
          <w:highlight w:val="none"/>
        </w:rPr>
        <w:t xml:space="preserve">规定。</w:t>
      </w:r>
      <w:r/>
    </w:p>
    <w:p>
      <w:pPr>
        <w:ind w:firstLine="478"/>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.3采购活动终止的情况</w:t>
      </w:r>
      <w:r/>
    </w:p>
    <w:p>
      <w:pPr>
        <w:ind w:firstLine="360"/>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360"/>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360"/>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.3.2出现影响采购公正的违法、违规行为的。</w:t>
      </w:r>
      <w:r/>
    </w:p>
    <w:p>
      <w:pPr>
        <w:ind w:firstLine="360"/>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360"/>
        <w:keepLines w:val="0"/>
        <w:keepNext w:val="0"/>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482"/>
        <w:keepLines/>
        <w:keepNext/>
        <w:pageBreakBefore w:val="0"/>
        <w:spacing w:before="145" w:after="145" w:line="460" w:lineRule="exact"/>
        <w:widowControl w:val="off"/>
        <w:rPr>
          <w:rFonts w:hint="eastAsia" w:ascii="宋体" w:hAnsi="宋体" w:eastAsia="宋体" w:cs="宋体"/>
          <w:b/>
          <w:bCs/>
          <w:color w:val="auto"/>
          <w:sz w:val="24"/>
          <w:szCs w:val="24"/>
          <w:highlight w:val="none"/>
        </w:rPr>
        <w:outlineLvl w:val="2"/>
      </w:pPr>
      <w:r/>
      <w:bookmarkStart w:id="136" w:name="_Toc513029235"/>
      <w:r/>
      <w:bookmarkStart w:id="137" w:name="_Toc16938551"/>
      <w:r/>
      <w:bookmarkStart w:id="138" w:name="_Toc20823307"/>
      <w:r/>
      <w:bookmarkStart w:id="139" w:name="_Toc120614219"/>
      <w:r/>
      <w:bookmarkStart w:id="140" w:name="_Toc155343501"/>
      <w:r>
        <w:rPr>
          <w:rFonts w:hint="eastAsia" w:ascii="宋体" w:hAnsi="宋体" w:eastAsia="宋体" w:cs="宋体"/>
          <w:b/>
          <w:bCs/>
          <w:color w:val="auto"/>
          <w:sz w:val="24"/>
          <w:szCs w:val="24"/>
          <w:highlight w:val="none"/>
        </w:rPr>
        <w:t xml:space="preserve">六、</w:t>
      </w:r>
      <w:bookmarkEnd w:id="136"/>
      <w:r/>
      <w:bookmarkEnd w:id="137"/>
      <w:r/>
      <w:bookmarkEnd w:id="138"/>
      <w:r/>
      <w:bookmarkEnd w:id="139"/>
      <w:r>
        <w:rPr>
          <w:rFonts w:hint="eastAsia" w:ascii="宋体" w:hAnsi="宋体" w:eastAsia="宋体" w:cs="宋体"/>
          <w:b/>
          <w:bCs/>
          <w:color w:val="auto"/>
          <w:sz w:val="24"/>
          <w:szCs w:val="24"/>
          <w:highlight w:val="none"/>
        </w:rPr>
        <w:t xml:space="preserve">成交</w:t>
      </w:r>
      <w:bookmarkEnd w:id="140"/>
      <w:r/>
      <w:r/>
    </w:p>
    <w:p>
      <w:pPr>
        <w:ind w:firstLine="600"/>
        <w:keepLines/>
        <w:keepNext/>
        <w:pageBreakBefore w:val="0"/>
        <w:spacing w:line="460" w:lineRule="exact"/>
        <w:widowControl w:val="off"/>
        <w:rPr>
          <w:rFonts w:hint="eastAsia" w:ascii="宋体" w:hAnsi="宋体" w:eastAsia="宋体" w:cs="宋体"/>
          <w:bCs/>
          <w:color w:val="auto"/>
          <w:sz w:val="24"/>
          <w:szCs w:val="24"/>
          <w:highlight w:val="none"/>
        </w:rPr>
        <w:outlineLvl w:val="3"/>
      </w:pPr>
      <w:r/>
      <w:bookmarkStart w:id="141" w:name="_Toc513029238"/>
      <w:r/>
      <w:bookmarkStart w:id="142" w:name="_Toc20823310"/>
      <w:r/>
      <w:bookmarkStart w:id="143" w:name="_Toc16938554"/>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bookmarkEnd w:id="141"/>
      <w:r>
        <w:rPr>
          <w:rFonts w:hint="eastAsia" w:ascii="宋体" w:hAnsi="宋体" w:eastAsia="宋体" w:cs="宋体"/>
          <w:bCs/>
          <w:color w:val="auto"/>
          <w:sz w:val="24"/>
          <w:szCs w:val="24"/>
          <w:highlight w:val="none"/>
        </w:rPr>
        <w:t xml:space="preserve">确定</w:t>
      </w:r>
      <w:bookmarkEnd w:id="142"/>
      <w:r/>
      <w:bookmarkEnd w:id="143"/>
      <w:r>
        <w:rPr>
          <w:rFonts w:hint="eastAsia" w:ascii="宋体" w:hAnsi="宋体" w:eastAsia="宋体" w:cs="宋体"/>
          <w:bCs/>
          <w:color w:val="auto"/>
          <w:sz w:val="24"/>
          <w:szCs w:val="24"/>
          <w:highlight w:val="none"/>
        </w:rPr>
        <w:t xml:space="preserve">成交单位</w:t>
      </w:r>
      <w:r/>
    </w:p>
    <w:p>
      <w:pPr>
        <w:ind w:firstLine="478"/>
        <w:pageBreakBefore w:val="0"/>
        <w:spacing w:after="145"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.2采购人从评审报告提出的成交候选供应商中，按照排序由高到低的原则确定成交供应商。采购人确定成交供应商后，采购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将在“江苏政府采购网”发布成交结果公告，公告期限为1个工作日。</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.3若有充分证据证明，成交供应商出现下列情况之一的，一经查实，将被取消成交资格：</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.3.1提供虚假材料谋取成交的。</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.3.2与评审专家、采购人、其他供应商或者采购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工作人员恶意串通的。</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.3.3向评审专家、采购人或采购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工作人员行贿或者提供其他不正当利益的。</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.3.4恶意竞争，最后报价明显低于其自身合理成本且又无法提供证明的。</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.3.5不满足本磋商文件规定的实质性要求，但在评审过程中又未被磋商小组发现的。</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.3.6成交后无正当理由拒不与采购人签订政府采购合同或者未按照磋商文件确定的事项签订政府采购合同的。</w:t>
      </w:r>
      <w:r/>
    </w:p>
    <w:p>
      <w:pPr>
        <w:ind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.3.7将政府采购合同转包的。</w:t>
      </w:r>
      <w:r/>
    </w:p>
    <w:p>
      <w:pPr>
        <w:ind w:firstLine="600"/>
        <w:keepLines/>
        <w:keepNext/>
        <w:pageBreakBefore w:val="0"/>
        <w:spacing w:line="460" w:lineRule="exact"/>
        <w:widowControl w:val="off"/>
        <w:rPr>
          <w:rFonts w:hint="eastAsia" w:ascii="宋体" w:hAnsi="宋体" w:eastAsia="宋体" w:cs="宋体"/>
          <w:bCs/>
          <w:color w:val="auto"/>
          <w:sz w:val="24"/>
          <w:szCs w:val="24"/>
          <w:highlight w:val="none"/>
        </w:rPr>
        <w:outlineLvl w:val="3"/>
      </w:pPr>
      <w:r/>
      <w:bookmarkStart w:id="144" w:name="_Toc200451960"/>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、质疑处理</w:t>
      </w:r>
      <w:bookmarkEnd w:id="144"/>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条款的规定向采购人提出质疑。上述应知其权益受到损害之日，是指：</w:t>
      </w:r>
      <w:r/>
    </w:p>
    <w:p>
      <w:pPr>
        <w:ind w:firstLine="480"/>
        <w:jc w:val="left"/>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.3质疑函必须按照本</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采购人只接收以纸质原件形式送达的质疑,建议供应商尽量通过邮寄方式提交质疑（采购人不接受无快递运单号的快递）。</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 以下情形的质疑不予受理</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内容不符合《政府采购质疑和投诉办法》第十二条规定的质疑。</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超出政府采购法定期限的质疑。</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以传真、电子邮件等方式递交的非原件形式的质疑。</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 未参加磋商活动的供应商或在磋商活动中自身权益未受到损害的供应商所提出的质疑。</w:t>
      </w:r>
      <w:r/>
    </w:p>
    <w:p>
      <w:pPr>
        <w:ind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.5供应商组成联合体参加磋商，联合体中任何一方或多方未按要求签字、盖章、加盖公章的质疑。</w:t>
      </w:r>
      <w:r/>
    </w:p>
    <w:p>
      <w:pPr>
        <w:ind w:firstLine="468"/>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46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、成交通知书</w:t>
      </w:r>
      <w:r/>
    </w:p>
    <w:p>
      <w:pPr>
        <w:ind w:firstLine="60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.1成交结果确定后，采购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before="145" w:after="145" w:line="460" w:lineRule="exact"/>
        <w:widowControl w:val="off"/>
        <w:rPr>
          <w:rFonts w:hint="eastAsia" w:ascii="宋体" w:hAnsi="宋体" w:eastAsia="宋体" w:cs="宋体"/>
          <w:b/>
          <w:bCs/>
          <w:color w:val="auto"/>
          <w:sz w:val="24"/>
          <w:szCs w:val="24"/>
          <w:highlight w:val="none"/>
        </w:rPr>
        <w:outlineLvl w:val="2"/>
      </w:pPr>
      <w:r/>
      <w:bookmarkStart w:id="145" w:name="_Toc513029236"/>
      <w:r/>
      <w:bookmarkStart w:id="146" w:name="_Toc16938552"/>
      <w:r/>
      <w:bookmarkStart w:id="147" w:name="_Toc20823308"/>
      <w:r/>
      <w:bookmarkStart w:id="148" w:name="_Toc155343502"/>
      <w:r/>
      <w:bookmarkStart w:id="149" w:name="_Toc120614220"/>
      <w:r>
        <w:rPr>
          <w:rFonts w:hint="eastAsia" w:ascii="宋体" w:hAnsi="宋体" w:eastAsia="宋体" w:cs="宋体"/>
          <w:b/>
          <w:bCs/>
          <w:color w:val="auto"/>
          <w:sz w:val="24"/>
          <w:szCs w:val="24"/>
          <w:highlight w:val="none"/>
        </w:rPr>
        <w:t xml:space="preserve">七、授予合同</w:t>
      </w:r>
      <w:bookmarkEnd w:id="145"/>
      <w:r/>
      <w:bookmarkEnd w:id="146"/>
      <w:r/>
      <w:bookmarkEnd w:id="147"/>
      <w:r/>
      <w:bookmarkEnd w:id="148"/>
      <w:r/>
      <w:bookmarkEnd w:id="149"/>
      <w:r/>
      <w:r/>
    </w:p>
    <w:p>
      <w:pPr>
        <w:ind w:firstLine="600"/>
        <w:keepLines/>
        <w:keepNext/>
        <w:pageBreakBefore w:val="0"/>
        <w:spacing w:line="46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 签订合同</w:t>
      </w:r>
      <w:r/>
    </w:p>
    <w:p>
      <w:pPr>
        <w:ind w:firstLine="60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60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60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94"/>
        <w:ind w:firstLine="480"/>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履约保证金</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27.1成交</w:t>
      </w:r>
      <w:r>
        <w:rPr>
          <w:rFonts w:hint="eastAsia" w:ascii="宋体" w:hAnsi="宋体" w:eastAsia="宋体" w:cs="宋体"/>
          <w:bCs/>
          <w:i w:val="0"/>
          <w:iCs w:val="0"/>
          <w:color w:val="auto"/>
          <w:sz w:val="24"/>
          <w:szCs w:val="24"/>
          <w:highlight w:val="none"/>
        </w:rPr>
        <w:t xml:space="preserve">供应商在收到</w:t>
      </w:r>
      <w:r>
        <w:rPr>
          <w:rFonts w:hint="eastAsia" w:ascii="宋体" w:hAnsi="宋体" w:eastAsia="宋体" w:cs="宋体"/>
          <w:bCs/>
          <w:i w:val="0"/>
          <w:iCs w:val="0"/>
          <w:color w:val="auto"/>
          <w:sz w:val="24"/>
          <w:szCs w:val="24"/>
          <w:highlight w:val="none"/>
          <w:lang w:val="en-US" w:eastAsia="zh-CN"/>
        </w:rPr>
        <w:t xml:space="preserve">成交</w:t>
      </w:r>
      <w:r>
        <w:rPr>
          <w:rFonts w:hint="eastAsia" w:ascii="宋体" w:hAnsi="宋体" w:eastAsia="宋体" w:cs="宋体"/>
          <w:bCs/>
          <w:i w:val="0"/>
          <w:iCs w:val="0"/>
          <w:color w:val="auto"/>
          <w:sz w:val="24"/>
          <w:szCs w:val="24"/>
          <w:highlight w:val="none"/>
        </w:rPr>
        <w:t xml:space="preserve">通知书后，在签订合同前向采购人缴纳履约保证金。本项目履约保证金为合同总额的</w:t>
      </w:r>
      <w:r>
        <w:rPr>
          <w:rFonts w:hint="eastAsia" w:ascii="宋体" w:hAnsi="宋体" w:eastAsia="宋体" w:cs="宋体"/>
          <w:bCs/>
          <w:i w:val="0"/>
          <w:iCs w:val="0"/>
          <w:color w:val="auto"/>
          <w:sz w:val="24"/>
          <w:szCs w:val="24"/>
          <w:highlight w:val="none"/>
          <w:u w:val="single"/>
          <w:lang w:val="en-US" w:eastAsia="zh-CN"/>
        </w:rPr>
        <w:t xml:space="preserve"> 8.5 </w:t>
      </w:r>
      <w:r>
        <w:rPr>
          <w:rFonts w:hint="eastAsia" w:ascii="宋体" w:hAnsi="宋体" w:eastAsia="宋体" w:cs="宋体"/>
          <w:bCs/>
          <w:i w:val="0"/>
          <w:iCs w:val="0"/>
          <w:color w:val="auto"/>
          <w:sz w:val="24"/>
          <w:szCs w:val="24"/>
          <w:highlight w:val="none"/>
        </w:rPr>
        <w:t xml:space="preserve">%，履约保证金应当以支票、汇票、本票或者金融机构、担保机构出具的保函等非现金形式提交</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逾期视为乙方自动放弃</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资格，甲方有权按照相关程序另行确定</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27.2</w:t>
      </w:r>
      <w:r>
        <w:rPr>
          <w:rFonts w:hint="eastAsia" w:ascii="宋体" w:hAnsi="宋体" w:eastAsia="宋体" w:cs="宋体"/>
          <w:bCs/>
          <w:i w:val="0"/>
          <w:iCs w:val="0"/>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供应商未缴纳履约保证金，采购人有权取消本次采购</w:t>
      </w:r>
      <w:r>
        <w:rPr>
          <w:rFonts w:hint="eastAsia" w:ascii="宋体" w:hAnsi="宋体" w:eastAsia="宋体" w:cs="宋体"/>
          <w:bCs/>
          <w:i w:val="0"/>
          <w:iCs w:val="0"/>
          <w:color w:val="auto"/>
          <w:sz w:val="24"/>
          <w:szCs w:val="24"/>
          <w:highlight w:val="none"/>
          <w:lang w:val="en-US" w:eastAsia="zh-CN"/>
        </w:rPr>
        <w:t xml:space="preserve">成交</w:t>
      </w:r>
      <w:r>
        <w:rPr>
          <w:rFonts w:hint="eastAsia" w:ascii="宋体" w:hAnsi="宋体" w:eastAsia="宋体" w:cs="宋体"/>
          <w:bCs/>
          <w:i w:val="0"/>
          <w:iCs w:val="0"/>
          <w:color w:val="auto"/>
          <w:sz w:val="24"/>
          <w:szCs w:val="24"/>
          <w:highlight w:val="none"/>
        </w:rPr>
        <w:t xml:space="preserve">决定。</w:t>
      </w:r>
      <w:r/>
    </w:p>
    <w:p>
      <w:pPr>
        <w:ind w:firstLine="48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i w:val="0"/>
          <w:iCs w:val="0"/>
          <w:color w:val="auto"/>
          <w:sz w:val="24"/>
          <w:szCs w:val="24"/>
          <w:highlight w:val="none"/>
          <w:lang w:val="en-US" w:eastAsia="zh-CN"/>
        </w:rPr>
        <w:t xml:space="preserve">27.3</w:t>
      </w:r>
      <w:r>
        <w:rPr>
          <w:rFonts w:hint="eastAsia" w:ascii="宋体" w:hAnsi="宋体" w:eastAsia="宋体" w:cs="宋体"/>
          <w:bCs/>
          <w:i w:val="0"/>
          <w:iCs w:val="0"/>
          <w:color w:val="auto"/>
          <w:sz w:val="24"/>
          <w:szCs w:val="24"/>
          <w:highlight w:val="none"/>
        </w:rPr>
        <w:t xml:space="preserve">履约保证金的退还：</w:t>
      </w:r>
      <w:r>
        <w:rPr>
          <w:rFonts w:hint="eastAsia" w:ascii="宋体" w:hAnsi="宋体" w:eastAsia="宋体" w:cs="宋体"/>
          <w:color w:val="auto"/>
          <w:sz w:val="24"/>
          <w:szCs w:val="24"/>
          <w:highlight w:val="none"/>
        </w:rPr>
        <w:t xml:space="preserve">合同履行结束后，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供应商办理履约保证金退还手续。</w:t>
      </w:r>
      <w:r/>
    </w:p>
    <w:p>
      <w:pPr>
        <w:pStyle w:val="794"/>
        <w:numPr>
          <w:ilvl w:val="0"/>
          <w:numId w:val="0"/>
        </w:numPr>
        <w:ind w:firstLine="480"/>
        <w:keepLines/>
        <w:keepNext/>
        <w:pageBreakBefore w:val="0"/>
        <w:spacing w:line="4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28.差额履约保证金</w:t>
      </w:r>
      <w:r/>
    </w:p>
    <w:p>
      <w:pPr>
        <w:numPr>
          <w:ilvl w:val="0"/>
          <w:numId w:val="0"/>
        </w:numPr>
        <w:keepLines w:val="0"/>
        <w:keepNext w:val="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28.1.</w:t>
      </w:r>
      <w:r>
        <w:rPr>
          <w:rFonts w:hint="eastAsia" w:ascii="宋体" w:hAnsi="宋体" w:eastAsia="宋体" w:cs="宋体"/>
          <w:bCs/>
          <w:i w:val="0"/>
          <w:iCs w:val="0"/>
          <w:color w:val="auto"/>
          <w:sz w:val="24"/>
          <w:szCs w:val="24"/>
          <w:highlight w:val="none"/>
          <w:lang w:val="en-US" w:eastAsia="zh-CN"/>
        </w:rPr>
        <w:t xml:space="preserve">如成交价过低，采购人除要求成交人提供履约保证金外，可要求成交人向采购人提供差额履约保证金，金额为最高限价与成交价的差值。</w:t>
      </w:r>
      <w:r/>
    </w:p>
    <w:p>
      <w:pPr>
        <w:pStyle w:val="794"/>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 28.2.差额履约保证金的缴纳方式和退还同履约保证金。</w:t>
      </w:r>
      <w:r/>
    </w:p>
    <w:p>
      <w:pPr>
        <w:ind w:firstLine="600"/>
        <w:keepLines/>
        <w:keepNext/>
        <w:pageBreakBefore w:val="0"/>
        <w:spacing w:line="46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、政府采购履约资金扶持政策</w:t>
      </w:r>
      <w:r/>
    </w:p>
    <w:p>
      <w:pPr>
        <w:ind w:firstLine="48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color w:val="auto"/>
          <w:sz w:val="24"/>
          <w:szCs w:val="24"/>
          <w:highlight w:val="none"/>
          <w:lang w:eastAsia="zh-CN"/>
        </w:rPr>
        <w:t xml:space="preserve">。</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06"/>
        <w:rPr>
          <w:rFonts w:hint="eastAsia"/>
          <w:color w:val="auto"/>
          <w:highlight w:val="none"/>
          <w:lang w:val="en-US" w:eastAsia="zh-CN"/>
        </w:rPr>
      </w:pPr>
      <w:r>
        <w:rPr>
          <w:rFonts w:hint="eastAsia"/>
          <w:color w:val="auto"/>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pageBreakBefore w:val="0"/>
        <w:spacing w:line="46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r>
      <w:r/>
    </w:p>
    <w:p>
      <w:pPr>
        <w:ind w:firstLine="2640"/>
        <w:keepNext/>
        <w:rPr>
          <w:rFonts w:hint="eastAsia" w:ascii="黑体" w:hAnsi="Times New Roman" w:eastAsia="黑体"/>
          <w:bCs/>
          <w:color w:val="auto"/>
          <w:sz w:val="44"/>
          <w:szCs w:val="28"/>
          <w:highlight w:val="none"/>
          <w:lang w:eastAsia="zh-CN"/>
        </w:rPr>
        <w:outlineLvl w:val="0"/>
      </w:pPr>
      <w:r>
        <w:rPr>
          <w:rFonts w:hint="eastAsia" w:ascii="黑体" w:hAnsi="Times New Roman" w:eastAsia="黑体"/>
          <w:bCs/>
          <w:color w:val="auto"/>
          <w:sz w:val="44"/>
          <w:szCs w:val="28"/>
          <w:highlight w:val="none"/>
        </w:rPr>
        <w:t xml:space="preserve">第三章  合同文本</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以下为成交后签定本项目合同的通用条款，成交供应商不得提出实质性的修改</w:t>
      </w:r>
      <w:r>
        <w:rPr>
          <w:rFonts w:hint="eastAsia" w:ascii="宋体" w:hAnsi="宋体"/>
          <w:color w:val="auto"/>
          <w:sz w:val="24"/>
          <w:szCs w:val="24"/>
          <w:highlight w:val="none"/>
          <w:lang w:eastAsia="zh-CN"/>
        </w:rPr>
        <w:t xml:space="preserve">。</w:t>
      </w:r>
      <w:r/>
    </w:p>
    <w:p>
      <w:pPr>
        <w:jc w:val="center"/>
        <w:spacing w:line="360" w:lineRule="auto"/>
        <w:rPr>
          <w:rFonts w:hint="eastAsia" w:ascii="Times New Roman" w:hAnsi="Times New Roman" w:eastAsia="仿宋_GB2312"/>
          <w:color w:val="auto"/>
          <w:sz w:val="32"/>
          <w:szCs w:val="24"/>
          <w:highlight w:val="none"/>
        </w:rPr>
      </w:pPr>
      <w:r/>
      <w:bookmarkStart w:id="150" w:name="_Hlt16619369"/>
      <w:r/>
      <w:bookmarkEnd w:id="150"/>
      <w:r/>
      <w:r/>
    </w:p>
    <w:p>
      <w:pPr>
        <w:jc w:val="center"/>
        <w:spacing w:line="360" w:lineRule="auto"/>
        <w:rPr>
          <w:rFonts w:ascii="Times New Roman" w:hAnsi="Times New Roman" w:eastAsia="仿宋_GB2312"/>
          <w:color w:val="auto"/>
          <w:sz w:val="32"/>
          <w:szCs w:val="24"/>
          <w:highlight w:val="none"/>
        </w:rPr>
      </w:pPr>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spacing w:line="360" w:lineRule="auto"/>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ind w:right="2719" w:firstLine="2738"/>
        <w:spacing w:line="360" w:lineRule="auto"/>
        <w:rPr>
          <w:rFonts w:ascii="Times New Roman" w:hAnsi="Times New Roman"/>
          <w:b/>
          <w:color w:val="auto"/>
          <w:sz w:val="32"/>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4495800</wp:posOffset>
                </wp:positionH>
                <wp:positionV relativeFrom="paragraph">
                  <wp:posOffset>142875</wp:posOffset>
                </wp:positionV>
                <wp:extent cx="723900" cy="4572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rPr>
                            </w:pPr>
                            <w:r>
                              <w:rPr>
                                <w:rFonts w:hint="eastAsia"/>
                                <w:b/>
                                <w:sz w:val="32"/>
                              </w:rPr>
                              <w:t xml:space="preserve">制定</w:t>
                            </w:r>
                            <w:r/>
                          </w:p>
                          <w:p>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354.0pt;mso-position-horizontal:absolute;mso-position-vertical-relative:text;margin-top:11.2pt;mso-position-vertical:absolute;width:57.0pt;height:36.0pt;mso-wrap-distance-left:9.0pt;mso-wrap-distance-top:0.0pt;mso-wrap-distance-right:9.0pt;mso-wrap-distance-bottom:0.0pt;visibility:visible;" filled="f" strokecolor="#FFFFFF">
                <v:textbox inset="0,0,0,0">
                  <w:txbxContent>
                    <w:p>
                      <w:pPr>
                        <w:rPr>
                          <w:b/>
                          <w:sz w:val="32"/>
                        </w:rPr>
                      </w:pPr>
                      <w:r>
                        <w:rPr>
                          <w:rFonts w:hint="eastAsia"/>
                          <w:b/>
                          <w:sz w:val="32"/>
                        </w:rPr>
                        <w:t xml:space="preserve">制定</w:t>
                      </w:r>
                      <w:r/>
                    </w:p>
                    <w:p>
                      <w:r/>
                      <w:r/>
                    </w:p>
                    <w:p>
                      <w:r/>
                      <w:r/>
                    </w:p>
                  </w:txbxContent>
                </v:textbox>
              </v:shape>
            </w:pict>
          </mc:Fallback>
        </mc:AlternateContent>
      </w:r>
      <w:r>
        <w:rPr>
          <w:rFonts w:hint="eastAsia" w:ascii="Times New Roman" w:hAnsi="Times New Roman"/>
          <w:b/>
          <w:color w:val="auto"/>
          <w:sz w:val="32"/>
          <w:szCs w:val="24"/>
          <w:highlight w:val="none"/>
        </w:rPr>
        <w:t xml:space="preserve">住房城乡建设部</w:t>
      </w:r>
      <w:r/>
    </w:p>
    <w:p>
      <w:pPr>
        <w:ind w:right="2719" w:firstLine="2750"/>
        <w:spacing w:line="360" w:lineRule="auto"/>
        <w:rPr>
          <w:rFonts w:ascii="Times New Roman" w:hAnsi="Times New Roman"/>
          <w:b/>
          <w:color w:val="auto"/>
          <w:sz w:val="32"/>
          <w:szCs w:val="24"/>
          <w:highlight w:val="none"/>
        </w:rPr>
      </w:pPr>
      <w:r>
        <w:rPr>
          <w:rFonts w:hint="eastAsia" w:ascii="Times New Roman" w:hAnsi="Times New Roman"/>
          <w:b/>
          <w:color w:val="auto"/>
          <w:sz w:val="32"/>
          <w:szCs w:val="24"/>
          <w:highlight w:val="none"/>
        </w:rPr>
        <w:t xml:space="preserve">国家工商行政管理总局</w:t>
      </w:r>
      <w:r/>
    </w:p>
    <w:p>
      <w:pPr>
        <w:spacing w:line="360" w:lineRule="auto"/>
        <w:rPr>
          <w:rFonts w:ascii="Times New Roman" w:hAnsi="Times New Roman"/>
          <w:b/>
          <w:color w:val="auto"/>
          <w:szCs w:val="24"/>
          <w:highlight w:val="none"/>
        </w:rPr>
      </w:pPr>
      <w:r>
        <w:rPr>
          <w:rFonts w:ascii="Times New Roman" w:hAnsi="Times New Roman"/>
          <w:b/>
          <w:color w:val="auto"/>
          <w:szCs w:val="24"/>
          <w:highlight w:val="none"/>
        </w:rPr>
      </w:r>
      <w:r/>
    </w:p>
    <w:p>
      <w:pPr>
        <w:jc w:val="center"/>
        <w:spacing w:line="480" w:lineRule="exact"/>
        <w:rPr>
          <w:rFonts w:hint="eastAsia" w:ascii="宋体" w:hAnsi="宋体" w:cs="宋体"/>
          <w:b/>
          <w:bCs/>
          <w:color w:val="auto"/>
          <w:sz w:val="32"/>
          <w:szCs w:val="32"/>
          <w:highlight w:val="none"/>
        </w:rPr>
        <w:outlineLvl w:val="1"/>
      </w:pPr>
      <w:r/>
      <w:bookmarkStart w:id="151" w:name="_Toc26644"/>
      <w:r>
        <w:rPr>
          <w:rFonts w:hint="eastAsia" w:ascii="宋体" w:hAnsi="宋体"/>
          <w:bCs w:val="0"/>
          <w:color w:val="auto"/>
          <w:sz w:val="24"/>
          <w:szCs w:val="24"/>
          <w:highlight w:val="none"/>
        </w:rPr>
        <w:br w:type="column"/>
      </w:r>
      <w:bookmarkEnd w:id="151"/>
      <w:r>
        <w:rPr>
          <w:rFonts w:hint="eastAsia" w:ascii="宋体" w:hAnsi="宋体" w:cs="宋体"/>
          <w:b/>
          <w:bCs/>
          <w:color w:val="auto"/>
          <w:sz w:val="32"/>
          <w:szCs w:val="32"/>
          <w:highlight w:val="none"/>
        </w:rPr>
        <w:t xml:space="preserve">第一部分　合同书</w:t>
      </w:r>
      <w:r/>
    </w:p>
    <w:p>
      <w:pPr>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发包人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全称）：</w:t>
      </w:r>
      <w:r/>
    </w:p>
    <w:p>
      <w:pPr>
        <w:spacing w:line="480" w:lineRule="exact"/>
        <w:rPr>
          <w:rFonts w:ascii="宋体" w:hAnsi="Calibri"/>
          <w:color w:val="auto"/>
          <w:sz w:val="24"/>
          <w:highlight w:val="none"/>
        </w:rPr>
      </w:pPr>
      <w:r>
        <w:rPr>
          <w:rFonts w:hint="eastAsia" w:ascii="宋体" w:hAnsi="宋体" w:cs="宋体"/>
          <w:color w:val="auto"/>
          <w:sz w:val="24"/>
          <w:highlight w:val="none"/>
        </w:rPr>
        <w:t xml:space="preserve">承包人（全称）：</w:t>
      </w:r>
      <w:r/>
    </w:p>
    <w:p>
      <w:pPr>
        <w:ind w:firstLine="480"/>
        <w:spacing w:line="480" w:lineRule="exact"/>
        <w:rPr>
          <w:rFonts w:ascii="宋体" w:hAnsi="Calibri"/>
          <w:color w:val="auto"/>
          <w:sz w:val="24"/>
          <w:highlight w:val="none"/>
          <w:u w:val="single"/>
        </w:rPr>
      </w:pPr>
      <w:r>
        <w:rPr>
          <w:rFonts w:hint="eastAsia" w:ascii="宋体" w:hAnsi="宋体" w:cs="宋体"/>
          <w:color w:val="auto"/>
          <w:sz w:val="24"/>
          <w:highlight w:val="none"/>
        </w:rPr>
        <w:t xml:space="preserve">依据《中华人民共和国民法典》《中华人民共和国政府采购法》及其他有关法律、行政法规，遵循平等、自愿、公平和诚实信用的原则，双方就</w:t>
      </w:r>
      <w:r>
        <w:rPr>
          <w:rFonts w:hint="eastAsia" w:ascii="宋体" w:hAnsi="宋体" w:cs="宋体"/>
          <w:color w:val="auto"/>
          <w:sz w:val="24"/>
          <w:highlight w:val="none"/>
          <w:u w:val="single"/>
          <w:lang w:eastAsia="zh-CN"/>
        </w:rPr>
        <w:t xml:space="preserve">南通市通州区2026年度骨干河道水土流失治理工程施工</w:t>
      </w:r>
      <w:r>
        <w:rPr>
          <w:rFonts w:hint="eastAsia" w:ascii="宋体" w:hAnsi="宋体" w:cs="宋体"/>
          <w:color w:val="auto"/>
          <w:sz w:val="24"/>
          <w:highlight w:val="none"/>
        </w:rPr>
        <w:t xml:space="preserve">事项经协商一致，订立本合同。</w:t>
      </w:r>
      <w:r/>
    </w:p>
    <w:p>
      <w:pPr>
        <w:ind w:firstLine="482"/>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一、工程概况</w:t>
      </w:r>
      <w:r/>
    </w:p>
    <w:p>
      <w:pPr>
        <w:ind w:firstLine="482"/>
        <w:spacing w:line="480" w:lineRule="exact"/>
        <w:rPr>
          <w:rFonts w:hint="eastAsia" w:ascii="宋体" w:hAnsi="Calibri"/>
          <w:color w:val="auto"/>
          <w:sz w:val="24"/>
          <w:highlight w:val="none"/>
        </w:rPr>
      </w:pPr>
      <w:r>
        <w:rPr>
          <w:rFonts w:hint="eastAsia" w:ascii="宋体" w:hAnsi="宋体" w:cs="宋体"/>
          <w:b/>
          <w:bCs/>
          <w:color w:val="auto"/>
          <w:sz w:val="24"/>
          <w:highlight w:val="none"/>
        </w:rPr>
        <w:t xml:space="preserve">工程名称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南通市通州区2026年度骨干河道水土流失治理工程施工</w:t>
      </w:r>
      <w:r/>
    </w:p>
    <w:p>
      <w:pPr>
        <w:ind w:firstLine="482"/>
        <w:spacing w:line="480" w:lineRule="exact"/>
        <w:rPr>
          <w:rFonts w:hint="eastAsia" w:ascii="宋体" w:hAnsi="Calibri"/>
          <w:color w:val="auto"/>
          <w:sz w:val="24"/>
          <w:highlight w:val="none"/>
          <w:u w:val="single"/>
        </w:rPr>
      </w:pPr>
      <w:r>
        <w:rPr>
          <w:rFonts w:hint="eastAsia" w:ascii="宋体" w:hAnsi="宋体" w:cs="宋体"/>
          <w:b/>
          <w:bCs/>
          <w:color w:val="auto"/>
          <w:sz w:val="24"/>
          <w:highlight w:val="none"/>
        </w:rPr>
        <w:t xml:space="preserve">工程地点：</w:t>
      </w:r>
      <w:r>
        <w:rPr>
          <w:rFonts w:hint="eastAsia" w:ascii="宋体" w:hAnsi="宋体" w:cs="宋体"/>
          <w:color w:val="auto"/>
          <w:sz w:val="24"/>
          <w:szCs w:val="24"/>
          <w:highlight w:val="none"/>
          <w:lang w:val="en-US" w:eastAsia="zh-CN"/>
        </w:rPr>
        <w:t xml:space="preserve">位于</w:t>
      </w:r>
      <w:r>
        <w:rPr>
          <w:rFonts w:hint="eastAsia" w:ascii="宋体" w:hAnsi="宋体" w:cs="宋体"/>
          <w:color w:val="auto"/>
          <w:sz w:val="24"/>
          <w:szCs w:val="24"/>
          <w:highlight w:val="none"/>
        </w:rPr>
        <w:t xml:space="preserve">通州区五接镇、平潮镇、刘桥镇、石港镇</w:t>
      </w:r>
      <w:r/>
    </w:p>
    <w:p>
      <w:pPr>
        <w:ind w:firstLine="482"/>
        <w:spacing w:line="480" w:lineRule="exact"/>
        <w:rPr>
          <w:rFonts w:hint="eastAsia" w:ascii="宋体" w:hAnsi="宋体" w:cs="宋体"/>
          <w:color w:val="auto"/>
          <w:sz w:val="24"/>
          <w:szCs w:val="24"/>
          <w:highlight w:val="none"/>
          <w:lang w:val="en-US" w:eastAsia="zh-CN"/>
        </w:rPr>
      </w:pPr>
      <w:r>
        <w:rPr>
          <w:rFonts w:hint="eastAsia" w:ascii="宋体" w:hAnsi="宋体" w:cs="宋体"/>
          <w:b/>
          <w:bCs/>
          <w:color w:val="auto"/>
          <w:sz w:val="24"/>
          <w:highlight w:val="none"/>
        </w:rPr>
        <w:t xml:space="preserve">工程内容：</w:t>
      </w:r>
      <w:r>
        <w:rPr>
          <w:rFonts w:hint="eastAsia" w:ascii="宋体" w:hAnsi="宋体" w:cs="宋体"/>
          <w:color w:val="auto"/>
          <w:sz w:val="24"/>
          <w:szCs w:val="24"/>
          <w:highlight w:val="none"/>
        </w:rPr>
        <w:t xml:space="preserve">通州区新生竖河、平五河、江海河等坍塌河段进行护岸改造，对冲刷、坍塌、滑坡的河道岸坡进行防护，新建河道护岸，河道边坡清杂绿化等，具体内容详见工程量清单及施工图纸。</w:t>
      </w:r>
      <w:r>
        <w:rPr>
          <w:rFonts w:hint="eastAsia" w:ascii="宋体" w:hAnsi="宋体" w:cs="宋体"/>
          <w:color w:val="auto"/>
          <w:sz w:val="24"/>
          <w:szCs w:val="24"/>
          <w:highlight w:val="none"/>
          <w:lang w:val="en-US" w:eastAsia="zh-CN"/>
        </w:rPr>
        <w:t xml:space="preserve"> </w:t>
      </w:r>
      <w:r/>
    </w:p>
    <w:p>
      <w:pPr>
        <w:ind w:firstLine="482"/>
        <w:spacing w:line="480" w:lineRule="exact"/>
        <w:rPr>
          <w:rFonts w:ascii="宋体" w:hAnsi="Calibri"/>
          <w:color w:val="auto"/>
          <w:sz w:val="24"/>
          <w:highlight w:val="none"/>
          <w:u w:val="single"/>
        </w:rPr>
      </w:pPr>
      <w:r>
        <w:rPr>
          <w:rFonts w:hint="eastAsia" w:ascii="宋体" w:hAnsi="宋体" w:cs="宋体"/>
          <w:b/>
          <w:bCs/>
          <w:color w:val="auto"/>
          <w:sz w:val="24"/>
          <w:highlight w:val="none"/>
        </w:rPr>
        <w:t xml:space="preserve">工程立项批准文号</w:t>
      </w:r>
      <w:r>
        <w:rPr>
          <w:rFonts w:hint="eastAsia" w:ascii="宋体" w:hAnsi="宋体" w:cs="宋体"/>
          <w:color w:val="auto"/>
          <w:sz w:val="24"/>
          <w:highlight w:val="none"/>
        </w:rPr>
        <w:t xml:space="preserve">：通数据投审〔202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1号</w:t>
      </w:r>
      <w:r/>
    </w:p>
    <w:p>
      <w:pPr>
        <w:ind w:firstLine="482"/>
        <w:spacing w:line="480" w:lineRule="exact"/>
        <w:rPr>
          <w:rFonts w:hint="eastAsia" w:ascii="宋体" w:hAnsi="Calibri"/>
          <w:color w:val="auto"/>
          <w:sz w:val="24"/>
          <w:highlight w:val="none"/>
          <w:u w:val="single"/>
        </w:rPr>
      </w:pPr>
      <w:r>
        <w:rPr>
          <w:rFonts w:hint="eastAsia" w:ascii="宋体" w:hAnsi="宋体" w:cs="宋体"/>
          <w:b/>
          <w:bCs/>
          <w:color w:val="auto"/>
          <w:sz w:val="24"/>
          <w:highlight w:val="none"/>
        </w:rPr>
        <w:t xml:space="preserve">资金来源</w:t>
      </w:r>
      <w:r>
        <w:rPr>
          <w:rFonts w:hint="eastAsia" w:ascii="宋体" w:hAnsi="宋体" w:cs="宋体"/>
          <w:color w:val="auto"/>
          <w:sz w:val="24"/>
          <w:highlight w:val="none"/>
        </w:rPr>
        <w:t xml:space="preserve">：财政资金</w:t>
      </w:r>
      <w:r/>
    </w:p>
    <w:p>
      <w:pPr>
        <w:ind w:firstLine="482"/>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招标机构和中标书文号：</w:t>
      </w:r>
      <w:r/>
    </w:p>
    <w:p>
      <w:pPr>
        <w:ind w:firstLine="482"/>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二、工程范围</w:t>
      </w:r>
      <w:r/>
    </w:p>
    <w:p>
      <w:pPr>
        <w:ind w:firstLine="482"/>
        <w:spacing w:line="480" w:lineRule="exact"/>
        <w:rPr>
          <w:rFonts w:hint="eastAsia" w:ascii="宋体" w:hAnsi="Calibri"/>
          <w:color w:val="auto"/>
          <w:sz w:val="24"/>
          <w:highlight w:val="none"/>
        </w:rPr>
      </w:pPr>
      <w:r>
        <w:rPr>
          <w:rFonts w:hint="eastAsia" w:ascii="宋体" w:hAnsi="宋体" w:cs="宋体"/>
          <w:b/>
          <w:bCs/>
          <w:color w:val="auto"/>
          <w:sz w:val="24"/>
          <w:highlight w:val="none"/>
        </w:rPr>
        <w:t xml:space="preserve">工程范围和内容</w:t>
      </w:r>
      <w:r>
        <w:rPr>
          <w:rFonts w:hint="eastAsia" w:ascii="宋体" w:hAnsi="宋体" w:cs="宋体"/>
          <w:color w:val="auto"/>
          <w:sz w:val="24"/>
          <w:highlight w:val="none"/>
        </w:rPr>
        <w:t xml:space="preserve">：</w:t>
      </w:r>
      <w:r>
        <w:rPr>
          <w:rFonts w:hint="eastAsia" w:ascii="宋体" w:hAnsi="宋体"/>
          <w:color w:val="auto"/>
          <w:sz w:val="24"/>
          <w:highlight w:val="none"/>
        </w:rPr>
        <w:t xml:space="preserve">具体内容详见工程量清单及施工图纸。</w:t>
      </w:r>
      <w:r/>
    </w:p>
    <w:p>
      <w:pPr>
        <w:ind w:firstLine="482"/>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三、工程期限</w:t>
      </w:r>
      <w:r/>
    </w:p>
    <w:p>
      <w:pPr>
        <w:ind w:firstLine="480"/>
        <w:spacing w:line="480" w:lineRule="exact"/>
        <w:rPr>
          <w:rFonts w:ascii="宋体" w:hAnsi="Calibri"/>
          <w:color w:val="auto"/>
          <w:sz w:val="24"/>
          <w:highlight w:val="none"/>
          <w:u w:val="single"/>
        </w:rPr>
      </w:pPr>
      <w:r>
        <w:rPr>
          <w:rFonts w:hint="eastAsia" w:ascii="宋体" w:hAnsi="宋体" w:cs="宋体"/>
          <w:color w:val="auto"/>
          <w:sz w:val="24"/>
          <w:highlight w:val="none"/>
        </w:rPr>
        <w:t xml:space="preserve">开工日期：202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日（具体以监理签发的开工通知为准）。</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竣工日期：202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本工程合同总工期为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120</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日历</w:t>
      </w:r>
      <w:r>
        <w:rPr>
          <w:rFonts w:hint="eastAsia" w:ascii="宋体" w:hAnsi="宋体" w:cs="宋体"/>
          <w:color w:val="auto"/>
          <w:sz w:val="24"/>
          <w:highlight w:val="none"/>
        </w:rPr>
        <w:t xml:space="preserve">天（日历天从开工之日算起）。</w:t>
      </w:r>
      <w:r/>
    </w:p>
    <w:p>
      <w:pPr>
        <w:ind w:firstLine="482"/>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四、质量标准</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工程质量标准：合格。</w:t>
      </w:r>
      <w:r/>
    </w:p>
    <w:p>
      <w:pPr>
        <w:ind w:firstLine="482"/>
        <w:spacing w:line="480" w:lineRule="exact"/>
        <w:rPr>
          <w:rFonts w:hint="eastAsia" w:ascii="宋体" w:hAnsi="Calibri"/>
          <w:b/>
          <w:bCs/>
          <w:color w:val="auto"/>
          <w:sz w:val="24"/>
          <w:highlight w:val="none"/>
        </w:rPr>
      </w:pPr>
      <w:r>
        <w:rPr>
          <w:rFonts w:hint="eastAsia" w:ascii="宋体" w:hAnsi="宋体" w:cs="宋体"/>
          <w:b/>
          <w:bCs/>
          <w:color w:val="auto"/>
          <w:sz w:val="24"/>
          <w:highlight w:val="none"/>
        </w:rPr>
        <w:t xml:space="preserve">五、合同总价</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本工程合同总价为人民币</w:t>
      </w:r>
      <w:r>
        <w:rPr>
          <w:rFonts w:hint="eastAsia" w:ascii="宋体" w:hAnsi="宋体" w:cs="宋体"/>
          <w:color w:val="auto"/>
          <w:sz w:val="24"/>
          <w:highlight w:val="none"/>
          <w:u w:val="single"/>
        </w:rPr>
        <w:t xml:space="preserve">（大写）</w:t>
      </w:r>
      <w:r>
        <w:rPr>
          <w:rFonts w:hint="eastAsia" w:ascii="宋体" w:hAnsi="宋体" w:cs="宋体"/>
          <w:color w:val="auto"/>
          <w:sz w:val="24"/>
          <w:highlight w:val="none"/>
        </w:rPr>
        <w:t xml:space="preserve">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元。（其中暂列金额为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ind w:firstLine="482"/>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六、工程预付款</w:t>
      </w:r>
      <w:r/>
    </w:p>
    <w:p>
      <w:pPr>
        <w:ind w:firstLine="480"/>
        <w:spacing w:line="480" w:lineRule="exact"/>
        <w:rPr>
          <w:rFonts w:hint="eastAsia" w:ascii="宋体" w:hAnsi="Calibri"/>
          <w:b/>
          <w:bCs/>
          <w:color w:val="auto"/>
          <w:sz w:val="24"/>
          <w:highlight w:val="none"/>
        </w:rPr>
      </w:pPr>
      <w:r>
        <w:rPr>
          <w:rFonts w:hint="eastAsia" w:ascii="宋体" w:hAnsi="宋体" w:cs="宋体"/>
          <w:color w:val="auto"/>
          <w:sz w:val="24"/>
          <w:highlight w:val="none"/>
        </w:rPr>
        <w:t xml:space="preserve">无预付款。</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七、</w:t>
      </w:r>
      <w:r>
        <w:rPr>
          <w:rFonts w:hint="eastAsia" w:ascii="宋体" w:hAnsi="宋体" w:cs="宋体"/>
          <w:b/>
          <w:bCs/>
          <w:color w:val="auto"/>
          <w:sz w:val="24"/>
          <w:highlight w:val="none"/>
        </w:rPr>
        <w:t xml:space="preserve">工程款支付</w:t>
      </w:r>
      <w:r/>
    </w:p>
    <w:p>
      <w:pPr>
        <w:ind w:firstLine="482"/>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（1）合同工程验收合格后支付至合同价（不含暂列金额）的60%；</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（2）完成结算审计且合同工程验收合格满一年后付至审计价的80%；</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（3）缺陷责任期满后付清余款。</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合同由发包人与承包人签订，但项目款项由建设单位（南通市通州区水利局）直接结算：即由承包人向建设单位（南通市通州区水利局）开具发票，建设单位（南通市通州区水利局）据此向承包人直接付款。该安排在发包人、承包人、建设单位（南通市通州区水利局）三方之间生效，且不影响本合同项下发包人与承包人之间权利义务的成立与履行。</w:t>
      </w:r>
      <w:r/>
    </w:p>
    <w:p>
      <w:pPr>
        <w:ind w:firstLine="482"/>
        <w:spacing w:line="360" w:lineRule="auto"/>
        <w:rPr>
          <w:rFonts w:ascii="宋体" w:hAnsi="Calibri"/>
          <w:b/>
          <w:bCs/>
          <w:color w:val="auto"/>
          <w:sz w:val="24"/>
          <w:highlight w:val="none"/>
        </w:rPr>
      </w:pPr>
      <w:r>
        <w:rPr>
          <w:rFonts w:hint="eastAsia" w:ascii="宋体" w:hAnsi="宋体" w:cs="宋体"/>
          <w:b/>
          <w:bCs/>
          <w:color w:val="auto"/>
          <w:sz w:val="24"/>
          <w:highlight w:val="none"/>
        </w:rPr>
        <w:t xml:space="preserve">八、履约保证</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rPr>
        <w:t xml:space="preserve">承包人履约保证金缴纳方式为支票、汇票、本票或者金融机构、担保机构出具的保函等非现金形式</w:t>
      </w:r>
      <w:r>
        <w:rPr>
          <w:rFonts w:hint="eastAsia" w:ascii="宋体" w:hAnsi="宋体" w:eastAsia="宋体" w:cs="宋体"/>
          <w:bCs/>
          <w:i w:val="0"/>
          <w:iCs w:val="0"/>
          <w:color w:val="auto"/>
          <w:sz w:val="24"/>
          <w:szCs w:val="24"/>
          <w:highlight w:val="none"/>
          <w:lang w:val="en-US" w:eastAsia="zh-CN"/>
        </w:rPr>
        <w:t xml:space="preserve">，逾期视为乙方自动放弃成交资格，甲方有权按照相关程序另行确定成交供应商。</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履约保证金金额为</w:t>
      </w:r>
      <w:r>
        <w:rPr>
          <w:rFonts w:hint="eastAsia" w:ascii="宋体" w:hAnsi="宋体" w:eastAsia="宋体" w:cs="宋体"/>
          <w:bCs/>
          <w:i w:val="0"/>
          <w:iCs w:val="0"/>
          <w:color w:val="auto"/>
          <w:sz w:val="24"/>
          <w:szCs w:val="24"/>
          <w:highlight w:val="none"/>
          <w:lang w:val="en-US" w:eastAsia="zh-CN"/>
        </w:rPr>
        <w:t xml:space="preserve">合同总额</w:t>
      </w:r>
      <w:r>
        <w:rPr>
          <w:rFonts w:hint="eastAsia" w:ascii="宋体" w:hAnsi="宋体" w:eastAsia="宋体" w:cs="宋体"/>
          <w:bCs/>
          <w:i w:val="0"/>
          <w:iCs w:val="0"/>
          <w:color w:val="auto"/>
          <w:sz w:val="24"/>
          <w:szCs w:val="24"/>
          <w:highlight w:val="none"/>
        </w:rPr>
        <w:t xml:space="preserve">的8.5%，其中：工期为2%，质量为3%，安全文明1.5%，竣工资料1%，项目经理到场保证金1%。</w:t>
      </w:r>
      <w:r/>
    </w:p>
    <w:p>
      <w:pPr>
        <w:ind w:firstLine="480"/>
        <w:spacing w:line="360" w:lineRule="auto"/>
        <w:rPr>
          <w:rFonts w:ascii="宋体" w:hAnsi="Calibri"/>
          <w:color w:val="auto"/>
          <w:sz w:val="24"/>
          <w:highlight w:val="none"/>
        </w:rPr>
      </w:pPr>
      <w:r>
        <w:rPr>
          <w:rFonts w:hint="eastAsia" w:ascii="宋体" w:hAnsi="宋体" w:cs="宋体"/>
          <w:color w:val="auto"/>
          <w:sz w:val="24"/>
          <w:highlight w:val="none"/>
        </w:rPr>
        <w:t xml:space="preserve">农民工工资保证金按苏人社规〔2022〕4号文件执行，承包人需根据相关文件要求，实行农民工工资实名制度，完善登记信息，签订劳务合同，在南通市通州区设立农民工工资专用账户，按实际工资数额存入工资专户并按月足额发放。</w:t>
      </w:r>
      <w:r/>
    </w:p>
    <w:p>
      <w:pPr>
        <w:ind w:firstLine="574"/>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履约保函自合同生效日起至计划完工日期后30天内有效/履约担保书自合同生效日起至计划完工日期后30天内有效。</w:t>
      </w:r>
      <w:r/>
    </w:p>
    <w:p>
      <w:pPr>
        <w:ind w:firstLine="574"/>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履约保证金的退还：</w:t>
      </w:r>
      <w:r>
        <w:rPr>
          <w:rFonts w:hint="eastAsia" w:ascii="宋体" w:hAnsi="宋体" w:cs="宋体"/>
          <w:color w:val="auto"/>
          <w:sz w:val="24"/>
          <w:highlight w:val="none"/>
          <w:lang w:val="en-US" w:eastAsia="zh-CN"/>
        </w:rPr>
        <w:t xml:space="preserve">合同工程</w:t>
      </w:r>
      <w:r>
        <w:rPr>
          <w:rFonts w:hint="eastAsia" w:ascii="宋体" w:hAnsi="宋体" w:cs="宋体"/>
          <w:color w:val="auto"/>
          <w:sz w:val="24"/>
          <w:highlight w:val="none"/>
        </w:rPr>
        <w:t xml:space="preserve">验收合格且无违约责任后一次性退还。</w:t>
      </w:r>
      <w:r/>
    </w:p>
    <w:p>
      <w:pPr>
        <w:ind w:firstLine="472"/>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九、本合同书中有关词语含义与本合同第二部分《通用条款》的定义相同。</w:t>
      </w:r>
      <w:r/>
    </w:p>
    <w:p>
      <w:pPr>
        <w:ind w:firstLine="482"/>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color w:val="auto"/>
          <w:sz w:val="24"/>
          <w:highlight w:val="none"/>
        </w:rPr>
        <w:t xml:space="preserve">承包人向发包人承诺按照合同约定进行施工、竣工、结算，并在质量保修期内承担工程质量保修服务责任，接受发包人委托的监理人在委托范围内的监督管理。</w:t>
      </w:r>
      <w:r/>
    </w:p>
    <w:p>
      <w:pPr>
        <w:ind w:firstLine="482"/>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十一、</w:t>
      </w:r>
      <w:r>
        <w:rPr>
          <w:rFonts w:hint="eastAsia" w:ascii="宋体" w:hAnsi="宋体" w:cs="宋体"/>
          <w:color w:val="auto"/>
          <w:sz w:val="24"/>
          <w:highlight w:val="none"/>
        </w:rPr>
        <w:t xml:space="preserve">发包人向承包人承诺按照合同约定的期限和方式支付合同价款及其他。</w:t>
      </w:r>
      <w:r/>
    </w:p>
    <w:p>
      <w:pPr>
        <w:ind w:firstLine="482"/>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十二、合同生效</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本合同</w:t>
      </w:r>
      <w:r>
        <w:rPr>
          <w:rFonts w:hint="eastAsia" w:ascii="宋体" w:hAnsi="宋体" w:cs="宋体"/>
          <w:color w:val="auto"/>
          <w:sz w:val="24"/>
          <w:highlight w:val="none"/>
          <w:lang w:val="en-US" w:eastAsia="zh-CN"/>
        </w:rPr>
        <w:t xml:space="preserve">一式陆</w:t>
      </w:r>
      <w:r>
        <w:rPr>
          <w:rFonts w:hint="eastAsia" w:ascii="宋体" w:hAnsi="宋体" w:cs="宋体"/>
          <w:color w:val="auto"/>
          <w:sz w:val="24"/>
          <w:highlight w:val="none"/>
        </w:rPr>
        <w:t xml:space="preserve">份，发包人、承包人各执</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合同订立时间：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spacing w:line="480" w:lineRule="exact"/>
        <w:rPr>
          <w:rFonts w:hint="eastAsia" w:ascii="宋体" w:hAnsi="Calibri"/>
          <w:color w:val="auto"/>
          <w:sz w:val="24"/>
          <w:highlight w:val="none"/>
          <w:u w:val="single"/>
        </w:rPr>
      </w:pPr>
      <w:r>
        <w:rPr>
          <w:rFonts w:hint="eastAsia" w:ascii="宋体" w:hAnsi="宋体" w:cs="宋体"/>
          <w:color w:val="auto"/>
          <w:sz w:val="24"/>
          <w:highlight w:val="none"/>
        </w:rPr>
        <w:t xml:space="preserve">合同订立地点：</w:t>
      </w:r>
      <w:r>
        <w:rPr>
          <w:rFonts w:hint="eastAsia" w:ascii="宋体" w:hAnsi="Calibri"/>
          <w:color w:val="auto"/>
          <w:sz w:val="24"/>
          <w:highlight w:val="none"/>
          <w:u w:val="single"/>
        </w:rPr>
        <w:t xml:space="preserve">        </w:t>
      </w:r>
      <w:r>
        <w:rPr>
          <w:rFonts w:hint="eastAsia" w:ascii="宋体" w:hAnsi="Calibri"/>
          <w:color w:val="auto"/>
          <w:sz w:val="24"/>
          <w:highlight w:val="none"/>
        </w:rPr>
        <w:t xml:space="preserve">。</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本合同双方约定：自承包人提交足额履约保证金且双方法定代表人或委托代理人签字，并盖法人公章后生效。</w:t>
      </w:r>
      <w:r/>
    </w:p>
    <w:tbl>
      <w:tblPr>
        <w:tblStyle w:val="1066"/>
        <w:tblW w:w="4997"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390"/>
        <w:gridCol w:w="4393"/>
      </w:tblGrid>
      <w:tr>
        <w:trPr>
          <w:trHeight w:val="317"/>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2"/>
                <w:sz w:val="24"/>
                <w:szCs w:val="24"/>
                <w:highlight w:val="none"/>
                <w:lang w:val="en-US" w:eastAsia="zh-CN"/>
              </w:rPr>
              <w:t xml:space="preserve">发包人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盖章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2"/>
                <w:sz w:val="24"/>
                <w:szCs w:val="24"/>
                <w:highlight w:val="none"/>
                <w:lang w:val="en-US" w:eastAsia="zh-CN"/>
              </w:rPr>
              <w:t xml:space="preserve">承包人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盖章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w:t>
            </w:r>
            <w:r/>
          </w:p>
        </w:tc>
      </w:tr>
      <w:tr>
        <w:trPr>
          <w:trHeight w:val="4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cs="宋体"/>
                <w:color w:val="auto"/>
                <w:spacing w:val="-1"/>
                <w:sz w:val="24"/>
                <w:szCs w:val="24"/>
                <w:highlight w:val="none"/>
                <w:lang w:val="en-US" w:eastAsia="zh-CN"/>
              </w:rPr>
              <w:t xml:space="preserve">或</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cs="宋体"/>
                <w:color w:val="auto"/>
                <w:spacing w:val="-1"/>
                <w:sz w:val="24"/>
                <w:szCs w:val="24"/>
                <w:highlight w:val="none"/>
                <w:lang w:val="en-US" w:eastAsia="zh-CN"/>
              </w:rPr>
              <w:t xml:space="preserve">或</w:t>
            </w:r>
            <w:r/>
          </w:p>
        </w:tc>
      </w:tr>
      <w:tr>
        <w:trPr>
          <w:trHeight w:val="408"/>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1"/>
                <w:sz w:val="24"/>
                <w:szCs w:val="24"/>
                <w:highlight w:val="none"/>
                <w:lang w:val="en-US" w:eastAsia="zh-CN"/>
              </w:rPr>
              <w:t xml:space="preserve">其委托</w:t>
            </w:r>
            <w:r>
              <w:rPr>
                <w:rFonts w:hint="eastAsia" w:ascii="宋体" w:hAnsi="宋体" w:eastAsia="宋体" w:cs="宋体"/>
                <w:color w:val="auto"/>
                <w:spacing w:val="-1"/>
                <w:sz w:val="24"/>
                <w:szCs w:val="24"/>
                <w:highlight w:val="none"/>
              </w:rPr>
              <w:t xml:space="preserve">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w:t>
            </w:r>
            <w:r>
              <w:rPr>
                <w:rFonts w:hint="eastAsia" w:cs="宋体"/>
                <w:color w:val="auto"/>
                <w:spacing w:val="-1"/>
                <w:sz w:val="24"/>
                <w:szCs w:val="24"/>
                <w:highlight w:val="none"/>
                <w:lang w:val="en-US" w:eastAsia="zh-CN"/>
              </w:rPr>
              <w:t xml:space="preserve">字或印鉴</w:t>
            </w:r>
            <w:r>
              <w:rPr>
                <w:rFonts w:hint="eastAsia" w:ascii="宋体" w:hAnsi="宋体" w:eastAsia="宋体" w:cs="宋体"/>
                <w:color w:val="auto"/>
                <w:spacing w:val="-1"/>
                <w:sz w:val="24"/>
                <w:szCs w:val="24"/>
                <w:highlight w:val="none"/>
                <w:lang w:eastAsia="zh-CN"/>
              </w:rPr>
              <w:t xml:space="preserve">）：</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1"/>
                <w:sz w:val="24"/>
                <w:szCs w:val="24"/>
                <w:highlight w:val="none"/>
                <w:lang w:val="en-US" w:eastAsia="zh-CN"/>
              </w:rPr>
              <w:t xml:space="preserve">其</w:t>
            </w:r>
            <w:r>
              <w:rPr>
                <w:rFonts w:hint="eastAsia" w:cs="宋体"/>
                <w:color w:val="auto"/>
                <w:spacing w:val="-2"/>
                <w:sz w:val="24"/>
                <w:szCs w:val="24"/>
                <w:highlight w:val="none"/>
                <w:lang w:val="en-US" w:eastAsia="zh-CN"/>
              </w:rPr>
              <w:t xml:space="preserve">委托</w:t>
            </w:r>
            <w:r>
              <w:rPr>
                <w:rFonts w:hint="eastAsia" w:ascii="宋体" w:hAnsi="宋体" w:eastAsia="宋体" w:cs="宋体"/>
                <w:color w:val="auto"/>
                <w:spacing w:val="-2"/>
                <w:sz w:val="24"/>
                <w:szCs w:val="24"/>
                <w:highlight w:val="none"/>
              </w:rPr>
              <w:t xml:space="preserve">代理人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签</w:t>
            </w:r>
            <w:r>
              <w:rPr>
                <w:rFonts w:hint="eastAsia" w:cs="宋体"/>
                <w:color w:val="auto"/>
                <w:spacing w:val="-2"/>
                <w:sz w:val="24"/>
                <w:szCs w:val="24"/>
                <w:highlight w:val="none"/>
                <w:lang w:val="en-US" w:eastAsia="zh-CN"/>
              </w:rPr>
              <w:t xml:space="preserve">字或印鉴</w:t>
            </w:r>
            <w:r>
              <w:rPr>
                <w:rFonts w:hint="eastAsia" w:ascii="宋体" w:hAnsi="宋体" w:eastAsia="宋体" w:cs="宋体"/>
                <w:color w:val="auto"/>
                <w:spacing w:val="-2"/>
                <w:sz w:val="24"/>
                <w:szCs w:val="24"/>
                <w:highlight w:val="none"/>
                <w:lang w:eastAsia="zh-CN"/>
              </w:rPr>
              <w:t xml:space="preserve">）：</w:t>
            </w:r>
            <w:r/>
          </w:p>
        </w:tc>
      </w:tr>
      <w:tr>
        <w:trPr>
          <w:trHeight w:val="401"/>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单位地址：</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单位地址：</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联系电话：</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联系电话：</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cs="宋体"/>
                <w:color w:val="auto"/>
                <w:sz w:val="24"/>
                <w:szCs w:val="24"/>
                <w:highlight w:val="none"/>
              </w:rPr>
              <w:t xml:space="preserve">开户银行：</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cs="宋体"/>
                <w:color w:val="auto"/>
                <w:sz w:val="24"/>
                <w:szCs w:val="24"/>
                <w:highlight w:val="none"/>
              </w:rPr>
              <w:t xml:space="preserve">开户银行：</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lang w:eastAsia="zh-CN"/>
              </w:rPr>
            </w:pPr>
            <w:r>
              <w:rPr>
                <w:rFonts w:hint="eastAsia" w:ascii="宋体" w:hAnsi="宋体" w:cs="宋体"/>
                <w:color w:val="auto"/>
                <w:sz w:val="24"/>
                <w:szCs w:val="24"/>
                <w:highlight w:val="none"/>
              </w:rPr>
              <w:t xml:space="preserve">账号</w:t>
            </w:r>
            <w:r>
              <w:rPr>
                <w:rFonts w:hint="eastAsia" w:cs="宋体"/>
                <w:color w:val="auto"/>
                <w:sz w:val="24"/>
                <w:szCs w:val="24"/>
                <w:highlight w:val="none"/>
                <w:lang w:eastAsia="zh-CN"/>
              </w:rPr>
              <w:t xml:space="preserve">：</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cs="宋体"/>
                <w:color w:val="auto"/>
                <w:sz w:val="24"/>
                <w:szCs w:val="24"/>
                <w:highlight w:val="none"/>
              </w:rPr>
              <w:t xml:space="preserve">账号</w:t>
            </w:r>
            <w:r>
              <w:rPr>
                <w:rFonts w:hint="eastAsia" w:cs="宋体"/>
                <w:color w:val="auto"/>
                <w:sz w:val="24"/>
                <w:szCs w:val="24"/>
                <w:highlight w:val="none"/>
                <w:lang w:eastAsia="zh-CN"/>
              </w:rPr>
              <w:t xml:space="preserve">：</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cs="宋体"/>
                <w:color w:val="auto"/>
                <w:sz w:val="24"/>
                <w:szCs w:val="24"/>
                <w:highlight w:val="none"/>
              </w:rPr>
              <w:t xml:space="preserve">邮政编码：</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cs="宋体"/>
                <w:color w:val="auto"/>
                <w:sz w:val="24"/>
                <w:szCs w:val="24"/>
                <w:highlight w:val="none"/>
              </w:rPr>
              <w:t xml:space="preserve">邮政编码：</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r>
            <w:r/>
          </w:p>
        </w:tc>
      </w:tr>
    </w:tbl>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ascii="宋体" w:hAnsi="宋体" w:cs="宋体"/>
          <w:b/>
          <w:bCs/>
          <w:color w:val="auto"/>
          <w:sz w:val="32"/>
          <w:szCs w:val="32"/>
          <w:highlight w:val="none"/>
        </w:rPr>
        <w:outlineLvl w:val="1"/>
      </w:pPr>
      <w:r/>
      <w:bookmarkStart w:id="152" w:name="_Toc239453116"/>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第二部分　通用合同条款（略）</w:t>
      </w:r>
      <w:bookmarkEnd w:id="152"/>
      <w:r/>
      <w:r/>
    </w:p>
    <w:p>
      <w:pPr>
        <w:jc w:val="center"/>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具体详见（</w:t>
      </w:r>
      <w:r>
        <w:rPr>
          <w:rFonts w:ascii="宋体" w:hAnsi="宋体" w:cs="宋体"/>
          <w:b/>
          <w:bCs/>
          <w:color w:val="auto"/>
          <w:sz w:val="24"/>
          <w:highlight w:val="none"/>
        </w:rPr>
        <w:t xml:space="preserve">GF—2017—0201</w:t>
      </w:r>
      <w:r>
        <w:rPr>
          <w:rFonts w:hint="eastAsia" w:ascii="宋体" w:hAnsi="宋体" w:cs="宋体"/>
          <w:b/>
          <w:bCs/>
          <w:color w:val="auto"/>
          <w:sz w:val="24"/>
          <w:highlight w:val="none"/>
        </w:rPr>
        <w:t xml:space="preserve">）</w:t>
      </w:r>
      <w:r/>
    </w:p>
    <w:p>
      <w:pPr>
        <w:jc w:val="center"/>
        <w:spacing w:line="480" w:lineRule="exact"/>
        <w:rPr>
          <w:rFonts w:hint="eastAsia" w:ascii="宋体" w:hAnsi="宋体" w:cs="宋体"/>
          <w:b/>
          <w:bCs/>
          <w:color w:val="auto"/>
          <w:sz w:val="32"/>
          <w:szCs w:val="32"/>
          <w:highlight w:val="none"/>
        </w:rPr>
        <w:outlineLvl w:val="1"/>
      </w:pPr>
      <w:r/>
      <w:bookmarkStart w:id="153" w:name="_Toc239453117"/>
      <w:r>
        <w:rPr>
          <w:rFonts w:hint="eastAsia" w:ascii="宋体" w:hAnsi="宋体" w:cs="宋体"/>
          <w:color w:val="auto"/>
          <w:sz w:val="32"/>
          <w:szCs w:val="32"/>
          <w:highlight w:val="none"/>
        </w:rPr>
        <w:br w:type="page" w:clear="all"/>
      </w:r>
      <w:r>
        <w:rPr>
          <w:rFonts w:hint="eastAsia" w:ascii="宋体" w:hAnsi="宋体" w:cs="宋体"/>
          <w:b/>
          <w:bCs/>
          <w:color w:val="auto"/>
          <w:sz w:val="32"/>
          <w:szCs w:val="32"/>
          <w:highlight w:val="none"/>
        </w:rPr>
        <w:t xml:space="preserve">第三部分　专用合同条款</w:t>
      </w:r>
      <w:bookmarkEnd w:id="153"/>
      <w:r/>
      <w:r/>
    </w:p>
    <w:p>
      <w:pPr>
        <w:ind w:firstLine="460"/>
        <w:spacing w:line="480" w:lineRule="exact"/>
        <w:rPr>
          <w:rFonts w:ascii="宋体" w:hAnsi="Calibri"/>
          <w:color w:val="auto"/>
          <w:sz w:val="24"/>
          <w:highlight w:val="none"/>
        </w:rPr>
      </w:pPr>
      <w:r>
        <w:rPr>
          <w:rFonts w:ascii="宋体" w:hAnsi="宋体" w:cs="宋体"/>
          <w:color w:val="auto"/>
          <w:sz w:val="24"/>
          <w:highlight w:val="none"/>
        </w:rPr>
        <w:t xml:space="preserve">1.</w:t>
      </w:r>
      <w:r>
        <w:rPr>
          <w:rFonts w:hint="eastAsia" w:ascii="宋体" w:hAnsi="宋体" w:cs="宋体"/>
          <w:b/>
          <w:bCs/>
          <w:color w:val="auto"/>
          <w:sz w:val="24"/>
          <w:highlight w:val="none"/>
        </w:rPr>
        <w:t xml:space="preserve">合同解释顺序和适用法律、标准及规范</w:t>
      </w:r>
      <w:r/>
    </w:p>
    <w:p>
      <w:pPr>
        <w:ind w:firstLine="480"/>
        <w:spacing w:line="480" w:lineRule="exact"/>
        <w:rPr>
          <w:rFonts w:ascii="宋体" w:hAnsi="Calibri"/>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除合同另有规定外，解释合同文件的优先顺序如下：</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①协议书（包括补充协议）；</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②成交通知书；</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③招、投标文件及补充文件；</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④专用合同条款；</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⑤通用合同条款；</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⑥标准、规范及有关技术文件；</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⑦图纸；</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⑧已标价的工程量清单；</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⑨其他。</w:t>
      </w:r>
      <w:r/>
    </w:p>
    <w:p>
      <w:pPr>
        <w:ind w:firstLine="460"/>
        <w:spacing w:line="480" w:lineRule="exact"/>
        <w:rPr>
          <w:rFonts w:ascii="宋体" w:hAnsi="Calibri"/>
          <w:color w:val="auto"/>
          <w:sz w:val="24"/>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适用法律和法规</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需要明示的法律、行政法规：</w:t>
      </w:r>
      <w:r/>
    </w:p>
    <w:p>
      <w:pPr>
        <w:ind w:firstLine="460"/>
        <w:spacing w:line="480" w:lineRule="exact"/>
        <w:rPr>
          <w:rFonts w:hint="eastAsia" w:ascii="宋体" w:hAnsi="Calibri"/>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适用标准、规范</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适用标准、规范的名称：</w:t>
      </w:r>
      <w:r/>
    </w:p>
    <w:p>
      <w:pPr>
        <w:ind w:firstLine="460"/>
        <w:spacing w:line="480" w:lineRule="exact"/>
        <w:rPr>
          <w:rFonts w:ascii="宋体" w:hAnsi="Calibri"/>
          <w:color w:val="auto"/>
          <w:sz w:val="24"/>
          <w:highlight w:val="none"/>
          <w:u w:val="single"/>
        </w:rPr>
      </w:pPr>
      <w:r>
        <w:rPr>
          <w:rFonts w:hint="eastAsia" w:ascii="宋体" w:hAnsi="宋体" w:cs="宋体"/>
          <w:color w:val="auto"/>
          <w:sz w:val="24"/>
          <w:highlight w:val="none"/>
        </w:rPr>
        <w:t xml:space="preserve">发包人提供标准、规范的时间：</w:t>
      </w:r>
      <w:r/>
    </w:p>
    <w:p>
      <w:pPr>
        <w:ind w:firstLine="460"/>
        <w:spacing w:line="480" w:lineRule="exact"/>
        <w:rPr>
          <w:rFonts w:ascii="宋体" w:hAnsi="Calibri"/>
          <w:color w:val="auto"/>
          <w:sz w:val="24"/>
          <w:highlight w:val="none"/>
        </w:rPr>
      </w:pPr>
      <w:r>
        <w:rPr>
          <w:rFonts w:hint="eastAsia" w:ascii="宋体" w:hAnsi="宋体" w:cs="宋体"/>
          <w:color w:val="auto"/>
          <w:sz w:val="24"/>
          <w:highlight w:val="none"/>
        </w:rPr>
        <w:t xml:space="preserve">国内没有相应标准、规范时的约定：</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2</w:t>
      </w:r>
      <w:r>
        <w:rPr>
          <w:rFonts w:hint="eastAsia" w:ascii="宋体" w:hAnsi="宋体" w:cs="宋体"/>
          <w:b/>
          <w:bCs/>
          <w:color w:val="auto"/>
          <w:sz w:val="24"/>
          <w:highlight w:val="none"/>
        </w:rPr>
        <w:t xml:space="preserve">、图纸</w:t>
      </w:r>
      <w:r/>
    </w:p>
    <w:p>
      <w:pPr>
        <w:ind w:firstLine="480"/>
        <w:spacing w:line="480" w:lineRule="exact"/>
        <w:rPr>
          <w:rFonts w:hint="eastAsia" w:ascii="宋体" w:hAnsi="Calibri"/>
          <w:color w:val="auto"/>
          <w:sz w:val="24"/>
          <w:highlight w:val="none"/>
        </w:rPr>
      </w:pPr>
      <w:r>
        <w:rPr>
          <w:rFonts w:ascii="宋体" w:hAnsi="宋体" w:cs="宋体"/>
          <w:color w:val="auto"/>
          <w:sz w:val="24"/>
          <w:highlight w:val="none"/>
        </w:rPr>
        <w:t xml:space="preserve">2.1</w:t>
      </w:r>
      <w:r>
        <w:rPr>
          <w:rFonts w:hint="eastAsia" w:ascii="宋体" w:hAnsi="宋体" w:cs="宋体"/>
          <w:color w:val="auto"/>
          <w:sz w:val="24"/>
          <w:highlight w:val="none"/>
        </w:rPr>
        <w:t xml:space="preserve">发包人向承包人提供图纸日期和套数：</w:t>
      </w:r>
      <w:r/>
    </w:p>
    <w:p>
      <w:pPr>
        <w:ind w:firstLine="480"/>
        <w:spacing w:line="480" w:lineRule="exact"/>
        <w:rPr>
          <w:rFonts w:hint="eastAsia" w:ascii="宋体" w:hAnsi="Calibri"/>
          <w:color w:val="auto"/>
          <w:sz w:val="24"/>
          <w:highlight w:val="none"/>
        </w:rPr>
      </w:pPr>
      <w:r>
        <w:rPr>
          <w:rFonts w:ascii="宋体" w:hAnsi="宋体" w:cs="宋体"/>
          <w:color w:val="auto"/>
          <w:sz w:val="24"/>
          <w:highlight w:val="none"/>
        </w:rPr>
        <w:t xml:space="preserve">2.2</w:t>
      </w:r>
      <w:r>
        <w:rPr>
          <w:rFonts w:hint="eastAsia" w:ascii="宋体" w:hAnsi="宋体" w:cs="宋体"/>
          <w:color w:val="auto"/>
          <w:sz w:val="24"/>
          <w:highlight w:val="none"/>
        </w:rPr>
        <w:t xml:space="preserve">发包人对图纸的保密要求：</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3</w:t>
      </w:r>
      <w:r>
        <w:rPr>
          <w:rFonts w:hint="eastAsia" w:ascii="宋体" w:hAnsi="宋体" w:cs="宋体"/>
          <w:b/>
          <w:bCs/>
          <w:color w:val="auto"/>
          <w:sz w:val="24"/>
          <w:highlight w:val="none"/>
        </w:rPr>
        <w:t xml:space="preserve">、工程师</w:t>
      </w:r>
      <w:r/>
    </w:p>
    <w:p>
      <w:pPr>
        <w:ind w:firstLine="480"/>
        <w:spacing w:line="480" w:lineRule="exact"/>
        <w:rPr>
          <w:rFonts w:hint="eastAsia" w:ascii="宋体" w:hAnsi="Calibri"/>
          <w:color w:val="auto"/>
          <w:sz w:val="24"/>
          <w:highlight w:val="none"/>
        </w:rPr>
      </w:pPr>
      <w:r>
        <w:rPr>
          <w:rFonts w:ascii="宋体" w:hAnsi="宋体" w:cs="宋体"/>
          <w:color w:val="auto"/>
          <w:sz w:val="24"/>
          <w:highlight w:val="none"/>
        </w:rPr>
        <w:t xml:space="preserve">3.1</w:t>
      </w:r>
      <w:r>
        <w:rPr>
          <w:rFonts w:hint="eastAsia" w:ascii="宋体" w:hAnsi="宋体" w:cs="宋体"/>
          <w:color w:val="auto"/>
          <w:sz w:val="24"/>
          <w:highlight w:val="none"/>
        </w:rPr>
        <w:t xml:space="preserve">监理单位委派的工程师</w:t>
      </w:r>
      <w:r/>
    </w:p>
    <w:p>
      <w:pPr>
        <w:ind w:firstLine="480"/>
        <w:spacing w:line="480" w:lineRule="exact"/>
        <w:rPr>
          <w:rFonts w:ascii="宋体" w:hAnsi="Calibri"/>
          <w:color w:val="auto"/>
          <w:sz w:val="24"/>
          <w:highlight w:val="none"/>
          <w:u w:val="single"/>
        </w:rPr>
      </w:pPr>
      <w:r>
        <w:rPr>
          <w:rFonts w:hint="eastAsia" w:ascii="宋体" w:hAnsi="宋体" w:cs="宋体"/>
          <w:color w:val="auto"/>
          <w:sz w:val="24"/>
          <w:highlight w:val="none"/>
        </w:rPr>
        <w:t xml:space="preserve">姓名：      职务：</w:t>
      </w:r>
      <w:r/>
    </w:p>
    <w:p>
      <w:pPr>
        <w:ind w:firstLine="480"/>
        <w:spacing w:line="480" w:lineRule="exact"/>
        <w:rPr>
          <w:rFonts w:ascii="宋体" w:hAnsi="Calibri"/>
          <w:color w:val="auto"/>
          <w:sz w:val="24"/>
          <w:highlight w:val="none"/>
          <w:u w:val="single"/>
        </w:rPr>
      </w:pPr>
      <w:r>
        <w:rPr>
          <w:rFonts w:hint="eastAsia" w:ascii="宋体" w:hAnsi="宋体" w:cs="宋体"/>
          <w:color w:val="auto"/>
          <w:sz w:val="24"/>
          <w:highlight w:val="none"/>
        </w:rPr>
        <w:t xml:space="preserve">发包人委托的职权：</w:t>
      </w:r>
      <w:r/>
    </w:p>
    <w:p>
      <w:pPr>
        <w:ind w:firstLine="480"/>
        <w:spacing w:line="480" w:lineRule="exact"/>
        <w:rPr>
          <w:rFonts w:ascii="宋体" w:hAnsi="Calibri"/>
          <w:color w:val="auto"/>
          <w:sz w:val="24"/>
          <w:highlight w:val="none"/>
          <w:u w:val="single"/>
        </w:rPr>
      </w:pPr>
      <w:r>
        <w:rPr>
          <w:rFonts w:hint="eastAsia" w:ascii="宋体" w:hAnsi="宋体" w:cs="宋体"/>
          <w:color w:val="auto"/>
          <w:sz w:val="24"/>
          <w:highlight w:val="none"/>
        </w:rPr>
        <w:t xml:space="preserve">需要取得发包人批准才能行使的职权：</w:t>
      </w:r>
      <w:r>
        <w:rPr>
          <w:rFonts w:hint="eastAsia" w:ascii="宋体" w:hAnsi="宋体" w:cs="宋体"/>
          <w:color w:val="auto"/>
          <w:sz w:val="24"/>
          <w:highlight w:val="none"/>
          <w:u w:val="single"/>
        </w:rPr>
        <w:t xml:space="preserve">（根据具体情况规定需经批准的权力范围）</w:t>
      </w:r>
      <w:r>
        <w:rPr>
          <w:rFonts w:hint="eastAsia" w:ascii="宋体" w:hAnsi="宋体" w:cs="宋体"/>
          <w:color w:val="auto"/>
          <w:sz w:val="24"/>
          <w:highlight w:val="none"/>
        </w:rPr>
        <w:t xml:space="preserve">。</w:t>
      </w:r>
      <w:r/>
    </w:p>
    <w:p>
      <w:pPr>
        <w:ind w:firstLine="480"/>
        <w:spacing w:line="480" w:lineRule="exact"/>
        <w:rPr>
          <w:rFonts w:ascii="宋体" w:hAnsi="Calibri"/>
          <w:color w:val="auto"/>
          <w:sz w:val="24"/>
          <w:highlight w:val="none"/>
        </w:rPr>
      </w:pPr>
      <w:r>
        <w:rPr>
          <w:rFonts w:ascii="宋体" w:hAnsi="宋体" w:cs="宋体"/>
          <w:color w:val="auto"/>
          <w:sz w:val="24"/>
          <w:highlight w:val="none"/>
        </w:rPr>
        <w:t xml:space="preserve">3.2</w:t>
      </w:r>
      <w:r>
        <w:rPr>
          <w:rFonts w:hint="eastAsia" w:ascii="宋体" w:hAnsi="宋体" w:cs="宋体"/>
          <w:color w:val="auto"/>
          <w:sz w:val="24"/>
          <w:highlight w:val="none"/>
        </w:rPr>
        <w:t xml:space="preserve">当监理人认为出现了危及生命、工程和毗邻财产等安全的紧急事件时，在不免除合同规定的承包人责任的情况下，监理人可以指示承包人实施为消除或减少这种危险所必须进行的工作，即使没有发包人的事先批准，承包人也应立即遵照执行。</w:t>
      </w:r>
      <w:r/>
    </w:p>
    <w:p>
      <w:pPr>
        <w:ind w:firstLine="480"/>
        <w:spacing w:line="480" w:lineRule="exact"/>
        <w:rPr>
          <w:rFonts w:hint="eastAsia" w:ascii="宋体" w:hAnsi="Calibri"/>
          <w:color w:val="auto"/>
          <w:sz w:val="24"/>
          <w:highlight w:val="none"/>
        </w:rPr>
      </w:pPr>
      <w:r>
        <w:rPr>
          <w:rFonts w:ascii="宋体" w:hAnsi="宋体" w:cs="宋体"/>
          <w:color w:val="auto"/>
          <w:sz w:val="24"/>
          <w:highlight w:val="none"/>
        </w:rPr>
        <w:t xml:space="preserve">3.3</w:t>
      </w:r>
      <w:r>
        <w:rPr>
          <w:rFonts w:hint="eastAsia" w:ascii="宋体" w:hAnsi="宋体" w:cs="宋体"/>
          <w:color w:val="auto"/>
          <w:sz w:val="24"/>
          <w:highlight w:val="none"/>
        </w:rPr>
        <w:t xml:space="preserve">发包人派驻的工程师</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姓名：          职务：</w:t>
      </w:r>
      <w:r/>
    </w:p>
    <w:p>
      <w:pPr>
        <w:ind w:firstLine="480"/>
        <w:spacing w:line="480" w:lineRule="exact"/>
        <w:rPr>
          <w:rFonts w:ascii="宋体" w:hAnsi="Calibri"/>
          <w:b/>
          <w:bCs/>
          <w:color w:val="auto"/>
          <w:sz w:val="24"/>
          <w:highlight w:val="none"/>
          <w:u w:val="single"/>
        </w:rPr>
      </w:pPr>
      <w:r>
        <w:rPr>
          <w:rFonts w:hint="eastAsia" w:ascii="宋体" w:hAnsi="宋体" w:cs="宋体"/>
          <w:color w:val="auto"/>
          <w:sz w:val="24"/>
          <w:highlight w:val="none"/>
        </w:rPr>
        <w:t xml:space="preserve">职权：</w:t>
      </w:r>
      <w:r>
        <w:rPr>
          <w:rFonts w:hint="eastAsia" w:ascii="宋体" w:hAnsi="宋体" w:cs="宋体"/>
          <w:color w:val="auto"/>
          <w:sz w:val="24"/>
          <w:highlight w:val="none"/>
          <w:u w:val="single"/>
        </w:rPr>
        <w:t xml:space="preserve">（根据具体情况规定需经批准的权力范围）</w:t>
      </w:r>
      <w:r/>
    </w:p>
    <w:p>
      <w:pPr>
        <w:ind w:firstLine="47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4</w:t>
      </w:r>
      <w:r>
        <w:rPr>
          <w:rFonts w:hint="eastAsia" w:ascii="宋体" w:hAnsi="宋体" w:cs="宋体"/>
          <w:b/>
          <w:bCs/>
          <w:color w:val="auto"/>
          <w:sz w:val="24"/>
          <w:highlight w:val="none"/>
        </w:rPr>
        <w:t xml:space="preserve">、施工现场项目负责人</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项目负责人姓名及证号：</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5</w:t>
      </w:r>
      <w:r>
        <w:rPr>
          <w:rFonts w:hint="eastAsia" w:ascii="宋体" w:hAnsi="宋体" w:cs="宋体"/>
          <w:b/>
          <w:bCs/>
          <w:color w:val="auto"/>
          <w:sz w:val="24"/>
          <w:highlight w:val="none"/>
        </w:rPr>
        <w:t xml:space="preserve">、发包人工作（根据工程具体情况补充）</w:t>
      </w:r>
      <w:r/>
    </w:p>
    <w:p>
      <w:pPr>
        <w:ind w:firstLine="480"/>
        <w:spacing w:line="480" w:lineRule="exact"/>
        <w:rPr>
          <w:rFonts w:hint="eastAsia" w:ascii="宋体" w:hAnsi="Calibri"/>
          <w:color w:val="auto"/>
          <w:sz w:val="24"/>
          <w:highlight w:val="none"/>
        </w:rPr>
      </w:pPr>
      <w:r>
        <w:rPr>
          <w:rFonts w:ascii="宋体" w:hAnsi="宋体" w:cs="宋体"/>
          <w:color w:val="auto"/>
          <w:sz w:val="24"/>
          <w:highlight w:val="none"/>
        </w:rPr>
        <w:t xml:space="preserve">5.1</w:t>
      </w:r>
      <w:r>
        <w:rPr>
          <w:rFonts w:hint="eastAsia" w:ascii="宋体" w:hAnsi="宋体" w:cs="宋体"/>
          <w:color w:val="auto"/>
          <w:sz w:val="24"/>
          <w:highlight w:val="none"/>
        </w:rPr>
        <w:t xml:space="preserve">发包人应按约定的时间和要求完成以下工作：</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）施工场地具备施工条件的要求及完成的时间：</w:t>
      </w:r>
      <w:r/>
    </w:p>
    <w:p>
      <w:pPr>
        <w:ind w:left="479"/>
        <w:spacing w:line="480" w:lineRule="exact"/>
        <w:rPr>
          <w:rFonts w:ascii="宋体" w:hAnsi="Calibri"/>
          <w:b/>
          <w:b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）将施工所需的水、电、电讯线路接至施工场地的时间、地点和供应要求：</w:t>
      </w:r>
      <w:r/>
    </w:p>
    <w:p>
      <w:pPr>
        <w:ind w:firstLine="480"/>
        <w:spacing w:line="480" w:lineRule="exact"/>
        <w:rPr>
          <w:rFonts w:hint="eastAsia" w:ascii="宋体" w:hAnsi="Calibri"/>
          <w:color w:val="auto"/>
          <w:sz w:val="24"/>
          <w:highlight w:val="none"/>
          <w:u w:val="singl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）施工场地与公共道路的通道开通时间和要求：</w:t>
      </w:r>
      <w:r/>
    </w:p>
    <w:p>
      <w:pPr>
        <w:ind w:firstLine="480"/>
        <w:spacing w:line="480" w:lineRule="exact"/>
        <w:rPr>
          <w:rFonts w:ascii="宋体" w:hAnsi="Calibri"/>
          <w:b/>
          <w:bCs/>
          <w:color w:val="auto"/>
          <w:sz w:val="24"/>
          <w:highlight w:val="none"/>
          <w:u w:val="singl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）工程地质和地下管线资料的提供时间：</w:t>
      </w:r>
      <w:r/>
    </w:p>
    <w:p>
      <w:pPr>
        <w:ind w:firstLine="480"/>
        <w:spacing w:line="480" w:lineRule="exact"/>
        <w:rPr>
          <w:rFonts w:ascii="宋体" w:hAnsi="Calibri"/>
          <w:b/>
          <w:bCs/>
          <w:color w:val="auto"/>
          <w:sz w:val="24"/>
          <w:highlight w:val="none"/>
          <w:u w:val="singl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）由发包人办理的施工所需证件、批件的名称和完成时间：</w:t>
      </w:r>
      <w:r/>
    </w:p>
    <w:p>
      <w:pPr>
        <w:ind w:firstLine="480"/>
        <w:spacing w:line="480" w:lineRule="exact"/>
        <w:rPr>
          <w:rFonts w:ascii="宋体" w:hAnsi="Calibri"/>
          <w:b/>
          <w:b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）水准点与坐标控制点交验要求：</w:t>
      </w:r>
      <w:r/>
    </w:p>
    <w:p>
      <w:pPr>
        <w:ind w:firstLine="480"/>
        <w:spacing w:line="480" w:lineRule="exact"/>
        <w:rPr>
          <w:rFonts w:ascii="宋体" w:hAnsi="Calibri"/>
          <w:color w:val="auto"/>
          <w:sz w:val="24"/>
          <w:highlight w:val="none"/>
          <w:u w:val="single"/>
        </w:rPr>
      </w:pPr>
      <w:r>
        <w:rPr>
          <w:rFonts w:hint="eastAsia" w:ascii="宋体" w:hAnsi="宋体" w:cs="宋体"/>
          <w:color w:val="auto"/>
          <w:sz w:val="24"/>
          <w:highlight w:val="none"/>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）图纸会审和设计交底时间：</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）协调处理施工场地周围地下管线和邻近建筑物、构筑物（含文物保护建筑）、古树名木的保护工作：</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）双方约定发包人应做的其他工作：</w:t>
      </w:r>
      <w:r/>
    </w:p>
    <w:p>
      <w:pPr>
        <w:ind w:firstLine="480"/>
        <w:spacing w:line="480" w:lineRule="exact"/>
        <w:rPr>
          <w:rFonts w:ascii="宋体" w:hAnsi="Calibri"/>
          <w:color w:val="auto"/>
          <w:sz w:val="24"/>
          <w:highlight w:val="none"/>
          <w:u w:val="single"/>
        </w:rPr>
      </w:pPr>
      <w:r>
        <w:rPr>
          <w:rFonts w:ascii="宋体" w:hAnsi="宋体" w:cs="宋体"/>
          <w:color w:val="auto"/>
          <w:sz w:val="24"/>
          <w:highlight w:val="none"/>
        </w:rPr>
        <w:t xml:space="preserve">5.2</w:t>
      </w:r>
      <w:r>
        <w:rPr>
          <w:rFonts w:hint="eastAsia" w:ascii="宋体" w:hAnsi="宋体" w:cs="宋体"/>
          <w:color w:val="auto"/>
          <w:sz w:val="24"/>
          <w:highlight w:val="none"/>
        </w:rPr>
        <w:t xml:space="preserve">发包人委托承包人办理的工作：</w:t>
      </w:r>
      <w:r/>
    </w:p>
    <w:p>
      <w:pPr>
        <w:ind w:firstLine="482"/>
        <w:spacing w:line="480" w:lineRule="exact"/>
        <w:rPr>
          <w:rFonts w:ascii="宋体" w:hAnsi="Calibri"/>
          <w:b/>
          <w:bCs/>
          <w:color w:val="auto"/>
          <w:sz w:val="24"/>
          <w:highlight w:val="none"/>
        </w:rPr>
      </w:pPr>
      <w:r>
        <w:rPr>
          <w:rFonts w:ascii="宋体" w:hAnsi="宋体" w:cs="宋体"/>
          <w:b/>
          <w:bCs/>
          <w:color w:val="auto"/>
          <w:sz w:val="24"/>
          <w:highlight w:val="none"/>
        </w:rPr>
        <w:t xml:space="preserve">6</w:t>
      </w:r>
      <w:r>
        <w:rPr>
          <w:rFonts w:hint="eastAsia" w:ascii="宋体" w:hAnsi="宋体" w:cs="宋体"/>
          <w:b/>
          <w:bCs/>
          <w:color w:val="auto"/>
          <w:sz w:val="24"/>
          <w:highlight w:val="none"/>
        </w:rPr>
        <w:t xml:space="preserve">、承包人工作（根据工程具体情况补充）</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承包人应按约定时间和要求，完成以下工作：</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）需由设计资质等级和业务范围允许的承包人完成的设计文件提交时间：</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ind w:firstLine="480"/>
        <w:spacing w:line="480" w:lineRule="exact"/>
        <w:rPr>
          <w:rFonts w:hint="eastAsia" w:ascii="宋体" w:hAnsi="Calibri"/>
          <w:color w:val="auto"/>
          <w:sz w:val="24"/>
          <w:highlight w:val="none"/>
          <w:u w:val="singl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）应提供计划、报表的名称及完成时间：</w:t>
      </w:r>
      <w:r>
        <w:rPr>
          <w:rFonts w:hint="eastAsia" w:ascii="宋体" w:hAnsi="宋体" w:cs="宋体"/>
          <w:color w:val="auto"/>
          <w:sz w:val="24"/>
          <w:highlight w:val="none"/>
          <w:u w:val="single"/>
        </w:rPr>
        <w:t xml:space="preserve">每周五下午5:00前提供下周计划和本周完成情况统计表，完成工程量价款汇总（一式三份）交监理机构</w:t>
      </w:r>
      <w:r>
        <w:rPr>
          <w:rFonts w:hint="eastAsia" w:ascii="宋体" w:hAnsi="宋体" w:cs="宋体"/>
          <w:color w:val="auto"/>
          <w:sz w:val="24"/>
          <w:highlight w:val="none"/>
        </w:rPr>
        <w:t xml:space="preserve">。</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）承担施工安全保卫工作及非夜间施工照明的责任和要求：</w:t>
      </w:r>
      <w:r>
        <w:rPr>
          <w:rFonts w:hint="eastAsia" w:ascii="宋体" w:hAnsi="宋体" w:cs="宋体"/>
          <w:color w:val="auto"/>
          <w:sz w:val="24"/>
          <w:highlight w:val="none"/>
          <w:u w:val="single"/>
        </w:rPr>
        <w:t xml:space="preserve">承包人在各种危险部位设 置明显的安全警示标志，安全警示标志必须符合国家标准，如发生安全事故，责任概由承包人承担</w:t>
      </w:r>
      <w:r>
        <w:rPr>
          <w:rFonts w:hint="eastAsia" w:ascii="宋体" w:hAnsi="宋体" w:cs="宋体"/>
          <w:color w:val="auto"/>
          <w:sz w:val="24"/>
          <w:highlight w:val="none"/>
        </w:rPr>
        <w:t xml:space="preserve">。</w:t>
      </w:r>
      <w:r/>
    </w:p>
    <w:p>
      <w:pPr>
        <w:ind w:firstLine="480"/>
        <w:spacing w:line="480" w:lineRule="exact"/>
        <w:rPr>
          <w:rFonts w:hint="eastAsia"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）向发包人提供的办公和生活房屋及设施的要求：</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（5）需承包人办理的有关施工场地交通、环卫环保和施工噪音管理等手续：</w:t>
      </w:r>
      <w:r>
        <w:rPr>
          <w:rFonts w:hint="eastAsia" w:ascii="宋体" w:hAnsi="宋体" w:cs="宋体"/>
          <w:color w:val="auto"/>
          <w:sz w:val="24"/>
          <w:highlight w:val="none"/>
          <w:u w:val="single"/>
        </w:rPr>
        <w:t xml:space="preserve">遵守政府有关主管部门对施工场地交通、施工噪音、环境保护和安全生产等的管理规定，按规定办理有关手续，并以书面形式通知发包人，所有费用均已含在合同价中</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（6）已完工程成品保护的特殊要求及费用承担：</w:t>
      </w:r>
      <w:r>
        <w:rPr>
          <w:rFonts w:hint="eastAsia" w:ascii="宋体" w:hAnsi="宋体" w:cs="宋体"/>
          <w:color w:val="auto"/>
          <w:sz w:val="24"/>
          <w:highlight w:val="none"/>
          <w:u w:val="single"/>
        </w:rPr>
        <w:t xml:space="preserve">已完工工程未交付发包人之前，负责已完成工程的保护工作，所需费用含在合同价内</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（7）施工场地周围地下管线和邻近建筑物、构筑物（含文物保护建筑）、古树名木的保护要求及费用承担：</w:t>
      </w:r>
      <w:r>
        <w:rPr>
          <w:rFonts w:hint="eastAsia" w:ascii="宋体" w:hAnsi="宋体" w:cs="宋体"/>
          <w:color w:val="auto"/>
          <w:sz w:val="24"/>
          <w:highlight w:val="none"/>
          <w:u w:val="single"/>
        </w:rPr>
        <w:t xml:space="preserve">负责做好施工场地周围地下管线和邻近建筑物、构筑物（含文物保护建 筑）、古树名木保护措施</w:t>
      </w:r>
      <w:r>
        <w:rPr>
          <w:rFonts w:hint="eastAsia" w:ascii="宋体" w:hAnsi="宋体" w:cs="宋体"/>
          <w:color w:val="auto"/>
          <w:sz w:val="24"/>
          <w:highlight w:val="none"/>
        </w:rPr>
        <w:t xml:space="preserve">。</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（8）施工场地清洁卫生的要求：</w:t>
      </w:r>
      <w:r>
        <w:rPr>
          <w:rFonts w:hint="eastAsia" w:ascii="宋体" w:hAnsi="宋体" w:cs="宋体"/>
          <w:color w:val="auto"/>
          <w:sz w:val="24"/>
          <w:highlight w:val="none"/>
          <w:u w:val="single"/>
        </w:rPr>
        <w:t xml:space="preserve">施工现场材料堆放要整齐，并 有遮盖，机械停放有序，符合清洁卫生要求，承担因自身原因违反有关规定造成的损失和罚款</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（9）承包人已仔细自行踏勘现场，充分考虑施工过程中产生的各项费用（投标报价时不应局限于发包人明确的各项施工措施费）包含在合同总价中，均一次性包死，结算时不再调整。</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（10）双方约定承包人应做的其他工作：</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①施工场地要设立标语、标牌，做到文明施工，树立企业形象，主动接受社会监督和有关部门的管理</w:t>
      </w:r>
      <w:r>
        <w:rPr>
          <w:rFonts w:hint="eastAsia" w:ascii="宋体" w:hAnsi="宋体" w:cs="宋体"/>
          <w:color w:val="auto"/>
          <w:sz w:val="24"/>
          <w:highlight w:val="none"/>
        </w:rPr>
        <w:t xml:space="preserve">。</w:t>
      </w:r>
      <w:r/>
    </w:p>
    <w:p>
      <w:pPr>
        <w:ind w:firstLine="482"/>
        <w:spacing w:line="480" w:lineRule="exact"/>
        <w:rPr>
          <w:rFonts w:ascii="宋体" w:hAnsi="Calibri"/>
          <w:b/>
          <w:bCs/>
          <w:color w:val="auto"/>
          <w:sz w:val="24"/>
          <w:highlight w:val="none"/>
        </w:rPr>
      </w:pPr>
      <w:r>
        <w:rPr>
          <w:rFonts w:ascii="宋体" w:hAnsi="宋体" w:cs="宋体"/>
          <w:b/>
          <w:bCs/>
          <w:color w:val="auto"/>
          <w:sz w:val="24"/>
          <w:highlight w:val="none"/>
        </w:rPr>
        <w:t xml:space="preserve">7</w:t>
      </w:r>
      <w:r>
        <w:rPr>
          <w:rFonts w:hint="eastAsia" w:ascii="宋体" w:hAnsi="宋体" w:cs="宋体"/>
          <w:b/>
          <w:bCs/>
          <w:color w:val="auto"/>
          <w:sz w:val="24"/>
          <w:highlight w:val="none"/>
        </w:rPr>
        <w:t xml:space="preserve">、进度计划（根据工程具体情况补充）</w:t>
      </w:r>
      <w:r/>
    </w:p>
    <w:p>
      <w:pPr>
        <w:ind w:firstLine="480"/>
        <w:spacing w:line="480" w:lineRule="exact"/>
        <w:rPr>
          <w:rFonts w:ascii="宋体" w:hAnsi="Calibri"/>
          <w:b/>
          <w:bCs/>
          <w:color w:val="auto"/>
          <w:sz w:val="24"/>
          <w:highlight w:val="none"/>
          <w:u w:val="single"/>
        </w:rPr>
      </w:pPr>
      <w:r>
        <w:rPr>
          <w:rFonts w:ascii="宋体" w:hAnsi="宋体" w:cs="宋体"/>
          <w:color w:val="auto"/>
          <w:sz w:val="24"/>
          <w:highlight w:val="none"/>
        </w:rPr>
        <w:t xml:space="preserve">7.1</w:t>
      </w:r>
      <w:r>
        <w:rPr>
          <w:rFonts w:hint="eastAsia" w:ascii="宋体" w:hAnsi="宋体" w:cs="宋体"/>
          <w:color w:val="auto"/>
          <w:sz w:val="24"/>
          <w:highlight w:val="none"/>
        </w:rPr>
        <w:t xml:space="preserve">承包人提供施工组织设计（施工方案）和进度计划的时间：</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工程师确认的时间：</w:t>
      </w:r>
      <w:r/>
    </w:p>
    <w:p>
      <w:pPr>
        <w:ind w:firstLine="480"/>
        <w:spacing w:line="480" w:lineRule="exact"/>
        <w:rPr>
          <w:rFonts w:hint="eastAsia" w:ascii="宋体" w:hAnsi="Calibri"/>
          <w:color w:val="auto"/>
          <w:sz w:val="24"/>
          <w:highlight w:val="none"/>
          <w:u w:val="single"/>
        </w:rPr>
      </w:pPr>
      <w:r>
        <w:rPr>
          <w:rFonts w:ascii="宋体" w:hAnsi="宋体" w:cs="宋体"/>
          <w:color w:val="auto"/>
          <w:sz w:val="24"/>
          <w:highlight w:val="none"/>
        </w:rPr>
        <w:t xml:space="preserve">7.2</w:t>
      </w:r>
      <w:r>
        <w:rPr>
          <w:rFonts w:hint="eastAsia" w:ascii="宋体" w:hAnsi="宋体" w:cs="宋体"/>
          <w:color w:val="auto"/>
          <w:sz w:val="24"/>
          <w:highlight w:val="none"/>
        </w:rPr>
        <w:t xml:space="preserve">施工月进度计划：</w:t>
      </w:r>
      <w:r/>
    </w:p>
    <w:p>
      <w:pPr>
        <w:ind w:firstLine="480"/>
        <w:spacing w:line="480" w:lineRule="exact"/>
        <w:rPr>
          <w:rFonts w:hint="eastAsia" w:ascii="宋体" w:hAnsi="Calibri"/>
          <w:color w:val="auto"/>
          <w:sz w:val="24"/>
          <w:highlight w:val="none"/>
          <w:u w:val="single"/>
        </w:rPr>
      </w:pPr>
      <w:r>
        <w:rPr>
          <w:rFonts w:ascii="宋体" w:hAnsi="宋体" w:cs="宋体"/>
          <w:color w:val="auto"/>
          <w:sz w:val="24"/>
          <w:highlight w:val="none"/>
        </w:rPr>
        <w:t xml:space="preserve">7.3</w:t>
      </w:r>
      <w:r>
        <w:rPr>
          <w:rFonts w:hint="eastAsia" w:ascii="宋体" w:hAnsi="宋体" w:cs="宋体"/>
          <w:color w:val="auto"/>
          <w:sz w:val="24"/>
          <w:highlight w:val="none"/>
        </w:rPr>
        <w:t xml:space="preserve">施工进度统计报表：</w:t>
      </w:r>
      <w:r/>
    </w:p>
    <w:p>
      <w:pPr>
        <w:ind w:firstLine="480"/>
        <w:spacing w:line="480" w:lineRule="exact"/>
        <w:rPr>
          <w:rFonts w:ascii="宋体" w:hAnsi="Calibri"/>
          <w:color w:val="auto"/>
          <w:sz w:val="24"/>
          <w:highlight w:val="none"/>
        </w:rPr>
      </w:pPr>
      <w:r>
        <w:rPr>
          <w:rFonts w:ascii="宋体" w:hAnsi="宋体" w:cs="宋体"/>
          <w:color w:val="auto"/>
          <w:sz w:val="24"/>
          <w:highlight w:val="none"/>
        </w:rPr>
        <w:t xml:space="preserve">7.4</w:t>
      </w:r>
      <w:r>
        <w:rPr>
          <w:rFonts w:hint="eastAsia" w:ascii="宋体" w:hAnsi="宋体" w:cs="宋体"/>
          <w:color w:val="auto"/>
          <w:sz w:val="24"/>
          <w:highlight w:val="none"/>
        </w:rPr>
        <w:t xml:space="preserve">工程师确认时间：收到上述文件后  日内予以确认。</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8</w:t>
      </w:r>
      <w:r>
        <w:rPr>
          <w:rFonts w:hint="eastAsia" w:ascii="宋体" w:hAnsi="宋体" w:cs="宋体"/>
          <w:b/>
          <w:bCs/>
          <w:color w:val="auto"/>
          <w:sz w:val="24"/>
          <w:highlight w:val="none"/>
        </w:rPr>
        <w:t xml:space="preserve">、工期延误</w:t>
      </w:r>
      <w:r/>
    </w:p>
    <w:p>
      <w:pPr>
        <w:ind w:firstLine="480"/>
        <w:spacing w:line="480" w:lineRule="exact"/>
        <w:rPr>
          <w:rFonts w:hint="eastAsia" w:ascii="宋体" w:hAnsi="宋体" w:cs="宋体"/>
          <w:color w:val="auto"/>
          <w:sz w:val="24"/>
          <w:highlight w:val="none"/>
        </w:rPr>
      </w:pPr>
      <w:r>
        <w:rPr>
          <w:rFonts w:ascii="宋体" w:hAnsi="宋体" w:cs="宋体"/>
          <w:color w:val="auto"/>
          <w:sz w:val="24"/>
          <w:highlight w:val="none"/>
        </w:rPr>
        <w:t xml:space="preserve">8.1</w:t>
      </w:r>
      <w:r>
        <w:rPr>
          <w:rFonts w:hint="eastAsia" w:ascii="宋体" w:hAnsi="宋体" w:cs="宋体"/>
          <w:color w:val="auto"/>
          <w:sz w:val="24"/>
          <w:highlight w:val="none"/>
        </w:rPr>
        <w:t xml:space="preserve">双方约定工期顺延的其他情况：</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8.1.1 因发包人原因导致工期延误</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导致工期延误的其他情形：①按通用条款；②非承包人原因造成的停工（如群众上访等）、停水、停电超过24小时的；③政策性文件要求需停工（如文明城市检查、环保检查等）的情况；④因设计变更影响关键施工线路的；⑤因供电、供水、燃气等专业工程原因造成工期延误，得到监理单位签认，并报发包人书面批准方可顺延；⑥由市级以上有关部门正式发布和认定的自然灾害。</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上述情况发生后，承包人须就延误的内容，向发包人提交书面报告办理延期手续，经发包人批准后方可顺延工期，否则工期不予顺延。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因发包人原因导致工期延误，不论工期是否顺延，承包人不得向发包人主张相应的停工、误工、窝工等费用赔偿。</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8.1.2因承包人原因导致工期延误</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因承包人原因造成工期延误，逾期竣工违约金的计算方法：详见合同条款承包人违约责任18.2（1）。</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9</w:t>
      </w:r>
      <w:r>
        <w:rPr>
          <w:rFonts w:hint="eastAsia" w:ascii="宋体" w:hAnsi="宋体" w:cs="宋体"/>
          <w:b/>
          <w:bCs/>
          <w:color w:val="auto"/>
          <w:sz w:val="24"/>
          <w:highlight w:val="none"/>
        </w:rPr>
        <w:t xml:space="preserve">、隐蔽工程和中间验收</w:t>
      </w:r>
      <w:r/>
    </w:p>
    <w:p>
      <w:pPr>
        <w:ind w:firstLine="480"/>
        <w:spacing w:line="480" w:lineRule="exact"/>
        <w:rPr>
          <w:rFonts w:hint="eastAsia" w:ascii="宋体" w:hAnsi="宋体" w:cs="宋体"/>
          <w:color w:val="auto"/>
          <w:sz w:val="24"/>
          <w:highlight w:val="none"/>
        </w:rPr>
      </w:pPr>
      <w:r>
        <w:rPr>
          <w:rFonts w:ascii="宋体" w:hAnsi="宋体" w:cs="宋体"/>
          <w:color w:val="auto"/>
          <w:sz w:val="24"/>
          <w:highlight w:val="none"/>
        </w:rPr>
        <w:t xml:space="preserve">9.1</w:t>
      </w:r>
      <w:r>
        <w:rPr>
          <w:rFonts w:hint="eastAsia" w:ascii="宋体" w:hAnsi="宋体" w:cs="宋体"/>
          <w:color w:val="auto"/>
          <w:sz w:val="24"/>
          <w:highlight w:val="none"/>
        </w:rPr>
        <w:t xml:space="preserve">双方约定中间验收部位：</w:t>
      </w:r>
      <w:r/>
    </w:p>
    <w:p>
      <w:pPr>
        <w:ind w:firstLine="482"/>
        <w:jc w:val="left"/>
        <w:spacing w:line="480" w:lineRule="exact"/>
        <w:widowControl/>
        <w:rPr>
          <w:rFonts w:ascii="宋体" w:hAnsi="宋体"/>
          <w:b/>
          <w:bCs/>
          <w:color w:val="auto"/>
          <w:sz w:val="24"/>
          <w:highlight w:val="none"/>
        </w:rPr>
      </w:pPr>
      <w:r>
        <w:rPr>
          <w:rFonts w:ascii="宋体" w:hAnsi="宋体" w:cs="宋体"/>
          <w:b/>
          <w:bCs/>
          <w:color w:val="auto"/>
          <w:sz w:val="24"/>
          <w:highlight w:val="none"/>
        </w:rPr>
        <w:t xml:space="preserve">10</w:t>
      </w:r>
      <w:r>
        <w:rPr>
          <w:rFonts w:hint="eastAsia" w:ascii="宋体" w:hAnsi="宋体" w:cs="宋体"/>
          <w:b/>
          <w:bCs/>
          <w:color w:val="auto"/>
          <w:sz w:val="24"/>
          <w:highlight w:val="none"/>
        </w:rPr>
        <w:t xml:space="preserve">、安全施工</w:t>
      </w:r>
      <w:r/>
    </w:p>
    <w:p>
      <w:pPr>
        <w:ind w:firstLine="480"/>
        <w:jc w:val="left"/>
        <w:spacing w:line="480" w:lineRule="exact"/>
        <w:widowControl/>
        <w:rPr>
          <w:rFonts w:hint="eastAsia" w:ascii="宋体" w:hAnsi="宋体"/>
          <w:color w:val="auto"/>
          <w:sz w:val="24"/>
          <w:highlight w:val="none"/>
          <w:u w:val="single"/>
        </w:rPr>
      </w:pPr>
      <w:r>
        <w:rPr>
          <w:rFonts w:ascii="宋体" w:hAnsi="宋体" w:cs="宋体"/>
          <w:color w:val="auto"/>
          <w:sz w:val="24"/>
          <w:highlight w:val="none"/>
        </w:rPr>
        <w:t xml:space="preserve">10.1</w:t>
      </w:r>
      <w:r>
        <w:rPr>
          <w:rFonts w:hint="eastAsia" w:ascii="宋体" w:hAnsi="宋体" w:cs="宋体"/>
          <w:color w:val="auto"/>
          <w:sz w:val="24"/>
          <w:highlight w:val="none"/>
        </w:rPr>
        <w:t xml:space="preserve">安全施工要求：（</w:t>
      </w:r>
      <w:r>
        <w:rPr>
          <w:rFonts w:hint="eastAsia" w:ascii="宋体" w:hAnsi="宋体" w:cs="宋体"/>
          <w:b/>
          <w:bCs/>
          <w:color w:val="auto"/>
          <w:sz w:val="24"/>
          <w:highlight w:val="none"/>
          <w:u w:val="single"/>
        </w:rPr>
        <w:t xml:space="preserve">根据具体工程情况提出要求）</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11.</w:t>
      </w:r>
      <w:r>
        <w:rPr>
          <w:rFonts w:hint="eastAsia" w:ascii="宋体" w:hAnsi="宋体" w:cs="宋体"/>
          <w:b/>
          <w:bCs/>
          <w:color w:val="auto"/>
          <w:sz w:val="24"/>
          <w:highlight w:val="none"/>
        </w:rPr>
        <w:t xml:space="preserve">合同价款及调整</w:t>
      </w:r>
      <w:r/>
    </w:p>
    <w:p>
      <w:pPr>
        <w:ind w:firstLine="480"/>
        <w:spacing w:line="480" w:lineRule="exact"/>
        <w:rPr>
          <w:rFonts w:ascii="宋体" w:hAnsi="Calibri"/>
          <w:color w:val="auto"/>
          <w:sz w:val="24"/>
          <w:highlight w:val="none"/>
        </w:rPr>
      </w:pPr>
      <w:r>
        <w:rPr>
          <w:rFonts w:ascii="宋体" w:hAnsi="宋体" w:cs="宋体"/>
          <w:color w:val="auto"/>
          <w:sz w:val="24"/>
          <w:highlight w:val="none"/>
        </w:rPr>
        <w:t xml:space="preserve">11.1</w:t>
      </w:r>
      <w:r>
        <w:rPr>
          <w:rFonts w:hint="eastAsia" w:ascii="宋体" w:hAnsi="宋体" w:cs="宋体"/>
          <w:color w:val="auto"/>
          <w:sz w:val="24"/>
          <w:highlight w:val="none"/>
        </w:rPr>
        <w:t xml:space="preserve">本合同价款采用</w:t>
      </w:r>
      <w:r>
        <w:rPr>
          <w:rFonts w:hint="eastAsia" w:ascii="宋体" w:hAnsi="宋体" w:cs="宋体"/>
          <w:b/>
          <w:bCs/>
          <w:color w:val="auto"/>
          <w:sz w:val="24"/>
          <w:highlight w:val="none"/>
          <w:u w:val="single"/>
        </w:rPr>
        <w:t xml:space="preserve">固定</w:t>
      </w:r>
      <w:r>
        <w:rPr>
          <w:rFonts w:hint="eastAsia" w:ascii="宋体" w:hAnsi="宋体" w:cs="宋体"/>
          <w:b/>
          <w:color w:val="auto"/>
          <w:sz w:val="24"/>
          <w:highlight w:val="none"/>
          <w:u w:val="single"/>
        </w:rPr>
        <w:t xml:space="preserve">单价合同</w:t>
      </w:r>
      <w:r>
        <w:rPr>
          <w:rFonts w:hint="eastAsia" w:ascii="宋体" w:hAnsi="宋体" w:cs="宋体"/>
          <w:color w:val="auto"/>
          <w:sz w:val="24"/>
          <w:highlight w:val="none"/>
        </w:rPr>
        <w:t xml:space="preserve">方式确定。</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t xml:space="preserve">11.2</w:t>
      </w:r>
      <w:r>
        <w:rPr>
          <w:rFonts w:hint="eastAsia" w:ascii="宋体" w:hAnsi="宋体" w:cs="宋体"/>
          <w:color w:val="auto"/>
          <w:sz w:val="24"/>
          <w:highlight w:val="none"/>
        </w:rPr>
        <w:t xml:space="preserve">合同价中包括的风险范围：①承包人施工技术、管理、组织、措施的风险；②采购文件（含答疑）、合同文件中约定的风险；③材料（设备）的市场价格风险；④人工单价因政策性调整产生的风险等。  </w:t>
      </w:r>
      <w:r/>
    </w:p>
    <w:p>
      <w:pPr>
        <w:ind w:firstLine="482"/>
        <w:spacing w:line="480" w:lineRule="exact"/>
        <w:rPr>
          <w:rFonts w:ascii="宋体" w:hAnsi="Calibri"/>
          <w:b/>
          <w:bCs/>
          <w:color w:val="auto"/>
          <w:sz w:val="24"/>
          <w:highlight w:val="none"/>
        </w:rPr>
      </w:pPr>
      <w:r>
        <w:rPr>
          <w:rFonts w:ascii="宋体" w:hAnsi="宋体" w:cs="宋体"/>
          <w:b/>
          <w:bCs/>
          <w:color w:val="auto"/>
          <w:sz w:val="24"/>
          <w:highlight w:val="none"/>
        </w:rPr>
        <w:t xml:space="preserve">12</w:t>
      </w:r>
      <w:r>
        <w:rPr>
          <w:rFonts w:hint="eastAsia" w:ascii="宋体" w:hAnsi="宋体" w:cs="宋体"/>
          <w:b/>
          <w:bCs/>
          <w:color w:val="auto"/>
          <w:sz w:val="24"/>
          <w:highlight w:val="none"/>
        </w:rPr>
        <w:t xml:space="preserve">、发包人供应材料设备</w:t>
      </w:r>
      <w:r/>
    </w:p>
    <w:p>
      <w:pPr>
        <w:ind w:firstLine="482"/>
        <w:jc w:val="center"/>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发包人提供的工程设备表（参考格式）</w:t>
      </w:r>
      <w:r/>
    </w:p>
    <w:tbl>
      <w:tblPr>
        <w:tblStyle w:val="80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1900"/>
        <w:gridCol w:w="1083"/>
        <w:gridCol w:w="816"/>
        <w:gridCol w:w="1329"/>
        <w:gridCol w:w="1900"/>
        <w:gridCol w:w="1097"/>
      </w:tblGrid>
      <w:tr>
        <w:trPr/>
        <w:tc>
          <w:tcPr>
            <w:tcW w:w="485"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序号</w:t>
            </w:r>
            <w:r/>
          </w:p>
        </w:tc>
        <w:tc>
          <w:tcPr>
            <w:tcW w:w="1055"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工程设备名称</w:t>
            </w:r>
            <w:r/>
          </w:p>
        </w:tc>
        <w:tc>
          <w:tcPr>
            <w:tcW w:w="601"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规格</w:t>
            </w:r>
            <w:r/>
          </w:p>
        </w:tc>
        <w:tc>
          <w:tcPr>
            <w:tcW w:w="453"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数量</w:t>
            </w:r>
            <w:r/>
          </w:p>
        </w:tc>
        <w:tc>
          <w:tcPr>
            <w:tcW w:w="738"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交货地点</w:t>
            </w:r>
            <w:r/>
          </w:p>
        </w:tc>
        <w:tc>
          <w:tcPr>
            <w:tcW w:w="1055"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计划交货日期</w:t>
            </w:r>
            <w:r/>
          </w:p>
        </w:tc>
        <w:tc>
          <w:tcPr>
            <w:tcW w:w="609"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备注</w:t>
            </w:r>
            <w:r/>
          </w:p>
        </w:tc>
      </w:tr>
      <w:tr>
        <w:trPr/>
        <w:tc>
          <w:tcPr>
            <w:tcW w:w="485"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1055"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601"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453"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738"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1055"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609"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r>
      <w:tr>
        <w:trPr/>
        <w:tc>
          <w:tcPr>
            <w:tcW w:w="485"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1055"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601"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453"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738"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1055"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609"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r>
    </w:tbl>
    <w:p>
      <w:pPr>
        <w:ind w:firstLine="480"/>
        <w:spacing w:line="480" w:lineRule="exact"/>
        <w:rPr>
          <w:rFonts w:ascii="宋体" w:hAnsi="Calibri"/>
          <w:b/>
          <w:bCs/>
          <w:color w:val="auto"/>
          <w:sz w:val="24"/>
          <w:highlight w:val="none"/>
        </w:rPr>
      </w:pPr>
      <w:r>
        <w:rPr>
          <w:rFonts w:ascii="宋体" w:hAnsi="宋体" w:cs="宋体"/>
          <w:b/>
          <w:bCs/>
          <w:color w:val="auto"/>
          <w:sz w:val="24"/>
          <w:highlight w:val="none"/>
        </w:rPr>
        <w:t xml:space="preserve">13</w:t>
      </w:r>
      <w:r>
        <w:rPr>
          <w:rFonts w:hint="eastAsia" w:ascii="宋体" w:hAnsi="宋体" w:cs="宋体"/>
          <w:b/>
          <w:bCs/>
          <w:color w:val="auto"/>
          <w:sz w:val="24"/>
          <w:highlight w:val="none"/>
        </w:rPr>
        <w:t xml:space="preserve">、发包人指定供应来源的材料和工程设备</w:t>
      </w:r>
      <w:r/>
    </w:p>
    <w:p>
      <w:pPr>
        <w:ind w:firstLine="482"/>
        <w:jc w:val="center"/>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发包人指定供应来源的材料和工程设备表（参考格式）</w:t>
      </w:r>
      <w:r/>
    </w:p>
    <w:tbl>
      <w:tblPr>
        <w:tblStyle w:val="80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2905"/>
        <w:gridCol w:w="726"/>
        <w:gridCol w:w="839"/>
        <w:gridCol w:w="2064"/>
        <w:gridCol w:w="1633"/>
      </w:tblGrid>
      <w:tr>
        <w:trPr/>
        <w:tc>
          <w:tcPr>
            <w:tcW w:w="463"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序号</w:t>
            </w:r>
            <w:r/>
          </w:p>
        </w:tc>
        <w:tc>
          <w:tcPr>
            <w:tcW w:w="1613"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材料和工程设备名称</w:t>
            </w:r>
            <w:r/>
          </w:p>
        </w:tc>
        <w:tc>
          <w:tcPr>
            <w:tcW w:w="403"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规格</w:t>
            </w:r>
            <w:r/>
          </w:p>
        </w:tc>
        <w:tc>
          <w:tcPr>
            <w:tcW w:w="466"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数量</w:t>
            </w:r>
            <w:r/>
          </w:p>
        </w:tc>
        <w:tc>
          <w:tcPr>
            <w:tcW w:w="1146"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供货厂家名称</w:t>
            </w:r>
            <w:r/>
          </w:p>
        </w:tc>
        <w:tc>
          <w:tcPr>
            <w:tcW w:w="907"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备注</w:t>
            </w:r>
            <w:r/>
          </w:p>
        </w:tc>
      </w:tr>
      <w:tr>
        <w:trPr/>
        <w:tc>
          <w:tcPr>
            <w:tcW w:w="463"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1613"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403"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466"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1146"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907"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r>
      <w:tr>
        <w:trPr/>
        <w:tc>
          <w:tcPr>
            <w:tcW w:w="463"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1613"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403"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466"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1146"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c>
          <w:tcPr>
            <w:tcW w:w="907" w:type="pct"/>
            <w:vAlign w:val="top"/>
            <w:textDirection w:val="lrTb"/>
            <w:noWrap w:val="false"/>
          </w:tcPr>
          <w:p>
            <w:pPr>
              <w:spacing w:line="480" w:lineRule="exact"/>
              <w:rPr>
                <w:rFonts w:ascii="宋体"/>
                <w:color w:val="auto"/>
                <w:sz w:val="24"/>
                <w:highlight w:val="none"/>
              </w:rPr>
            </w:pPr>
            <w:r>
              <w:rPr>
                <w:rFonts w:ascii="宋体"/>
                <w:color w:val="auto"/>
                <w:sz w:val="24"/>
                <w:highlight w:val="none"/>
              </w:rPr>
            </w:r>
            <w:r/>
          </w:p>
        </w:tc>
      </w:tr>
    </w:tbl>
    <w:p>
      <w:pPr>
        <w:ind w:left="239" w:firstLine="120"/>
        <w:spacing w:line="480" w:lineRule="exact"/>
        <w:rPr>
          <w:rFonts w:ascii="宋体" w:hAnsi="Calibri"/>
          <w:b/>
          <w:bCs/>
          <w:color w:val="auto"/>
          <w:sz w:val="24"/>
          <w:highlight w:val="none"/>
        </w:rPr>
      </w:pPr>
      <w:r>
        <w:rPr>
          <w:rFonts w:ascii="宋体" w:hAnsi="宋体" w:cs="宋体"/>
          <w:b/>
          <w:bCs/>
          <w:color w:val="auto"/>
          <w:sz w:val="24"/>
          <w:highlight w:val="none"/>
        </w:rPr>
        <w:t xml:space="preserve">14</w:t>
      </w:r>
      <w:r>
        <w:rPr>
          <w:rFonts w:hint="eastAsia" w:ascii="宋体" w:hAnsi="宋体" w:cs="宋体"/>
          <w:b/>
          <w:bCs/>
          <w:color w:val="auto"/>
          <w:sz w:val="24"/>
          <w:highlight w:val="none"/>
        </w:rPr>
        <w:t xml:space="preserve">、工程开工和完工</w:t>
      </w:r>
      <w:r/>
    </w:p>
    <w:p>
      <w:pPr>
        <w:ind w:left="239" w:firstLine="120"/>
        <w:spacing w:line="480" w:lineRule="exact"/>
        <w:rPr>
          <w:rFonts w:ascii="宋体" w:hAnsi="Calibri"/>
          <w:color w:val="auto"/>
          <w:sz w:val="24"/>
          <w:highlight w:val="none"/>
        </w:rPr>
      </w:pPr>
      <w:r>
        <w:rPr>
          <w:rFonts w:ascii="宋体" w:hAnsi="宋体" w:cs="宋体"/>
          <w:color w:val="auto"/>
          <w:sz w:val="24"/>
          <w:highlight w:val="none"/>
        </w:rPr>
        <w:t xml:space="preserve">14.1</w:t>
      </w:r>
      <w:r>
        <w:rPr>
          <w:rFonts w:hint="eastAsia" w:ascii="宋体" w:hAnsi="宋体" w:cs="宋体"/>
          <w:color w:val="auto"/>
          <w:sz w:val="24"/>
          <w:highlight w:val="none"/>
        </w:rPr>
        <w:t xml:space="preserve">开工通知</w:t>
      </w:r>
      <w:r/>
    </w:p>
    <w:p>
      <w:pPr>
        <w:ind w:left="239" w:firstLine="120"/>
        <w:spacing w:line="480" w:lineRule="exact"/>
        <w:rPr>
          <w:rFonts w:ascii="宋体" w:hAnsi="Calibri"/>
          <w:color w:val="auto"/>
          <w:sz w:val="24"/>
          <w:highlight w:val="none"/>
        </w:rPr>
      </w:pPr>
      <w:r>
        <w:rPr>
          <w:rFonts w:hint="eastAsia" w:ascii="宋体" w:hAnsi="宋体" w:cs="宋体"/>
          <w:color w:val="auto"/>
          <w:sz w:val="24"/>
          <w:highlight w:val="none"/>
        </w:rPr>
        <w:t xml:space="preserve">监理人应在202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日前发出开工通知。</w:t>
      </w:r>
      <w:r/>
    </w:p>
    <w:p>
      <w:pPr>
        <w:ind w:left="239" w:firstLine="120"/>
        <w:spacing w:line="480" w:lineRule="exact"/>
        <w:rPr>
          <w:rFonts w:ascii="宋体" w:hAnsi="Calibri"/>
          <w:color w:val="auto"/>
          <w:sz w:val="24"/>
          <w:highlight w:val="none"/>
        </w:rPr>
      </w:pPr>
      <w:r>
        <w:rPr>
          <w:rFonts w:ascii="宋体" w:hAnsi="宋体" w:cs="宋体"/>
          <w:color w:val="auto"/>
          <w:sz w:val="24"/>
          <w:highlight w:val="none"/>
        </w:rPr>
        <w:t xml:space="preserve">14.2</w:t>
      </w:r>
      <w:r>
        <w:rPr>
          <w:rFonts w:hint="eastAsia" w:ascii="宋体" w:hAnsi="宋体" w:cs="宋体"/>
          <w:color w:val="auto"/>
          <w:sz w:val="24"/>
          <w:highlight w:val="none"/>
        </w:rPr>
        <w:t xml:space="preserve">完工日期</w:t>
      </w:r>
      <w:r/>
    </w:p>
    <w:p>
      <w:pPr>
        <w:ind w:left="239" w:firstLine="120"/>
        <w:spacing w:line="480" w:lineRule="exact"/>
        <w:rPr>
          <w:rFonts w:ascii="宋体" w:hAnsi="Calibri"/>
          <w:color w:val="auto"/>
          <w:sz w:val="24"/>
          <w:highlight w:val="none"/>
        </w:rPr>
      </w:pPr>
      <w:r>
        <w:rPr>
          <w:rFonts w:hint="eastAsia" w:ascii="宋体" w:hAnsi="宋体" w:cs="宋体"/>
          <w:color w:val="auto"/>
          <w:sz w:val="24"/>
          <w:highlight w:val="none"/>
        </w:rPr>
        <w:t xml:space="preserve">本合同全部工程、单位工程和部分工程的要求完工日期如下表。</w:t>
      </w:r>
      <w:r/>
    </w:p>
    <w:p>
      <w:pPr>
        <w:ind w:left="239" w:firstLine="120"/>
        <w:jc w:val="center"/>
        <w:spacing w:line="480" w:lineRule="exact"/>
        <w:rPr>
          <w:rFonts w:ascii="宋体" w:hAnsi="Calibri"/>
          <w:b/>
          <w:bCs/>
          <w:color w:val="auto"/>
          <w:sz w:val="24"/>
          <w:highlight w:val="none"/>
        </w:rPr>
      </w:pPr>
      <w:r>
        <w:rPr>
          <w:rFonts w:hint="eastAsia" w:ascii="宋体" w:hAnsi="宋体" w:cs="宋体"/>
          <w:b/>
          <w:bCs/>
          <w:color w:val="auto"/>
          <w:sz w:val="24"/>
          <w:highlight w:val="none"/>
        </w:rPr>
        <w:t xml:space="preserve">要求完工日期表（参考格式）</w:t>
      </w:r>
      <w:r/>
    </w:p>
    <w:tbl>
      <w:tblPr>
        <w:tblStyle w:val="80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8"/>
        <w:gridCol w:w="3290"/>
        <w:gridCol w:w="3992"/>
      </w:tblGrid>
      <w:tr>
        <w:trPr/>
        <w:tc>
          <w:tcPr>
            <w:tcW w:w="954"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序号</w:t>
            </w:r>
            <w:r/>
          </w:p>
        </w:tc>
        <w:tc>
          <w:tcPr>
            <w:tcW w:w="1827"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项目及其说明</w:t>
            </w:r>
            <w:r/>
          </w:p>
        </w:tc>
        <w:tc>
          <w:tcPr>
            <w:tcW w:w="2217" w:type="pct"/>
            <w:vAlign w:val="top"/>
            <w:textDirection w:val="lrTb"/>
            <w:noWrap w:val="false"/>
          </w:tcPr>
          <w:p>
            <w:pPr>
              <w:jc w:val="center"/>
              <w:spacing w:line="480" w:lineRule="exact"/>
              <w:rPr>
                <w:rFonts w:ascii="宋体"/>
                <w:b/>
                <w:bCs/>
                <w:color w:val="auto"/>
                <w:sz w:val="24"/>
                <w:highlight w:val="none"/>
              </w:rPr>
            </w:pPr>
            <w:r>
              <w:rPr>
                <w:rFonts w:hint="eastAsia" w:ascii="宋体" w:hAnsi="宋体" w:cs="宋体"/>
                <w:b/>
                <w:bCs/>
                <w:color w:val="auto"/>
                <w:sz w:val="24"/>
                <w:highlight w:val="none"/>
              </w:rPr>
              <w:t xml:space="preserve">要求完工日期</w:t>
            </w:r>
            <w:r/>
          </w:p>
        </w:tc>
      </w:tr>
      <w:tr>
        <w:trPr/>
        <w:tc>
          <w:tcPr>
            <w:tcW w:w="954" w:type="pct"/>
            <w:vAlign w:val="top"/>
            <w:textDirection w:val="lrTb"/>
            <w:noWrap w:val="false"/>
          </w:tcPr>
          <w:p>
            <w:pPr>
              <w:jc w:val="center"/>
              <w:spacing w:line="480" w:lineRule="exact"/>
              <w:rPr>
                <w:rFonts w:ascii="宋体"/>
                <w:b/>
                <w:bCs/>
                <w:color w:val="auto"/>
                <w:sz w:val="24"/>
                <w:highlight w:val="none"/>
              </w:rPr>
            </w:pPr>
            <w:r>
              <w:rPr>
                <w:rFonts w:ascii="宋体"/>
                <w:b/>
                <w:bCs/>
                <w:color w:val="auto"/>
                <w:sz w:val="24"/>
                <w:highlight w:val="none"/>
              </w:rPr>
            </w:r>
            <w:r/>
          </w:p>
        </w:tc>
        <w:tc>
          <w:tcPr>
            <w:tcW w:w="1827" w:type="pct"/>
            <w:vAlign w:val="top"/>
            <w:textDirection w:val="lrTb"/>
            <w:noWrap w:val="false"/>
          </w:tcPr>
          <w:p>
            <w:pPr>
              <w:jc w:val="center"/>
              <w:spacing w:line="480" w:lineRule="exact"/>
              <w:rPr>
                <w:rFonts w:ascii="宋体"/>
                <w:b/>
                <w:bCs/>
                <w:color w:val="auto"/>
                <w:sz w:val="24"/>
                <w:highlight w:val="none"/>
              </w:rPr>
            </w:pPr>
            <w:r>
              <w:rPr>
                <w:rFonts w:ascii="宋体"/>
                <w:b/>
                <w:bCs/>
                <w:color w:val="auto"/>
                <w:sz w:val="24"/>
                <w:highlight w:val="none"/>
              </w:rPr>
            </w:r>
            <w:r/>
          </w:p>
        </w:tc>
        <w:tc>
          <w:tcPr>
            <w:tcW w:w="2217" w:type="pct"/>
            <w:vAlign w:val="top"/>
            <w:textDirection w:val="lrTb"/>
            <w:noWrap w:val="false"/>
          </w:tcPr>
          <w:p>
            <w:pPr>
              <w:jc w:val="center"/>
              <w:spacing w:line="480" w:lineRule="exact"/>
              <w:rPr>
                <w:rFonts w:ascii="宋体"/>
                <w:b/>
                <w:bCs/>
                <w:color w:val="auto"/>
                <w:sz w:val="24"/>
                <w:highlight w:val="none"/>
              </w:rPr>
            </w:pPr>
            <w:r>
              <w:rPr>
                <w:rFonts w:ascii="宋体"/>
                <w:b/>
                <w:bCs/>
                <w:color w:val="auto"/>
                <w:sz w:val="24"/>
                <w:highlight w:val="none"/>
              </w:rPr>
            </w:r>
            <w:r/>
          </w:p>
        </w:tc>
      </w:tr>
      <w:tr>
        <w:trPr/>
        <w:tc>
          <w:tcPr>
            <w:tcW w:w="954" w:type="pct"/>
            <w:vAlign w:val="top"/>
            <w:textDirection w:val="lrTb"/>
            <w:noWrap w:val="false"/>
          </w:tcPr>
          <w:p>
            <w:pPr>
              <w:jc w:val="center"/>
              <w:spacing w:line="480" w:lineRule="exact"/>
              <w:rPr>
                <w:rFonts w:ascii="宋体"/>
                <w:b/>
                <w:bCs/>
                <w:color w:val="auto"/>
                <w:sz w:val="24"/>
                <w:highlight w:val="none"/>
              </w:rPr>
            </w:pPr>
            <w:r>
              <w:rPr>
                <w:rFonts w:ascii="宋体"/>
                <w:b/>
                <w:bCs/>
                <w:color w:val="auto"/>
                <w:sz w:val="24"/>
                <w:highlight w:val="none"/>
              </w:rPr>
            </w:r>
            <w:r/>
          </w:p>
        </w:tc>
        <w:tc>
          <w:tcPr>
            <w:tcW w:w="1827" w:type="pct"/>
            <w:vAlign w:val="top"/>
            <w:textDirection w:val="lrTb"/>
            <w:noWrap w:val="false"/>
          </w:tcPr>
          <w:p>
            <w:pPr>
              <w:jc w:val="center"/>
              <w:spacing w:line="480" w:lineRule="exact"/>
              <w:rPr>
                <w:rFonts w:ascii="宋体"/>
                <w:b/>
                <w:bCs/>
                <w:color w:val="auto"/>
                <w:sz w:val="24"/>
                <w:highlight w:val="none"/>
              </w:rPr>
            </w:pPr>
            <w:r>
              <w:rPr>
                <w:rFonts w:ascii="宋体"/>
                <w:b/>
                <w:bCs/>
                <w:color w:val="auto"/>
                <w:sz w:val="24"/>
                <w:highlight w:val="none"/>
              </w:rPr>
            </w:r>
            <w:r/>
          </w:p>
        </w:tc>
        <w:tc>
          <w:tcPr>
            <w:tcW w:w="2217" w:type="pct"/>
            <w:vAlign w:val="top"/>
            <w:textDirection w:val="lrTb"/>
            <w:noWrap w:val="false"/>
          </w:tcPr>
          <w:p>
            <w:pPr>
              <w:jc w:val="center"/>
              <w:spacing w:line="480" w:lineRule="exact"/>
              <w:rPr>
                <w:rFonts w:ascii="宋体"/>
                <w:b/>
                <w:bCs/>
                <w:color w:val="auto"/>
                <w:sz w:val="24"/>
                <w:highlight w:val="none"/>
              </w:rPr>
            </w:pPr>
            <w:r>
              <w:rPr>
                <w:rFonts w:ascii="宋体"/>
                <w:b/>
                <w:bCs/>
                <w:color w:val="auto"/>
                <w:sz w:val="24"/>
                <w:highlight w:val="none"/>
              </w:rPr>
            </w:r>
            <w:r/>
          </w:p>
        </w:tc>
      </w:tr>
    </w:tbl>
    <w:p>
      <w:pPr>
        <w:pStyle w:val="795"/>
        <w:pageBreakBefore w:val="0"/>
        <w:spacing w:line="360" w:lineRule="auto"/>
        <w:widowControl w:val="off"/>
        <w:rPr>
          <w:rFonts w:hint="eastAsia" w:ascii="宋体" w:hAnsi="宋体" w:eastAsia="宋体" w:cs="宋体"/>
          <w:b w:val="0"/>
          <w:color w:val="auto"/>
          <w:sz w:val="24"/>
          <w:szCs w:val="24"/>
          <w:highlight w:val="none"/>
        </w:rPr>
      </w:pPr>
      <w:r/>
      <w:bookmarkStart w:id="154" w:name="_Toc16913"/>
      <w:r/>
      <w:bookmarkStart w:id="155" w:name="_Toc502674995"/>
      <w:r/>
      <w:bookmarkStart w:id="156" w:name="_Toc222290112"/>
      <w:r/>
      <w:bookmarkStart w:id="157" w:name="_Toc237153142"/>
      <w:r/>
      <w:bookmarkStart w:id="158" w:name="_Toc222303300"/>
      <w:r>
        <w:rPr>
          <w:rFonts w:hint="eastAsia" w:ascii="宋体" w:hAnsi="宋体" w:eastAsia="宋体" w:cs="宋体"/>
          <w:b w:val="0"/>
          <w:color w:val="auto"/>
          <w:sz w:val="24"/>
          <w:szCs w:val="24"/>
          <w:highlight w:val="none"/>
        </w:rPr>
        <w:t xml:space="preserve">15．变更</w:t>
      </w:r>
      <w:bookmarkEnd w:id="154"/>
      <w:r/>
      <w:bookmarkEnd w:id="155"/>
      <w:r/>
      <w:bookmarkEnd w:id="156"/>
      <w:r/>
      <w:bookmarkEnd w:id="157"/>
      <w:r/>
      <w:bookmarkEnd w:id="158"/>
      <w:r/>
      <w:r/>
    </w:p>
    <w:p>
      <w:pPr>
        <w:ind w:firstLine="480"/>
        <w:spacing w:line="48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15.1变更的范围和内容</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15.1变更的范围</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工程变更主要包括以下内容：（1）工程设计变更；（2）工程清单漏项（合同签订之日起30日内承包人未向发包人提交图纸与工程量清单的核对结果，不予调整）；（3）不可预见性变更；（4）涉及工程造价、质量标准等政策调整的变更；（5）其他实质性变更。</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承包人不得随意更改设计，因承包人自身原因导致的工程变更，承包人无权要求追加合同价款。发包人（代建单位）书面要求变更的根据《通州区政府投资项目工程变更管理实施细则》（通政办发〔2016〕5号）相关规定办理变更审批事项。</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15.2 变更估价</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15.2.1 变更估价原则</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关于变更估价的约定：因非承包人原因引起工程量发生变化或工程变更引起已标价工程量清单项目或其工程数量发生变化，应按照下列规定调整：</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（1）已标价工程量清单中有适用于变更工程项目的，采用该项目的单价调整。但当工程变更导致该清单项目的工程数量发生变化，为了防止不平衡报价，工程量偏差小于或</w:t>
      </w:r>
      <w:r>
        <w:rPr>
          <w:rFonts w:hint="eastAsia" w:ascii="宋体" w:hAnsi="宋体" w:cs="宋体"/>
          <w:color w:val="auto"/>
          <w:sz w:val="24"/>
          <w:highlight w:val="none"/>
          <w:u w:val="single"/>
        </w:rPr>
        <w:t xml:space="preserve">等于15%的，按投标单价执行。工程量增加超过15%时，投标单价大于标底价*（1-承包人报价浮动率）的，增加超过15%部分的工程量的综合单价按标底价*（1-承包人报价浮动率）；投标单价小于标底价*（1-承包人报价浮动率）的，增加超过15%部分的工程量的综合单价按投标单价执行；当工程量减少超过15%时，投标单价大于标底价*（1-承包人报价浮动率）的，减少超过15%的工程量的综合单价按投标价执行；投标单价小于标底价*（1-承包人报价浮动率），减少超过15%的工程量的综合单价按标底价执行*（1-承包人报价浮动率）。</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注：承包人报价浮动率=（1－中标价/审定标底价即未按控制价调整系数调整前的价格）*100%，下浮率的计算均需扣除暂列金额、暂估价、不可竞争费。</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（2）已标价工程量清单中没有适用但有类似于变更工程项目的，可参照类似清单项目的综合单价进行调整。</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已标价工程量清单中没有适用也没有类似于清单项目的，其相应新增综合单价由承包人按招标控制价编制的原则提出，并原则上依据承包人报价浮动率下浮，经监理工程师审核报发包人认可后作为结算的依据。</w:t>
      </w:r>
      <w:r/>
    </w:p>
    <w:p>
      <w:pPr>
        <w:ind w:firstLine="480"/>
        <w:spacing w:line="480" w:lineRule="exact"/>
        <w:rPr>
          <w:rFonts w:hint="eastAsia" w:ascii="宋体" w:hAnsi="宋体" w:cs="宋体"/>
          <w:b w:val="0"/>
          <w:bCs w:val="0"/>
          <w:color w:val="auto"/>
          <w:sz w:val="24"/>
          <w:highlight w:val="none"/>
          <w:u w:val="single"/>
        </w:rPr>
      </w:pPr>
      <w:r>
        <w:rPr>
          <w:rFonts w:hint="eastAsia" w:ascii="宋体" w:hAnsi="宋体" w:cs="宋体"/>
          <w:color w:val="auto"/>
          <w:sz w:val="24"/>
          <w:highlight w:val="none"/>
          <w:u w:val="single"/>
        </w:rPr>
        <w:t xml:space="preserve">（4）因非承包人原因的工程变更，造成施工组织设计或施工方案变更，引起措施项目发生变化时，措施项目费按下列原</w:t>
      </w:r>
      <w:r>
        <w:rPr>
          <w:rFonts w:hint="eastAsia" w:ascii="宋体" w:hAnsi="宋体" w:cs="宋体"/>
          <w:b w:val="0"/>
          <w:bCs w:val="0"/>
          <w:color w:val="auto"/>
          <w:sz w:val="24"/>
          <w:highlight w:val="none"/>
          <w:u w:val="single"/>
        </w:rPr>
        <w:t xml:space="preserve">则：</w:t>
      </w:r>
      <w:r/>
    </w:p>
    <w:p>
      <w:pPr>
        <w:pStyle w:val="1063"/>
        <w:ind w:firstLine="440"/>
        <w:jc w:val="left"/>
        <w:spacing w:line="440" w:lineRule="exact"/>
        <w:rPr>
          <w:rFonts w:hint="eastAsia"/>
          <w:b w:val="0"/>
          <w:bCs w:val="0"/>
          <w:color w:val="auto"/>
          <w:sz w:val="24"/>
          <w:szCs w:val="24"/>
          <w:highlight w:val="none"/>
          <w:u w:val="single"/>
          <w:lang w:eastAsia="zh-CN"/>
        </w:rPr>
      </w:pPr>
      <w:r>
        <w:rPr>
          <w:rFonts w:hint="eastAsia"/>
          <w:b w:val="0"/>
          <w:bCs w:val="0"/>
          <w:color w:val="auto"/>
          <w:sz w:val="24"/>
          <w:szCs w:val="24"/>
          <w:highlight w:val="none"/>
          <w:u w:val="single"/>
        </w:rPr>
        <w:t xml:space="preserve">总价措施项目的措施费仍按投标人投标时的费率进行调整；总价项目中以费用报价的，按投标时口径折算成费率调整</w:t>
      </w:r>
      <w:r>
        <w:rPr>
          <w:rFonts w:hint="eastAsia"/>
          <w:b w:val="0"/>
          <w:bCs w:val="0"/>
          <w:color w:val="auto"/>
          <w:sz w:val="24"/>
          <w:szCs w:val="24"/>
          <w:highlight w:val="none"/>
          <w:u w:val="single"/>
          <w:lang w:eastAsia="zh-CN"/>
        </w:rPr>
        <w:t xml:space="preserve">。</w:t>
      </w:r>
      <w:r/>
    </w:p>
    <w:p>
      <w:pPr>
        <w:ind w:firstLine="470"/>
        <w:spacing w:line="440" w:lineRule="exact"/>
        <w:tabs>
          <w:tab w:val="left" w:pos="820" w:leader="none"/>
        </w:tabs>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单价措施项目的措施费发生关联变化时，按《江苏省水利工程预算定额（2010）版》规定组价的措施项目按原组价方法调整，未按《江苏省水利工程预算定额（2010）版》规定组价的措施项目按投标人投标时价格折算成费率调整；原措施费中没有的措施项目，由承包人根据措施项目变更情况，提出适当的措施费变更要求，经发包人确认后调整。</w:t>
      </w:r>
      <w:r/>
    </w:p>
    <w:p>
      <w:pPr>
        <w:ind w:firstLine="470"/>
        <w:spacing w:line="440" w:lineRule="exact"/>
        <w:tabs>
          <w:tab w:val="left" w:pos="820" w:leader="none"/>
        </w:tabs>
        <w:rPr>
          <w:rFonts w:hint="eastAsia" w:ascii="宋体" w:hAnsi="宋体" w:cs="宋体"/>
          <w:b w:val="0"/>
          <w:bCs w:val="0"/>
          <w:color w:val="auto"/>
          <w:sz w:val="24"/>
          <w:szCs w:val="24"/>
          <w:highlight w:val="none"/>
          <w:u w:val="single"/>
        </w:rPr>
      </w:pPr>
      <w:r>
        <w:rPr>
          <w:rFonts w:hint="eastAsia" w:ascii="宋体" w:hAnsi="宋体" w:cs="宋体"/>
          <w:b w:val="0"/>
          <w:bCs w:val="0"/>
          <w:color w:val="auto"/>
          <w:sz w:val="24"/>
          <w:szCs w:val="24"/>
          <w:highlight w:val="none"/>
          <w:u w:val="single"/>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w:t>
      </w:r>
      <w:r/>
    </w:p>
    <w:p>
      <w:pPr>
        <w:ind w:firstLine="470"/>
        <w:spacing w:line="440" w:lineRule="exact"/>
        <w:tabs>
          <w:tab w:val="left" w:pos="82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如果承包人未事先将拟实施的方案提交给发包人确认，则应视为工程变更不引起措施项目费的调整或承包人放弃调整措施项目费的权利。</w:t>
      </w:r>
      <w:r/>
    </w:p>
    <w:p>
      <w:pPr>
        <w:pStyle w:val="1063"/>
        <w:ind w:firstLine="440"/>
        <w:jc w:val="left"/>
        <w:spacing w:line="440" w:lineRule="exact"/>
        <w:rPr>
          <w:rFonts w:hint="eastAsia"/>
          <w:color w:val="auto"/>
          <w:sz w:val="24"/>
          <w:szCs w:val="24"/>
          <w:highlight w:val="none"/>
          <w:u w:val="single"/>
        </w:rPr>
      </w:pPr>
      <w:r>
        <w:rPr>
          <w:rFonts w:hint="eastAsia"/>
          <w:color w:val="auto"/>
          <w:sz w:val="24"/>
          <w:szCs w:val="24"/>
          <w:highlight w:val="none"/>
          <w:u w:val="single"/>
          <w:lang w:val="en-US" w:eastAsia="en-US"/>
        </w:rPr>
        <w:t xml:space="preserve">若发包人确认调整措施项目费的，</w:t>
      </w:r>
      <w:r>
        <w:rPr>
          <w:rFonts w:hint="eastAsia"/>
          <w:color w:val="auto"/>
          <w:sz w:val="24"/>
          <w:szCs w:val="24"/>
          <w:highlight w:val="none"/>
          <w:u w:val="single"/>
        </w:rPr>
        <w:t xml:space="preserve">应考虑承包人报价浮动因素，即调整金额按照实际调整金额乘以承包人报价浮动率计算。</w:t>
      </w:r>
      <w:r/>
    </w:p>
    <w:p>
      <w:pPr>
        <w:ind w:firstLine="470"/>
        <w:spacing w:line="440" w:lineRule="exact"/>
        <w:tabs>
          <w:tab w:val="left" w:pos="82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（5）结算时，除上述原因引起施工方案改变外，承包人不得以招标工程措施项目清单缺项为由要求新增措施项目。</w:t>
      </w:r>
      <w:r/>
    </w:p>
    <w:p>
      <w:pPr>
        <w:ind w:firstLine="470"/>
        <w:spacing w:line="440" w:lineRule="exact"/>
        <w:tabs>
          <w:tab w:val="left" w:pos="820" w:leader="none"/>
        </w:tabs>
        <w:rPr>
          <w:rFonts w:ascii="宋体" w:hAnsi="宋体" w:cs="宋体"/>
          <w:color w:val="auto"/>
          <w:sz w:val="24"/>
          <w:highlight w:val="none"/>
        </w:rPr>
      </w:pPr>
      <w:r>
        <w:rPr>
          <w:rFonts w:hint="eastAsia" w:ascii="宋体" w:hAnsi="宋体" w:cs="宋体"/>
          <w:color w:val="auto"/>
          <w:sz w:val="24"/>
          <w:highlight w:val="none"/>
          <w:u w:val="single"/>
        </w:rPr>
        <w:t xml:space="preserve">（6）每项工程变更增加价款5000元以内不予调整，减少价款按合同约定条款执行。</w:t>
      </w:r>
      <w:r/>
    </w:p>
    <w:p>
      <w:pPr>
        <w:ind w:firstLine="470"/>
        <w:spacing w:line="440" w:lineRule="exact"/>
        <w:tabs>
          <w:tab w:val="left" w:pos="820" w:leader="none"/>
        </w:tabs>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15.3 价格调整</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15.3.1 市场价格波动引起的调整</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市场价格波动是否调整合同价格的约定：否。</w:t>
      </w:r>
      <w:r/>
    </w:p>
    <w:p>
      <w:pPr>
        <w:ind w:firstLine="480"/>
        <w:spacing w:line="480" w:lineRule="exact"/>
        <w:rPr>
          <w:rFonts w:ascii="宋体" w:hAnsi="宋体" w:cs="宋体"/>
          <w:color w:val="auto"/>
          <w:sz w:val="24"/>
          <w:highlight w:val="none"/>
          <w:u w:val="single"/>
        </w:rPr>
      </w:pPr>
      <w:r>
        <w:rPr>
          <w:rFonts w:ascii="宋体" w:hAnsi="宋体" w:cs="宋体"/>
          <w:color w:val="auto"/>
          <w:sz w:val="24"/>
          <w:highlight w:val="none"/>
          <w:u w:val="single"/>
        </w:rPr>
        <w:t xml:space="preserve">15.3.2 政策性</w:t>
      </w:r>
      <w:r>
        <w:rPr>
          <w:rFonts w:hint="eastAsia" w:ascii="宋体" w:hAnsi="宋体" w:cs="宋体"/>
          <w:color w:val="auto"/>
          <w:sz w:val="24"/>
          <w:highlight w:val="none"/>
          <w:u w:val="single"/>
        </w:rPr>
        <w:t xml:space="preserve">文件</w:t>
      </w:r>
      <w:r>
        <w:rPr>
          <w:rFonts w:ascii="宋体" w:hAnsi="宋体" w:cs="宋体"/>
          <w:color w:val="auto"/>
          <w:sz w:val="24"/>
          <w:highlight w:val="none"/>
          <w:u w:val="single"/>
        </w:rPr>
        <w:t xml:space="preserve">引起的人工单价调整</w:t>
      </w:r>
      <w:r/>
    </w:p>
    <w:p>
      <w:pPr>
        <w:ind w:firstLine="470"/>
        <w:pageBreakBefore w:val="0"/>
        <w:spacing w:line="360" w:lineRule="auto"/>
        <w:widowControl w:val="off"/>
        <w:rPr>
          <w:rFonts w:hint="eastAsia" w:ascii="宋体" w:hAnsi="宋体" w:eastAsia="宋体" w:cs="宋体"/>
          <w:color w:val="auto"/>
          <w:sz w:val="21"/>
          <w:szCs w:val="21"/>
          <w:highlight w:val="none"/>
        </w:rPr>
      </w:pPr>
      <w:r>
        <w:rPr>
          <w:rFonts w:ascii="宋体" w:hAnsi="宋体" w:cs="宋体"/>
          <w:color w:val="auto"/>
          <w:sz w:val="24"/>
          <w:highlight w:val="none"/>
          <w:u w:val="single"/>
        </w:rPr>
        <w:t xml:space="preserve">政策性</w:t>
      </w:r>
      <w:r>
        <w:rPr>
          <w:rFonts w:hint="eastAsia" w:ascii="宋体" w:hAnsi="宋体" w:cs="宋体"/>
          <w:color w:val="auto"/>
          <w:sz w:val="24"/>
          <w:highlight w:val="none"/>
          <w:u w:val="single"/>
        </w:rPr>
        <w:t xml:space="preserve">文件</w:t>
      </w:r>
      <w:r>
        <w:rPr>
          <w:rFonts w:ascii="宋体" w:hAnsi="宋体" w:cs="宋体"/>
          <w:color w:val="auto"/>
          <w:sz w:val="24"/>
          <w:highlight w:val="none"/>
          <w:u w:val="single"/>
        </w:rPr>
        <w:t xml:space="preserve">引起的人工单价</w:t>
      </w:r>
      <w:r>
        <w:rPr>
          <w:rFonts w:hint="eastAsia" w:ascii="宋体" w:hAnsi="宋体" w:cs="宋体"/>
          <w:color w:val="auto"/>
          <w:sz w:val="24"/>
          <w:highlight w:val="none"/>
          <w:u w:val="single"/>
        </w:rPr>
        <w:t xml:space="preserve">变化</w:t>
      </w:r>
      <w:r>
        <w:rPr>
          <w:rFonts w:ascii="宋体" w:hAnsi="宋体" w:cs="宋体"/>
          <w:color w:val="auto"/>
          <w:sz w:val="24"/>
          <w:highlight w:val="none"/>
          <w:u w:val="single"/>
        </w:rPr>
        <w:t xml:space="preserve">是否调整合同价格的约定：否。</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16</w:t>
      </w:r>
      <w:r>
        <w:rPr>
          <w:rFonts w:hint="eastAsia" w:ascii="宋体" w:hAnsi="宋体" w:cs="宋体"/>
          <w:b/>
          <w:bCs/>
          <w:color w:val="auto"/>
          <w:sz w:val="24"/>
          <w:highlight w:val="none"/>
        </w:rPr>
        <w:t xml:space="preserve">、竣工验收</w:t>
      </w:r>
      <w:r/>
    </w:p>
    <w:p>
      <w:pPr>
        <w:ind w:firstLine="480"/>
        <w:spacing w:line="480" w:lineRule="exact"/>
        <w:rPr>
          <w:rFonts w:ascii="宋体" w:hAnsi="Calibri"/>
          <w:color w:val="auto"/>
          <w:sz w:val="24"/>
          <w:highlight w:val="none"/>
          <w:u w:val="single"/>
        </w:rPr>
      </w:pPr>
      <w:r>
        <w:rPr>
          <w:rFonts w:ascii="宋体" w:hAnsi="宋体" w:cs="宋体"/>
          <w:color w:val="auto"/>
          <w:sz w:val="24"/>
          <w:highlight w:val="none"/>
        </w:rPr>
        <w:t xml:space="preserve">16.1</w:t>
      </w:r>
      <w:r>
        <w:rPr>
          <w:rFonts w:hint="eastAsia" w:ascii="宋体" w:hAnsi="宋体" w:cs="宋体"/>
          <w:color w:val="auto"/>
          <w:sz w:val="24"/>
          <w:highlight w:val="none"/>
        </w:rPr>
        <w:t xml:space="preserve">承包人提供竣工图的约定：</w:t>
      </w:r>
      <w:r/>
    </w:p>
    <w:p>
      <w:pPr>
        <w:ind w:firstLine="480"/>
        <w:spacing w:line="480" w:lineRule="exact"/>
        <w:rPr>
          <w:rFonts w:ascii="宋体" w:hAnsi="Calibri"/>
          <w:b/>
          <w:bCs/>
          <w:color w:val="auto"/>
          <w:sz w:val="24"/>
          <w:highlight w:val="none"/>
          <w:u w:val="single"/>
        </w:rPr>
      </w:pPr>
      <w:r>
        <w:rPr>
          <w:rFonts w:ascii="宋体" w:hAnsi="宋体" w:cs="宋体"/>
          <w:color w:val="auto"/>
          <w:sz w:val="24"/>
          <w:highlight w:val="none"/>
        </w:rPr>
        <w:t xml:space="preserve">16.2</w:t>
      </w:r>
      <w:r>
        <w:rPr>
          <w:rFonts w:hint="eastAsia" w:ascii="宋体" w:hAnsi="宋体" w:cs="宋体"/>
          <w:color w:val="auto"/>
          <w:sz w:val="24"/>
          <w:highlight w:val="none"/>
        </w:rPr>
        <w:t xml:space="preserve">中间交工工程的范围和竣工时间：</w:t>
      </w:r>
      <w:r/>
    </w:p>
    <w:p>
      <w:pPr>
        <w:ind w:firstLine="482"/>
        <w:spacing w:line="480" w:lineRule="exact"/>
        <w:rPr>
          <w:rFonts w:ascii="宋体" w:hAnsi="Calibri"/>
          <w:b/>
          <w:bCs/>
          <w:color w:val="auto"/>
          <w:sz w:val="24"/>
          <w:highlight w:val="none"/>
        </w:rPr>
      </w:pPr>
      <w:r>
        <w:rPr>
          <w:rFonts w:ascii="宋体" w:hAnsi="宋体" w:cs="宋体"/>
          <w:b/>
          <w:bCs/>
          <w:color w:val="auto"/>
          <w:sz w:val="24"/>
          <w:highlight w:val="none"/>
        </w:rPr>
        <w:t xml:space="preserve">17</w:t>
      </w:r>
      <w:r>
        <w:rPr>
          <w:rFonts w:hint="eastAsia" w:ascii="宋体" w:hAnsi="宋体" w:cs="宋体"/>
          <w:b/>
          <w:bCs/>
          <w:color w:val="auto"/>
          <w:sz w:val="24"/>
          <w:highlight w:val="none"/>
        </w:rPr>
        <w:t xml:space="preserve">、竣工结算</w:t>
      </w:r>
      <w:r/>
    </w:p>
    <w:p>
      <w:pPr>
        <w:ind w:firstLine="480"/>
        <w:spacing w:line="480" w:lineRule="exact"/>
        <w:rPr>
          <w:rFonts w:ascii="宋体" w:hAnsi="Calibri"/>
          <w:color w:val="auto"/>
          <w:sz w:val="24"/>
          <w:szCs w:val="24"/>
          <w:highlight w:val="none"/>
        </w:rPr>
      </w:pPr>
      <w:r>
        <w:rPr>
          <w:rFonts w:ascii="宋体" w:hAnsi="宋体" w:cs="宋体"/>
          <w:color w:val="auto"/>
          <w:sz w:val="24"/>
          <w:highlight w:val="none"/>
        </w:rPr>
        <w:t xml:space="preserve">17.1</w:t>
      </w:r>
      <w:r>
        <w:rPr>
          <w:rFonts w:hint="eastAsia" w:ascii="宋体" w:hAnsi="宋体" w:cs="宋体"/>
          <w:color w:val="auto"/>
          <w:sz w:val="24"/>
          <w:highlight w:val="none"/>
        </w:rPr>
        <w:t xml:space="preserve">竣工结算资料必须在竣</w:t>
      </w:r>
      <w:r>
        <w:rPr>
          <w:rFonts w:hint="eastAsia" w:ascii="宋体" w:hAnsi="宋体" w:cs="宋体"/>
          <w:color w:val="auto"/>
          <w:sz w:val="24"/>
          <w:szCs w:val="24"/>
          <w:highlight w:val="none"/>
        </w:rPr>
        <w:t xml:space="preserve">工后3个月内交付。竣工结算的审核单位由发包人指定，审核期为发包人收到完整的竣工结算资料后的</w:t>
      </w:r>
      <w:r>
        <w:rPr>
          <w:rFonts w:hint="eastAsia" w:ascii="宋体" w:hAnsi="宋体" w:cs="宋体"/>
          <w:b/>
          <w:bCs/>
          <w:color w:val="auto"/>
          <w:sz w:val="24"/>
          <w:szCs w:val="24"/>
          <w:highlight w:val="none"/>
        </w:rPr>
        <w:t xml:space="preserve">6个月</w:t>
      </w:r>
      <w:r>
        <w:rPr>
          <w:rFonts w:hint="eastAsia" w:ascii="宋体" w:hAnsi="宋体" w:cs="宋体"/>
          <w:color w:val="auto"/>
          <w:sz w:val="24"/>
          <w:szCs w:val="24"/>
          <w:highlight w:val="none"/>
        </w:rPr>
        <w:t xml:space="preserve">内。</w:t>
      </w:r>
      <w:r/>
    </w:p>
    <w:p>
      <w:pPr>
        <w:ind w:firstLine="472"/>
        <w:jc w:val="left"/>
        <w:spacing w:line="480" w:lineRule="exact"/>
        <w:widowControl/>
        <w:rPr>
          <w:rFonts w:ascii="宋体" w:hAnsi="Calibri"/>
          <w:color w:val="auto"/>
          <w:spacing w:val="-2"/>
          <w:sz w:val="24"/>
          <w:szCs w:val="24"/>
          <w:highlight w:val="none"/>
        </w:rPr>
      </w:pPr>
      <w:r>
        <w:rPr>
          <w:rFonts w:ascii="宋体" w:hAnsi="宋体" w:cs="宋体"/>
          <w:color w:val="auto"/>
          <w:spacing w:val="-2"/>
          <w:sz w:val="24"/>
          <w:szCs w:val="24"/>
          <w:highlight w:val="none"/>
        </w:rPr>
        <w:t xml:space="preserve">17.2</w:t>
      </w:r>
      <w:r>
        <w:rPr>
          <w:rFonts w:hint="eastAsia" w:ascii="宋体" w:hAnsi="宋体" w:cs="宋体"/>
          <w:color w:val="auto"/>
          <w:spacing w:val="-2"/>
          <w:sz w:val="24"/>
          <w:szCs w:val="24"/>
          <w:highlight w:val="none"/>
        </w:rPr>
        <w:t xml:space="preserve">竣工结算价的组成</w:t>
      </w:r>
      <w:r/>
    </w:p>
    <w:p>
      <w:pPr>
        <w:ind w:firstLine="472"/>
        <w:spacing w:line="480" w:lineRule="exact"/>
        <w:rPr>
          <w:color w:val="auto"/>
          <w:highlight w:val="none"/>
        </w:rPr>
      </w:pPr>
      <w:r>
        <w:rPr>
          <w:rFonts w:hint="eastAsia" w:ascii="宋体" w:hAnsi="宋体" w:cs="宋体"/>
          <w:color w:val="auto"/>
          <w:spacing w:val="-2"/>
          <w:sz w:val="24"/>
          <w:highlight w:val="none"/>
          <w:u w:val="single"/>
        </w:rPr>
        <w:t xml:space="preserve">（根据工程具体情况补充）</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18</w:t>
      </w:r>
      <w:r>
        <w:rPr>
          <w:rFonts w:hint="eastAsia" w:ascii="宋体" w:hAnsi="宋体" w:cs="宋体"/>
          <w:b/>
          <w:bCs/>
          <w:color w:val="auto"/>
          <w:sz w:val="24"/>
          <w:highlight w:val="none"/>
        </w:rPr>
        <w:t xml:space="preserve">、违约责任</w:t>
      </w:r>
      <w:r/>
    </w:p>
    <w:p>
      <w:pPr>
        <w:ind w:firstLine="480"/>
        <w:spacing w:line="480" w:lineRule="exact"/>
        <w:rPr>
          <w:rFonts w:ascii="宋体" w:hAnsi="Calibri"/>
          <w:color w:val="auto"/>
          <w:sz w:val="24"/>
          <w:highlight w:val="none"/>
        </w:rPr>
      </w:pPr>
      <w:r>
        <w:rPr>
          <w:rFonts w:ascii="宋体" w:hAnsi="宋体" w:cs="宋体"/>
          <w:color w:val="auto"/>
          <w:sz w:val="24"/>
          <w:highlight w:val="none"/>
        </w:rPr>
        <w:t xml:space="preserve">18.1</w:t>
      </w:r>
      <w:r>
        <w:rPr>
          <w:rFonts w:hint="eastAsia" w:ascii="宋体" w:hAnsi="宋体" w:cs="宋体"/>
          <w:color w:val="auto"/>
          <w:sz w:val="24"/>
          <w:highlight w:val="none"/>
        </w:rPr>
        <w:t xml:space="preserve">发包人违约。</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当发生下列情况时，发包人应承担的违约责任：</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）发包人不按时支付工程预付款，按应付工程预付款同期银行贷款利率承担违约责任。</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）发包人不按合同约定支付工程款，导致施工无法进行，发包人按应付工程款同期银行贷款利率承担违约责任。</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）发包人拖延支付工程竣工结算价款，由发包人按应付工程竣工结算价款同期银行贷款利率承担违约责任。</w:t>
      </w:r>
      <w:r/>
    </w:p>
    <w:p>
      <w:pPr>
        <w:ind w:firstLine="480"/>
        <w:spacing w:line="480" w:lineRule="exact"/>
        <w:rPr>
          <w:rFonts w:ascii="宋体" w:hAnsi="Calibri"/>
          <w:color w:val="auto"/>
          <w:sz w:val="24"/>
          <w:highlight w:val="none"/>
        </w:rPr>
      </w:pPr>
      <w:r>
        <w:rPr>
          <w:rFonts w:ascii="宋体" w:hAnsi="宋体" w:cs="宋体"/>
          <w:color w:val="auto"/>
          <w:sz w:val="24"/>
          <w:highlight w:val="none"/>
        </w:rPr>
        <w:t xml:space="preserve">18.2</w:t>
      </w:r>
      <w:r>
        <w:rPr>
          <w:rFonts w:hint="eastAsia" w:ascii="宋体" w:hAnsi="宋体" w:cs="宋体"/>
          <w:color w:val="auto"/>
          <w:sz w:val="24"/>
          <w:highlight w:val="none"/>
        </w:rPr>
        <w:t xml:space="preserve">承包人违约。</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当发生下列情况时，承包人应承担的违约责任：</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）因承包人原因不能按照合同约定的日期</w:t>
      </w:r>
      <w:r>
        <w:rPr>
          <w:rFonts w:hint="eastAsia" w:ascii="宋体" w:hAnsi="宋体" w:cs="宋体"/>
          <w:b/>
          <w:bCs/>
          <w:color w:val="auto"/>
          <w:sz w:val="24"/>
          <w:highlight w:val="none"/>
          <w:u w:val="single"/>
        </w:rPr>
        <w:t xml:space="preserve">完</w:t>
      </w:r>
      <w:r>
        <w:rPr>
          <w:rFonts w:ascii="宋体" w:hAnsi="宋体" w:cs="宋体"/>
          <w:b/>
          <w:bCs/>
          <w:color w:val="auto"/>
          <w:sz w:val="24"/>
          <w:highlight w:val="none"/>
          <w:u w:val="single"/>
        </w:rPr>
        <w:t xml:space="preserve">/</w:t>
      </w:r>
      <w:r>
        <w:rPr>
          <w:rFonts w:hint="eastAsia" w:ascii="宋体" w:hAnsi="宋体" w:cs="宋体"/>
          <w:b/>
          <w:bCs/>
          <w:color w:val="auto"/>
          <w:sz w:val="24"/>
          <w:highlight w:val="none"/>
          <w:u w:val="single"/>
        </w:rPr>
        <w:t xml:space="preserve">竣</w:t>
      </w:r>
      <w:r>
        <w:rPr>
          <w:rFonts w:hint="eastAsia" w:ascii="宋体" w:hAnsi="宋体" w:cs="宋体"/>
          <w:color w:val="auto"/>
          <w:sz w:val="24"/>
          <w:highlight w:val="none"/>
        </w:rPr>
        <w:t xml:space="preserve">工或工程师同意调整的工期</w:t>
      </w:r>
      <w:r>
        <w:rPr>
          <w:rFonts w:hint="eastAsia" w:ascii="宋体" w:hAnsi="宋体" w:cs="宋体"/>
          <w:b/>
          <w:bCs/>
          <w:color w:val="auto"/>
          <w:sz w:val="24"/>
          <w:highlight w:val="none"/>
          <w:u w:val="single"/>
        </w:rPr>
        <w:t xml:space="preserve">完</w:t>
      </w:r>
      <w:r>
        <w:rPr>
          <w:rFonts w:ascii="宋体" w:hAnsi="宋体" w:cs="宋体"/>
          <w:b/>
          <w:bCs/>
          <w:color w:val="auto"/>
          <w:sz w:val="24"/>
          <w:highlight w:val="none"/>
          <w:u w:val="single"/>
        </w:rPr>
        <w:t xml:space="preserve">/</w:t>
      </w:r>
      <w:r>
        <w:rPr>
          <w:rFonts w:hint="eastAsia" w:ascii="宋体" w:hAnsi="宋体" w:cs="宋体"/>
          <w:b/>
          <w:bCs/>
          <w:color w:val="auto"/>
          <w:sz w:val="24"/>
          <w:highlight w:val="none"/>
          <w:u w:val="single"/>
        </w:rPr>
        <w:t xml:space="preserve">竣</w:t>
      </w:r>
      <w:r>
        <w:rPr>
          <w:rFonts w:hint="eastAsia" w:ascii="宋体" w:hAnsi="宋体" w:cs="宋体"/>
          <w:color w:val="auto"/>
          <w:sz w:val="24"/>
          <w:highlight w:val="none"/>
        </w:rPr>
        <w:t xml:space="preserve">工，应承担的违约责任：除没收工期履约保证金外，每延误一天赔偿1000元，但误期赔偿最高不超过合同价款的2</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（2）因承包人原因工程质量达不到协议书约定的质量标准，应承担的违约责任：工程质量达不到合格要求时，承包人负责返工直至达到合格并没收质量履约保证金且由承包人承担合同价款3%的损失赔偿。</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承包人不履行合同义务或不按合同约定履行义务的其他情况和应承担的违约责任：①项目经理每月出勤少于22天，没收项目经理到场保证金。②未经发包人同意，承包人擅自将工程分包、转包的，发包人有权解除合同，承包人无条件退场，已完工程量不予结算，并赔偿由此给发包人造成的损失。③未履行好安全管理职责，在施工过程中发生1人以上重伤事故的，除没收安全履约保证金外，发包人有权视情况向承包人收取合同价款1</w:t>
      </w:r>
      <w:r>
        <w:rPr>
          <w:rFonts w:ascii="宋体" w:hAnsi="宋体" w:cs="宋体"/>
          <w:color w:val="auto"/>
          <w:sz w:val="24"/>
          <w:highlight w:val="none"/>
        </w:rPr>
        <w:t xml:space="preserve">%</w:t>
      </w:r>
      <w:r>
        <w:rPr>
          <w:rFonts w:hint="eastAsia" w:ascii="宋体" w:hAnsi="宋体" w:cs="宋体"/>
          <w:color w:val="auto"/>
          <w:sz w:val="24"/>
          <w:highlight w:val="none"/>
        </w:rPr>
        <w:t xml:space="preserve">的违约金，直至终止合同，已完工程量不予结算，并勒令退场。④施工中因承包人自身原因不能履行合同，致使工程停工，发包人有权解除合同，另行安排施工单位，承包人已完成的工程量作为违约赔偿金赔偿发包人的损失。</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承包人更换项目经理的违约责任：承包人响应文件中的项目经理不得更换。如更换，必须经发包人同意，同时承包人须向发包人支付违约金20000元/人次，且发包人有权解除合同，限令退场，并由承包人承担由此发生的全部责任和损失。</w:t>
      </w:r>
      <w:r/>
    </w:p>
    <w:p>
      <w:pPr>
        <w:pStyle w:val="1064"/>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承包人更换技术负责人及施工管理人员的违约责任：承包人在施工合同签订时提供的施工管理人员不得更换。如更换，必须经发包人同意，同时承包人须向发包人支付违约金5000元/人次，且发包人有权解除合同，限令退场，并由承包人承担由此发生的全部责任和损失。</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承包人项目经理、技术负责人及主要施工管理人员离开施工现场的批准要求：离开施工现场必须书面请假，请假1天的，向总监理工程师请假并获得书面同意，请假2天及以上的，应向发包人请假并获得书面同意，每月请假次数原则上不得多于3次。</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（7）承包人项目经理、技术负责人及主要施工管理人员擅自离开施工现场的违约责任：</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1）项目经理每月必须有22天且每天满8小时在施工现场，否则每缺勤一天，承包人向发包人支付违约金500元；</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2）技术负责人每月有22天且每天满8小时在施工现场，否则每缺勤一天，承包人向发包人支付违约金300元；</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3）主要施工管理人员每月有22天且每天满8小时在施工现场，否则每缺勤一天，承包人向发包人支付违约金100元；</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采用上下班考勤打卡制度。</w:t>
      </w:r>
      <w:r/>
    </w:p>
    <w:p>
      <w:pPr>
        <w:ind w:firstLine="480"/>
        <w:spacing w:line="480" w:lineRule="exact"/>
        <w:rPr>
          <w:rFonts w:hint="eastAsia" w:ascii="宋体" w:hAnsi="宋体" w:cs="宋体"/>
          <w:color w:val="auto"/>
          <w:sz w:val="24"/>
          <w:highlight w:val="none"/>
        </w:rPr>
      </w:pPr>
      <w:r>
        <w:rPr>
          <w:rFonts w:ascii="宋体" w:hAnsi="宋体" w:cs="宋体"/>
          <w:color w:val="auto"/>
          <w:sz w:val="24"/>
          <w:highlight w:val="none"/>
        </w:rPr>
        <w:t xml:space="preserve">18.3</w:t>
      </w:r>
      <w:r>
        <w:rPr>
          <w:rFonts w:hint="eastAsia" w:ascii="宋体" w:hAnsi="宋体" w:cs="宋体"/>
          <w:color w:val="auto"/>
          <w:sz w:val="24"/>
          <w:highlight w:val="none"/>
        </w:rPr>
        <w:t xml:space="preserve">一方违约后，另一方要求违约方继续履行合同时，违约方承担上述违约责任后仍应继续履行合同。</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t xml:space="preserve">18.4因承包人违约解除合同</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t xml:space="preserve">关于承包人违约解除合同的特别约定：发包人依约依法解除合同后，承包人均应在解除合同之日起7日内清场完毕，承包人不及时清场的，按每天5000元计算违约金。因承包人的违约行为导致合同解除，承包人已完工程量根据监理工程师和发包人已签认的《已完工程量报表》确定并按其70%计价结算，承包人放弃任何损失赔偿。其他条款对合同解除有特别约定的，从其特别约定。</w:t>
      </w:r>
      <w:r/>
    </w:p>
    <w:p>
      <w:pPr>
        <w:pStyle w:val="83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18.5承包人违约的，承担合同金额20％的违约金，不足弥补发包方损失的应当补足，同时应当承担发包方的维权费用，包括但不限于律师费、差旅费、保全保险费、鉴定费、仲裁费、公证费、执行费、财产处置费用、评估费、拍卖费、送达费、公告费等。</w:t>
      </w:r>
      <w:r/>
    </w:p>
    <w:p>
      <w:pPr>
        <w:pStyle w:val="830"/>
        <w:rPr>
          <w:rFonts w:hint="default" w:eastAsia="宋体"/>
          <w:color w:val="auto"/>
          <w:highlight w:val="none"/>
          <w:lang w:val="en-US" w:eastAsia="zh-CN"/>
        </w:rPr>
      </w:pPr>
      <w:r>
        <w:rPr>
          <w:rFonts w:hint="default" w:eastAsia="宋体"/>
          <w:color w:val="auto"/>
          <w:highlight w:val="none"/>
          <w:lang w:val="en-US" w:eastAsia="zh-CN"/>
        </w:rPr>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19</w:t>
      </w:r>
      <w:r>
        <w:rPr>
          <w:rFonts w:hint="eastAsia" w:ascii="宋体" w:hAnsi="宋体" w:cs="宋体"/>
          <w:b/>
          <w:bCs/>
          <w:color w:val="auto"/>
          <w:sz w:val="24"/>
          <w:highlight w:val="none"/>
        </w:rPr>
        <w:t xml:space="preserve">、争议</w:t>
      </w:r>
      <w:r/>
    </w:p>
    <w:p>
      <w:pPr>
        <w:ind w:firstLine="480"/>
        <w:spacing w:line="480" w:lineRule="exact"/>
        <w:rPr>
          <w:rFonts w:hint="eastAsia" w:ascii="宋体" w:hAnsi="Calibri"/>
          <w:color w:val="auto"/>
          <w:sz w:val="24"/>
          <w:highlight w:val="none"/>
        </w:rPr>
      </w:pPr>
      <w:r>
        <w:rPr>
          <w:rFonts w:ascii="宋体" w:hAnsi="宋体" w:cs="宋体"/>
          <w:color w:val="auto"/>
          <w:sz w:val="24"/>
          <w:highlight w:val="none"/>
        </w:rPr>
        <w:t xml:space="preserve">19.1</w:t>
      </w:r>
      <w:r>
        <w:rPr>
          <w:rFonts w:hint="eastAsia" w:ascii="宋体" w:hAnsi="宋体" w:cs="宋体"/>
          <w:color w:val="auto"/>
          <w:sz w:val="24"/>
          <w:highlight w:val="none"/>
        </w:rPr>
        <w:t xml:space="preserve">双方约定，在履行合同过程中产生争议时：向南通市通州区人民法院提请诉讼。</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20</w:t>
      </w:r>
      <w:r>
        <w:rPr>
          <w:rFonts w:hint="eastAsia" w:ascii="宋体" w:hAnsi="宋体" w:cs="宋体"/>
          <w:b/>
          <w:bCs/>
          <w:color w:val="auto"/>
          <w:sz w:val="24"/>
          <w:highlight w:val="none"/>
        </w:rPr>
        <w:t xml:space="preserve">、工程分包</w:t>
      </w:r>
      <w:r/>
    </w:p>
    <w:p>
      <w:pPr>
        <w:ind w:firstLine="480"/>
        <w:spacing w:line="480" w:lineRule="exact"/>
        <w:rPr>
          <w:rFonts w:hint="eastAsia" w:ascii="宋体" w:hAnsi="Calibri"/>
          <w:b/>
          <w:bCs/>
          <w:color w:val="auto"/>
          <w:sz w:val="24"/>
          <w:highlight w:val="none"/>
          <w:u w:val="single"/>
        </w:rPr>
      </w:pPr>
      <w:r>
        <w:rPr>
          <w:rFonts w:ascii="宋体" w:hAnsi="宋体" w:cs="宋体"/>
          <w:color w:val="auto"/>
          <w:sz w:val="24"/>
          <w:highlight w:val="none"/>
        </w:rPr>
        <w:t xml:space="preserve">20.1</w:t>
      </w:r>
      <w:r>
        <w:rPr>
          <w:rFonts w:hint="eastAsia" w:ascii="宋体" w:hAnsi="宋体" w:cs="宋体"/>
          <w:color w:val="auto"/>
          <w:sz w:val="24"/>
          <w:highlight w:val="none"/>
        </w:rPr>
        <w:t xml:space="preserve">本工程发包人同意承包人分包的工程：</w:t>
      </w:r>
      <w:r>
        <w:rPr>
          <w:rFonts w:hint="eastAsia"/>
          <w:color w:val="auto"/>
          <w:highlight w:val="none"/>
        </w:rPr>
        <w:t xml:space="preserve">/</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21</w:t>
      </w:r>
      <w:r>
        <w:rPr>
          <w:rFonts w:hint="eastAsia" w:ascii="宋体" w:hAnsi="宋体" w:cs="宋体"/>
          <w:b/>
          <w:bCs/>
          <w:color w:val="auto"/>
          <w:sz w:val="24"/>
          <w:highlight w:val="none"/>
        </w:rPr>
        <w:t xml:space="preserve">、不可抗力</w:t>
      </w:r>
      <w:r/>
    </w:p>
    <w:p>
      <w:pPr>
        <w:ind w:firstLine="480"/>
        <w:spacing w:line="480" w:lineRule="exact"/>
        <w:rPr>
          <w:rFonts w:hint="eastAsia" w:ascii="宋体" w:hAnsi="宋体" w:cs="宋体"/>
          <w:color w:val="auto"/>
          <w:sz w:val="24"/>
          <w:highlight w:val="none"/>
        </w:rPr>
      </w:pPr>
      <w:r>
        <w:rPr>
          <w:rFonts w:ascii="宋体" w:hAnsi="宋体" w:cs="宋体"/>
          <w:color w:val="auto"/>
          <w:sz w:val="24"/>
          <w:highlight w:val="none"/>
        </w:rPr>
        <w:t xml:space="preserve">21.1</w:t>
      </w:r>
      <w:r>
        <w:rPr>
          <w:rFonts w:hint="eastAsia" w:ascii="宋体" w:hAnsi="宋体" w:cs="宋体"/>
          <w:color w:val="auto"/>
          <w:sz w:val="24"/>
          <w:highlight w:val="none"/>
        </w:rPr>
        <w:t xml:space="preserve">双方关于不可抗力的约定：除非合同另有约定，不可抗力系指发包人和承包人都不可预见、不可避免、不能克服的超出认识控制和防范能力的事件，不可抗力可以包括（但不限于）下列情况：</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（1）战争、敌对行动（不论宣战与否）、入侵、外敌行动；</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（2）叛乱、革命、暴动或军事政变或篡夺政权，或内战；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（3）暴乱、骚乱或混乱，但对于完全局限在承包人或其分包人雇用人员内部并且是由于从事本工程而发生的事件除外；</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（4）离子辐射、放射性污染、重大疫情；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（5）以音速或超音速飞行的飞机或其他飞行装置产生的压力波，飞行器坠落；</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（6）自然灾害（地震、洪水、海啸、飓风、超强台风、雷击等）；</w:t>
      </w:r>
      <w:r/>
    </w:p>
    <w:p>
      <w:pPr>
        <w:ind w:firstLine="480"/>
        <w:spacing w:line="480" w:lineRule="exact"/>
        <w:rPr>
          <w:rFonts w:ascii="宋体" w:hAnsi="Calibri"/>
          <w:color w:val="auto"/>
          <w:sz w:val="24"/>
          <w:highlight w:val="none"/>
          <w:u w:val="single"/>
        </w:rPr>
      </w:pPr>
      <w:r>
        <w:rPr>
          <w:rFonts w:hint="eastAsia" w:ascii="宋体" w:hAnsi="宋体" w:cs="宋体"/>
          <w:color w:val="auto"/>
          <w:sz w:val="24"/>
          <w:highlight w:val="none"/>
        </w:rPr>
        <w:t xml:space="preserve">（7）市级以上建设有权部门认定的不可抗力事件。</w:t>
      </w:r>
      <w:r/>
    </w:p>
    <w:p>
      <w:pPr>
        <w:ind w:firstLine="482"/>
        <w:spacing w:line="480" w:lineRule="exact"/>
        <w:rPr>
          <w:rFonts w:hint="eastAsia" w:ascii="宋体" w:hAnsi="Calibri"/>
          <w:b/>
          <w:bCs/>
          <w:color w:val="auto"/>
          <w:sz w:val="24"/>
          <w:highlight w:val="none"/>
        </w:rPr>
      </w:pPr>
      <w:r>
        <w:rPr>
          <w:rFonts w:ascii="宋体" w:hAnsi="宋体" w:cs="宋体"/>
          <w:b/>
          <w:bCs/>
          <w:color w:val="auto"/>
          <w:sz w:val="24"/>
          <w:highlight w:val="none"/>
        </w:rPr>
        <w:t xml:space="preserve">22</w:t>
      </w:r>
      <w:r>
        <w:rPr>
          <w:rFonts w:hint="eastAsia" w:ascii="宋体" w:hAnsi="宋体" w:cs="宋体"/>
          <w:b/>
          <w:bCs/>
          <w:color w:val="auto"/>
          <w:sz w:val="24"/>
          <w:highlight w:val="none"/>
        </w:rPr>
        <w:t xml:space="preserve">、其他约定</w:t>
      </w:r>
      <w:r/>
    </w:p>
    <w:p>
      <w:pPr>
        <w:pStyle w:val="830"/>
        <w:ind w:firstLine="480"/>
        <w:rPr>
          <w:rFonts w:hint="eastAsia" w:ascii="宋体" w:hAnsi="宋体" w:cs="宋体"/>
          <w:color w:val="auto"/>
          <w:highlight w:val="none"/>
        </w:rPr>
      </w:pPr>
      <w:r>
        <w:rPr>
          <w:rFonts w:hint="eastAsia" w:ascii="宋体" w:hAnsi="宋体" w:cs="宋体"/>
          <w:color w:val="auto"/>
          <w:highlight w:val="none"/>
        </w:rPr>
        <w:t xml:space="preserve">22.1承包人应积极配合审计并及时给予修正和确认，承包人不配合、不及时修正、不及时确认的，发包人有权相应顺延审计期；工程结算发生的全部审计费均由承包人支付；</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22.2根据通政办发〔2012〕10号文件要求，承包人上报工程结算审计核减率超过5%时，承包人须按照核减数的3%向发包人支付违约金。</w:t>
      </w:r>
      <w:r/>
    </w:p>
    <w:p>
      <w:pPr>
        <w:ind w:firstLine="482"/>
        <w:spacing w:line="48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22.3隐蔽工程出现变更，承包人未向发包人报告自行隐蔽，检查时返工所发生的费用（如检查费用、返工费用、材料费用等）全部由承包人负担，承包人还应承担工期延误的违约责任。</w:t>
      </w:r>
      <w:r/>
    </w:p>
    <w:p>
      <w:pPr>
        <w:ind w:firstLine="482"/>
        <w:spacing w:line="480" w:lineRule="exact"/>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22.4 本项目缺陷责任期（质量保修期）为24个月。缺陷责任期（质量保修期）自合同工程验收合格之日起计算。</w:t>
      </w:r>
      <w:r/>
    </w:p>
    <w:p>
      <w:pPr>
        <w:ind w:firstLine="482"/>
        <w:spacing w:line="48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22.5在工程实施期间，经上级部门、发包人检查发现承包人存在合同条款中明确规定并列出的不规范行为的，发包人将按合同条款规定追究承包人违约责任，承包人存在合同条款中未明确、未列出的不规范行为的，按融</w:t>
      </w:r>
      <w:r>
        <w:rPr>
          <w:rFonts w:hint="eastAsia" w:ascii="宋体" w:hAnsi="宋体" w:cs="宋体"/>
          <w:b/>
          <w:bCs/>
          <w:color w:val="auto"/>
          <w:sz w:val="24"/>
          <w:highlight w:val="none"/>
          <w:u w:val="single"/>
          <w:lang w:val="en-US" w:eastAsia="zh-CN"/>
        </w:rPr>
        <w:t xml:space="preserve">达</w:t>
      </w:r>
      <w:r>
        <w:rPr>
          <w:rFonts w:hint="eastAsia" w:ascii="宋体" w:hAnsi="宋体" w:cs="宋体"/>
          <w:b/>
          <w:bCs/>
          <w:color w:val="auto"/>
          <w:sz w:val="24"/>
          <w:highlight w:val="none"/>
          <w:u w:val="single"/>
        </w:rPr>
        <w:t xml:space="preserve">集团建设管理中心相关文件制度执行。如果融</w:t>
      </w:r>
      <w:r>
        <w:rPr>
          <w:rFonts w:hint="eastAsia" w:ascii="宋体" w:hAnsi="宋体" w:cs="宋体"/>
          <w:b/>
          <w:bCs/>
          <w:color w:val="auto"/>
          <w:sz w:val="24"/>
          <w:highlight w:val="none"/>
          <w:u w:val="single"/>
          <w:lang w:val="en-US" w:eastAsia="zh-CN"/>
        </w:rPr>
        <w:t xml:space="preserve">达</w:t>
      </w:r>
      <w:r>
        <w:rPr>
          <w:rFonts w:hint="eastAsia" w:ascii="宋体" w:hAnsi="宋体" w:cs="宋体"/>
          <w:b/>
          <w:bCs/>
          <w:color w:val="auto"/>
          <w:sz w:val="24"/>
          <w:highlight w:val="none"/>
          <w:u w:val="single"/>
        </w:rPr>
        <w:t xml:space="preserve">集团建设管理中心相关文件制度与合同条款处罚重叠，按从重处罚执行。</w:t>
      </w:r>
      <w:r/>
    </w:p>
    <w:p>
      <w:pPr>
        <w:ind w:firstLine="482"/>
        <w:spacing w:line="48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对上述合同文本，发包人保留根据工程需要对合同文本进行进一步修改完善的权利，承包人必须对发包人合同文本的修改完善认可。</w:t>
      </w:r>
      <w:r/>
    </w:p>
    <w:p>
      <w:pPr>
        <w:ind w:firstLine="480"/>
        <w:spacing w:line="480" w:lineRule="exact"/>
        <w:rPr>
          <w:rFonts w:ascii="宋体" w:hAnsi="Calibri"/>
          <w:color w:val="auto"/>
          <w:sz w:val="24"/>
          <w:highlight w:val="none"/>
        </w:rPr>
      </w:pPr>
      <w:r>
        <w:rPr>
          <w:rFonts w:hint="eastAsia" w:ascii="宋体" w:hAnsi="宋体" w:cs="宋体"/>
          <w:color w:val="auto"/>
          <w:sz w:val="24"/>
          <w:highlight w:val="none"/>
          <w:u w:val="single"/>
        </w:rPr>
        <w:t xml:space="preserve">（除上述约定外，根据工程具体情况需要双方约定的其他事项）。</w:t>
      </w:r>
      <w:r/>
    </w:p>
    <w:p>
      <w:pPr>
        <w:spacing w:line="500" w:lineRule="exact"/>
        <w:rPr>
          <w:rFonts w:hint="eastAsia" w:ascii="宋体" w:hAnsi="宋体" w:cs="宋体"/>
          <w:b/>
          <w:color w:val="auto"/>
          <w:sz w:val="24"/>
          <w:highlight w:val="none"/>
        </w:rPr>
        <w:outlineLvl w:val="3"/>
      </w:pPr>
      <w:r/>
      <w:bookmarkStart w:id="159" w:name="_Toc144974831"/>
      <w:r/>
      <w:bookmarkStart w:id="160" w:name="_Toc168476291"/>
      <w:r/>
      <w:bookmarkStart w:id="161" w:name="_Toc168475888"/>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w:t>
      </w:r>
      <w:bookmarkEnd w:id="159"/>
      <w:r/>
      <w:bookmarkEnd w:id="160"/>
      <w:r/>
      <w:bookmarkEnd w:id="161"/>
      <w:r>
        <w:rPr>
          <w:rFonts w:hint="eastAsia" w:ascii="宋体" w:hAnsi="宋体" w:cs="宋体"/>
          <w:b/>
          <w:color w:val="auto"/>
          <w:sz w:val="24"/>
          <w:highlight w:val="none"/>
        </w:rPr>
        <w:t xml:space="preserve">派驻人员的承诺</w:t>
      </w:r>
      <w:r/>
    </w:p>
    <w:p>
      <w:pPr>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关于项目管理机构派驻人员的承诺</w:t>
      </w:r>
      <w:r/>
    </w:p>
    <w:p>
      <w:pPr>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rPr>
        <w:t xml:space="preserve">（发包人名称）：</w:t>
      </w:r>
      <w:r/>
    </w:p>
    <w:p>
      <w:pPr>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480"/>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我公司若中标，项目经理、技术负责人、主要项目组人员不予易人。在施工期内每月在工地时间不少于22天。</w:t>
      </w:r>
      <w:r/>
    </w:p>
    <w:p>
      <w:pPr>
        <w:ind w:firstLine="4373"/>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承诺人：（盖单位章）</w:t>
      </w:r>
      <w:r/>
    </w:p>
    <w:p>
      <w:pPr>
        <w:ind w:firstLine="4373"/>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法定代表人：（</w:t>
      </w:r>
      <w:r>
        <w:rPr>
          <w:rFonts w:hint="eastAsia" w:ascii="宋体" w:hAnsi="宋体" w:cs="宋体"/>
          <w:color w:val="auto"/>
          <w:sz w:val="24"/>
          <w:szCs w:val="28"/>
          <w:highlight w:val="none"/>
          <w:lang w:eastAsia="zh-CN"/>
        </w:rPr>
        <w:t xml:space="preserve">签字或印鉴</w:t>
      </w:r>
      <w:r>
        <w:rPr>
          <w:rFonts w:hint="eastAsia" w:ascii="宋体" w:hAnsi="宋体" w:cs="宋体"/>
          <w:color w:val="auto"/>
          <w:sz w:val="24"/>
          <w:szCs w:val="28"/>
          <w:highlight w:val="none"/>
        </w:rPr>
        <w:t xml:space="preserve">）</w:t>
      </w:r>
      <w:r/>
    </w:p>
    <w:p>
      <w:pPr>
        <w:ind w:firstLine="4373"/>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地址：</w:t>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p>
    <w:p>
      <w:pPr>
        <w:ind w:firstLine="4373"/>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邮政编码：</w:t>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rPr>
          <w:rFonts w:hint="eastAsia" w:ascii="宋体" w:hAnsi="宋体" w:cs="宋体"/>
          <w:color w:val="auto"/>
          <w:sz w:val="24"/>
          <w:szCs w:val="28"/>
          <w:highlight w:val="none"/>
          <w:u w:val="single"/>
        </w:rPr>
        <w:tab/>
      </w:r>
      <w:r/>
    </w:p>
    <w:p>
      <w:pPr>
        <w:ind w:firstLine="4373"/>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电话：</w:t>
      </w:r>
      <w:r/>
    </w:p>
    <w:p>
      <w:pPr>
        <w:ind w:firstLine="4373"/>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传真：</w:t>
      </w:r>
      <w:r/>
    </w:p>
    <w:p>
      <w:pPr>
        <w:ind w:firstLine="5508"/>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firstLine="5508"/>
        <w:spacing w:line="44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年  月  日</w:t>
      </w:r>
      <w:r/>
    </w:p>
    <w:p>
      <w:pPr>
        <w:jc w:val="left"/>
        <w:spacing w:line="500" w:lineRule="exact"/>
        <w:rPr>
          <w:rFonts w:ascii="宋体" w:hAnsi="宋体" w:cs="宋体"/>
          <w:b/>
          <w:color w:val="auto"/>
          <w:sz w:val="24"/>
          <w:highlight w:val="none"/>
        </w:rPr>
        <w:outlineLvl w:val="3"/>
      </w:pPr>
      <w:r/>
      <w:bookmarkStart w:id="162" w:name="_Toc308304917"/>
      <w:r>
        <w:rPr>
          <w:rFonts w:ascii="宋体" w:hAnsi="宋体" w:cs="宋体"/>
          <w:b/>
          <w:color w:val="auto"/>
          <w:sz w:val="24"/>
          <w:highlight w:val="none"/>
        </w:rPr>
        <w:br w:type="page" w:clear="all"/>
      </w:r>
      <w:r>
        <w:rPr>
          <w:rFonts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2</w:t>
      </w:r>
      <w:r>
        <w:rPr>
          <w:rFonts w:ascii="宋体" w:hAnsi="宋体" w:cs="宋体"/>
          <w:b/>
          <w:color w:val="auto"/>
          <w:sz w:val="24"/>
          <w:highlight w:val="none"/>
        </w:rPr>
        <w:t xml:space="preserve">：</w:t>
      </w:r>
      <w:r>
        <w:rPr>
          <w:rFonts w:hint="eastAsia" w:ascii="宋体" w:hAnsi="宋体" w:cs="宋体"/>
          <w:b/>
          <w:color w:val="auto"/>
          <w:sz w:val="24"/>
          <w:highlight w:val="none"/>
        </w:rPr>
        <w:t xml:space="preserve">廉政合同</w:t>
      </w:r>
      <w:bookmarkEnd w:id="162"/>
      <w:r/>
      <w:r/>
    </w:p>
    <w:p>
      <w:pPr>
        <w:jc w:val="center"/>
        <w:rPr>
          <w:rFonts w:ascii="Calibri" w:hAnsi="Calibri"/>
          <w:b/>
          <w:color w:val="auto"/>
          <w:sz w:val="48"/>
          <w:szCs w:val="48"/>
          <w:highlight w:val="none"/>
        </w:rPr>
      </w:pPr>
      <w:r/>
      <w:bookmarkStart w:id="163" w:name="_Toc308304918"/>
      <w:r/>
      <w:bookmarkStart w:id="164" w:name="_Toc249518765"/>
      <w:r/>
      <w:bookmarkStart w:id="165" w:name="_Toc237153208"/>
      <w:r/>
      <w:bookmarkStart w:id="166" w:name="_Toc222303364"/>
      <w:r>
        <w:rPr>
          <w:rFonts w:hint="eastAsia" w:ascii="Calibri" w:hAnsi="Calibri"/>
          <w:b/>
          <w:color w:val="auto"/>
          <w:sz w:val="48"/>
          <w:szCs w:val="48"/>
          <w:highlight w:val="none"/>
        </w:rPr>
        <w:t xml:space="preserve">廉政合同</w:t>
      </w:r>
      <w:r/>
    </w:p>
    <w:p>
      <w:pPr>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发包人：（简称甲方）</w:t>
      </w:r>
      <w:r/>
    </w:p>
    <w:p>
      <w:pPr>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承包人：（简称乙方）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为做好工程建设中的党风廉政建设，保证工程建设高效优质，保证建设资金的安全和有效使用以及投资效益，根据《通州区重大工程预防职务犯罪工作实施办法》的有关规定，特订立如下廉政合同：</w:t>
      </w:r>
      <w:r/>
    </w:p>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1、甲乙双方的权利和义务</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（1）严格遵守党的政策规定和国家有关法律法规及水利主管部门的有关规定。</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（2）严格执行好合同文件，自觉按合同办事。</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（3）双方的业务活动坚持公开、公正、诚信、透明的原则（法律认定的商业秘密和合同文件另有规定除外），不得损害国家和集体利益，违反工程建设管理规章制度。</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（4）建立健全廉政制度，开展廉政教育，设计廉政告示牌，公布举报电话，监督并认真查处违法违纪行为。</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（5）发现对方在业务活动中有违反廉政规定的行为，有及时提醒对方纠正的权利和义务。</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（6）发现对方严重违反合同义务条款的行为，有向其上级有关部门举报、建议给予处理并要求告知处理结果的权利。</w:t>
      </w:r>
      <w:r/>
    </w:p>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2、甲方的义务</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（1）甲方及其工作人员不得索要或接受乙方的礼金、有价证券和贵重物品，不得在乙方报销任何应由甲方或甲方工作人员个人支付的费用等。</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（2）甲方工作人员不得参加乙方安排的超标准宴请和娱乐活动；不得接受乙方提供的通讯工具、交通工具和高档办公用品等。</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（3）甲方及其工作人员不得要求或者接受乙方为其住房装修、婚丧嫁娶活动、配偶子女的工作安排以及出国出境、旅游等提供方便等。</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（4）甲方工作人员及其配偶、子女不得从事与甲方工程有关的材料设备供应、工程分包、劳务等经济活动等。</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（5）甲方及其工作人员不得以任何理由向乙方推荐分包单位或推销材料，不得要求乙方购买合同规定外的材料和设备。</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（6）甲方工作人员要秉公办事，不准营私舞弊，不准利用职权从事各种个人有偿中介活动和安排个人施工队伍。</w:t>
      </w:r>
      <w:r/>
    </w:p>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3、乙方的义务</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（1）乙方不得以任何理由向甲方及其工作人员行贿或馈赠礼金、有价证券、贵重礼品。</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（2）乙方不得以任何名义为甲方及其工作人员报销应由甲方单位或个人支付的任何费用。</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（3）乙方不得以任何理由安排甲方工作人员参加超标准宴请及娱乐活动。</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（4）乙方不得为甲方单位和个人购置或提拱通讯工具、交通工具和高档办公用品等。</w:t>
      </w:r>
      <w:r/>
    </w:p>
    <w:p>
      <w:pPr>
        <w:ind w:firstLine="482"/>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4、违约责任</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3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及其工作人员违反本合同第一、三条，按管理权限，依据有关规定给予党纪、政纪组织处理；给甲方单位造成经济损失的，应予以赔偿；情节严重的，甲方建议水利工程建设主管部门给予乙方一至三年内不得进入其主管的水利工程建设市场的处罚。</w:t>
      </w:r>
      <w:r/>
    </w:p>
    <w:p>
      <w:pPr>
        <w:ind w:firstLine="482"/>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5、双方约定：</w:t>
      </w:r>
      <w:r>
        <w:rPr>
          <w:rFonts w:hint="eastAsia" w:ascii="宋体" w:hAnsi="宋体" w:cs="宋体"/>
          <w:color w:val="auto"/>
          <w:sz w:val="24"/>
          <w:highlight w:val="none"/>
        </w:rPr>
        <w:t xml:space="preserve">本合同由监督方负责监督执行。</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6、本合同有效期为双方签署之日起至该工程项目完（竣）工验收后止。</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7、本合同作为施工合同的附件，与工程施工合同具有同等的法律效力，经合同双方签署立即生效。</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8、本合同份数与主合同一致，由双方法定代表人或其授权的代理人签署与加盖公章后生效，全部工程竣工验收后失效。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1066"/>
        <w:tblW w:w="4997"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390"/>
        <w:gridCol w:w="4393"/>
      </w:tblGrid>
      <w:tr>
        <w:trPr>
          <w:trHeight w:val="317"/>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2"/>
                <w:sz w:val="24"/>
                <w:szCs w:val="24"/>
                <w:highlight w:val="none"/>
                <w:lang w:val="en-US" w:eastAsia="zh-CN"/>
              </w:rPr>
              <w:t xml:space="preserve">发包人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盖章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2"/>
                <w:sz w:val="24"/>
                <w:szCs w:val="24"/>
                <w:highlight w:val="none"/>
                <w:lang w:val="en-US" w:eastAsia="zh-CN"/>
              </w:rPr>
              <w:t xml:space="preserve">承包人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盖章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w:t>
            </w:r>
            <w:r/>
          </w:p>
        </w:tc>
      </w:tr>
      <w:tr>
        <w:trPr>
          <w:trHeight w:val="4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cs="宋体"/>
                <w:color w:val="auto"/>
                <w:spacing w:val="-1"/>
                <w:sz w:val="24"/>
                <w:szCs w:val="24"/>
                <w:highlight w:val="none"/>
                <w:lang w:val="en-US" w:eastAsia="zh-CN"/>
              </w:rPr>
              <w:t xml:space="preserve">或</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cs="宋体"/>
                <w:color w:val="auto"/>
                <w:spacing w:val="-1"/>
                <w:sz w:val="24"/>
                <w:szCs w:val="24"/>
                <w:highlight w:val="none"/>
                <w:lang w:val="en-US" w:eastAsia="zh-CN"/>
              </w:rPr>
              <w:t xml:space="preserve">或</w:t>
            </w:r>
            <w:r/>
          </w:p>
        </w:tc>
      </w:tr>
      <w:tr>
        <w:trPr>
          <w:trHeight w:val="408"/>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1"/>
                <w:sz w:val="24"/>
                <w:szCs w:val="24"/>
                <w:highlight w:val="none"/>
                <w:lang w:val="en-US" w:eastAsia="zh-CN"/>
              </w:rPr>
              <w:t xml:space="preserve">其委托</w:t>
            </w:r>
            <w:r>
              <w:rPr>
                <w:rFonts w:hint="eastAsia" w:ascii="宋体" w:hAnsi="宋体" w:eastAsia="宋体" w:cs="宋体"/>
                <w:color w:val="auto"/>
                <w:spacing w:val="-1"/>
                <w:sz w:val="24"/>
                <w:szCs w:val="24"/>
                <w:highlight w:val="none"/>
              </w:rPr>
              <w:t xml:space="preserve">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w:t>
            </w:r>
            <w:r>
              <w:rPr>
                <w:rFonts w:hint="eastAsia" w:cs="宋体"/>
                <w:color w:val="auto"/>
                <w:spacing w:val="-1"/>
                <w:sz w:val="24"/>
                <w:szCs w:val="24"/>
                <w:highlight w:val="none"/>
                <w:lang w:val="en-US" w:eastAsia="zh-CN"/>
              </w:rPr>
              <w:t xml:space="preserve">字或印鉴</w:t>
            </w:r>
            <w:r>
              <w:rPr>
                <w:rFonts w:hint="eastAsia" w:ascii="宋体" w:hAnsi="宋体" w:eastAsia="宋体" w:cs="宋体"/>
                <w:color w:val="auto"/>
                <w:spacing w:val="-1"/>
                <w:sz w:val="24"/>
                <w:szCs w:val="24"/>
                <w:highlight w:val="none"/>
                <w:lang w:eastAsia="zh-CN"/>
              </w:rPr>
              <w:t xml:space="preserve">）：</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1"/>
                <w:sz w:val="24"/>
                <w:szCs w:val="24"/>
                <w:highlight w:val="none"/>
                <w:lang w:val="en-US" w:eastAsia="zh-CN"/>
              </w:rPr>
              <w:t xml:space="preserve">其</w:t>
            </w:r>
            <w:r>
              <w:rPr>
                <w:rFonts w:hint="eastAsia" w:cs="宋体"/>
                <w:color w:val="auto"/>
                <w:spacing w:val="-2"/>
                <w:sz w:val="24"/>
                <w:szCs w:val="24"/>
                <w:highlight w:val="none"/>
                <w:lang w:val="en-US" w:eastAsia="zh-CN"/>
              </w:rPr>
              <w:t xml:space="preserve">委托</w:t>
            </w:r>
            <w:r>
              <w:rPr>
                <w:rFonts w:hint="eastAsia" w:ascii="宋体" w:hAnsi="宋体" w:eastAsia="宋体" w:cs="宋体"/>
                <w:color w:val="auto"/>
                <w:spacing w:val="-2"/>
                <w:sz w:val="24"/>
                <w:szCs w:val="24"/>
                <w:highlight w:val="none"/>
              </w:rPr>
              <w:t xml:space="preserve">代理人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签</w:t>
            </w:r>
            <w:r>
              <w:rPr>
                <w:rFonts w:hint="eastAsia" w:cs="宋体"/>
                <w:color w:val="auto"/>
                <w:spacing w:val="-2"/>
                <w:sz w:val="24"/>
                <w:szCs w:val="24"/>
                <w:highlight w:val="none"/>
                <w:lang w:val="en-US" w:eastAsia="zh-CN"/>
              </w:rPr>
              <w:t xml:space="preserve">字或印鉴</w:t>
            </w:r>
            <w:r>
              <w:rPr>
                <w:rFonts w:hint="eastAsia" w:ascii="宋体" w:hAnsi="宋体" w:eastAsia="宋体" w:cs="宋体"/>
                <w:color w:val="auto"/>
                <w:spacing w:val="-2"/>
                <w:sz w:val="24"/>
                <w:szCs w:val="24"/>
                <w:highlight w:val="none"/>
                <w:lang w:eastAsia="zh-CN"/>
              </w:rPr>
              <w:t xml:space="preserve">）：</w:t>
            </w:r>
            <w:r/>
          </w:p>
        </w:tc>
      </w:tr>
      <w:tr>
        <w:trPr>
          <w:trHeight w:val="401"/>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单位地址：</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单位地址：</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联系电话：</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联系电话：</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r>
            <w:r/>
          </w:p>
        </w:tc>
      </w:tr>
    </w:tbl>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360" w:firstLine="4920"/>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360" w:firstLine="4920"/>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日期：年月日</w:t>
      </w:r>
      <w:r/>
    </w:p>
    <w:p>
      <w:pPr>
        <w:rPr>
          <w:rFonts w:hint="eastAsia" w:ascii="宋体" w:hAnsi="宋体" w:cs="宋体"/>
          <w:b/>
          <w:color w:val="auto"/>
          <w:sz w:val="24"/>
          <w:highlight w:val="none"/>
        </w:rPr>
      </w:pPr>
      <w:r>
        <w:rPr>
          <w:rFonts w:hint="eastAsia" w:ascii="黑体" w:hAnsi="Calibri" w:eastAsia="黑体"/>
          <w:color w:val="auto"/>
          <w:sz w:val="44"/>
          <w:szCs w:val="44"/>
          <w:highlight w:val="none"/>
        </w:rPr>
        <w:br w:type="page" w:clear="all"/>
      </w:r>
      <w:bookmarkEnd w:id="163"/>
      <w:r/>
      <w:bookmarkEnd w:id="164"/>
      <w:r/>
      <w:bookmarkEnd w:id="165"/>
      <w:r/>
      <w:bookmarkEnd w:id="166"/>
      <w:r/>
      <w:bookmarkStart w:id="167" w:name="_Toc249518766"/>
      <w:r/>
      <w:bookmarkStart w:id="168" w:name="_Toc237153209"/>
      <w:r/>
      <w:bookmarkStart w:id="169" w:name="_Toc308304919"/>
      <w:r>
        <w:rPr>
          <w:rFonts w:ascii="宋体" w:hAnsi="宋体" w:cs="宋体"/>
          <w:b/>
          <w:color w:val="auto"/>
          <w:sz w:val="24"/>
          <w:highlight w:val="none"/>
        </w:rPr>
        <w:t xml:space="preserve">附件</w:t>
      </w:r>
      <w:r>
        <w:rPr>
          <w:rFonts w:hint="eastAsia" w:ascii="宋体" w:hAnsi="宋体" w:cs="宋体"/>
          <w:b/>
          <w:color w:val="auto"/>
          <w:sz w:val="24"/>
          <w:highlight w:val="none"/>
          <w:lang w:val="en-US" w:eastAsia="zh-CN"/>
        </w:rPr>
        <w:t xml:space="preserve">3</w:t>
      </w:r>
      <w:r>
        <w:rPr>
          <w:rFonts w:ascii="宋体" w:hAnsi="宋体" w:cs="宋体"/>
          <w:b/>
          <w:color w:val="auto"/>
          <w:sz w:val="24"/>
          <w:highlight w:val="none"/>
        </w:rPr>
        <w:t xml:space="preserve">：</w:t>
      </w:r>
      <w:bookmarkEnd w:id="167"/>
      <w:r/>
      <w:bookmarkEnd w:id="168"/>
      <w:r/>
      <w:bookmarkEnd w:id="169"/>
      <w:r/>
      <w:bookmarkStart w:id="170" w:name="_Toc308304920"/>
      <w:r>
        <w:rPr>
          <w:rFonts w:hint="eastAsia" w:ascii="宋体" w:hAnsi="宋体" w:cs="宋体"/>
          <w:b/>
          <w:color w:val="auto"/>
          <w:sz w:val="24"/>
          <w:highlight w:val="none"/>
        </w:rPr>
        <w:t xml:space="preserve">工程安全生产合同</w:t>
      </w:r>
      <w:bookmarkEnd w:id="170"/>
      <w:r/>
      <w:r/>
    </w:p>
    <w:p>
      <w:pPr>
        <w:jc w:val="center"/>
        <w:spacing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工程</w:t>
      </w:r>
      <w:r>
        <w:rPr>
          <w:rFonts w:ascii="宋体" w:hAnsi="宋体"/>
          <w:b/>
          <w:color w:val="auto"/>
          <w:sz w:val="32"/>
          <w:szCs w:val="32"/>
          <w:highlight w:val="none"/>
        </w:rPr>
        <w:t xml:space="preserve">安全</w:t>
      </w:r>
      <w:r>
        <w:rPr>
          <w:rFonts w:hint="eastAsia" w:ascii="宋体" w:hAnsi="宋体"/>
          <w:b/>
          <w:color w:val="auto"/>
          <w:sz w:val="32"/>
          <w:szCs w:val="32"/>
          <w:highlight w:val="none"/>
        </w:rPr>
        <w:t xml:space="preserve">生产</w:t>
      </w:r>
      <w:r>
        <w:rPr>
          <w:rFonts w:ascii="宋体" w:hAnsi="宋体"/>
          <w:b/>
          <w:color w:val="auto"/>
          <w:sz w:val="32"/>
          <w:szCs w:val="32"/>
          <w:highlight w:val="none"/>
        </w:rPr>
        <w:t xml:space="preserve">合同</w:t>
      </w:r>
      <w:r/>
    </w:p>
    <w:p>
      <w:pPr>
        <w:jc w:val="center"/>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（发包人与</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发包人：（以下简称“甲方”）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承包人：（以下简称“乙方”）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为在合同的实施过程中创造安全、高效的施工环境，切实搞好本项目的安全管理工作，特此签订安全生产合同。具体如下：</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一、甲方职责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1．严格遵守国家有关安全生产的法律法规，认真执行工程承包合同中的有关安全要求。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2．按照“安全第一、预防为主”和坚持“管生产必需管安全”的原则进行安全生产管理，做到生产与安全工作同时计划、布置、检查、总结和评比。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3．定期召开安全生产协调会，及时传达中央和地方有关安全生产的精神。</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4．组织对乙方施工现场安全生产检查，建立安全生产责任制网络、汇总重要危险源、监督乙方及时处理发现的各种安全隐患。</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二、乙方职责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1．严格遵守国家有关安全生产的法律法规、有关安全生产的规定，认真执行工程承包合同中的有关安全要求，接受甲方和监理工程师对安全生产工作的指导。</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4．乙方在任何时候都应采取各种合理的预防措施，防止其人员发生任何违法、违禁、暴力、违规或妨碍治安的行为。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6．加强施工中交通运输安全管理，各种运输机械等需划定运输路线行驶。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7．对于易燃易爆的材料除应专门有效封闭、妥善保管之外，还应配备有足够的消防设施，所有施工人员都应熟悉消防设备的性能和使用方法。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8．操作人员上岗，必须按规定穿戴防护用品。施工负责人和安全检查员应随时检查劳动防护用品的穿戴情况，不按规定穿戴防护用品的人员不得上岗。</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10．施工现场必须具有相关的安全标志牌。</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11．建立主要危险源备案制度，要明确潜在隐患、防范措施和落实责任人。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三、违约责任</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如因甲方或乙方违约造成安全事故，均分别报请有关部门依法追究责任。</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本合同份数与主合同一致，由双方法定代表人或其授权的代理人签署与加盖公章后生效，全部工程竣工验收后失效。</w:t>
      </w:r>
      <w:r/>
    </w:p>
    <w:tbl>
      <w:tblPr>
        <w:tblStyle w:val="1066"/>
        <w:tblW w:w="4997"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390"/>
        <w:gridCol w:w="4393"/>
      </w:tblGrid>
      <w:tr>
        <w:trPr>
          <w:trHeight w:val="317"/>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2"/>
                <w:sz w:val="24"/>
                <w:szCs w:val="24"/>
                <w:highlight w:val="none"/>
                <w:lang w:val="en-US" w:eastAsia="zh-CN"/>
              </w:rPr>
              <w:t xml:space="preserve">发包人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盖章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2"/>
                <w:sz w:val="24"/>
                <w:szCs w:val="24"/>
                <w:highlight w:val="none"/>
                <w:lang w:val="en-US" w:eastAsia="zh-CN"/>
              </w:rPr>
              <w:t xml:space="preserve">承包人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盖章</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w:t>
            </w:r>
            <w:r/>
          </w:p>
        </w:tc>
      </w:tr>
      <w:tr>
        <w:trPr>
          <w:trHeight w:val="4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cs="宋体"/>
                <w:color w:val="auto"/>
                <w:spacing w:val="-1"/>
                <w:sz w:val="24"/>
                <w:szCs w:val="24"/>
                <w:highlight w:val="none"/>
                <w:lang w:val="en-US" w:eastAsia="zh-CN"/>
              </w:rPr>
              <w:t xml:space="preserve">或</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法定代表人</w:t>
            </w:r>
            <w:r>
              <w:rPr>
                <w:rFonts w:hint="eastAsia" w:cs="宋体"/>
                <w:color w:val="auto"/>
                <w:spacing w:val="-1"/>
                <w:sz w:val="24"/>
                <w:szCs w:val="24"/>
                <w:highlight w:val="none"/>
                <w:lang w:val="en-US" w:eastAsia="zh-CN"/>
              </w:rPr>
              <w:t xml:space="preserve">或</w:t>
            </w:r>
            <w:r/>
          </w:p>
        </w:tc>
      </w:tr>
      <w:tr>
        <w:trPr>
          <w:trHeight w:val="408"/>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1"/>
                <w:sz w:val="24"/>
                <w:szCs w:val="24"/>
                <w:highlight w:val="none"/>
                <w:lang w:val="en-US" w:eastAsia="zh-CN"/>
              </w:rPr>
              <w:t xml:space="preserve">其委托</w:t>
            </w:r>
            <w:r>
              <w:rPr>
                <w:rFonts w:hint="eastAsia" w:ascii="宋体" w:hAnsi="宋体" w:eastAsia="宋体" w:cs="宋体"/>
                <w:color w:val="auto"/>
                <w:spacing w:val="-1"/>
                <w:sz w:val="24"/>
                <w:szCs w:val="24"/>
                <w:highlight w:val="none"/>
              </w:rPr>
              <w:t xml:space="preserve">代理人</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rPr>
              <w:t xml:space="preserve">签</w:t>
            </w:r>
            <w:r>
              <w:rPr>
                <w:rFonts w:hint="eastAsia" w:cs="宋体"/>
                <w:color w:val="auto"/>
                <w:spacing w:val="-1"/>
                <w:sz w:val="24"/>
                <w:szCs w:val="24"/>
                <w:highlight w:val="none"/>
                <w:lang w:val="en-US" w:eastAsia="zh-CN"/>
              </w:rPr>
              <w:t xml:space="preserve">字或印鉴</w:t>
            </w:r>
            <w:r>
              <w:rPr>
                <w:rFonts w:hint="eastAsia" w:ascii="宋体" w:hAnsi="宋体" w:eastAsia="宋体" w:cs="宋体"/>
                <w:color w:val="auto"/>
                <w:spacing w:val="-1"/>
                <w:sz w:val="24"/>
                <w:szCs w:val="24"/>
                <w:highlight w:val="none"/>
                <w:lang w:eastAsia="zh-CN"/>
              </w:rPr>
              <w:t xml:space="preserve">）：</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cs="宋体"/>
                <w:color w:val="auto"/>
                <w:spacing w:val="-1"/>
                <w:sz w:val="24"/>
                <w:szCs w:val="24"/>
                <w:highlight w:val="none"/>
                <w:lang w:val="en-US" w:eastAsia="zh-CN"/>
              </w:rPr>
              <w:t xml:space="preserve">其</w:t>
            </w:r>
            <w:r>
              <w:rPr>
                <w:rFonts w:hint="eastAsia" w:cs="宋体"/>
                <w:color w:val="auto"/>
                <w:spacing w:val="-2"/>
                <w:sz w:val="24"/>
                <w:szCs w:val="24"/>
                <w:highlight w:val="none"/>
                <w:lang w:val="en-US" w:eastAsia="zh-CN"/>
              </w:rPr>
              <w:t xml:space="preserve">委托</w:t>
            </w:r>
            <w:r>
              <w:rPr>
                <w:rFonts w:hint="eastAsia" w:ascii="宋体" w:hAnsi="宋体" w:eastAsia="宋体" w:cs="宋体"/>
                <w:color w:val="auto"/>
                <w:spacing w:val="-2"/>
                <w:sz w:val="24"/>
                <w:szCs w:val="24"/>
                <w:highlight w:val="none"/>
              </w:rPr>
              <w:t xml:space="preserve">代理人</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签</w:t>
            </w:r>
            <w:r>
              <w:rPr>
                <w:rFonts w:hint="eastAsia" w:cs="宋体"/>
                <w:color w:val="auto"/>
                <w:spacing w:val="-2"/>
                <w:sz w:val="24"/>
                <w:szCs w:val="24"/>
                <w:highlight w:val="none"/>
                <w:lang w:val="en-US" w:eastAsia="zh-CN"/>
              </w:rPr>
              <w:t xml:space="preserve">字或印鉴</w:t>
            </w:r>
            <w:r>
              <w:rPr>
                <w:rFonts w:hint="eastAsia" w:ascii="宋体" w:hAnsi="宋体" w:eastAsia="宋体" w:cs="宋体"/>
                <w:color w:val="auto"/>
                <w:spacing w:val="-2"/>
                <w:sz w:val="24"/>
                <w:szCs w:val="24"/>
                <w:highlight w:val="none"/>
                <w:lang w:eastAsia="zh-CN"/>
              </w:rPr>
              <w:t xml:space="preserve">）：</w:t>
            </w:r>
            <w:r/>
          </w:p>
        </w:tc>
      </w:tr>
      <w:tr>
        <w:trPr>
          <w:trHeight w:val="401"/>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单位地址：</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单位地址：</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联系电话：</w:t>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联系电话：</w:t>
            </w:r>
            <w:r/>
          </w:p>
        </w:tc>
      </w:tr>
      <w:tr>
        <w:trPr>
          <w:trHeight w:val="309"/>
        </w:trPr>
        <w:tc>
          <w:tcPr>
            <w:tcW w:w="2499"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r>
            <w:r/>
          </w:p>
        </w:tc>
        <w:tc>
          <w:tcPr>
            <w:tcW w:w="2500" w:type="pct"/>
            <w:vAlign w:val="top"/>
            <w:textDirection w:val="lrTb"/>
            <w:noWrap w:val="false"/>
          </w:tcPr>
          <w:p>
            <w:pPr>
              <w:pStyle w:val="1065"/>
              <w:ind w:left="0" w:right="0" w:firstLine="0"/>
              <w:jc w:val="left"/>
              <w:keepLines w:val="0"/>
              <w:keepNext w:val="0"/>
              <w:pageBreakBefore w:val="0"/>
              <w:spacing w:line="480" w:lineRule="exact"/>
              <w:widowControl w:val="off"/>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r>
            <w:r/>
          </w:p>
        </w:tc>
      </w:tr>
    </w:tbl>
    <w:p>
      <w:pPr>
        <w:spacing w:line="440" w:lineRule="exact"/>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rPr>
        <w:t xml:space="preserve">年月日                      </w:t>
      </w:r>
      <w:r>
        <w:rPr>
          <w:rFonts w:hint="eastAsia" w:ascii="宋体" w:hAnsi="宋体"/>
          <w:color w:val="auto"/>
          <w:sz w:val="24"/>
          <w:szCs w:val="24"/>
          <w:highlight w:val="none"/>
          <w:lang w:val="en-US" w:eastAsia="zh-CN"/>
        </w:rPr>
        <w:t xml:space="preserve"> </w:t>
      </w:r>
      <w:r/>
    </w:p>
    <w:p>
      <w:pPr>
        <w:ind w:firstLine="4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25"/>
        <w:ind w:left="0" w:firstLine="0"/>
        <w:rPr>
          <w:rFonts w:hint="eastAsia" w:ascii="宋体" w:hAnsi="宋体" w:eastAsia="宋体" w:cs="宋体"/>
          <w:color w:val="auto"/>
          <w:sz w:val="21"/>
          <w:szCs w:val="21"/>
          <w:highlight w:val="none"/>
          <w:lang w:val="en-US" w:eastAsia="zh-CN"/>
        </w:rPr>
      </w:pPr>
      <w:r>
        <w:rPr>
          <w:rFonts w:hint="eastAsia"/>
          <w:color w:val="auto"/>
          <w:highlight w:val="none"/>
        </w:rPr>
        <w:br w:type="column"/>
      </w:r>
      <w:r>
        <w:rPr>
          <w:rFonts w:hint="eastAsia" w:ascii="宋体" w:hAnsi="宋体" w:eastAsia="宋体" w:cs="宋体"/>
          <w:color w:val="auto"/>
          <w:highlight w:val="none"/>
          <w:lang w:val="en-US" w:eastAsia="zh-CN"/>
        </w:rPr>
        <w:t xml:space="preserve">附件4</w:t>
      </w:r>
      <w:r/>
    </w:p>
    <w:p>
      <w:pPr>
        <w:pStyle w:val="825"/>
        <w:ind w:left="0" w:firstLine="0"/>
        <w:rPr>
          <w:color w:val="auto"/>
          <w:highlight w:val="none"/>
        </w:rPr>
        <w:sectPr>
          <w:footerReference w:type="default" r:id="rId12"/>
          <w:footnotePr/>
          <w:endnotePr/>
          <w:type w:val="nextPage"/>
          <w:pgSz w:w="11907" w:h="16840" w:orient="portrait"/>
          <w:pgMar w:top="1440" w:right="1559" w:bottom="1440" w:left="1560" w:header="851" w:footer="851" w:gutter="0"/>
          <w:pgNumType w:start="1"/>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187315" cy="8282940"/>
                <wp:effectExtent l="0" t="0" r="6985" b="1016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
                        <pic:cNvPicPr>
                          <a:picLocks noChangeAspect="1"/>
                        </pic:cNvPicPr>
                        <pic:nvPr/>
                      </pic:nvPicPr>
                      <pic:blipFill>
                        <a:blip r:embed="rId16"/>
                        <a:stretch/>
                      </pic:blipFill>
                      <pic:spPr bwMode="auto">
                        <a:xfrm>
                          <a:off x="0" y="0"/>
                          <a:ext cx="5187315" cy="8282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8.4pt;height:652.2pt;mso-wrap-distance-left:0.0pt;mso-wrap-distance-top:0.0pt;mso-wrap-distance-right:0.0pt;mso-wrap-distance-bottom:0.0pt;" stroked="f">
                <v:path textboxrect="0,0,0,0"/>
                <v:imagedata r:id="rId16"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358130" cy="7553325"/>
                <wp:effectExtent l="0" t="0" r="1270" b="317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
                        <pic:cNvPicPr>
                          <a:picLocks noChangeAspect="1"/>
                        </pic:cNvPicPr>
                        <pic:nvPr/>
                      </pic:nvPicPr>
                      <pic:blipFill>
                        <a:blip r:embed="rId17"/>
                        <a:stretch/>
                      </pic:blipFill>
                      <pic:spPr bwMode="auto">
                        <a:xfrm>
                          <a:off x="0" y="0"/>
                          <a:ext cx="5358130" cy="7553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1.9pt;height:594.8pt;mso-wrap-distance-left:0.0pt;mso-wrap-distance-top:0.0pt;mso-wrap-distance-right:0.0pt;mso-wrap-distance-bottom:0.0pt;" stroked="f">
                <v:path textboxrect="0,0,0,0"/>
                <v:imagedata r:id="rId17"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4665" cy="7856220"/>
                <wp:effectExtent l="0" t="0" r="635" b="508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
                        <pic:cNvPicPr>
                          <a:picLocks noChangeAspect="1"/>
                        </pic:cNvPicPr>
                        <pic:nvPr/>
                      </pic:nvPicPr>
                      <pic:blipFill>
                        <a:blip r:embed="rId18"/>
                        <a:stretch/>
                      </pic:blipFill>
                      <pic:spPr bwMode="auto">
                        <a:xfrm>
                          <a:off x="0" y="0"/>
                          <a:ext cx="5574665" cy="785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8.9pt;height:618.6pt;mso-wrap-distance-left:0.0pt;mso-wrap-distance-top:0.0pt;mso-wrap-distance-right:0.0pt;mso-wrap-distance-bottom:0.0pt;" stroked="f">
                <v:path textboxrect="0,0,0,0"/>
                <v:imagedata r:id="rId18" o:title=""/>
              </v:shape>
            </w:pict>
          </mc:Fallback>
        </mc:AlternateContent>
      </w:r>
      <w:r/>
    </w:p>
    <w:p>
      <w:pPr>
        <w:rPr>
          <w:rFonts w:hint="eastAsia"/>
          <w:color w:val="auto"/>
          <w:highlight w:val="none"/>
          <w:lang w:eastAsia="zh-CN"/>
        </w:rPr>
      </w:pPr>
      <w:r>
        <w:rPr>
          <w:color w:val="auto"/>
          <w:highlight w:val="none"/>
        </w:rPr>
        <mc:AlternateContent>
          <mc:Choice Requires="wpg">
            <w:drawing>
              <wp:inline xmlns:wp="http://schemas.openxmlformats.org/drawingml/2006/wordprocessingDrawing" distT="0" distB="0" distL="0" distR="0">
                <wp:extent cx="5574665" cy="7856220"/>
                <wp:effectExtent l="0" t="0" r="635" b="508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
                        <pic:cNvPicPr>
                          <a:picLocks noChangeAspect="1"/>
                        </pic:cNvPicPr>
                        <pic:nvPr/>
                      </pic:nvPicPr>
                      <pic:blipFill>
                        <a:blip r:embed="rId19"/>
                        <a:stretch/>
                      </pic:blipFill>
                      <pic:spPr bwMode="auto">
                        <a:xfrm>
                          <a:off x="0" y="0"/>
                          <a:ext cx="5574665" cy="785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8.9pt;height:618.6pt;mso-wrap-distance-left:0.0pt;mso-wrap-distance-top:0.0pt;mso-wrap-distance-right:0.0pt;mso-wrap-distance-bottom:0.0pt;" stroked="f">
                <v:path textboxrect="0,0,0,0"/>
                <v:imagedata r:id="rId19" o:title=""/>
              </v:shape>
            </w:pict>
          </mc:Fallback>
        </mc:AlternateContent>
      </w:r>
      <w:r/>
    </w:p>
    <w:p>
      <w:pPr>
        <w:rPr>
          <w:rFonts w:hint="eastAsia"/>
          <w:color w:val="auto"/>
          <w:highlight w:val="none"/>
          <w:lang w:eastAsia="zh-CN"/>
        </w:rPr>
      </w:pPr>
      <w:r>
        <w:rPr>
          <w:rFonts w:hint="eastAsia"/>
          <w:color w:val="auto"/>
          <w:highlight w:val="none"/>
          <w:lang w:eastAsia="zh-CN"/>
        </w:rPr>
      </w:r>
      <w:r/>
    </w:p>
    <w:p>
      <w:pPr>
        <w:rPr>
          <w:rFonts w:hint="eastAsia"/>
          <w:b/>
          <w:bCs/>
          <w:color w:val="auto"/>
          <w:sz w:val="30"/>
          <w:szCs w:val="30"/>
          <w:highlight w:val="none"/>
          <w:lang w:val="en-US" w:eastAsia="zh-CN"/>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sz w:val="30"/>
          <w:szCs w:val="30"/>
          <w:highlight w:val="none"/>
          <w:lang w:val="en-US" w:eastAsia="zh-CN"/>
        </w:rPr>
      </w:r>
      <w:r/>
    </w:p>
    <w:p>
      <w:pPr>
        <w:pStyle w:val="825"/>
        <w:ind w:left="0" w:firstLine="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附件5</w: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4665" cy="7894320"/>
                <wp:effectExtent l="0" t="0" r="635" b="508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
                        <pic:cNvPicPr>
                          <a:picLocks noChangeAspect="1"/>
                        </pic:cNvPicPr>
                        <pic:nvPr/>
                      </pic:nvPicPr>
                      <pic:blipFill>
                        <a:blip r:embed="rId20"/>
                        <a:stretch/>
                      </pic:blipFill>
                      <pic:spPr bwMode="auto">
                        <a:xfrm>
                          <a:off x="0" y="0"/>
                          <a:ext cx="5574665" cy="7894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8.9pt;height:621.6pt;mso-wrap-distance-left:0.0pt;mso-wrap-distance-top:0.0pt;mso-wrap-distance-right:0.0pt;mso-wrap-distance-bottom:0.0pt;" stroked="f">
                <v:path textboxrect="0,0,0,0"/>
                <v:imagedata r:id="rId20"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49235"/>
                <wp:effectExtent l="0" t="0" r="4445" b="1206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6"/>
                        <pic:cNvPicPr>
                          <a:picLocks noChangeAspect="1"/>
                        </pic:cNvPicPr>
                        <pic:nvPr/>
                      </pic:nvPicPr>
                      <pic:blipFill>
                        <a:blip r:embed="rId21"/>
                        <a:stretch/>
                      </pic:blipFill>
                      <pic:spPr bwMode="auto">
                        <a:xfrm>
                          <a:off x="0" y="0"/>
                          <a:ext cx="5570855" cy="784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38.6pt;height:618.0pt;mso-wrap-distance-left:0.0pt;mso-wrap-distance-top:0.0pt;mso-wrap-distance-right:0.0pt;mso-wrap-distance-bottom:0.0pt;" stroked="f">
                <v:path textboxrect="0,0,0,0"/>
                <v:imagedata r:id="rId21"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7"/>
                        <pic:cNvPicPr>
                          <a:picLocks noChangeAspect="1"/>
                        </pic:cNvPicPr>
                        <pic:nvPr/>
                      </pic:nvPicPr>
                      <pic:blipFill>
                        <a:blip r:embed="rId22"/>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8.8pt;height:619.9pt;mso-wrap-distance-left:0.0pt;mso-wrap-distance-top:0.0pt;mso-wrap-distance-right:0.0pt;mso-wrap-distance-bottom:0.0pt;" stroked="f">
                <v:path textboxrect="0,0,0,0"/>
                <v:imagedata r:id="rId22"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49235"/>
                <wp:effectExtent l="0" t="0" r="4445" b="1206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8"/>
                        <pic:cNvPicPr>
                          <a:picLocks noChangeAspect="1"/>
                        </pic:cNvPicPr>
                        <pic:nvPr/>
                      </pic:nvPicPr>
                      <pic:blipFill>
                        <a:blip r:embed="rId23"/>
                        <a:stretch/>
                      </pic:blipFill>
                      <pic:spPr bwMode="auto">
                        <a:xfrm>
                          <a:off x="0" y="0"/>
                          <a:ext cx="5570855" cy="784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38.6pt;height:618.0pt;mso-wrap-distance-left:0.0pt;mso-wrap-distance-top:0.0pt;mso-wrap-distance-right:0.0pt;mso-wrap-distance-bottom:0.0pt;" stroked="f">
                <v:path textboxrect="0,0,0,0"/>
                <v:imagedata r:id="rId23"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49235"/>
                <wp:effectExtent l="0" t="0" r="4445" b="12065"/>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9"/>
                        <pic:cNvPicPr>
                          <a:picLocks noChangeAspect="1"/>
                        </pic:cNvPicPr>
                        <pic:nvPr/>
                      </pic:nvPicPr>
                      <pic:blipFill>
                        <a:blip r:embed="rId24"/>
                        <a:stretch/>
                      </pic:blipFill>
                      <pic:spPr bwMode="auto">
                        <a:xfrm>
                          <a:off x="0" y="0"/>
                          <a:ext cx="5570855" cy="784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38.6pt;height:618.0pt;mso-wrap-distance-left:0.0pt;mso-wrap-distance-top:0.0pt;mso-wrap-distance-right:0.0pt;mso-wrap-distance-bottom:0.0pt;" stroked="f">
                <v:path textboxrect="0,0,0,0"/>
                <v:imagedata r:id="rId24"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49235"/>
                <wp:effectExtent l="0" t="0" r="4445" b="12065"/>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0"/>
                        <pic:cNvPicPr>
                          <a:picLocks noChangeAspect="1"/>
                        </pic:cNvPicPr>
                        <pic:nvPr/>
                      </pic:nvPicPr>
                      <pic:blipFill>
                        <a:blip r:embed="rId25"/>
                        <a:stretch/>
                      </pic:blipFill>
                      <pic:spPr bwMode="auto">
                        <a:xfrm>
                          <a:off x="0" y="0"/>
                          <a:ext cx="5570855" cy="784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8.6pt;height:618.0pt;mso-wrap-distance-left:0.0pt;mso-wrap-distance-top:0.0pt;mso-wrap-distance-right:0.0pt;mso-wrap-distance-bottom:0.0pt;" stroked="f">
                <v:path textboxrect="0,0,0,0"/>
                <v:imagedata r:id="rId25"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63205"/>
                <wp:effectExtent l="0" t="0" r="4445" b="1079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1"/>
                        <pic:cNvPicPr>
                          <a:picLocks noChangeAspect="1"/>
                        </pic:cNvPicPr>
                        <pic:nvPr/>
                      </pic:nvPicPr>
                      <pic:blipFill>
                        <a:blip r:embed="rId26"/>
                        <a:stretch/>
                      </pic:blipFill>
                      <pic:spPr bwMode="auto">
                        <a:xfrm>
                          <a:off x="0" y="0"/>
                          <a:ext cx="5570855" cy="7863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38.6pt;height:619.1pt;mso-wrap-distance-left:0.0pt;mso-wrap-distance-top:0.0pt;mso-wrap-distance-right:0.0pt;mso-wrap-distance-bottom:0.0pt;" stroked="f">
                <v:path textboxrect="0,0,0,0"/>
                <v:imagedata r:id="rId26" o:title=""/>
              </v:shape>
            </w:pict>
          </mc:Fallback>
        </mc:AlternateContent>
      </w:r>
      <w:r/>
    </w:p>
    <w:p>
      <w:pPr>
        <w:pStyle w:val="825"/>
        <w:ind w:left="0" w:firstLine="0"/>
        <w:rPr>
          <w:rFonts w:hint="eastAsia"/>
          <w:color w:val="auto"/>
          <w:highlight w:val="none"/>
          <w:lang w:eastAsia="zh-CN"/>
        </w:rPr>
        <w:sectPr>
          <w:footnotePr/>
          <w:endnotePr/>
          <w:type w:val="nextPage"/>
          <w:pgSz w:w="16840" w:h="11907" w:orient="landscape"/>
          <w:pgMar w:top="1560" w:right="1440" w:bottom="1559" w:left="144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7956550" cy="5636895"/>
                <wp:effectExtent l="0" t="0" r="6350" b="1905"/>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2"/>
                        <pic:cNvPicPr>
                          <a:picLocks noChangeAspect="1"/>
                        </pic:cNvPicPr>
                        <pic:nvPr/>
                      </pic:nvPicPr>
                      <pic:blipFill>
                        <a:blip r:embed="rId27"/>
                        <a:stretch/>
                      </pic:blipFill>
                      <pic:spPr bwMode="auto">
                        <a:xfrm>
                          <a:off x="0" y="0"/>
                          <a:ext cx="7956550" cy="563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26.5pt;height:443.8pt;mso-wrap-distance-left:0.0pt;mso-wrap-distance-top:0.0pt;mso-wrap-distance-right:0.0pt;mso-wrap-distance-bottom:0.0pt;" stroked="f">
                <v:path textboxrect="0,0,0,0"/>
                <v:imagedata r:id="rId27" o:title=""/>
              </v:shape>
            </w:pict>
          </mc:Fallback>
        </mc:AlternateContent>
      </w:r>
      <w:r/>
    </w:p>
    <w:p>
      <w:pPr>
        <w:pStyle w:val="825"/>
        <w:ind w:left="0" w:firstLine="0"/>
        <w:rPr>
          <w:rFonts w:hint="eastAsia"/>
          <w:color w:val="auto"/>
          <w:highlight w:val="none"/>
          <w:lang w:eastAsia="zh-CN"/>
        </w:rPr>
        <w:sectPr>
          <w:footnotePr/>
          <w:endnotePr/>
          <w:type w:val="nextPage"/>
          <w:pgSz w:w="16840" w:h="11907" w:orient="landscape"/>
          <w:pgMar w:top="1560" w:right="1440" w:bottom="1559" w:left="144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8848090" cy="6263005"/>
                <wp:effectExtent l="0" t="0" r="3810" b="10795"/>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3"/>
                        <pic:cNvPicPr>
                          <a:picLocks noChangeAspect="1"/>
                        </pic:cNvPicPr>
                        <pic:nvPr/>
                      </pic:nvPicPr>
                      <pic:blipFill>
                        <a:blip r:embed="rId28"/>
                        <a:stretch/>
                      </pic:blipFill>
                      <pic:spPr bwMode="auto">
                        <a:xfrm>
                          <a:off x="0" y="0"/>
                          <a:ext cx="8848090" cy="626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96.7pt;height:493.1pt;mso-wrap-distance-left:0.0pt;mso-wrap-distance-top:0.0pt;mso-wrap-distance-right:0.0pt;mso-wrap-distance-bottom:0.0pt;" stroked="f">
                <v:path textboxrect="0,0,0,0"/>
                <v:imagedata r:id="rId28" o:title=""/>
              </v:shape>
            </w:pict>
          </mc:Fallback>
        </mc:AlternateContent>
      </w:r>
      <w:r/>
    </w:p>
    <w:p>
      <w:pPr>
        <w:pStyle w:val="825"/>
        <w:ind w:left="0" w:firstLine="0"/>
        <w:rPr>
          <w:rFonts w:hint="eastAsia"/>
          <w:color w:val="auto"/>
          <w:highlight w:val="none"/>
          <w:lang w:eastAsia="zh-CN"/>
        </w:rPr>
        <w:sectPr>
          <w:footnotePr/>
          <w:endnotePr/>
          <w:type w:val="nextPage"/>
          <w:pgSz w:w="16840" w:h="11907" w:orient="landscape"/>
          <w:pgMar w:top="1560" w:right="1440" w:bottom="1559" w:left="144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8848090" cy="6293485"/>
                <wp:effectExtent l="0" t="0" r="3810" b="5715"/>
                <wp:docPr id="1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4"/>
                        <pic:cNvPicPr>
                          <a:picLocks noChangeAspect="1"/>
                        </pic:cNvPicPr>
                        <pic:nvPr/>
                      </pic:nvPicPr>
                      <pic:blipFill>
                        <a:blip r:embed="rId29"/>
                        <a:stretch/>
                      </pic:blipFill>
                      <pic:spPr bwMode="auto">
                        <a:xfrm>
                          <a:off x="0" y="0"/>
                          <a:ext cx="8848090" cy="6293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96.7pt;height:495.5pt;mso-wrap-distance-left:0.0pt;mso-wrap-distance-top:0.0pt;mso-wrap-distance-right:0.0pt;mso-wrap-distance-bottom:0.0pt;" stroked="f">
                <v:path textboxrect="0,0,0,0"/>
                <v:imagedata r:id="rId29" o:title=""/>
              </v:shape>
            </w:pict>
          </mc:Fallback>
        </mc:AlternateContent>
      </w:r>
      <w:r/>
    </w:p>
    <w:p>
      <w:pPr>
        <w:pStyle w:val="825"/>
        <w:ind w:left="0" w:firstLine="0"/>
        <w:rPr>
          <w:rFonts w:hint="eastAsia"/>
          <w:color w:val="auto"/>
          <w:highlight w:val="none"/>
          <w:lang w:eastAsia="zh-CN"/>
        </w:rPr>
        <w:sectPr>
          <w:footnotePr/>
          <w:endnotePr/>
          <w:type w:val="nextPage"/>
          <w:pgSz w:w="16840" w:h="11907" w:orient="landscape"/>
          <w:pgMar w:top="1560" w:right="1440" w:bottom="1559" w:left="144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8848090" cy="6263005"/>
                <wp:effectExtent l="0" t="0" r="3810" b="10795"/>
                <wp:docPr id="1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5"/>
                        <pic:cNvPicPr>
                          <a:picLocks noChangeAspect="1"/>
                        </pic:cNvPicPr>
                        <pic:nvPr/>
                      </pic:nvPicPr>
                      <pic:blipFill>
                        <a:blip r:embed="rId30"/>
                        <a:stretch/>
                      </pic:blipFill>
                      <pic:spPr bwMode="auto">
                        <a:xfrm>
                          <a:off x="0" y="0"/>
                          <a:ext cx="8848090" cy="626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96.7pt;height:493.1pt;mso-wrap-distance-left:0.0pt;mso-wrap-distance-top:0.0pt;mso-wrap-distance-right:0.0pt;mso-wrap-distance-bottom:0.0pt;" stroked="f">
                <v:path textboxrect="0,0,0,0"/>
                <v:imagedata r:id="rId30"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49235"/>
                <wp:effectExtent l="0" t="0" r="4445" b="12065"/>
                <wp:docPr id="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6"/>
                        <pic:cNvPicPr>
                          <a:picLocks noChangeAspect="1"/>
                        </pic:cNvPicPr>
                        <pic:nvPr/>
                      </pic:nvPicPr>
                      <pic:blipFill>
                        <a:blip r:embed="rId31"/>
                        <a:stretch/>
                      </pic:blipFill>
                      <pic:spPr bwMode="auto">
                        <a:xfrm>
                          <a:off x="0" y="0"/>
                          <a:ext cx="5570855" cy="784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38.6pt;height:618.0pt;mso-wrap-distance-left:0.0pt;mso-wrap-distance-top:0.0pt;mso-wrap-distance-right:0.0pt;mso-wrap-distance-bottom:0.0pt;" stroked="f">
                <v:path textboxrect="0,0,0,0"/>
                <v:imagedata r:id="rId31"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49235"/>
                <wp:effectExtent l="0" t="0" r="4445" b="12065"/>
                <wp:docPr id="2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7"/>
                        <pic:cNvPicPr>
                          <a:picLocks noChangeAspect="1"/>
                        </pic:cNvPicPr>
                        <pic:nvPr/>
                      </pic:nvPicPr>
                      <pic:blipFill>
                        <a:blip r:embed="rId32"/>
                        <a:stretch/>
                      </pic:blipFill>
                      <pic:spPr bwMode="auto">
                        <a:xfrm>
                          <a:off x="0" y="0"/>
                          <a:ext cx="5570855" cy="784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38.6pt;height:618.0pt;mso-wrap-distance-left:0.0pt;mso-wrap-distance-top:0.0pt;mso-wrap-distance-right:0.0pt;mso-wrap-distance-bottom:0.0pt;" stroked="f">
                <v:path textboxrect="0,0,0,0"/>
                <v:imagedata r:id="rId32"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095"/>
                <wp:effectExtent l="0" t="0" r="2540" b="1905"/>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8"/>
                        <pic:cNvPicPr>
                          <a:picLocks noChangeAspect="1"/>
                        </pic:cNvPicPr>
                        <pic:nvPr/>
                      </pic:nvPicPr>
                      <pic:blipFill>
                        <a:blip r:embed="rId33"/>
                        <a:stretch/>
                      </pic:blipFill>
                      <pic:spPr bwMode="auto">
                        <a:xfrm>
                          <a:off x="0" y="0"/>
                          <a:ext cx="5572760" cy="7872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38.8pt;height:619.9pt;mso-wrap-distance-left:0.0pt;mso-wrap-distance-top:0.0pt;mso-wrap-distance-right:0.0pt;mso-wrap-distance-bottom:0.0pt;" stroked="f">
                <v:path textboxrect="0,0,0,0"/>
                <v:imagedata r:id="rId33"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2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9"/>
                        <pic:cNvPicPr>
                          <a:picLocks noChangeAspect="1"/>
                        </pic:cNvPicPr>
                        <pic:nvPr/>
                      </pic:nvPicPr>
                      <pic:blipFill>
                        <a:blip r:embed="rId34"/>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8.8pt;height:619.9pt;mso-wrap-distance-left:0.0pt;mso-wrap-distance-top:0.0pt;mso-wrap-distance-right:0.0pt;mso-wrap-distance-bottom:0.0pt;" stroked="f">
                <v:path textboxrect="0,0,0,0"/>
                <v:imagedata r:id="rId34" o:title=""/>
              </v:shape>
            </w:pict>
          </mc:Fallback>
        </mc:AlternateContent>
      </w:r>
      <w:r/>
    </w:p>
    <w:p>
      <w:pPr>
        <w:ind w:firstLine="0"/>
        <w:rPr>
          <w:rFonts w:hint="eastAsia"/>
          <w:b/>
          <w:bCs/>
          <w:color w:val="auto"/>
          <w:sz w:val="30"/>
          <w:szCs w:val="30"/>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0"/>
                        <pic:cNvPicPr>
                          <a:picLocks noChangeAspect="1"/>
                        </pic:cNvPicPr>
                        <pic:nvPr/>
                      </pic:nvPicPr>
                      <pic:blipFill>
                        <a:blip r:embed="rId35"/>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38.8pt;height:619.9pt;mso-wrap-distance-left:0.0pt;mso-wrap-distance-top:0.0pt;mso-wrap-distance-right:0.0pt;mso-wrap-distance-bottom:0.0pt;" stroked="f">
                <v:path textboxrect="0,0,0,0"/>
                <v:imagedata r:id="rId35" o:title=""/>
              </v:shape>
            </w:pict>
          </mc:Fallback>
        </mc:AlternateContent>
      </w:r>
      <w:r/>
    </w:p>
    <w:p>
      <w:pPr>
        <w:pStyle w:val="825"/>
        <w:ind w:left="0" w:firstLine="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附件6</w: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63205"/>
                <wp:effectExtent l="0" t="0" r="4445" b="10795"/>
                <wp:docPr id="2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1"/>
                        <pic:cNvPicPr>
                          <a:picLocks noChangeAspect="1"/>
                        </pic:cNvPicPr>
                        <pic:nvPr/>
                      </pic:nvPicPr>
                      <pic:blipFill>
                        <a:blip r:embed="rId36"/>
                        <a:stretch/>
                      </pic:blipFill>
                      <pic:spPr bwMode="auto">
                        <a:xfrm>
                          <a:off x="0" y="0"/>
                          <a:ext cx="5570855" cy="7863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38.6pt;height:619.1pt;mso-wrap-distance-left:0.0pt;mso-wrap-distance-top:0.0pt;mso-wrap-distance-right:0.0pt;mso-wrap-distance-bottom:0.0pt;" stroked="f">
                <v:path textboxrect="0,0,0,0"/>
                <v:imagedata r:id="rId36"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68950" cy="7840980"/>
                <wp:effectExtent l="0" t="0" r="6350" b="7620"/>
                <wp:docPr id="2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2"/>
                        <pic:cNvPicPr>
                          <a:picLocks noChangeAspect="1"/>
                        </pic:cNvPicPr>
                        <pic:nvPr/>
                      </pic:nvPicPr>
                      <pic:blipFill>
                        <a:blip r:embed="rId37"/>
                        <a:stretch/>
                      </pic:blipFill>
                      <pic:spPr bwMode="auto">
                        <a:xfrm>
                          <a:off x="0" y="0"/>
                          <a:ext cx="5568950" cy="78409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38.5pt;height:617.4pt;mso-wrap-distance-left:0.0pt;mso-wrap-distance-top:0.0pt;mso-wrap-distance-right:0.0pt;mso-wrap-distance-bottom:0.0pt;" stroked="f">
                <v:path textboxrect="0,0,0,0"/>
                <v:imagedata r:id="rId37"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85430"/>
                <wp:effectExtent l="0" t="0" r="2540" b="1270"/>
                <wp:docPr id="2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3"/>
                        <pic:cNvPicPr>
                          <a:picLocks noChangeAspect="1"/>
                        </pic:cNvPicPr>
                        <pic:nvPr/>
                      </pic:nvPicPr>
                      <pic:blipFill>
                        <a:blip r:embed="rId38"/>
                        <a:stretch/>
                      </pic:blipFill>
                      <pic:spPr bwMode="auto">
                        <a:xfrm>
                          <a:off x="0" y="0"/>
                          <a:ext cx="5572760" cy="7885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38.8pt;height:620.9pt;mso-wrap-distance-left:0.0pt;mso-wrap-distance-top:0.0pt;mso-wrap-distance-right:0.0pt;mso-wrap-distance-bottom:0.0pt;" stroked="f">
                <v:path textboxrect="0,0,0,0"/>
                <v:imagedata r:id="rId38"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63205"/>
                <wp:effectExtent l="0" t="0" r="4445" b="10795"/>
                <wp:docPr id="2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4"/>
                        <pic:cNvPicPr>
                          <a:picLocks noChangeAspect="1"/>
                        </pic:cNvPicPr>
                        <pic:nvPr/>
                      </pic:nvPicPr>
                      <pic:blipFill>
                        <a:blip r:embed="rId39"/>
                        <a:stretch/>
                      </pic:blipFill>
                      <pic:spPr bwMode="auto">
                        <a:xfrm>
                          <a:off x="0" y="0"/>
                          <a:ext cx="5570855" cy="7863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38.6pt;height:619.1pt;mso-wrap-distance-left:0.0pt;mso-wrap-distance-top:0.0pt;mso-wrap-distance-right:0.0pt;mso-wrap-distance-bottom:0.0pt;" stroked="f">
                <v:path textboxrect="0,0,0,0"/>
                <v:imagedata r:id="rId39"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63205"/>
                <wp:effectExtent l="0" t="0" r="4445" b="10795"/>
                <wp:docPr id="2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5"/>
                        <pic:cNvPicPr>
                          <a:picLocks noChangeAspect="1"/>
                        </pic:cNvPicPr>
                        <pic:nvPr/>
                      </pic:nvPicPr>
                      <pic:blipFill>
                        <a:blip r:embed="rId40"/>
                        <a:stretch/>
                      </pic:blipFill>
                      <pic:spPr bwMode="auto">
                        <a:xfrm>
                          <a:off x="0" y="0"/>
                          <a:ext cx="5570855" cy="7863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38.6pt;height:619.1pt;mso-wrap-distance-left:0.0pt;mso-wrap-distance-top:0.0pt;mso-wrap-distance-right:0.0pt;mso-wrap-distance-bottom:0.0pt;" stroked="f">
                <v:path textboxrect="0,0,0,0"/>
                <v:imagedata r:id="rId40"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68950" cy="7840980"/>
                <wp:effectExtent l="0" t="0" r="6350" b="7620"/>
                <wp:docPr id="3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6"/>
                        <pic:cNvPicPr>
                          <a:picLocks noChangeAspect="1"/>
                        </pic:cNvPicPr>
                        <pic:nvPr/>
                      </pic:nvPicPr>
                      <pic:blipFill>
                        <a:blip r:embed="rId41"/>
                        <a:stretch/>
                      </pic:blipFill>
                      <pic:spPr bwMode="auto">
                        <a:xfrm>
                          <a:off x="0" y="0"/>
                          <a:ext cx="5568950" cy="7840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38.5pt;height:617.4pt;mso-wrap-distance-left:0.0pt;mso-wrap-distance-top:0.0pt;mso-wrap-distance-right:0.0pt;mso-wrap-distance-bottom:0.0pt;" stroked="f">
                <v:path textboxrect="0,0,0,0"/>
                <v:imagedata r:id="rId41"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3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7"/>
                        <pic:cNvPicPr>
                          <a:picLocks noChangeAspect="1"/>
                        </pic:cNvPicPr>
                        <pic:nvPr/>
                      </pic:nvPicPr>
                      <pic:blipFill>
                        <a:blip r:embed="rId42"/>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38.8pt;height:619.9pt;mso-wrap-distance-left:0.0pt;mso-wrap-distance-top:0.0pt;mso-wrap-distance-right:0.0pt;mso-wrap-distance-bottom:0.0pt;" stroked="f">
                <v:path textboxrect="0,0,0,0"/>
                <v:imagedata r:id="rId42"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49235"/>
                <wp:effectExtent l="0" t="0" r="4445" b="12065"/>
                <wp:docPr id="3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8"/>
                        <pic:cNvPicPr>
                          <a:picLocks noChangeAspect="1"/>
                        </pic:cNvPicPr>
                        <pic:nvPr/>
                      </pic:nvPicPr>
                      <pic:blipFill>
                        <a:blip r:embed="rId43"/>
                        <a:stretch/>
                      </pic:blipFill>
                      <pic:spPr bwMode="auto">
                        <a:xfrm>
                          <a:off x="0" y="0"/>
                          <a:ext cx="5570855" cy="784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38.6pt;height:618.0pt;mso-wrap-distance-left:0.0pt;mso-wrap-distance-top:0.0pt;mso-wrap-distance-right:0.0pt;mso-wrap-distance-bottom:0.0pt;" stroked="f">
                <v:path textboxrect="0,0,0,0"/>
                <v:imagedata r:id="rId43"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220" cy="7849870"/>
                <wp:effectExtent l="0" t="0" r="5080" b="11430"/>
                <wp:docPr id="3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9"/>
                        <pic:cNvPicPr>
                          <a:picLocks noChangeAspect="1"/>
                        </pic:cNvPicPr>
                        <pic:nvPr/>
                      </pic:nvPicPr>
                      <pic:blipFill>
                        <a:blip r:embed="rId44"/>
                        <a:stretch/>
                      </pic:blipFill>
                      <pic:spPr bwMode="auto">
                        <a:xfrm>
                          <a:off x="0" y="0"/>
                          <a:ext cx="5570220" cy="784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38.6pt;height:618.1pt;mso-wrap-distance-left:0.0pt;mso-wrap-distance-top:0.0pt;mso-wrap-distance-right:0.0pt;mso-wrap-distance-bottom:0.0pt;" stroked="f">
                <v:path textboxrect="0,0,0,0"/>
                <v:imagedata r:id="rId44"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3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0"/>
                        <pic:cNvPicPr>
                          <a:picLocks noChangeAspect="1"/>
                        </pic:cNvPicPr>
                        <pic:nvPr/>
                      </pic:nvPicPr>
                      <pic:blipFill>
                        <a:blip r:embed="rId45"/>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38.8pt;height:619.9pt;mso-wrap-distance-left:0.0pt;mso-wrap-distance-top:0.0pt;mso-wrap-distance-right:0.0pt;mso-wrap-distance-bottom:0.0pt;" stroked="f">
                <v:path textboxrect="0,0,0,0"/>
                <v:imagedata r:id="rId45"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3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1"/>
                        <pic:cNvPicPr>
                          <a:picLocks noChangeAspect="1"/>
                        </pic:cNvPicPr>
                        <pic:nvPr/>
                      </pic:nvPicPr>
                      <pic:blipFill>
                        <a:blip r:embed="rId46"/>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38.8pt;height:619.9pt;mso-wrap-distance-left:0.0pt;mso-wrap-distance-top:0.0pt;mso-wrap-distance-right:0.0pt;mso-wrap-distance-bottom:0.0pt;" stroked="f">
                <v:path textboxrect="0,0,0,0"/>
                <v:imagedata r:id="rId46"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49235"/>
                <wp:effectExtent l="0" t="0" r="4445" b="12065"/>
                <wp:docPr id="36"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2"/>
                        <pic:cNvPicPr>
                          <a:picLocks noChangeAspect="1"/>
                        </pic:cNvPicPr>
                        <pic:nvPr/>
                      </pic:nvPicPr>
                      <pic:blipFill>
                        <a:blip r:embed="rId47"/>
                        <a:stretch/>
                      </pic:blipFill>
                      <pic:spPr bwMode="auto">
                        <a:xfrm>
                          <a:off x="0" y="0"/>
                          <a:ext cx="5570855" cy="784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38.6pt;height:618.0pt;mso-wrap-distance-left:0.0pt;mso-wrap-distance-top:0.0pt;mso-wrap-distance-right:0.0pt;mso-wrap-distance-bottom:0.0pt;" stroked="f">
                <v:path textboxrect="0,0,0,0"/>
                <v:imagedata r:id="rId47"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3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3"/>
                        <pic:cNvPicPr>
                          <a:picLocks noChangeAspect="1"/>
                        </pic:cNvPicPr>
                        <pic:nvPr/>
                      </pic:nvPicPr>
                      <pic:blipFill>
                        <a:blip r:embed="rId48"/>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38.8pt;height:619.9pt;mso-wrap-distance-left:0.0pt;mso-wrap-distance-top:0.0pt;mso-wrap-distance-right:0.0pt;mso-wrap-distance-bottom:0.0pt;" stroked="f">
                <v:path textboxrect="0,0,0,0"/>
                <v:imagedata r:id="rId48"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3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4"/>
                        <pic:cNvPicPr>
                          <a:picLocks noChangeAspect="1"/>
                        </pic:cNvPicPr>
                        <pic:nvPr/>
                      </pic:nvPicPr>
                      <pic:blipFill>
                        <a:blip r:embed="rId49"/>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38.8pt;height:619.9pt;mso-wrap-distance-left:0.0pt;mso-wrap-distance-top:0.0pt;mso-wrap-distance-right:0.0pt;mso-wrap-distance-bottom:0.0pt;" stroked="f">
                <v:path textboxrect="0,0,0,0"/>
                <v:imagedata r:id="rId49"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4665" cy="7914640"/>
                <wp:effectExtent l="0" t="0" r="635" b="10160"/>
                <wp:docPr id="39"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5"/>
                        <pic:cNvPicPr>
                          <a:picLocks noChangeAspect="1"/>
                        </pic:cNvPicPr>
                        <pic:nvPr/>
                      </pic:nvPicPr>
                      <pic:blipFill>
                        <a:blip r:embed="rId50"/>
                        <a:stretch/>
                      </pic:blipFill>
                      <pic:spPr bwMode="auto">
                        <a:xfrm>
                          <a:off x="0" y="0"/>
                          <a:ext cx="5574665" cy="7914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38.9pt;height:623.2pt;mso-wrap-distance-left:0.0pt;mso-wrap-distance-top:0.0pt;mso-wrap-distance-right:0.0pt;mso-wrap-distance-bottom:0.0pt;" stroked="f">
                <v:path textboxrect="0,0,0,0"/>
                <v:imagedata r:id="rId50"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92415"/>
                <wp:effectExtent l="0" t="0" r="2540" b="6985"/>
                <wp:docPr id="4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6"/>
                        <pic:cNvPicPr>
                          <a:picLocks noChangeAspect="1"/>
                        </pic:cNvPicPr>
                        <pic:nvPr/>
                      </pic:nvPicPr>
                      <pic:blipFill>
                        <a:blip r:embed="rId51"/>
                        <a:stretch/>
                      </pic:blipFill>
                      <pic:spPr bwMode="auto">
                        <a:xfrm>
                          <a:off x="0" y="0"/>
                          <a:ext cx="5572760" cy="78924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38.8pt;height:621.4pt;mso-wrap-distance-left:0.0pt;mso-wrap-distance-top:0.0pt;mso-wrap-distance-right:0.0pt;mso-wrap-distance-bottom:0.0pt;" stroked="f">
                <v:path textboxrect="0,0,0,0"/>
                <v:imagedata r:id="rId51"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92415"/>
                <wp:effectExtent l="0" t="0" r="2540" b="6985"/>
                <wp:docPr id="4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7"/>
                        <pic:cNvPicPr>
                          <a:picLocks noChangeAspect="1"/>
                        </pic:cNvPicPr>
                        <pic:nvPr/>
                      </pic:nvPicPr>
                      <pic:blipFill>
                        <a:blip r:embed="rId52"/>
                        <a:stretch/>
                      </pic:blipFill>
                      <pic:spPr bwMode="auto">
                        <a:xfrm>
                          <a:off x="0" y="0"/>
                          <a:ext cx="5572760" cy="78924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38.8pt;height:621.4pt;mso-wrap-distance-left:0.0pt;mso-wrap-distance-top:0.0pt;mso-wrap-distance-right:0.0pt;mso-wrap-distance-bottom:0.0pt;" stroked="f">
                <v:path textboxrect="0,0,0,0"/>
                <v:imagedata r:id="rId52"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63205"/>
                <wp:effectExtent l="0" t="0" r="4445" b="10795"/>
                <wp:docPr id="42"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8"/>
                        <pic:cNvPicPr>
                          <a:picLocks noChangeAspect="1"/>
                        </pic:cNvPicPr>
                        <pic:nvPr/>
                      </pic:nvPicPr>
                      <pic:blipFill>
                        <a:blip r:embed="rId53"/>
                        <a:stretch/>
                      </pic:blipFill>
                      <pic:spPr bwMode="auto">
                        <a:xfrm>
                          <a:off x="0" y="0"/>
                          <a:ext cx="5570855" cy="7863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38.6pt;height:619.1pt;mso-wrap-distance-left:0.0pt;mso-wrap-distance-top:0.0pt;mso-wrap-distance-right:0.0pt;mso-wrap-distance-bottom:0.0pt;" stroked="f">
                <v:path textboxrect="0,0,0,0"/>
                <v:imagedata r:id="rId53"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72730"/>
                <wp:effectExtent l="0" t="0" r="2540" b="1270"/>
                <wp:docPr id="4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9"/>
                        <pic:cNvPicPr>
                          <a:picLocks noChangeAspect="1"/>
                        </pic:cNvPicPr>
                        <pic:nvPr/>
                      </pic:nvPicPr>
                      <pic:blipFill>
                        <a:blip r:embed="rId54"/>
                        <a:stretch/>
                      </pic:blipFill>
                      <pic:spPr bwMode="auto">
                        <a:xfrm>
                          <a:off x="0" y="0"/>
                          <a:ext cx="5572760" cy="7872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38.8pt;height:619.9pt;mso-wrap-distance-left:0.0pt;mso-wrap-distance-top:0.0pt;mso-wrap-distance-right:0.0pt;mso-wrap-distance-bottom:0.0pt;" stroked="f">
                <v:path textboxrect="0,0,0,0"/>
                <v:imagedata r:id="rId54"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220" cy="7849870"/>
                <wp:effectExtent l="0" t="0" r="5080" b="11430"/>
                <wp:docPr id="4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0"/>
                        <pic:cNvPicPr>
                          <a:picLocks noChangeAspect="1"/>
                        </pic:cNvPicPr>
                        <pic:nvPr/>
                      </pic:nvPicPr>
                      <pic:blipFill>
                        <a:blip r:embed="rId55"/>
                        <a:stretch/>
                      </pic:blipFill>
                      <pic:spPr bwMode="auto">
                        <a:xfrm>
                          <a:off x="0" y="0"/>
                          <a:ext cx="5570220" cy="784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38.6pt;height:618.1pt;mso-wrap-distance-left:0.0pt;mso-wrap-distance-top:0.0pt;mso-wrap-distance-right:0.0pt;mso-wrap-distance-bottom:0.0pt;" stroked="f">
                <v:path textboxrect="0,0,0,0"/>
                <v:imagedata r:id="rId55" o:title=""/>
              </v:shape>
            </w:pict>
          </mc:Fallback>
        </mc:AlternateContent>
      </w:r>
      <w:r/>
    </w:p>
    <w:p>
      <w:pPr>
        <w:rPr>
          <w:color w:val="auto"/>
          <w:highlight w:val="none"/>
        </w:rPr>
      </w:pPr>
      <w:r>
        <w:rPr>
          <w:color w:val="auto"/>
          <w:highlight w:val="none"/>
        </w:rPr>
        <mc:AlternateContent>
          <mc:Choice Requires="wpg">
            <w:drawing>
              <wp:inline xmlns:wp="http://schemas.openxmlformats.org/drawingml/2006/wordprocessingDrawing" distT="0" distB="0" distL="0" distR="0">
                <wp:extent cx="5572760" cy="7898765"/>
                <wp:effectExtent l="0" t="0" r="2540" b="635"/>
                <wp:docPr id="45"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1"/>
                        <pic:cNvPicPr>
                          <a:picLocks noChangeAspect="1"/>
                        </pic:cNvPicPr>
                        <pic:nvPr/>
                      </pic:nvPicPr>
                      <pic:blipFill>
                        <a:blip r:embed="rId56"/>
                        <a:stretch/>
                      </pic:blipFill>
                      <pic:spPr bwMode="auto">
                        <a:xfrm>
                          <a:off x="0" y="0"/>
                          <a:ext cx="5572760" cy="789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38.8pt;height:621.9pt;mso-wrap-distance-left:0.0pt;mso-wrap-distance-top:0.0pt;mso-wrap-distance-right:0.0pt;mso-wrap-distance-bottom:0.0pt;" stroked="f">
                <v:path textboxrect="0,0,0,0"/>
                <v:imagedata r:id="rId56"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25"/>
        <w:ind w:left="0" w:firstLine="0"/>
        <w:rPr>
          <w:color w:val="auto"/>
          <w:highlight w:val="none"/>
        </w:rPr>
      </w:pPr>
      <w:r>
        <w:rPr>
          <w:color w:val="auto"/>
          <w:highlight w:val="none"/>
        </w:rPr>
      </w:r>
      <w:r/>
    </w:p>
    <w:p>
      <w:pPr>
        <w:pStyle w:val="825"/>
        <w:ind w:left="0" w:firstLine="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附件7</w: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220" cy="7876540"/>
                <wp:effectExtent l="0" t="0" r="5080" b="10160"/>
                <wp:docPr id="46"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2"/>
                        <pic:cNvPicPr>
                          <a:picLocks noChangeAspect="1"/>
                        </pic:cNvPicPr>
                        <pic:nvPr/>
                      </pic:nvPicPr>
                      <pic:blipFill>
                        <a:blip r:embed="rId57"/>
                        <a:stretch/>
                      </pic:blipFill>
                      <pic:spPr bwMode="auto">
                        <a:xfrm>
                          <a:off x="0" y="0"/>
                          <a:ext cx="5570220" cy="7876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38.6pt;height:620.2pt;mso-wrap-distance-left:0.0pt;mso-wrap-distance-top:0.0pt;mso-wrap-distance-right:0.0pt;mso-wrap-distance-bottom:0.0pt;" stroked="f">
                <v:path textboxrect="0,0,0,0"/>
                <v:imagedata r:id="rId57" o:title=""/>
              </v:shape>
            </w:pict>
          </mc:Fallback>
        </mc:AlternateContent>
      </w:r>
      <w:r/>
    </w:p>
    <w:p>
      <w:pPr>
        <w:pStyle w:val="825"/>
        <w:ind w:left="0" w:firstLine="0"/>
        <w:jc w:val="both"/>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70190"/>
                <wp:effectExtent l="0" t="0" r="4445" b="3810"/>
                <wp:docPr id="4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3"/>
                        <pic:cNvPicPr>
                          <a:picLocks noChangeAspect="1"/>
                        </pic:cNvPicPr>
                        <pic:nvPr/>
                      </pic:nvPicPr>
                      <pic:blipFill>
                        <a:blip r:embed="rId58"/>
                        <a:stretch/>
                      </pic:blipFill>
                      <pic:spPr bwMode="auto">
                        <a:xfrm>
                          <a:off x="0" y="0"/>
                          <a:ext cx="5570855" cy="7870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38.6pt;height:619.7pt;mso-wrap-distance-left:0.0pt;mso-wrap-distance-top:0.0pt;mso-wrap-distance-right:0.0pt;mso-wrap-distance-bottom:0.0pt;" stroked="f">
                <v:path textboxrect="0,0,0,0"/>
                <v:imagedata r:id="rId58"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98765"/>
                <wp:effectExtent l="0" t="0" r="2540" b="635"/>
                <wp:docPr id="48"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4"/>
                        <pic:cNvPicPr>
                          <a:picLocks noChangeAspect="1"/>
                        </pic:cNvPicPr>
                        <pic:nvPr/>
                      </pic:nvPicPr>
                      <pic:blipFill>
                        <a:blip r:embed="rId59"/>
                        <a:stretch/>
                      </pic:blipFill>
                      <pic:spPr bwMode="auto">
                        <a:xfrm>
                          <a:off x="0" y="0"/>
                          <a:ext cx="5572760" cy="789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38.8pt;height:621.9pt;mso-wrap-distance-left:0.0pt;mso-wrap-distance-top:0.0pt;mso-wrap-distance-right:0.0pt;mso-wrap-distance-bottom:0.0pt;" stroked="f">
                <v:path textboxrect="0,0,0,0"/>
                <v:imagedata r:id="rId59"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68950" cy="7840980"/>
                <wp:effectExtent l="0" t="0" r="6350" b="7620"/>
                <wp:docPr id="49"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5"/>
                        <pic:cNvPicPr>
                          <a:picLocks noChangeAspect="1"/>
                        </pic:cNvPicPr>
                        <pic:nvPr/>
                      </pic:nvPicPr>
                      <pic:blipFill>
                        <a:blip r:embed="rId60"/>
                        <a:stretch/>
                      </pic:blipFill>
                      <pic:spPr bwMode="auto">
                        <a:xfrm>
                          <a:off x="0" y="0"/>
                          <a:ext cx="5568950" cy="7840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38.5pt;height:617.4pt;mso-wrap-distance-left:0.0pt;mso-wrap-distance-top:0.0pt;mso-wrap-distance-right:0.0pt;mso-wrap-distance-bottom:0.0pt;" stroked="f">
                <v:path textboxrect="0,0,0,0"/>
                <v:imagedata r:id="rId60"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98765"/>
                <wp:effectExtent l="0" t="0" r="2540" b="635"/>
                <wp:docPr id="50"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6"/>
                        <pic:cNvPicPr>
                          <a:picLocks noChangeAspect="1"/>
                        </pic:cNvPicPr>
                        <pic:nvPr/>
                      </pic:nvPicPr>
                      <pic:blipFill>
                        <a:blip r:embed="rId61"/>
                        <a:stretch/>
                      </pic:blipFill>
                      <pic:spPr bwMode="auto">
                        <a:xfrm>
                          <a:off x="0" y="0"/>
                          <a:ext cx="5572760" cy="789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38.8pt;height:621.9pt;mso-wrap-distance-left:0.0pt;mso-wrap-distance-top:0.0pt;mso-wrap-distance-right:0.0pt;mso-wrap-distance-bottom:0.0pt;" stroked="f">
                <v:path textboxrect="0,0,0,0"/>
                <v:imagedata r:id="rId61"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0855" cy="7870190"/>
                <wp:effectExtent l="0" t="0" r="4445" b="3810"/>
                <wp:docPr id="51"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7"/>
                        <pic:cNvPicPr>
                          <a:picLocks noChangeAspect="1"/>
                        </pic:cNvPicPr>
                        <pic:nvPr/>
                      </pic:nvPicPr>
                      <pic:blipFill>
                        <a:blip r:embed="rId62"/>
                        <a:stretch/>
                      </pic:blipFill>
                      <pic:spPr bwMode="auto">
                        <a:xfrm>
                          <a:off x="0" y="0"/>
                          <a:ext cx="5570855" cy="7870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38.6pt;height:619.7pt;mso-wrap-distance-left:0.0pt;mso-wrap-distance-top:0.0pt;mso-wrap-distance-right:0.0pt;mso-wrap-distance-bottom:0.0pt;" stroked="f">
                <v:path textboxrect="0,0,0,0"/>
                <v:imagedata r:id="rId62"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98765"/>
                <wp:effectExtent l="0" t="0" r="2540" b="635"/>
                <wp:docPr id="52"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8"/>
                        <pic:cNvPicPr>
                          <a:picLocks noChangeAspect="1"/>
                        </pic:cNvPicPr>
                        <pic:nvPr/>
                      </pic:nvPicPr>
                      <pic:blipFill>
                        <a:blip r:embed="rId63"/>
                        <a:stretch/>
                      </pic:blipFill>
                      <pic:spPr bwMode="auto">
                        <a:xfrm>
                          <a:off x="0" y="0"/>
                          <a:ext cx="5572760" cy="789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38.8pt;height:621.9pt;mso-wrap-distance-left:0.0pt;mso-wrap-distance-top:0.0pt;mso-wrap-distance-right:0.0pt;mso-wrap-distance-bottom:0.0pt;" stroked="f">
                <v:path textboxrect="0,0,0,0"/>
                <v:imagedata r:id="rId63" o:title=""/>
              </v:shape>
            </w:pict>
          </mc:Fallback>
        </mc:AlternateContent>
      </w:r>
      <w:r/>
    </w:p>
    <w:p>
      <w:pPr>
        <w:pStyle w:val="825"/>
        <w:ind w:left="0" w:firstLine="0"/>
        <w:rPr>
          <w:color w:val="auto"/>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68950" cy="7847965"/>
                <wp:effectExtent l="0" t="0" r="6350" b="635"/>
                <wp:docPr id="53"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9"/>
                        <pic:cNvPicPr>
                          <a:picLocks noChangeAspect="1"/>
                        </pic:cNvPicPr>
                        <pic:nvPr/>
                      </pic:nvPicPr>
                      <pic:blipFill>
                        <a:blip r:embed="rId64"/>
                        <a:stretch/>
                      </pic:blipFill>
                      <pic:spPr bwMode="auto">
                        <a:xfrm>
                          <a:off x="0" y="0"/>
                          <a:ext cx="5568950" cy="784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38.5pt;height:617.9pt;mso-wrap-distance-left:0.0pt;mso-wrap-distance-top:0.0pt;mso-wrap-distance-right:0.0pt;mso-wrap-distance-bottom:0.0pt;" stroked="f">
                <v:path textboxrect="0,0,0,0"/>
                <v:imagedata r:id="rId64"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85430"/>
                <wp:effectExtent l="0" t="0" r="2540" b="1270"/>
                <wp:docPr id="54"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0"/>
                        <pic:cNvPicPr>
                          <a:picLocks noChangeAspect="1"/>
                        </pic:cNvPicPr>
                        <pic:nvPr/>
                      </pic:nvPicPr>
                      <pic:blipFill>
                        <a:blip r:embed="rId65"/>
                        <a:stretch/>
                      </pic:blipFill>
                      <pic:spPr bwMode="auto">
                        <a:xfrm>
                          <a:off x="0" y="0"/>
                          <a:ext cx="5572760" cy="7885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38.8pt;height:620.9pt;mso-wrap-distance-left:0.0pt;mso-wrap-distance-top:0.0pt;mso-wrap-distance-right:0.0pt;mso-wrap-distance-bottom:0.0pt;" stroked="f">
                <v:path textboxrect="0,0,0,0"/>
                <v:imagedata r:id="rId65"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85430"/>
                <wp:effectExtent l="0" t="0" r="2540" b="1270"/>
                <wp:docPr id="55"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1"/>
                        <pic:cNvPicPr>
                          <a:picLocks noChangeAspect="1"/>
                        </pic:cNvPicPr>
                        <pic:nvPr/>
                      </pic:nvPicPr>
                      <pic:blipFill>
                        <a:blip r:embed="rId66"/>
                        <a:stretch/>
                      </pic:blipFill>
                      <pic:spPr bwMode="auto">
                        <a:xfrm>
                          <a:off x="0" y="0"/>
                          <a:ext cx="5572760" cy="7885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38.8pt;height:620.9pt;mso-wrap-distance-left:0.0pt;mso-wrap-distance-top:0.0pt;mso-wrap-distance-right:0.0pt;mso-wrap-distance-bottom:0.0pt;" stroked="f">
                <v:path textboxrect="0,0,0,0"/>
                <v:imagedata r:id="rId66"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92415"/>
                <wp:effectExtent l="0" t="0" r="2540" b="6985"/>
                <wp:docPr id="56"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2"/>
                        <pic:cNvPicPr>
                          <a:picLocks noChangeAspect="1"/>
                        </pic:cNvPicPr>
                        <pic:nvPr/>
                      </pic:nvPicPr>
                      <pic:blipFill>
                        <a:blip r:embed="rId67"/>
                        <a:stretch/>
                      </pic:blipFill>
                      <pic:spPr bwMode="auto">
                        <a:xfrm>
                          <a:off x="0" y="0"/>
                          <a:ext cx="5572760" cy="78924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38.8pt;height:621.4pt;mso-wrap-distance-left:0.0pt;mso-wrap-distance-top:0.0pt;mso-wrap-distance-right:0.0pt;mso-wrap-distance-bottom:0.0pt;" stroked="f">
                <v:path textboxrect="0,0,0,0"/>
                <v:imagedata r:id="rId67"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2760" cy="7885430"/>
                <wp:effectExtent l="0" t="0" r="2540" b="1270"/>
                <wp:docPr id="57"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3"/>
                        <pic:cNvPicPr>
                          <a:picLocks noChangeAspect="1"/>
                        </pic:cNvPicPr>
                        <pic:nvPr/>
                      </pic:nvPicPr>
                      <pic:blipFill>
                        <a:blip r:embed="rId68"/>
                        <a:stretch/>
                      </pic:blipFill>
                      <pic:spPr bwMode="auto">
                        <a:xfrm>
                          <a:off x="0" y="0"/>
                          <a:ext cx="5572760" cy="7885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38.8pt;height:620.9pt;mso-wrap-distance-left:0.0pt;mso-wrap-distance-top:0.0pt;mso-wrap-distance-right:0.0pt;mso-wrap-distance-bottom:0.0pt;" stroked="f">
                <v:path textboxrect="0,0,0,0"/>
                <v:imagedata r:id="rId68" o:title=""/>
              </v:shape>
            </w:pict>
          </mc:Fallback>
        </mc:AlternateContent>
      </w:r>
      <w:r/>
    </w:p>
    <w:p>
      <w:pPr>
        <w:pStyle w:val="825"/>
        <w:ind w:left="0" w:firstLine="0"/>
        <w:rPr>
          <w:rFonts w:hint="eastAsia"/>
          <w:color w:val="auto"/>
          <w:highlight w:val="none"/>
          <w:lang w:eastAsia="zh-CN"/>
        </w:rPr>
        <w:sectPr>
          <w:footnotePr/>
          <w:endnotePr/>
          <w:type w:val="nextPage"/>
          <w:pgSz w:w="11907" w:h="16840" w:orient="portrait"/>
          <w:pgMar w:top="1440" w:right="1559" w:bottom="1440" w:left="1560" w:header="851" w:footer="851" w:gutter="0"/>
          <w:cols w:num="1" w:sep="0" w:space="720" w:equalWidth="1"/>
          <w:docGrid w:linePitch="360"/>
        </w:sectPr>
      </w:pPr>
      <w:r>
        <w:rPr>
          <w:color w:val="auto"/>
          <w:highlight w:val="none"/>
        </w:rPr>
        <mc:AlternateContent>
          <mc:Choice Requires="wpg">
            <w:drawing>
              <wp:inline xmlns:wp="http://schemas.openxmlformats.org/drawingml/2006/wordprocessingDrawing" distT="0" distB="0" distL="0" distR="0">
                <wp:extent cx="5574665" cy="7894320"/>
                <wp:effectExtent l="0" t="0" r="635" b="5080"/>
                <wp:docPr id="58"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4"/>
                        <pic:cNvPicPr>
                          <a:picLocks noChangeAspect="1"/>
                        </pic:cNvPicPr>
                        <pic:nvPr/>
                      </pic:nvPicPr>
                      <pic:blipFill>
                        <a:blip r:embed="rId69"/>
                        <a:stretch/>
                      </pic:blipFill>
                      <pic:spPr bwMode="auto">
                        <a:xfrm>
                          <a:off x="0" y="0"/>
                          <a:ext cx="5574665" cy="7894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38.9pt;height:621.6pt;mso-wrap-distance-left:0.0pt;mso-wrap-distance-top:0.0pt;mso-wrap-distance-right:0.0pt;mso-wrap-distance-bottom:0.0pt;" stroked="f">
                <v:path textboxrect="0,0,0,0"/>
                <v:imagedata r:id="rId69" o:title=""/>
              </v:shape>
            </w:pict>
          </mc:Fallback>
        </mc:AlternateContent>
      </w:r>
      <w:r/>
    </w:p>
    <w:p>
      <w:pPr>
        <w:pStyle w:val="1047"/>
        <w:rPr>
          <w:rFonts w:hint="eastAsia"/>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111125</wp:posOffset>
                </wp:positionH>
                <wp:positionV relativeFrom="paragraph">
                  <wp:posOffset>201930</wp:posOffset>
                </wp:positionV>
                <wp:extent cx="5574665" cy="7894320"/>
                <wp:effectExtent l="0" t="0" r="635" b="5080"/>
                <wp:wrapNone/>
                <wp:docPr id="59"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5"/>
                        <pic:cNvPicPr>
                          <a:picLocks noChangeAspect="1"/>
                        </pic:cNvPicPr>
                        <pic:nvPr/>
                      </pic:nvPicPr>
                      <pic:blipFill>
                        <a:blip r:embed="rId70"/>
                        <a:stretch/>
                      </pic:blipFill>
                      <pic:spPr bwMode="auto">
                        <a:xfrm>
                          <a:off x="0" y="0"/>
                          <a:ext cx="5574665" cy="7894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3360;o:allowoverlap:true;o:allowincell:true;mso-position-horizontal-relative:text;margin-left:8.8pt;mso-position-horizontal:absolute;mso-position-vertical-relative:text;margin-top:15.9pt;mso-position-vertical:absolute;width:438.9pt;height:621.6pt;mso-wrap-distance-left:9.0pt;mso-wrap-distance-top:0.0pt;mso-wrap-distance-right:9.0pt;mso-wrap-distance-bottom:0.0pt;" stroked="f">
                <v:path textboxrect="0,0,0,0"/>
                <v:imagedata r:id="rId70" o:title=""/>
              </v:shape>
            </w:pict>
          </mc:Fallback>
        </mc:AlternateContent>
      </w:r>
      <w:bookmarkEnd w:id="11"/>
      <w:r/>
      <w:bookmarkEnd w:id="12"/>
      <w:r/>
      <w:bookmarkEnd w:id="13"/>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numPr>
          <w:ilvl w:val="0"/>
          <w:numId w:val="0"/>
        </w:numPr>
        <w:jc w:val="center"/>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lang w:val="en-US" w:eastAsia="zh-CN"/>
        </w:rPr>
        <w:t xml:space="preserve">第四章    </w:t>
      </w:r>
      <w:r>
        <w:rPr>
          <w:rFonts w:hint="eastAsia" w:ascii="黑体" w:hAnsi="Courier New" w:eastAsia="黑体" w:cs="Courier New"/>
          <w:bCs/>
          <w:color w:val="auto"/>
          <w:sz w:val="44"/>
          <w:szCs w:val="21"/>
          <w:highlight w:val="none"/>
        </w:rPr>
        <w:t xml:space="preserve">采购需求</w:t>
      </w:r>
      <w:r/>
    </w:p>
    <w:p>
      <w:pPr>
        <w:numPr>
          <w:ilvl w:val="0"/>
          <w:numId w:val="0"/>
        </w:numPr>
        <w:spacing w:before="120" w:after="120" w:line="0" w:lineRule="atLeast"/>
        <w:rPr>
          <w:rFonts w:hint="eastAsia" w:ascii="宋体" w:hAnsi="Courier New" w:eastAsia="宋体" w:cs="Courier New"/>
          <w:color w:val="auto"/>
          <w:sz w:val="24"/>
          <w:szCs w:val="24"/>
          <w:highlight w:val="none"/>
          <w:lang w:val="en-US" w:eastAsia="zh-CN"/>
        </w:rPr>
      </w:pPr>
      <w:r>
        <w:rPr>
          <w:rFonts w:hint="eastAsia" w:ascii="宋体" w:hAnsi="Courier New" w:eastAsia="宋体" w:cs="Courier New"/>
          <w:color w:val="auto"/>
          <w:sz w:val="24"/>
          <w:szCs w:val="24"/>
          <w:highlight w:val="none"/>
          <w:lang w:val="en-US" w:eastAsia="zh-CN"/>
        </w:rPr>
        <w:t xml:space="preserve">项目属性：工程类项目</w:t>
      </w:r>
      <w:r/>
    </w:p>
    <w:p>
      <w:pPr>
        <w:numPr>
          <w:ilvl w:val="0"/>
          <w:numId w:val="0"/>
        </w:numPr>
        <w:spacing w:before="120" w:after="120" w:line="0" w:lineRule="atLeast"/>
        <w:rPr>
          <w:rFonts w:hint="eastAsia" w:ascii="宋体" w:hAnsi="Courier New" w:eastAsia="宋体" w:cs="Courier New"/>
          <w:color w:val="auto"/>
          <w:sz w:val="24"/>
          <w:szCs w:val="24"/>
          <w:highlight w:val="none"/>
          <w:lang w:val="en-US" w:eastAsia="zh-CN"/>
        </w:rPr>
      </w:pPr>
      <w:r>
        <w:rPr>
          <w:rFonts w:hint="eastAsia" w:ascii="宋体" w:hAnsi="Courier New" w:eastAsia="宋体" w:cs="Courier New"/>
          <w:color w:val="auto"/>
          <w:sz w:val="24"/>
          <w:szCs w:val="24"/>
          <w:highlight w:val="none"/>
          <w:lang w:val="en-US" w:eastAsia="zh-CN"/>
        </w:rPr>
        <w:t xml:space="preserve">采购需求包括拟采购的标的及其需要满足的技术、商务要求。</w:t>
      </w:r>
      <w:r/>
    </w:p>
    <w:p>
      <w:pPr>
        <w:numPr>
          <w:ilvl w:val="0"/>
          <w:numId w:val="0"/>
        </w:numPr>
        <w:spacing w:before="120" w:after="120" w:line="0" w:lineRule="atLeast"/>
        <w:rPr>
          <w:rFonts w:hint="eastAsia" w:ascii="宋体" w:hAnsi="Courier New" w:eastAsia="宋体" w:cs="Courier New"/>
          <w:color w:val="auto"/>
          <w:sz w:val="24"/>
          <w:szCs w:val="24"/>
          <w:highlight w:val="none"/>
          <w:lang w:val="en-US" w:eastAsia="zh-CN"/>
        </w:rPr>
      </w:pPr>
      <w:r>
        <w:rPr>
          <w:rFonts w:hint="eastAsia" w:ascii="宋体" w:hAnsi="Courier New" w:eastAsia="宋体" w:cs="Courier New"/>
          <w:color w:val="auto"/>
          <w:sz w:val="24"/>
          <w:szCs w:val="24"/>
          <w:highlight w:val="none"/>
          <w:lang w:val="en-US" w:eastAsia="zh-CN"/>
        </w:rPr>
        <w:t xml:space="preserve">（一）、技术要求是指对采购标的功能和质量要求，包括性能、材料、结构、外观、安全，或者服务内容和标准等。</w:t>
      </w:r>
      <w:r/>
    </w:p>
    <w:p>
      <w:pPr>
        <w:numPr>
          <w:ilvl w:val="0"/>
          <w:numId w:val="0"/>
        </w:numPr>
        <w:spacing w:before="120" w:after="120" w:line="0" w:lineRule="atLeast"/>
        <w:rPr>
          <w:rFonts w:hint="eastAsia" w:ascii="宋体" w:hAnsi="Courier New" w:eastAsia="宋体" w:cs="Courier New"/>
          <w:color w:val="auto"/>
          <w:sz w:val="24"/>
          <w:szCs w:val="24"/>
          <w:highlight w:val="none"/>
          <w:lang w:val="en-US" w:eastAsia="zh-CN"/>
        </w:rPr>
      </w:pPr>
      <w:r>
        <w:rPr>
          <w:rFonts w:hint="eastAsia" w:ascii="宋体" w:hAnsi="Courier New" w:eastAsia="宋体" w:cs="Courier New"/>
          <w:color w:val="auto"/>
          <w:sz w:val="24"/>
          <w:szCs w:val="24"/>
          <w:highlight w:val="none"/>
          <w:lang w:val="en-US" w:eastAsia="zh-CN"/>
        </w:rPr>
        <w:t xml:space="preserve">（二）、商务要求是指取得采购标的的时间、地点、财务和服务要求，包括交付（实施）的时间（期限）和地点（范围），付款条件（进度和方法），包装和运输，售后服务，保险等。</w:t>
      </w:r>
      <w:r/>
    </w:p>
    <w:p>
      <w:pPr>
        <w:numPr>
          <w:ilvl w:val="0"/>
          <w:numId w:val="0"/>
        </w:numPr>
        <w:spacing w:before="120" w:after="120" w:line="0" w:lineRule="atLeast"/>
        <w:rPr>
          <w:rFonts w:hint="eastAsia" w:ascii="宋体" w:hAnsi="Courier New" w:eastAsia="宋体" w:cs="Courier New"/>
          <w:color w:val="auto"/>
          <w:sz w:val="24"/>
          <w:szCs w:val="24"/>
          <w:highlight w:val="none"/>
          <w:lang w:val="en-US" w:eastAsia="zh-CN"/>
        </w:rPr>
      </w:pPr>
      <w:r>
        <w:rPr>
          <w:rFonts w:hint="eastAsia" w:ascii="宋体" w:hAnsi="Courier New" w:eastAsia="宋体" w:cs="Courier New"/>
          <w:color w:val="auto"/>
          <w:sz w:val="24"/>
          <w:szCs w:val="24"/>
          <w:highlight w:val="none"/>
          <w:lang w:val="en-US" w:eastAsia="zh-CN"/>
        </w:rPr>
        <w:t xml:space="preserve">（三）、采购需求中必须满足的实质性要求。</w:t>
      </w:r>
      <w:r/>
    </w:p>
    <w:p>
      <w:pPr>
        <w:jc w:val="cente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采购标的对应的中小企业划分标准所属行业一览表</w:t>
      </w:r>
      <w:r/>
    </w:p>
    <w:tbl>
      <w:tblPr>
        <w:tblStyle w:val="8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91"/>
        <w:gridCol w:w="2991"/>
      </w:tblGrid>
      <w:tr>
        <w:trPr>
          <w:cantSplit/>
          <w:jc w:val="center"/>
        </w:trPr>
        <w:tc>
          <w:tcPr>
            <w:tcW w:w="9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299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291"/>
        </w:trPr>
        <w:tc>
          <w:tcPr>
            <w:tcW w:w="927" w:type="dxa"/>
            <w:vAlign w:val="top"/>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91" w:type="dxa"/>
            <w:vAlign w:val="top"/>
            <w:textDirection w:val="lrTb"/>
            <w:noWrap w:val="false"/>
          </w:tcPr>
          <w:p>
            <w:pPr>
              <w:jc w:val="center"/>
              <w:spacing w:line="0" w:lineRule="atLeast"/>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南通市通州区2026年度骨干河道水土流失治理工程施工</w:t>
            </w:r>
            <w:r/>
          </w:p>
        </w:tc>
        <w:tc>
          <w:tcPr>
            <w:tcW w:w="299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建筑业</w:t>
            </w:r>
            <w:r/>
          </w:p>
        </w:tc>
      </w:tr>
    </w:tbl>
    <w:p>
      <w:pPr>
        <w:spacing w:line="360" w:lineRule="auto"/>
        <w:rPr>
          <w:rFonts w:hint="eastAsia" w:ascii="宋体" w:hAnsi="宋体" w:cs="宋体"/>
          <w:b/>
          <w:color w:val="auto"/>
          <w:sz w:val="24"/>
          <w:szCs w:val="24"/>
          <w:highlight w:val="none"/>
        </w:rPr>
        <w:outlineLvl w:val="0"/>
      </w:pPr>
      <w:r/>
      <w:bookmarkStart w:id="171" w:name="_Toc8735"/>
      <w:r/>
      <w:bookmarkStart w:id="172" w:name="_Toc13080"/>
      <w:r/>
      <w:bookmarkStart w:id="173" w:name="_Toc4280"/>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lang w:val="zh-CN"/>
        </w:rPr>
        <w:t xml:space="preserve">、工程量清单</w:t>
      </w:r>
      <w:bookmarkEnd w:id="171"/>
      <w:r/>
      <w:bookmarkEnd w:id="172"/>
      <w:r/>
      <w:bookmarkEnd w:id="173"/>
      <w:r/>
      <w:r/>
    </w:p>
    <w:p>
      <w:pPr>
        <w:ind w:firstLine="482"/>
        <w:keepLines/>
        <w:keepNext/>
        <w:spacing w:line="480" w:lineRule="exact"/>
        <w:rPr>
          <w:rFonts w:hint="eastAsia" w:ascii="宋体" w:hAnsi="宋体" w:cs="宋体"/>
          <w:b/>
          <w:bCs/>
          <w:color w:val="auto"/>
          <w:sz w:val="24"/>
          <w:szCs w:val="24"/>
          <w:highlight w:val="none"/>
        </w:rPr>
        <w:outlineLvl w:val="2"/>
      </w:pPr>
      <w:r/>
      <w:bookmarkStart w:id="174" w:name="_Toc473034406"/>
      <w:r/>
      <w:bookmarkStart w:id="175" w:name="_Toc498006749"/>
      <w:r>
        <w:rPr>
          <w:rFonts w:hint="eastAsia" w:ascii="宋体" w:hAnsi="宋体" w:cs="宋体"/>
          <w:b/>
          <w:bCs/>
          <w:color w:val="auto"/>
          <w:sz w:val="24"/>
          <w:szCs w:val="24"/>
          <w:highlight w:val="none"/>
        </w:rPr>
        <w:t xml:space="preserve">1．工程量清单编制说明</w:t>
      </w:r>
      <w:bookmarkEnd w:id="174"/>
      <w:r/>
      <w:bookmarkEnd w:id="175"/>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1.1本工程量清单是依据现行国家标准《建设工程工程量清单计价规范》、《水利水电工程量清单计价规范》等计算规范、地方规定以及采购文件中包括的图纸等编制。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1.2本工程量清单应与磋商文件中的磋商须知、通用合同条款、专用合同条款、技术标准和要求及图纸等章节内容一起阅读和理解。</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1.3本工程量清单仅是响应报价的共同基础，竣工结算的工程量按合同约定确定。合同价格的确定以及价款支付应遵循合同条款（包括通用合同条款和专用合同条款）、技术标准和要求以及本章的有关约定。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1.4本条第1.1款中约定的计量和计价规则适用于合同履约过程中工程量计量与价款支付、工程变更、索赔和工程结算。</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1.5本条与本章第2条和第3条的说明内容是构成合同文件的已标价工程量清单的组成部分。</w:t>
      </w:r>
      <w:r/>
    </w:p>
    <w:p>
      <w:pPr>
        <w:ind w:firstLine="482"/>
        <w:keepLines/>
        <w:keepNext/>
        <w:spacing w:line="480" w:lineRule="exact"/>
        <w:rPr>
          <w:rFonts w:hint="eastAsia" w:ascii="宋体" w:hAnsi="宋体" w:cs="宋体"/>
          <w:b/>
          <w:bCs/>
          <w:color w:val="auto"/>
          <w:sz w:val="24"/>
          <w:szCs w:val="24"/>
          <w:highlight w:val="none"/>
        </w:rPr>
        <w:outlineLvl w:val="2"/>
      </w:pPr>
      <w:r/>
      <w:bookmarkStart w:id="176" w:name="_Toc498006750"/>
      <w:r/>
      <w:bookmarkStart w:id="177" w:name="_Toc473034407"/>
      <w:r>
        <w:rPr>
          <w:rFonts w:hint="eastAsia" w:ascii="宋体" w:hAnsi="宋体" w:cs="宋体"/>
          <w:b/>
          <w:bCs/>
          <w:color w:val="auto"/>
          <w:sz w:val="24"/>
          <w:szCs w:val="24"/>
          <w:highlight w:val="none"/>
        </w:rPr>
        <w:t xml:space="preserve">2．响应报价编制要求</w:t>
      </w:r>
      <w:bookmarkEnd w:id="176"/>
      <w:r/>
      <w:bookmarkEnd w:id="17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2.1响应报价应根据磋商文件中的有关计价要求，并按照下列依据自主报价，但不得低于成本。</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（1）本磋商文件；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（2）《水利水电工程量清单计价规范》（GB50501-2007）；</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（3）《江苏省水利工程预算定额（2010）版》</w:t>
      </w:r>
      <w:r>
        <w:rPr>
          <w:rFonts w:hint="eastAsia" w:ascii="宋体" w:hAnsi="宋体" w:cs="宋体"/>
          <w:color w:val="auto"/>
          <w:sz w:val="24"/>
          <w:szCs w:val="24"/>
          <w:highlight w:val="none"/>
          <w:lang w:val="en-US" w:eastAsia="zh-CN"/>
        </w:rPr>
        <w:t xml:space="preserve">及相关定额</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）本工程相关税费的计取以工程量清单为准；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）国家或省级、行业建设主管部门颁发的计价办法；</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）企业定额，国家或省级、行业建设主管部门颁发的计价定额；</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）磋商文件、招标工程量清单及其补充通知、答疑纪要；</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）建设工程设计文件及相关资料；</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）施工现场情况、工程特点及拟定的投标施工组织设计或施工方案；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）与建设项目相关的标准、规范等技术资料；</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）市场价格信息或工程造价管理机构发布的工程造价信息；</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）其他的相关资料。</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2.4“响应报价汇总表”中的投标总价由分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分项工程费、措施项目费、其他项目费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零星工作项目费</w:t>
      </w:r>
      <w:r>
        <w:rPr>
          <w:rFonts w:hint="eastAsia" w:ascii="宋体" w:hAnsi="宋体" w:cs="宋体"/>
          <w:color w:val="auto"/>
          <w:sz w:val="24"/>
          <w:szCs w:val="24"/>
          <w:highlight w:val="none"/>
        </w:rPr>
        <w:t xml:space="preserve">组成，并且“响应报价汇总表”中的投标总价应当与构成已标价工程量清单的分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分项工程费、措施项目费、其他项目费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零星工作项目费</w:t>
      </w:r>
      <w:r>
        <w:rPr>
          <w:rFonts w:hint="eastAsia" w:ascii="宋体" w:hAnsi="宋体" w:cs="宋体"/>
          <w:color w:val="auto"/>
          <w:sz w:val="24"/>
          <w:szCs w:val="24"/>
          <w:highlight w:val="none"/>
        </w:rPr>
        <w:t xml:space="preserve">的合计金额一致。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分项工程和措施项目中的单价项目按下列要求报价：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分项工程和措施项目中的单价项目，应根据磋商文件和招标工程量清单确定综合单价。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2.5.2如果分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分项工程量清单中涉及“材料（工程设备）暂估单价及调整表”中列出的材料和工程设备，将该类材料和工程设备的暂估单价计入对应的工程量清单综合单价。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2.5.3如果分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分项工程和单价措施项目清单与计价表”所列各项目的综合单价组成中，各项目的人工、材料和机械台班消耗量、管理费费率、利润费率</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由投标人按照其自身情况做充分的、竞争性考虑。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2.5.5投标人在磋商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2.6措施项目中的总价项目按下列要求报价：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2.6.1总价措施项目中，以费率计算的，投标单位在响应报价时自主报价；其他总价措施项目，按项计取，综合单价按实际或可能发生的费用进行计算。</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2.6.2措施项目清单中的安全文明施工费应按国家、省级或行业建设主管部门的规定计价，不得作为竞争性费用。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采购人提供的措施项目清单，磋商响应人在报价时应充分、全面地阅读和理解采购文件的相关内容和约定，详实了解工程场地及其周围环境，充分考虑招标工程特点及拟定的施工方案和施工组织设计，磋商响应人可根据工程实际与施工组织设计增补总价措施项目，但不应更改采购人已列措施项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2.6.4“总价措施项目清单与计价表”中所填写的报价金额，应全面涵盖磋商文件约定的、磋商响应人中标后施工、竣工、交付本工程并维修其任何缺陷所需要履行的责任和义务的全部费用。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2.7其他项目清单费应按下列规定报价：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2.7.1暂列金额按“暂列金额明细表”中列出的金额报价，此处的暂列金额是采购人在磋商文件中统一给定的，并不包括本章第2.7.3项的计日工金额。</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2.7.2暂估价分为材料和工程设备暂估单价和专业工程暂估价两类。其中的材料和工程设备暂估单价按本节第2.5.2项的报价原则进入分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分项工程量清单之综合单价，不在其他项目清单中汇总；专业工程暂估价直接按“专业工程暂估价及结算价表”中列出的金额和本节第3.3.3项的报价原则计入其他项目清单报价。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2.7.3计日工按“计日工表”中列出的项目和估算数量，自主确定综合单价并计算计日工金额。</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2.7.4总承包服务费根据采购文件中列出的内容和要求，按“总承包服务费计价表”所列格式自主报价。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2.8规费和税金应按“规费、税金项目计价表”所列项目并根据国家、省级或行业建设主管部门的有关规定列项和计算，不得作为竞争性费用。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2.9除磋商文件有强制性规定以及不可竞争部分以外，响应报价由磋商响应人自主确定，但不得低于成本。</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工程量清单计价所涉及的生产资源（包括各类人工、材料、工程设备、施工设备、临时设施、临时用水、临时用电等）的投标价格，应根据自身的信息渠道和采购渠道，分析其市场价格水平并判断其整个施工周期内的变化趋势，体现磋商响应人自身的管理水平、技术水平和综合实力。</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2.11管理费应由磋商响应人在保证不低于其成本的基础上做竞争性考虑；利润由磋商响应人根据自身情况和综合实力做竞争性考虑。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2.12响应报价中应考虑磋商文件中要求磋商响应人承担的风险范围以及相关的费用。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2.13投标总价为磋商响应人在磋商响应文件中提出的各项支付金额的总和，为实施、完成本工程并修补缺陷以及履行磋商文件中约定的风险范围内的所有责任和义务所发生的全部费用。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2.14有关响应报价的其他要求：/。</w:t>
      </w:r>
      <w:r/>
    </w:p>
    <w:p>
      <w:pPr>
        <w:ind w:firstLine="482"/>
        <w:keepLines/>
        <w:keepNext/>
        <w:spacing w:line="480" w:lineRule="exact"/>
        <w:rPr>
          <w:rFonts w:hint="eastAsia" w:ascii="宋体" w:hAnsi="宋体" w:cs="宋体"/>
          <w:b/>
          <w:bCs/>
          <w:color w:val="auto"/>
          <w:sz w:val="24"/>
          <w:szCs w:val="24"/>
          <w:highlight w:val="none"/>
        </w:rPr>
        <w:outlineLvl w:val="2"/>
      </w:pPr>
      <w:r/>
      <w:bookmarkStart w:id="178" w:name="_Toc473034408"/>
      <w:r/>
      <w:bookmarkStart w:id="179" w:name="_Toc498006751"/>
      <w:r>
        <w:rPr>
          <w:rFonts w:hint="eastAsia" w:ascii="宋体" w:hAnsi="宋体" w:cs="宋体"/>
          <w:b/>
          <w:bCs/>
          <w:color w:val="auto"/>
          <w:sz w:val="24"/>
          <w:szCs w:val="24"/>
          <w:highlight w:val="none"/>
        </w:rPr>
        <w:t xml:space="preserve">3．其他说明</w:t>
      </w:r>
      <w:bookmarkEnd w:id="178"/>
      <w:r/>
      <w:bookmarkEnd w:id="179"/>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3.1词语和定义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3.1.1同义词语</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本章中使用的词语“采购人”和“磋商响应人”分别与合同条款中定义的“发包人”和“承包人”同义。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3.2工程量差异调整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3.2.1工程量清单中的项目列项、特征描述、工作内容以及“分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分项工程和单价措施项目清单与计价表”中附带的工程量都不应理解为是对承包（招标）范围以及合同工作内容的唯一的、最终的或全部的定义。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磋商响应人可对采购人提供的工程量清单进行复核。这种复核包括对采购人提供的工程量清单中的项目编码、项目名称、项目特征描述、计量单位、工程量的准确性以及可能存在的任何书写、打印错误进行检查和复核，也包括对“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分项工程和单价措施项目清单与计价表”中每个工作项目的工程量进行重新计算和校核。如果磋商响应人经过检查和复核以后认为采购人提供的工程量清单存在差异，则投标人按第二章</w:t>
      </w:r>
      <w:r>
        <w:rPr>
          <w:rFonts w:hint="eastAsia" w:ascii="宋体" w:hAnsi="宋体" w:cs="宋体"/>
          <w:color w:val="auto"/>
          <w:sz w:val="24"/>
          <w:szCs w:val="24"/>
          <w:highlight w:val="none"/>
          <w:lang w:val="en-US" w:eastAsia="zh-CN"/>
        </w:rPr>
        <w:t xml:space="preserve">7.1</w:t>
      </w:r>
      <w:r>
        <w:rPr>
          <w:rFonts w:hint="eastAsia" w:ascii="宋体" w:hAnsi="宋体" w:cs="宋体"/>
          <w:color w:val="auto"/>
          <w:sz w:val="24"/>
          <w:szCs w:val="24"/>
          <w:highlight w:val="none"/>
        </w:rPr>
        <w:t xml:space="preserve">款</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规定</w:t>
      </w:r>
      <w:r>
        <w:rPr>
          <w:rFonts w:hint="eastAsia" w:ascii="宋体" w:hAnsi="宋体" w:cs="宋体"/>
          <w:color w:val="auto"/>
          <w:sz w:val="24"/>
          <w:szCs w:val="24"/>
          <w:highlight w:val="none"/>
          <w:lang w:val="en-US" w:eastAsia="zh-CN"/>
        </w:rPr>
        <w:t xml:space="preserve">向</w:t>
      </w:r>
      <w:r>
        <w:rPr>
          <w:rFonts w:hint="eastAsia" w:ascii="宋体" w:hAnsi="宋体" w:cs="宋体"/>
          <w:color w:val="auto"/>
          <w:sz w:val="24"/>
          <w:szCs w:val="24"/>
          <w:highlight w:val="none"/>
        </w:rPr>
        <w:t xml:space="preserve">采购人提出异议。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如果采购人在检查磋商响应人根据上文第3.2.2项提交的工程量差异问题后认为没有必要对工程量清单进行补充和（或）修改，或者招标人根据上文第3.2.2项对工程量清单进行了补充和（或）修改，但磋商响应人认为工程量清单中的工程量依然存在差异，则此类差异不再提交采购人答疑和修正，而是直接按采购人提供的工程量清单（包括采购人可能的补充和（或）修改）进行响应报价。磋商响应人在按照工程量清单进行报价时，除按照本节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.3项要求对采购人提供的措施项目清单项目增补外，不得改变（包括对工程量清单项目的项目名称、项目特征描述、计量单位以及工程量的任何修改、增加或减少）采购人提供的分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分项工程量清单和其他项目清单。即使按照图纸和招标范围的约定并不存在的项目，只要在采购人提供的分</w:t>
      </w:r>
      <w:r>
        <w:rPr>
          <w:rFonts w:hint="eastAsia" w:ascii="宋体" w:hAnsi="宋体" w:cs="宋体"/>
          <w:color w:val="auto"/>
          <w:sz w:val="24"/>
          <w:szCs w:val="24"/>
          <w:highlight w:val="none"/>
          <w:lang w:val="en-US" w:eastAsia="zh-CN"/>
        </w:rPr>
        <w:t xml:space="preserve">类</w:t>
      </w:r>
      <w:r>
        <w:rPr>
          <w:rFonts w:hint="eastAsia" w:ascii="宋体" w:hAnsi="宋体" w:cs="宋体"/>
          <w:color w:val="auto"/>
          <w:sz w:val="24"/>
          <w:szCs w:val="24"/>
          <w:highlight w:val="none"/>
        </w:rPr>
        <w:t xml:space="preserve">分项工程量清单中已经列明，磋商响应人都需要对其报价，并纳入投标总价的计算。</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3.3暂列金额和暂估价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3.3.1“暂列金额明细表”中所列暂列金额（不包括计日工金额）中已经包含与其对应的管理费、利润。投标人应按本采购文件规定将此类暂列金额直接纳入其他项目清单的投标价格中。</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3.3.3专业工程暂估价及结算价表中所列的专业工程暂估价已经包含与其对应的管理费、利润，但不含规费和税金。投标人应按本采购文件规定将此类暂估价直接纳入其他项目清单的投标价格中。</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二、技术标准和要求</w:t>
      </w:r>
      <w:bookmarkStart w:id="180" w:name="_Toc349555826"/>
      <w:r/>
      <w:bookmarkStart w:id="181" w:name="_Toc349557651"/>
      <w:r/>
      <w:bookmarkEnd w:id="180"/>
      <w:r/>
      <w:bookmarkEnd w:id="181"/>
      <w:r/>
      <w:r/>
    </w:p>
    <w:p>
      <w:pPr>
        <w:ind w:firstLine="480"/>
        <w:spacing w:line="480" w:lineRule="exact"/>
        <w:rPr>
          <w:rFonts w:hint="eastAsia" w:ascii="宋体" w:hAnsi="宋体" w:cs="宋体"/>
          <w:color w:val="auto"/>
          <w:sz w:val="24"/>
          <w:szCs w:val="24"/>
          <w:highlight w:val="none"/>
        </w:rPr>
      </w:pPr>
      <w:r/>
      <w:bookmarkStart w:id="182" w:name="_Toc333498743"/>
      <w:r>
        <w:rPr>
          <w:rFonts w:hint="eastAsia" w:ascii="宋体" w:hAnsi="宋体" w:cs="宋体"/>
          <w:color w:val="auto"/>
          <w:sz w:val="24"/>
          <w:szCs w:val="24"/>
          <w:highlight w:val="none"/>
        </w:rPr>
        <w:t xml:space="preserve">1、本工程采用的计价规范</w:t>
      </w:r>
      <w:r/>
    </w:p>
    <w:p>
      <w:pPr>
        <w:ind w:firstLine="480"/>
        <w:spacing w:line="480" w:lineRule="exact"/>
        <w:rPr>
          <w:rFonts w:hint="eastAsia" w:ascii="宋体" w:hAnsi="宋体" w:cs="宋体"/>
          <w:color w:val="auto"/>
          <w:sz w:val="24"/>
          <w:szCs w:val="24"/>
          <w:highlight w:val="none"/>
        </w:rPr>
      </w:pPr>
      <w:r/>
      <w:bookmarkStart w:id="183" w:name="_Toc302327448"/>
      <w:r/>
      <w:bookmarkEnd w:id="183"/>
      <w:r/>
      <w:bookmarkStart w:id="184" w:name="_Toc430274634"/>
      <w:r/>
      <w:bookmarkEnd w:id="184"/>
      <w:r>
        <w:rPr>
          <w:rFonts w:hint="eastAsia" w:ascii="宋体" w:hAnsi="宋体" w:cs="宋体"/>
          <w:color w:val="auto"/>
          <w:sz w:val="24"/>
          <w:szCs w:val="24"/>
          <w:highlight w:val="none"/>
        </w:rPr>
        <w:t xml:space="preserve">《水利水电工程量清单计价规范》（GB50501-2007）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《江苏省水利工程预算定额（2010）版》以及相应补充规定和省、市其他有关规定执行。</w:t>
      </w:r>
      <w:r/>
    </w:p>
    <w:p>
      <w:pPr>
        <w:ind w:firstLine="480"/>
        <w:spacing w:line="480" w:lineRule="exact"/>
        <w:rPr>
          <w:rFonts w:hint="eastAsia" w:ascii="宋体" w:hAnsi="宋体" w:cs="宋体"/>
          <w:color w:val="auto"/>
          <w:sz w:val="24"/>
          <w:szCs w:val="24"/>
          <w:highlight w:val="none"/>
        </w:rPr>
      </w:pPr>
      <w:r/>
      <w:bookmarkStart w:id="185" w:name="_Toc499790107"/>
      <w:r/>
      <w:bookmarkEnd w:id="185"/>
      <w:r>
        <w:rPr>
          <w:rFonts w:hint="eastAsia" w:ascii="宋体" w:hAnsi="宋体" w:cs="宋体"/>
          <w:color w:val="auto"/>
          <w:sz w:val="24"/>
          <w:szCs w:val="24"/>
          <w:highlight w:val="none"/>
        </w:rPr>
        <w:t xml:space="preserve">2、本工程采用的技术规范</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（1）有关技术经济资料规定的其他强制性条文、规范及标准。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（2）国家、地方、行业现行的建设工程强制性条文、规范及标准。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（3）国家、地方、行业现行的有关材料、设备的规范和标准。</w:t>
      </w:r>
      <w:r/>
    </w:p>
    <w:p>
      <w:pPr>
        <w:ind w:firstLine="480"/>
        <w:spacing w:line="480" w:lineRule="exact"/>
        <w:rPr>
          <w:rFonts w:hint="eastAsia" w:ascii="宋体" w:hAnsi="宋体" w:cs="宋体"/>
          <w:color w:val="auto"/>
          <w:sz w:val="24"/>
          <w:szCs w:val="24"/>
          <w:highlight w:val="none"/>
        </w:rPr>
      </w:pPr>
      <w:r/>
      <w:bookmarkStart w:id="186" w:name="_Toc430274635"/>
      <w:r/>
      <w:bookmarkEnd w:id="186"/>
      <w:r/>
      <w:bookmarkStart w:id="187" w:name="_Toc302327449"/>
      <w:r/>
      <w:bookmarkEnd w:id="187"/>
      <w:r/>
      <w:bookmarkStart w:id="188" w:name="_Toc499790108"/>
      <w:r/>
      <w:bookmarkEnd w:id="188"/>
      <w:r>
        <w:rPr>
          <w:rFonts w:hint="eastAsia" w:ascii="宋体" w:hAnsi="宋体" w:cs="宋体"/>
          <w:color w:val="auto"/>
          <w:sz w:val="24"/>
          <w:szCs w:val="24"/>
          <w:highlight w:val="none"/>
        </w:rPr>
        <w:t xml:space="preserve">3、本工程对施工工艺的特殊要求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（1）施工期间注意周边环境，减少对周围居民、行人的影响（交通、灰尘、噪音等）。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（2）冬雨季施工要采取相应的保证措施。</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（3）工程主要部位和特殊要求由发包人、设计、监理三方讨论后以书面形式通知承包人实施。</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4、其余见设计院设计说明。</w:t>
      </w:r>
      <w:bookmarkEnd w:id="182"/>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三、需要补充的其他内容：</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1、现场条件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（1）施工现场情况：本工程现场条件较复杂，请供应商务必自行认真踏勘现场条件并综合考虑到报价中，一旦中标不得对现场条件提出额外要求。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（2）施工用水、电：自行解决。</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（3）场内外道路：已通。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其他：成交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磋商响应人自行考虑，并列入响应报价，工程结算时不作调整，一旦中标不得对现场条件提出任何额外要求及任何费用。包含但不限于施工时的保护措施、评审费用、群众工作等引起误工、安全围栏等，以上内容均由施工方负责，甲方不予签证，施工单位在磋商前请务必认真踏勘现场，响应报价时综合考虑，费用均包含在总价之中。</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当招标人不统一组织现场踏勘时，请供应商务必自行认真踏勘现场条件并综合考虑到报价中，一旦中标不得对现场条件提出额外要求。</w:t>
      </w:r>
      <w:r/>
    </w:p>
    <w:p>
      <w:pPr>
        <w:numPr>
          <w:ilvl w:val="0"/>
          <w:numId w:val="2"/>
        </w:num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cs="宋体"/>
          <w:b/>
          <w:bCs/>
          <w:color w:val="auto"/>
          <w:sz w:val="24"/>
          <w:szCs w:val="24"/>
          <w:highlight w:val="none"/>
        </w:rPr>
        <w:t xml:space="preserve">本工程采用单价方式进行报价，请供应商结合工程量清单、图纸、合同条款技术标准一起阅读理解，供应商报价时应充分考虑施工期间各类的市场风险。</w:t>
      </w:r>
      <w:r/>
    </w:p>
    <w:p>
      <w:pPr>
        <w:numPr>
          <w:ilvl w:val="0"/>
          <w:numId w:val="0"/>
        </w:numPr>
        <w:ind w:firstLine="48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lang w:val="en-US" w:eastAsia="zh-CN"/>
        </w:rPr>
        <w:t xml:space="preserve">差额履约保证金</w:t>
      </w:r>
      <w:r/>
    </w:p>
    <w:p>
      <w:pPr>
        <w:ind w:firstLine="42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（1）如成交价过低（过低的界定详见磋商文件《第五章评审方法与评审标准》（五）</w:t>
      </w:r>
      <w:r>
        <w:rPr>
          <w:rFonts w:ascii="宋体" w:hAnsi="宋体" w:eastAsia="宋体" w:cs="宋体"/>
          <w:bCs/>
          <w:color w:val="auto"/>
          <w:sz w:val="24"/>
          <w:szCs w:val="24"/>
          <w:highlight w:val="none"/>
          <w:lang w:val="en-US" w:eastAsia="zh-CN"/>
        </w:rPr>
        <w:t xml:space="preserve">政府采购异常低价审查的</w:t>
      </w:r>
      <w:r>
        <w:rPr>
          <w:rFonts w:hint="eastAsia" w:ascii="宋体" w:hAnsi="宋体" w:eastAsia="宋体" w:cs="宋体"/>
          <w:bCs/>
          <w:color w:val="auto"/>
          <w:sz w:val="24"/>
          <w:szCs w:val="24"/>
          <w:highlight w:val="none"/>
          <w:lang w:val="en-US" w:eastAsia="zh-CN"/>
        </w:rPr>
        <w:t xml:space="preserve">实施），采购人除要求成交人提供履约保证金外，可要求成交人向采购人提供差额履约保证金，金额为最高限价与成交价的差值。</w:t>
      </w:r>
      <w:r/>
    </w:p>
    <w:p>
      <w:pPr>
        <w:ind w:firstLine="420"/>
        <w:pageBreakBefore w:val="0"/>
        <w:spacing w:line="460" w:lineRule="exact"/>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（2）差额履约保证金的缴纳方式和退还方式同履约保证金。</w:t>
      </w:r>
      <w:r/>
    </w:p>
    <w:p>
      <w:pPr>
        <w:pStyle w:val="819"/>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rPr>
          <w:color w:val="auto"/>
          <w:highlight w:val="none"/>
        </w:rPr>
      </w:pPr>
      <w:r>
        <w:rPr>
          <w:color w:val="auto"/>
          <w:highlight w:val="none"/>
        </w:rPr>
      </w:r>
      <w:r/>
    </w:p>
    <w:p>
      <w:pPr>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r>
      <w:r/>
    </w:p>
    <w:p>
      <w:pPr>
        <w:pStyle w:val="819"/>
        <w:rPr>
          <w:color w:val="auto"/>
          <w:highlight w:val="none"/>
        </w:rPr>
      </w:pPr>
      <w:r>
        <w:rPr>
          <w:color w:val="auto"/>
          <w:highlight w:val="none"/>
        </w:rPr>
      </w:r>
      <w:r/>
    </w:p>
    <w:p>
      <w:pPr>
        <w:numPr>
          <w:ilvl w:val="0"/>
          <w:numId w:val="0"/>
        </w:numPr>
        <w:jc w:val="center"/>
        <w:keepLines w:val="0"/>
        <w:keepNext w:val="0"/>
        <w:pageBreakBefore w:val="0"/>
        <w:spacing w:line="500" w:lineRule="exact"/>
        <w:widowControl w:val="off"/>
        <w:rPr>
          <w:rFonts w:hint="eastAsia" w:ascii="黑体" w:hAnsi="黑体" w:eastAsia="黑体" w:cs="黑体"/>
          <w:bCs/>
          <w:color w:val="auto"/>
          <w:sz w:val="44"/>
          <w:szCs w:val="44"/>
          <w:highlight w:val="none"/>
          <w:lang w:val="en-US" w:eastAsia="zh-CN"/>
        </w:rPr>
      </w:pPr>
      <w:r>
        <w:rPr>
          <w:rFonts w:hint="eastAsia" w:ascii="黑体" w:hAnsi="黑体" w:eastAsia="黑体" w:cs="黑体"/>
          <w:bCs/>
          <w:color w:val="auto"/>
          <w:sz w:val="44"/>
          <w:szCs w:val="44"/>
          <w:highlight w:val="none"/>
        </w:rPr>
        <w:t xml:space="preserve">第</w:t>
      </w:r>
      <w:r>
        <w:rPr>
          <w:rFonts w:hint="eastAsia" w:ascii="黑体" w:hAnsi="黑体" w:eastAsia="黑体" w:cs="黑体"/>
          <w:bCs/>
          <w:color w:val="auto"/>
          <w:sz w:val="44"/>
          <w:szCs w:val="44"/>
          <w:highlight w:val="none"/>
          <w:lang w:val="en-US" w:eastAsia="zh-CN"/>
        </w:rPr>
        <w:t xml:space="preserve">五章  评审方法与评审标准</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评审程序及评审标准</w:t>
      </w:r>
      <w:r/>
    </w:p>
    <w:p>
      <w:pPr>
        <w:ind w:firstLine="482"/>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（一）磋商小组对供应商资格进行审查。</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符合《政府采购法》第二十二条规定条件的承诺函</w:t>
      </w:r>
      <w:r>
        <w:rPr>
          <w:rFonts w:hint="eastAsia" w:ascii="宋体" w:hAnsi="宋体" w:cs="宋体"/>
          <w:color w:val="auto"/>
          <w:sz w:val="24"/>
          <w:highlight w:val="none"/>
          <w:lang w:val="zh-CN"/>
        </w:rPr>
        <w:t xml:space="preserve">（格式见附件）；</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b w:val="0"/>
          <w:bCs/>
          <w:color w:val="auto"/>
          <w:sz w:val="24"/>
          <w:szCs w:val="24"/>
          <w:highlight w:val="none"/>
          <w:lang w:val="en-US" w:eastAsia="zh-CN"/>
        </w:rPr>
        <w:t xml:space="preserve">（2）法人或者其他组织的营业执照等证明文件；自然人的身份证明；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（3）法定代表人身份证明书及法定代表人身份证复印件</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（4）法定代表人授权委托书及委托代理人身份证复印件（如有授权）</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（7）具备履行合同所必需的设备和专业技术能力的书面声明</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（8）参加政府采购活动前 3 年内在经营活动中没有重大违法记录的书面声明</w:t>
      </w:r>
      <w:r>
        <w:rPr>
          <w:rFonts w:hint="eastAsia" w:ascii="宋体" w:hAnsi="宋体" w:cs="宋体"/>
          <w:color w:val="auto"/>
          <w:sz w:val="24"/>
          <w:highlight w:val="none"/>
          <w:lang w:val="zh-CN"/>
        </w:rPr>
        <w:t xml:space="preserve">（格</w:t>
      </w:r>
      <w:r>
        <w:rPr>
          <w:rFonts w:hint="eastAsia" w:ascii="宋体" w:hAnsi="宋体" w:eastAsia="宋体" w:cs="宋体"/>
          <w:b w:val="0"/>
          <w:bCs/>
          <w:color w:val="auto"/>
          <w:sz w:val="24"/>
          <w:szCs w:val="24"/>
          <w:highlight w:val="none"/>
          <w:lang w:val="zh-CN" w:eastAsia="zh-CN"/>
        </w:rPr>
        <w:t xml:space="preserve">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水利水电工程施工总承包</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二级及以上资质</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b/>
          <w:color w:val="auto"/>
          <w:sz w:val="24"/>
          <w:highlight w:val="none"/>
          <w:u w:val="single"/>
        </w:rPr>
        <w:t xml:space="preserve">水利水电工程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rPr>
        <w:t xml:space="preserve">贰级及以上注册建造师执业资格</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rPr>
          <w:rFonts w:hint="eastAsia" w:ascii="宋体" w:hAnsi="宋体" w:cs="宋体"/>
          <w:bCs/>
          <w:color w:val="auto"/>
          <w:sz w:val="24"/>
          <w:highlight w:val="none"/>
          <w:lang w:bidi="ar"/>
        </w:rPr>
        <w:t xml:space="preserve">（详见</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文件格式附件）</w:t>
      </w:r>
      <w:r>
        <w:rPr>
          <w:rFonts w:hint="eastAsia" w:ascii="宋体" w:hAnsi="宋体" w:cs="宋体"/>
          <w:bCs/>
          <w:color w:val="auto"/>
          <w:sz w:val="24"/>
          <w:highlight w:val="none"/>
          <w:lang w:eastAsia="zh-CN" w:bidi="ar"/>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（11）拟派</w:t>
      </w:r>
      <w:r>
        <w:rPr>
          <w:rFonts w:hint="eastAsia" w:ascii="宋体" w:hAnsi="宋体" w:eastAsia="宋体" w:cs="宋体"/>
          <w:b/>
          <w:bCs w:val="0"/>
          <w:color w:val="auto"/>
          <w:sz w:val="24"/>
          <w:szCs w:val="24"/>
          <w:highlight w:val="none"/>
          <w:lang w:val="en-US" w:eastAsia="zh-CN"/>
        </w:rPr>
        <w:t xml:space="preserve">授权委托人、拟派项目负责人</w:t>
      </w:r>
      <w:r>
        <w:rPr>
          <w:rFonts w:hint="eastAsia" w:ascii="宋体" w:hAnsi="宋体" w:eastAsia="宋体" w:cs="宋体"/>
          <w:b w:val="0"/>
          <w:bCs/>
          <w:color w:val="auto"/>
          <w:sz w:val="24"/>
          <w:szCs w:val="24"/>
          <w:highlight w:val="none"/>
          <w:lang w:val="en-US" w:eastAsia="zh-CN"/>
        </w:rPr>
        <w:t xml:space="preserve">和企业签订的有效劳动合同，投标企业所在地社保机构出具的由企业为</w:t>
      </w:r>
      <w:r>
        <w:rPr>
          <w:rFonts w:hint="eastAsia" w:ascii="宋体" w:hAnsi="宋体" w:eastAsia="宋体" w:cs="宋体"/>
          <w:b/>
          <w:bCs w:val="0"/>
          <w:color w:val="auto"/>
          <w:sz w:val="24"/>
          <w:szCs w:val="24"/>
          <w:highlight w:val="none"/>
          <w:lang w:val="en-US" w:eastAsia="zh-CN"/>
        </w:rPr>
        <w:t xml:space="preserve">授权委托人</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拟派项目负责人</w:t>
      </w:r>
      <w:r>
        <w:rPr>
          <w:rFonts w:hint="eastAsia" w:ascii="宋体" w:hAnsi="宋体" w:eastAsia="宋体" w:cs="宋体"/>
          <w:b w:val="0"/>
          <w:bCs/>
          <w:color w:val="auto"/>
          <w:sz w:val="24"/>
          <w:szCs w:val="24"/>
          <w:highlight w:val="none"/>
          <w:lang w:val="en-US" w:eastAsia="zh-CN"/>
        </w:rPr>
        <w:t xml:space="preserve">缴纳的投标截止时间前3个月（不含投标截止时间当月）中至少一个月的养老保险缴纳证明材料（注：委托代理人为法定代表人的，无需提供养老保险缴费证明）；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（12）供应商信用承诺书；（格式见附件）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（13）其他证明材料（本项目专门面向中小企业采购）</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ascii="Calibri" w:hAnsi="Calibri" w:eastAsia="宋体" w:cs="Calibri"/>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en-US" w:eastAsia="zh-CN"/>
        </w:rPr>
        <w:t xml:space="preserve">中小企业声明函；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ascii="Calibri" w:hAnsi="Calibri" w:eastAsia="宋体" w:cs="Calibri"/>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en-US" w:eastAsia="zh-CN"/>
        </w:rPr>
        <w:t xml:space="preserve">监狱企业证明函（如符合监狱企业的需提供）；</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ascii="Calibri" w:hAnsi="Calibri" w:eastAsia="宋体" w:cs="Calibri"/>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en-US" w:eastAsia="zh-CN"/>
        </w:rPr>
        <w:t xml:space="preserve">残疾人福利性单位声明函（如符合残疾人福利性单位的需提供）；</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上述（1）—（13）中，供应商资格不合格的，其响应文件判定为无效投标文件。</w:t>
      </w:r>
      <w:r/>
    </w:p>
    <w:p>
      <w:pPr>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lang w:val="zh-CN" w:eastAsia="zh-CN"/>
        </w:rPr>
        <w:t xml:space="preserve">文件，将被判为不满足</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lang w:val="zh-CN" w:eastAsia="zh-CN"/>
        </w:rPr>
        <w:t xml:space="preserve">文件实质性要求。</w:t>
      </w:r>
      <w:r/>
    </w:p>
    <w:p>
      <w:pPr>
        <w:ind w:firstLine="482"/>
        <w:keepLines w:val="0"/>
        <w:keepNext w:val="0"/>
        <w:pageBreakBefore w:val="0"/>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商务技术标及</w:t>
      </w:r>
      <w:r>
        <w:rPr>
          <w:rFonts w:hint="eastAsia" w:ascii="宋体" w:hAnsi="宋体" w:eastAsia="宋体" w:cs="宋体"/>
          <w:b/>
          <w:color w:val="auto"/>
          <w:sz w:val="24"/>
          <w:szCs w:val="24"/>
          <w:highlight w:val="none"/>
          <w:lang w:val="en-US" w:eastAsia="zh-CN"/>
        </w:rPr>
        <w:t xml:space="preserve">价格</w:t>
      </w:r>
      <w:r>
        <w:rPr>
          <w:rFonts w:hint="eastAsia" w:ascii="宋体" w:hAnsi="宋体" w:eastAsia="宋体" w:cs="宋体"/>
          <w:b/>
          <w:color w:val="auto"/>
          <w:sz w:val="24"/>
          <w:szCs w:val="24"/>
          <w:highlight w:val="none"/>
        </w:rPr>
        <w:t xml:space="preserve">标评审标准（100分）</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本项目总分值为100分，其中商务技术部分40分，价格部分60分；投标得分=商务技术部分得分+价格部分得分。</w:t>
      </w:r>
      <w:bookmarkStart w:id="189" w:name="_Toc184635088"/>
      <w:r/>
      <w:bookmarkEnd w:id="189"/>
      <w:r/>
      <w:bookmarkStart w:id="190" w:name="_Toc474229428"/>
      <w:r/>
      <w:bookmarkEnd w:id="190"/>
      <w:r/>
      <w:bookmarkStart w:id="191" w:name="_Toc12009"/>
      <w:r/>
      <w:bookmarkEnd w:id="191"/>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商务技术标部分（40分）</w:t>
      </w:r>
      <w:r/>
    </w:p>
    <w:tbl>
      <w:tblPr>
        <w:tblStyle w:val="803"/>
        <w:tblpPr w:horzAnchor="page" w:tblpX="1129" w:vertAnchor="text" w:tblpY="46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1"/>
        <w:gridCol w:w="1417"/>
        <w:gridCol w:w="7013"/>
        <w:gridCol w:w="666"/>
      </w:tblGrid>
      <w:tr>
        <w:trPr>
          <w:trHeight w:val="420"/>
          <w:tblHeader/>
        </w:trPr>
        <w:tc>
          <w:tcPr>
            <w:tcW w:w="230" w:type="pct"/>
            <w:vAlign w:val="center"/>
            <w:textDirection w:val="lrTb"/>
            <w:noWrap/>
          </w:tcPr>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42" w:type="pct"/>
            <w:vAlign w:val="center"/>
            <w:textDirection w:val="lrTb"/>
            <w:noWrap/>
          </w:tcPr>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3676"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349"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分值</w:t>
            </w:r>
            <w:r/>
          </w:p>
        </w:tc>
      </w:tr>
      <w:tr>
        <w:trPr>
          <w:cantSplit/>
          <w:trHeight w:val="434"/>
        </w:trPr>
        <w:tc>
          <w:tcPr>
            <w:tcW w:w="230"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42" w:type="pct"/>
            <w:vAlign w:val="center"/>
            <w:textDirection w:val="lrTb"/>
            <w:noWrap/>
          </w:tcPr>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施工进度计划、工期、资源配置计划</w:t>
            </w:r>
            <w:r/>
          </w:p>
        </w:tc>
        <w:tc>
          <w:tcPr>
            <w:tcW w:w="3676" w:type="pct"/>
            <w:textDirection w:val="lrTb"/>
            <w:noWrap/>
          </w:tcPr>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施工进度计划是否科学、合理，施工进度横道图或网络图（应具体到天）是否详细，关键路径是否正确、清晰，工序分解是否详细合理，各工序工作历时安排是否合理且有详细的计算说明，总工期、节点工期是否符合采购文件要求，进度保证措施是否有力等要素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2.1</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（2）针对投入本项目施工的主要机械设备使用计划，设备数量，设备选型，是否有详细的计算说明等要素进行评分。方案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2.1</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（3）针对资金使用、各工种劳动力的安排等要素进行评分。方案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2.1</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349" w:type="pct"/>
            <w:vAlign w:val="center"/>
            <w:textDirection w:val="lrTb"/>
            <w:noWrap/>
          </w:tcPr>
          <w:p>
            <w:pPr>
              <w:jc w:val="center"/>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r>
      <w:tr>
        <w:trPr>
          <w:cantSplit/>
          <w:trHeight w:val="1398"/>
        </w:trPr>
        <w:tc>
          <w:tcPr>
            <w:tcW w:w="230"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42" w:type="pct"/>
            <w:vAlign w:val="center"/>
            <w:textDirection w:val="lrTb"/>
            <w:noWrap/>
          </w:tcPr>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施工质量、安全、环保、文明施工和廉政建设、工程资料管理</w:t>
            </w:r>
            <w:r/>
          </w:p>
        </w:tc>
        <w:tc>
          <w:tcPr>
            <w:tcW w:w="3676" w:type="pct"/>
            <w:textDirection w:val="lrTb"/>
            <w:noWrap/>
          </w:tcPr>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（1）针对质量管理体系是否完整，组织体系是否健全，岗位职责是否明确，措施力度等要素进行评分。方案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2.1</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针对安全生产资金、人员、设备等的投入，安全管理体系，防护措施，环境保护管理体系，污染物处理及排放是否符合国家及地方环境保护标准，技术及管理措施，文明施工和廉政建设投入（资金、人员、设备等）等要素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2.1</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（3）针对工程资料是否有专人专职负责并从岗位职责、工地档案室建设规范、配备的设备、档案整理措施等要素进行评分。方案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2.1</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349"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p>
        </w:tc>
      </w:tr>
      <w:tr>
        <w:trPr>
          <w:cantSplit/>
          <w:trHeight w:val="1398"/>
        </w:trPr>
        <w:tc>
          <w:tcPr>
            <w:tcW w:w="230"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42" w:type="pct"/>
            <w:vAlign w:val="center"/>
            <w:textDirection w:val="lrTb"/>
            <w:noWrap/>
          </w:tcPr>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材料组织、工程质量保证措施、施工方案与技术措施</w:t>
            </w:r>
            <w:r/>
          </w:p>
        </w:tc>
        <w:tc>
          <w:tcPr>
            <w:tcW w:w="3676" w:type="pct"/>
            <w:textDirection w:val="lrTb"/>
            <w:noWrap/>
          </w:tcPr>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材料组织：针对工程及设备材料的采购、检测和质量保证措施等要素进行评分。方案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2.8</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spacing w:line="400" w:lineRule="exact"/>
              <w:widowControl w:val="off"/>
              <w:rPr>
                <w:color w:val="auto"/>
                <w:highlight w:val="none"/>
              </w:rPr>
            </w:pPr>
            <w:r>
              <w:rPr>
                <w:rFonts w:hint="eastAsia" w:ascii="宋体" w:hAnsi="宋体" w:eastAsia="宋体" w:cs="宋体"/>
                <w:color w:val="auto"/>
                <w:sz w:val="24"/>
                <w:szCs w:val="24"/>
                <w:highlight w:val="none"/>
              </w:rPr>
              <w:t xml:space="preserve">（2）工程质量保证措施：针对施工方案可行性，能满足施工需要并能保证内外质量；程序符合有关施工规程规范要求，质量保证措施科学合理等方面进行评分。方案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2.8</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（3）针对工程各分部、分项、单元施工程序、工艺是否合理，是否符合有关施工规程规范要求，质量保证措施是否可行等方面进行评分。方案</w:t>
            </w:r>
            <w:r>
              <w:rPr>
                <w:rFonts w:ascii="宋体" w:hAnsi="宋体" w:eastAsia="宋体" w:cs="宋体"/>
                <w:color w:val="auto"/>
                <w:sz w:val="24"/>
                <w:highlight w:val="none"/>
              </w:rPr>
              <w:t xml:space="preserve">优于或完全满足本项目需求的得</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方案合理基本满足项目需求</w:t>
            </w:r>
            <w:r>
              <w:rPr>
                <w:rFonts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2.8</w:t>
            </w:r>
            <w:r>
              <w:rPr>
                <w:rFonts w:ascii="宋体" w:hAnsi="宋体" w:eastAsia="宋体" w:cs="宋体"/>
                <w:color w:val="auto"/>
                <w:sz w:val="24"/>
                <w:highlight w:val="none"/>
              </w:rPr>
              <w:t xml:space="preserve">分；</w:t>
            </w:r>
            <w:r>
              <w:rPr>
                <w:rFonts w:hint="eastAsia" w:ascii="宋体" w:hAnsi="宋体" w:cs="宋体"/>
                <w:color w:val="auto"/>
                <w:sz w:val="24"/>
                <w:szCs w:val="24"/>
                <w:highlight w:val="none"/>
                <w:lang w:eastAsia="zh-CN"/>
              </w:rPr>
              <w:t xml:space="preserve">缺少相应内容的评审要点不得分</w:t>
            </w:r>
            <w:r>
              <w:rPr>
                <w:rFonts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349" w:type="pct"/>
            <w:vAlign w:val="center"/>
            <w:textDirection w:val="lrTb"/>
            <w:noWrap/>
          </w:tcPr>
          <w:p>
            <w:pPr>
              <w:jc w:val="center"/>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r>
      <w:tr>
        <w:trPr>
          <w:cantSplit/>
          <w:trHeight w:val="782"/>
        </w:trPr>
        <w:tc>
          <w:tcPr>
            <w:tcW w:w="230"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42"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w:t>
            </w:r>
            <w:r/>
          </w:p>
        </w:tc>
        <w:tc>
          <w:tcPr>
            <w:tcW w:w="3676" w:type="pct"/>
            <w:vAlign w:val="center"/>
            <w:textDirection w:val="lrTb"/>
            <w:noWrap/>
          </w:tcPr>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针对本项目投入项目工作人员情况比较，最高为6分。</w:t>
            </w:r>
            <w:r/>
          </w:p>
          <w:p>
            <w:pPr>
              <w:keepLines/>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1、项目负责人投入情况比较，最高为3分。</w:t>
            </w:r>
            <w:r/>
          </w:p>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项目负责人具有高级职称的得3分；具有中级职称的得1.5分；</w:t>
            </w:r>
            <w:r/>
          </w:p>
          <w:p>
            <w:pPr>
              <w:keepLines/>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2、技术人员投入情况比较，最高为3分。</w:t>
            </w:r>
            <w:r/>
          </w:p>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技术人员具有中级及以上职称的，每个得1.5分，最高3分，其余不得分；</w:t>
            </w:r>
            <w:r/>
          </w:p>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上述人员必须是磋商响应单位的职工（提供社保机构出具的由企业为职工缴纳的提交响应文件截止时间前三个月（不含提交响应文件截止时间当月）中至少一个月的养老保险缴纳证明材料），所有岗位人员不得重复使用。</w:t>
            </w:r>
            <w:r/>
          </w:p>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（2）所提供证书必须真实有效，如果存在作假行为，则取消其磋商资格，并按相关法律法规处理。</w:t>
            </w:r>
            <w:r/>
          </w:p>
        </w:tc>
        <w:tc>
          <w:tcPr>
            <w:tcW w:w="349"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782"/>
        </w:trPr>
        <w:tc>
          <w:tcPr>
            <w:tcW w:w="230"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42"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3676" w:type="pct"/>
            <w:vAlign w:val="center"/>
            <w:textDirection w:val="lrTb"/>
            <w:noWrap/>
          </w:tcPr>
          <w:p>
            <w:pP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投标人近三年来（自提交响应文件截止时间起往前推算）承担过类似项目</w:t>
            </w:r>
            <w:r>
              <w:rPr>
                <w:rFonts w:hint="eastAsia" w:ascii="宋体" w:hAnsi="宋体" w:cs="宋体"/>
                <w:color w:val="auto"/>
                <w:sz w:val="24"/>
                <w:szCs w:val="24"/>
                <w:highlight w:val="none"/>
              </w:rPr>
              <w:t xml:space="preserve">（以完工验收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或合同工程验收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时间为准）</w:t>
            </w:r>
            <w:r>
              <w:rPr>
                <w:rFonts w:hint="eastAsia" w:ascii="宋体" w:hAnsi="宋体" w:eastAsia="宋体" w:cs="宋体"/>
                <w:color w:val="auto"/>
                <w:sz w:val="24"/>
                <w:szCs w:val="24"/>
                <w:highlight w:val="none"/>
              </w:rPr>
              <w:t xml:space="preserve">，每有1个得2分，本项最高得4分。</w:t>
            </w:r>
            <w:r/>
          </w:p>
          <w:p>
            <w:pPr>
              <w:keepLines/>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注：必须提供项目中标（成交）通知书、合同、</w:t>
            </w:r>
            <w:r>
              <w:rPr>
                <w:rFonts w:hint="eastAsia" w:ascii="宋体" w:hAnsi="宋体" w:cs="宋体"/>
                <w:color w:val="auto"/>
                <w:sz w:val="24"/>
                <w:szCs w:val="24"/>
                <w:highlight w:val="none"/>
              </w:rPr>
              <w:t xml:space="preserve">（以完工验收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或合同工程验收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时间为准）</w:t>
            </w:r>
            <w:r>
              <w:rPr>
                <w:rFonts w:hint="eastAsia" w:ascii="宋体" w:hAnsi="宋体" w:eastAsia="宋体" w:cs="宋体"/>
                <w:color w:val="auto"/>
                <w:sz w:val="24"/>
                <w:szCs w:val="24"/>
                <w:highlight w:val="none"/>
              </w:rPr>
              <w:t xml:space="preserve">（三者缺一不可）。同一项目仅计分一次，不重复计分。</w:t>
            </w:r>
            <w:r/>
          </w:p>
        </w:tc>
        <w:tc>
          <w:tcPr>
            <w:tcW w:w="349" w:type="pct"/>
            <w:vAlign w:val="center"/>
            <w:textDirection w:val="lrTb"/>
            <w:noWrap/>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bl>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ascii="Calibri" w:hAnsi="Calibri" w:eastAsia="宋体" w:cs="Calibri"/>
          <w:b w:val="0"/>
          <w:bCs/>
          <w:color w:val="auto"/>
          <w:sz w:val="24"/>
          <w:szCs w:val="24"/>
          <w:highlight w:val="none"/>
          <w:lang w:val="en-US" w:eastAsia="zh-CN"/>
        </w:rPr>
        <w:t xml:space="preserve">①</w:t>
      </w: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rPr>
        <w:t xml:space="preserve">进行评价、打分。技术分按算术平均值计算。分值四舍五入，保留小数点后两位。</w:t>
      </w:r>
      <w:r>
        <w:rPr>
          <w:rFonts w:hint="eastAsia" w:ascii="宋体" w:hAnsi="宋体" w:eastAsia="宋体" w:cs="宋体"/>
          <w:b/>
          <w:bCs w:val="0"/>
          <w:color w:val="auto"/>
          <w:sz w:val="24"/>
          <w:szCs w:val="24"/>
          <w:highlight w:val="none"/>
          <w:lang w:val="en-US" w:eastAsia="zh-CN"/>
        </w:rPr>
        <w:t xml:space="preserve">施工组织设计中除缺少相应内容的评审要点不得分外，其他各项评审要点得分不应低于该评审要点满分的70%。</w:t>
      </w:r>
      <w:r/>
    </w:p>
    <w:p>
      <w:pPr>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②请供应商制作磋商响应文件的时保证图片、文字材料的完整、清晰可辨，任何原因导致评委看不清楚或无法查看，后果由供应商自负。</w:t>
      </w:r>
      <w:r/>
    </w:p>
    <w:p>
      <w:pPr>
        <w:ind w:firstLine="482"/>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p>
    <w:p>
      <w:pPr>
        <w:pStyle w:val="1009"/>
        <w:ind w:firstLine="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（四）价格标部分（60分）</w:t>
      </w:r>
      <w:r/>
    </w:p>
    <w:tbl>
      <w:tblPr>
        <w:tblStyle w:val="803"/>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评标内容</w:t>
            </w:r>
            <w:r/>
          </w:p>
        </w:tc>
        <w:tc>
          <w:tcPr>
            <w:tcW w:w="690" w:type="dxa"/>
            <w:vAlign w:val="center"/>
            <w:textDirection w:val="lrTb"/>
            <w:noWrap w:val="false"/>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7800" w:type="dxa"/>
            <w:vAlign w:val="center"/>
            <w:textDirection w:val="lrTb"/>
            <w:noWrap w:val="false"/>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trHeight w:val="649"/>
        </w:trPr>
        <w:tc>
          <w:tcPr>
            <w:tcW w:w="1115" w:type="dxa"/>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标得分</w:t>
            </w:r>
            <w:r>
              <w:rPr>
                <w:rFonts w:hint="eastAsia" w:ascii="宋体" w:hAnsi="宋体" w:eastAsia="宋体" w:cs="宋体"/>
                <w:color w:val="auto"/>
                <w:sz w:val="24"/>
                <w:szCs w:val="24"/>
                <w:highlight w:val="none"/>
                <w:lang w:val="en-US" w:eastAsia="zh-CN"/>
              </w:rPr>
              <w:t xml:space="preserve"> </w:t>
            </w:r>
            <w:r/>
          </w:p>
        </w:tc>
        <w:tc>
          <w:tcPr>
            <w:tcW w:w="690" w:type="dxa"/>
            <w:vAlign w:val="center"/>
            <w:textDirection w:val="lrTb"/>
            <w:noWrap w:val="false"/>
          </w:tcPr>
          <w:p>
            <w:pPr>
              <w:jc w:val="center"/>
              <w:keepLines w:val="0"/>
              <w:keepNext w:val="0"/>
              <w:pageBreakBefore w:val="0"/>
              <w:spacing w:line="460" w:lineRule="exac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tcW w:w="7800" w:type="dxa"/>
            <w:vAlign w:val="center"/>
            <w:textDirection w:val="lrTb"/>
            <w:noWrap w:val="false"/>
          </w:tcPr>
          <w:p>
            <w:pP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（分值四舍五入，保留小数点后两位）</w:t>
            </w:r>
            <w:r/>
          </w:p>
        </w:tc>
      </w:tr>
    </w:tbl>
    <w:p>
      <w:pPr>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注：政府采购异常低价审查</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(一）评审中出现下列情形之一的，评审委员会应当启动异常低价投标（响应）审查程序： </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（3）投标（响应）报价低于采购项目最高限价45%的，即投标（响应）报价&lt;采购项目最高限价×45%； </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（4）评审委员会基于专业判断，认为供应商报价过低，有可能影响产品质量或者不能诚信履约的其他情形。 </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cs="宋体"/>
          <w:b w:val="0"/>
          <w:bCs w:val="0"/>
          <w:color w:val="auto"/>
          <w:sz w:val="24"/>
          <w:highlight w:val="none"/>
          <w:u w:val="none"/>
          <w:lang w:val="en-US" w:eastAsia="zh-CN"/>
        </w:rPr>
        <w:t xml:space="preserve">磋商小组</w:t>
      </w:r>
      <w:r>
        <w:rPr>
          <w:rFonts w:hint="eastAsia" w:ascii="宋体" w:hAnsi="宋体" w:eastAsia="宋体" w:cs="宋体"/>
          <w:b w:val="0"/>
          <w:bCs w:val="0"/>
          <w:color w:val="auto"/>
          <w:sz w:val="24"/>
          <w:szCs w:val="24"/>
          <w:highlight w:val="none"/>
          <w:lang w:val="en-US" w:eastAsia="zh-CN"/>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keepLines w:val="0"/>
        <w:keepNext w:val="0"/>
        <w:pageBreakBefore w:val="0"/>
        <w:spacing w:line="460" w:lineRule="exact"/>
        <w:widowControl/>
        <w:tabs>
          <w:tab w:val="left" w:pos="0" w:leader="none"/>
          <w:tab w:val="left" w:pos="993" w:leader="none"/>
          <w:tab w:val="left" w:pos="1134"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政府采购政策功能落实</w:t>
      </w:r>
      <w:r/>
    </w:p>
    <w:p>
      <w:pPr>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p>
    <w:p>
      <w:pPr>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本次采购标的对应的中小企业划分标准所属行业为：建筑业。</w:t>
      </w:r>
      <w:r/>
    </w:p>
    <w:p>
      <w:pPr>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供应商应为中小微企业、监狱企业或残疾人福利性单位，并按照采购文件要求提供《中小企业声明函》、《残疾人福利性单位声明函》或监狱和戒毒企业证明材料。 </w:t>
      </w:r>
      <w:r/>
    </w:p>
    <w:p>
      <w:pPr>
        <w:ind w:left="0" w:righ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keepLines w:val="0"/>
        <w:keepNext w:val="0"/>
        <w:pageBreakBefore w:val="0"/>
        <w:spacing w:line="4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rPr>
        <w:t xml:space="preserve">的确定</w:t>
      </w:r>
      <w:r/>
    </w:p>
    <w:p>
      <w:pPr>
        <w:ind w:left="0" w:firstLine="480"/>
        <w:keepLines w:val="0"/>
        <w:keepNext w:val="0"/>
        <w:pageBreakBefore w:val="0"/>
        <w:spacing w:line="460" w:lineRule="exact"/>
        <w:rPr>
          <w:rFonts w:hint="eastAsia" w:ascii="宋体" w:hAnsi="宋体" w:eastAsia="宋体" w:cs="宋体"/>
          <w:b w:val="0"/>
          <w:bCs w:val="0"/>
          <w:color w:val="auto"/>
          <w:sz w:val="24"/>
          <w:szCs w:val="24"/>
          <w:highlight w:val="none"/>
          <w:u w:val="none"/>
          <w:lang w:val="zh-CN" w:eastAsia="zh-CN"/>
        </w:rPr>
        <w:outlineLvl w:val="9"/>
      </w:pPr>
      <w:r>
        <w:rPr>
          <w:rFonts w:hint="eastAsia" w:ascii="宋体" w:hAnsi="宋体" w:eastAsia="宋体" w:cs="宋体"/>
          <w:color w:val="auto"/>
          <w:sz w:val="24"/>
          <w:szCs w:val="24"/>
          <w:highlight w:val="none"/>
          <w:lang w:val="zh-CN"/>
        </w:rPr>
        <w:t xml:space="preserve">磋商小组根据综合评分</w:t>
      </w:r>
      <w:r>
        <w:rPr>
          <w:rFonts w:hint="eastAsia" w:ascii="宋体" w:hAnsi="宋体" w:eastAsia="宋体" w:cs="宋体"/>
          <w:b w:val="0"/>
          <w:bCs w:val="0"/>
          <w:color w:val="auto"/>
          <w:sz w:val="24"/>
          <w:szCs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szCs w:val="24"/>
          <w:highlight w:val="none"/>
          <w:u w:val="none"/>
          <w:lang w:val="zh-CN" w:eastAsia="zh-CN"/>
        </w:rPr>
        <w:t xml:space="preserve">。</w:t>
      </w:r>
      <w:r/>
    </w:p>
    <w:p>
      <w:pPr>
        <w:ind w:firstLine="573"/>
        <w:keepLines w:val="0"/>
        <w:keepNext w:val="0"/>
        <w:pageBreakBefore w:val="0"/>
        <w:spacing w:line="460" w:lineRule="exact"/>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采购人委托磋商小组直接确定排名第一的成交候选人为成交供应商。</w:t>
      </w:r>
      <w:r/>
    </w:p>
    <w:p>
      <w:pPr>
        <w:keepLines w:val="0"/>
        <w:keepNext w:val="0"/>
        <w:pageBreakBefore w:val="0"/>
        <w:spacing w:line="460" w:lineRule="exact"/>
        <w:widowControl w:val="off"/>
        <w:rPr>
          <w:rFonts w:hint="eastAsia" w:ascii="宋体" w:hAnsi="宋体" w:eastAsia="宋体" w:cs="宋体"/>
          <w:b/>
          <w:bCs/>
          <w:color w:val="auto"/>
          <w:sz w:val="24"/>
          <w:szCs w:val="24"/>
          <w:highlight w:val="none"/>
          <w:u w:val="none"/>
          <w:lang w:val="zh-CN"/>
        </w:rPr>
      </w:pPr>
      <w:r>
        <w:rPr>
          <w:rFonts w:hint="eastAsia" w:ascii="宋体" w:hAnsi="宋体" w:eastAsia="宋体" w:cs="宋体"/>
          <w:b/>
          <w:bCs/>
          <w:color w:val="auto"/>
          <w:sz w:val="24"/>
          <w:szCs w:val="24"/>
          <w:highlight w:val="none"/>
          <w:u w:val="none"/>
          <w:lang w:val="en-US" w:eastAsia="zh-CN"/>
        </w:rPr>
        <w:t xml:space="preserve">四、</w:t>
      </w:r>
      <w:r>
        <w:rPr>
          <w:rFonts w:hint="eastAsia" w:ascii="宋体" w:hAnsi="宋体" w:eastAsia="宋体" w:cs="宋体"/>
          <w:b/>
          <w:bCs/>
          <w:color w:val="auto"/>
          <w:sz w:val="24"/>
          <w:szCs w:val="24"/>
          <w:highlight w:val="none"/>
          <w:u w:val="none"/>
          <w:lang w:val="zh-CN"/>
        </w:rPr>
        <w:t xml:space="preserve">公告成交结果</w:t>
      </w:r>
      <w:r/>
    </w:p>
    <w:p>
      <w:pPr>
        <w:ind w:firstLine="570"/>
        <w:keepLines w:val="0"/>
        <w:keepNext w:val="0"/>
        <w:pageBreakBefore w:val="0"/>
        <w:spacing w:line="460" w:lineRule="exact"/>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460" w:lineRule="exact"/>
        <w:widowControl w:val="off"/>
        <w:rPr>
          <w:rFonts w:hint="eastAsia" w:ascii="宋体" w:hAnsi="宋体" w:eastAsia="宋体" w:cs="宋体"/>
          <w:b/>
          <w:bCs/>
          <w:color w:val="auto"/>
          <w:sz w:val="24"/>
          <w:szCs w:val="24"/>
          <w:highlight w:val="none"/>
          <w:u w:val="none"/>
          <w:lang w:val="zh-CN"/>
        </w:rPr>
      </w:pPr>
      <w:r>
        <w:rPr>
          <w:rFonts w:hint="eastAsia" w:ascii="宋体" w:hAnsi="宋体" w:eastAsia="宋体" w:cs="宋体"/>
          <w:b/>
          <w:bCs/>
          <w:color w:val="auto"/>
          <w:sz w:val="24"/>
          <w:szCs w:val="24"/>
          <w:highlight w:val="none"/>
          <w:u w:val="none"/>
          <w:lang w:val="en-US" w:eastAsia="zh-CN"/>
        </w:rPr>
        <w:t xml:space="preserve">五、</w:t>
      </w:r>
      <w:r>
        <w:rPr>
          <w:rFonts w:hint="eastAsia" w:ascii="宋体" w:hAnsi="宋体" w:eastAsia="宋体" w:cs="宋体"/>
          <w:b/>
          <w:bCs/>
          <w:color w:val="auto"/>
          <w:sz w:val="24"/>
          <w:szCs w:val="24"/>
          <w:highlight w:val="none"/>
          <w:u w:val="none"/>
          <w:lang w:val="zh-CN"/>
        </w:rPr>
        <w:t xml:space="preserve">发放成交通知书</w:t>
      </w:r>
      <w:r/>
    </w:p>
    <w:p>
      <w:pPr>
        <w:ind w:firstLine="570"/>
        <w:keepLines w:val="0"/>
        <w:keepNext w:val="0"/>
        <w:pageBreakBefore w:val="0"/>
        <w:spacing w:line="460" w:lineRule="exact"/>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公告成交结果的同时，</w:t>
      </w:r>
      <w:r>
        <w:rPr>
          <w:rFonts w:hint="eastAsia" w:ascii="宋体" w:hAnsi="宋体" w:eastAsia="宋体" w:cs="宋体"/>
          <w:b w:val="0"/>
          <w:bCs w:val="0"/>
          <w:color w:val="auto"/>
          <w:sz w:val="24"/>
          <w:szCs w:val="24"/>
          <w:highlight w:val="none"/>
          <w:u w:val="none"/>
          <w:lang w:val="en-US" w:eastAsia="zh-CN"/>
        </w:rPr>
        <w:t xml:space="preserve">采购人</w:t>
      </w:r>
      <w:r>
        <w:rPr>
          <w:rFonts w:hint="eastAsia" w:ascii="宋体" w:hAnsi="宋体" w:eastAsia="宋体" w:cs="宋体"/>
          <w:b w:val="0"/>
          <w:bCs w:val="0"/>
          <w:color w:val="auto"/>
          <w:sz w:val="24"/>
          <w:szCs w:val="24"/>
          <w:highlight w:val="none"/>
          <w:u w:val="none"/>
          <w:lang w:val="zh-CN"/>
        </w:rPr>
        <w:t xml:space="preserve">向成交供应商发放成交通知书。</w:t>
      </w:r>
      <w:r/>
    </w:p>
    <w:p>
      <w:pPr>
        <w:ind w:firstLine="570"/>
        <w:keepLines w:val="0"/>
        <w:keepNext w:val="0"/>
        <w:pageBreakBefore w:val="0"/>
        <w:spacing w:line="460" w:lineRule="exact"/>
        <w:widowControl w:val="off"/>
        <w:rPr>
          <w:rFonts w:hint="eastAsia" w:ascii="宋体" w:hAnsi="宋体" w:eastAsia="宋体" w:cs="宋体"/>
          <w:b/>
          <w:bCs/>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r/>
    </w:p>
    <w:p>
      <w:pPr>
        <w:jc w:val="center"/>
        <w:keepNext/>
        <w:rPr>
          <w:rFonts w:hint="eastAsia" w:ascii="黑体" w:hAnsi="Times New Roman" w:eastAsia="黑体"/>
          <w:bCs/>
          <w:color w:val="auto"/>
          <w:sz w:val="44"/>
          <w:szCs w:val="28"/>
          <w:highlight w:val="none"/>
        </w:rPr>
        <w:outlineLvl w:val="0"/>
      </w:pPr>
      <w:r>
        <w:rPr>
          <w:rFonts w:hint="eastAsia" w:ascii="方正小标宋_GBK" w:hAnsi="宋体" w:eastAsia="方正小标宋_GBK"/>
          <w:bCs/>
          <w:color w:val="auto"/>
          <w:sz w:val="36"/>
          <w:szCs w:val="36"/>
          <w:highlight w:val="none"/>
        </w:rPr>
        <w:br w:type="column"/>
      </w:r>
      <w:r>
        <w:rPr>
          <w:rFonts w:hint="eastAsia" w:ascii="方正小标宋_GBK" w:hAnsi="宋体" w:eastAsia="方正小标宋_GBK"/>
          <w:bCs/>
          <w:color w:val="auto"/>
          <w:sz w:val="36"/>
          <w:szCs w:val="36"/>
          <w:highlight w:val="none"/>
        </w:rPr>
        <w:t xml:space="preserve">第五部分 </w:t>
      </w:r>
      <w:r>
        <w:rPr>
          <w:rFonts w:hint="eastAsia" w:ascii="黑体" w:hAnsi="Times New Roman" w:eastAsia="黑体"/>
          <w:bCs/>
          <w:color w:val="auto"/>
          <w:sz w:val="44"/>
          <w:szCs w:val="28"/>
          <w:highlight w:val="none"/>
        </w:rPr>
        <w:t xml:space="preserve">  响应文件格式 </w:t>
      </w:r>
      <w:r/>
    </w:p>
    <w:p>
      <w:pPr>
        <w:jc w:val="center"/>
        <w:rPr>
          <w:rFonts w:hint="eastAsia" w:ascii="宋体" w:hAnsi="宋体"/>
          <w:b/>
          <w:color w:val="auto"/>
          <w:sz w:val="72"/>
          <w:szCs w:val="21"/>
          <w:highlight w:val="none"/>
        </w:rPr>
      </w:pPr>
      <w:r/>
      <w:bookmarkStart w:id="192" w:name="_Hlt26671244"/>
      <w:r/>
      <w:bookmarkEnd w:id="192"/>
      <w:r/>
      <w:bookmarkStart w:id="193" w:name="_Hlt26955039"/>
      <w:r/>
      <w:bookmarkEnd w:id="193"/>
      <w:r/>
      <w:bookmarkStart w:id="194" w:name="_Toc26554094"/>
      <w:r/>
      <w:bookmarkStart w:id="195" w:name="_Toc49090576"/>
      <w:r/>
      <w:bookmarkStart w:id="196"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column"/>
      </w:r>
      <w:r>
        <w:rPr>
          <w:rFonts w:hint="eastAsia" w:ascii="宋体" w:hAnsi="宋体"/>
          <w:b/>
          <w:bCs/>
          <w:color w:val="auto"/>
          <w:sz w:val="32"/>
          <w:szCs w:val="32"/>
          <w:highlight w:val="none"/>
        </w:rPr>
        <w:t xml:space="preserve">响应文件目录</w:t>
      </w:r>
      <w:bookmarkEnd w:id="194"/>
      <w:r/>
      <w:bookmarkEnd w:id="195"/>
      <w:r/>
      <w:bookmarkEnd w:id="196"/>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keepLines w:val="0"/>
        <w:keepNext w:val="0"/>
        <w:pageBreakBefore w:val="0"/>
        <w:spacing w:line="360" w:lineRule="auto"/>
        <w:widowControl w:val="off"/>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一、资格审查</w:t>
      </w:r>
      <w:r>
        <w:rPr>
          <w:rFonts w:hint="eastAsia" w:ascii="宋体" w:hAnsi="宋体" w:cs="宋体"/>
          <w:b/>
          <w:bCs/>
          <w:color w:val="auto"/>
          <w:sz w:val="24"/>
          <w:highlight w:val="none"/>
          <w:lang w:val="en-US" w:eastAsia="zh-CN"/>
        </w:rPr>
        <w:t xml:space="preserve">文件</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符合《政府采购法》第二十二条规定条件的承诺函</w:t>
      </w:r>
      <w:r>
        <w:rPr>
          <w:rFonts w:hint="eastAsia" w:ascii="宋体" w:hAnsi="宋体" w:cs="宋体"/>
          <w:color w:val="auto"/>
          <w:sz w:val="24"/>
          <w:highlight w:val="none"/>
          <w:lang w:val="zh-CN"/>
        </w:rPr>
        <w:t xml:space="preserve">（格式见附件）；</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b w:val="0"/>
          <w:bCs/>
          <w:color w:val="auto"/>
          <w:sz w:val="24"/>
          <w:szCs w:val="24"/>
          <w:highlight w:val="none"/>
          <w:lang w:val="en-US" w:eastAsia="zh-CN"/>
        </w:rPr>
        <w:t xml:space="preserve">（2）法人或者其他组织的营业执照等证明文件；自然人的身份证明；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（3）法定代表人身份证明书及法定代表人身份证复印件</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（4）法定代表人授权委托书及委托代理人身份证复印件（如有授权）</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（7）具备履行合同所必需的设备和专业技术能力的书面声明</w:t>
      </w:r>
      <w:r>
        <w:rPr>
          <w:rFonts w:hint="eastAsia" w:ascii="宋体" w:hAnsi="宋体" w:cs="宋体"/>
          <w:color w:val="auto"/>
          <w:sz w:val="24"/>
          <w:highlight w:val="none"/>
          <w:lang w:val="zh-CN"/>
        </w:rPr>
        <w:t xml:space="preserve">（格式见附件）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（8）参加政府采购活动前 3 年内在经营活动中没有重大违法记录的书面声明</w:t>
      </w:r>
      <w:r>
        <w:rPr>
          <w:rFonts w:hint="eastAsia" w:ascii="宋体" w:hAnsi="宋体" w:cs="宋体"/>
          <w:color w:val="auto"/>
          <w:sz w:val="24"/>
          <w:highlight w:val="none"/>
          <w:lang w:val="zh-CN"/>
        </w:rPr>
        <w:t xml:space="preserve">（格</w:t>
      </w:r>
      <w:r>
        <w:rPr>
          <w:rFonts w:hint="eastAsia" w:ascii="宋体" w:hAnsi="宋体" w:eastAsia="宋体" w:cs="宋体"/>
          <w:b w:val="0"/>
          <w:bCs/>
          <w:color w:val="auto"/>
          <w:sz w:val="24"/>
          <w:szCs w:val="24"/>
          <w:highlight w:val="none"/>
          <w:lang w:val="zh-CN" w:eastAsia="zh-CN"/>
        </w:rPr>
        <w:t xml:space="preserve">式见附件）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水利水电工程施工总承包</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二级及以上资质</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b/>
          <w:color w:val="auto"/>
          <w:sz w:val="24"/>
          <w:highlight w:val="none"/>
          <w:u w:val="single"/>
        </w:rPr>
        <w:t xml:space="preserve">水利水电工程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cs="宋体"/>
          <w:b/>
          <w:color w:val="auto"/>
          <w:sz w:val="24"/>
          <w:szCs w:val="24"/>
          <w:highlight w:val="none"/>
          <w:u w:val="single"/>
        </w:rPr>
        <w:t xml:space="preserve">贰级及以上注册建造师执业资格</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rPr>
          <w:rFonts w:hint="eastAsia" w:ascii="宋体" w:hAnsi="宋体" w:cs="宋体"/>
          <w:bCs/>
          <w:color w:val="auto"/>
          <w:sz w:val="24"/>
          <w:highlight w:val="none"/>
          <w:lang w:bidi="ar"/>
        </w:rPr>
        <w:t xml:space="preserve">（详见</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文件格式附件）</w:t>
      </w:r>
      <w:r>
        <w:rPr>
          <w:rFonts w:hint="eastAsia" w:ascii="宋体" w:hAnsi="宋体" w:cs="宋体"/>
          <w:bCs/>
          <w:color w:val="auto"/>
          <w:sz w:val="24"/>
          <w:highlight w:val="none"/>
          <w:lang w:eastAsia="zh-CN" w:bidi="ar"/>
        </w:rPr>
        <w:t xml:space="preserve">；</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拟派授权委托人、拟派项目负责人和企业签订的有效劳动合同，投标企业所在地社保机构出具的由企业为授权委托人、拟派项目负责人缴纳的投标截止时间前3个月（不含投标截止时间当月）中至少一个月的养老保险缴纳证明材料（注：委托代理人为法定代表人的，无需提供养老保险缴费证明）。</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（12）供应商信用承诺书；（格式见附件）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（13）其他证明材料（本项目专门面向中小企业采购）</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ascii="Calibri" w:hAnsi="Calibri" w:eastAsia="宋体" w:cs="Calibri"/>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en-US" w:eastAsia="zh-CN"/>
        </w:rPr>
        <w:t xml:space="preserve">中小企业声明函；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ascii="Calibri" w:hAnsi="Calibri" w:eastAsia="宋体" w:cs="Calibri"/>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en-US" w:eastAsia="zh-CN"/>
        </w:rPr>
        <w:t xml:space="preserve">监狱企业证明函（如符合监狱企业的需提供）；</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ascii="Calibri" w:hAnsi="Calibri" w:eastAsia="宋体" w:cs="Calibri"/>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en-US" w:eastAsia="zh-CN"/>
        </w:rPr>
        <w:t xml:space="preserve">残疾人福利性单位声明函（如符合残疾人福利性单位的需提供）；</w:t>
      </w:r>
      <w:r/>
    </w:p>
    <w:p>
      <w:pPr>
        <w:numPr>
          <w:ilvl w:val="0"/>
          <w:numId w:val="3"/>
        </w:numPr>
        <w:keepLines w:val="0"/>
        <w:keepNext w:val="0"/>
        <w:pageBreakBefore w:val="0"/>
        <w:spacing w:line="360" w:lineRule="auto"/>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 xml:space="preserve">符合性条件材料</w:t>
      </w:r>
      <w:r/>
    </w:p>
    <w:p>
      <w:pPr>
        <w:ind w:firstLine="480"/>
        <w:keepLines w:val="0"/>
        <w:keepNext w:val="0"/>
        <w:pageBreakBefore w:val="0"/>
        <w:spacing w:line="360" w:lineRule="auto"/>
        <w:widowControl/>
        <w:tabs>
          <w:tab w:val="left" w:pos="0" w:leader="none"/>
          <w:tab w:val="left" w:pos="993" w:leader="none"/>
          <w:tab w:val="left" w:pos="1134" w:leader="none"/>
        </w:tabs>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1.报价符合性审查（如有）；</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磋商响应函；（格式见附件）；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3.磋商报价表（首轮）</w:t>
      </w:r>
      <w:r>
        <w:rPr>
          <w:rFonts w:hint="eastAsia" w:ascii="宋体" w:hAnsi="宋体" w:eastAsia="宋体" w:cs="宋体"/>
          <w:b w:val="0"/>
          <w:bCs/>
          <w:color w:val="auto"/>
          <w:sz w:val="24"/>
          <w:szCs w:val="24"/>
          <w:highlight w:val="none"/>
          <w:lang w:val="zh-CN" w:eastAsia="zh-CN"/>
        </w:rPr>
        <w:t xml:space="preserve">（格式见附件）；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zh-CN" w:eastAsia="zh-CN"/>
        </w:rPr>
        <w:t xml:space="preserve">已标价的</w:t>
      </w:r>
      <w:r>
        <w:rPr>
          <w:rFonts w:hint="eastAsia" w:ascii="宋体" w:hAnsi="宋体" w:eastAsia="宋体" w:cs="宋体"/>
          <w:b w:val="0"/>
          <w:bCs/>
          <w:color w:val="auto"/>
          <w:sz w:val="24"/>
          <w:szCs w:val="24"/>
          <w:highlight w:val="none"/>
          <w:lang w:val="en-US" w:eastAsia="zh-CN"/>
        </w:rPr>
        <w:t xml:space="preserve">工程量清单；</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eastAsia="zh-CN"/>
        </w:rPr>
        <w:t xml:space="preserve">计划投入的主要施工机械设备表、主要施工人员表。</w:t>
      </w:r>
      <w:r/>
    </w:p>
    <w:p>
      <w:pPr>
        <w:keepLines w:val="0"/>
        <w:keepNext w:val="0"/>
        <w:pageBreakBefore w:val="0"/>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val="zh-CN"/>
        </w:rPr>
        <w:t xml:space="preserve">、商务</w:t>
      </w:r>
      <w:r>
        <w:rPr>
          <w:rFonts w:hint="eastAsia" w:ascii="宋体" w:hAnsi="宋体" w:cs="宋体"/>
          <w:b/>
          <w:bCs/>
          <w:color w:val="auto"/>
          <w:sz w:val="24"/>
          <w:highlight w:val="none"/>
          <w:lang w:val="en-US" w:eastAsia="zh-CN"/>
        </w:rPr>
        <w:t xml:space="preserve">技术文件</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eastAsia="zh-CN"/>
        </w:rPr>
        <w:t xml:space="preserve">.商务技术评分标准中须提供的相关得分佐证材料；</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.供应商认为需要提交的其他商务技术材料。</w:t>
      </w:r>
      <w:r/>
    </w:p>
    <w:p>
      <w:pPr>
        <w:ind w:firstLine="643"/>
        <w:keepLines w:val="0"/>
        <w:keepNext w:val="0"/>
        <w:pageBreakBefore w:val="0"/>
        <w:spacing w:line="440" w:lineRule="exact"/>
        <w:rPr>
          <w:rFonts w:hint="eastAsia" w:ascii="宋体" w:hAnsi="宋体" w:eastAsia="宋体" w:cs="宋体"/>
          <w:color w:val="auto"/>
          <w:sz w:val="24"/>
          <w:szCs w:val="21"/>
          <w:highlight w:val="none"/>
          <w:u w:val="none"/>
        </w:rPr>
      </w:pPr>
      <w:r>
        <w:rPr>
          <w:rFonts w:hint="eastAsia" w:ascii="宋体" w:hAnsi="宋体" w:eastAsia="宋体" w:cs="Times New Roman"/>
          <w:b/>
          <w:bCs/>
          <w:color w:val="auto"/>
          <w:sz w:val="32"/>
          <w:szCs w:val="32"/>
          <w:highlight w:val="none"/>
          <w:lang w:val="zh-CN" w:eastAsia="zh-CN"/>
        </w:rPr>
        <w:t xml:space="preserve">　</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819"/>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806"/>
        <w:rPr>
          <w:rFonts w:hint="eastAsia"/>
          <w:color w:val="auto"/>
          <w:highlight w:val="none"/>
          <w:lang w:val="zh-CN"/>
        </w:rPr>
      </w:pPr>
      <w:r>
        <w:rPr>
          <w:rFonts w:hint="eastAsia"/>
          <w:color w:val="auto"/>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979"/>
        <w:rPr>
          <w:rFonts w:hint="eastAsia"/>
          <w:color w:val="auto"/>
          <w:highlight w:val="none"/>
          <w:lang w:val="zh-CN"/>
        </w:rPr>
      </w:pPr>
      <w:r>
        <w:rPr>
          <w:rFonts w:hint="eastAsia"/>
          <w:color w:val="auto"/>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格式附件如下：</w:t>
      </w:r>
      <w:r/>
    </w:p>
    <w:p>
      <w:pPr>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附件1：</w:t>
      </w:r>
      <w:r/>
    </w:p>
    <w:p>
      <w:pPr>
        <w:pStyle w:val="979"/>
        <w:ind w:left="0" w:right="0" w:firstLine="0"/>
        <w:jc w:val="center"/>
        <w:spacing w:before="299" w:after="299"/>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磋商报价表</w:t>
      </w:r>
      <w:r/>
    </w:p>
    <w:p>
      <w:pPr>
        <w:ind w:left="0" w:right="0" w:firstLine="0"/>
        <w:jc w:val="left"/>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本次为首次报价                 货币单位：人民币元</w:t>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  </w:t>
      </w:r>
      <w:r/>
    </w:p>
    <w:tbl>
      <w:tblPr>
        <w:tblStyle w:val="1010"/>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652"/>
        <w:gridCol w:w="2664"/>
        <w:gridCol w:w="3966"/>
      </w:tblGrid>
      <w:tr>
        <w:trPr/>
        <w:tc>
          <w:tcPr>
            <w:tcMar>
              <w:left w:w="15" w:type="dxa"/>
              <w:top w:w="15" w:type="dxa"/>
              <w:right w:w="15" w:type="dxa"/>
              <w:bottom w:w="15" w:type="dxa"/>
            </w:tcMar>
            <w:tcW w:w="2652" w:type="dxa"/>
            <w:vAlign w:val="center"/>
            <w:textDirection w:val="lrTb"/>
            <w:noWrap w:val="false"/>
          </w:tcPr>
          <w:p>
            <w:pPr>
              <w:ind w:left="0" w:right="0" w:firstLine="0"/>
              <w:spacing w:before="24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Mar>
              <w:left w:w="15" w:type="dxa"/>
              <w:top w:w="15" w:type="dxa"/>
              <w:right w:w="15" w:type="dxa"/>
              <w:bottom w:w="15" w:type="dxa"/>
            </w:tcMar>
            <w:tcW w:w="2664" w:type="dxa"/>
            <w:vAlign w:val="center"/>
            <w:textDirection w:val="lrTb"/>
            <w:noWrap w:val="false"/>
          </w:tcPr>
          <w:p>
            <w:pPr>
              <w:ind w:left="0" w:right="0" w:firstLine="0"/>
              <w:spacing w:before="24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Mar>
              <w:left w:w="15" w:type="dxa"/>
              <w:top w:w="15" w:type="dxa"/>
              <w:right w:w="15" w:type="dxa"/>
              <w:bottom w:w="15" w:type="dxa"/>
            </w:tcMar>
            <w:tcW w:w="2652" w:type="dxa"/>
            <w:vAlign w:val="center"/>
            <w:textDirection w:val="lrTb"/>
            <w:noWrap w:val="false"/>
          </w:tcPr>
          <w:p>
            <w:pPr>
              <w:ind w:left="0" w:right="0" w:firstLine="0"/>
              <w:spacing w:before="24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  </w:t>
            </w:r>
            <w:r/>
          </w:p>
        </w:tc>
        <w:tc>
          <w:tcPr>
            <w:tcMar>
              <w:left w:w="15" w:type="dxa"/>
              <w:top w:w="15" w:type="dxa"/>
              <w:right w:w="15" w:type="dxa"/>
              <w:bottom w:w="15" w:type="dxa"/>
            </w:tcMar>
            <w:tcW w:w="2664" w:type="dxa"/>
            <w:vAlign w:val="center"/>
            <w:textDirection w:val="lrTb"/>
            <w:noWrap w:val="false"/>
          </w:tcPr>
          <w:p>
            <w:pPr>
              <w:ind w:left="0" w:right="0" w:firstLine="0"/>
              <w:spacing w:before="24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元</w:t>
            </w:r>
            <w:r/>
          </w:p>
        </w:tc>
      </w:tr>
      <w:tr>
        <w:trPr/>
        <w:tc>
          <w:tcPr>
            <w:tcMar>
              <w:left w:w="15" w:type="dxa"/>
              <w:top w:w="15" w:type="dxa"/>
              <w:right w:w="15" w:type="dxa"/>
              <w:bottom w:w="15" w:type="dxa"/>
            </w:tcMar>
            <w:tcW w:w="2652" w:type="dxa"/>
            <w:vAlign w:val="center"/>
            <w:textDirection w:val="lrTb"/>
            <w:noWrap w:val="false"/>
          </w:tcPr>
          <w:p>
            <w:pPr>
              <w:ind w:left="0" w:right="0" w:firstLine="0"/>
              <w:spacing w:before="24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Mar>
              <w:left w:w="15" w:type="dxa"/>
              <w:top w:w="15" w:type="dxa"/>
              <w:right w:w="15" w:type="dxa"/>
              <w:bottom w:w="15" w:type="dxa"/>
            </w:tcMar>
            <w:tcW w:w="6630" w:type="dxa"/>
            <w:vAlign w:val="center"/>
            <w:textDirection w:val="lrTb"/>
            <w:noWrap w:val="false"/>
          </w:tcPr>
          <w:p>
            <w:pPr>
              <w:ind w:left="0" w:right="0" w:firstLine="0"/>
              <w:spacing w:before="240" w:after="24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 </w:t>
            </w:r>
            <w:r/>
          </w:p>
        </w:tc>
      </w:tr>
    </w:tbl>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报价说明：</w:t>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2、报价以总价为准，大小写不一致以大写为准；</w:t>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3、偏离说明：详见《偏离表》；</w:t>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4、如最后报价未列明单价，则最后所报各项单价计算方法为：（最后报价/ 最初报价）* 各项最初报价的单价。</w:t>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响应单位（公章）：</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50"/>
        <w:rPr>
          <w:rFonts w:hint="eastAsia"/>
          <w:color w:val="auto"/>
          <w:highlight w:val="none"/>
          <w:lang w:eastAsia="zh-CN"/>
        </w:rPr>
      </w:pPr>
      <w:r>
        <w:rPr>
          <w:rFonts w:hint="eastAsia"/>
          <w:color w:val="auto"/>
          <w:highlight w:val="none"/>
          <w:lang w:eastAsia="zh-CN"/>
        </w:rPr>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pStyle w:val="105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pStyle w:val="819"/>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pStyle w:val="806"/>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pStyle w:val="819"/>
        <w:rPr>
          <w:rFonts w:hint="eastAsia"/>
          <w:color w:val="auto"/>
          <w:highlight w:val="none"/>
          <w:lang w:val="en-US" w:eastAsia="zh-CN"/>
        </w:rPr>
      </w:pPr>
      <w:r>
        <w:rPr>
          <w:rFonts w:hint="eastAsia"/>
          <w:color w:val="auto"/>
          <w:highlight w:val="none"/>
          <w:lang w:val="en-US" w:eastAsia="zh-CN"/>
        </w:rPr>
      </w:r>
      <w:r/>
    </w:p>
    <w:p>
      <w:pPr>
        <w:pStyle w:val="105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pStyle w:val="1050"/>
        <w:spacing w:line="360" w:lineRule="auto"/>
        <w:rPr>
          <w:rFonts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1050"/>
        <w:rPr>
          <w:rFonts w:hint="eastAsia"/>
          <w:color w:val="auto"/>
          <w:highlight w:val="none"/>
          <w:lang w:eastAsia="zh-CN"/>
        </w:rPr>
      </w:pPr>
      <w:r>
        <w:rPr>
          <w:rFonts w:hint="eastAsia"/>
          <w:color w:val="auto"/>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符合《政府采购法》第二十二条规定条件的声明函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2</w:t>
      </w:r>
      <w:r/>
    </w:p>
    <w:p>
      <w:pPr>
        <w:pStyle w:val="1051"/>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5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60" name="文本框 3"/>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p>
                            <w:r/>
                            <w:r/>
                          </w:p>
                        </w:txbxContent>
                      </wps:txbx>
                      <wps:bodyPr wrap="square" anchor="ctr" upright="1"/>
                    </wps:wsp>
                  </a:graphicData>
                </a:graphic>
              </wp:anchor>
            </w:drawing>
          </mc:Choice>
          <mc:Fallback>
            <w:pict>
              <v:shape id="shape 59" o:spid="_x0000_s59" o:spt="202" type="#_x0000_t202" style="position:absolute;z-index:251661312;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61" name="文本框 4"/>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p>
                            <w:r/>
                            <w:r/>
                          </w:p>
                        </w:txbxContent>
                      </wps:txbx>
                      <wps:bodyPr wrap="square" anchor="ctr" upright="1"/>
                    </wps:wsp>
                  </a:graphicData>
                </a:graphic>
              </wp:anchor>
            </w:drawing>
          </mc:Choice>
          <mc:Fallback>
            <w:pict>
              <v:shape id="shape 60" o:spid="_x0000_s60" o:spt="202" type="#_x0000_t202" style="position:absolute;z-index:251662336;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p>
                      <w:r/>
                      <w:r/>
                    </w:p>
                  </w:txbxContent>
                </v:textbox>
              </v:shape>
            </w:pict>
          </mc:Fallback>
        </mc:AlternateConten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磋商响应人全称：（盖章）</w:t>
      </w:r>
      <w:r/>
    </w:p>
    <w:p>
      <w:pPr>
        <w:jc w:val="left"/>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pStyle w:val="1050"/>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代理人(被授权人):------</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w:t>
      </w:r>
      <w:r>
        <w:rPr>
          <w:rFonts w:hint="eastAsia" w:ascii="宋体" w:hAnsi="宋体" w:cs="宋体"/>
          <w:color w:val="auto"/>
          <w:sz w:val="24"/>
          <w:highlight w:val="none"/>
          <w:lang w:eastAsia="zh-CN"/>
        </w:rPr>
        <w:t xml:space="preserve">签字或印鉴</w:t>
      </w:r>
      <w:r>
        <w:rPr>
          <w:rFonts w:hint="eastAsia" w:ascii="宋体" w:hAnsi="宋体" w:cs="宋体"/>
          <w:color w:val="auto"/>
          <w:sz w:val="24"/>
          <w:highlight w:val="none"/>
        </w:rPr>
        <w:t xml:space="preserve">）：-----</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5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573"/>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62" name="文本框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p>
                            <w:r/>
                            <w:r/>
                          </w:p>
                        </w:txbxContent>
                      </wps:txbx>
                      <wps:bodyPr wrap="square" anchor="ctr" upright="1"/>
                    </wps:wsp>
                  </a:graphicData>
                </a:graphic>
              </wp:anchor>
            </w:drawing>
          </mc:Choice>
          <mc:Fallback>
            <w:pict>
              <v:shape id="shape 61" o:spid="_x0000_s61" o:spt="202" type="#_x0000_t202" style="position:absolute;z-index:251662336;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63"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p>
                            <w:r/>
                            <w:r/>
                          </w:p>
                        </w:txbxContent>
                      </wps:txbx>
                      <wps:bodyPr wrap="square" anchor="ctr" upright="1"/>
                    </wps:wsp>
                  </a:graphicData>
                </a:graphic>
              </wp:anchor>
            </w:drawing>
          </mc:Choice>
          <mc:Fallback>
            <w:pict>
              <v:shape id="shape 62" o:spid="_x0000_s62" o:spt="202" type="#_x0000_t202" style="position:absolute;z-index:251662336;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p>
                      <w:r/>
                      <w:r/>
                    </w:p>
                  </w:txbxContent>
                </v:textbox>
              </v:shape>
            </w:pict>
          </mc:Fallback>
        </mc:AlternateContent>
      </w:r>
      <w:r/>
    </w:p>
    <w:p>
      <w:pPr>
        <w:ind w:firstLine="573"/>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color w:val="auto"/>
          <w:sz w:val="24"/>
          <w:highlight w:val="none"/>
          <w:lang w:val="zh-CN" w:eastAsia="zh-CN"/>
        </w:rPr>
        <w:br w:type="page" w:clear="all"/>
      </w:r>
      <w:r>
        <w:rPr>
          <w:rFonts w:hint="eastAsia" w:ascii="宋体" w:hAnsi="宋体" w:cs="宋体"/>
          <w:bCs/>
          <w:color w:val="auto"/>
          <w:sz w:val="24"/>
          <w:szCs w:val="24"/>
          <w:highlight w:val="none"/>
          <w:lang w:val="en-US" w:eastAsia="zh-CN"/>
        </w:rPr>
        <w:t xml:space="preserve">附件4</w:t>
      </w:r>
      <w:r/>
    </w:p>
    <w:p>
      <w:pPr>
        <w:jc w:val="center"/>
        <w:spacing w:line="360" w:lineRule="auto"/>
        <w:rPr>
          <w:rFonts w:hint="eastAsia" w:ascii="宋体" w:hAnsi="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供应商提供2025年度由会计师事务所（或者审计机构）出具的完整的财务报告或投标截止时间前三个月（不含投标截止时间当月）中至少一个月的银行资信证明（成立不满一年无需提供）</w:t>
      </w:r>
      <w:r>
        <w:rPr>
          <w:rFonts w:hint="eastAsia" w:ascii="宋体" w:hAnsi="宋体" w:eastAsia="宋体" w:cs="宋体"/>
          <w:color w:val="auto"/>
          <w:sz w:val="24"/>
          <w:szCs w:val="24"/>
          <w:highlight w:val="none"/>
          <w:lang w:eastAsia="zh-CN"/>
        </w:rPr>
        <w:t xml:space="preserve">；</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附件5</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contextualSpacing/>
        <w:spacing w:line="360" w:lineRule="auto"/>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br w:type="page" w:clear="all"/>
      </w:r>
      <w:r>
        <w:rPr>
          <w:rFonts w:hint="eastAsia" w:ascii="宋体" w:hAnsi="宋体" w:eastAsia="宋体" w:cs="宋体"/>
          <w:color w:val="auto"/>
          <w:sz w:val="24"/>
          <w:highlight w:val="none"/>
          <w:lang w:val="zh-CN" w:eastAsia="zh-CN"/>
        </w:rPr>
        <w:t xml:space="preserve">附件</w:t>
      </w:r>
      <w:r>
        <w:rPr>
          <w:rFonts w:hint="eastAsia" w:ascii="宋体" w:hAnsi="宋体" w:cs="宋体"/>
          <w:color w:val="auto"/>
          <w:sz w:val="24"/>
          <w:highlight w:val="none"/>
          <w:lang w:val="en-US" w:eastAsia="zh-CN"/>
        </w:rPr>
        <w:t xml:space="preserve">6</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2"/>
          <w:szCs w:val="32"/>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ascii="宋体" w:hAnsi="宋体"/>
          <w:bCs/>
          <w:color w:val="auto"/>
          <w:sz w:val="24"/>
          <w:highlight w:val="none"/>
          <w:lang w:val="en-US"/>
        </w:rPr>
      </w:pPr>
      <w:r>
        <w:rPr>
          <w:rFonts w:hint="eastAsia" w:ascii="黑体" w:hAnsi="黑体" w:eastAsia="黑体"/>
          <w:i/>
          <w:color w:val="auto"/>
          <w:sz w:val="32"/>
          <w:szCs w:val="32"/>
          <w:highlight w:val="none"/>
          <w:u w:val="single"/>
        </w:rPr>
        <w:br w:type="page" w:clear="all"/>
      </w:r>
      <w:r>
        <w:rPr>
          <w:rFonts w:hint="eastAsia" w:ascii="宋体" w:hAnsi="宋体" w:cs="宋体"/>
          <w:bCs/>
          <w:color w:val="auto"/>
          <w:sz w:val="24"/>
          <w:highlight w:val="none"/>
          <w:lang w:bidi="ar"/>
        </w:rPr>
        <w:t xml:space="preserve">附件</w:t>
      </w:r>
      <w:r>
        <w:rPr>
          <w:rFonts w:hint="eastAsia" w:ascii="宋体" w:hAnsi="宋体" w:cs="宋体"/>
          <w:bCs/>
          <w:color w:val="auto"/>
          <w:sz w:val="24"/>
          <w:highlight w:val="none"/>
          <w:lang w:val="en-US" w:eastAsia="zh-CN" w:bidi="ar"/>
        </w:rPr>
        <w:t xml:space="preserve">8</w:t>
      </w:r>
      <w:r/>
    </w:p>
    <w:p>
      <w:pPr>
        <w:jc w:val="center"/>
        <w:spacing w:line="360" w:lineRule="auto"/>
        <w:rPr>
          <w:rFonts w:hint="eastAsia" w:ascii="宋体" w:hAnsi="宋体"/>
          <w:b/>
          <w:color w:val="auto"/>
          <w:sz w:val="32"/>
          <w:highlight w:val="none"/>
        </w:rPr>
      </w:pPr>
      <w:r/>
      <w:bookmarkStart w:id="197" w:name="_Toc11288"/>
      <w:r>
        <w:rPr>
          <w:rFonts w:hint="eastAsia" w:ascii="宋体" w:hAnsi="宋体"/>
          <w:b/>
          <w:color w:val="auto"/>
          <w:sz w:val="32"/>
          <w:highlight w:val="none"/>
        </w:rPr>
        <w:t xml:space="preserve">拟派项目负责人无在建工程承诺书</w:t>
      </w:r>
      <w:bookmarkEnd w:id="197"/>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u w:val="single"/>
        </w:rPr>
        <w:t xml:space="preserve">南通市通州区水利局、江苏禹和水利工程建设有限公司_（</w:t>
      </w:r>
      <w:r>
        <w:rPr>
          <w:rFonts w:hint="eastAsia" w:ascii="宋体" w:hAnsi="宋体"/>
          <w:color w:val="auto"/>
          <w:spacing w:val="8"/>
          <w:sz w:val="24"/>
          <w:highlight w:val="none"/>
        </w:rPr>
        <w:t xml:space="preserve">采购人单位名称）：</w:t>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t xml:space="preserve">我方</w:t>
      </w:r>
      <w:r>
        <w:rPr>
          <w:rFonts w:hint="eastAsia" w:ascii="宋体" w:hAnsi="宋体"/>
          <w:color w:val="auto"/>
          <w:spacing w:val="8"/>
          <w:sz w:val="24"/>
          <w:highlight w:val="none"/>
          <w:lang w:val="en-US" w:eastAsia="zh-CN"/>
        </w:rPr>
        <w:t xml:space="preserve">响应</w:t>
      </w:r>
      <w:r>
        <w:rPr>
          <w:rFonts w:hint="eastAsia" w:ascii="宋体" w:hAnsi="宋体"/>
          <w:color w:val="auto"/>
          <w:spacing w:val="8"/>
          <w:sz w:val="24"/>
          <w:highlight w:val="none"/>
        </w:rPr>
        <w:t xml:space="preserve">你方的</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工程（以下简称“本工程”）</w:t>
      </w:r>
      <w:r>
        <w:rPr>
          <w:rFonts w:hint="eastAsia" w:ascii="宋体" w:hAnsi="宋体"/>
          <w:color w:val="auto"/>
          <w:spacing w:val="8"/>
          <w:sz w:val="24"/>
          <w:highlight w:val="none"/>
          <w:lang w:val="en-US" w:eastAsia="zh-CN"/>
        </w:rPr>
        <w:t xml:space="preserve">竞争性磋商</w:t>
      </w:r>
      <w:r>
        <w:rPr>
          <w:rFonts w:hint="eastAsia" w:ascii="宋体" w:hAnsi="宋体"/>
          <w:color w:val="auto"/>
          <w:spacing w:val="8"/>
          <w:sz w:val="24"/>
          <w:highlight w:val="none"/>
        </w:rPr>
        <w:t xml:space="preserve">的</w:t>
      </w:r>
      <w:r>
        <w:rPr>
          <w:rFonts w:hint="eastAsia" w:ascii="宋体" w:hAnsi="宋体"/>
          <w:color w:val="auto"/>
          <w:spacing w:val="8"/>
          <w:sz w:val="24"/>
          <w:highlight w:val="none"/>
          <w:lang w:val="en-US" w:eastAsia="zh-CN"/>
        </w:rPr>
        <w:t xml:space="preserve">邀请</w:t>
      </w:r>
      <w:r>
        <w:rPr>
          <w:rFonts w:hint="eastAsia" w:ascii="宋体" w:hAnsi="宋体"/>
          <w:color w:val="auto"/>
          <w:spacing w:val="8"/>
          <w:sz w:val="24"/>
          <w:highlight w:val="none"/>
        </w:rPr>
        <w:t xml:space="preserve">，拟派项目负责人为</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。现我方向你方慎重承诺：</w:t>
      </w:r>
      <w:r/>
    </w:p>
    <w:p>
      <w:pPr>
        <w:ind w:firstLine="482"/>
        <w:spacing w:line="360" w:lineRule="auto"/>
        <w:rPr>
          <w:rFonts w:hint="eastAsia" w:ascii="宋体" w:hAnsi="宋体"/>
          <w:color w:val="auto"/>
          <w:spacing w:val="8"/>
          <w:sz w:val="24"/>
          <w:highlight w:val="none"/>
        </w:rPr>
      </w:pPr>
      <w:r>
        <w:rPr>
          <w:rFonts w:hint="eastAsia" w:ascii="宋体" w:hAnsi="宋体"/>
          <w:color w:val="auto"/>
          <w:spacing w:val="8"/>
          <w:sz w:val="24"/>
          <w:highlight w:val="none"/>
        </w:rPr>
        <w:t xml:space="preserve">拟派项目负责人 </w:t>
      </w:r>
      <w:r>
        <w:rPr>
          <w:rFonts w:hint="eastAsia" w:ascii="宋体" w:hAnsi="宋体"/>
          <w:color w:val="auto"/>
          <w:spacing w:val="8"/>
          <w:sz w:val="24"/>
          <w:highlight w:val="none"/>
          <w:u w:val="single"/>
        </w:rPr>
        <w:t xml:space="preserve">                 </w:t>
      </w:r>
      <w:r>
        <w:rPr>
          <w:rFonts w:hint="eastAsia" w:ascii="宋体" w:hAnsi="宋体"/>
          <w:color w:val="auto"/>
          <w:spacing w:val="8"/>
          <w:sz w:val="24"/>
          <w:highlight w:val="none"/>
        </w:rPr>
        <w:t xml:space="preserve">无在建工程，如果我方经本工程</w:t>
      </w:r>
      <w:r>
        <w:rPr>
          <w:rFonts w:hint="eastAsia" w:ascii="宋体" w:hAnsi="宋体"/>
          <w:color w:val="auto"/>
          <w:spacing w:val="8"/>
          <w:sz w:val="24"/>
          <w:highlight w:val="none"/>
          <w:lang w:val="en-US" w:eastAsia="zh-CN"/>
        </w:rPr>
        <w:t xml:space="preserve">评审</w:t>
      </w:r>
      <w:r>
        <w:rPr>
          <w:rFonts w:hint="eastAsia" w:ascii="宋体" w:hAnsi="宋体"/>
          <w:color w:val="auto"/>
          <w:spacing w:val="8"/>
          <w:sz w:val="24"/>
          <w:highlight w:val="none"/>
        </w:rPr>
        <w:t xml:space="preserve">委员会评定为第一</w:t>
      </w:r>
      <w:r>
        <w:rPr>
          <w:rFonts w:hint="eastAsia" w:ascii="宋体" w:hAnsi="宋体"/>
          <w:color w:val="auto"/>
          <w:spacing w:val="8"/>
          <w:sz w:val="24"/>
          <w:highlight w:val="none"/>
          <w:lang w:val="en-US" w:eastAsia="zh-CN"/>
        </w:rPr>
        <w:t xml:space="preserve">成交</w:t>
      </w:r>
      <w:r>
        <w:rPr>
          <w:rFonts w:hint="eastAsia" w:ascii="宋体" w:hAnsi="宋体"/>
          <w:color w:val="auto"/>
          <w:spacing w:val="8"/>
          <w:sz w:val="24"/>
          <w:highlight w:val="none"/>
        </w:rPr>
        <w:t xml:space="preserve">候选人，被他人举报并经监管机构核实，确认拟派项目负责人有在建工程，那么取消我方第一</w:t>
      </w:r>
      <w:r>
        <w:rPr>
          <w:rFonts w:hint="eastAsia" w:ascii="宋体" w:hAnsi="宋体"/>
          <w:color w:val="auto"/>
          <w:spacing w:val="8"/>
          <w:sz w:val="24"/>
          <w:highlight w:val="none"/>
          <w:lang w:val="en-US" w:eastAsia="zh-CN"/>
        </w:rPr>
        <w:t xml:space="preserve">成交</w:t>
      </w:r>
      <w:r>
        <w:rPr>
          <w:rFonts w:hint="eastAsia" w:ascii="宋体" w:hAnsi="宋体"/>
          <w:color w:val="auto"/>
          <w:spacing w:val="8"/>
          <w:sz w:val="24"/>
          <w:highlight w:val="none"/>
        </w:rPr>
        <w:t xml:space="preserve">候选人资格，</w:t>
      </w:r>
      <w:r>
        <w:rPr>
          <w:rFonts w:hint="eastAsia" w:ascii="宋体" w:hAnsi="宋体"/>
          <w:color w:val="auto"/>
          <w:spacing w:val="8"/>
          <w:sz w:val="24"/>
          <w:highlight w:val="none"/>
          <w:lang w:val="en-US" w:eastAsia="zh-CN"/>
        </w:rPr>
        <w:t xml:space="preserve">且磋商</w:t>
      </w:r>
      <w:r>
        <w:rPr>
          <w:rFonts w:hint="eastAsia" w:ascii="宋体" w:hAnsi="宋体"/>
          <w:color w:val="auto"/>
          <w:spacing w:val="8"/>
          <w:sz w:val="24"/>
          <w:highlight w:val="none"/>
        </w:rPr>
        <w:t xml:space="preserve">保证金不予退还。</w:t>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512" w:firstLine="372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法定代表人（签字或印鉴）：</w:t>
      </w:r>
      <w:r/>
    </w:p>
    <w:p>
      <w:pPr>
        <w:ind w:firstLine="3120"/>
        <w:keepLines/>
        <w:keepNext/>
        <w:spacing w:before="260" w:after="260" w:line="416" w:lineRule="auto"/>
        <w:rPr>
          <w:rFonts w:hint="eastAsia" w:ascii="宋体" w:hAnsi="宋体" w:cs="宋体"/>
          <w:color w:val="auto"/>
          <w:sz w:val="24"/>
          <w:highlight w:val="none"/>
          <w:lang w:val="zh-CN" w:bidi="ar"/>
        </w:rPr>
        <w:outlineLvl w:val="1"/>
      </w:pPr>
      <w:r>
        <w:rPr>
          <w:rFonts w:hint="eastAsia" w:ascii="宋体" w:hAnsi="宋体" w:cs="宋体"/>
          <w:color w:val="auto"/>
          <w:sz w:val="24"/>
          <w:highlight w:val="none"/>
          <w:lang w:val="zh-CN" w:bidi="ar"/>
        </w:rPr>
        <w:t xml:space="preserve">时间：  年  月   日</w:t>
      </w:r>
      <w:r/>
    </w:p>
    <w:p>
      <w:pP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19"/>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06"/>
        <w:rPr>
          <w:rFonts w:hint="eastAsia"/>
          <w:color w:val="auto"/>
          <w:highlight w:val="none"/>
        </w:rPr>
      </w:pPr>
      <w:r>
        <w:rPr>
          <w:rFonts w:hint="eastAsia"/>
          <w:color w:val="auto"/>
          <w:highlight w:val="none"/>
        </w:rPr>
      </w:r>
      <w:r/>
    </w:p>
    <w:p>
      <w:pPr>
        <w:spacing w:line="360" w:lineRule="auto"/>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spacing w:line="360" w:lineRule="auto"/>
        <w:rPr>
          <w:rFonts w:ascii="宋体" w:hAnsi="宋体" w:eastAsia="宋体" w:cs="宋体"/>
          <w:bCs/>
          <w:color w:val="auto"/>
          <w:sz w:val="24"/>
          <w:highlight w:val="none"/>
          <w:lang w:val="en-US" w:eastAsia="zh-CN" w:bidi="ar"/>
        </w:rPr>
      </w:pPr>
      <w:r>
        <w:rPr>
          <w:rFonts w:hint="eastAsia" w:ascii="宋体" w:hAnsi="宋体" w:cs="宋体"/>
          <w:bCs/>
          <w:color w:val="auto"/>
          <w:sz w:val="24"/>
          <w:highlight w:val="none"/>
          <w:lang w:bidi="ar"/>
        </w:rPr>
        <w:t xml:space="preserve">附件</w:t>
      </w:r>
      <w:r>
        <w:rPr>
          <w:rFonts w:hint="eastAsia" w:ascii="宋体" w:hAnsi="宋体" w:cs="宋体"/>
          <w:bCs/>
          <w:color w:val="auto"/>
          <w:sz w:val="24"/>
          <w:highlight w:val="none"/>
          <w:lang w:val="en-US" w:eastAsia="zh-CN" w:bidi="ar"/>
        </w:rPr>
        <w:t xml:space="preserve">9</w:t>
      </w:r>
      <w:r/>
    </w:p>
    <w:p>
      <w:pPr>
        <w:jc w:val="center"/>
        <w:spacing w:line="360" w:lineRule="auto"/>
        <w:rPr>
          <w:rFonts w:hint="eastAsia" w:ascii="宋体" w:hAnsi="宋体" w:cs="宋体"/>
          <w:b/>
          <w:color w:val="auto"/>
          <w:sz w:val="24"/>
          <w:highlight w:val="none"/>
          <w:lang w:bidi="ar"/>
        </w:rPr>
      </w:pPr>
      <w:r>
        <w:rPr>
          <w:rFonts w:hint="eastAsia" w:ascii="宋体" w:hAnsi="宋体" w:cs="宋体"/>
          <w:b/>
          <w:color w:val="auto"/>
          <w:sz w:val="32"/>
          <w:szCs w:val="32"/>
          <w:highlight w:val="none"/>
          <w:lang w:bidi="ar"/>
        </w:rPr>
        <w:t xml:space="preserve">供应商信用承诺书</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法定代表人（签字或印鉴）：</w:t>
      </w:r>
      <w:r/>
    </w:p>
    <w:p>
      <w:pPr>
        <w:ind w:firstLine="264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时间：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055"/>
        <w:ind w:left="0" w:firstLine="0"/>
        <w:jc w:val="both"/>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pStyle w:val="1055"/>
        <w:ind w:left="0" w:firstLine="0"/>
        <w:jc w:val="both"/>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pStyle w:val="1055"/>
        <w:ind w:left="0" w:firstLine="0"/>
        <w:jc w:val="both"/>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pStyle w:val="1055"/>
        <w:ind w:left="0" w:firstLine="0"/>
        <w:jc w:val="both"/>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pStyle w:val="1055"/>
        <w:ind w:left="0" w:firstLine="0"/>
        <w:jc w:val="both"/>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pStyle w:val="1055"/>
        <w:ind w:left="0" w:firstLine="0"/>
        <w:jc w:val="both"/>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pStyle w:val="1055"/>
        <w:ind w:left="0" w:firstLine="0"/>
        <w:jc w:val="both"/>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pStyle w:val="1055"/>
        <w:ind w:left="0" w:firstLine="0"/>
        <w:jc w:val="both"/>
        <w:rPr>
          <w:rFonts w:hint="eastAsia"/>
          <w:color w:val="auto"/>
          <w:highlight w:val="none"/>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w:t>
      </w:r>
      <w:r>
        <w:rPr>
          <w:rFonts w:hint="eastAsia" w:ascii="宋体" w:hAnsi="宋体" w:cs="宋体"/>
          <w:color w:val="auto"/>
          <w:sz w:val="24"/>
          <w:szCs w:val="22"/>
          <w:highlight w:val="none"/>
          <w:lang w:val="en-US" w:eastAsia="zh-CN" w:bidi="ar-SA"/>
        </w:rPr>
        <w:t xml:space="preserve">0</w:t>
      </w:r>
      <w:r/>
    </w:p>
    <w:p>
      <w:pPr>
        <w:jc w:val="center"/>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中小企业声明函（工程）</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1.（标的名称），属于（采购文件中明确的所属行业）；承建（承接）企业为（企业名称），从业人员 </w:t>
      </w:r>
      <w:r>
        <w:rPr>
          <w:rFonts w:hint="eastAsia" w:ascii="宋体" w:hAnsi="宋体" w:cs="宋体"/>
          <w:color w:val="auto"/>
          <w:sz w:val="24"/>
          <w:highlight w:val="none"/>
        </w:rPr>
        <w:tab/>
      </w:r>
      <w:r>
        <w:rPr>
          <w:rFonts w:hint="eastAsia" w:ascii="宋体" w:hAnsi="宋体" w:cs="宋体"/>
          <w:color w:val="auto"/>
          <w:sz w:val="24"/>
          <w:highlight w:val="none"/>
        </w:rPr>
        <w:t xml:space="preserve">人，营业收入为 </w:t>
      </w:r>
      <w:r>
        <w:rPr>
          <w:rFonts w:hint="eastAsia" w:ascii="宋体" w:hAnsi="宋体" w:cs="宋体"/>
          <w:color w:val="auto"/>
          <w:sz w:val="24"/>
          <w:highlight w:val="none"/>
        </w:rPr>
        <w:tab/>
      </w:r>
      <w:r>
        <w:rPr>
          <w:rFonts w:hint="eastAsia" w:ascii="宋体" w:hAnsi="宋体" w:cs="宋体"/>
          <w:color w:val="auto"/>
          <w:sz w:val="24"/>
          <w:highlight w:val="none"/>
        </w:rPr>
        <w:t xml:space="preserve">万元，资产总额为 </w:t>
      </w:r>
      <w:r>
        <w:rPr>
          <w:rFonts w:hint="eastAsia" w:ascii="宋体" w:hAnsi="宋体" w:cs="宋体"/>
          <w:color w:val="auto"/>
          <w:sz w:val="24"/>
          <w:highlight w:val="none"/>
        </w:rPr>
        <w:tab/>
      </w:r>
      <w:r>
        <w:rPr>
          <w:rFonts w:hint="eastAsia" w:ascii="宋体" w:hAnsi="宋体" w:cs="宋体"/>
          <w:color w:val="auto"/>
          <w:sz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2.（标的名称），属于（采购文件中明确的所属行业）；承建（承接）企业为（企业名称），从业人员 </w:t>
      </w:r>
      <w:r>
        <w:rPr>
          <w:rFonts w:hint="eastAsia" w:ascii="宋体" w:hAnsi="宋体" w:cs="宋体"/>
          <w:color w:val="auto"/>
          <w:sz w:val="24"/>
          <w:highlight w:val="none"/>
        </w:rPr>
        <w:tab/>
      </w:r>
      <w:r>
        <w:rPr>
          <w:rFonts w:hint="eastAsia" w:ascii="宋体" w:hAnsi="宋体" w:cs="宋体"/>
          <w:color w:val="auto"/>
          <w:sz w:val="24"/>
          <w:highlight w:val="none"/>
        </w:rPr>
        <w:t xml:space="preserve">人，营业收入为 </w:t>
      </w:r>
      <w:r>
        <w:rPr>
          <w:rFonts w:hint="eastAsia" w:ascii="宋体" w:hAnsi="宋体" w:cs="宋体"/>
          <w:color w:val="auto"/>
          <w:sz w:val="24"/>
          <w:highlight w:val="none"/>
        </w:rPr>
        <w:tab/>
      </w:r>
      <w:r>
        <w:rPr>
          <w:rFonts w:hint="eastAsia" w:ascii="宋体" w:hAnsi="宋体" w:cs="宋体"/>
          <w:color w:val="auto"/>
          <w:sz w:val="24"/>
          <w:highlight w:val="none"/>
        </w:rPr>
        <w:t xml:space="preserve">万元，资产总额为 </w:t>
      </w:r>
      <w:r>
        <w:rPr>
          <w:rFonts w:hint="eastAsia" w:ascii="宋体" w:hAnsi="宋体" w:cs="宋体"/>
          <w:color w:val="auto"/>
          <w:sz w:val="24"/>
          <w:highlight w:val="none"/>
        </w:rPr>
        <w:tab/>
      </w:r>
      <w:r>
        <w:rPr>
          <w:rFonts w:hint="eastAsia" w:ascii="宋体" w:hAnsi="宋体" w:cs="宋体"/>
          <w:color w:val="auto"/>
          <w:sz w:val="24"/>
          <w:highlight w:val="none"/>
        </w:rPr>
        <w:t xml:space="preserve">万元，属于（中型企业、小型企业、微型企业）；</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566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企业名称（盖章）：</w:t>
      </w:r>
      <w:r/>
    </w:p>
    <w:p>
      <w:pPr>
        <w:ind w:firstLine="5668"/>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50"/>
        <w:rPr>
          <w:rFonts w:hint="eastAsia"/>
          <w:color w:val="auto"/>
          <w:highlight w:val="none"/>
        </w:rPr>
      </w:pPr>
      <w:r>
        <w:rPr>
          <w:rFonts w:hint="eastAsia"/>
          <w:color w:val="auto"/>
          <w:highlight w:val="none"/>
        </w:rPr>
      </w:r>
      <w:r/>
    </w:p>
    <w:p>
      <w:pPr>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r>
      <w:r/>
    </w:p>
    <w:p>
      <w:pPr>
        <w:rPr>
          <w:rFonts w:hint="eastAsia" w:ascii="宋体" w:hAnsi="宋体" w:eastAsia="宋体" w:cs="宋体"/>
          <w:color w:val="auto"/>
          <w:sz w:val="24"/>
          <w:szCs w:val="22"/>
          <w:highlight w:val="none"/>
          <w:lang w:val="zh-CN" w:eastAsia="zh-CN" w:bidi="ar-SA"/>
        </w:rPr>
      </w:pPr>
      <w:r>
        <w:rPr>
          <w:rFonts w:hint="eastAsia" w:ascii="宋体" w:hAnsi="宋体" w:eastAsia="宋体" w:cs="宋体"/>
          <w:color w:val="auto"/>
          <w:sz w:val="24"/>
          <w:szCs w:val="22"/>
          <w:highlight w:val="none"/>
          <w:lang w:val="zh-CN" w:eastAsia="zh-CN" w:bidi="ar-SA"/>
        </w:rPr>
        <w:br w:type="page" w:clear="all"/>
      </w:r>
      <w:r/>
    </w:p>
    <w:p>
      <w:pPr>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11</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360" w:lineRule="auto"/>
        <w:tabs>
          <w:tab w:val="left" w:pos="4860" w:leader="none"/>
        </w:tabs>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供应商全称（盖章）：</w:t>
      </w:r>
      <w:r/>
    </w:p>
    <w:p>
      <w:pPr>
        <w:ind w:right="1560" w:firstLine="480"/>
        <w:jc w:val="center"/>
        <w:spacing w:line="360" w:lineRule="auto"/>
        <w:tabs>
          <w:tab w:val="left" w:pos="4860" w:leader="none"/>
        </w:tabs>
        <w:rPr>
          <w:rFonts w:hint="eastAsia" w:ascii="宋体" w:hAnsi="宋体" w:cs="宋体"/>
          <w:color w:val="auto"/>
          <w:sz w:val="24"/>
          <w:highlight w:val="none"/>
        </w:rPr>
      </w:pPr>
      <w:r>
        <w:rPr>
          <w:rFonts w:hint="eastAsia" w:ascii="宋体" w:hAnsi="宋体" w:cs="宋体"/>
          <w:color w:val="auto"/>
          <w:sz w:val="24"/>
          <w:highlight w:val="none"/>
        </w:rPr>
        <w:t xml:space="preserve">              日  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rPr>
          <w:rFonts w:ascii="宋体" w:hAnsi="宋体" w:eastAsia="宋体" w:cs="宋体"/>
          <w:color w:val="auto"/>
          <w:sz w:val="32"/>
          <w:szCs w:val="3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12</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监狱和戒毒企业证明材料</w:t>
      </w:r>
      <w:r/>
    </w:p>
    <w:p>
      <w:pPr>
        <w:ind w:firstLine="42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6"/>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（格式自拟）</w:t>
      </w:r>
      <w:r/>
    </w:p>
    <w:p>
      <w:pPr>
        <w:jc w:val="left"/>
        <w:spacing w:line="560" w:lineRule="exact"/>
        <w:rPr>
          <w:rFonts w:hint="eastAsia" w:ascii="黑体" w:hAnsi="黑体" w:eastAsia="黑体"/>
          <w:b/>
          <w:color w:val="auto"/>
          <w:sz w:val="32"/>
          <w:szCs w:val="32"/>
          <w:highlight w:val="none"/>
        </w:rPr>
      </w:pPr>
      <w:r>
        <w:rPr>
          <w:rFonts w:hint="eastAsia" w:ascii="宋体" w:hAnsi="宋体" w:cs="宋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321"/>
        <w:jc w:val="center"/>
        <w:spacing w:line="560" w:lineRule="exact"/>
        <w:rPr>
          <w:rFonts w:hint="eastAsia" w:ascii="宋体" w:hAnsi="宋体" w:cs="宋体"/>
          <w:b/>
          <w:bCs/>
          <w:color w:val="auto"/>
          <w:sz w:val="32"/>
          <w:szCs w:val="32"/>
          <w:highlight w:val="none"/>
        </w:rPr>
        <w:outlineLvl w:val="0"/>
      </w:pPr>
      <w:r>
        <w:rPr>
          <w:rFonts w:hint="eastAsia" w:ascii="宋体" w:hAnsi="宋体" w:cs="仿宋"/>
          <w:b/>
          <w:bCs/>
          <w:color w:val="auto"/>
          <w:sz w:val="32"/>
          <w:szCs w:val="32"/>
          <w:highlight w:val="none"/>
        </w:rPr>
        <w:br w:type="page" w:clear="all"/>
      </w:r>
      <w:r>
        <w:rPr>
          <w:rFonts w:hint="eastAsia" w:ascii="宋体" w:hAnsi="宋体" w:cs="宋体"/>
          <w:b/>
          <w:bCs/>
          <w:color w:val="auto"/>
          <w:sz w:val="32"/>
          <w:szCs w:val="32"/>
          <w:highlight w:val="none"/>
        </w:rPr>
        <w:t xml:space="preserve">中小企业划型标准规定</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13    </w:t>
      </w:r>
      <w:r/>
    </w:p>
    <w:p>
      <w:pPr>
        <w:jc w:val="center"/>
        <w:keepLines/>
        <w:keepNext/>
        <w:spacing w:before="260" w:after="260" w:line="416" w:lineRule="auto"/>
        <w:rPr>
          <w:rFonts w:hint="eastAsia" w:ascii="宋体" w:hAnsi="宋体" w:eastAsia="宋体" w:cs="宋体"/>
          <w:b/>
          <w:color w:val="auto"/>
          <w:sz w:val="32"/>
          <w:szCs w:val="32"/>
          <w:highlight w:val="none"/>
          <w:lang w:bidi="ar"/>
        </w:rPr>
        <w:outlineLvl w:val="1"/>
      </w:pPr>
      <w:r>
        <w:rPr>
          <w:rFonts w:hint="eastAsia" w:ascii="宋体" w:hAnsi="宋体" w:eastAsia="宋体" w:cs="宋体"/>
          <w:b/>
          <w:color w:val="auto"/>
          <w:sz w:val="32"/>
          <w:szCs w:val="32"/>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南通市通州区水利局、江苏禹和水利工程建设有限公司（采购人）</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w:t>
      </w:r>
      <w:r>
        <w:rPr>
          <w:rFonts w:hint="eastAsia" w:ascii="宋体" w:hAnsi="宋体"/>
          <w:color w:val="auto"/>
          <w:sz w:val="24"/>
          <w:szCs w:val="24"/>
          <w:highlight w:val="none"/>
          <w:lang w:val="en-US" w:eastAsia="zh-CN"/>
        </w:rPr>
        <w:t xml:space="preserve">建设工程</w:t>
      </w:r>
      <w:r>
        <w:rPr>
          <w:rFonts w:hint="eastAsia" w:ascii="宋体" w:hAnsi="宋体"/>
          <w:color w:val="auto"/>
          <w:sz w:val="24"/>
          <w:szCs w:val="24"/>
          <w:highlight w:val="none"/>
        </w:rPr>
        <w:t xml:space="preserve">（包含与</w:t>
      </w:r>
      <w:r>
        <w:rPr>
          <w:rFonts w:hint="eastAsia" w:ascii="宋体" w:hAnsi="宋体"/>
          <w:color w:val="auto"/>
          <w:sz w:val="24"/>
          <w:szCs w:val="24"/>
          <w:highlight w:val="none"/>
          <w:lang w:val="en-US" w:eastAsia="zh-CN"/>
        </w:rPr>
        <w:t xml:space="preserve">建设工程</w:t>
      </w:r>
      <w:r>
        <w:rPr>
          <w:rFonts w:hint="eastAsia" w:ascii="宋体" w:hAnsi="宋体"/>
          <w:color w:val="auto"/>
          <w:sz w:val="24"/>
          <w:szCs w:val="24"/>
          <w:highlight w:val="none"/>
        </w:rPr>
        <w:t xml:space="preserve">相关的货物</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rPr>
        <w:t xml:space="preserve">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contextualSpacing/>
        <w:spacing w:line="400" w:lineRule="exact"/>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p>
      <w:pPr>
        <w:contextualSpacing/>
        <w:jc w:val="both"/>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both"/>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0"/>
        <w:jc w:val="left"/>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附件14</w:t>
      </w:r>
      <w:r/>
    </w:p>
    <w:p>
      <w:pPr>
        <w:pStyle w:val="979"/>
        <w:jc w:val="center"/>
        <w:rPr>
          <w:rFonts w:eastAsia="黑体"/>
          <w:color w:val="auto"/>
          <w:sz w:val="28"/>
          <w:szCs w:val="28"/>
          <w:highlight w:val="none"/>
          <w:lang w:val="en-US" w:eastAsia="zh-CN"/>
        </w:rPr>
      </w:pPr>
      <w:r>
        <w:rPr>
          <w:rFonts w:hint="eastAsia"/>
          <w:color w:val="auto"/>
          <w:sz w:val="28"/>
          <w:szCs w:val="28"/>
          <w:highlight w:val="none"/>
          <w:lang w:val="en-US" w:eastAsia="zh-CN"/>
        </w:rPr>
        <w:t xml:space="preserve">已标价工程量清单（首轮）</w:t>
      </w:r>
      <w:r/>
    </w:p>
    <w:p>
      <w:pPr>
        <w:jc w:val="center"/>
        <w:rPr>
          <w:rFonts w:ascii="宋体" w:hAnsi="宋体"/>
          <w:b/>
          <w:color w:val="auto"/>
          <w:sz w:val="30"/>
          <w:szCs w:val="30"/>
          <w:highlight w:val="none"/>
        </w:rPr>
      </w:pPr>
      <w:r>
        <w:rPr>
          <w:rFonts w:hint="eastAsia" w:ascii="宋体" w:hAnsi="宋体"/>
          <w:color w:val="auto"/>
          <w:sz w:val="24"/>
          <w:highlight w:val="none"/>
        </w:rPr>
        <w:t xml:space="preserve">项目清单</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自行下载</w:t>
      </w:r>
      <w:r>
        <w:rPr>
          <w:rFonts w:hint="eastAsia" w:ascii="宋体" w:hAnsi="宋体"/>
          <w:color w:val="auto"/>
          <w:sz w:val="24"/>
          <w:highlight w:val="none"/>
          <w:lang w:eastAsia="zh-CN"/>
        </w:rPr>
        <w:t xml:space="preserve">）</w:t>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bookmarkStart w:id="198" w:name="_Toc25103_WPSOffice_Level3"/>
      <w:r/>
      <w:r/>
    </w:p>
    <w:p>
      <w:pPr>
        <w:jc w:val="both"/>
        <w:keepLines/>
        <w:keepNext/>
        <w:spacing w:before="100" w:line="400" w:lineRule="exact"/>
        <w:rPr>
          <w:rFonts w:hint="eastAsia" w:ascii="宋体" w:hAnsi="宋体" w:eastAsia="宋体" w:cs="宋体"/>
          <w:b w:val="0"/>
          <w:bCs w:val="0"/>
          <w:color w:val="auto"/>
          <w:sz w:val="28"/>
          <w:szCs w:val="20"/>
          <w:highlight w:val="none"/>
          <w:lang w:val="en-US" w:eastAsia="zh-CN"/>
        </w:rPr>
        <w:outlineLvl w:val="1"/>
      </w:pPr>
      <w:r>
        <w:rPr>
          <w:rFonts w:hint="eastAsia" w:ascii="宋体" w:hAnsi="宋体" w:eastAsia="宋体" w:cs="宋体"/>
          <w:b w:val="0"/>
          <w:bCs w:val="0"/>
          <w:color w:val="auto"/>
          <w:sz w:val="28"/>
          <w:szCs w:val="20"/>
          <w:highlight w:val="none"/>
          <w:lang w:val="en-US" w:eastAsia="zh-CN"/>
        </w:rPr>
      </w:r>
      <w:r/>
    </w:p>
    <w:p>
      <w:pPr>
        <w:jc w:val="both"/>
        <w:keepLines/>
        <w:keepNext/>
        <w:spacing w:before="100" w:line="400" w:lineRule="exact"/>
        <w:rPr>
          <w:rFonts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附件15</w:t>
      </w:r>
      <w:r/>
    </w:p>
    <w:p>
      <w:pPr>
        <w:jc w:val="center"/>
        <w:keepLines/>
        <w:keepNext/>
        <w:spacing w:before="100" w:line="400" w:lineRule="exact"/>
        <w:rPr>
          <w:rFonts w:ascii="宋体" w:hAnsi="宋体"/>
          <w:color w:val="auto"/>
          <w:sz w:val="25"/>
          <w:highlight w:val="none"/>
        </w:rPr>
        <w:outlineLvl w:val="1"/>
      </w:pPr>
      <w:r>
        <w:rPr>
          <w:rFonts w:hint="eastAsia" w:eastAsia="黑体" w:cs="宋体"/>
          <w:color w:val="auto"/>
          <w:sz w:val="28"/>
          <w:szCs w:val="20"/>
          <w:highlight w:val="none"/>
        </w:rPr>
        <w:t xml:space="preserve">计划投入的主要施工机械设备表</w:t>
      </w:r>
      <w:bookmarkEnd w:id="198"/>
      <w:r/>
      <w:r/>
    </w:p>
    <w:tbl>
      <w:tblPr>
        <w:tblStyle w:val="803"/>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1054"/>
              <w:ind w:firstLine="0"/>
              <w:jc w:val="center"/>
              <w:spacing w:line="360" w:lineRule="auto"/>
              <w:rPr>
                <w:rFonts w:ascii="宋体" w:hAnsi="宋体"/>
                <w:color w:val="auto"/>
                <w:position w:val="-32"/>
                <w:sz w:val="23"/>
                <w:highlight w:val="none"/>
              </w:rPr>
            </w:pPr>
            <w:r>
              <w:rPr>
                <w:rFonts w:hint="eastAsia" w:ascii="宋体" w:hAnsi="宋体"/>
                <w:color w:val="auto"/>
                <w:position w:val="-32"/>
                <w:sz w:val="23"/>
                <w:highlight w:val="none"/>
              </w:rPr>
              <w:t xml:space="preserve">序号</w:t>
            </w:r>
            <w:r/>
          </w:p>
        </w:tc>
        <w:tc>
          <w:tcPr>
            <w:tcW w:w="1735" w:type="dxa"/>
            <w:vAlign w:val="top"/>
            <w:textDirection w:val="lrTb"/>
            <w:noWrap w:val="false"/>
          </w:tcPr>
          <w:p>
            <w:pPr>
              <w:pStyle w:val="1054"/>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机械设备名称</w:t>
            </w:r>
            <w:r/>
          </w:p>
        </w:tc>
        <w:tc>
          <w:tcPr>
            <w:tcW w:w="714" w:type="dxa"/>
            <w:vAlign w:val="top"/>
            <w:textDirection w:val="lrTb"/>
            <w:noWrap w:val="false"/>
          </w:tcPr>
          <w:p>
            <w:pPr>
              <w:pStyle w:val="105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型号规格</w:t>
            </w:r>
            <w:r/>
          </w:p>
        </w:tc>
        <w:tc>
          <w:tcPr>
            <w:tcW w:w="715" w:type="dxa"/>
            <w:vAlign w:val="top"/>
            <w:textDirection w:val="lrTb"/>
            <w:noWrap w:val="false"/>
          </w:tcPr>
          <w:p>
            <w:pPr>
              <w:pStyle w:val="1054"/>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数量</w:t>
            </w:r>
            <w:r/>
          </w:p>
        </w:tc>
        <w:tc>
          <w:tcPr>
            <w:tcW w:w="918" w:type="dxa"/>
            <w:vAlign w:val="top"/>
            <w:textDirection w:val="lrTb"/>
            <w:noWrap w:val="false"/>
          </w:tcPr>
          <w:p>
            <w:pPr>
              <w:pStyle w:val="105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国 别</w:t>
            </w:r>
            <w:r/>
          </w:p>
          <w:p>
            <w:pPr>
              <w:pStyle w:val="105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产 地</w:t>
            </w:r>
            <w:r/>
          </w:p>
        </w:tc>
        <w:tc>
          <w:tcPr>
            <w:tcW w:w="919" w:type="dxa"/>
            <w:vAlign w:val="top"/>
            <w:textDirection w:val="lrTb"/>
            <w:noWrap w:val="false"/>
          </w:tcPr>
          <w:p>
            <w:pPr>
              <w:pStyle w:val="105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制 造</w:t>
            </w:r>
            <w:r/>
          </w:p>
          <w:p>
            <w:pPr>
              <w:pStyle w:val="1054"/>
              <w:ind w:firstLine="0"/>
              <w:jc w:val="center"/>
              <w:spacing w:line="360" w:lineRule="auto"/>
              <w:rPr>
                <w:rFonts w:ascii="宋体" w:hAnsi="宋体"/>
                <w:color w:val="auto"/>
                <w:position w:val="-30"/>
                <w:sz w:val="23"/>
                <w:highlight w:val="none"/>
              </w:rPr>
            </w:pPr>
            <w:r>
              <w:rPr>
                <w:rFonts w:hint="eastAsia" w:ascii="宋体" w:hAnsi="宋体"/>
                <w:color w:val="auto"/>
                <w:position w:val="-30"/>
                <w:sz w:val="23"/>
                <w:highlight w:val="none"/>
              </w:rPr>
              <w:t xml:space="preserve">年 份</w:t>
            </w:r>
            <w:r/>
          </w:p>
        </w:tc>
        <w:tc>
          <w:tcPr>
            <w:tcW w:w="1123" w:type="dxa"/>
            <w:vAlign w:val="top"/>
            <w:textDirection w:val="lrTb"/>
            <w:noWrap w:val="false"/>
          </w:tcPr>
          <w:p>
            <w:pPr>
              <w:pStyle w:val="1054"/>
              <w:ind w:firstLine="0"/>
              <w:jc w:val="center"/>
              <w:spacing w:line="360" w:lineRule="auto"/>
              <w:rPr>
                <w:rFonts w:ascii="宋体" w:hAnsi="宋体"/>
                <w:color w:val="auto"/>
                <w:position w:val="-30"/>
                <w:highlight w:val="none"/>
              </w:rPr>
            </w:pPr>
            <w:r>
              <w:rPr>
                <w:rFonts w:hint="eastAsia" w:ascii="宋体" w:hAnsi="宋体"/>
                <w:color w:val="auto"/>
                <w:position w:val="-30"/>
                <w:highlight w:val="none"/>
              </w:rPr>
              <w:t xml:space="preserve">额定功率</w:t>
            </w:r>
            <w:r>
              <w:rPr>
                <w:rFonts w:ascii="宋体" w:hAnsi="宋体"/>
                <w:color w:val="auto"/>
                <w:position w:val="-30"/>
                <w:highlight w:val="none"/>
              </w:rPr>
              <w:t xml:space="preserve">(</w:t>
            </w:r>
            <w:r>
              <w:rPr>
                <w:rFonts w:hint="eastAsia" w:ascii="宋体" w:hAnsi="宋体"/>
                <w:color w:val="auto"/>
                <w:position w:val="-30"/>
                <w:highlight w:val="none"/>
              </w:rPr>
              <w:t xml:space="preserve">KW</w:t>
            </w:r>
            <w:r>
              <w:rPr>
                <w:rFonts w:ascii="宋体" w:hAnsi="宋体"/>
                <w:color w:val="auto"/>
                <w:position w:val="-30"/>
                <w:highlight w:val="none"/>
              </w:rPr>
              <w:t xml:space="preserve">)</w:t>
            </w:r>
            <w:r/>
          </w:p>
        </w:tc>
        <w:tc>
          <w:tcPr>
            <w:tcW w:w="1122" w:type="dxa"/>
            <w:vAlign w:val="top"/>
            <w:textDirection w:val="lrTb"/>
            <w:noWrap w:val="false"/>
          </w:tcPr>
          <w:p>
            <w:pPr>
              <w:pStyle w:val="1054"/>
              <w:ind w:firstLine="0"/>
              <w:jc w:val="center"/>
              <w:spacing w:line="360" w:lineRule="auto"/>
              <w:rPr>
                <w:rFonts w:ascii="宋体" w:hAnsi="宋体"/>
                <w:color w:val="auto"/>
                <w:position w:val="-30"/>
                <w:highlight w:val="none"/>
              </w:rPr>
            </w:pPr>
            <w:r>
              <w:rPr>
                <w:rFonts w:hint="eastAsia" w:ascii="宋体" w:hAnsi="宋体"/>
                <w:color w:val="auto"/>
                <w:position w:val="-30"/>
                <w:highlight w:val="none"/>
              </w:rPr>
              <w:t xml:space="preserve">生产能力</w:t>
            </w:r>
            <w:r>
              <w:rPr>
                <w:rFonts w:ascii="宋体" w:hAnsi="宋体"/>
                <w:color w:val="auto"/>
                <w:position w:val="-30"/>
                <w:highlight w:val="none"/>
              </w:rPr>
              <w:t xml:space="preserve">(</w:t>
            </w:r>
            <w:r>
              <w:rPr>
                <w:rFonts w:hint="eastAsia" w:ascii="宋体" w:hAnsi="宋体"/>
                <w:color w:val="auto"/>
                <w:position w:val="-30"/>
                <w:highlight w:val="none"/>
              </w:rPr>
              <w:t xml:space="preserve">MH</w:t>
            </w:r>
            <w:r>
              <w:rPr>
                <w:rFonts w:ascii="宋体" w:hAnsi="宋体"/>
                <w:color w:val="auto"/>
                <w:position w:val="-30"/>
                <w:highlight w:val="none"/>
              </w:rPr>
              <w:t xml:space="preserve">)</w:t>
            </w:r>
            <w:r/>
          </w:p>
        </w:tc>
        <w:tc>
          <w:tcPr>
            <w:tcW w:w="1715" w:type="dxa"/>
            <w:vAlign w:val="top"/>
            <w:textDirection w:val="lrTb"/>
            <w:noWrap w:val="false"/>
          </w:tcPr>
          <w:p>
            <w:pPr>
              <w:pStyle w:val="1054"/>
              <w:ind w:firstLine="0"/>
              <w:jc w:val="center"/>
              <w:spacing w:line="360" w:lineRule="auto"/>
              <w:rPr>
                <w:rFonts w:ascii="宋体" w:hAnsi="宋体"/>
                <w:color w:val="auto"/>
                <w:position w:val="-50"/>
                <w:sz w:val="23"/>
                <w:highlight w:val="none"/>
              </w:rPr>
            </w:pPr>
            <w:r>
              <w:rPr>
                <w:rFonts w:hint="eastAsia" w:ascii="宋体" w:hAnsi="宋体"/>
                <w:color w:val="auto"/>
                <w:position w:val="-50"/>
                <w:sz w:val="23"/>
                <w:highlight w:val="none"/>
              </w:rPr>
              <w:t xml:space="preserve">备注</w:t>
            </w:r>
            <w:r/>
          </w:p>
        </w:tc>
      </w:tr>
      <w:tr>
        <w:trPr>
          <w:trHeight w:val="736"/>
        </w:trPr>
        <w:tc>
          <w:tcPr>
            <w:tcW w:w="519"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r>
      <w:tr>
        <w:trPr>
          <w:trHeight w:val="736"/>
        </w:trPr>
        <w:tc>
          <w:tcPr>
            <w:tcW w:w="519"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73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714"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71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918"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919"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123"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122"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c>
          <w:tcPr>
            <w:tcW w:w="1715" w:type="dxa"/>
            <w:vAlign w:val="top"/>
            <w:textDirection w:val="lrTb"/>
            <w:noWrap w:val="false"/>
          </w:tcPr>
          <w:p>
            <w:pPr>
              <w:pStyle w:val="1054"/>
              <w:ind w:firstLine="0"/>
              <w:spacing w:line="360" w:lineRule="auto"/>
              <w:rPr>
                <w:rFonts w:ascii="宋体" w:hAnsi="宋体"/>
                <w:color w:val="auto"/>
                <w:sz w:val="25"/>
                <w:highlight w:val="none"/>
              </w:rPr>
            </w:pPr>
            <w:r>
              <w:rPr>
                <w:rFonts w:ascii="宋体" w:hAnsi="宋体"/>
                <w:color w:val="auto"/>
                <w:sz w:val="25"/>
                <w:highlight w:val="none"/>
              </w:rPr>
            </w:r>
            <w:r/>
          </w:p>
        </w:tc>
      </w:tr>
    </w:tbl>
    <w:p>
      <w:pPr>
        <w:ind w:firstLine="490"/>
        <w:jc w:val="center"/>
        <w:spacing w:line="360" w:lineRule="auto"/>
        <w:rPr>
          <w:color w:val="auto"/>
          <w:highlight w:val="none"/>
        </w:rPr>
      </w:pPr>
      <w:r>
        <w:rPr>
          <w:color w:val="auto"/>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主要施工人员表</w:t>
      </w:r>
      <w:r/>
    </w:p>
    <w:tbl>
      <w:tblPr>
        <w:tblStyle w:val="80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3"/>
        <w:gridCol w:w="1933"/>
        <w:gridCol w:w="1933"/>
        <w:gridCol w:w="1934"/>
        <w:gridCol w:w="1934"/>
      </w:tblGrid>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3"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c>
          <w:tcPr>
            <w:tcW w:w="1934" w:type="dxa"/>
            <w:vAlign w:val="top"/>
            <w:textDirection w:val="lrTb"/>
            <w:noWrap w:val="false"/>
          </w:tcPr>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spacing w:line="560" w:lineRule="exact"/>
        <w:rPr>
          <w:rFonts w:ascii="宋体" w:hAnsi="宋体" w:cs="仿宋"/>
          <w:b/>
          <w:bCs/>
          <w:color w:val="auto"/>
          <w:sz w:val="32"/>
          <w:szCs w:val="32"/>
          <w:highlight w:val="none"/>
          <w:lang w:val="en-US"/>
        </w:rPr>
      </w:pPr>
      <w:r>
        <w:rPr>
          <w:rFonts w:hint="eastAsia" w:ascii="宋体" w:hAnsi="宋体" w:cs="仿宋"/>
          <w:b/>
          <w:bCs/>
          <w:color w:val="auto"/>
          <w:sz w:val="32"/>
          <w:szCs w:val="32"/>
          <w:highlight w:val="none"/>
        </w:rPr>
        <w:br w:type="page" w:clear="all"/>
      </w: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16</w:t>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特别提醒：供应商必须在法定质疑期内一次性提出针对同一采购程序环节的质疑。</w:t>
      </w:r>
      <w:r/>
    </w:p>
    <w:p>
      <w:pPr>
        <w:rPr>
          <w:color w:val="auto"/>
          <w:highlight w:val="none"/>
        </w:rPr>
      </w:pPr>
      <w:r>
        <w:rPr>
          <w:color w:val="auto"/>
          <w:highlight w:val="none"/>
        </w:rPr>
        <w:br w:type="page" w:clear="all"/>
      </w:r>
      <w:r/>
    </w:p>
    <w:p>
      <w:pPr>
        <w:ind w:firstLine="1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办理政采贷和履约保函（保险）告知函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64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64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64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993"/>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contextualSpacing/>
        <w:ind w:firstLine="482"/>
        <w:keepLines w:val="0"/>
        <w:keepNext w:val="0"/>
        <w:pageBreakBefore w:val="0"/>
        <w:spacing w:line="460" w:lineRule="exact"/>
        <w:widowControl w:val="off"/>
        <w:rPr>
          <w:rFonts w:hint="eastAsia" w:ascii="仿宋" w:hAnsi="仿宋" w:eastAsia="仿宋"/>
          <w:b/>
          <w:color w:val="auto"/>
          <w:sz w:val="24"/>
          <w:szCs w:val="24"/>
          <w:highlight w:val="none"/>
        </w:rPr>
        <w:outlineLvl w:val="0"/>
      </w:pPr>
      <w:r>
        <w:rPr>
          <w:rFonts w:hint="eastAsia" w:ascii="仿宋" w:hAnsi="仿宋" w:eastAsia="仿宋"/>
          <w:b/>
          <w:color w:val="auto"/>
          <w:sz w:val="24"/>
          <w:szCs w:val="24"/>
          <w:highlight w:val="none"/>
        </w:rPr>
      </w:r>
      <w:r/>
    </w:p>
    <w:p>
      <w:pPr>
        <w:pStyle w:val="1047"/>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pStyle w:val="1047"/>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pStyle w:val="1047"/>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pStyle w:val="1047"/>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pStyle w:val="1047"/>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pStyle w:val="1047"/>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color w:val="auto"/>
          <w:highlight w:val="none"/>
        </w:rPr>
      </w:pPr>
      <w:r>
        <w:rPr>
          <w:rFonts w:hint="eastAsia"/>
          <w:color w:val="auto"/>
          <w:highlight w:val="none"/>
        </w:rPr>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pStyle w:val="1047"/>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pStyle w:val="1047"/>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060"/>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ascii="Times New Roman" w:hAnsi="Times New Roman" w:eastAsia="宋体" w:cs="Times New Roman"/>
                <w:color w:val="auto"/>
                <w:highlight w:val="none"/>
                <w:lang w:val="en-US" w:eastAsia="zh-CN"/>
              </w:rPr>
              <w:t xml:space="preserve">单位公章</w:t>
            </w:r>
            <w:r/>
          </w:p>
          <w:p>
            <w:pPr>
              <w:pStyle w:val="1057"/>
              <w:jc w:val="right"/>
              <w:rPr>
                <w:rFonts w:cs="Times New Roman"/>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sectPr>
      <w:footerReference w:type="default" r:id="rId14"/>
      <w:footnotePr/>
      <w:endnotePr/>
      <w:type w:val="nextPage"/>
      <w:pgSz w:w="11907" w:h="16839" w:orient="portrait"/>
      <w:pgMar w:top="1327" w:right="1293" w:bottom="1327" w:left="1293"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黑体_GBK">
    <w:panose1 w:val="020B0503020202020204"/>
  </w:font>
  <w:font w:name="方正仿宋_GBK">
    <w:panose1 w:val="020B0503020202020204"/>
  </w:font>
  <w:font w:name="Showcard Gothic">
    <w:panose1 w:val="040209040201020206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新宋体">
    <w:panose1 w:val="02010609030101010101"/>
  </w:font>
  <w:font w:name="Symbol">
    <w:panose1 w:val="05050102010706020507"/>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left" w:pos="6117" w:leader="none"/>
      </w:tabs>
      <w:rPr>
        <w:rFonts w:hint="eastAsia" w:eastAsia="宋体"/>
        <w:lang w:eastAsia="zh-CN"/>
      </w:rPr>
    </w:pPr>
    <w:r>
      <w:tab/>
    </w:r>
    <w:r>
      <w:rPr>
        <w:rFonts w:hint="eastAsia"/>
        <w:lang w:eastAsia="zh-CN"/>
      </w:rPr>
      <w:tab/>
    </w:r>
    <w:r/>
  </w:p>
  <w:p>
    <w:pPr>
      <w:pStyle w:val="1001"/>
      <w:tabs>
        <w:tab w:val="center" w:pos="6962"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left" w:pos="6117" w:leader="none"/>
      </w:tabs>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4</w:t>
                    </w:r>
                    <w:r>
                      <w:fldChar w:fldCharType="end"/>
                    </w:r>
                    <w:r/>
                  </w:p>
                </w:txbxContent>
              </v:textbox>
            </v:shape>
          </w:pict>
        </mc:Fallback>
      </mc:AlternateContent>
    </w:r>
    <w:r>
      <w:tab/>
    </w:r>
    <w:r>
      <w:rPr>
        <w:rFonts w:hint="eastAsia"/>
        <w:lang w:eastAsia="zh-CN"/>
      </w:rPr>
      <w:tab/>
    </w:r>
    <w:r/>
  </w:p>
  <w:p>
    <w:pPr>
      <w:pStyle w:val="1001"/>
      <w:tabs>
        <w:tab w:val="center" w:pos="6962"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39</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696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p>
    <w:pPr>
      <w:pStyle w:val="1001"/>
      <w:tabs>
        <w:tab w:val="center" w:pos="6962"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tabs>
        <w:tab w:val="center" w:pos="4153" w:leader="none"/>
        <w:tab w:val="clear" w:pos="7143" w:leader="none"/>
        <w:tab w:val="right" w:pos="8306" w:leader="none"/>
        <w:tab w:val="clear" w:pos="14287" w:leader="none"/>
      </w:tabs>
      <w:rPr>
        <w:rFonts w:ascii="宋体"/>
        <w:sz w:val="28"/>
        <w:szCs w:val="28"/>
      </w:rPr>
      <w:pBdr>
        <w:bottom w:val="none" w:color="auto" w:sz="0" w:space="0"/>
      </w:pBdr>
    </w:pPr>
    <w:r>
      <w:rPr>
        <w:rFonts w:ascii="宋体"/>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0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2"/>
    <w:link w:val="831"/>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32"/>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33"/>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4"/>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5"/>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6"/>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8"/>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39"/>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701" w:right="0" w:firstLine="0"/>
      <w:spacing w:after="57"/>
    </w:pPr>
  </w:style>
  <w:style w:type="paragraph" w:styleId="805">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index 5"/>
    <w:basedOn w:val="792"/>
    <w:next w:val="792"/>
    <w:uiPriority w:val="99"/>
    <w:semiHidden/>
    <w:qFormat/>
    <w:pPr>
      <w:ind w:left="800"/>
    </w:pPr>
  </w:style>
  <w:style w:type="paragraph" w:styleId="807">
    <w:name w:val="annotation text"/>
    <w:basedOn w:val="792"/>
    <w:uiPriority w:val="99"/>
    <w:semiHidden/>
    <w:unhideWhenUsed/>
    <w:qFormat/>
    <w:pPr>
      <w:jc w:val="left"/>
    </w:pPr>
  </w:style>
  <w:style w:type="paragraph" w:styleId="808">
    <w:name w:val="Body Text"/>
    <w:basedOn w:val="792"/>
    <w:uiPriority w:val="0"/>
    <w:qFormat/>
    <w:pPr>
      <w:ind w:firstLine="1044"/>
      <w:jc w:val="both"/>
      <w:spacing w:before="100" w:after="100" w:afterAutospacing="0" w:line="300" w:lineRule="auto"/>
      <w:widowControl w:val="off"/>
    </w:pPr>
    <w:rPr>
      <w:rFonts w:ascii="Times New Roman" w:hAnsi="Times New Roman" w:eastAsia="宋体" w:cs="Times New Roman"/>
      <w:sz w:val="24"/>
      <w:szCs w:val="24"/>
      <w:lang w:bidi="ar-SA"/>
    </w:rPr>
  </w:style>
  <w:style w:type="paragraph" w:styleId="809">
    <w:name w:val="Body Text Indent"/>
    <w:basedOn w:val="792"/>
    <w:uiPriority w:val="0"/>
    <w:qFormat/>
    <w:pPr>
      <w:ind w:firstLine="552"/>
      <w:spacing w:before="240" w:line="360" w:lineRule="auto"/>
    </w:pPr>
    <w:rPr>
      <w:rFonts w:ascii="宋体" w:hAnsi="宋体"/>
      <w:szCs w:val="20"/>
    </w:rPr>
  </w:style>
  <w:style w:type="paragraph" w:styleId="810">
    <w:name w:val="toc 5"/>
    <w:basedOn w:val="792"/>
    <w:next w:val="792"/>
    <w:uiPriority w:val="39"/>
    <w:unhideWhenUsed/>
    <w:qFormat/>
    <w:pPr>
      <w:ind w:left="1134" w:right="0" w:firstLine="0"/>
      <w:spacing w:after="57"/>
    </w:pPr>
  </w:style>
  <w:style w:type="paragraph" w:styleId="811">
    <w:name w:val="toc 3"/>
    <w:basedOn w:val="792"/>
    <w:next w:val="792"/>
    <w:uiPriority w:val="39"/>
    <w:unhideWhenUsed/>
    <w:qFormat/>
    <w:pPr>
      <w:ind w:left="567" w:right="0" w:firstLine="0"/>
      <w:spacing w:after="57"/>
    </w:pPr>
  </w:style>
  <w:style w:type="paragraph" w:styleId="812">
    <w:name w:val="toc 8"/>
    <w:basedOn w:val="792"/>
    <w:next w:val="792"/>
    <w:uiPriority w:val="39"/>
    <w:unhideWhenUsed/>
    <w:qFormat/>
    <w:pPr>
      <w:ind w:left="1984" w:right="0" w:firstLine="0"/>
      <w:spacing w:after="57"/>
    </w:pPr>
  </w:style>
  <w:style w:type="paragraph" w:styleId="813">
    <w:name w:val="endnote text"/>
    <w:basedOn w:val="792"/>
    <w:link w:val="976"/>
    <w:uiPriority w:val="99"/>
    <w:semiHidden/>
    <w:unhideWhenUsed/>
    <w:qFormat/>
    <w:pPr>
      <w:spacing w:after="0" w:line="240" w:lineRule="auto"/>
    </w:pPr>
    <w:rPr>
      <w:sz w:val="20"/>
    </w:rPr>
  </w:style>
  <w:style w:type="paragraph" w:styleId="814">
    <w:name w:val="Footer"/>
    <w:basedOn w:val="792"/>
    <w:link w:val="849"/>
    <w:uiPriority w:val="99"/>
    <w:unhideWhenUsed/>
    <w:qFormat/>
    <w:pPr>
      <w:spacing w:after="0" w:line="240" w:lineRule="auto"/>
      <w:tabs>
        <w:tab w:val="center" w:pos="7143" w:leader="none"/>
        <w:tab w:val="right" w:pos="14287" w:leader="none"/>
      </w:tabs>
    </w:pPr>
  </w:style>
  <w:style w:type="paragraph" w:styleId="815">
    <w:name w:val="Header"/>
    <w:basedOn w:val="792"/>
    <w:link w:val="847"/>
    <w:uiPriority w:val="99"/>
    <w:unhideWhenUsed/>
    <w:qFormat/>
    <w:pPr>
      <w:spacing w:after="0" w:line="240" w:lineRule="auto"/>
      <w:tabs>
        <w:tab w:val="center" w:pos="7143" w:leader="none"/>
        <w:tab w:val="right" w:pos="14287" w:leader="none"/>
      </w:tabs>
    </w:pPr>
  </w:style>
  <w:style w:type="paragraph" w:styleId="816">
    <w:name w:val="toc 1"/>
    <w:basedOn w:val="792"/>
    <w:next w:val="792"/>
    <w:uiPriority w:val="39"/>
    <w:unhideWhenUsed/>
    <w:qFormat/>
    <w:pPr>
      <w:ind w:left="0" w:right="0" w:firstLine="0"/>
      <w:spacing w:after="57"/>
    </w:pPr>
  </w:style>
  <w:style w:type="paragraph" w:styleId="817">
    <w:name w:val="toc 4"/>
    <w:basedOn w:val="792"/>
    <w:next w:val="792"/>
    <w:uiPriority w:val="39"/>
    <w:unhideWhenUsed/>
    <w:qFormat/>
    <w:pPr>
      <w:ind w:left="850" w:right="0" w:firstLine="0"/>
      <w:spacing w:after="57"/>
    </w:pPr>
  </w:style>
  <w:style w:type="paragraph" w:styleId="818">
    <w:name w:val="Subtitle"/>
    <w:basedOn w:val="792"/>
    <w:next w:val="792"/>
    <w:link w:val="842"/>
    <w:uiPriority w:val="11"/>
    <w:qFormat/>
    <w:pPr>
      <w:spacing w:before="200" w:after="200"/>
    </w:pPr>
    <w:rPr>
      <w:sz w:val="24"/>
      <w:szCs w:val="24"/>
    </w:rPr>
  </w:style>
  <w:style w:type="paragraph" w:styleId="819">
    <w:name w:val="footnote text"/>
    <w:basedOn w:val="792"/>
    <w:next w:val="806"/>
    <w:link w:val="975"/>
    <w:uiPriority w:val="99"/>
    <w:semiHidden/>
    <w:unhideWhenUsed/>
    <w:qFormat/>
    <w:pPr>
      <w:spacing w:after="40" w:line="240" w:lineRule="auto"/>
    </w:pPr>
    <w:rPr>
      <w:sz w:val="18"/>
    </w:rPr>
  </w:style>
  <w:style w:type="paragraph" w:styleId="820">
    <w:name w:val="toc 6"/>
    <w:basedOn w:val="792"/>
    <w:next w:val="792"/>
    <w:uiPriority w:val="39"/>
    <w:unhideWhenUsed/>
    <w:qFormat/>
    <w:pPr>
      <w:ind w:left="1417" w:right="0" w:firstLine="0"/>
      <w:spacing w:after="57"/>
    </w:pPr>
  </w:style>
  <w:style w:type="paragraph" w:styleId="821">
    <w:name w:val="table of figures"/>
    <w:basedOn w:val="792"/>
    <w:next w:val="792"/>
    <w:uiPriority w:val="99"/>
    <w:unhideWhenUsed/>
    <w:qFormat/>
    <w:pPr>
      <w:spacing w:after="0" w:afterAutospacing="0"/>
    </w:pPr>
  </w:style>
  <w:style w:type="paragraph" w:styleId="822">
    <w:name w:val="toc 2"/>
    <w:basedOn w:val="792"/>
    <w:next w:val="792"/>
    <w:uiPriority w:val="39"/>
    <w:unhideWhenUsed/>
    <w:qFormat/>
    <w:pPr>
      <w:ind w:left="283" w:right="0" w:firstLine="0"/>
      <w:spacing w:after="57"/>
    </w:pPr>
  </w:style>
  <w:style w:type="paragraph" w:styleId="823">
    <w:name w:val="toc 9"/>
    <w:basedOn w:val="792"/>
    <w:next w:val="792"/>
    <w:uiPriority w:val="39"/>
    <w:unhideWhenUsed/>
    <w:qFormat/>
    <w:pPr>
      <w:ind w:left="2268" w:right="0" w:firstLine="0"/>
      <w:spacing w:after="57"/>
    </w:pPr>
  </w:style>
  <w:style w:type="paragraph" w:styleId="824">
    <w:name w:val="Title"/>
    <w:basedOn w:val="792"/>
    <w:next w:val="792"/>
    <w:link w:val="841"/>
    <w:uiPriority w:val="10"/>
    <w:qFormat/>
    <w:pPr>
      <w:contextualSpacing/>
      <w:spacing w:before="300" w:after="200"/>
    </w:pPr>
    <w:rPr>
      <w:sz w:val="48"/>
      <w:szCs w:val="48"/>
    </w:rPr>
  </w:style>
  <w:style w:type="paragraph" w:styleId="825">
    <w:name w:val="Body Text First Indent 2"/>
    <w:basedOn w:val="809"/>
    <w:uiPriority w:val="0"/>
    <w:qFormat/>
    <w:pPr>
      <w:ind w:left="420" w:firstLine="420"/>
      <w:spacing w:before="0" w:after="120" w:line="240" w:lineRule="auto"/>
    </w:pPr>
    <w:rPr>
      <w:szCs w:val="24"/>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paragraph" w:styleId="830" w:customStyle="1">
    <w:name w:val="Default"/>
    <w:next w:val="792"/>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831" w:customStyle="1">
    <w:name w:val="Heading 1 Char"/>
    <w:link w:val="793"/>
    <w:uiPriority w:val="9"/>
    <w:qFormat/>
    <w:rPr>
      <w:rFonts w:ascii="Arial" w:hAnsi="Arial" w:eastAsia="Arial" w:cs="Arial"/>
      <w:sz w:val="40"/>
      <w:szCs w:val="40"/>
    </w:rPr>
  </w:style>
  <w:style w:type="character" w:styleId="832" w:customStyle="1">
    <w:name w:val="Heading 2 Char"/>
    <w:link w:val="794"/>
    <w:uiPriority w:val="9"/>
    <w:qFormat/>
    <w:rPr>
      <w:rFonts w:ascii="Arial" w:hAnsi="Arial" w:eastAsia="Arial" w:cs="Arial"/>
      <w:sz w:val="34"/>
    </w:rPr>
  </w:style>
  <w:style w:type="character" w:styleId="833" w:customStyle="1">
    <w:name w:val="Heading 3 Char"/>
    <w:link w:val="795"/>
    <w:uiPriority w:val="9"/>
    <w:qFormat/>
    <w:rPr>
      <w:rFonts w:ascii="Arial" w:hAnsi="Arial" w:eastAsia="Arial" w:cs="Arial"/>
      <w:sz w:val="30"/>
      <w:szCs w:val="30"/>
    </w:rPr>
  </w:style>
  <w:style w:type="character" w:styleId="834" w:customStyle="1">
    <w:name w:val="Heading 4 Char"/>
    <w:link w:val="796"/>
    <w:uiPriority w:val="9"/>
    <w:qFormat/>
    <w:rPr>
      <w:rFonts w:ascii="Arial" w:hAnsi="Arial" w:eastAsia="Arial" w:cs="Arial"/>
      <w:b/>
      <w:bCs/>
      <w:sz w:val="26"/>
      <w:szCs w:val="26"/>
    </w:rPr>
  </w:style>
  <w:style w:type="character" w:styleId="835" w:customStyle="1">
    <w:name w:val="Heading 5 Char"/>
    <w:link w:val="797"/>
    <w:uiPriority w:val="9"/>
    <w:qFormat/>
    <w:rPr>
      <w:rFonts w:ascii="Arial" w:hAnsi="Arial" w:eastAsia="Arial" w:cs="Arial"/>
      <w:b/>
      <w:bCs/>
      <w:sz w:val="24"/>
      <w:szCs w:val="24"/>
    </w:rPr>
  </w:style>
  <w:style w:type="character" w:styleId="836" w:customStyle="1">
    <w:name w:val="Heading 6 Char"/>
    <w:link w:val="798"/>
    <w:uiPriority w:val="9"/>
    <w:qFormat/>
    <w:rPr>
      <w:rFonts w:ascii="Arial" w:hAnsi="Arial" w:eastAsia="Arial" w:cs="Arial"/>
      <w:b/>
      <w:bCs/>
      <w:sz w:val="22"/>
      <w:szCs w:val="22"/>
    </w:rPr>
  </w:style>
  <w:style w:type="character" w:styleId="837" w:customStyle="1">
    <w:name w:val="Heading 7 Char"/>
    <w:link w:val="799"/>
    <w:uiPriority w:val="9"/>
    <w:qFormat/>
    <w:rPr>
      <w:rFonts w:ascii="Arial" w:hAnsi="Arial" w:eastAsia="Arial" w:cs="Arial"/>
      <w:b/>
      <w:bCs/>
      <w:i/>
      <w:iCs/>
      <w:sz w:val="22"/>
      <w:szCs w:val="22"/>
    </w:rPr>
  </w:style>
  <w:style w:type="character" w:styleId="838" w:customStyle="1">
    <w:name w:val="Heading 8 Char"/>
    <w:link w:val="800"/>
    <w:uiPriority w:val="9"/>
    <w:qFormat/>
    <w:rPr>
      <w:rFonts w:ascii="Arial" w:hAnsi="Arial" w:eastAsia="Arial" w:cs="Arial"/>
      <w:i/>
      <w:iCs/>
      <w:sz w:val="22"/>
      <w:szCs w:val="22"/>
    </w:rPr>
  </w:style>
  <w:style w:type="character" w:styleId="839" w:customStyle="1">
    <w:name w:val="Heading 9 Char"/>
    <w:link w:val="801"/>
    <w:uiPriority w:val="9"/>
    <w:qFormat/>
    <w:rPr>
      <w:rFonts w:ascii="Arial" w:hAnsi="Arial" w:eastAsia="Arial" w:cs="Arial"/>
      <w:i/>
      <w:iCs/>
      <w:sz w:val="21"/>
      <w:szCs w:val="21"/>
    </w:r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link w:val="824"/>
    <w:uiPriority w:val="10"/>
    <w:qFormat/>
    <w:rPr>
      <w:sz w:val="48"/>
      <w:szCs w:val="48"/>
    </w:rPr>
  </w:style>
  <w:style w:type="character" w:styleId="842" w:customStyle="1">
    <w:name w:val="Subtitle Char"/>
    <w:link w:val="818"/>
    <w:uiPriority w:val="11"/>
    <w:qFormat/>
    <w:rPr>
      <w:sz w:val="24"/>
      <w:szCs w:val="24"/>
    </w:rPr>
  </w:style>
  <w:style w:type="paragraph" w:styleId="843">
    <w:name w:val="Quote"/>
    <w:basedOn w:val="792"/>
    <w:next w:val="792"/>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92"/>
    <w:next w:val="792"/>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link w:val="815"/>
    <w:uiPriority w:val="99"/>
    <w:qFormat/>
  </w:style>
  <w:style w:type="character" w:styleId="848" w:customStyle="1">
    <w:name w:val="Footer Char"/>
    <w:link w:val="814"/>
    <w:uiPriority w:val="99"/>
    <w:qFormat/>
  </w:style>
  <w:style w:type="character" w:styleId="849" w:customStyle="1">
    <w:name w:val="Caption Char"/>
    <w:link w:val="814"/>
    <w:uiPriority w:val="99"/>
    <w:qFormat/>
  </w:style>
  <w:style w:type="table" w:styleId="8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link w:val="819"/>
    <w:uiPriority w:val="99"/>
    <w:qFormat/>
    <w:rPr>
      <w:sz w:val="18"/>
    </w:rPr>
  </w:style>
  <w:style w:type="character" w:styleId="976" w:customStyle="1">
    <w:name w:val="Endnote Text Char"/>
    <w:link w:val="813"/>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111"/>
    <w:basedOn w:val="792"/>
    <w:next w:val="792"/>
    <w:link w:val="985"/>
    <w:uiPriority w:val="0"/>
    <w:qFormat/>
    <w:pPr>
      <w:keepLines/>
      <w:keepNext/>
      <w:spacing w:before="340" w:after="330" w:line="578" w:lineRule="auto"/>
      <w:outlineLvl w:val="0"/>
    </w:pPr>
    <w:rPr>
      <w:b/>
      <w:bCs/>
      <w:sz w:val="44"/>
      <w:szCs w:val="44"/>
    </w:rPr>
  </w:style>
  <w:style w:type="paragraph" w:styleId="979" w:customStyle="1">
    <w:name w:val="标题 211"/>
    <w:basedOn w:val="792"/>
    <w:next w:val="792"/>
    <w:link w:val="986"/>
    <w:uiPriority w:val="0"/>
    <w:qFormat/>
    <w:pPr>
      <w:keepLines/>
      <w:keepNext/>
      <w:spacing w:before="260" w:after="260" w:line="416" w:lineRule="auto"/>
      <w:outlineLvl w:val="1"/>
    </w:pPr>
    <w:rPr>
      <w:rFonts w:ascii="Arial" w:hAnsi="Arial" w:eastAsia="黑体"/>
      <w:b/>
      <w:bCs/>
      <w:sz w:val="32"/>
      <w:szCs w:val="32"/>
    </w:rPr>
  </w:style>
  <w:style w:type="paragraph" w:styleId="980" w:customStyle="1">
    <w:name w:val="标题 31"/>
    <w:basedOn w:val="792"/>
    <w:next w:val="981"/>
    <w:link w:val="987"/>
    <w:uiPriority w:val="0"/>
    <w:qFormat/>
    <w:pPr>
      <w:keepLines/>
      <w:keepNext/>
      <w:spacing w:before="260" w:after="260" w:line="416" w:lineRule="auto"/>
      <w:outlineLvl w:val="2"/>
    </w:pPr>
    <w:rPr>
      <w:b/>
      <w:bCs/>
      <w:sz w:val="32"/>
      <w:szCs w:val="32"/>
    </w:rPr>
  </w:style>
  <w:style w:type="paragraph" w:styleId="981" w:customStyle="1">
    <w:name w:val="正文缩进1"/>
    <w:basedOn w:val="792"/>
    <w:link w:val="988"/>
    <w:uiPriority w:val="0"/>
    <w:qFormat/>
    <w:pPr>
      <w:ind w:firstLine="420"/>
    </w:pPr>
    <w:rPr>
      <w:szCs w:val="20"/>
    </w:rPr>
  </w:style>
  <w:style w:type="paragraph" w:styleId="982" w:customStyle="1">
    <w:name w:val="标题 411"/>
    <w:basedOn w:val="792"/>
    <w:next w:val="792"/>
    <w:link w:val="989"/>
    <w:uiPriority w:val="0"/>
    <w:qFormat/>
    <w:pPr>
      <w:jc w:val="center"/>
      <w:keepNext/>
      <w:outlineLvl w:val="3"/>
    </w:pPr>
    <w:rPr>
      <w:rFonts w:eastAsia="新宋体"/>
      <w:sz w:val="30"/>
      <w:szCs w:val="21"/>
    </w:rPr>
  </w:style>
  <w:style w:type="character" w:styleId="983" w:customStyle="1">
    <w:name w:val="默认段落字体1"/>
    <w:link w:val="792"/>
    <w:uiPriority w:val="1"/>
    <w:unhideWhenUsed/>
    <w:qFormat/>
  </w:style>
  <w:style w:type="table" w:styleId="984" w:customStyle="1">
    <w:name w:val="普通表格11"/>
    <w:uiPriority w:val="99"/>
    <w:unhideWhenUsed/>
    <w:qFormat/>
    <w:tblPr/>
  </w:style>
  <w:style w:type="character" w:styleId="985" w:customStyle="1">
    <w:name w:val="标题 1 Char"/>
    <w:link w:val="978"/>
    <w:uiPriority w:val="0"/>
    <w:qFormat/>
    <w:rPr>
      <w:b/>
      <w:bCs/>
      <w:sz w:val="44"/>
      <w:szCs w:val="44"/>
    </w:rPr>
  </w:style>
  <w:style w:type="character" w:styleId="986" w:customStyle="1">
    <w:name w:val="标题 2 Char"/>
    <w:link w:val="979"/>
    <w:uiPriority w:val="0"/>
    <w:qFormat/>
    <w:rPr>
      <w:rFonts w:ascii="Arial" w:hAnsi="Arial" w:eastAsia="黑体"/>
      <w:b/>
      <w:bCs/>
      <w:sz w:val="32"/>
      <w:szCs w:val="32"/>
    </w:rPr>
  </w:style>
  <w:style w:type="character" w:styleId="987" w:customStyle="1">
    <w:name w:val="标题 3 Char"/>
    <w:link w:val="980"/>
    <w:uiPriority w:val="0"/>
    <w:qFormat/>
    <w:rPr>
      <w:b/>
      <w:bCs/>
      <w:sz w:val="32"/>
      <w:szCs w:val="32"/>
    </w:rPr>
  </w:style>
  <w:style w:type="character" w:styleId="988" w:customStyle="1">
    <w:name w:val="正文缩进 Char"/>
    <w:link w:val="981"/>
    <w:uiPriority w:val="0"/>
    <w:qFormat/>
    <w:rPr>
      <w:sz w:val="21"/>
    </w:rPr>
  </w:style>
  <w:style w:type="character" w:styleId="989" w:customStyle="1">
    <w:name w:val="标题 4 Char"/>
    <w:link w:val="982"/>
    <w:uiPriority w:val="0"/>
    <w:qFormat/>
    <w:rPr>
      <w:rFonts w:eastAsia="新宋体"/>
      <w:sz w:val="30"/>
      <w:szCs w:val="21"/>
    </w:rPr>
  </w:style>
  <w:style w:type="paragraph" w:styleId="990" w:customStyle="1">
    <w:name w:val="目录 71"/>
    <w:basedOn w:val="792"/>
    <w:next w:val="792"/>
    <w:uiPriority w:val="39"/>
    <w:unhideWhenUsed/>
    <w:qFormat/>
    <w:pPr>
      <w:ind w:left="1701" w:right="0" w:firstLine="0"/>
      <w:spacing w:after="57"/>
    </w:pPr>
  </w:style>
  <w:style w:type="paragraph" w:styleId="991" w:customStyle="1">
    <w:name w:val="文档结构图1"/>
    <w:basedOn w:val="792"/>
    <w:link w:val="992"/>
    <w:uiPriority w:val="0"/>
    <w:semiHidden/>
    <w:qFormat/>
    <w:pPr>
      <w:shd w:val="clear" w:color="auto" w:fill="000080"/>
    </w:pPr>
  </w:style>
  <w:style w:type="character" w:styleId="992" w:customStyle="1">
    <w:name w:val="文档结构图 Char"/>
    <w:link w:val="991"/>
    <w:uiPriority w:val="0"/>
    <w:semiHidden/>
    <w:qFormat/>
    <w:rPr>
      <w:sz w:val="21"/>
      <w:szCs w:val="24"/>
      <w:shd w:val="clear" w:color="auto" w:fill="000080"/>
    </w:rPr>
  </w:style>
  <w:style w:type="paragraph" w:styleId="993" w:customStyle="1">
    <w:name w:val="正文文本12"/>
    <w:basedOn w:val="792"/>
    <w:next w:val="792"/>
    <w:uiPriority w:val="0"/>
    <w:qFormat/>
    <w:rPr>
      <w:rFonts w:ascii="楷体_GB2312" w:hAnsi="Arial" w:eastAsia="楷体_GB2312" w:cs="Times New Roman"/>
      <w:sz w:val="28"/>
      <w:szCs w:val="28"/>
    </w:rPr>
  </w:style>
  <w:style w:type="paragraph" w:styleId="994" w:customStyle="1">
    <w:name w:val="正文文本缩进1"/>
    <w:basedOn w:val="792"/>
    <w:next w:val="995"/>
    <w:link w:val="996"/>
    <w:uiPriority w:val="0"/>
    <w:qFormat/>
    <w:pPr>
      <w:ind w:left="420"/>
      <w:spacing w:after="120"/>
    </w:pPr>
  </w:style>
  <w:style w:type="paragraph" w:styleId="995" w:customStyle="1">
    <w:name w:val="寄信人地址1"/>
    <w:basedOn w:val="792"/>
    <w:next w:val="990"/>
    <w:uiPriority w:val="99"/>
    <w:qFormat/>
    <w:rPr>
      <w:rFonts w:ascii="Arial" w:hAnsi="Arial" w:cs="Arial"/>
    </w:rPr>
  </w:style>
  <w:style w:type="character" w:styleId="996" w:customStyle="1">
    <w:name w:val="正文文本缩进 Char"/>
    <w:link w:val="994"/>
    <w:uiPriority w:val="0"/>
    <w:qFormat/>
    <w:rPr>
      <w:sz w:val="21"/>
      <w:szCs w:val="24"/>
    </w:rPr>
  </w:style>
  <w:style w:type="paragraph" w:styleId="997" w:customStyle="1">
    <w:name w:val="日期1"/>
    <w:basedOn w:val="792"/>
    <w:next w:val="792"/>
    <w:link w:val="998"/>
    <w:uiPriority w:val="0"/>
    <w:qFormat/>
    <w:pPr>
      <w:ind w:left="100"/>
    </w:pPr>
  </w:style>
  <w:style w:type="character" w:styleId="998" w:customStyle="1">
    <w:name w:val="日期 Char"/>
    <w:link w:val="997"/>
    <w:uiPriority w:val="0"/>
    <w:qFormat/>
    <w:rPr>
      <w:sz w:val="21"/>
      <w:szCs w:val="24"/>
    </w:rPr>
  </w:style>
  <w:style w:type="paragraph" w:styleId="999" w:customStyle="1">
    <w:name w:val="批注框文本1"/>
    <w:basedOn w:val="792"/>
    <w:link w:val="1000"/>
    <w:uiPriority w:val="0"/>
    <w:semiHidden/>
    <w:qFormat/>
    <w:rPr>
      <w:sz w:val="18"/>
      <w:szCs w:val="18"/>
    </w:rPr>
  </w:style>
  <w:style w:type="character" w:styleId="1000" w:customStyle="1">
    <w:name w:val="批注框文本 Char"/>
    <w:link w:val="999"/>
    <w:uiPriority w:val="0"/>
    <w:semiHidden/>
    <w:qFormat/>
    <w:rPr>
      <w:sz w:val="18"/>
      <w:szCs w:val="18"/>
    </w:rPr>
  </w:style>
  <w:style w:type="paragraph" w:styleId="1001" w:customStyle="1">
    <w:name w:val="页脚11"/>
    <w:basedOn w:val="792"/>
    <w:link w:val="1002"/>
    <w:uiPriority w:val="99"/>
    <w:qFormat/>
    <w:pPr>
      <w:jc w:val="left"/>
      <w:tabs>
        <w:tab w:val="center" w:pos="4153" w:leader="none"/>
        <w:tab w:val="right" w:pos="8306" w:leader="none"/>
      </w:tabs>
    </w:pPr>
    <w:rPr>
      <w:sz w:val="18"/>
      <w:szCs w:val="18"/>
    </w:rPr>
  </w:style>
  <w:style w:type="character" w:styleId="1002" w:customStyle="1">
    <w:name w:val="页脚 Char"/>
    <w:link w:val="1001"/>
    <w:uiPriority w:val="99"/>
    <w:qFormat/>
    <w:rPr>
      <w:sz w:val="18"/>
      <w:szCs w:val="18"/>
    </w:rPr>
  </w:style>
  <w:style w:type="paragraph" w:styleId="1003" w:customStyle="1">
    <w:name w:val="页眉11"/>
    <w:basedOn w:val="792"/>
    <w:link w:val="1004"/>
    <w:uiPriority w:val="0"/>
    <w:qFormat/>
    <w:pPr>
      <w:jc w:val="center"/>
      <w:tabs>
        <w:tab w:val="center" w:pos="4153" w:leader="none"/>
        <w:tab w:val="right" w:pos="8306" w:leader="none"/>
      </w:tabs>
      <w:pBdr>
        <w:bottom w:val="single" w:color="000000" w:sz="6" w:space="1"/>
      </w:pBdr>
    </w:pPr>
    <w:rPr>
      <w:sz w:val="18"/>
      <w:szCs w:val="18"/>
    </w:rPr>
  </w:style>
  <w:style w:type="character" w:styleId="1004" w:customStyle="1">
    <w:name w:val="页眉 Char"/>
    <w:link w:val="1003"/>
    <w:uiPriority w:val="0"/>
    <w:qFormat/>
    <w:rPr>
      <w:sz w:val="18"/>
      <w:szCs w:val="18"/>
    </w:rPr>
  </w:style>
  <w:style w:type="paragraph" w:styleId="1005" w:customStyle="1">
    <w:name w:val="脚注文本1"/>
    <w:basedOn w:val="792"/>
    <w:uiPriority w:val="99"/>
    <w:unhideWhenUsed/>
    <w:qFormat/>
    <w:pPr>
      <w:spacing w:after="40" w:line="240" w:lineRule="auto"/>
    </w:pPr>
    <w:rPr>
      <w:sz w:val="18"/>
    </w:rPr>
  </w:style>
  <w:style w:type="paragraph" w:styleId="1006" w:customStyle="1">
    <w:name w:val="正文文本缩进 31"/>
    <w:basedOn w:val="792"/>
    <w:link w:val="1007"/>
    <w:uiPriority w:val="0"/>
    <w:qFormat/>
    <w:pPr>
      <w:ind w:firstLine="539"/>
      <w:spacing w:line="520" w:lineRule="exact"/>
    </w:pPr>
    <w:rPr>
      <w:rFonts w:ascii="宋体"/>
      <w:b/>
      <w:spacing w:val="6"/>
      <w:sz w:val="28"/>
    </w:rPr>
  </w:style>
  <w:style w:type="character" w:styleId="1007" w:customStyle="1">
    <w:name w:val="正文文本缩进 3 Char"/>
    <w:link w:val="1006"/>
    <w:uiPriority w:val="0"/>
    <w:qFormat/>
    <w:rPr>
      <w:rFonts w:ascii="宋体"/>
      <w:b/>
      <w:spacing w:val="6"/>
      <w:sz w:val="28"/>
      <w:szCs w:val="24"/>
    </w:rPr>
  </w:style>
  <w:style w:type="paragraph" w:styleId="1008" w:customStyle="1">
    <w:name w:val="普通(网站)1"/>
    <w:basedOn w:val="792"/>
    <w:uiPriority w:val="0"/>
    <w:unhideWhenUsed/>
    <w:qFormat/>
    <w:pPr>
      <w:jc w:val="left"/>
      <w:spacing w:before="100" w:beforeAutospacing="1" w:after="100" w:afterAutospacing="1"/>
      <w:widowControl/>
    </w:pPr>
    <w:rPr>
      <w:rFonts w:ascii="宋体" w:hAnsi="宋体" w:cs="宋体"/>
      <w:sz w:val="24"/>
    </w:rPr>
  </w:style>
  <w:style w:type="paragraph" w:styleId="1009" w:customStyle="1">
    <w:name w:val="正文首行缩进 21"/>
    <w:basedOn w:val="994"/>
    <w:uiPriority w:val="0"/>
    <w:qFormat/>
    <w:pPr>
      <w:ind w:left="0" w:firstLine="420"/>
      <w:spacing w:after="0" w:line="360" w:lineRule="auto"/>
    </w:pPr>
    <w:rPr>
      <w:rFonts w:ascii="宋体" w:hAnsi="宋体" w:eastAsia="宋体" w:cs="Times New Roman"/>
      <w:szCs w:val="20"/>
    </w:rPr>
  </w:style>
  <w:style w:type="table" w:styleId="1010" w:customStyle="1">
    <w:name w:val="网格型11"/>
    <w:basedOn w:val="984"/>
    <w:uiPriority w:val="0"/>
    <w:qFormat/>
    <w:pPr>
      <w:jc w:val="both"/>
      <w:widowControl w:val="off"/>
    </w:pPr>
    <w:tblPr/>
  </w:style>
  <w:style w:type="character" w:styleId="1011" w:customStyle="1">
    <w:name w:val="要点1"/>
    <w:link w:val="792"/>
    <w:uiPriority w:val="22"/>
    <w:qFormat/>
    <w:rPr>
      <w:b/>
      <w:bCs/>
    </w:rPr>
  </w:style>
  <w:style w:type="character" w:styleId="1012" w:customStyle="1">
    <w:name w:val="页码11"/>
    <w:link w:val="792"/>
    <w:uiPriority w:val="0"/>
    <w:qFormat/>
  </w:style>
  <w:style w:type="character" w:styleId="1013" w:customStyle="1">
    <w:name w:val="已访问的超链接1"/>
    <w:link w:val="792"/>
    <w:uiPriority w:val="99"/>
    <w:unhideWhenUsed/>
    <w:qFormat/>
    <w:rPr>
      <w:color w:val="800080"/>
      <w:u w:val="none"/>
    </w:rPr>
  </w:style>
  <w:style w:type="character" w:styleId="1014" w:customStyle="1">
    <w:name w:val="强调1"/>
    <w:link w:val="792"/>
    <w:uiPriority w:val="0"/>
    <w:qFormat/>
    <w:rPr>
      <w:b/>
      <w:bCs/>
    </w:rPr>
  </w:style>
  <w:style w:type="character" w:styleId="1015" w:customStyle="1">
    <w:name w:val="HTML 定义1"/>
    <w:link w:val="792"/>
    <w:uiPriority w:val="99"/>
    <w:unhideWhenUsed/>
    <w:qFormat/>
  </w:style>
  <w:style w:type="character" w:styleId="1016" w:customStyle="1">
    <w:name w:val="HTML 打字机1"/>
    <w:link w:val="792"/>
    <w:uiPriority w:val="99"/>
    <w:unhideWhenUsed/>
    <w:qFormat/>
    <w:rPr>
      <w:rFonts w:ascii="monospace" w:hAnsi="monospace" w:eastAsia="monospace" w:cs="monospace"/>
      <w:sz w:val="20"/>
    </w:rPr>
  </w:style>
  <w:style w:type="character" w:styleId="1017" w:customStyle="1">
    <w:name w:val="HTML 缩写1"/>
    <w:link w:val="792"/>
    <w:uiPriority w:val="99"/>
    <w:unhideWhenUsed/>
    <w:qFormat/>
  </w:style>
  <w:style w:type="character" w:styleId="1018" w:customStyle="1">
    <w:name w:val="HTML 变量1"/>
    <w:link w:val="792"/>
    <w:uiPriority w:val="99"/>
    <w:unhideWhenUsed/>
    <w:qFormat/>
  </w:style>
  <w:style w:type="character" w:styleId="1019" w:customStyle="1">
    <w:name w:val="超链接1"/>
    <w:link w:val="792"/>
    <w:uiPriority w:val="99"/>
    <w:unhideWhenUsed/>
    <w:qFormat/>
    <w:rPr>
      <w:color w:val="0000ff"/>
      <w:u w:val="none"/>
    </w:rPr>
  </w:style>
  <w:style w:type="character" w:styleId="1020" w:customStyle="1">
    <w:name w:val="HTML 代码1"/>
    <w:link w:val="792"/>
    <w:uiPriority w:val="99"/>
    <w:unhideWhenUsed/>
    <w:qFormat/>
    <w:rPr>
      <w:rFonts w:ascii="monospace" w:hAnsi="monospace" w:eastAsia="monospace" w:cs="monospace"/>
      <w:sz w:val="20"/>
    </w:rPr>
  </w:style>
  <w:style w:type="character" w:styleId="1021" w:customStyle="1">
    <w:name w:val="HTML 引文1"/>
    <w:link w:val="792"/>
    <w:uiPriority w:val="99"/>
    <w:unhideWhenUsed/>
    <w:qFormat/>
  </w:style>
  <w:style w:type="character" w:styleId="1022" w:customStyle="1">
    <w:name w:val="HTML 键盘1"/>
    <w:link w:val="792"/>
    <w:uiPriority w:val="99"/>
    <w:unhideWhenUsed/>
    <w:qFormat/>
    <w:rPr>
      <w:rFonts w:ascii="monospace" w:hAnsi="monospace" w:eastAsia="monospace" w:cs="monospace"/>
      <w:sz w:val="20"/>
    </w:rPr>
  </w:style>
  <w:style w:type="character" w:styleId="1023" w:customStyle="1">
    <w:name w:val="HTML 样本1"/>
    <w:link w:val="792"/>
    <w:uiPriority w:val="99"/>
    <w:unhideWhenUsed/>
    <w:qFormat/>
    <w:rPr>
      <w:rFonts w:ascii="monospace" w:hAnsi="monospace" w:eastAsia="monospace" w:cs="monospace"/>
    </w:rPr>
  </w:style>
  <w:style w:type="character" w:styleId="1024" w:customStyle="1">
    <w:name w:val="页码1"/>
    <w:link w:val="792"/>
    <w:uiPriority w:val="0"/>
    <w:qFormat/>
    <w:rPr>
      <w:sz w:val="21"/>
      <w:szCs w:val="24"/>
      <w:lang w:val="en-US" w:eastAsia="zh-CN" w:bidi="ar-SA"/>
    </w:rPr>
  </w:style>
  <w:style w:type="character" w:styleId="1025" w:customStyle="1">
    <w:name w:val="正文缩进2格 Char"/>
    <w:link w:val="1026"/>
    <w:uiPriority w:val="0"/>
    <w:qFormat/>
    <w:rPr>
      <w:rFonts w:ascii="仿宋_GB2312" w:hAnsi="宋体" w:eastAsia="仿宋_GB2312"/>
      <w:sz w:val="31"/>
      <w:szCs w:val="28"/>
    </w:rPr>
  </w:style>
  <w:style w:type="paragraph" w:styleId="1026" w:customStyle="1">
    <w:name w:val="正文缩进2格"/>
    <w:basedOn w:val="792"/>
    <w:link w:val="1025"/>
    <w:uiPriority w:val="0"/>
    <w:qFormat/>
    <w:pPr>
      <w:ind w:firstLine="639"/>
      <w:spacing w:line="600" w:lineRule="exact"/>
    </w:pPr>
    <w:rPr>
      <w:rFonts w:ascii="仿宋_GB2312" w:hAnsi="宋体" w:eastAsia="仿宋_GB2312"/>
      <w:sz w:val="31"/>
      <w:szCs w:val="28"/>
    </w:rPr>
  </w:style>
  <w:style w:type="character" w:styleId="1027" w:customStyle="1">
    <w:name w:val="标题 3.1 Char"/>
    <w:link w:val="1028"/>
    <w:uiPriority w:val="0"/>
    <w:qFormat/>
    <w:rPr>
      <w:rFonts w:ascii="宋体" w:hAnsi="宋体"/>
      <w:b/>
      <w:bCs/>
      <w:color w:val="000000"/>
      <w:sz w:val="32"/>
      <w:szCs w:val="32"/>
    </w:rPr>
  </w:style>
  <w:style w:type="paragraph" w:styleId="1028" w:customStyle="1">
    <w:name w:val="标题 3.1"/>
    <w:basedOn w:val="980"/>
    <w:link w:val="1027"/>
    <w:uiPriority w:val="0"/>
    <w:qFormat/>
    <w:pPr>
      <w:spacing w:line="600" w:lineRule="exact"/>
      <w:tabs>
        <w:tab w:val="left" w:pos="1440" w:leader="none"/>
        <w:tab w:val="left" w:pos="1620" w:leader="none"/>
      </w:tabs>
    </w:pPr>
    <w:rPr>
      <w:rFonts w:ascii="宋体" w:hAnsi="宋体"/>
      <w:color w:val="000000"/>
    </w:rPr>
  </w:style>
  <w:style w:type="paragraph" w:styleId="1029" w:customStyle="1">
    <w:name w:val=" Char"/>
    <w:basedOn w:val="792"/>
    <w:uiPriority w:val="0"/>
    <w:qFormat/>
    <w:rPr>
      <w:rFonts w:ascii="Tahoma" w:hAnsi="Tahoma"/>
      <w:sz w:val="24"/>
      <w:szCs w:val="20"/>
    </w:rPr>
  </w:style>
  <w:style w:type="paragraph" w:styleId="1030" w:customStyle="1">
    <w:name w:val="正文缩进4格"/>
    <w:basedOn w:val="1026"/>
    <w:uiPriority w:val="0"/>
    <w:qFormat/>
    <w:pPr>
      <w:ind w:left="2" w:firstLine="538"/>
    </w:pPr>
    <w:rPr>
      <w:color w:val="000000"/>
      <w:sz w:val="28"/>
    </w:rPr>
  </w:style>
  <w:style w:type="paragraph" w:styleId="1031" w:customStyle="1">
    <w:name w:val=" Char Char Char Char"/>
    <w:basedOn w:val="792"/>
    <w:uiPriority w:val="0"/>
    <w:qFormat/>
    <w:rPr>
      <w:rFonts w:ascii="Tahoma" w:hAnsi="Tahoma"/>
      <w:sz w:val="24"/>
      <w:szCs w:val="20"/>
    </w:rPr>
  </w:style>
  <w:style w:type="paragraph" w:styleId="1032" w:customStyle="1">
    <w:name w:val="Char1"/>
    <w:basedOn w:val="792"/>
    <w:uiPriority w:val="0"/>
    <w:qFormat/>
    <w:pPr>
      <w:ind w:left="840" w:hanging="420"/>
      <w:tabs>
        <w:tab w:val="left" w:pos="840" w:leader="none"/>
      </w:tabs>
    </w:pPr>
    <w:rPr>
      <w:sz w:val="24"/>
    </w:rPr>
  </w:style>
  <w:style w:type="paragraph" w:styleId="1033" w:customStyle="1">
    <w:name w:val=" Char Char1 Char Char Char Char Char Char"/>
    <w:basedOn w:val="792"/>
    <w:uiPriority w:val="0"/>
    <w:qFormat/>
    <w:pPr>
      <w:jc w:val="left"/>
      <w:spacing w:after="160" w:line="240" w:lineRule="exact"/>
      <w:widowControl/>
    </w:pPr>
    <w:rPr>
      <w:rFonts w:ascii="Verdana" w:hAnsi="Verdana" w:eastAsia="仿宋_GB2312"/>
      <w:sz w:val="24"/>
      <w:szCs w:val="20"/>
      <w:lang w:eastAsia="en-US"/>
    </w:rPr>
  </w:style>
  <w:style w:type="paragraph" w:styleId="1034" w:customStyle="1">
    <w:name w:val="msonormalcxspmiddle"/>
    <w:basedOn w:val="792"/>
    <w:uiPriority w:val="0"/>
    <w:qFormat/>
    <w:pPr>
      <w:jc w:val="left"/>
      <w:spacing w:before="100" w:beforeAutospacing="1" w:after="100" w:afterAutospacing="1"/>
      <w:widowControl/>
    </w:pPr>
    <w:rPr>
      <w:rFonts w:ascii="宋体" w:hAnsi="宋体" w:cs="宋体"/>
      <w:sz w:val="24"/>
    </w:rPr>
  </w:style>
  <w:style w:type="paragraph" w:styleId="1035" w:customStyle="1">
    <w:name w:val=" Char Char 字元 字元 字元 Char Char Char Char"/>
    <w:basedOn w:val="792"/>
    <w:uiPriority w:val="0"/>
    <w:qFormat/>
    <w:pPr>
      <w:spacing w:line="360" w:lineRule="auto"/>
    </w:pPr>
    <w:rPr>
      <w:sz w:val="24"/>
      <w:szCs w:val="20"/>
    </w:rPr>
  </w:style>
  <w:style w:type="paragraph" w:styleId="1036" w:customStyle="1">
    <w:name w:val="para"/>
    <w:basedOn w:val="792"/>
    <w:uiPriority w:val="0"/>
    <w:qFormat/>
    <w:pPr>
      <w:jc w:val="left"/>
      <w:spacing w:before="100" w:beforeAutospacing="1" w:after="100" w:afterAutospacing="1"/>
      <w:widowControl/>
    </w:pPr>
    <w:rPr>
      <w:rFonts w:ascii="Arial" w:hAnsi="Arial" w:cs="Arial"/>
      <w:sz w:val="18"/>
      <w:szCs w:val="18"/>
    </w:rPr>
  </w:style>
  <w:style w:type="paragraph" w:styleId="1037" w:customStyle="1">
    <w:name w:val="Char"/>
    <w:basedOn w:val="792"/>
    <w:uiPriority w:val="0"/>
    <w:qFormat/>
    <w:rPr>
      <w:rFonts w:ascii="Tahoma" w:hAnsi="Tahoma"/>
      <w:sz w:val="24"/>
      <w:szCs w:val="20"/>
    </w:rPr>
  </w:style>
  <w:style w:type="paragraph" w:styleId="1038" w:customStyle="1">
    <w:name w:val="msonormalcxsplast"/>
    <w:basedOn w:val="792"/>
    <w:uiPriority w:val="0"/>
    <w:qFormat/>
    <w:pPr>
      <w:jc w:val="left"/>
      <w:spacing w:before="100" w:beforeAutospacing="1" w:after="100" w:afterAutospacing="1"/>
      <w:widowControl/>
    </w:pPr>
    <w:rPr>
      <w:rFonts w:ascii="宋体" w:hAnsi="宋体" w:cs="宋体"/>
      <w:sz w:val="24"/>
    </w:rPr>
  </w:style>
  <w:style w:type="character" w:styleId="1039" w:customStyle="1">
    <w:name w:val="普通正文 Char"/>
    <w:link w:val="1040"/>
    <w:uiPriority w:val="0"/>
    <w:qFormat/>
    <w:rPr>
      <w:rFonts w:ascii="Arial" w:hAnsi="Arial"/>
      <w:sz w:val="24"/>
      <w:szCs w:val="24"/>
    </w:rPr>
  </w:style>
  <w:style w:type="paragraph" w:styleId="1040" w:customStyle="1">
    <w:name w:val="普通正文"/>
    <w:basedOn w:val="792"/>
    <w:link w:val="1039"/>
    <w:uiPriority w:val="0"/>
    <w:qFormat/>
    <w:pPr>
      <w:ind w:left="-2" w:right="120" w:firstLine="480"/>
      <w:jc w:val="center"/>
      <w:spacing w:before="120" w:after="120" w:line="360" w:lineRule="auto"/>
    </w:pPr>
    <w:rPr>
      <w:rFonts w:ascii="Arial" w:hAnsi="Arial"/>
      <w:sz w:val="24"/>
    </w:rPr>
  </w:style>
  <w:style w:type="character" w:styleId="1041" w:customStyle="1">
    <w:name w:val="mini-outputtext1"/>
    <w:link w:val="792"/>
    <w:uiPriority w:val="0"/>
    <w:qFormat/>
  </w:style>
  <w:style w:type="character" w:styleId="1042" w:customStyle="1">
    <w:name w:val="font31"/>
    <w:link w:val="792"/>
    <w:uiPriority w:val="0"/>
    <w:qFormat/>
    <w:rPr>
      <w:rFonts w:hint="eastAsia" w:ascii="宋体" w:hAnsi="宋体" w:eastAsia="宋体" w:cs="宋体"/>
      <w:color w:val="000000"/>
      <w:sz w:val="21"/>
      <w:szCs w:val="21"/>
      <w:u w:val="none"/>
    </w:rPr>
  </w:style>
  <w:style w:type="character" w:styleId="1043" w:customStyle="1">
    <w:name w:val="font61"/>
    <w:link w:val="792"/>
    <w:uiPriority w:val="0"/>
    <w:qFormat/>
    <w:rPr>
      <w:rFonts w:ascii="Times New Roman" w:hAnsi="Times New Roman" w:cs="Times New Roman"/>
      <w:color w:val="000000"/>
      <w:sz w:val="21"/>
      <w:szCs w:val="21"/>
      <w:u w:val="none"/>
    </w:rPr>
  </w:style>
  <w:style w:type="character" w:styleId="1044" w:customStyle="1">
    <w:name w:val="font01"/>
    <w:link w:val="792"/>
    <w:uiPriority w:val="0"/>
    <w:qFormat/>
    <w:rPr>
      <w:rFonts w:ascii="等线" w:hAnsi="等线" w:eastAsia="等线" w:cs="等线"/>
      <w:color w:val="000000"/>
      <w:sz w:val="22"/>
      <w:szCs w:val="22"/>
      <w:u w:val="none"/>
    </w:rPr>
  </w:style>
  <w:style w:type="character" w:styleId="1045" w:customStyle="1">
    <w:name w:val="font51"/>
    <w:link w:val="792"/>
    <w:uiPriority w:val="0"/>
    <w:qFormat/>
    <w:rPr>
      <w:rFonts w:ascii="等线" w:hAnsi="等线" w:eastAsia="等线" w:cs="等线"/>
      <w:b/>
      <w:bCs/>
      <w:color w:val="000000"/>
      <w:sz w:val="22"/>
      <w:szCs w:val="22"/>
      <w:u w:val="none"/>
    </w:rPr>
  </w:style>
  <w:style w:type="paragraph" w:styleId="1046" w:customStyle="1">
    <w:name w:val="普通(网站) Char"/>
    <w:basedOn w:val="792"/>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047" w:customStyle="1">
    <w:name w:val="目录 11"/>
    <w:basedOn w:val="792"/>
    <w:next w:val="792"/>
    <w:uiPriority w:val="39"/>
    <w:qFormat/>
    <w:pPr>
      <w:jc w:val="left"/>
      <w:spacing w:before="120" w:after="120" w:line="400" w:lineRule="exact"/>
      <w:tabs>
        <w:tab w:val="right" w:pos="8720" w:leader="dot"/>
      </w:tabs>
    </w:pPr>
    <w:rPr>
      <w:rFonts w:ascii="宋体" w:hAnsi="宋体"/>
      <w:caps/>
      <w:sz w:val="24"/>
      <w:szCs w:val="24"/>
    </w:rPr>
  </w:style>
  <w:style w:type="paragraph" w:styleId="1048" w:customStyle="1">
    <w:name w:val="页脚1"/>
    <w:basedOn w:val="792"/>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49" w:customStyle="1">
    <w:name w:val="正文文本11"/>
    <w:basedOn w:val="792"/>
    <w:next w:val="792"/>
    <w:uiPriority w:val="0"/>
    <w:qFormat/>
    <w:rPr>
      <w:rFonts w:ascii="楷体_GB2312" w:hAnsi="Arial" w:eastAsia="楷体_GB2312" w:cs="Times New Roman"/>
      <w:sz w:val="28"/>
      <w:szCs w:val="28"/>
    </w:rPr>
  </w:style>
  <w:style w:type="paragraph" w:styleId="1050" w:customStyle="1">
    <w:name w:val="正文文本1"/>
    <w:basedOn w:val="792"/>
    <w:next w:val="792"/>
    <w:uiPriority w:val="0"/>
    <w:qFormat/>
    <w:rPr>
      <w:rFonts w:ascii="仿宋_GB2312" w:eastAsia="仿宋_GB2312"/>
      <w:sz w:val="24"/>
      <w:szCs w:val="20"/>
    </w:rPr>
  </w:style>
  <w:style w:type="paragraph" w:styleId="105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4" w:customStyle="1">
    <w:name w:val="正文缩进111"/>
    <w:basedOn w:val="792"/>
    <w:next w:val="792"/>
    <w:uiPriority w:val="0"/>
    <w:qFormat/>
    <w:pPr>
      <w:ind w:firstLine="420"/>
    </w:pPr>
    <w:rPr>
      <w:szCs w:val="21"/>
    </w:rPr>
  </w:style>
  <w:style w:type="paragraph" w:styleId="105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56" w:customStyle="1">
    <w:name w:val="标题 11"/>
    <w:basedOn w:val="792"/>
    <w:next w:val="792"/>
    <w:uiPriority w:val="0"/>
    <w:qFormat/>
    <w:pPr>
      <w:keepNext/>
      <w:outlineLvl w:val="0"/>
    </w:pPr>
    <w:rPr>
      <w:rFonts w:ascii="楷体_GB2312" w:hAnsi="Times New Roman" w:eastAsia="楷体_GB2312"/>
      <w:sz w:val="28"/>
      <w:szCs w:val="20"/>
    </w:rPr>
  </w:style>
  <w:style w:type="paragraph" w:styleId="1057" w:customStyle="1">
    <w:name w:val="标题 21"/>
    <w:basedOn w:val="792"/>
    <w:next w:val="792"/>
    <w:uiPriority w:val="0"/>
    <w:qFormat/>
    <w:pPr>
      <w:jc w:val="center"/>
      <w:keepLines/>
      <w:keepNext/>
      <w:spacing w:before="260" w:after="260" w:line="416" w:lineRule="auto"/>
      <w:outlineLvl w:val="1"/>
    </w:pPr>
    <w:rPr>
      <w:rFonts w:ascii="Arial" w:hAnsi="Arial" w:eastAsia="幼圆"/>
      <w:b/>
      <w:sz w:val="44"/>
      <w:szCs w:val="20"/>
    </w:rPr>
  </w:style>
  <w:style w:type="paragraph" w:styleId="1058" w:customStyle="1">
    <w:name w:val="标题 41"/>
    <w:basedOn w:val="792"/>
    <w:next w:val="792"/>
    <w:uiPriority w:val="0"/>
    <w:qFormat/>
    <w:pPr>
      <w:keepLines/>
      <w:keepNext/>
      <w:spacing w:before="280" w:after="290" w:line="376" w:lineRule="auto"/>
      <w:outlineLvl w:val="3"/>
    </w:pPr>
    <w:rPr>
      <w:rFonts w:ascii="Arial" w:hAnsi="Arial" w:eastAsia="黑体" w:cs="Arial"/>
      <w:b/>
      <w:bCs/>
      <w:sz w:val="28"/>
      <w:szCs w:val="28"/>
    </w:rPr>
  </w:style>
  <w:style w:type="paragraph" w:styleId="1059">
    <w:name w:val="List Paragraph"/>
    <w:basedOn w:val="792"/>
    <w:uiPriority w:val="34"/>
    <w:qFormat/>
    <w:pPr>
      <w:ind w:firstLine="420"/>
    </w:pPr>
    <w:rPr>
      <w:rFonts w:ascii="等线" w:hAnsi="等线" w:eastAsia="等线" w:cs="Times New Roman"/>
      <w:szCs w:val="22"/>
    </w:rPr>
  </w:style>
  <w:style w:type="table" w:styleId="1060" w:customStyle="1">
    <w:name w:val="网格型1"/>
    <w:basedOn w:val="1061"/>
    <w:uiPriority w:val="0"/>
    <w:qFormat/>
    <w:pPr>
      <w:jc w:val="both"/>
      <w:widowControl w:val="off"/>
    </w:pPr>
    <w:rPr>
      <w:rFonts w:ascii="Times New Roman" w:hAnsi="Times New Roman" w:eastAsia="宋体" w:cs="Times New Roman"/>
      <w:sz w:val="20"/>
      <w:szCs w:val="20"/>
    </w:rPr>
    <w:tblPr/>
  </w:style>
  <w:style w:type="table" w:styleId="1061" w:customStyle="1">
    <w:name w:val="普通表格1"/>
    <w:uiPriority w:val="99"/>
    <w:unhideWhenUsed/>
    <w:qFormat/>
    <w:tblPr/>
  </w:style>
  <w:style w:type="paragraph" w:styleId="1062" w:customStyle="1">
    <w:name w:val="页眉1"/>
    <w:basedOn w:val="79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63" w:customStyle="1">
    <w:name w:val="Body text|1"/>
    <w:basedOn w:val="792"/>
    <w:uiPriority w:val="0"/>
    <w:qFormat/>
    <w:pPr>
      <w:ind w:firstLine="400"/>
      <w:spacing w:line="480" w:lineRule="auto"/>
    </w:pPr>
    <w:rPr>
      <w:rFonts w:ascii="宋体" w:hAnsi="宋体" w:cs="宋体"/>
      <w:sz w:val="20"/>
      <w:szCs w:val="20"/>
      <w:lang w:val="zh-TW" w:eastAsia="zh-TW" w:bidi="zh-TW"/>
    </w:rPr>
  </w:style>
  <w:style w:type="paragraph" w:styleId="1064" w:customStyle="1">
    <w:name w:val="批注文字1"/>
    <w:basedOn w:val="792"/>
    <w:uiPriority w:val="99"/>
    <w:unhideWhenUsed/>
    <w:qFormat/>
    <w:pPr>
      <w:jc w:val="left"/>
    </w:pPr>
  </w:style>
  <w:style w:type="paragraph" w:styleId="1065" w:customStyle="1">
    <w:name w:val="Table Text"/>
    <w:basedOn w:val="792"/>
    <w:uiPriority w:val="0"/>
    <w:semiHidden/>
    <w:qFormat/>
    <w:rPr>
      <w:rFonts w:ascii="宋体" w:hAnsi="宋体" w:eastAsia="宋体" w:cs="宋体"/>
      <w:sz w:val="21"/>
      <w:szCs w:val="21"/>
      <w:lang w:val="en-US" w:eastAsia="en-US" w:bidi="ar-SA"/>
    </w:rPr>
  </w:style>
  <w:style w:type="table" w:styleId="106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jpg"/><Relationship Id="rId23" Type="http://schemas.openxmlformats.org/officeDocument/2006/relationships/image" Target="media/image8.jpg"/><Relationship Id="rId24" Type="http://schemas.openxmlformats.org/officeDocument/2006/relationships/image" Target="media/image9.jpg"/><Relationship Id="rId25" Type="http://schemas.openxmlformats.org/officeDocument/2006/relationships/image" Target="media/image10.jpg"/><Relationship Id="rId26" Type="http://schemas.openxmlformats.org/officeDocument/2006/relationships/image" Target="media/image11.jpg"/><Relationship Id="rId27" Type="http://schemas.openxmlformats.org/officeDocument/2006/relationships/image" Target="media/image12.jpg"/><Relationship Id="rId28" Type="http://schemas.openxmlformats.org/officeDocument/2006/relationships/image" Target="media/image13.jpg"/><Relationship Id="rId29" Type="http://schemas.openxmlformats.org/officeDocument/2006/relationships/image" Target="media/image14.jpg"/><Relationship Id="rId30" Type="http://schemas.openxmlformats.org/officeDocument/2006/relationships/image" Target="media/image15.jpg"/><Relationship Id="rId31" Type="http://schemas.openxmlformats.org/officeDocument/2006/relationships/image" Target="media/image16.jpg"/><Relationship Id="rId32" Type="http://schemas.openxmlformats.org/officeDocument/2006/relationships/image" Target="media/image17.jpg"/><Relationship Id="rId33" Type="http://schemas.openxmlformats.org/officeDocument/2006/relationships/image" Target="media/image18.jpg"/><Relationship Id="rId34" Type="http://schemas.openxmlformats.org/officeDocument/2006/relationships/image" Target="media/image19.jpg"/><Relationship Id="rId35" Type="http://schemas.openxmlformats.org/officeDocument/2006/relationships/image" Target="media/image20.jpg"/><Relationship Id="rId36" Type="http://schemas.openxmlformats.org/officeDocument/2006/relationships/image" Target="media/image21.jpg"/><Relationship Id="rId37" Type="http://schemas.openxmlformats.org/officeDocument/2006/relationships/image" Target="media/image22.jpg"/><Relationship Id="rId38" Type="http://schemas.openxmlformats.org/officeDocument/2006/relationships/image" Target="media/image23.jpg"/><Relationship Id="rId39" Type="http://schemas.openxmlformats.org/officeDocument/2006/relationships/image" Target="media/image24.jpg"/><Relationship Id="rId40" Type="http://schemas.openxmlformats.org/officeDocument/2006/relationships/image" Target="media/image25.jpg"/><Relationship Id="rId41" Type="http://schemas.openxmlformats.org/officeDocument/2006/relationships/image" Target="media/image26.jpg"/><Relationship Id="rId42" Type="http://schemas.openxmlformats.org/officeDocument/2006/relationships/image" Target="media/image27.jpg"/><Relationship Id="rId43" Type="http://schemas.openxmlformats.org/officeDocument/2006/relationships/image" Target="media/image28.jpg"/><Relationship Id="rId44" Type="http://schemas.openxmlformats.org/officeDocument/2006/relationships/image" Target="media/image29.jpg"/><Relationship Id="rId45" Type="http://schemas.openxmlformats.org/officeDocument/2006/relationships/image" Target="media/image30.jpg"/><Relationship Id="rId46" Type="http://schemas.openxmlformats.org/officeDocument/2006/relationships/image" Target="media/image31.jpg"/><Relationship Id="rId47" Type="http://schemas.openxmlformats.org/officeDocument/2006/relationships/image" Target="media/image32.jpg"/><Relationship Id="rId48" Type="http://schemas.openxmlformats.org/officeDocument/2006/relationships/image" Target="media/image33.jpg"/><Relationship Id="rId49" Type="http://schemas.openxmlformats.org/officeDocument/2006/relationships/image" Target="media/image34.jpg"/><Relationship Id="rId50" Type="http://schemas.openxmlformats.org/officeDocument/2006/relationships/image" Target="media/image35.jpg"/><Relationship Id="rId51" Type="http://schemas.openxmlformats.org/officeDocument/2006/relationships/image" Target="media/image36.jpg"/><Relationship Id="rId52" Type="http://schemas.openxmlformats.org/officeDocument/2006/relationships/image" Target="media/image37.jpg"/><Relationship Id="rId53" Type="http://schemas.openxmlformats.org/officeDocument/2006/relationships/image" Target="media/image38.jpg"/><Relationship Id="rId54" Type="http://schemas.openxmlformats.org/officeDocument/2006/relationships/image" Target="media/image39.jpg"/><Relationship Id="rId55" Type="http://schemas.openxmlformats.org/officeDocument/2006/relationships/image" Target="media/image40.jpg"/><Relationship Id="rId56" Type="http://schemas.openxmlformats.org/officeDocument/2006/relationships/image" Target="media/image41.jpg"/><Relationship Id="rId57" Type="http://schemas.openxmlformats.org/officeDocument/2006/relationships/image" Target="media/image42.jpg"/><Relationship Id="rId58" Type="http://schemas.openxmlformats.org/officeDocument/2006/relationships/image" Target="media/image43.jpg"/><Relationship Id="rId59" Type="http://schemas.openxmlformats.org/officeDocument/2006/relationships/image" Target="media/image44.jpg"/><Relationship Id="rId60" Type="http://schemas.openxmlformats.org/officeDocument/2006/relationships/image" Target="media/image45.jpg"/><Relationship Id="rId61" Type="http://schemas.openxmlformats.org/officeDocument/2006/relationships/image" Target="media/image46.jpg"/><Relationship Id="rId62" Type="http://schemas.openxmlformats.org/officeDocument/2006/relationships/image" Target="media/image47.jpg"/><Relationship Id="rId63" Type="http://schemas.openxmlformats.org/officeDocument/2006/relationships/image" Target="media/image48.jpg"/><Relationship Id="rId64" Type="http://schemas.openxmlformats.org/officeDocument/2006/relationships/image" Target="media/image49.jpg"/><Relationship Id="rId65" Type="http://schemas.openxmlformats.org/officeDocument/2006/relationships/image" Target="media/image50.jpg"/><Relationship Id="rId66" Type="http://schemas.openxmlformats.org/officeDocument/2006/relationships/image" Target="media/image51.jpg"/><Relationship Id="rId67" Type="http://schemas.openxmlformats.org/officeDocument/2006/relationships/image" Target="media/image52.jpg"/><Relationship Id="rId68" Type="http://schemas.openxmlformats.org/officeDocument/2006/relationships/image" Target="media/image53.jpg"/><Relationship Id="rId69" Type="http://schemas.openxmlformats.org/officeDocument/2006/relationships/image" Target="media/image54.jpg"/><Relationship Id="rId70" Type="http://schemas.openxmlformats.org/officeDocument/2006/relationships/image" Target="media/image5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顾超男</cp:lastModifiedBy>
  <cp:revision>12</cp:revision>
  <dcterms:created xsi:type="dcterms:W3CDTF">2021-11-26T05:03:00Z</dcterms:created>
  <dcterms:modified xsi:type="dcterms:W3CDTF">2026-10-27T08:06:56Z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2107BA0ABF65423B85797EB7FE642A96_13</vt:lpwstr>
  </property>
  <property fmtid="{D5CDD505-2E9C-101B-9397-08002B2CF9AE}" pid="4" name="KSOTemplateDocerSaveRecord">
    <vt:lpwstr>eyJoZGlkIjoiN2YzNjBkOTgyNWQ1YTMxYzM3MzMwNWFiODNmOWIzYWMiLCJ1c2VySWQiOiIzMTUxNDIwNyJ9</vt:lpwstr>
  </property>
</Properties>
</file>