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spacing w:line="560" w:lineRule="exact"/>
        <w:rPr>
          <w:rFonts w:ascii="Times New Roman" w:hAnsi="Times New Roman" w:eastAsia="方正仿宋_GBK" w:cs="Times New Roman"/>
          <w:color w:val="auto"/>
          <w:sz w:val="32"/>
          <w:highlight w:val="none"/>
        </w:rPr>
      </w:pPr>
      <w:r>
        <w:rPr>
          <w:rFonts w:ascii="Times New Roman" w:hAnsi="Times New Roman" w:eastAsia="方正仿宋_GBK" w:cs="Times New Roman"/>
          <w:color w:val="auto"/>
          <w:sz w:val="32"/>
          <w:highlight w:val="none"/>
        </w:rPr>
      </w:r>
      <w:r/>
    </w:p>
    <w:p>
      <w:pPr>
        <w:pStyle w:val="888"/>
        <w:ind w:firstLine="0"/>
        <w:spacing w:line="56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r>
      <w:r/>
    </w:p>
    <w:p>
      <w:pPr>
        <w:jc w:val="center"/>
        <w:spacing w:line="360" w:lineRule="auto"/>
        <w:widowControl/>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南京市工业和信息化局</w:t>
      </w:r>
      <w:r/>
    </w:p>
    <w:p>
      <w:pPr>
        <w:jc w:val="center"/>
        <w:spacing w:line="360" w:lineRule="auto"/>
        <w:widowControl/>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南京市制造业新型技术改造城市试点全流程运营管理与综合赋能项目</w:t>
      </w:r>
      <w:r/>
    </w:p>
    <w:p>
      <w:pPr>
        <w:jc w:val="center"/>
        <w:spacing w:line="360" w:lineRule="auto"/>
        <w:widowControl/>
        <w:rPr>
          <w:rFonts w:hint="eastAsia" w:ascii="宋体" w:hAnsi="宋体" w:cs="宋体"/>
          <w:color w:val="auto"/>
          <w:highlight w:val="none"/>
        </w:rPr>
      </w:pPr>
      <w:r>
        <w:rPr>
          <w:rFonts w:hint="eastAsia" w:ascii="宋体" w:hAnsi="宋体" w:cs="宋体"/>
          <w:color w:val="auto"/>
          <w:highlight w:val="none"/>
        </w:rPr>
      </w:r>
      <w:r/>
    </w:p>
    <w:p>
      <w:pPr>
        <w:pStyle w:val="889"/>
        <w:jc w:val="center"/>
        <w:rPr>
          <w:rFonts w:hint="eastAsia" w:ascii="宋体" w:hAnsi="宋体" w:cs="宋体"/>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717040" cy="2131695"/>
                <wp:effectExtent l="0" t="0" r="16510" b="1905"/>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5.2pt;height:167.8pt;mso-wrap-distance-left:0.0pt;mso-wrap-distance-top:0.0pt;mso-wrap-distance-right:0.0pt;mso-wrap-distance-bottom:0.0pt;" stroked="f">
                <v:path textboxrect="0,0,0,0"/>
                <v:imagedata r:id="rId13" o:title=""/>
              </v:shape>
            </w:pict>
          </mc:Fallback>
        </mc:AlternateContent>
      </w:r>
      <w:r/>
    </w:p>
    <w:p>
      <w:pPr>
        <w:pStyle w:val="889"/>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widowControl/>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招 标 文 件</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rPr>
        <w:tab/>
      </w:r>
      <w:r>
        <w:rPr>
          <w:rFonts w:hint="eastAsia" w:ascii="宋体" w:hAnsi="宋体" w:cs="宋体"/>
          <w:b/>
          <w:color w:val="auto"/>
          <w:sz w:val="32"/>
          <w:szCs w:val="32"/>
          <w:highlight w:val="none"/>
        </w:rPr>
        <w:t xml:space="preserve">JSZC-320100-SNZX-G2026-0179</w:t>
      </w:r>
      <w:r/>
    </w:p>
    <w:p>
      <w:pPr>
        <w:rPr>
          <w:color w:val="auto"/>
          <w:highlight w:val="none"/>
        </w:rPr>
      </w:pPr>
      <w:r>
        <w:rPr>
          <w:color w:val="auto"/>
          <w:highlight w:val="none"/>
        </w:rPr>
      </w:r>
      <w:r/>
    </w:p>
    <w:p>
      <w:pPr>
        <w:ind w:firstLine="904"/>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采购人：南京市工业和信息化局</w:t>
      </w:r>
      <w:r/>
    </w:p>
    <w:p>
      <w:pPr>
        <w:ind w:firstLine="904"/>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采购代理机构：南京苏宁工程咨询有限公司</w:t>
      </w:r>
      <w:r/>
    </w:p>
    <w:p>
      <w:pPr>
        <w:ind w:firstLine="904"/>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日期：二〇二六年十月</w:t>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p>
    <w:sdt>
      <w:sdtPr>
        <w15:appearance w15:val="boundingBox"/>
        <w:id w:val="147452524"/>
        <w:docPartObj>
          <w:docPartGallery w:val="Table of Contents"/>
          <w:docPartUnique w:val="true"/>
        </w:docPartObj>
        <w:rPr>
          <w:rFonts w:ascii="宋体" w:hAnsi="宋体"/>
          <w:color w:val="auto"/>
          <w:highlight w:val="none"/>
        </w:rPr>
      </w:sdtPr>
      <w:sdtContent>
        <w:p>
          <w:pPr>
            <w:jc w:val="center"/>
            <w:rPr>
              <w:rFonts w:hint="eastAsia" w:ascii="宋体" w:hAnsi="宋体"/>
              <w:color w:val="auto"/>
              <w:highlight w:val="none"/>
            </w:rPr>
          </w:pPr>
          <w:r>
            <w:rPr>
              <w:rFonts w:hint="eastAsia" w:ascii="宋体" w:hAnsi="宋体"/>
              <w:color w:val="auto"/>
              <w:highlight w:val="none"/>
            </w:rPr>
          </w:r>
          <w:r/>
        </w:p>
        <w:p>
          <w:pPr>
            <w:jc w:val="center"/>
            <w:rPr>
              <w:rFonts w:hint="eastAsia" w:ascii="方正小标宋_GBK" w:hAnsi="方正小标宋_GBK" w:eastAsia="方正小标宋_GBK" w:cs="方正小标宋_GBK"/>
              <w:color w:val="auto"/>
              <w:sz w:val="44"/>
              <w:szCs w:val="52"/>
              <w:highlight w:val="none"/>
            </w:rPr>
          </w:pPr>
          <w:r>
            <w:rPr>
              <w:rFonts w:hint="eastAsia" w:ascii="方正小标宋_GBK" w:hAnsi="方正小标宋_GBK" w:eastAsia="方正小标宋_GBK" w:cs="方正小标宋_GBK"/>
              <w:color w:val="auto"/>
              <w:sz w:val="44"/>
              <w:szCs w:val="52"/>
              <w:highlight w:val="none"/>
            </w:rPr>
            <w:t xml:space="preserve">目录</w:t>
          </w:r>
          <w:r/>
        </w:p>
        <w:p>
          <w:pPr>
            <w:pStyle w:val="879"/>
            <w:spacing w:after="0" w:line="578" w:lineRule="atLeast"/>
            <w:tabs>
              <w:tab w:val="right" w:pos="9639" w:leader="dot"/>
            </w:tabs>
            <w:rPr>
              <w:rFonts w:ascii="Times New Roman" w:hAnsi="Times New Roman" w:eastAsia="方正楷体_GBK" w:cs="方正楷体_GBK"/>
              <w:color w:val="auto"/>
              <w:sz w:val="32"/>
              <w:szCs w:val="32"/>
              <w:highlight w:val="none"/>
            </w:rPr>
          </w:pPr>
          <w:r>
            <w:rPr>
              <w:rFonts w:hint="eastAsia" w:ascii="Times New Roman" w:hAnsi="Times New Roman" w:eastAsia="仿宋" w:cs="仿宋"/>
              <w:b/>
              <w:color w:val="auto"/>
              <w:sz w:val="32"/>
              <w:szCs w:val="32"/>
              <w:highlight w:val="none"/>
            </w:rPr>
            <w:fldChar w:fldCharType="begin"/>
          </w:r>
          <w:r>
            <w:rPr>
              <w:rFonts w:hint="eastAsia" w:ascii="Times New Roman" w:hAnsi="Times New Roman" w:eastAsia="仿宋" w:cs="仿宋"/>
              <w:b/>
              <w:color w:val="auto"/>
              <w:sz w:val="32"/>
              <w:szCs w:val="32"/>
              <w:highlight w:val="none"/>
            </w:rPr>
            <w:instrText xml:space="preserve">TOC \o "1-1" \h \u </w:instrText>
          </w:r>
          <w:r>
            <w:rPr>
              <w:rFonts w:hint="eastAsia" w:ascii="Times New Roman" w:hAnsi="Times New Roman" w:eastAsia="仿宋" w:cs="仿宋"/>
              <w:b/>
              <w:color w:val="auto"/>
              <w:sz w:val="32"/>
              <w:szCs w:val="32"/>
              <w:highlight w:val="none"/>
            </w:rPr>
            <w:fldChar w:fldCharType="separate"/>
          </w:r>
          <w:r>
            <w:rPr>
              <w:color w:val="auto"/>
              <w:highlight w:val="none"/>
            </w:rPr>
            <w:fldChar w:fldCharType="begin"/>
          </w:r>
          <w:r>
            <w:rPr>
              <w:color w:val="auto"/>
              <w:highlight w:val="none"/>
            </w:rPr>
            <w:instrText xml:space="preserve"> HYPERLINK \l "_Toc2422" </w:instrText>
          </w:r>
          <w:r>
            <w:rPr>
              <w:color w:val="auto"/>
              <w:highlight w:val="none"/>
            </w:rPr>
            <w:fldChar w:fldCharType="separate"/>
          </w:r>
          <w:r>
            <w:rPr>
              <w:rFonts w:hint="eastAsia" w:ascii="Times New Roman" w:hAnsi="Times New Roman" w:eastAsia="方正楷体_GBK" w:cs="方正楷体_GBK"/>
              <w:color w:val="auto"/>
              <w:sz w:val="32"/>
              <w:szCs w:val="32"/>
              <w:highlight w:val="none"/>
              <w:lang w:val="zh-CN"/>
            </w:rPr>
            <w:t xml:space="preserve">第一章</w:t>
          </w:r>
          <w:r>
            <w:rPr>
              <w:rFonts w:hint="eastAsia" w:ascii="Times New Roman" w:hAnsi="Times New Roman" w:eastAsia="方正楷体_GBK" w:cs="方正楷体_GBK"/>
              <w:color w:val="auto"/>
              <w:sz w:val="32"/>
              <w:szCs w:val="32"/>
              <w:highlight w:val="none"/>
            </w:rPr>
            <w:t xml:space="preserve">  </w:t>
          </w:r>
          <w:r>
            <w:rPr>
              <w:rFonts w:hint="eastAsia" w:ascii="Times New Roman" w:hAnsi="Times New Roman" w:eastAsia="方正楷体_GBK" w:cs="方正楷体_GBK"/>
              <w:color w:val="auto"/>
              <w:sz w:val="32"/>
              <w:szCs w:val="32"/>
              <w:highlight w:val="none"/>
              <w:lang w:val="zh-CN"/>
            </w:rPr>
            <w:t xml:space="preserve">投标邀请</w:t>
          </w:r>
          <w:r>
            <w:rPr>
              <w:rFonts w:hint="eastAsia" w:ascii="Times New Roman" w:hAnsi="Times New Roman" w:eastAsia="方正楷体_GBK" w:cs="方正楷体_GBK"/>
              <w:color w:val="auto"/>
              <w:sz w:val="32"/>
              <w:szCs w:val="32"/>
              <w:highlight w:val="none"/>
            </w:rPr>
            <w:tab/>
          </w:r>
          <w:r>
            <w:rPr>
              <w:rFonts w:hint="eastAsia" w:ascii="Times New Roman" w:hAnsi="Times New Roman" w:eastAsia="方正楷体_GBK" w:cs="方正楷体_GBK"/>
              <w:color w:val="auto"/>
              <w:sz w:val="32"/>
              <w:szCs w:val="32"/>
              <w:highlight w:val="none"/>
            </w:rPr>
            <w:fldChar w:fldCharType="begin"/>
          </w:r>
          <w:r>
            <w:rPr>
              <w:rFonts w:hint="eastAsia" w:ascii="Times New Roman" w:hAnsi="Times New Roman" w:eastAsia="方正楷体_GBK" w:cs="方正楷体_GBK"/>
              <w:color w:val="auto"/>
              <w:sz w:val="32"/>
              <w:szCs w:val="32"/>
              <w:highlight w:val="none"/>
            </w:rPr>
            <w:instrText xml:space="preserve"> PAGEREF _Toc2422 \h </w:instrText>
          </w:r>
          <w:r>
            <w:rPr>
              <w:rFonts w:hint="eastAsia" w:ascii="Times New Roman" w:hAnsi="Times New Roman" w:eastAsia="方正楷体_GBK" w:cs="方正楷体_GBK"/>
              <w:color w:val="auto"/>
              <w:sz w:val="32"/>
              <w:szCs w:val="32"/>
              <w:highlight w:val="none"/>
            </w:rPr>
            <w:fldChar w:fldCharType="separate"/>
          </w:r>
          <w:r>
            <w:rPr>
              <w:rFonts w:hint="eastAsia" w:ascii="Times New Roman" w:hAnsi="Times New Roman" w:eastAsia="方正楷体_GBK" w:cs="方正楷体_GBK"/>
              <w:color w:val="auto"/>
              <w:sz w:val="32"/>
              <w:szCs w:val="32"/>
              <w:highlight w:val="none"/>
            </w:rPr>
            <w:t xml:space="preserve">3</w:t>
          </w:r>
          <w:r>
            <w:rPr>
              <w:rFonts w:hint="eastAsia" w:ascii="Times New Roman" w:hAnsi="Times New Roman" w:eastAsia="方正楷体_GBK" w:cs="方正楷体_GBK"/>
              <w:color w:val="auto"/>
              <w:sz w:val="32"/>
              <w:szCs w:val="32"/>
              <w:highlight w:val="none"/>
            </w:rPr>
            <w:fldChar w:fldCharType="end"/>
          </w:r>
          <w:r>
            <w:rPr>
              <w:rFonts w:hint="eastAsia" w:ascii="Times New Roman" w:hAnsi="Times New Roman" w:eastAsia="方正楷体_GBK" w:cs="方正楷体_GBK"/>
              <w:color w:val="auto"/>
              <w:sz w:val="32"/>
              <w:szCs w:val="32"/>
              <w:highlight w:val="none"/>
            </w:rPr>
            <w:fldChar w:fldCharType="end"/>
          </w:r>
          <w:r/>
        </w:p>
        <w:p>
          <w:pPr>
            <w:pStyle w:val="879"/>
            <w:spacing w:after="0" w:line="578" w:lineRule="atLeast"/>
            <w:tabs>
              <w:tab w:val="right" w:pos="9639" w:leader="dot"/>
            </w:tabs>
            <w:rPr>
              <w:rFonts w:ascii="Times New Roman" w:hAnsi="Times New Roman" w:eastAsia="方正楷体_GBK" w:cs="方正楷体_GBK"/>
              <w:color w:val="auto"/>
              <w:sz w:val="32"/>
              <w:szCs w:val="32"/>
              <w:highlight w:val="none"/>
            </w:rPr>
          </w:pPr>
          <w:r>
            <w:rPr>
              <w:color w:val="auto"/>
              <w:highlight w:val="none"/>
            </w:rPr>
            <w:fldChar w:fldCharType="begin"/>
          </w:r>
          <w:r>
            <w:rPr>
              <w:color w:val="auto"/>
              <w:highlight w:val="none"/>
            </w:rPr>
            <w:instrText xml:space="preserve"> HYPERLINK \l "_Toc1110" </w:instrText>
          </w:r>
          <w:r>
            <w:rPr>
              <w:color w:val="auto"/>
              <w:highlight w:val="none"/>
            </w:rPr>
            <w:fldChar w:fldCharType="separate"/>
          </w:r>
          <w:r>
            <w:rPr>
              <w:rFonts w:hint="eastAsia" w:ascii="Times New Roman" w:hAnsi="Times New Roman" w:eastAsia="方正楷体_GBK" w:cs="方正楷体_GBK"/>
              <w:color w:val="auto"/>
              <w:sz w:val="32"/>
              <w:szCs w:val="32"/>
              <w:highlight w:val="none"/>
              <w:lang w:val="zh-CN"/>
            </w:rPr>
            <w:t xml:space="preserve">第二章  投标人须知</w:t>
          </w:r>
          <w:r>
            <w:rPr>
              <w:rFonts w:hint="eastAsia" w:ascii="Times New Roman" w:hAnsi="Times New Roman" w:eastAsia="方正楷体_GBK" w:cs="方正楷体_GBK"/>
              <w:color w:val="auto"/>
              <w:sz w:val="32"/>
              <w:szCs w:val="32"/>
              <w:highlight w:val="none"/>
            </w:rPr>
            <w:tab/>
          </w:r>
          <w:r>
            <w:rPr>
              <w:rFonts w:hint="eastAsia" w:ascii="Times New Roman" w:hAnsi="Times New Roman" w:eastAsia="方正楷体_GBK" w:cs="方正楷体_GBK"/>
              <w:color w:val="auto"/>
              <w:sz w:val="32"/>
              <w:szCs w:val="32"/>
              <w:highlight w:val="none"/>
            </w:rPr>
            <w:fldChar w:fldCharType="begin"/>
          </w:r>
          <w:r>
            <w:rPr>
              <w:rFonts w:hint="eastAsia" w:ascii="Times New Roman" w:hAnsi="Times New Roman" w:eastAsia="方正楷体_GBK" w:cs="方正楷体_GBK"/>
              <w:color w:val="auto"/>
              <w:sz w:val="32"/>
              <w:szCs w:val="32"/>
              <w:highlight w:val="none"/>
            </w:rPr>
            <w:instrText xml:space="preserve"> PAGEREF _Toc1110 \h </w:instrText>
          </w:r>
          <w:r>
            <w:rPr>
              <w:rFonts w:hint="eastAsia" w:ascii="Times New Roman" w:hAnsi="Times New Roman" w:eastAsia="方正楷体_GBK" w:cs="方正楷体_GBK"/>
              <w:color w:val="auto"/>
              <w:sz w:val="32"/>
              <w:szCs w:val="32"/>
              <w:highlight w:val="none"/>
            </w:rPr>
            <w:fldChar w:fldCharType="separate"/>
          </w:r>
          <w:r>
            <w:rPr>
              <w:rFonts w:hint="eastAsia" w:ascii="Times New Roman" w:hAnsi="Times New Roman" w:eastAsia="方正楷体_GBK" w:cs="方正楷体_GBK"/>
              <w:color w:val="auto"/>
              <w:sz w:val="32"/>
              <w:szCs w:val="32"/>
              <w:highlight w:val="none"/>
            </w:rPr>
            <w:t xml:space="preserve">8</w:t>
          </w:r>
          <w:r>
            <w:rPr>
              <w:rFonts w:hint="eastAsia" w:ascii="Times New Roman" w:hAnsi="Times New Roman" w:eastAsia="方正楷体_GBK" w:cs="方正楷体_GBK"/>
              <w:color w:val="auto"/>
              <w:sz w:val="32"/>
              <w:szCs w:val="32"/>
              <w:highlight w:val="none"/>
            </w:rPr>
            <w:fldChar w:fldCharType="end"/>
          </w:r>
          <w:r>
            <w:rPr>
              <w:rFonts w:hint="eastAsia" w:ascii="Times New Roman" w:hAnsi="Times New Roman" w:eastAsia="方正楷体_GBK" w:cs="方正楷体_GBK"/>
              <w:color w:val="auto"/>
              <w:sz w:val="32"/>
              <w:szCs w:val="32"/>
              <w:highlight w:val="none"/>
            </w:rPr>
            <w:fldChar w:fldCharType="end"/>
          </w:r>
          <w:r/>
        </w:p>
        <w:p>
          <w:pPr>
            <w:pStyle w:val="879"/>
            <w:spacing w:after="0" w:line="578" w:lineRule="atLeast"/>
            <w:tabs>
              <w:tab w:val="right" w:pos="9639" w:leader="dot"/>
            </w:tabs>
            <w:rPr>
              <w:rFonts w:ascii="Times New Roman" w:hAnsi="Times New Roman" w:eastAsia="方正楷体_GBK" w:cs="方正楷体_GBK"/>
              <w:color w:val="auto"/>
              <w:sz w:val="32"/>
              <w:szCs w:val="32"/>
              <w:highlight w:val="none"/>
            </w:rPr>
          </w:pPr>
          <w:r>
            <w:rPr>
              <w:color w:val="auto"/>
              <w:highlight w:val="none"/>
            </w:rPr>
            <w:fldChar w:fldCharType="begin"/>
          </w:r>
          <w:r>
            <w:rPr>
              <w:color w:val="auto"/>
              <w:highlight w:val="none"/>
            </w:rPr>
            <w:instrText xml:space="preserve"> HYPERLINK \l "_Toc3294" </w:instrText>
          </w:r>
          <w:r>
            <w:rPr>
              <w:color w:val="auto"/>
              <w:highlight w:val="none"/>
            </w:rPr>
            <w:fldChar w:fldCharType="separate"/>
          </w:r>
          <w:r>
            <w:rPr>
              <w:rFonts w:hint="eastAsia" w:ascii="Times New Roman" w:hAnsi="Times New Roman" w:eastAsia="方正楷体_GBK" w:cs="方正楷体_GBK"/>
              <w:color w:val="auto"/>
              <w:sz w:val="32"/>
              <w:szCs w:val="32"/>
              <w:highlight w:val="none"/>
            </w:rPr>
            <w:t xml:space="preserve">第三章  评标标准</w:t>
          </w:r>
          <w:r>
            <w:rPr>
              <w:rFonts w:hint="eastAsia" w:ascii="Times New Roman" w:hAnsi="Times New Roman" w:eastAsia="方正楷体_GBK" w:cs="方正楷体_GBK"/>
              <w:color w:val="auto"/>
              <w:sz w:val="32"/>
              <w:szCs w:val="32"/>
              <w:highlight w:val="none"/>
            </w:rPr>
            <w:tab/>
          </w:r>
          <w:r>
            <w:rPr>
              <w:rFonts w:hint="eastAsia" w:ascii="Times New Roman" w:hAnsi="Times New Roman" w:eastAsia="方正楷体_GBK" w:cs="方正楷体_GBK"/>
              <w:color w:val="auto"/>
              <w:sz w:val="32"/>
              <w:szCs w:val="32"/>
              <w:highlight w:val="none"/>
            </w:rPr>
            <w:fldChar w:fldCharType="begin"/>
          </w:r>
          <w:r>
            <w:rPr>
              <w:rFonts w:hint="eastAsia" w:ascii="Times New Roman" w:hAnsi="Times New Roman" w:eastAsia="方正楷体_GBK" w:cs="方正楷体_GBK"/>
              <w:color w:val="auto"/>
              <w:sz w:val="32"/>
              <w:szCs w:val="32"/>
              <w:highlight w:val="none"/>
            </w:rPr>
            <w:instrText xml:space="preserve"> PAGEREF _Toc3294 \h </w:instrText>
          </w:r>
          <w:r>
            <w:rPr>
              <w:rFonts w:hint="eastAsia" w:ascii="Times New Roman" w:hAnsi="Times New Roman" w:eastAsia="方正楷体_GBK" w:cs="方正楷体_GBK"/>
              <w:color w:val="auto"/>
              <w:sz w:val="32"/>
              <w:szCs w:val="32"/>
              <w:highlight w:val="none"/>
            </w:rPr>
            <w:fldChar w:fldCharType="separate"/>
          </w:r>
          <w:r>
            <w:rPr>
              <w:rFonts w:hint="eastAsia" w:ascii="Times New Roman" w:hAnsi="Times New Roman" w:eastAsia="方正楷体_GBK" w:cs="方正楷体_GBK"/>
              <w:color w:val="auto"/>
              <w:sz w:val="32"/>
              <w:szCs w:val="32"/>
              <w:highlight w:val="none"/>
            </w:rPr>
            <w:t xml:space="preserve">22</w:t>
          </w:r>
          <w:r>
            <w:rPr>
              <w:rFonts w:hint="eastAsia" w:ascii="Times New Roman" w:hAnsi="Times New Roman" w:eastAsia="方正楷体_GBK" w:cs="方正楷体_GBK"/>
              <w:color w:val="auto"/>
              <w:sz w:val="32"/>
              <w:szCs w:val="32"/>
              <w:highlight w:val="none"/>
            </w:rPr>
            <w:fldChar w:fldCharType="end"/>
          </w:r>
          <w:r>
            <w:rPr>
              <w:rFonts w:hint="eastAsia" w:ascii="Times New Roman" w:hAnsi="Times New Roman" w:eastAsia="方正楷体_GBK" w:cs="方正楷体_GBK"/>
              <w:color w:val="auto"/>
              <w:sz w:val="32"/>
              <w:szCs w:val="32"/>
              <w:highlight w:val="none"/>
            </w:rPr>
            <w:fldChar w:fldCharType="end"/>
          </w:r>
          <w:r/>
        </w:p>
        <w:p>
          <w:pPr>
            <w:pStyle w:val="879"/>
            <w:ind w:right="1134"/>
            <w:spacing w:after="0" w:line="578" w:lineRule="atLeast"/>
            <w:tabs>
              <w:tab w:val="right" w:pos="9639" w:leader="dot"/>
            </w:tabs>
            <w:rPr>
              <w:rFonts w:ascii="Times New Roman" w:hAnsi="Times New Roman" w:eastAsia="方正楷体_GBK" w:cs="方正楷体_GBK"/>
              <w:color w:val="auto"/>
              <w:sz w:val="32"/>
              <w:szCs w:val="32"/>
              <w:highlight w:val="none"/>
            </w:rPr>
          </w:pPr>
          <w:r>
            <w:rPr>
              <w:color w:val="auto"/>
              <w:highlight w:val="none"/>
            </w:rPr>
            <w:fldChar w:fldCharType="begin"/>
          </w:r>
          <w:r>
            <w:rPr>
              <w:color w:val="auto"/>
              <w:highlight w:val="none"/>
            </w:rPr>
            <w:instrText xml:space="preserve"> HYPERLINK \l "_Toc32253" </w:instrText>
          </w:r>
          <w:r>
            <w:rPr>
              <w:color w:val="auto"/>
              <w:highlight w:val="none"/>
            </w:rPr>
            <w:fldChar w:fldCharType="separate"/>
          </w:r>
          <w:r>
            <w:rPr>
              <w:rFonts w:hint="eastAsia" w:ascii="Times New Roman" w:hAnsi="Times New Roman" w:eastAsia="方正楷体_GBK" w:cs="方正楷体_GBK"/>
              <w:color w:val="auto"/>
              <w:sz w:val="32"/>
              <w:szCs w:val="32"/>
              <w:highlight w:val="none"/>
            </w:rPr>
            <w:t xml:space="preserve">第四章  采购需求</w:t>
          </w:r>
          <w:r>
            <w:rPr>
              <w:rFonts w:hint="eastAsia" w:ascii="Times New Roman" w:hAnsi="Times New Roman" w:eastAsia="方正楷体_GBK" w:cs="方正楷体_GBK"/>
              <w:color w:val="auto"/>
              <w:sz w:val="32"/>
              <w:szCs w:val="32"/>
              <w:highlight w:val="none"/>
            </w:rPr>
            <w:tab/>
          </w:r>
          <w:r>
            <w:rPr>
              <w:rFonts w:hint="eastAsia" w:ascii="Times New Roman" w:hAnsi="Times New Roman" w:eastAsia="方正楷体_GBK" w:cs="方正楷体_GBK"/>
              <w:color w:val="auto"/>
              <w:sz w:val="32"/>
              <w:szCs w:val="32"/>
              <w:highlight w:val="none"/>
            </w:rPr>
            <w:fldChar w:fldCharType="begin"/>
          </w:r>
          <w:r>
            <w:rPr>
              <w:rFonts w:hint="eastAsia" w:ascii="Times New Roman" w:hAnsi="Times New Roman" w:eastAsia="方正楷体_GBK" w:cs="方正楷体_GBK"/>
              <w:color w:val="auto"/>
              <w:sz w:val="32"/>
              <w:szCs w:val="32"/>
              <w:highlight w:val="none"/>
            </w:rPr>
            <w:instrText xml:space="preserve"> PAGEREF _Toc32253 \h </w:instrText>
          </w:r>
          <w:r>
            <w:rPr>
              <w:rFonts w:hint="eastAsia" w:ascii="Times New Roman" w:hAnsi="Times New Roman" w:eastAsia="方正楷体_GBK" w:cs="方正楷体_GBK"/>
              <w:color w:val="auto"/>
              <w:sz w:val="32"/>
              <w:szCs w:val="32"/>
              <w:highlight w:val="none"/>
            </w:rPr>
            <w:fldChar w:fldCharType="separate"/>
          </w:r>
          <w:r>
            <w:rPr>
              <w:rFonts w:hint="eastAsia" w:ascii="Times New Roman" w:hAnsi="Times New Roman" w:eastAsia="方正楷体_GBK" w:cs="方正楷体_GBK"/>
              <w:color w:val="auto"/>
              <w:sz w:val="32"/>
              <w:szCs w:val="32"/>
              <w:highlight w:val="none"/>
            </w:rPr>
            <w:t xml:space="preserve">29</w:t>
          </w:r>
          <w:r>
            <w:rPr>
              <w:rFonts w:hint="eastAsia" w:ascii="Times New Roman" w:hAnsi="Times New Roman" w:eastAsia="方正楷体_GBK" w:cs="方正楷体_GBK"/>
              <w:color w:val="auto"/>
              <w:sz w:val="32"/>
              <w:szCs w:val="32"/>
              <w:highlight w:val="none"/>
            </w:rPr>
            <w:fldChar w:fldCharType="end"/>
          </w:r>
          <w:r>
            <w:rPr>
              <w:rFonts w:hint="eastAsia" w:ascii="Times New Roman" w:hAnsi="Times New Roman" w:eastAsia="方正楷体_GBK" w:cs="方正楷体_GBK"/>
              <w:color w:val="auto"/>
              <w:sz w:val="32"/>
              <w:szCs w:val="32"/>
              <w:highlight w:val="none"/>
            </w:rPr>
            <w:fldChar w:fldCharType="end"/>
          </w:r>
          <w:r/>
        </w:p>
        <w:p>
          <w:pPr>
            <w:pStyle w:val="879"/>
            <w:spacing w:after="0" w:line="578" w:lineRule="atLeast"/>
            <w:tabs>
              <w:tab w:val="right" w:pos="9639" w:leader="dot"/>
            </w:tabs>
            <w:rPr>
              <w:rFonts w:ascii="Times New Roman" w:hAnsi="Times New Roman" w:eastAsia="方正楷体_GBK" w:cs="方正楷体_GBK"/>
              <w:color w:val="auto"/>
              <w:sz w:val="32"/>
              <w:szCs w:val="32"/>
              <w:highlight w:val="none"/>
            </w:rPr>
          </w:pPr>
          <w:r>
            <w:rPr>
              <w:color w:val="auto"/>
              <w:highlight w:val="none"/>
            </w:rPr>
            <w:fldChar w:fldCharType="begin"/>
          </w:r>
          <w:r>
            <w:rPr>
              <w:color w:val="auto"/>
              <w:highlight w:val="none"/>
            </w:rPr>
            <w:instrText xml:space="preserve"> HYPERLINK \l "_Toc26600" </w:instrText>
          </w:r>
          <w:r>
            <w:rPr>
              <w:color w:val="auto"/>
              <w:highlight w:val="none"/>
            </w:rPr>
            <w:fldChar w:fldCharType="separate"/>
          </w:r>
          <w:r>
            <w:rPr>
              <w:rFonts w:hint="eastAsia" w:ascii="Times New Roman" w:hAnsi="Times New Roman" w:eastAsia="方正楷体_GBK" w:cs="方正楷体_GBK"/>
              <w:color w:val="auto"/>
              <w:sz w:val="32"/>
              <w:szCs w:val="32"/>
              <w:highlight w:val="none"/>
              <w:lang w:val="zh-CN"/>
            </w:rPr>
            <w:t xml:space="preserve">第五章  合同主要条款及格式</w:t>
          </w:r>
          <w:r>
            <w:rPr>
              <w:rFonts w:hint="eastAsia" w:ascii="Times New Roman" w:hAnsi="Times New Roman" w:eastAsia="方正楷体_GBK" w:cs="方正楷体_GBK"/>
              <w:color w:val="auto"/>
              <w:sz w:val="32"/>
              <w:szCs w:val="32"/>
              <w:highlight w:val="none"/>
            </w:rPr>
            <w:tab/>
          </w:r>
          <w:r>
            <w:rPr>
              <w:rFonts w:hint="eastAsia" w:ascii="Times New Roman" w:hAnsi="Times New Roman" w:eastAsia="方正楷体_GBK" w:cs="方正楷体_GBK"/>
              <w:color w:val="auto"/>
              <w:sz w:val="32"/>
              <w:szCs w:val="32"/>
              <w:highlight w:val="none"/>
            </w:rPr>
            <w:fldChar w:fldCharType="begin"/>
          </w:r>
          <w:r>
            <w:rPr>
              <w:rFonts w:hint="eastAsia" w:ascii="Times New Roman" w:hAnsi="Times New Roman" w:eastAsia="方正楷体_GBK" w:cs="方正楷体_GBK"/>
              <w:color w:val="auto"/>
              <w:sz w:val="32"/>
              <w:szCs w:val="32"/>
              <w:highlight w:val="none"/>
            </w:rPr>
            <w:instrText xml:space="preserve"> PAGEREF _Toc26600 \h </w:instrText>
          </w:r>
          <w:r>
            <w:rPr>
              <w:rFonts w:hint="eastAsia" w:ascii="Times New Roman" w:hAnsi="Times New Roman" w:eastAsia="方正楷体_GBK" w:cs="方正楷体_GBK"/>
              <w:color w:val="auto"/>
              <w:sz w:val="32"/>
              <w:szCs w:val="32"/>
              <w:highlight w:val="none"/>
            </w:rPr>
            <w:fldChar w:fldCharType="separate"/>
          </w:r>
          <w:r>
            <w:rPr>
              <w:rFonts w:hint="eastAsia" w:ascii="Times New Roman" w:hAnsi="Times New Roman" w:eastAsia="方正楷体_GBK" w:cs="方正楷体_GBK"/>
              <w:color w:val="auto"/>
              <w:sz w:val="32"/>
              <w:szCs w:val="32"/>
              <w:highlight w:val="none"/>
            </w:rPr>
            <w:t xml:space="preserve">38</w:t>
          </w:r>
          <w:r>
            <w:rPr>
              <w:rFonts w:hint="eastAsia" w:ascii="Times New Roman" w:hAnsi="Times New Roman" w:eastAsia="方正楷体_GBK" w:cs="方正楷体_GBK"/>
              <w:color w:val="auto"/>
              <w:sz w:val="32"/>
              <w:szCs w:val="32"/>
              <w:highlight w:val="none"/>
            </w:rPr>
            <w:fldChar w:fldCharType="end"/>
          </w:r>
          <w:r>
            <w:rPr>
              <w:rFonts w:hint="eastAsia" w:ascii="Times New Roman" w:hAnsi="Times New Roman" w:eastAsia="方正楷体_GBK" w:cs="方正楷体_GBK"/>
              <w:color w:val="auto"/>
              <w:sz w:val="32"/>
              <w:szCs w:val="32"/>
              <w:highlight w:val="none"/>
            </w:rPr>
            <w:fldChar w:fldCharType="end"/>
          </w:r>
          <w:r/>
        </w:p>
        <w:p>
          <w:pPr>
            <w:pStyle w:val="879"/>
            <w:spacing w:after="0" w:line="578" w:lineRule="atLeast"/>
            <w:tabs>
              <w:tab w:val="right" w:pos="9639" w:leader="dot"/>
            </w:tabs>
            <w:rPr>
              <w:rFonts w:ascii="Times New Roman" w:hAnsi="Times New Roman" w:eastAsia="仿宋" w:cs="仿宋"/>
              <w:color w:val="auto"/>
              <w:sz w:val="32"/>
              <w:szCs w:val="32"/>
              <w:highlight w:val="none"/>
            </w:rPr>
          </w:pPr>
          <w:r>
            <w:rPr>
              <w:color w:val="auto"/>
              <w:highlight w:val="none"/>
            </w:rPr>
            <w:fldChar w:fldCharType="begin"/>
          </w:r>
          <w:r>
            <w:rPr>
              <w:color w:val="auto"/>
              <w:highlight w:val="none"/>
            </w:rPr>
            <w:instrText xml:space="preserve"> HYPERLINK \l "_Toc6660" </w:instrText>
          </w:r>
          <w:r>
            <w:rPr>
              <w:color w:val="auto"/>
              <w:highlight w:val="none"/>
            </w:rPr>
            <w:fldChar w:fldCharType="separate"/>
          </w:r>
          <w:r>
            <w:rPr>
              <w:rFonts w:hint="eastAsia" w:ascii="Times New Roman" w:hAnsi="Times New Roman" w:eastAsia="方正楷体_GBK" w:cs="方正楷体_GBK"/>
              <w:color w:val="auto"/>
              <w:sz w:val="32"/>
              <w:szCs w:val="32"/>
              <w:highlight w:val="none"/>
              <w:lang w:val="zh-CN"/>
            </w:rPr>
            <w:t xml:space="preserve">第六章  投标文件格式</w:t>
          </w:r>
          <w:r>
            <w:rPr>
              <w:rFonts w:hint="eastAsia" w:ascii="Times New Roman" w:hAnsi="Times New Roman" w:eastAsia="方正楷体_GBK" w:cs="方正楷体_GBK"/>
              <w:color w:val="auto"/>
              <w:sz w:val="32"/>
              <w:szCs w:val="32"/>
              <w:highlight w:val="none"/>
            </w:rPr>
            <w:tab/>
          </w:r>
          <w:r>
            <w:rPr>
              <w:rFonts w:hint="eastAsia" w:ascii="Times New Roman" w:hAnsi="Times New Roman" w:eastAsia="方正楷体_GBK" w:cs="方正楷体_GBK"/>
              <w:color w:val="auto"/>
              <w:sz w:val="32"/>
              <w:szCs w:val="32"/>
              <w:highlight w:val="none"/>
            </w:rPr>
            <w:fldChar w:fldCharType="begin"/>
          </w:r>
          <w:r>
            <w:rPr>
              <w:rFonts w:hint="eastAsia" w:ascii="Times New Roman" w:hAnsi="Times New Roman" w:eastAsia="方正楷体_GBK" w:cs="方正楷体_GBK"/>
              <w:color w:val="auto"/>
              <w:sz w:val="32"/>
              <w:szCs w:val="32"/>
              <w:highlight w:val="none"/>
            </w:rPr>
            <w:instrText xml:space="preserve"> PAGEREF _Toc6660 \h </w:instrText>
          </w:r>
          <w:r>
            <w:rPr>
              <w:rFonts w:hint="eastAsia" w:ascii="Times New Roman" w:hAnsi="Times New Roman" w:eastAsia="方正楷体_GBK" w:cs="方正楷体_GBK"/>
              <w:color w:val="auto"/>
              <w:sz w:val="32"/>
              <w:szCs w:val="32"/>
              <w:highlight w:val="none"/>
            </w:rPr>
            <w:fldChar w:fldCharType="separate"/>
          </w:r>
          <w:r>
            <w:rPr>
              <w:rFonts w:hint="eastAsia" w:ascii="Times New Roman" w:hAnsi="Times New Roman" w:eastAsia="方正楷体_GBK" w:cs="方正楷体_GBK"/>
              <w:color w:val="auto"/>
              <w:sz w:val="32"/>
              <w:szCs w:val="32"/>
              <w:highlight w:val="none"/>
            </w:rPr>
            <w:t xml:space="preserve">43</w:t>
          </w:r>
          <w:r>
            <w:rPr>
              <w:rFonts w:hint="eastAsia" w:ascii="Times New Roman" w:hAnsi="Times New Roman" w:eastAsia="方正楷体_GBK" w:cs="方正楷体_GBK"/>
              <w:color w:val="auto"/>
              <w:sz w:val="32"/>
              <w:szCs w:val="32"/>
              <w:highlight w:val="none"/>
            </w:rPr>
            <w:fldChar w:fldCharType="end"/>
          </w:r>
          <w:r>
            <w:rPr>
              <w:rFonts w:hint="eastAsia" w:ascii="Times New Roman" w:hAnsi="Times New Roman" w:eastAsia="方正楷体_GBK" w:cs="方正楷体_GBK"/>
              <w:color w:val="auto"/>
              <w:sz w:val="32"/>
              <w:szCs w:val="32"/>
              <w:highlight w:val="none"/>
            </w:rPr>
            <w:fldChar w:fldCharType="end"/>
          </w:r>
          <w:r/>
        </w:p>
        <w:p>
          <w:pPr>
            <w:spacing w:line="578" w:lineRule="atLeast"/>
            <w:widowControl/>
            <w:rPr>
              <w:rFonts w:hint="eastAsia" w:ascii="宋体" w:hAnsi="宋体" w:cs="宋体"/>
              <w:color w:val="auto"/>
              <w:szCs w:val="36"/>
              <w:highlight w:val="none"/>
            </w:rPr>
          </w:pPr>
          <w:r>
            <w:rPr>
              <w:rFonts w:hint="eastAsia" w:ascii="Times New Roman" w:hAnsi="Times New Roman" w:eastAsia="仿宋" w:cs="仿宋"/>
              <w:color w:val="auto"/>
              <w:sz w:val="32"/>
              <w:szCs w:val="32"/>
              <w:highlight w:val="none"/>
            </w:rPr>
            <w:fldChar w:fldCharType="end"/>
          </w:r>
          <w:r/>
        </w:p>
      </w:sdtContent>
    </w:sdt>
    <w:p>
      <w:pPr>
        <w:jc w:val="center"/>
        <w:spacing w:line="360" w:lineRule="auto"/>
        <w:rPr>
          <w:rFonts w:hint="eastAsia" w:ascii="宋体" w:hAnsi="宋体" w:cs="宋体"/>
          <w:b/>
          <w:color w:val="auto"/>
          <w:sz w:val="36"/>
          <w:highlight w:val="none"/>
          <w:lang w:val="zh-CN"/>
        </w:rPr>
        <w:outlineLvl w:val="0"/>
      </w:pPr>
      <w:r/>
      <w:bookmarkStart w:id="0" w:name="_Toc2422"/>
      <w:r>
        <w:rPr>
          <w:rFonts w:hint="eastAsia" w:ascii="宋体" w:hAnsi="宋体" w:cs="宋体"/>
          <w:b/>
          <w:color w:val="auto"/>
          <w:sz w:val="36"/>
          <w:highlight w:val="none"/>
          <w:lang w:val="zh-CN"/>
        </w:rPr>
        <w:t xml:space="preserve">第一章 投标邀请</w:t>
      </w:r>
      <w:bookmarkEnd w:id="0"/>
      <w:r/>
      <w:r/>
    </w:p>
    <w:p>
      <w:pPr>
        <w:ind w:firstLine="480"/>
        <w:jc w:val="left"/>
        <w:spacing w:line="360" w:lineRule="auto"/>
        <w:rPr>
          <w:rFonts w:hint="eastAsia" w:ascii="宋体" w:hAnsi="宋体" w:cs="宋体"/>
          <w:color w:val="auto"/>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highlight w:val="none"/>
        </w:rPr>
        <w:t xml:space="preserve">项目概况</w:t>
      </w:r>
      <w:r/>
    </w:p>
    <w:p>
      <w:pPr>
        <w:ind w:firstLine="480"/>
        <w:jc w:val="left"/>
        <w:spacing w:line="360" w:lineRule="auto"/>
        <w:rPr>
          <w:rFonts w:hint="eastAsia" w:ascii="宋体" w:hAnsi="宋体" w:cs="宋体"/>
          <w:color w:val="auto"/>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highlight w:val="none"/>
          <w:u w:val="single"/>
        </w:rPr>
        <w:t xml:space="preserve">南京市制造业新型技术改造城市试点全流程运营管理与综合赋能项目</w:t>
      </w:r>
      <w:r>
        <w:rPr>
          <w:rFonts w:hint="eastAsia" w:ascii="宋体" w:hAnsi="宋体" w:cs="宋体"/>
          <w:color w:val="auto"/>
          <w:sz w:val="24"/>
          <w:highlight w:val="none"/>
        </w:rPr>
        <w:t xml:space="preserve">招标项目的潜在投标人应在</w:t>
      </w:r>
      <w:r>
        <w:rPr>
          <w:rFonts w:hint="eastAsia" w:ascii="宋体" w:hAnsi="宋体" w:cs="宋体"/>
          <w:color w:val="auto"/>
          <w:sz w:val="24"/>
          <w:highlight w:val="none"/>
          <w:u w:val="single"/>
        </w:rPr>
        <w:t xml:space="preserve">江苏政府采购网</w:t>
      </w:r>
      <w:r>
        <w:rPr>
          <w:rFonts w:hint="eastAsia" w:ascii="宋体" w:hAnsi="宋体" w:cs="宋体"/>
          <w:color w:val="auto"/>
          <w:sz w:val="24"/>
          <w:highlight w:val="none"/>
        </w:rPr>
        <w:t xml:space="preserve">获取招标文件，并于</w:t>
      </w:r>
      <w:r>
        <w:rPr>
          <w:rFonts w:hint="eastAsia" w:ascii="宋体" w:hAnsi="宋体" w:cs="宋体"/>
          <w:color w:val="auto"/>
          <w:sz w:val="24"/>
          <w:highlight w:val="none"/>
          <w:u w:val="single"/>
        </w:rPr>
        <w:t xml:space="preserve">2026年</w:t>
      </w:r>
      <w:r>
        <w:rPr>
          <w:rFonts w:hint="eastAsia" w:ascii="宋体" w:hAnsi="宋体" w:cs="宋体"/>
          <w:color w:val="auto"/>
          <w:sz w:val="24"/>
          <w:highlight w:val="none"/>
          <w:u w:val="single"/>
          <w:lang w:val="en-US" w:eastAsia="zh-CN"/>
        </w:rPr>
        <w:t xml:space="preserve">11</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12</w:t>
      </w:r>
      <w:r>
        <w:rPr>
          <w:rFonts w:hint="eastAsia" w:ascii="宋体" w:hAnsi="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9</w:t>
      </w:r>
      <w:r>
        <w:rPr>
          <w:rFonts w:hint="eastAsia" w:ascii="宋体" w:hAnsi="宋体" w:cs="宋体"/>
          <w:color w:val="auto"/>
          <w:sz w:val="24"/>
          <w:highlight w:val="none"/>
          <w:u w:val="single"/>
        </w:rPr>
        <w:t xml:space="preserve">点</w:t>
      </w:r>
      <w:r>
        <w:rPr>
          <w:rFonts w:hint="eastAsia" w:ascii="宋体" w:hAnsi="宋体" w:cs="宋体"/>
          <w:color w:val="auto"/>
          <w:sz w:val="24"/>
          <w:highlight w:val="none"/>
          <w:u w:val="single"/>
          <w:lang w:val="en-US" w:eastAsia="zh-CN"/>
        </w:rPr>
        <w:t xml:space="preserve">30</w:t>
      </w:r>
      <w:r>
        <w:rPr>
          <w:rFonts w:hint="eastAsia" w:ascii="宋体" w:hAnsi="宋体" w:cs="宋体"/>
          <w:color w:val="auto"/>
          <w:sz w:val="24"/>
          <w:highlight w:val="none"/>
          <w:u w:val="single"/>
        </w:rPr>
        <w:t xml:space="preserve">分</w:t>
      </w:r>
      <w:r>
        <w:rPr>
          <w:rFonts w:hint="eastAsia" w:ascii="宋体" w:hAnsi="宋体" w:cs="宋体"/>
          <w:color w:val="auto"/>
          <w:sz w:val="24"/>
          <w:highlight w:val="none"/>
        </w:rPr>
        <w:t xml:space="preserve">（北京时间）前递交投标文件。</w:t>
      </w:r>
      <w:r/>
    </w:p>
    <w:p>
      <w:pPr>
        <w:jc w:val="left"/>
        <w:spacing w:line="336" w:lineRule="auto"/>
        <w:rPr>
          <w:rFonts w:hint="eastAsia" w:ascii="宋体" w:hAnsi="宋体" w:cs="宋体"/>
          <w:color w:val="auto"/>
          <w:sz w:val="24"/>
          <w:highlight w:val="none"/>
        </w:rPr>
        <w:outlineLvl w:val="1"/>
      </w:pPr>
      <w:r/>
      <w:bookmarkStart w:id="1" w:name="_Toc28359002"/>
      <w:r/>
      <w:bookmarkStart w:id="2" w:name="_Toc28359079"/>
      <w:r/>
      <w:bookmarkStart w:id="3" w:name="_Toc35393621"/>
      <w:r/>
      <w:bookmarkStart w:id="4" w:name="_Toc35393790"/>
      <w:r/>
      <w:bookmarkStart w:id="5" w:name="_Hlk24379207"/>
      <w:r>
        <w:rPr>
          <w:rFonts w:hint="eastAsia" w:ascii="宋体" w:hAnsi="宋体" w:cs="宋体"/>
          <w:color w:val="auto"/>
          <w:sz w:val="24"/>
          <w:highlight w:val="none"/>
        </w:rPr>
        <w:t xml:space="preserve">一、项目基本情况</w:t>
      </w:r>
      <w:bookmarkEnd w:id="1"/>
      <w:r/>
      <w:bookmarkEnd w:id="2"/>
      <w:r/>
      <w:bookmarkEnd w:id="3"/>
      <w:r/>
      <w:bookmarkEnd w:id="4"/>
      <w:r/>
      <w:r/>
    </w:p>
    <w:p>
      <w:pPr>
        <w:ind w:firstLine="480"/>
        <w:jc w:val="left"/>
        <w:spacing w:line="336" w:lineRule="auto"/>
        <w:rPr>
          <w:rFonts w:hint="eastAsia" w:ascii="宋体" w:hAnsi="宋体" w:cs="宋体"/>
          <w:color w:val="auto"/>
          <w:sz w:val="24"/>
          <w:highlight w:val="none"/>
        </w:rPr>
      </w:pPr>
      <w:r/>
      <w:bookmarkStart w:id="6" w:name="OLE_LINK2"/>
      <w:r>
        <w:rPr>
          <w:rFonts w:hint="eastAsia" w:ascii="宋体" w:hAnsi="宋体" w:cs="宋体"/>
          <w:color w:val="auto"/>
          <w:sz w:val="24"/>
          <w:highlight w:val="none"/>
        </w:rPr>
        <w:t xml:space="preserve">项目编号：JSZC-320100-SNZX-G2026-0179</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bookmarkEnd w:id="5"/>
      <w:r>
        <w:rPr>
          <w:rFonts w:hint="eastAsia" w:ascii="宋体" w:hAnsi="宋体" w:cs="宋体"/>
          <w:color w:val="auto"/>
          <w:sz w:val="24"/>
          <w:highlight w:val="none"/>
        </w:rPr>
        <w:t xml:space="preserve">南京市制造业新型技术改造城市试点全流程运营管理与综合赋能项目</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采购方式：公开招标</w:t>
      </w:r>
      <w:r/>
    </w:p>
    <w:p>
      <w:pPr>
        <w:ind w:firstLine="480"/>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预算金额：500万元</w:t>
      </w:r>
      <w:r/>
    </w:p>
    <w:p>
      <w:pPr>
        <w:ind w:firstLine="480"/>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最高限价：490万元，投标报价超过最高限价的为无效投标。</w:t>
      </w:r>
      <w:r/>
    </w:p>
    <w:p>
      <w:pPr>
        <w:ind w:firstLine="480"/>
        <w:spacing w:line="336" w:lineRule="auto"/>
        <w:rPr>
          <w:rFonts w:hint="eastAsia" w:ascii="宋体" w:hAnsi="宋体" w:cs="宋体"/>
          <w:color w:val="auto"/>
          <w:sz w:val="24"/>
          <w:highlight w:val="none"/>
        </w:rPr>
      </w:pPr>
      <w:r/>
      <w:bookmarkStart w:id="7" w:name="OLE_LINK3"/>
      <w:r>
        <w:rPr>
          <w:rFonts w:hint="eastAsia" w:ascii="宋体" w:hAnsi="宋体" w:cs="宋体"/>
          <w:color w:val="auto"/>
          <w:sz w:val="24"/>
          <w:highlight w:val="none"/>
        </w:rPr>
        <w:t xml:space="preserve">采购需求：制造业新型技术改造城市试点全流程运营管理与综合赋能，包括为试点工作组织实施提供专业支撑服务，开展新型技改政策体系研究咨询，为重点项目立项核验、变更处置、建设进度跟踪、评审验收等行政履职环节提供技术性、事务性辅助服务；开展分层分类赋能辅导活动组织，做好实操规范宣贯，引导更多市场主体实施新型技改；统筹策划全周期宣传方案，整合国家级主流媒体等渠道开展多元传播，放大国家级试点示范引领效应；独立开展第三方评估。具体详见采购文件。</w:t>
      </w:r>
      <w:bookmarkEnd w:id="7"/>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合同履行期限：自合同签订之日起至南京市新型技术改造城市试点完成验收。</w:t>
      </w:r>
      <w:r/>
    </w:p>
    <w:p>
      <w:pPr>
        <w:ind w:firstLine="480"/>
        <w:jc w:val="left"/>
        <w:spacing w:line="336" w:lineRule="auto"/>
        <w:rPr>
          <w:rFonts w:hint="eastAsia" w:ascii="宋体" w:hAnsi="宋体" w:cs="宋体"/>
          <w:color w:val="auto"/>
          <w:sz w:val="24"/>
          <w:highlight w:val="none"/>
        </w:rPr>
      </w:pPr>
      <w:r/>
      <w:bookmarkStart w:id="8" w:name="_Toc28359080"/>
      <w:r/>
      <w:bookmarkStart w:id="9" w:name="_Toc35393791"/>
      <w:r/>
      <w:bookmarkStart w:id="10" w:name="_Toc28359003"/>
      <w:r/>
      <w:bookmarkStart w:id="11" w:name="_Toc35393622"/>
      <w:r>
        <w:rPr>
          <w:rFonts w:hint="eastAsia" w:ascii="宋体" w:hAnsi="宋体" w:cs="宋体"/>
          <w:color w:val="auto"/>
          <w:sz w:val="24"/>
          <w:highlight w:val="none"/>
        </w:rPr>
        <w:t xml:space="preserve">本项目（是/否）接受联合体：否</w:t>
      </w:r>
      <w:bookmarkEnd w:id="6"/>
      <w:r/>
      <w:r/>
    </w:p>
    <w:p>
      <w:pPr>
        <w:jc w:val="left"/>
        <w:spacing w:line="336"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二、申请人的资格要求：</w:t>
      </w:r>
      <w:bookmarkEnd w:id="8"/>
      <w:r/>
      <w:bookmarkEnd w:id="9"/>
      <w:r/>
      <w:bookmarkEnd w:id="10"/>
      <w:r/>
      <w:bookmarkEnd w:id="11"/>
      <w:r/>
      <w:r/>
    </w:p>
    <w:p>
      <w:pPr>
        <w:ind w:firstLine="480"/>
        <w:jc w:val="left"/>
        <w:spacing w:line="336" w:lineRule="auto"/>
        <w:rPr>
          <w:rFonts w:hint="eastAsia" w:ascii="宋体" w:hAnsi="宋体" w:cs="宋体"/>
          <w:color w:val="auto"/>
          <w:sz w:val="24"/>
          <w:highlight w:val="none"/>
        </w:rPr>
      </w:pPr>
      <w:r/>
      <w:bookmarkStart w:id="12" w:name="_Toc28359081"/>
      <w:r/>
      <w:bookmarkStart w:id="13" w:name="_Toc28359004"/>
      <w:r>
        <w:rPr>
          <w:rFonts w:hint="eastAsia" w:ascii="宋体" w:hAnsi="宋体" w:cs="宋体"/>
          <w:color w:val="auto"/>
          <w:sz w:val="24"/>
          <w:highlight w:val="none"/>
        </w:rPr>
        <w:t xml:space="preserve">（一）满足《中华人民共和国政府采购法》第二十二条规定；</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1.具有独立承担民事责任的能力（提供法人或者其他组织的营业执照；供应商为自然人的，提供其身份证）；</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2.具有良好的商业信誉和健全的财务会计制度（提供评审前六个月内银行出具的资信证明，或评审前六个月内任意一个月的财务状况报告（至少包括资产负债表和利润表），或上一年度经审计的财务报告）；</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3.具有履行合同所必需的设备和专业技术能力（供应商根据履行采购项目合同需要，提供履行合同所必需的设备和专业技术能力的证明材料或声明）；</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不需要缴纳社会保障资金的应提供相应文件说明））；</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5.参加政府采购活动前三年内，在经营活动中没有重大违法记录（提供承诺书）；</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6.法律、行政法规规定的其他条件：无。</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7.注：①第5条所称重大违法记录，是指供应商因违法经营受到刑事处罚或者责令停产停业、吊销许可证或者执照、较大数额罚款等行政处罚。②供应商在参加政府采购活动前3年内因违法经营被禁止在一定期限内参加政府采购活动，期限届满的，可以参加政府采购活动。</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（如属于专门面向中小企业采购的项目，供应商应为中小微企业、监狱企业、残疾人福利性单位）本项目按照采用以下第</w:t>
      </w:r>
      <w:r>
        <w:rPr>
          <w:rFonts w:hint="eastAsia" w:ascii="宋体" w:hAnsi="宋体" w:cs="宋体"/>
          <w:color w:val="auto"/>
          <w:sz w:val="24"/>
          <w:highlight w:val="none"/>
          <w:u w:val="single"/>
        </w:rPr>
        <w:t xml:space="preserve">（4）</w:t>
      </w:r>
      <w:r>
        <w:rPr>
          <w:rFonts w:hint="eastAsia" w:ascii="宋体" w:hAnsi="宋体" w:cs="宋体"/>
          <w:color w:val="auto"/>
          <w:sz w:val="24"/>
          <w:highlight w:val="none"/>
        </w:rPr>
        <w:t xml:space="preserve">种方式落实政府采购促进中小企业发展的要求：</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（1）本项目整体专门面向中小企业采购服务。</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（2）本项目整体专门面向小微企业采购服务。</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（3）本项目通过以下第（）种方式预留部分采购份额采购中小企业服务：</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①本项目要求供应商以联合体形式参加，中小企业合同金额应当达到的比例为</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②本项目要求供应商进行合同分包，中小企业合同金额应当达到的比例为</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（4）本项目为非预留份额的采购项目或采购包，执行价格扣除优惠政策，具体详见第三章。</w:t>
      </w:r>
      <w:bookmarkEnd w:id="12"/>
      <w:r/>
      <w:bookmarkEnd w:id="13"/>
      <w:r/>
      <w:bookmarkStart w:id="14" w:name="_Toc35393624"/>
      <w:r/>
      <w:bookmarkStart w:id="15" w:name="_Toc28359005"/>
      <w:r/>
      <w:bookmarkStart w:id="16" w:name="_Toc35393793"/>
      <w:r/>
      <w:bookmarkStart w:id="17" w:name="_Toc28359082"/>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（三）本项目的特定资格要求：无。</w:t>
      </w:r>
      <w:r/>
    </w:p>
    <w:p>
      <w:pPr>
        <w:jc w:val="left"/>
        <w:spacing w:line="336"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三、获取采购文件</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18" w:name="OLE_LINK12"/>
      <w:r>
        <w:rPr>
          <w:rFonts w:hint="eastAsia" w:ascii="宋体" w:hAnsi="宋体" w:cs="宋体"/>
          <w:color w:val="auto"/>
          <w:sz w:val="24"/>
          <w:highlight w:val="none"/>
        </w:rPr>
        <w:t xml:space="preserve">.时间：</w:t>
      </w:r>
      <w:bookmarkEnd w:id="18"/>
      <w:r>
        <w:rPr>
          <w:rFonts w:hint="eastAsia" w:ascii="宋体" w:hAnsi="宋体" w:cs="宋体"/>
          <w:color w:val="auto"/>
          <w:sz w:val="24"/>
          <w:highlight w:val="none"/>
        </w:rPr>
        <w:t xml:space="preserve">自招标文件公告发布之日起5个工作日</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2.地点：江苏政府采购网</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3.方式：网上下载</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4.售价：0.00元。</w:t>
      </w:r>
      <w:bookmarkEnd w:id="14"/>
      <w:r/>
      <w:bookmarkEnd w:id="15"/>
      <w:r/>
      <w:bookmarkEnd w:id="16"/>
      <w:r/>
      <w:bookmarkEnd w:id="17"/>
      <w:r/>
      <w:r/>
    </w:p>
    <w:p>
      <w:pPr>
        <w:jc w:val="left"/>
        <w:spacing w:line="336" w:lineRule="auto"/>
        <w:rPr>
          <w:rFonts w:hint="eastAsia" w:ascii="宋体" w:hAnsi="宋体" w:cs="宋体"/>
          <w:color w:val="auto"/>
          <w:sz w:val="24"/>
          <w:highlight w:val="none"/>
        </w:rPr>
        <w:outlineLvl w:val="1"/>
      </w:pPr>
      <w:r/>
      <w:bookmarkStart w:id="19" w:name="_Toc35393794"/>
      <w:r/>
      <w:bookmarkStart w:id="20" w:name="_Toc28359084"/>
      <w:r/>
      <w:bookmarkStart w:id="21" w:name="_Toc28359007"/>
      <w:r/>
      <w:bookmarkStart w:id="22" w:name="_Toc35393625"/>
      <w:r>
        <w:rPr>
          <w:rFonts w:hint="eastAsia" w:ascii="宋体" w:hAnsi="宋体" w:cs="宋体"/>
          <w:color w:val="auto"/>
          <w:sz w:val="24"/>
          <w:highlight w:val="none"/>
        </w:rPr>
        <w:t xml:space="preserve">四、提交投标文件截止时间、开标时间和地点</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截止时间：2026-</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12 9</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shd w:val="clear" w:color="auto" w:fill="ffffff"/>
          <w:lang w:val="en-US" w:eastAsia="zh-CN"/>
        </w:rPr>
        <w:t xml:space="preserve">30</w:t>
      </w:r>
      <w:r>
        <w:rPr>
          <w:rFonts w:hint="eastAsia" w:ascii="宋体" w:hAnsi="宋体" w:cs="宋体"/>
          <w:color w:val="auto"/>
          <w:sz w:val="24"/>
          <w:highlight w:val="none"/>
        </w:rPr>
        <w:t xml:space="preserve">（北京时间）</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地点：“苏采云”网上开标大厅 </w:t>
      </w:r>
      <w:r/>
    </w:p>
    <w:p>
      <w:pPr>
        <w:jc w:val="left"/>
        <w:spacing w:line="336"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五、公告期限</w:t>
      </w:r>
      <w:bookmarkEnd w:id="19"/>
      <w:r/>
      <w:bookmarkEnd w:id="20"/>
      <w:r/>
      <w:bookmarkEnd w:id="21"/>
      <w:r/>
      <w:bookmarkEnd w:id="22"/>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jc w:val="left"/>
        <w:spacing w:line="336" w:lineRule="auto"/>
        <w:rPr>
          <w:rFonts w:hint="eastAsia" w:ascii="宋体" w:hAnsi="宋体" w:cs="宋体"/>
          <w:color w:val="auto"/>
          <w:sz w:val="24"/>
          <w:highlight w:val="none"/>
        </w:rPr>
        <w:outlineLvl w:val="1"/>
      </w:pPr>
      <w:r/>
      <w:bookmarkStart w:id="23" w:name="_Toc35393626"/>
      <w:r/>
      <w:bookmarkStart w:id="24" w:name="_Toc35393795"/>
      <w:r>
        <w:rPr>
          <w:rFonts w:hint="eastAsia" w:ascii="宋体" w:hAnsi="宋体" w:cs="宋体"/>
          <w:color w:val="auto"/>
          <w:sz w:val="24"/>
          <w:highlight w:val="none"/>
        </w:rPr>
        <w:t xml:space="preserve">六、其他补充事宜</w:t>
      </w:r>
      <w:bookmarkEnd w:id="23"/>
      <w:r/>
      <w:bookmarkEnd w:id="24"/>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1.本项目采购标的所属行业为：其他未列明行业。</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2.拒绝下述供应商参加本次采购活动：</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（1）供应商单位负责人为同一人或者存在直接控股、管理关系的不同供应商，不得参加同一合同项下的采购活动。</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（2）凡为采购项目提供整体设计、规范编制或者项目管理、监理、检测等服务的供应商，不得再参加本项目的采购活动。</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（3）拒绝列入失信被执行人、重大税收违法失信主体、政府采购严重违法失信行为记录名单中的供应商参加本项目的采购活动。</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3.集中考察或答疑：</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5.供应商如确定参加投标，可自行下载采购文件及有关资料，按照《操作手册》进行注册，领取CA和办理电子签章，并按《操作手册》要求制作、上传电子投标文件。</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6.根据省财政厅《关于更换</w:t>
      </w:r>
      <w:r>
        <w:rPr>
          <w:rFonts w:hint="eastAsia" w:ascii="宋体" w:hAnsi="宋体" w:cs="宋体"/>
          <w:color w:val="auto"/>
          <w:sz w:val="24"/>
          <w:highlight w:val="none"/>
        </w:rPr>
        <w:t xml:space="preserve">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 gov. cn/jiangsu/zlxz/ee/ee3a4bc5a3454aa2b0d9312230633ce9. html.</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领取CA和办理电子签章具体联系方式见《苏采云系统供应商操作手册》(以下简称《操作手册》))、进行注册并按《操作手册》要求制作、上传电子投标文件。</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7.公告媒体</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（1）本公告在江苏政府采购网（http：//www.ccgp-jiangsu.gov.cn/）及南京市工业和信息化局网站（https://gxj.nanjing.gov.cn/）公示发布，敬请各供应商关注；</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（2）若有关本次采购存在变动或修改，敬请各供应商及时关注江苏政府采购网（http：//www.ccgp-jiangsu.gov.cn/）及南京市工业和信息化局网站（https://gxj.nanjing.gov.cn/）发布的关于本项目的信息更正公告。</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8.采购项目需要落实的政府采购政策：</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（1）政府采购促进中小企业发展</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（2）政府采购支持监狱企业发展</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（3）政府采购促进残疾人就业</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（4）政府采购鼓励采购节能环保产品</w:t>
      </w:r>
      <w:bookmarkStart w:id="25" w:name="_Toc35393627"/>
      <w:r/>
      <w:bookmarkStart w:id="26" w:name="_Toc28359085"/>
      <w:r/>
      <w:bookmarkStart w:id="27" w:name="_Toc35393796"/>
      <w:r/>
      <w:bookmarkStart w:id="28" w:name="_Toc28359008"/>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9.</w:t>
      </w:r>
      <w:bookmarkStart w:id="29" w:name="OLE_LINK9"/>
      <w:r>
        <w:rPr>
          <w:rFonts w:hint="eastAsia" w:ascii="宋体" w:hAnsi="宋体" w:cs="宋体"/>
          <w:color w:val="auto"/>
          <w:sz w:val="24"/>
          <w:highlight w:val="none"/>
        </w:rPr>
        <w:t xml:space="preserve">根据《关于在政府采购活动中推行信用承诺制的通知》宁财购通(2021)5号规定，参加南京地区政府采购活动的供应商，应向采购人或政府采购代理机构作出信用承诺。</w:t>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在政府采购资格审查环节，供应商只需提供书面《南京市政府采购供应商信用记录表暨信用承诺书》，即可替代以下证明材料：</w:t>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（1）符合国家相关规定的财务状况报告；</w:t>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（2）依法缴纳税收的证明材料；</w:t>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（3）依法缴纳社会保障资金的证明材料；</w:t>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（4）具备履行政府采购合同所必需的设备和专业技术能力的证明材料；</w:t>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（5）参加政府采购活动前三年内在经营活动中没有重大违法记录的证明材料；</w:t>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（6）未被列入失信被执行人、重大税收违法失信主体、政府采购严重违法失信行为记录名单的证明材料。</w:t>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供应商在中标（成交）后，应上述由信用承诺书替代的证明材料（一式伍份），加盖公章胶装提交采购人或采购代理机构核验。经核验无误后，由采购人或采购代理机构发出中标（成交）通知书。</w:t>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供应商涉及以下情形的，不适用信用承诺，仍须提供上述证明材料：</w:t>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（1）供应商被列入严重失信主体名单；</w:t>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（2）被相关监管部门作出行政处罚且尚在处罚有效期内；</w:t>
      </w:r>
      <w:r/>
    </w:p>
    <w:p>
      <w:pPr>
        <w:ind w:firstLine="56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（3）其他法律、行政法规规定的不适用信用承诺的情形。</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供应商对信用承诺内容的真实性、合法性、有效性负责。如作出虚假信用承诺，视同为“提供虚假材料谋取中标、成交”的违法行为。</w:t>
      </w:r>
      <w:bookmarkEnd w:id="29"/>
      <w:r/>
      <w:r/>
    </w:p>
    <w:p>
      <w:pPr>
        <w:jc w:val="left"/>
        <w:spacing w:line="336"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七、对本次招标提出询问，请按以下方式联系。</w:t>
      </w:r>
      <w:bookmarkEnd w:id="25"/>
      <w:r/>
      <w:bookmarkEnd w:id="26"/>
      <w:r/>
      <w:bookmarkEnd w:id="27"/>
      <w:r/>
      <w:bookmarkEnd w:id="28"/>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36" w:lineRule="auto"/>
        <w:rPr>
          <w:rFonts w:hint="eastAsia" w:ascii="宋体" w:hAnsi="宋体" w:cs="宋体"/>
          <w:color w:val="auto"/>
          <w:sz w:val="24"/>
          <w:highlight w:val="none"/>
        </w:rPr>
      </w:pPr>
      <w:r/>
      <w:bookmarkStart w:id="30" w:name="_Toc28359009"/>
      <w:r/>
      <w:bookmarkStart w:id="31" w:name="_Toc28359086"/>
      <w:r>
        <w:rPr>
          <w:rFonts w:hint="eastAsia" w:ascii="宋体" w:hAnsi="宋体" w:cs="宋体"/>
          <w:color w:val="auto"/>
          <w:sz w:val="24"/>
          <w:highlight w:val="none"/>
        </w:rPr>
        <w:t xml:space="preserve">单位名称：南京市工业和信息化局</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单位地址：南京市建邺区江东中路265号新城大厦B座17楼  </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联系人：朱老师</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联系电话：025-68788930</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bookmarkEnd w:id="30"/>
      <w:r/>
      <w:bookmarkEnd w:id="31"/>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单位名称：南京苏宁工程咨询有限公司</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单位地址：南京市鼓楼区中山路99号12楼</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w:t>
      </w:r>
      <w:bookmarkStart w:id="32" w:name="_Toc28359010"/>
      <w:r/>
      <w:bookmarkStart w:id="33" w:name="_Toc28359087"/>
      <w:r>
        <w:rPr>
          <w:rFonts w:hint="eastAsia" w:ascii="宋体" w:hAnsi="宋体" w:cs="宋体"/>
          <w:color w:val="auto"/>
          <w:sz w:val="24"/>
          <w:highlight w:val="none"/>
        </w:rPr>
        <w:t xml:space="preserve">李佳蓉</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联系电话：025-84200809</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bookmarkEnd w:id="32"/>
      <w:r/>
      <w:bookmarkEnd w:id="33"/>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项目联系人：李佳蓉</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联系电话：025-84200809</w:t>
      </w:r>
      <w:r/>
    </w:p>
    <w:p>
      <w:pPr>
        <w:ind w:firstLine="482"/>
        <w:jc w:val="left"/>
        <w:spacing w:line="336"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rPr>
          <w:rFonts w:hint="eastAsia" w:ascii="宋体" w:hAnsi="宋体" w:cs="宋体"/>
          <w:color w:val="auto"/>
          <w:sz w:val="24"/>
          <w:highlight w:val="none"/>
          <w:lang w:val="zh-CN"/>
        </w:rPr>
        <w:sectPr>
          <w:footnotePr/>
          <w:endnotePr>
            <w:numFmt w:val="decimal"/>
          </w:endnotePr>
          <w:type w:val="nextPage"/>
          <w:pgSz w:w="11906" w:h="16838" w:orient="portrait"/>
          <w:pgMar w:top="850" w:right="850" w:bottom="850" w:left="1417" w:header="340" w:footer="567" w:gutter="0"/>
          <w:cols w:num="1" w:sep="0" w:space="1701" w:equalWidth="1"/>
          <w:docGrid w:linePitch="360"/>
        </w:sectPr>
      </w:pPr>
      <w:r>
        <w:rPr>
          <w:rFonts w:hint="eastAsia" w:ascii="宋体" w:hAnsi="宋体" w:cs="宋体"/>
          <w:color w:val="auto"/>
          <w:sz w:val="24"/>
          <w:highlight w:val="none"/>
          <w:lang w:val="zh-CN"/>
        </w:rPr>
      </w:r>
      <w:r/>
    </w:p>
    <w:p>
      <w:pPr>
        <w:jc w:val="center"/>
        <w:spacing w:line="360" w:lineRule="auto"/>
        <w:rPr>
          <w:rFonts w:hint="eastAsia" w:ascii="宋体" w:hAnsi="宋体" w:cs="宋体"/>
          <w:b/>
          <w:color w:val="auto"/>
          <w:sz w:val="36"/>
          <w:highlight w:val="none"/>
          <w:lang w:val="zh-CN"/>
        </w:rPr>
        <w:outlineLvl w:val="0"/>
      </w:pPr>
      <w:r/>
      <w:bookmarkStart w:id="34" w:name="_Toc1110"/>
      <w:r>
        <w:rPr>
          <w:rFonts w:hint="eastAsia" w:ascii="宋体" w:hAnsi="宋体" w:cs="宋体"/>
          <w:b/>
          <w:color w:val="auto"/>
          <w:sz w:val="36"/>
          <w:highlight w:val="none"/>
          <w:lang w:val="zh-CN"/>
        </w:rPr>
        <w:t xml:space="preserve">第二章  投标人须知</w:t>
      </w:r>
      <w:bookmarkEnd w:id="34"/>
      <w:r/>
      <w:r/>
    </w:p>
    <w:p>
      <w:pPr>
        <w:ind w:firstLine="420"/>
        <w:rPr>
          <w:rFonts w:ascii="宋体"/>
          <w:b/>
          <w:bCs/>
          <w:color w:val="auto"/>
          <w:sz w:val="24"/>
          <w:highlight w:val="none"/>
          <w:lang w:val="zh-CN"/>
        </w:rPr>
        <w:outlineLvl w:val="1"/>
      </w:pPr>
      <w:r>
        <w:rPr>
          <w:rFonts w:hint="eastAsia" w:ascii="宋体"/>
          <w:b/>
          <w:bCs/>
          <w:color w:val="auto"/>
          <w:sz w:val="24"/>
          <w:highlight w:val="none"/>
          <w:lang w:val="zh-CN"/>
        </w:rPr>
        <w:t xml:space="preserve">一、总则</w:t>
      </w:r>
      <w:r/>
    </w:p>
    <w:p>
      <w:pPr>
        <w:ind w:firstLine="420"/>
        <w:rPr>
          <w:rFonts w:ascii="宋体"/>
          <w:b/>
          <w:color w:val="auto"/>
          <w:sz w:val="24"/>
          <w:highlight w:val="none"/>
          <w:lang w:val="zh-CN"/>
        </w:rPr>
      </w:pPr>
      <w:r>
        <w:rPr>
          <w:rFonts w:ascii="宋体"/>
          <w:b/>
          <w:color w:val="auto"/>
          <w:sz w:val="24"/>
          <w:highlight w:val="none"/>
          <w:lang w:val="zh-CN"/>
        </w:rPr>
        <w:t xml:space="preserve">1</w:t>
      </w:r>
      <w:r>
        <w:rPr>
          <w:rFonts w:hint="eastAsia" w:ascii="宋体"/>
          <w:b/>
          <w:color w:val="auto"/>
          <w:sz w:val="24"/>
          <w:highlight w:val="none"/>
          <w:lang w:val="zh-CN"/>
        </w:rPr>
        <w:t xml:space="preserve">、适用法律</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1.1 《中华人民共和国政府采购法》、《中华人民共和国政府采购法实施条例》、《政府采购货物和服务招标投标管理办法》等有关法律、规章和规定等。</w:t>
      </w:r>
      <w:r/>
    </w:p>
    <w:p>
      <w:pPr>
        <w:ind w:firstLine="420"/>
        <w:rPr>
          <w:rFonts w:ascii="宋体"/>
          <w:b/>
          <w:color w:val="auto"/>
          <w:sz w:val="24"/>
          <w:highlight w:val="none"/>
          <w:lang w:val="zh-CN"/>
        </w:rPr>
      </w:pPr>
      <w:r>
        <w:rPr>
          <w:rFonts w:ascii="宋体"/>
          <w:b/>
          <w:color w:val="auto"/>
          <w:sz w:val="24"/>
          <w:highlight w:val="none"/>
          <w:lang w:val="zh-CN"/>
        </w:rPr>
        <w:t xml:space="preserve">2</w:t>
      </w:r>
      <w:r>
        <w:rPr>
          <w:rFonts w:hint="eastAsia" w:ascii="宋体"/>
          <w:b/>
          <w:color w:val="auto"/>
          <w:sz w:val="24"/>
          <w:highlight w:val="none"/>
          <w:lang w:val="zh-CN"/>
        </w:rPr>
        <w:t xml:space="preserve">、定义</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 “供应商”、“投标人”是指参加投标竞争，并符合招标文件规定资格条件的法人、其他组织或者自然人。</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2.2 “产品”指本招标文件中所述产品及相关服务。</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2.3 “用户或使用单位”是指使用货物、服务的单位。</w:t>
      </w:r>
      <w:r/>
    </w:p>
    <w:p>
      <w:pPr>
        <w:ind w:firstLine="420"/>
        <w:rPr>
          <w:rFonts w:hint="eastAsia" w:ascii="宋体" w:hAnsi="宋体"/>
          <w:b/>
          <w:color w:val="auto"/>
          <w:sz w:val="24"/>
          <w:highlight w:val="none"/>
          <w:lang w:val="zh-CN"/>
        </w:rPr>
      </w:pPr>
      <w:r>
        <w:rPr>
          <w:rFonts w:hint="eastAsia" w:ascii="宋体" w:hAnsi="宋体"/>
          <w:b/>
          <w:color w:val="auto"/>
          <w:sz w:val="24"/>
          <w:highlight w:val="none"/>
          <w:lang w:val="zh-CN"/>
        </w:rPr>
        <w:t xml:space="preserve">3、政策功能</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3.1 政府采购促进中小企业发展，在政府采购活动中，供应商提供的货物、工程或者服务</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符合下列情形的，享受中小企业扶持政策：</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（1）在货物采购项目中，货物由中小企业制造，即货物由中小企业生产且使用该中小企业商号或者注册商标；</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（2）在工程采购项目中，工程由中小企业承建，即工程施工单位为中小企业；</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（3）在服务采购项目中，服务由中小企业承接，即提供服务的人员为中小企业依照《中华人民共和国劳动合同法》订立劳动合同的从业人员。</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在货物采购项目中，供应商提供的货物既有中小企业制造货物，也有大型企业制造货物的，不享受中小企业扶持政策。</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3.6 提供的产品属于政府强制采购节能产品的，供应商应当选择依据国家标准中二级能效（水效）指标认证的节能产品投标，并提供有效的节能产品认证证书复印件。</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3.7 提供的产品属于环境标志产品的，供应商应当选择依据相关标准的最新版本认证的环境标志产品投标，并提供有效的环境标志产品认证证书复印件。</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3.8未按要求提供相关材料的，不享受相关政策。</w:t>
      </w:r>
      <w:r/>
    </w:p>
    <w:p>
      <w:pPr>
        <w:ind w:left="479"/>
        <w:rPr>
          <w:rFonts w:hint="eastAsia" w:ascii="宋体" w:hAnsi="宋体"/>
          <w:b/>
          <w:color w:val="auto"/>
          <w:sz w:val="24"/>
          <w:highlight w:val="none"/>
        </w:rPr>
      </w:pPr>
      <w:r>
        <w:rPr>
          <w:rFonts w:hint="eastAsia" w:ascii="宋体" w:hAnsi="宋体"/>
          <w:b/>
          <w:color w:val="auto"/>
          <w:sz w:val="24"/>
          <w:highlight w:val="none"/>
        </w:rPr>
        <w:t xml:space="preserve">二、招标文件</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4.招标文件组成</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4.2 招标的最小单位是包。招标服务数量及技术要求中未分包的，供应商对要求提供的服务不得部分投标；招标服务数量及技术要求中已经分包的，应当以包为单位投标。</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4.3 招标文件如果要求供应商提交备选投标方案的，供应商可以提交备选方案，否则，不接受备选方案。</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5.招标文件的澄清修改</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5.1 任何要求对招标文件进行澄清的投标人，应在投标截止期十日前按招标公告中的通讯地址，以书面形式通知代理机构；</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5.3 代理机构在招标文件要求提交投标文件截止时间前，有权决定延长投标截止时间和开标时间，并在原采购信息发布媒体上发布变更公告。</w:t>
      </w:r>
      <w:r/>
    </w:p>
    <w:p>
      <w:pPr>
        <w:ind w:firstLine="480"/>
        <w:jc w:val="left"/>
        <w:spacing w:line="336" w:lineRule="auto"/>
        <w:rPr>
          <w:rFonts w:hint="eastAsia" w:ascii="宋体" w:hAnsi="宋体"/>
          <w:bCs/>
          <w:color w:val="auto"/>
          <w:sz w:val="24"/>
          <w:highlight w:val="none"/>
        </w:rPr>
      </w:pPr>
      <w:r>
        <w:rPr>
          <w:rFonts w:hint="eastAsia" w:ascii="宋体" w:hAnsi="宋体" w:cs="宋体"/>
          <w:color w:val="auto"/>
          <w:sz w:val="24"/>
          <w:highlight w:val="none"/>
          <w:lang w:val="zh-CN"/>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rPr>
          <w:rFonts w:hint="eastAsia" w:ascii="宋体" w:hAnsi="宋体"/>
          <w:bCs/>
          <w:color w:val="auto"/>
          <w:sz w:val="24"/>
          <w:highlight w:val="none"/>
        </w:rPr>
        <w:outlineLvl w:val="1"/>
      </w:pPr>
      <w:r>
        <w:rPr>
          <w:rFonts w:hint="eastAsia" w:ascii="宋体" w:hAnsi="宋体"/>
          <w:b/>
          <w:color w:val="auto"/>
          <w:sz w:val="24"/>
          <w:highlight w:val="none"/>
        </w:rPr>
        <w:t xml:space="preserve">三、投标</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6.投标文件的语言、计量单位、货币、技术标准和编制</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6.2 供应商所使用的计量单位应为国家法定计量单位。</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6.3 供应商应用人民币报价。</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6.4 如标书制作工具中格式和内容与“江苏政府采购网”发布的招标文件不一致，以“江苏政府采购网”发布的招标文件为准。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6.5 供应商应在投标文件中写清相应的项目编号、项目名称、供应商全称、地址、电话、传真等。</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6.6 供应商所使用的技术标准应遵循国家最新标准及规范。</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7.联合体及分包：本项目不接受联合体投标。</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7.1 采购项目如接受联合体投标的，两个以上的自然人、法人或者其他组织可以组成一个联合体，以一个供应商的身份共同参加投标。</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7.4 享受中小企业扶持政策获得政府采购合同的，小微企业不得将合同分包给大中型企业，中型企业不得将合同分包给大型企业。</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8.投标费用</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8.1 供应商应承担所有与准备和参加投标有关的费用，无论采购结果如何，代理机构和采购人在任何情况下均无义务和责任承担这些费用。</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8.2 本次招标，</w:t>
      </w:r>
      <w:r>
        <w:rPr>
          <w:rFonts w:hint="eastAsia" w:ascii="宋体" w:hAnsi="宋体" w:cs="宋体"/>
          <w:color w:val="auto"/>
          <w:sz w:val="24"/>
          <w:highlight w:val="none"/>
        </w:rPr>
        <w:t xml:space="preserve">采购</w:t>
      </w:r>
      <w:r>
        <w:rPr>
          <w:rFonts w:hint="eastAsia" w:ascii="宋体" w:hAnsi="宋体" w:cs="宋体"/>
          <w:color w:val="auto"/>
          <w:sz w:val="24"/>
          <w:highlight w:val="none"/>
          <w:lang w:val="zh-CN"/>
        </w:rPr>
        <w:t xml:space="preserve">人按苏招协【2022】002号文的80%，向招标代理机构支付招标服务费。</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9.投标文件组成</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9.1 投标人编写的投标文件应包括资格证明文件、符合性证明文件、投标分项报价表、响应及偏离表、其他证明文件、投标函、开标一览表等部分。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9.2 供应商应当根据招标文件要求编制投标文件，投标文件应对招标文件提出的要求和条件作出实质性响应，并在《商务条款偏离表》、《技术条款偏离表》和《资格性响应对照表》等处逐条标明满足与否。</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10.投标文件的商务部分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10.1 商务部分是证明供应商有资格参加投标和中标后有能力履行合同的文件，这些文件应能满足招标的要求，包括但不限于下列文件，其中加“★”项目不得有缺失或无效：</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（1）★投标函（投标申请及声明）；</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（2）★法定代表人授权委托书及授权委托人的身份证复印件（有授权委托的），或法定代表人身份证复印件（无授权委托的）；</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（3）★第一章投标邀请中二、申请人的资格要求：（一）《中华人民共和国政府采购法》规定的资格条件证明文件；</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（4）★第一章投标邀请中二、申请人的资格要求：（三）本项目的特定资格要求；</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）★分项报价表</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）《南京市政府采购供应商信用记录表暨信用承诺书》；</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）《商务条款偏离表》；</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）合同条款；</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）供应商认为需要提供的其他资格证明文件和商务资料。</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11.投标文件的技术部分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11.1 技术部分是证明供应商提供的服务是合格的、并符合招标文件要求的证明文件，以及对投标报价表中的服务的详细说明，这些文件可以是文字资料、图纸和数据等。</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11.2 若提供的服务与招标文件要求有不符之处，应说明其差别之所在。</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11.3 投标文件应按照招标文件要求提供服务说明，技术资料、文件和有关证明，包括但不限于以下材料，其中加“★”项目不得有缺失或无效：</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（1）★服务内容的详细说明；</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（2）《技术条款偏离表》；</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（3）项目实施、集成、实施方案；</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）供应商认为需要提供的其他技术资料。</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12.投标文件的价格部分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12.1 价格部分是对投标服务价格构成的说明，每一项服务仅接受一个价格。投标人应按照招标文件规定格式填报投标分项报价表。</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12.2 报价应包含完成本服务项目发生的所有含税费用、支付给员工的工资和国家强制缴纳的各种社会保障资金，以及供应商认为需要的其他费用等。</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12.3 供应商的任何错漏、优惠、竞争性报价不得作为减轻责任、减少服务、增加收费、降低质量的理由。</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12.4 供应商应在《开标一览表》《分项报价表》等标明提供服务的单价、总价以及分项报价。供应商系小微企业（含小型、微型企业）、残疾人福利性单位、监狱企业，并提供本企业承担的服务的，供应商应当如实申报,否则评标委员会有权取消其小微企业、残疾人福利性单位、监狱企业优惠政策。</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12.5 《开标一览表》须加盖电子公章。</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12.6评审中出现下列情形之一的，评审委员会应当启动异常低价投标（响应）审查程序：</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（3）投标（响应）报价低于采购项目最高限价45%的，即投标（响应）报价&lt;采购项目最高限价×45%；</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12.7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13.投标文件的其他部分</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供应商编制投标文件需要提供的其他相关文件。</w:t>
      </w:r>
      <w:r/>
    </w:p>
    <w:p>
      <w:pPr>
        <w:ind w:firstLine="482"/>
        <w:rPr>
          <w:rFonts w:hint="eastAsia" w:ascii="宋体" w:hAnsi="宋体"/>
          <w:b/>
          <w:color w:val="auto"/>
          <w:sz w:val="24"/>
          <w:highlight w:val="none"/>
        </w:rPr>
      </w:pPr>
      <w:r>
        <w:rPr>
          <w:rFonts w:hint="eastAsia" w:ascii="宋体" w:hAnsi="宋体"/>
          <w:b/>
          <w:color w:val="auto"/>
          <w:sz w:val="24"/>
          <w:highlight w:val="none"/>
        </w:rPr>
        <w:t xml:space="preserve">14.投标保证金：无。</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15.投标有效期</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15.1 自开标之日起六十日内投标有效。</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16.投标文件的签署</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16.3 除供应商对错处做必要修改外，投标文件不得行间插字、涂改或增删。如有修改错漏处，必须由投标文件签署人签字或加盖电子公章。</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17.投标文件的递交</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17.1 投标人应当按照《操作手册》规定，在招标公告规定的投标截止时间前制作并上传电子投标文件。</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17.3 代理机构有权通过修改招标文件酌情延长投标截止时间，在此情况下，投标人的所有权利和义务均以延长后新的截止时间为准。</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18.有下列情形之一的投标文件将被拒收</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18.1 在招标文件要求提交投标文件的截止时间之后上传的。</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19.投标文件的修改和撤回</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 投标文件的修改</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.1投标人可在投标截止时间前对其电子投标文件进行修改，具体操作方法见《操作手册》。</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.2投标截止时间之后，投标人不得对其电子投标文件作任何修改。</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19.2 投标文件的撤回</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19.2.1  投标人可在投标截止时间前撤回其电子投标文件，具体操作方法见《操作手册》。</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19.2.2 投标人撤回电子投标文件，则认为其不再参与本项目投标活动。</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3 在投标截止时间至招标文件中规定的投标有效期满之间的这段时间内，投标人不得撤回其投标。</w:t>
      </w:r>
      <w:bookmarkStart w:id="35" w:name="_Toc16938545"/>
      <w:r/>
      <w:bookmarkEnd w:id="35"/>
      <w:r/>
      <w:bookmarkStart w:id="36" w:name="_Toc120614218"/>
      <w:r/>
      <w:bookmarkEnd w:id="36"/>
      <w:r/>
      <w:bookmarkStart w:id="37" w:name="_Toc513029229"/>
      <w:r/>
      <w:bookmarkEnd w:id="37"/>
      <w:r/>
      <w:bookmarkStart w:id="38" w:name="_Toc20823301"/>
      <w:r/>
      <w:bookmarkEnd w:id="38"/>
      <w:r/>
      <w:r/>
    </w:p>
    <w:p>
      <w:pPr>
        <w:ind w:firstLine="482"/>
        <w:rPr>
          <w:rFonts w:hint="eastAsia" w:ascii="宋体" w:hAnsi="宋体"/>
          <w:bCs/>
          <w:color w:val="auto"/>
          <w:sz w:val="24"/>
          <w:highlight w:val="none"/>
        </w:rPr>
        <w:outlineLvl w:val="1"/>
      </w:pPr>
      <w:r>
        <w:rPr>
          <w:rFonts w:hint="eastAsia" w:ascii="宋体" w:hAnsi="宋体"/>
          <w:b/>
          <w:color w:val="auto"/>
          <w:sz w:val="24"/>
          <w:highlight w:val="none"/>
        </w:rPr>
        <w:t xml:space="preserve">四、开标、评标与确定中标供应商</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20.开标</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20.2 投标人在开标过程中涉及到的投标文件解密、开标结果确认等工作，应按照《操作手册》规定执行。</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20.3 投标人如果对开标过程和开标结果有疑义，应当根据《操作手册》规定提出，苏采云系统中《开标记录表》公布后5分钟内未提出的，视同认可开标结果。</w:t>
      </w:r>
      <w:r/>
    </w:p>
    <w:p>
      <w:pPr>
        <w:ind w:firstLine="420"/>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21.评标</w:t>
      </w:r>
      <w:r/>
    </w:p>
    <w:p>
      <w:pPr>
        <w:ind w:firstLine="482"/>
        <w:rPr>
          <w:rFonts w:hint="eastAsia" w:ascii="宋体" w:hAnsi="宋体" w:cs="宋体"/>
          <w:b/>
          <w:bCs/>
          <w:color w:val="auto"/>
          <w:sz w:val="24"/>
          <w:highlight w:val="none"/>
          <w:lang w:val="zh-CN"/>
        </w:rPr>
      </w:pPr>
      <w:r>
        <w:rPr>
          <w:rFonts w:hint="eastAsia" w:ascii="宋体" w:hAnsi="宋体" w:cs="宋体"/>
          <w:b/>
          <w:color w:val="auto"/>
          <w:sz w:val="24"/>
          <w:highlight w:val="none"/>
          <w:lang w:val="zh-CN"/>
        </w:rPr>
        <w:t xml:space="preserve">21.1</w:t>
      </w:r>
      <w:r>
        <w:rPr>
          <w:rFonts w:hint="eastAsia" w:ascii="宋体" w:hAnsi="宋体" w:cs="宋体"/>
          <w:b/>
          <w:bCs/>
          <w:color w:val="auto"/>
          <w:sz w:val="24"/>
          <w:highlight w:val="none"/>
          <w:lang w:val="zh-CN"/>
        </w:rPr>
        <w:t xml:space="preserve"> 评标组织</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auto"/>
          <w:sz w:val="24"/>
          <w:highlight w:val="none"/>
        </w:rPr>
        <w:t xml:space="preserve">下列职责：</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（2）要求供应商对投标文件有关事项作出澄清或者说明；</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（4）推荐中标候选人或根据采购人委托直接确定中标供应商；</w:t>
      </w:r>
      <w:r/>
    </w:p>
    <w:p>
      <w:pPr>
        <w:ind w:firstLine="480"/>
        <w:jc w:val="left"/>
        <w:spacing w:line="336" w:lineRule="auto"/>
        <w:rPr>
          <w:rFonts w:hint="eastAsia" w:ascii="宋体" w:hAnsi="宋体" w:cs="宋体"/>
          <w:color w:val="auto"/>
          <w:sz w:val="24"/>
          <w:highlight w:val="none"/>
        </w:rPr>
      </w:pPr>
      <w:r>
        <w:rPr>
          <w:rFonts w:hint="eastAsia" w:ascii="宋体" w:hAnsi="宋体" w:cs="宋体"/>
          <w:color w:val="auto"/>
          <w:sz w:val="24"/>
          <w:highlight w:val="none"/>
        </w:rPr>
        <w:t xml:space="preserve">（5）向采购人、财政部门报告评标中发现的违法行为。</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21.1.2 评标委员会由采购人代表和有关技术、经济等方面的专家组成，独立开展评审工作。</w:t>
      </w:r>
      <w:r/>
    </w:p>
    <w:p>
      <w:pPr>
        <w:ind w:firstLine="420"/>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21.2 评标程序</w:t>
      </w:r>
      <w:r/>
    </w:p>
    <w:p>
      <w:pPr>
        <w:ind w:firstLine="420"/>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21.2.1 投标文件的资格审查</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21.2.1.1采购人代表依法对供应商的资格进行审查。</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21.2.1.2采购人代表依据法律法规和招标文件的规定，对投标文件中的资格证明文件、南京市政府采购供应商信用记录表暨信用承诺书等进行审查，以确定投标供应商是否具备投标资格。</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widowControl/>
        <w:rPr>
          <w:rFonts w:hint="eastAsia" w:ascii="宋体" w:hAnsi="宋体" w:cs="宋体"/>
          <w:color w:val="auto"/>
          <w:sz w:val="24"/>
          <w:highlight w:val="none"/>
          <w:lang w:val="zh-CN"/>
        </w:rPr>
      </w:pPr>
      <w:r>
        <w:rPr>
          <w:rFonts w:hint="eastAsia" w:ascii="宋体" w:hAnsi="宋体" w:cs="宋体"/>
          <w:b/>
          <w:color w:val="auto"/>
          <w:sz w:val="24"/>
          <w:highlight w:val="none"/>
          <w:lang w:val="zh-CN"/>
        </w:rPr>
        <w:t xml:space="preserve">21.2.1.4投标文件有下列情况之一的，在资格性审查时按照无效投标处理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（1）不具备招标文件规定资格条件的； </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2"/>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21.2.2 投标文件的符合性审查</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21.2.2.2 实质性要求是指本招标文件中带“★”的商务和技术要求。</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21.2.2.3 如果投标文件实质上没有响应招标文件的要求，评标委员会将予以拒绝，供应商不得通过修改或撤销不合要求的偏离而使其投标成为实质性响应的投标。</w:t>
      </w:r>
      <w:r/>
    </w:p>
    <w:p>
      <w:pPr>
        <w:ind w:firstLine="482"/>
        <w:rPr>
          <w:rFonts w:hint="eastAsia" w:ascii="宋体" w:hAnsi="宋体" w:cs="宋体"/>
          <w:b/>
          <w:color w:val="auto"/>
          <w:sz w:val="24"/>
          <w:highlight w:val="none"/>
          <w:lang w:val="zh-CN"/>
        </w:rPr>
      </w:pPr>
      <w:r>
        <w:rPr>
          <w:rFonts w:hint="eastAsia" w:ascii="宋体" w:hAnsi="宋体" w:cs="宋体"/>
          <w:b/>
          <w:bCs/>
          <w:color w:val="auto"/>
          <w:sz w:val="24"/>
          <w:highlight w:val="none"/>
        </w:rPr>
        <w:t xml:space="preserve">21.2.2.4 </w:t>
      </w:r>
      <w:r>
        <w:rPr>
          <w:rFonts w:hint="eastAsia" w:ascii="宋体" w:hAnsi="宋体" w:cs="宋体"/>
          <w:b/>
          <w:color w:val="auto"/>
          <w:sz w:val="24"/>
          <w:highlight w:val="none"/>
          <w:lang w:val="zh-CN"/>
        </w:rPr>
        <w:t xml:space="preserve">投标文件有下列情况之一的，在符合性审查时按照无效投标处理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（1）未按招标文件规定签署、盖章的；</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（2）没有《开标一览表》或《开标一览表》未按招标文件要求盖章的；</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（3）投标总价超出采购预算金额或者最高限价的；</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（4）不同供应商的投标文件由同一单位或者个人编制；</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（5）不同供应商委托同一单位或者个人办理投标事宜；</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（6）不同供应商的投标文件载明的项目管理成员或者联系人员为同一人；</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（7）不同供应商的投标文件异常一致或者投标报价呈规律性差异；</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（8）不同供应商的投标文件相互混装；</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）不同供应商的负责人为同一人或者存在控股、管理关系的；</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0</w:t>
      </w:r>
      <w:r>
        <w:rPr>
          <w:rFonts w:hint="eastAsia" w:ascii="宋体" w:hAnsi="宋体" w:cs="宋体"/>
          <w:color w:val="auto"/>
          <w:sz w:val="24"/>
          <w:highlight w:val="none"/>
          <w:lang w:val="zh-CN"/>
        </w:rPr>
        <w:t xml:space="preserve">）不同供应商的委托代理人（或法定代表人、项目经理、项目总监、项目负责人等）在招标文件发布日上月至投标截止日当月在同一单位缴纳社会保险的；</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）属于投标邀请中拒绝参加本次采购活动供应商的；</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）投标文件含有采购人不能接受的附加条件的；</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w:t>
      </w:r>
      <w:bookmarkStart w:id="39" w:name="OLE_LINK1"/>
      <w:r>
        <w:rPr>
          <w:rFonts w:hint="eastAsia" w:ascii="宋体" w:hAnsi="宋体" w:cs="宋体"/>
          <w:color w:val="auto"/>
          <w:sz w:val="24"/>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39"/>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）投标人在苏采云系统规定的时间内未成功解密电子投标文件。</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）投标人未按照招标文件要求上传电子投标文件。</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）同一投标人提交两个（含两个）以上不同的投标报价。</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17</w:t>
      </w:r>
      <w:r>
        <w:rPr>
          <w:rFonts w:hint="eastAsia" w:ascii="宋体" w:hAnsi="宋体" w:cs="宋体"/>
          <w:color w:val="auto"/>
          <w:sz w:val="24"/>
          <w:highlight w:val="none"/>
          <w:lang w:val="zh-CN"/>
        </w:rPr>
        <w:t xml:space="preserve">）采购产品被财政部、国家发改委、生态环境部等列入“节能产品品目清单”强制采购范围，而投标人提供的产品不在强制采购范围内。</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未通过资格审查或符合性审查的投标人，代理机构将通过苏采云系统告知其具体原因，评标结束后不再接受有关询问。</w:t>
      </w:r>
      <w:r/>
    </w:p>
    <w:p>
      <w:pPr>
        <w:ind w:firstLine="482"/>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21.2.</w:t>
      </w:r>
      <w:r>
        <w:rPr>
          <w:rFonts w:hint="eastAsia" w:ascii="宋体" w:hAnsi="宋体" w:cs="宋体"/>
          <w:b/>
          <w:color w:val="auto"/>
          <w:sz w:val="24"/>
          <w:highlight w:val="none"/>
        </w:rPr>
        <w:t xml:space="preserve">2.5 </w:t>
      </w:r>
      <w:r>
        <w:rPr>
          <w:rFonts w:ascii="宋体" w:hAnsi="宋体" w:cs="宋体"/>
          <w:b/>
          <w:color w:val="auto"/>
          <w:sz w:val="24"/>
          <w:highlight w:val="none"/>
          <w:lang w:val="zh-CN"/>
        </w:rPr>
        <w:t xml:space="preserve">终止本次采购活动/重新招标的情形</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21.2.2.5.1 符合资格条件的供应商或者对招标文件作实质响应的供应商不足三家。</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21.2.2.5.2 出现影响采购公正的违法、违规行为。</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21.2.2.5.3 因重大变故采购任务取消。</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21.2.2.5.4 评委会认定招标文件存在歧义、重大缺陷导致评审工作无法进行。</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21.2.2.5.5 预留份额的采购项目或采购包，通过发布公告方式邀请供应商后，符合资格条件的中小企业数量不足3家的。</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21.2.2.5.6 因苏采云系统故障造成开标不成功。</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21.2.2.5.7 </w:t>
      </w:r>
      <w:r>
        <w:rPr>
          <w:rFonts w:ascii="宋体" w:hAnsi="宋体" w:cs="宋体"/>
          <w:color w:val="auto"/>
          <w:sz w:val="24"/>
          <w:highlight w:val="none"/>
          <w:lang w:val="zh-CN"/>
        </w:rPr>
        <w:t xml:space="preserve">投标人的报价均超过了采购预算，采购人不能支付</w:t>
      </w:r>
      <w:r>
        <w:rPr>
          <w:rFonts w:hint="eastAsia" w:ascii="宋体" w:hAnsi="宋体" w:cs="宋体"/>
          <w:color w:val="auto"/>
          <w:sz w:val="24"/>
          <w:highlight w:val="none"/>
          <w:lang w:val="zh-CN"/>
        </w:rPr>
        <w:t xml:space="preserve">。</w:t>
      </w:r>
      <w:r/>
    </w:p>
    <w:p>
      <w:pPr>
        <w:ind w:firstLine="482"/>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21.2.3投标文件的进一步评审</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21.2.3.1评标委员会将对确定为实质性响应的投标文件进行进一步评审，看其是否有计算上或累加上的算术错误，修正错误的原则如下：</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（1）《开标一览表》（报价表）内容与投标文件中相应内容不一致的，以《开标一览表》（报价表）为准。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（2）投标文件、《开标一览表》（报价表）中报价的大写金额与小写金额不一致的，以大写金额为准。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（3）单价金额小数点或者百分比有明显错位的，以《开标一览表》（报价表）的总价为准，并修改单价；</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（4）总价金额与按单价汇总金额不一致的，以单价金额计算结果为准；只有在评委会认为单价有明显的小数点错误时，才能以标出的总价为准，并修改单价。</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（5）同时出现21.2.3.1中两种以上不一致的,按照（1）-（4）的顺序修正。</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（6）对不同文字文本投标文件的解释发生异议的，以中文文本为准。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21.2.3.2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21.2.3.3 评标委员会将允许修正投标文件中不构成重大偏离的、微小的、非正规的、不一致的或不规则的地方，但这些修改不能影响任何供应商相应的名次排列。</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21.2.3.5 比较与评价。按照招标文件中规定的评标方法和标准，对资格性检查和符合性检查合格的投标文件进行商务和技术评估，综合比较与评价。</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21.2.3.6 投标人在开、评标全过程中应保持通讯畅通，及时登录苏采云系统查阅、答复相关信息，并安排专人与代理机构及评委会联系。</w:t>
      </w:r>
      <w:r/>
    </w:p>
    <w:p>
      <w:pPr>
        <w:ind w:firstLine="480"/>
        <w:jc w:val="left"/>
        <w:spacing w:line="336" w:lineRule="auto"/>
        <w:rPr>
          <w:rFonts w:hint="eastAsia" w:ascii="宋体" w:hAnsi="宋体" w:cs="宋体"/>
          <w:bCs/>
          <w:color w:val="auto"/>
          <w:sz w:val="24"/>
          <w:highlight w:val="none"/>
          <w:lang w:val="zh-CN"/>
        </w:rPr>
      </w:pPr>
      <w:r>
        <w:rPr>
          <w:rFonts w:hint="eastAsia" w:ascii="宋体" w:hAnsi="宋体" w:cs="宋体"/>
          <w:color w:val="auto"/>
          <w:sz w:val="24"/>
          <w:highlight w:val="none"/>
          <w:lang w:val="zh-CN"/>
        </w:rPr>
        <w:t xml:space="preserve">21.2.3.7 如出现投标截止时间后参加投标的</w:t>
      </w:r>
      <w:r>
        <w:rPr>
          <w:rFonts w:hint="eastAsia" w:ascii="宋体" w:hAnsi="宋体" w:cs="宋体"/>
          <w:bCs/>
          <w:color w:val="auto"/>
          <w:sz w:val="24"/>
          <w:highlight w:val="none"/>
          <w:lang w:val="zh-CN"/>
        </w:rPr>
        <w:t xml:space="preserve">供应商或者对招标文件作出实质性响应的供应商不足三家的情况，按政府采购相关规定执行。</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21.3 评标方法和标准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21.3.1 采用综合评分法。即在投标文件满足招标文件全部实质性要求前提下，按照评审因素的量化指标评分。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21.3.2 综合评分的主要因素详见文件第三章。</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21.3.3评分标准详见文件第三章。</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22.确定中标供应商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22.确定中标供应商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22.1 在综合比较与评价后按照得分由高到低顺序对供应商进行排序。评标委员会按综合得分排名推荐3名中标候选人。得分相同的，按投标报价由低到高顺序排列。得分且报价相同的，按技术指标（技术</w:t>
      </w:r>
      <w:r>
        <w:rPr>
          <w:rFonts w:hint="eastAsia" w:ascii="宋体" w:hAnsi="宋体" w:cs="宋体"/>
          <w:color w:val="auto"/>
          <w:sz w:val="24"/>
          <w:highlight w:val="none"/>
        </w:rPr>
        <w:t xml:space="preserve">部分</w:t>
      </w:r>
      <w:r>
        <w:rPr>
          <w:rFonts w:hint="eastAsia" w:ascii="宋体" w:hAnsi="宋体" w:cs="宋体"/>
          <w:color w:val="auto"/>
          <w:sz w:val="24"/>
          <w:highlight w:val="none"/>
          <w:lang w:val="zh-CN"/>
        </w:rPr>
        <w:t xml:space="preserve">）优劣顺序排列。</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22.2 按以下第</w:t>
      </w:r>
      <w:r>
        <w:rPr>
          <w:rFonts w:hint="eastAsia" w:ascii="宋体" w:hAnsi="宋体" w:cs="宋体"/>
          <w:color w:val="auto"/>
          <w:sz w:val="24"/>
          <w:highlight w:val="none"/>
          <w:u w:val="single"/>
          <w:lang w:val="zh-CN"/>
        </w:rPr>
        <w:t xml:space="preserve">（</w:t>
      </w:r>
      <w:r>
        <w:rPr>
          <w:rFonts w:hint="eastAsia" w:ascii="宋体" w:hAnsi="宋体" w:cs="宋体"/>
          <w:color w:val="auto"/>
          <w:sz w:val="24"/>
          <w:highlight w:val="none"/>
          <w:u w:val="single"/>
        </w:rPr>
        <w:t xml:space="preserve">2</w:t>
      </w:r>
      <w:r>
        <w:rPr>
          <w:rFonts w:hint="eastAsia" w:ascii="宋体" w:hAnsi="宋体" w:cs="宋体"/>
          <w:color w:val="auto"/>
          <w:sz w:val="24"/>
          <w:highlight w:val="none"/>
          <w:u w:val="single"/>
          <w:lang w:val="zh-CN"/>
        </w:rPr>
        <w:t xml:space="preserve">）</w:t>
      </w:r>
      <w:r>
        <w:rPr>
          <w:rFonts w:hint="eastAsia" w:ascii="宋体" w:hAnsi="宋体" w:cs="宋体"/>
          <w:color w:val="auto"/>
          <w:sz w:val="24"/>
          <w:highlight w:val="none"/>
          <w:lang w:val="zh-CN"/>
        </w:rPr>
        <w:t xml:space="preserve">种方式确定中标供应商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（1）评标委员会直接确定排名第一的中标候选人为中标供应商；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（2）采购人在评标委员会推荐的中标候选人中按顺序确定中标供应商。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22.3 中标供应商确定之日起两个工作日内，将在财政部门指定的政府采购信息发布媒体上公告。</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22.4 《中标通知书》对采购人和中标供应商具有同等法律效力。</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22.5 《中标通知书》发出后，中标供应商无正当理由不与采购人签订合同的，应当依法承担法律责任。</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22.6代理机构和评标委员会对未中标的供应商不作未中标原因的解释。</w:t>
      </w:r>
      <w:r/>
    </w:p>
    <w:p>
      <w:pPr>
        <w:ind w:firstLine="480"/>
        <w:jc w:val="left"/>
        <w:spacing w:line="336"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23.编写评审报告</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评标委员会根据全体评标成员签字的原始评标记录和评标结果编写评审报告。</w:t>
      </w:r>
      <w:r/>
    </w:p>
    <w:p>
      <w:pPr>
        <w:ind w:firstLine="480"/>
        <w:jc w:val="left"/>
        <w:spacing w:line="336"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24.评标过程的保密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24.1 代理机构将采取必要措施，保证评标在严格保密的情况下进行。</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24.2 任何单位和个人不得非法干预、影响评标办法的确定，以及评标过程和结果。</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24.3 凡是与审查、澄清、评价和比较投标的有关资料等，均不得向供应商及与评标无关的人员透露。</w:t>
      </w:r>
      <w:r/>
    </w:p>
    <w:p>
      <w:pPr>
        <w:ind w:firstLine="482"/>
        <w:rPr>
          <w:rFonts w:hint="eastAsia" w:ascii="宋体" w:hAnsi="宋体"/>
          <w:b/>
          <w:color w:val="auto"/>
          <w:sz w:val="24"/>
          <w:highlight w:val="none"/>
        </w:rPr>
        <w:outlineLvl w:val="1"/>
      </w:pPr>
      <w:r>
        <w:rPr>
          <w:rFonts w:hint="eastAsia" w:ascii="宋体" w:hAnsi="宋体"/>
          <w:b/>
          <w:color w:val="auto"/>
          <w:sz w:val="24"/>
          <w:highlight w:val="none"/>
        </w:rPr>
        <w:t xml:space="preserve">五、签订合同</w:t>
      </w:r>
      <w:r/>
    </w:p>
    <w:p>
      <w:pPr>
        <w:ind w:firstLine="482"/>
        <w:rPr>
          <w:rFonts w:hint="eastAsia" w:ascii="宋体" w:hAnsi="宋体"/>
          <w:b/>
          <w:color w:val="auto"/>
          <w:sz w:val="24"/>
          <w:highlight w:val="none"/>
        </w:rPr>
      </w:pPr>
      <w:r>
        <w:rPr>
          <w:rFonts w:hint="eastAsia" w:ascii="宋体" w:hAnsi="宋体"/>
          <w:b/>
          <w:color w:val="auto"/>
          <w:sz w:val="24"/>
          <w:highlight w:val="none"/>
        </w:rPr>
        <w:t xml:space="preserve">25.签订合同</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25.2 采购人不得向中标供应商提出任何不合理的要求作为签订合同的条件，不得与中标供应商私下订立背离合同实质性内容的协议。</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25.3 中标供应商</w:t>
      </w:r>
      <w:bookmarkStart w:id="49" w:name="_GoBack"/>
      <w:r/>
      <w:bookmarkEnd w:id="49"/>
      <w:r>
        <w:rPr>
          <w:rFonts w:hint="eastAsia" w:ascii="宋体" w:hAnsi="宋体" w:cs="宋体"/>
          <w:color w:val="auto"/>
          <w:sz w:val="24"/>
          <w:highlight w:val="none"/>
          <w:lang w:val="zh-CN"/>
        </w:rPr>
        <w:t xml:space="preserve">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rPr>
          <w:rFonts w:hint="eastAsia" w:ascii="宋体" w:hAnsi="宋体"/>
          <w:b/>
          <w:color w:val="auto"/>
          <w:sz w:val="24"/>
          <w:highlight w:val="none"/>
        </w:rPr>
        <w:outlineLvl w:val="1"/>
      </w:pPr>
      <w:r>
        <w:rPr>
          <w:rFonts w:hint="eastAsia" w:ascii="宋体" w:hAnsi="宋体"/>
          <w:b/>
          <w:color w:val="auto"/>
          <w:sz w:val="24"/>
          <w:highlight w:val="none"/>
        </w:rPr>
        <w:t xml:space="preserve">六、询问、质疑、投诉和诚实信用</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26.询问</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供应商对招标活动事项有疑问的，可以向代理机构或采购人提出询问，代理机构或采购人将在两个工作日内作出答复，但答复的内容不涉及商业秘密。</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27.质疑</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27.2质疑供应商的质疑行为应符合财政部94号令相关规定，未参加采购活动的供应商或在采购活动中自身权益未受到损害的供应商所提出的质疑不予受理。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27.3 上述应知其权益受到损害之日是指：</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（1）对招标文件提出质疑的，为招标文件公告期限届满之日起计算；</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（2）对招标过程提出质疑的，自招标程序环节结束之日起计算；</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（3）对中标结果提出质疑的，自中标结果公告期限届满之日起计算。  </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27.4 质疑供应商在法定质疑期内应当一次性提出针对同一招标环节的质疑事项。</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27.5 代理机构在收到供应商的质疑后将及时组织调查核实，在七个工作日内作出答复，答复的内容不涉及商业秘密。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27.6 代理机构遵循“谁过错谁负担”的原则，有过错的一方承担调查论证费用。</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28.投诉</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质疑供应商对代理机构的答复不满意，或代理机构未在规定的时间内作出答复的，可以在答复期满后十五个工作日内向采购项目同级财政部门投诉。</w:t>
      </w:r>
      <w:r/>
    </w:p>
    <w:p>
      <w:pPr>
        <w:ind w:firstLine="482"/>
        <w:rPr>
          <w:rFonts w:hint="eastAsia" w:ascii="宋体" w:hAnsi="宋体"/>
          <w:bCs/>
          <w:color w:val="auto"/>
          <w:sz w:val="24"/>
          <w:highlight w:val="none"/>
        </w:rPr>
      </w:pPr>
      <w:r>
        <w:rPr>
          <w:rFonts w:hint="eastAsia" w:ascii="宋体" w:hAnsi="宋体"/>
          <w:b/>
          <w:color w:val="auto"/>
          <w:sz w:val="24"/>
          <w:highlight w:val="none"/>
        </w:rPr>
        <w:t xml:space="preserve">29.诚实信用</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29.1 供应商之间不得相互串通投标报价，不得妨碍其他供应商的公平竞争，不得损害采购人和其他供应商的合法权益。</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29.4 供应商不得虚假承诺，否则，按照提供虚假材料谋取中标处理。</w:t>
      </w:r>
      <w:r/>
    </w:p>
    <w:p>
      <w:pPr>
        <w:ind w:firstLine="480"/>
        <w:jc w:val="left"/>
        <w:spacing w:line="336"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29.5 供应商应自觉遵守开标、评标纪律，扰乱开标评标现场秩序的，属于失信行为，根据《江苏省政府采购供应商监督管理暂行办法》，失信行为将被记入供应商诚信档案。</w:t>
      </w:r>
      <w:r/>
    </w:p>
    <w:p>
      <w:pPr>
        <w:jc w:val="center"/>
        <w:spacing w:line="360" w:lineRule="auto"/>
        <w:rPr>
          <w:rFonts w:hint="eastAsia" w:ascii="宋体" w:hAnsi="宋体" w:cs="宋体"/>
          <w:b/>
          <w:color w:val="auto"/>
          <w:sz w:val="36"/>
          <w:szCs w:val="36"/>
          <w:highlight w:val="none"/>
        </w:rPr>
        <w:sectPr>
          <w:footnotePr/>
          <w:endnotePr>
            <w:numFmt w:val="decimal"/>
          </w:endnotePr>
          <w:type w:val="nextPage"/>
          <w:pgSz w:w="11906" w:h="16838" w:orient="portrait"/>
          <w:pgMar w:top="850" w:right="850" w:bottom="850" w:left="1417" w:header="340" w:footer="567" w:gutter="0"/>
          <w:cols w:num="1" w:sep="0" w:space="1701" w:equalWidth="1"/>
          <w:docGrid w:linePitch="360"/>
        </w:sect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highlight w:val="none"/>
          <w:lang w:val="zh-CN"/>
        </w:rPr>
        <w:outlineLvl w:val="0"/>
      </w:pPr>
      <w:r/>
      <w:bookmarkStart w:id="40" w:name="_Toc3294"/>
      <w:r/>
      <w:bookmarkStart w:id="41" w:name="_Hlk119400608"/>
      <w:r>
        <w:rPr>
          <w:rFonts w:hint="eastAsia" w:ascii="宋体" w:hAnsi="宋体" w:cs="宋体"/>
          <w:b/>
          <w:color w:val="auto"/>
          <w:sz w:val="36"/>
          <w:highlight w:val="none"/>
          <w:lang w:val="zh-CN"/>
        </w:rPr>
        <w:t xml:space="preserve">第三章  评标标准</w:t>
      </w:r>
      <w:bookmarkEnd w:id="40"/>
      <w:r/>
      <w:r/>
    </w:p>
    <w:p>
      <w:pPr>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一、评标方法：</w:t>
      </w:r>
      <w:r/>
    </w:p>
    <w:p>
      <w:pPr>
        <w:ind w:firstLine="422"/>
        <w:spacing w:line="360" w:lineRule="auto"/>
        <w:rPr>
          <w:rFonts w:hint="eastAsia" w:ascii="宋体" w:hAnsi="宋体" w:cs="宋体"/>
          <w:color w:val="auto"/>
          <w:szCs w:val="21"/>
          <w:highlight w:val="none"/>
          <w:lang w:val="zh-CN"/>
        </w:rPr>
      </w:pPr>
      <w:r>
        <w:rPr>
          <w:rFonts w:hint="eastAsia" w:ascii="宋体" w:hAnsi="宋体" w:cs="宋体"/>
          <w:color w:val="auto"/>
          <w:sz w:val="24"/>
          <w:highlight w:val="none"/>
          <w:lang w:val="zh-CN"/>
        </w:rPr>
        <w:t xml:space="preserve">本次评审采用综合评标法，是指投标文件满足招标文件全部实质性要求，且按照评审因素的量化指标评审得分最高的供应商为中标候选人的评标方法，评审因素详见评分标准。评分统计方法采用百分制（满分100分），将全部评委评分直接进行算术平均，小数点后保留2位。评标委员会遵循公平、公正、择优原则，独立按照评分标准分别评定供应商的分值；各供应商的最终得分为各评委所评定分值的平均值，按照得分高低顺序对供应商进行排列。得分相同的，按报价由低到高顺序排列。得分且报价相同的，按技术指标（技术</w:t>
      </w:r>
      <w:r>
        <w:rPr>
          <w:rFonts w:hint="eastAsia" w:ascii="宋体" w:hAnsi="宋体" w:cs="宋体"/>
          <w:color w:val="auto"/>
          <w:sz w:val="24"/>
          <w:highlight w:val="none"/>
        </w:rPr>
        <w:t xml:space="preserve">部分</w:t>
      </w:r>
      <w:r>
        <w:rPr>
          <w:rFonts w:hint="eastAsia" w:ascii="宋体" w:hAnsi="宋体" w:cs="宋体"/>
          <w:color w:val="auto"/>
          <w:sz w:val="24"/>
          <w:highlight w:val="none"/>
          <w:lang w:val="zh-CN"/>
        </w:rPr>
        <w:t xml:space="preserve">）优劣顺序排列。</w:t>
      </w:r>
      <w:r/>
    </w:p>
    <w:p>
      <w:pPr>
        <w:pStyle w:val="890"/>
        <w:numPr>
          <w:ilvl w:val="0"/>
          <w:numId w:val="1"/>
        </w:numPr>
        <w:spacing w:line="360" w:lineRule="auto"/>
        <w:tabs>
          <w:tab w:val="right" w:pos="8953" w:leader="none"/>
        </w:tabs>
        <w:rPr>
          <w:rFonts w:hint="eastAsia" w:hAnsi="宋体" w:cs="宋体"/>
          <w:b/>
          <w:color w:val="auto"/>
          <w:sz w:val="24"/>
          <w:szCs w:val="24"/>
          <w:highlight w:val="none"/>
        </w:rPr>
        <w:outlineLvl w:val="1"/>
      </w:pPr>
      <w:r>
        <w:rPr>
          <w:rFonts w:hint="eastAsia" w:hAnsi="宋体" w:cs="宋体"/>
          <w:b/>
          <w:color w:val="auto"/>
          <w:sz w:val="24"/>
          <w:szCs w:val="24"/>
          <w:highlight w:val="none"/>
        </w:rPr>
        <w:t xml:space="preserve">评标标准：</w:t>
      </w:r>
      <w:r/>
    </w:p>
    <w:tbl>
      <w:tblPr>
        <w:tblStyle w:val="871"/>
        <w:tblW w:w="9933" w:type="dxa"/>
        <w:jc w:val="center"/>
        <w:tblLayout w:type="fixed"/>
        <w:tblCellMar>
          <w:left w:w="0" w:type="dxa"/>
          <w:top w:w="0" w:type="dxa"/>
          <w:right w:w="0" w:type="dxa"/>
          <w:bottom w:w="0" w:type="dxa"/>
        </w:tblCellMar>
        <w:tblLook w:val="04A0" w:firstRow="1" w:lastRow="0" w:firstColumn="1" w:lastColumn="0" w:noHBand="0" w:noVBand="1"/>
      </w:tblPr>
      <w:tblGrid>
        <w:gridCol w:w="661"/>
        <w:gridCol w:w="884"/>
        <w:gridCol w:w="7727"/>
        <w:gridCol w:w="12"/>
        <w:gridCol w:w="630"/>
        <w:gridCol w:w="19"/>
      </w:tblGrid>
      <w:tr>
        <w:trPr>
          <w:gridAfter w:val="1"/>
          <w:jc w:val="center"/>
          <w:trHeight w:val="413"/>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91"/>
              <w:ind w:left="104"/>
              <w:jc w:val="center"/>
              <w:rPr>
                <w:rFonts w:hint="eastAsia"/>
                <w:b/>
                <w:bCs/>
                <w:color w:val="auto"/>
                <w:sz w:val="24"/>
                <w:szCs w:val="24"/>
                <w:highlight w:val="none"/>
              </w:rPr>
            </w:pPr>
            <w:r>
              <w:rPr>
                <w:rFonts w:hint="eastAsia"/>
                <w:b/>
                <w:bCs/>
                <w:color w:val="auto"/>
                <w:spacing w:val="-1"/>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pStyle w:val="891"/>
              <w:jc w:val="center"/>
              <w:rPr>
                <w:rFonts w:hint="eastAsia"/>
                <w:b/>
                <w:bCs/>
                <w:color w:val="auto"/>
                <w:sz w:val="24"/>
                <w:szCs w:val="24"/>
                <w:highlight w:val="none"/>
              </w:rPr>
            </w:pPr>
            <w:r>
              <w:rPr>
                <w:rFonts w:hint="eastAsia"/>
                <w:b/>
                <w:bCs/>
                <w:color w:val="auto"/>
                <w:sz w:val="24"/>
                <w:szCs w:val="24"/>
                <w:highlight w:val="none"/>
              </w:rPr>
              <w:t xml:space="preserve">评分</w:t>
            </w:r>
            <w:r/>
          </w:p>
          <w:p>
            <w:pPr>
              <w:pStyle w:val="891"/>
              <w:jc w:val="center"/>
              <w:rPr>
                <w:rFonts w:hint="eastAsia"/>
                <w:b/>
                <w:bCs/>
                <w:color w:val="auto"/>
                <w:sz w:val="24"/>
                <w:szCs w:val="24"/>
                <w:highlight w:val="none"/>
              </w:rPr>
            </w:pPr>
            <w:r>
              <w:rPr>
                <w:rFonts w:hint="eastAsia"/>
                <w:b/>
                <w:bCs/>
                <w:color w:val="auto"/>
                <w:sz w:val="24"/>
                <w:szCs w:val="24"/>
                <w:highlight w:val="none"/>
              </w:rPr>
              <w:t xml:space="preserve">因素</w:t>
            </w:r>
            <w:r/>
          </w:p>
        </w:tc>
        <w:tc>
          <w:tcPr>
            <w:tcBorders>
              <w:top w:val="single" w:color="000000" w:sz="4" w:space="0"/>
              <w:left w:val="single" w:color="000000" w:sz="4" w:space="0"/>
              <w:bottom w:val="single" w:color="000000" w:sz="4" w:space="0"/>
              <w:right w:val="single" w:color="000000" w:sz="4" w:space="0"/>
            </w:tcBorders>
            <w:tcW w:w="7727" w:type="dxa"/>
            <w:vAlign w:val="center"/>
            <w:textDirection w:val="lrTb"/>
            <w:noWrap/>
          </w:tcPr>
          <w:p>
            <w:pPr>
              <w:pStyle w:val="891"/>
              <w:ind w:left="47"/>
              <w:jc w:val="center"/>
              <w:rPr>
                <w:rFonts w:hint="eastAsia"/>
                <w:b/>
                <w:bCs/>
                <w:color w:val="auto"/>
                <w:sz w:val="24"/>
                <w:szCs w:val="24"/>
                <w:highlight w:val="none"/>
              </w:rPr>
            </w:pPr>
            <w:r>
              <w:rPr>
                <w:rFonts w:hint="eastAsia"/>
                <w:b/>
                <w:bCs/>
                <w:color w:val="auto"/>
                <w:sz w:val="24"/>
                <w:szCs w:val="24"/>
                <w:highlight w:val="none"/>
              </w:rPr>
              <w:t xml:space="preserve">评审标准</w:t>
            </w:r>
            <w:r/>
          </w:p>
        </w:tc>
        <w:tc>
          <w:tcPr>
            <w:gridSpan w:val="2"/>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pStyle w:val="891"/>
              <w:ind w:left="102"/>
              <w:jc w:val="center"/>
              <w:rPr>
                <w:rFonts w:hint="eastAsia"/>
                <w:b/>
                <w:bCs/>
                <w:color w:val="auto"/>
                <w:sz w:val="24"/>
                <w:szCs w:val="24"/>
                <w:highlight w:val="none"/>
              </w:rPr>
            </w:pPr>
            <w:r>
              <w:rPr>
                <w:rFonts w:hint="eastAsia"/>
                <w:b/>
                <w:bCs/>
                <w:color w:val="auto"/>
                <w:spacing w:val="-1"/>
                <w:sz w:val="24"/>
                <w:szCs w:val="24"/>
                <w:highlight w:val="none"/>
              </w:rPr>
              <w:t xml:space="preserve">分值</w:t>
            </w:r>
            <w:r/>
          </w:p>
        </w:tc>
      </w:tr>
      <w:tr>
        <w:trPr>
          <w:jc w:val="center"/>
          <w:trHeight w:val="315"/>
        </w:trPr>
        <w:tc>
          <w:tcPr>
            <w:gridSpan w:val="6"/>
            <w:tcBorders>
              <w:top w:val="single" w:color="000000" w:sz="4" w:space="0"/>
              <w:left w:val="single" w:color="000000" w:sz="4" w:space="0"/>
              <w:bottom w:val="single" w:color="000000" w:sz="4" w:space="0"/>
              <w:right w:val="single" w:color="000000" w:sz="4" w:space="0"/>
            </w:tcBorders>
            <w:tcW w:w="9933" w:type="dxa"/>
            <w:vAlign w:val="center"/>
            <w:textDirection w:val="lrTb"/>
            <w:noWrap/>
          </w:tcPr>
          <w:p>
            <w:pPr>
              <w:pStyle w:val="891"/>
              <w:ind w:left="102"/>
              <w:jc w:val="center"/>
              <w:rPr>
                <w:rFonts w:hint="eastAsia"/>
                <w:color w:val="auto"/>
                <w:spacing w:val="-1"/>
                <w:sz w:val="24"/>
                <w:szCs w:val="24"/>
                <w:highlight w:val="none"/>
                <w:lang w:val="en-US"/>
              </w:rPr>
            </w:pPr>
            <w:r>
              <w:rPr>
                <w:rFonts w:hint="eastAsia"/>
                <w:b/>
                <w:bCs/>
                <w:color w:val="auto"/>
                <w:spacing w:val="-1"/>
                <w:sz w:val="24"/>
                <w:szCs w:val="24"/>
                <w:highlight w:val="none"/>
                <w:lang w:val="en-US"/>
              </w:rPr>
              <w:t xml:space="preserve">价格部分</w:t>
            </w:r>
            <w:r/>
          </w:p>
        </w:tc>
      </w:tr>
      <w:tr>
        <w:trPr>
          <w:jc w:val="center"/>
          <w:trHeight w:val="1103"/>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91"/>
              <w:jc w:val="center"/>
              <w:rPr>
                <w:rFonts w:hint="eastAsia"/>
                <w:color w:val="auto"/>
                <w:sz w:val="24"/>
                <w:szCs w:val="24"/>
                <w:highlight w:val="none"/>
              </w:rPr>
            </w:pPr>
            <w:r>
              <w:rPr>
                <w:rFonts w:hint="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pStyle w:val="891"/>
              <w:jc w:val="center"/>
              <w:rPr>
                <w:rFonts w:hint="eastAsia"/>
                <w:color w:val="auto"/>
                <w:sz w:val="24"/>
                <w:szCs w:val="24"/>
                <w:highlight w:val="none"/>
              </w:rPr>
            </w:pPr>
            <w:r>
              <w:rPr>
                <w:rFonts w:hint="eastAsia"/>
                <w:color w:val="auto"/>
                <w:spacing w:val="-1"/>
                <w:sz w:val="24"/>
                <w:szCs w:val="24"/>
                <w:highlight w:val="none"/>
              </w:rPr>
              <w:t xml:space="preserve">价格分</w:t>
            </w:r>
            <w:r/>
          </w:p>
        </w:tc>
        <w:tc>
          <w:tcPr>
            <w:gridSpan w:val="2"/>
            <w:tcBorders>
              <w:top w:val="single" w:color="000000" w:sz="4" w:space="0"/>
              <w:left w:val="single" w:color="000000" w:sz="4" w:space="0"/>
              <w:bottom w:val="single" w:color="000000" w:sz="4" w:space="0"/>
              <w:right w:val="single" w:color="000000" w:sz="4" w:space="0"/>
            </w:tcBorders>
            <w:tcW w:w="7739" w:type="dxa"/>
            <w:vAlign w:val="center"/>
            <w:textDirection w:val="lrTb"/>
            <w:noWrap/>
          </w:tcPr>
          <w:p>
            <w:pPr>
              <w:ind w:firstLine="422"/>
              <w:spacing w:line="360" w:lineRule="auto"/>
              <w:rPr>
                <w:rFonts w:hint="eastAsia" w:ascii="宋体" w:hAnsi="宋体" w:cs="宋体"/>
                <w:color w:val="auto"/>
                <w:sz w:val="24"/>
                <w:highlight w:val="none"/>
                <w:lang w:val="zh-CN"/>
              </w:rPr>
              <w:outlineLvl w:val="1"/>
            </w:pPr>
            <w:r>
              <w:rPr>
                <w:rFonts w:hint="eastAsia" w:ascii="宋体" w:hAnsi="宋体" w:cs="宋体"/>
                <w:color w:val="auto"/>
                <w:sz w:val="24"/>
                <w:highlight w:val="none"/>
                <w:lang w:val="zh-CN"/>
              </w:rPr>
              <w:t xml:space="preserve">采用低价优先法计算，即满足招标文件要求且投标价格最低的投标报价为评标基准价，其价格分为满分。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lang w:val="zh-CN"/>
              </w:rPr>
              <w:t xml:space="preserve">其他供应商的价格分统一按照下列公式计算:投标报价得分=(评标基准价/投标报价)×</w:t>
            </w:r>
            <w:r>
              <w:rPr>
                <w:rFonts w:hint="eastAsia" w:ascii="宋体" w:hAnsi="宋体" w:cs="宋体"/>
                <w:color w:val="auto"/>
                <w:sz w:val="24"/>
                <w:highlight w:val="none"/>
              </w:rPr>
              <w:t xml:space="preserve">15</w:t>
            </w:r>
            <w:r>
              <w:rPr>
                <w:rFonts w:hint="eastAsia" w:ascii="宋体" w:hAnsi="宋体" w:cs="宋体"/>
                <w:color w:val="auto"/>
                <w:sz w:val="24"/>
                <w:highlight w:val="none"/>
                <w:lang w:val="zh-CN"/>
              </w:rPr>
              <w:t xml:space="preserve">（小数点保留两位）。</w:t>
            </w:r>
            <w:r/>
          </w:p>
        </w:tc>
        <w:tc>
          <w:tcPr>
            <w:gridSpan w:val="2"/>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pStyle w:val="891"/>
              <w:jc w:val="center"/>
              <w:rPr>
                <w:rFonts w:hint="eastAsia"/>
                <w:color w:val="auto"/>
                <w:sz w:val="24"/>
                <w:szCs w:val="24"/>
                <w:highlight w:val="none"/>
                <w:lang w:val="en-US"/>
              </w:rPr>
            </w:pPr>
            <w:r>
              <w:rPr>
                <w:rFonts w:hint="eastAsia"/>
                <w:color w:val="auto"/>
                <w:sz w:val="24"/>
                <w:szCs w:val="24"/>
                <w:highlight w:val="none"/>
                <w:lang w:val="en-US"/>
              </w:rPr>
              <w:t xml:space="preserve">15</w:t>
            </w:r>
            <w:r/>
          </w:p>
        </w:tc>
      </w:tr>
      <w:tr>
        <w:trPr>
          <w:jc w:val="center"/>
          <w:trHeight w:val="329"/>
        </w:trPr>
        <w:tc>
          <w:tcPr>
            <w:gridSpan w:val="6"/>
            <w:tcBorders>
              <w:top w:val="single" w:color="000000" w:sz="4" w:space="0"/>
              <w:left w:val="single" w:color="000000" w:sz="4" w:space="0"/>
              <w:bottom w:val="single" w:color="000000" w:sz="4" w:space="0"/>
              <w:right w:val="single" w:color="000000" w:sz="4" w:space="0"/>
            </w:tcBorders>
            <w:tcW w:w="9933" w:type="dxa"/>
            <w:vAlign w:val="center"/>
            <w:textDirection w:val="lrTb"/>
            <w:noWrap/>
          </w:tcPr>
          <w:p>
            <w:pPr>
              <w:pStyle w:val="891"/>
              <w:jc w:val="center"/>
              <w:rPr>
                <w:rFonts w:hint="eastAsia"/>
                <w:color w:val="auto"/>
                <w:sz w:val="24"/>
                <w:szCs w:val="24"/>
                <w:highlight w:val="none"/>
                <w:lang w:val="en-US"/>
              </w:rPr>
            </w:pPr>
            <w:r>
              <w:rPr>
                <w:rFonts w:hint="eastAsia"/>
                <w:b/>
                <w:bCs/>
                <w:color w:val="auto"/>
                <w:sz w:val="24"/>
                <w:szCs w:val="24"/>
                <w:highlight w:val="none"/>
                <w:lang w:val="en-US"/>
              </w:rPr>
              <w:t xml:space="preserve">商务部分</w:t>
            </w:r>
            <w:r/>
          </w:p>
        </w:tc>
      </w:tr>
      <w:tr>
        <w:trPr>
          <w:jc w:val="center"/>
          <w:trHeight w:val="439"/>
        </w:trPr>
        <w:tc>
          <w:tcPr>
            <w:tcBorders>
              <w:top w:val="single" w:color="auto" w:sz="4" w:space="0"/>
              <w:left w:val="single" w:color="auto" w:sz="4" w:space="0"/>
              <w:bottom w:val="single" w:color="auto" w:sz="4" w:space="0"/>
              <w:right w:val="single" w:color="auto" w:sz="4" w:space="0"/>
            </w:tcBorders>
            <w:tcW w:w="661" w:type="dxa"/>
            <w:vAlign w:val="center"/>
            <w:textDirection w:val="lrTb"/>
            <w:noWrap/>
          </w:tcPr>
          <w:p>
            <w:pPr>
              <w:pStyle w:val="891"/>
              <w:jc w:val="center"/>
              <w:rPr>
                <w:rFonts w:hint="eastAsia"/>
                <w:color w:val="auto"/>
                <w:sz w:val="24"/>
                <w:szCs w:val="24"/>
                <w:highlight w:val="none"/>
                <w:lang w:val="en-US"/>
              </w:rPr>
            </w:pPr>
            <w:r>
              <w:rPr>
                <w:rFonts w:hint="eastAsia"/>
                <w:color w:val="auto"/>
                <w:sz w:val="24"/>
                <w:szCs w:val="24"/>
                <w:highlight w:val="none"/>
                <w:lang w:val="en-US"/>
              </w:rPr>
              <w:t xml:space="preserve">2</w:t>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tcPr>
          <w:p>
            <w:pPr>
              <w:jc w:val="center"/>
              <w:widowControl/>
              <w:rPr>
                <w:rFonts w:hint="eastAsia" w:ascii="宋体" w:hAnsi="宋体" w:cs="宋体"/>
                <w:color w:val="auto"/>
                <w:spacing w:val="-1"/>
                <w:sz w:val="24"/>
                <w:highlight w:val="none"/>
                <w:lang w:bidi="zh-CN"/>
              </w:rPr>
            </w:pPr>
            <w:r>
              <w:rPr>
                <w:rFonts w:hint="eastAsia" w:ascii="宋体" w:hAnsi="宋体" w:cs="宋体"/>
                <w:color w:val="auto"/>
                <w:spacing w:val="-1"/>
                <w:sz w:val="24"/>
                <w:highlight w:val="none"/>
                <w:lang w:bidi="zh-CN"/>
              </w:rPr>
              <w:t xml:space="preserve">项目负责人要求</w:t>
            </w:r>
            <w:r/>
          </w:p>
        </w:tc>
        <w:tc>
          <w:tcPr>
            <w:gridSpan w:val="2"/>
            <w:tcBorders>
              <w:top w:val="single" w:color="000000" w:sz="4" w:space="0"/>
              <w:left w:val="single" w:color="auto" w:sz="4" w:space="0"/>
              <w:bottom w:val="single" w:color="auto" w:sz="4" w:space="0"/>
              <w:right w:val="single" w:color="000000" w:sz="4" w:space="0"/>
            </w:tcBorders>
            <w:tcW w:w="7739" w:type="dxa"/>
            <w:vAlign w:val="center"/>
            <w:textDirection w:val="lrTb"/>
            <w:noWrap/>
          </w:tcPr>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2.1.</w:t>
            </w:r>
            <w:r>
              <w:rPr>
                <w:rFonts w:hint="eastAsia" w:ascii="宋体" w:hAnsi="宋体" w:cs="宋体"/>
                <w:color w:val="auto"/>
                <w:sz w:val="24"/>
                <w:highlight w:val="none"/>
                <w:lang w:val="zh-CN"/>
              </w:rPr>
              <w:t xml:space="preserve">项目负责人具有工业互联网</w:t>
            </w:r>
            <w:r>
              <w:rPr>
                <w:rFonts w:hint="eastAsia" w:ascii="宋体" w:hAnsi="宋体" w:cs="宋体"/>
                <w:color w:val="auto"/>
                <w:sz w:val="24"/>
                <w:highlight w:val="none"/>
              </w:rPr>
              <w:t xml:space="preserve">或</w:t>
            </w:r>
            <w:r>
              <w:rPr>
                <w:rFonts w:hint="eastAsia" w:ascii="宋体" w:hAnsi="宋体" w:cs="宋体"/>
                <w:color w:val="auto"/>
                <w:sz w:val="24"/>
                <w:highlight w:val="none"/>
                <w:lang w:val="zh-CN"/>
              </w:rPr>
              <w:t xml:space="preserve">电子信息</w:t>
            </w:r>
            <w:r>
              <w:rPr>
                <w:rFonts w:hint="eastAsia" w:ascii="宋体" w:hAnsi="宋体" w:cs="宋体"/>
                <w:color w:val="auto"/>
                <w:sz w:val="24"/>
                <w:highlight w:val="none"/>
              </w:rPr>
              <w:t xml:space="preserve">或</w:t>
            </w:r>
            <w:r>
              <w:rPr>
                <w:rFonts w:hint="eastAsia" w:ascii="宋体" w:hAnsi="宋体" w:cs="宋体"/>
                <w:color w:val="auto"/>
                <w:sz w:val="24"/>
                <w:highlight w:val="none"/>
                <w:lang w:val="zh-CN"/>
              </w:rPr>
              <w:t xml:space="preserve">信息与通信工程等</w:t>
            </w:r>
            <w:r>
              <w:rPr>
                <w:rFonts w:hint="eastAsia" w:ascii="宋体" w:hAnsi="宋体" w:cs="宋体"/>
                <w:color w:val="auto"/>
                <w:sz w:val="24"/>
                <w:highlight w:val="none"/>
              </w:rPr>
              <w:t xml:space="preserve">信息化类</w:t>
            </w:r>
            <w:r>
              <w:rPr>
                <w:rFonts w:hint="eastAsia" w:ascii="宋体" w:hAnsi="宋体" w:cs="宋体"/>
                <w:color w:val="auto"/>
                <w:sz w:val="24"/>
                <w:highlight w:val="none"/>
                <w:lang w:val="zh-CN"/>
              </w:rPr>
              <w:t xml:space="preserve">专业</w:t>
            </w:r>
            <w:r>
              <w:rPr>
                <w:rFonts w:hint="eastAsia" w:ascii="宋体" w:hAnsi="宋体" w:cs="宋体"/>
                <w:color w:val="auto"/>
                <w:sz w:val="24"/>
                <w:highlight w:val="none"/>
              </w:rPr>
              <w:t xml:space="preserve">或经济类或工业类或与本项目相关的</w:t>
            </w:r>
            <w:r>
              <w:rPr>
                <w:rFonts w:hint="eastAsia" w:ascii="宋体" w:hAnsi="宋体" w:cs="宋体"/>
                <w:color w:val="auto"/>
                <w:sz w:val="24"/>
                <w:highlight w:val="none"/>
                <w:lang w:val="zh-CN"/>
              </w:rPr>
              <w:t xml:space="preserve">高级及以上技术职称得</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分；具有工业互联网</w:t>
            </w:r>
            <w:r>
              <w:rPr>
                <w:rFonts w:hint="eastAsia" w:ascii="宋体" w:hAnsi="宋体" w:cs="宋体"/>
                <w:color w:val="auto"/>
                <w:sz w:val="24"/>
                <w:highlight w:val="none"/>
              </w:rPr>
              <w:t xml:space="preserve">或</w:t>
            </w:r>
            <w:r>
              <w:rPr>
                <w:rFonts w:hint="eastAsia" w:ascii="宋体" w:hAnsi="宋体" w:cs="宋体"/>
                <w:color w:val="auto"/>
                <w:sz w:val="24"/>
                <w:highlight w:val="none"/>
                <w:lang w:val="zh-CN"/>
              </w:rPr>
              <w:t xml:space="preserve">电子信息</w:t>
            </w:r>
            <w:r>
              <w:rPr>
                <w:rFonts w:hint="eastAsia" w:ascii="宋体" w:hAnsi="宋体" w:cs="宋体"/>
                <w:color w:val="auto"/>
                <w:sz w:val="24"/>
                <w:highlight w:val="none"/>
              </w:rPr>
              <w:t xml:space="preserve">或</w:t>
            </w:r>
            <w:r>
              <w:rPr>
                <w:rFonts w:hint="eastAsia" w:ascii="宋体" w:hAnsi="宋体" w:cs="宋体"/>
                <w:color w:val="auto"/>
                <w:sz w:val="24"/>
                <w:highlight w:val="none"/>
                <w:lang w:val="zh-CN"/>
              </w:rPr>
              <w:t xml:space="preserve">信息与通信工程等</w:t>
            </w:r>
            <w:r>
              <w:rPr>
                <w:rFonts w:hint="eastAsia" w:ascii="宋体" w:hAnsi="宋体" w:cs="宋体"/>
                <w:color w:val="auto"/>
                <w:sz w:val="24"/>
                <w:highlight w:val="none"/>
              </w:rPr>
              <w:t xml:space="preserve">信息化类</w:t>
            </w:r>
            <w:r>
              <w:rPr>
                <w:rFonts w:hint="eastAsia" w:ascii="宋体" w:hAnsi="宋体" w:cs="宋体"/>
                <w:color w:val="auto"/>
                <w:sz w:val="24"/>
                <w:highlight w:val="none"/>
                <w:lang w:val="zh-CN"/>
              </w:rPr>
              <w:t xml:space="preserve">专业</w:t>
            </w:r>
            <w:r>
              <w:rPr>
                <w:rFonts w:hint="eastAsia" w:ascii="宋体" w:hAnsi="宋体" w:cs="宋体"/>
                <w:color w:val="auto"/>
                <w:sz w:val="24"/>
                <w:highlight w:val="none"/>
              </w:rPr>
              <w:t xml:space="preserve">或经济类或工业类或与本项目相关的专业</w:t>
            </w:r>
            <w:r>
              <w:rPr>
                <w:rFonts w:hint="eastAsia" w:ascii="宋体" w:hAnsi="宋体" w:cs="宋体"/>
                <w:color w:val="auto"/>
                <w:sz w:val="24"/>
                <w:highlight w:val="none"/>
                <w:lang w:val="zh-CN"/>
              </w:rPr>
              <w:t xml:space="preserve">中级技术职称得</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分，</w:t>
            </w:r>
            <w:r>
              <w:rPr>
                <w:rFonts w:hint="eastAsia" w:ascii="宋体" w:hAnsi="宋体" w:cs="宋体"/>
                <w:color w:val="auto"/>
                <w:sz w:val="24"/>
                <w:highlight w:val="none"/>
              </w:rPr>
              <w:t xml:space="preserve">其他</w:t>
            </w:r>
            <w:r>
              <w:rPr>
                <w:rFonts w:hint="eastAsia" w:ascii="宋体" w:hAnsi="宋体" w:cs="宋体"/>
                <w:color w:val="auto"/>
                <w:sz w:val="24"/>
                <w:highlight w:val="none"/>
                <w:lang w:val="zh-CN"/>
              </w:rPr>
              <w:t xml:space="preserve">不得分，满分为</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分。专业以职称证书为准，如职称证书反映不出专业的，则以毕业证书上专业为准</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提供证书复印件以及近半年（2026年5月-2026年10月）任一月投标人为其缴纳的社保证明复印件加盖供应商公章。同一人员证书按最高级只计取一次得分。因所提供证明材料不全或内容不明，导致评标委员会无法认定时，则视为未提供，不予赋分。）</w:t>
            </w:r>
            <w:r/>
          </w:p>
          <w:p>
            <w:pPr>
              <w:ind w:firstLine="422"/>
              <w:spacing w:line="360" w:lineRule="auto"/>
              <w:rPr>
                <w:color w:val="auto"/>
                <w:highlight w:val="none"/>
              </w:rPr>
              <w:outlineLvl w:val="1"/>
            </w:pPr>
            <w:r>
              <w:rPr>
                <w:rFonts w:hint="eastAsia" w:ascii="宋体" w:hAnsi="宋体" w:cs="宋体"/>
                <w:color w:val="auto"/>
                <w:sz w:val="24"/>
                <w:highlight w:val="none"/>
              </w:rPr>
              <w:t xml:space="preserve">2.2</w:t>
            </w:r>
            <w:r>
              <w:rPr>
                <w:rFonts w:hint="eastAsia" w:ascii="宋体" w:hAnsi="宋体" w:cs="宋体"/>
                <w:color w:val="auto"/>
                <w:sz w:val="24"/>
                <w:highlight w:val="none"/>
                <w:lang w:val="zh-CN"/>
              </w:rPr>
              <w:t xml:space="preserve">项目负责人具有</w:t>
            </w:r>
            <w:r>
              <w:rPr>
                <w:rFonts w:hint="eastAsia" w:ascii="宋体" w:hAnsi="宋体" w:cs="宋体"/>
                <w:color w:val="auto"/>
                <w:sz w:val="24"/>
                <w:highlight w:val="none"/>
              </w:rPr>
              <w:t xml:space="preserve">累计一年及以上</w:t>
            </w:r>
            <w:r>
              <w:rPr>
                <w:rFonts w:hint="eastAsia" w:ascii="宋体" w:hAnsi="宋体" w:cs="宋体"/>
                <w:color w:val="auto"/>
                <w:sz w:val="24"/>
                <w:highlight w:val="none"/>
                <w:lang w:val="zh-CN"/>
              </w:rPr>
              <w:t xml:space="preserve">类似工作经验得</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分，满分为</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分。</w:t>
            </w:r>
            <w:r>
              <w:rPr>
                <w:rFonts w:hint="eastAsia" w:ascii="宋体" w:hAnsi="宋体" w:cs="宋体"/>
                <w:b/>
                <w:bCs/>
                <w:color w:val="auto"/>
                <w:sz w:val="24"/>
                <w:highlight w:val="none"/>
              </w:rPr>
              <w:t xml:space="preserve">（提供相关证明材料加盖投标供应商公章。相关工作经验证明材料可以是以下任意一种：①劳动合同复印件；②类似项目（包括但不限于：咨询服务或公共服务或项目管理或绩效评价等服务项目）的业绩复印件（需体现服务时间）；</w:t>
            </w:r>
            <w:r>
              <w:rPr>
                <w:rFonts w:ascii="宋体" w:hAnsi="宋体" w:cs="宋体"/>
                <w:b/>
                <w:bCs/>
                <w:color w:val="auto"/>
                <w:sz w:val="24"/>
                <w:highlight w:val="none"/>
              </w:rPr>
              <w:t xml:space="preserve">③</w:t>
            </w:r>
            <w:r>
              <w:rPr>
                <w:rFonts w:hint="eastAsia" w:ascii="宋体" w:hAnsi="宋体" w:cs="宋体"/>
                <w:b/>
                <w:bCs/>
                <w:color w:val="auto"/>
                <w:sz w:val="24"/>
                <w:highlight w:val="none"/>
              </w:rPr>
              <w:t xml:space="preserve">被服务单位（非投标人）出具的证明材料复印件。）</w:t>
            </w:r>
            <w:r/>
          </w:p>
        </w:tc>
        <w:tc>
          <w:tcPr>
            <w:gridSpan w:val="2"/>
            <w:tcBorders>
              <w:top w:val="single" w:color="000000" w:sz="4" w:space="0"/>
              <w:left w:val="single" w:color="000000" w:sz="4" w:space="0"/>
              <w:bottom w:val="single" w:color="auto" w:sz="4" w:space="0"/>
              <w:right w:val="single" w:color="000000" w:sz="4" w:space="0"/>
            </w:tcBorders>
            <w:tcW w:w="649" w:type="dxa"/>
            <w:vAlign w:val="center"/>
            <w:textDirection w:val="lrTb"/>
            <w:noWrap/>
          </w:tcPr>
          <w:p>
            <w:pPr>
              <w:jc w:val="center"/>
              <w:spacing w:line="242" w:lineRule="auto"/>
              <w:rPr>
                <w:rFonts w:hint="eastAsia" w:ascii="宋体" w:hAnsi="宋体" w:cs="宋体"/>
                <w:color w:val="auto"/>
                <w:spacing w:val="-2"/>
                <w:sz w:val="24"/>
                <w:highlight w:val="none"/>
                <w:lang w:bidi="zh-CN"/>
              </w:rPr>
            </w:pPr>
            <w:r>
              <w:rPr>
                <w:rFonts w:hint="eastAsia" w:ascii="宋体" w:hAnsi="宋体" w:cs="宋体"/>
                <w:color w:val="auto"/>
                <w:spacing w:val="-2"/>
                <w:sz w:val="24"/>
                <w:highlight w:val="none"/>
                <w:lang w:bidi="zh-CN"/>
              </w:rPr>
              <w:t xml:space="preserve">7</w:t>
            </w:r>
            <w:r/>
          </w:p>
        </w:tc>
      </w:tr>
      <w:tr>
        <w:trPr>
          <w:jc w:val="center"/>
          <w:trHeight w:val="1708"/>
        </w:trPr>
        <w:tc>
          <w:tcPr>
            <w:tcBorders>
              <w:top w:val="single" w:color="auto" w:sz="4" w:space="0"/>
              <w:left w:val="single" w:color="auto" w:sz="4" w:space="0"/>
              <w:bottom w:val="single" w:color="auto" w:sz="4" w:space="0"/>
              <w:right w:val="single" w:color="000000" w:sz="4" w:space="0"/>
            </w:tcBorders>
            <w:tcW w:w="661" w:type="dxa"/>
            <w:vAlign w:val="center"/>
            <w:textDirection w:val="lrTb"/>
            <w:noWrap/>
          </w:tcPr>
          <w:p>
            <w:pPr>
              <w:spacing w:line="360" w:lineRule="auto"/>
              <w:rPr>
                <w:color w:val="auto"/>
                <w:sz w:val="24"/>
                <w:highlight w:val="none"/>
              </w:rPr>
            </w:pPr>
            <w:r>
              <w:rPr>
                <w:rFonts w:hint="eastAsia"/>
                <w:color w:val="auto"/>
                <w:sz w:val="24"/>
                <w:highlight w:val="none"/>
              </w:rPr>
              <w:t xml:space="preserve">3</w:t>
            </w:r>
            <w:r/>
          </w:p>
        </w:tc>
        <w:tc>
          <w:tcPr>
            <w:tcBorders>
              <w:top w:val="single" w:color="auto" w:sz="4" w:space="0"/>
              <w:left w:val="single" w:color="000000" w:sz="4" w:space="0"/>
              <w:bottom w:val="single" w:color="auto" w:sz="4" w:space="0"/>
              <w:right w:val="single" w:color="auto" w:sz="4" w:space="0"/>
            </w:tcBorders>
            <w:tcW w:w="884" w:type="dxa"/>
            <w:vAlign w:val="center"/>
            <w:textDirection w:val="lrTb"/>
            <w:noWrap/>
          </w:tcPr>
          <w:p>
            <w:pPr>
              <w:spacing w:line="360" w:lineRule="auto"/>
              <w:rPr>
                <w:color w:val="auto"/>
                <w:sz w:val="24"/>
                <w:highlight w:val="none"/>
              </w:rPr>
            </w:pPr>
            <w:r>
              <w:rPr>
                <w:rFonts w:hint="eastAsia"/>
                <w:color w:val="auto"/>
                <w:sz w:val="24"/>
                <w:highlight w:val="none"/>
              </w:rPr>
              <w:t xml:space="preserve">项目组成员要求</w:t>
            </w:r>
            <w:r/>
          </w:p>
        </w:tc>
        <w:tc>
          <w:tcPr>
            <w:gridSpan w:val="2"/>
            <w:tcBorders>
              <w:top w:val="single" w:color="auto" w:sz="4" w:space="0"/>
              <w:left w:val="single" w:color="auto" w:sz="4" w:space="0"/>
              <w:bottom w:val="single" w:color="000000" w:sz="4" w:space="0"/>
              <w:right w:val="single" w:color="auto" w:sz="4" w:space="0"/>
            </w:tcBorders>
            <w:tcW w:w="7739" w:type="dxa"/>
            <w:vAlign w:val="center"/>
            <w:textDirection w:val="lrTb"/>
            <w:noWrap/>
          </w:tcPr>
          <w:p>
            <w:pPr>
              <w:ind w:firstLine="422"/>
              <w:spacing w:line="360" w:lineRule="auto"/>
              <w:rPr>
                <w:rFonts w:hint="eastAsia" w:ascii="宋体" w:hAnsi="宋体" w:cs="宋体"/>
                <w:color w:val="auto"/>
                <w:sz w:val="24"/>
                <w:highlight w:val="none"/>
                <w:lang w:val="zh-CN"/>
              </w:rPr>
              <w:outlineLvl w:val="1"/>
            </w:pPr>
            <w:r>
              <w:rPr>
                <w:rFonts w:hint="eastAsia" w:ascii="宋体" w:hAnsi="宋体" w:cs="宋体"/>
                <w:color w:val="auto"/>
                <w:sz w:val="24"/>
                <w:highlight w:val="none"/>
              </w:rPr>
              <w:t xml:space="preserve">3.1</w:t>
            </w:r>
            <w:r>
              <w:rPr>
                <w:rFonts w:hint="eastAsia" w:ascii="宋体" w:hAnsi="宋体" w:cs="宋体"/>
                <w:color w:val="auto"/>
                <w:sz w:val="24"/>
                <w:highlight w:val="none"/>
                <w:lang w:val="zh-CN"/>
              </w:rPr>
              <w:t xml:space="preserve">除项目负责人以外，拟投入本项目的项目组成员，每有1人得1分，满分6分。</w:t>
            </w:r>
            <w:r/>
          </w:p>
          <w:p>
            <w:pPr>
              <w:pStyle w:val="873"/>
              <w:rPr>
                <w:rFonts w:hint="eastAsia" w:ascii="宋体" w:hAnsi="宋体" w:cs="宋体"/>
                <w:b/>
                <w:bCs/>
                <w:color w:val="auto"/>
                <w:highlight w:val="none"/>
              </w:rPr>
            </w:pPr>
            <w:r>
              <w:rPr>
                <w:rFonts w:hint="eastAsia" w:ascii="宋体" w:hAnsi="宋体" w:cs="宋体"/>
                <w:color w:val="auto"/>
                <w:highlight w:val="none"/>
              </w:rPr>
              <w:t xml:space="preserve">（</w:t>
            </w:r>
            <w:r>
              <w:rPr>
                <w:rFonts w:hint="eastAsia" w:ascii="宋体" w:hAnsi="宋体" w:cs="宋体"/>
                <w:b/>
                <w:bCs/>
                <w:color w:val="auto"/>
                <w:highlight w:val="none"/>
              </w:rPr>
              <w:t xml:space="preserve">提供人员清单及近半年（2026年5月-2026年10月）任一月投标人为其缴纳的社保证明复印件加盖供应商公章。）</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项目组成员</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除</w:t>
            </w:r>
            <w:r>
              <w:rPr>
                <w:rFonts w:hint="eastAsia" w:ascii="宋体" w:hAnsi="宋体" w:cs="宋体"/>
                <w:color w:val="auto"/>
                <w:sz w:val="24"/>
                <w:highlight w:val="none"/>
                <w:lang w:val="zh-CN"/>
              </w:rPr>
              <w:t xml:space="preserve">项目负责人以外）具有工业互联网</w:t>
            </w:r>
            <w:r>
              <w:rPr>
                <w:rFonts w:hint="eastAsia" w:ascii="宋体" w:hAnsi="宋体" w:cs="宋体"/>
                <w:color w:val="auto"/>
                <w:sz w:val="24"/>
                <w:highlight w:val="none"/>
              </w:rPr>
              <w:t xml:space="preserve">或</w:t>
            </w:r>
            <w:r>
              <w:rPr>
                <w:rFonts w:hint="eastAsia" w:ascii="宋体" w:hAnsi="宋体" w:cs="宋体"/>
                <w:color w:val="auto"/>
                <w:sz w:val="24"/>
                <w:highlight w:val="none"/>
                <w:lang w:val="zh-CN"/>
              </w:rPr>
              <w:t xml:space="preserve">电子信息</w:t>
            </w:r>
            <w:r>
              <w:rPr>
                <w:rFonts w:hint="eastAsia" w:ascii="宋体" w:hAnsi="宋体" w:cs="宋体"/>
                <w:color w:val="auto"/>
                <w:sz w:val="24"/>
                <w:highlight w:val="none"/>
              </w:rPr>
              <w:t xml:space="preserve">或</w:t>
            </w:r>
            <w:r>
              <w:rPr>
                <w:rFonts w:hint="eastAsia" w:ascii="宋体" w:hAnsi="宋体" w:cs="宋体"/>
                <w:color w:val="auto"/>
                <w:sz w:val="24"/>
                <w:highlight w:val="none"/>
                <w:lang w:val="zh-CN"/>
              </w:rPr>
              <w:t xml:space="preserve">信息与通信工程等</w:t>
            </w:r>
            <w:r>
              <w:rPr>
                <w:rFonts w:hint="eastAsia" w:ascii="宋体" w:hAnsi="宋体" w:cs="宋体"/>
                <w:color w:val="auto"/>
                <w:sz w:val="24"/>
                <w:highlight w:val="none"/>
              </w:rPr>
              <w:t xml:space="preserve">信息化类</w:t>
            </w:r>
            <w:r>
              <w:rPr>
                <w:rFonts w:hint="eastAsia" w:ascii="宋体" w:hAnsi="宋体" w:cs="宋体"/>
                <w:color w:val="auto"/>
                <w:sz w:val="24"/>
                <w:highlight w:val="none"/>
                <w:lang w:val="zh-CN"/>
              </w:rPr>
              <w:t xml:space="preserve">专业</w:t>
            </w:r>
            <w:r>
              <w:rPr>
                <w:rFonts w:hint="eastAsia" w:ascii="宋体" w:hAnsi="宋体" w:cs="宋体"/>
                <w:color w:val="auto"/>
                <w:sz w:val="24"/>
                <w:highlight w:val="none"/>
              </w:rPr>
              <w:t xml:space="preserve">或经济类或工业类或与本项目相关的</w:t>
            </w:r>
            <w:r>
              <w:rPr>
                <w:rFonts w:hint="eastAsia" w:ascii="宋体" w:hAnsi="宋体" w:cs="宋体"/>
                <w:color w:val="auto"/>
                <w:sz w:val="24"/>
                <w:highlight w:val="none"/>
                <w:lang w:val="zh-CN"/>
              </w:rPr>
              <w:t xml:space="preserve">高级及以上技术职称，每提供一人得</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分；具有工业互联网</w:t>
            </w:r>
            <w:r>
              <w:rPr>
                <w:rFonts w:hint="eastAsia" w:ascii="宋体" w:hAnsi="宋体" w:cs="宋体"/>
                <w:color w:val="auto"/>
                <w:sz w:val="24"/>
                <w:highlight w:val="none"/>
              </w:rPr>
              <w:t xml:space="preserve">或</w:t>
            </w:r>
            <w:r>
              <w:rPr>
                <w:rFonts w:hint="eastAsia" w:ascii="宋体" w:hAnsi="宋体" w:cs="宋体"/>
                <w:color w:val="auto"/>
                <w:sz w:val="24"/>
                <w:highlight w:val="none"/>
                <w:lang w:val="zh-CN"/>
              </w:rPr>
              <w:t xml:space="preserve">电子信息</w:t>
            </w:r>
            <w:r>
              <w:rPr>
                <w:rFonts w:hint="eastAsia" w:ascii="宋体" w:hAnsi="宋体" w:cs="宋体"/>
                <w:color w:val="auto"/>
                <w:sz w:val="24"/>
                <w:highlight w:val="none"/>
              </w:rPr>
              <w:t xml:space="preserve">或</w:t>
            </w:r>
            <w:r>
              <w:rPr>
                <w:rFonts w:hint="eastAsia" w:ascii="宋体" w:hAnsi="宋体" w:cs="宋体"/>
                <w:color w:val="auto"/>
                <w:sz w:val="24"/>
                <w:highlight w:val="none"/>
                <w:lang w:val="zh-CN"/>
              </w:rPr>
              <w:t xml:space="preserve">信息与通信工程等</w:t>
            </w:r>
            <w:r>
              <w:rPr>
                <w:rFonts w:hint="eastAsia" w:ascii="宋体" w:hAnsi="宋体" w:cs="宋体"/>
                <w:color w:val="auto"/>
                <w:sz w:val="24"/>
                <w:highlight w:val="none"/>
              </w:rPr>
              <w:t xml:space="preserve">信息化类</w:t>
            </w:r>
            <w:r>
              <w:rPr>
                <w:rFonts w:hint="eastAsia" w:ascii="宋体" w:hAnsi="宋体" w:cs="宋体"/>
                <w:color w:val="auto"/>
                <w:sz w:val="24"/>
                <w:highlight w:val="none"/>
                <w:lang w:val="zh-CN"/>
              </w:rPr>
              <w:t xml:space="preserve">专业</w:t>
            </w:r>
            <w:r>
              <w:rPr>
                <w:rFonts w:hint="eastAsia" w:ascii="宋体" w:hAnsi="宋体" w:cs="宋体"/>
                <w:color w:val="auto"/>
                <w:sz w:val="24"/>
                <w:highlight w:val="none"/>
              </w:rPr>
              <w:t xml:space="preserve">或经济类或工业类或与本项目相关的</w:t>
            </w:r>
            <w:r>
              <w:rPr>
                <w:rFonts w:hint="eastAsia" w:ascii="宋体" w:hAnsi="宋体" w:cs="宋体"/>
                <w:color w:val="auto"/>
                <w:sz w:val="24"/>
                <w:highlight w:val="none"/>
                <w:lang w:val="zh-CN"/>
              </w:rPr>
              <w:t xml:space="preserve">中级技术职称，每提供一人得</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分，</w:t>
            </w:r>
            <w:r>
              <w:rPr>
                <w:rFonts w:hint="eastAsia" w:ascii="宋体" w:hAnsi="宋体" w:cs="宋体"/>
                <w:color w:val="auto"/>
                <w:sz w:val="24"/>
                <w:highlight w:val="none"/>
              </w:rPr>
              <w:t xml:space="preserve">其他</w:t>
            </w:r>
            <w:r>
              <w:rPr>
                <w:rFonts w:hint="eastAsia" w:ascii="宋体" w:hAnsi="宋体" w:cs="宋体"/>
                <w:color w:val="auto"/>
                <w:sz w:val="24"/>
                <w:highlight w:val="none"/>
                <w:lang w:val="zh-CN"/>
              </w:rPr>
              <w:t xml:space="preserve">不得分；可累计得分，本项最多得</w:t>
            </w:r>
            <w:r>
              <w:rPr>
                <w:rFonts w:hint="eastAsia" w:ascii="宋体" w:hAnsi="宋体" w:cs="宋体"/>
                <w:color w:val="auto"/>
                <w:sz w:val="24"/>
                <w:highlight w:val="none"/>
              </w:rPr>
              <w:t xml:space="preserve">16</w:t>
            </w:r>
            <w:r>
              <w:rPr>
                <w:rFonts w:hint="eastAsia" w:ascii="宋体" w:hAnsi="宋体" w:cs="宋体"/>
                <w:color w:val="auto"/>
                <w:sz w:val="24"/>
                <w:highlight w:val="none"/>
                <w:lang w:val="zh-CN"/>
              </w:rPr>
              <w:t xml:space="preserve">分。专业以职称证书为准，如职称证书反映不出专业的，则以毕业证书上专业为准</w:t>
            </w:r>
            <w:r>
              <w:rPr>
                <w:rFonts w:hint="eastAsia" w:ascii="宋体" w:hAnsi="宋体" w:cs="宋体"/>
                <w:color w:val="auto"/>
                <w:sz w:val="24"/>
                <w:highlight w:val="none"/>
              </w:rPr>
              <w:t xml:space="preserve">。</w:t>
            </w:r>
            <w:r/>
          </w:p>
          <w:p>
            <w:pPr>
              <w:spacing w:line="360" w:lineRule="auto"/>
              <w:rPr>
                <w:rFonts w:hint="default" w:eastAsiaTheme="minorEastAsia"/>
                <w:color w:val="auto"/>
                <w:highlight w:val="none"/>
                <w:lang w:val="en-US" w:eastAsia="zh-CN"/>
              </w:rPr>
            </w:pPr>
            <w:r>
              <w:rPr>
                <w:rFonts w:hint="eastAsia" w:ascii="宋体" w:hAnsi="宋体" w:cs="宋体"/>
                <w:b/>
                <w:bCs/>
                <w:color w:val="auto"/>
                <w:sz w:val="24"/>
                <w:highlight w:val="none"/>
              </w:rPr>
              <w:t xml:space="preserve">（提供证书复印件以及近半年（2026年5月-2026年10月）任一月投标人为其缴纳的社保证明复印件加盖供应商公章。同一人员证书按最高级只计取一次得分。因所提供证明材料不全或内容不明，导致评标委员会无法认定时，则视为未提供，不予赋分。）</w:t>
            </w:r>
            <w:r/>
          </w:p>
        </w:tc>
        <w:tc>
          <w:tcPr>
            <w:gridSpan w:val="2"/>
            <w:tcBorders>
              <w:top w:val="single" w:color="auto" w:sz="4" w:space="0"/>
              <w:left w:val="single" w:color="auto" w:sz="4" w:space="0"/>
              <w:bottom w:val="single" w:color="auto" w:sz="4" w:space="0"/>
              <w:right w:val="single" w:color="auto" w:sz="4" w:space="0"/>
            </w:tcBorders>
            <w:tcW w:w="649" w:type="dxa"/>
            <w:vAlign w:val="center"/>
            <w:textDirection w:val="lrTb"/>
            <w:noWrap/>
          </w:tcPr>
          <w:p>
            <w:pPr>
              <w:jc w:val="center"/>
              <w:spacing w:line="242" w:lineRule="auto"/>
              <w:rPr>
                <w:rFonts w:hint="eastAsia" w:ascii="宋体" w:hAnsi="宋体" w:cs="宋体"/>
                <w:color w:val="auto"/>
                <w:spacing w:val="-2"/>
                <w:sz w:val="24"/>
                <w:highlight w:val="none"/>
                <w:lang w:bidi="zh-CN"/>
              </w:rPr>
            </w:pPr>
            <w:r>
              <w:rPr>
                <w:rFonts w:hint="eastAsia" w:ascii="宋体" w:hAnsi="宋体" w:cs="宋体"/>
                <w:color w:val="auto"/>
                <w:spacing w:val="-2"/>
                <w:sz w:val="24"/>
                <w:highlight w:val="none"/>
                <w:lang w:bidi="zh-CN"/>
              </w:rPr>
              <w:t xml:space="preserve">22</w:t>
            </w:r>
            <w:r/>
          </w:p>
        </w:tc>
      </w:tr>
      <w:tr>
        <w:trPr>
          <w:jc w:val="center"/>
          <w:trHeight w:val="934"/>
        </w:trPr>
        <w:tc>
          <w:tcPr>
            <w:tcBorders>
              <w:top w:val="single" w:color="auto" w:sz="4" w:space="0"/>
              <w:left w:val="single" w:color="000000" w:sz="4" w:space="0"/>
              <w:bottom w:val="single" w:color="000000" w:sz="4" w:space="0"/>
              <w:right w:val="single" w:color="000000" w:sz="4" w:space="0"/>
            </w:tcBorders>
            <w:tcW w:w="661" w:type="dxa"/>
            <w:vAlign w:val="center"/>
            <w:textDirection w:val="lrTb"/>
            <w:noWrap/>
          </w:tcPr>
          <w:p>
            <w:pPr>
              <w:pStyle w:val="891"/>
              <w:jc w:val="center"/>
              <w:rPr>
                <w:rFonts w:hint="eastAsia"/>
                <w:color w:val="auto"/>
                <w:sz w:val="24"/>
                <w:szCs w:val="24"/>
                <w:highlight w:val="none"/>
                <w:lang w:val="en-US"/>
              </w:rPr>
            </w:pPr>
            <w:r>
              <w:rPr>
                <w:rFonts w:hint="eastAsia"/>
                <w:color w:val="auto"/>
                <w:sz w:val="24"/>
                <w:szCs w:val="24"/>
                <w:highlight w:val="none"/>
                <w:lang w:val="en-US"/>
              </w:rPr>
              <w:t xml:space="preserve">4</w:t>
            </w:r>
            <w:r/>
          </w:p>
        </w:tc>
        <w:tc>
          <w:tcPr>
            <w:tcBorders>
              <w:top w:val="single" w:color="auto" w:sz="4" w:space="0"/>
              <w:left w:val="single" w:color="000000" w:sz="4" w:space="0"/>
              <w:bottom w:val="single" w:color="000000" w:sz="4" w:space="0"/>
              <w:right w:val="single" w:color="000000" w:sz="4" w:space="0"/>
            </w:tcBorders>
            <w:tcW w:w="884" w:type="dxa"/>
            <w:vAlign w:val="center"/>
            <w:textDirection w:val="lrTb"/>
            <w:noWrap/>
          </w:tcPr>
          <w:p>
            <w:pPr>
              <w:jc w:val="center"/>
              <w:spacing w:line="242" w:lineRule="auto"/>
              <w:rPr>
                <w:rFonts w:hint="eastAsia" w:ascii="宋体" w:hAnsi="宋体" w:cs="宋体"/>
                <w:color w:val="auto"/>
                <w:spacing w:val="-2"/>
                <w:sz w:val="24"/>
                <w:highlight w:val="none"/>
                <w:lang w:bidi="zh-CN"/>
              </w:rPr>
            </w:pPr>
            <w:r>
              <w:rPr>
                <w:rFonts w:hint="eastAsia" w:ascii="宋体" w:hAnsi="宋体" w:cs="宋体"/>
                <w:color w:val="auto"/>
                <w:spacing w:val="-2"/>
                <w:sz w:val="24"/>
                <w:highlight w:val="none"/>
                <w:lang w:bidi="zh-CN"/>
              </w:rPr>
              <w:t xml:space="preserve">同类项目经验</w:t>
            </w:r>
            <w:r/>
          </w:p>
        </w:tc>
        <w:tc>
          <w:tcPr>
            <w:gridSpan w:val="2"/>
            <w:tcBorders>
              <w:top w:val="single" w:color="000000" w:sz="4" w:space="0"/>
              <w:left w:val="single" w:color="000000" w:sz="4" w:space="0"/>
              <w:bottom w:val="single" w:color="000000" w:sz="4" w:space="0"/>
              <w:right w:val="single" w:color="000000" w:sz="4" w:space="0"/>
            </w:tcBorders>
            <w:tcW w:w="7739" w:type="dxa"/>
            <w:vAlign w:val="center"/>
            <w:textDirection w:val="lrTb"/>
            <w:noWrap/>
          </w:tcPr>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提供自2023年1月1日以来，具有类似制造业新型技术改造项目（包括但不限于：咨询服务或公共服务或项目管理或绩效评价等服务项目）业绩的，每提供一份业绩证明得3分，最高得9分。</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（提供业绩合同复印件加盖投标供应商公章，时间以合同签订时间为准，业绩需包含合同关键页并能体现相应内容。）</w:t>
            </w:r>
            <w:r/>
          </w:p>
        </w:tc>
        <w:tc>
          <w:tcPr>
            <w:gridSpan w:val="2"/>
            <w:tcBorders>
              <w:top w:val="single" w:color="auto" w:sz="4" w:space="0"/>
              <w:left w:val="single" w:color="000000" w:sz="4" w:space="0"/>
              <w:bottom w:val="single" w:color="000000" w:sz="4" w:space="0"/>
              <w:right w:val="single" w:color="000000" w:sz="4" w:space="0"/>
            </w:tcBorders>
            <w:tcW w:w="649" w:type="dxa"/>
            <w:vAlign w:val="center"/>
            <w:textDirection w:val="lrTb"/>
            <w:noWrap/>
          </w:tcPr>
          <w:p>
            <w:pPr>
              <w:jc w:val="center"/>
              <w:spacing w:line="242" w:lineRule="auto"/>
              <w:rPr>
                <w:rFonts w:hint="eastAsia" w:ascii="宋体" w:hAnsi="宋体" w:cs="宋体"/>
                <w:color w:val="auto"/>
                <w:spacing w:val="-2"/>
                <w:sz w:val="24"/>
                <w:highlight w:val="none"/>
                <w:lang w:bidi="zh-CN"/>
              </w:rPr>
            </w:pPr>
            <w:r>
              <w:rPr>
                <w:rFonts w:hint="eastAsia" w:ascii="宋体" w:hAnsi="宋体" w:cs="宋体"/>
                <w:color w:val="auto"/>
                <w:spacing w:val="-2"/>
                <w:sz w:val="24"/>
                <w:highlight w:val="none"/>
                <w:lang w:bidi="zh-CN"/>
              </w:rPr>
              <w:t xml:space="preserve">9</w:t>
            </w:r>
            <w:r/>
          </w:p>
        </w:tc>
      </w:tr>
      <w:tr>
        <w:trPr>
          <w:jc w:val="center"/>
          <w:trHeight w:val="264"/>
        </w:trPr>
        <w:tc>
          <w:tcPr>
            <w:gridSpan w:val="6"/>
            <w:tcBorders>
              <w:top w:val="single" w:color="000000" w:sz="4" w:space="0"/>
              <w:left w:val="single" w:color="000000" w:sz="4" w:space="0"/>
              <w:bottom w:val="single" w:color="000000" w:sz="4" w:space="0"/>
              <w:right w:val="single" w:color="000000" w:sz="4" w:space="0"/>
            </w:tcBorders>
            <w:tcW w:w="9933" w:type="dxa"/>
            <w:vAlign w:val="center"/>
            <w:textDirection w:val="lrTb"/>
            <w:noWrap/>
          </w:tcPr>
          <w:p>
            <w:pPr>
              <w:jc w:val="center"/>
              <w:spacing w:line="242" w:lineRule="auto"/>
              <w:rPr>
                <w:rFonts w:hint="eastAsia" w:ascii="宋体" w:hAnsi="宋体" w:cs="宋体"/>
                <w:color w:val="auto"/>
                <w:spacing w:val="-2"/>
                <w:sz w:val="24"/>
                <w:highlight w:val="none"/>
                <w:lang w:bidi="zh-CN"/>
              </w:rPr>
            </w:pPr>
            <w:r>
              <w:rPr>
                <w:rFonts w:hint="eastAsia" w:ascii="宋体" w:hAnsi="宋体" w:cs="宋体"/>
                <w:b/>
                <w:bCs/>
                <w:color w:val="auto"/>
                <w:spacing w:val="-2"/>
                <w:sz w:val="24"/>
                <w:highlight w:val="none"/>
                <w:lang w:bidi="zh-CN"/>
              </w:rPr>
              <w:t xml:space="preserve">技术部分</w:t>
            </w:r>
            <w:r/>
          </w:p>
        </w:tc>
      </w:tr>
      <w:tr>
        <w:trPr>
          <w:jc w:val="center"/>
          <w:trHeight w:val="97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91"/>
              <w:jc w:val="center"/>
              <w:rPr>
                <w:rFonts w:hint="eastAsia"/>
                <w:color w:val="auto"/>
                <w:sz w:val="24"/>
                <w:szCs w:val="24"/>
                <w:highlight w:val="none"/>
                <w:lang w:val="en-US"/>
              </w:rPr>
            </w:pPr>
            <w:r>
              <w:rPr>
                <w:rFonts w:hint="eastAsia"/>
                <w:color w:val="auto"/>
                <w:sz w:val="24"/>
                <w:szCs w:val="24"/>
                <w:highlight w:val="none"/>
                <w:lang w:val="en-US"/>
              </w:rPr>
              <w:t xml:space="preserve">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rPr>
                <w:rFonts w:hint="eastAsia" w:ascii="宋体" w:hAnsi="宋体" w:cs="宋体"/>
                <w:color w:val="auto"/>
                <w:sz w:val="24"/>
                <w:highlight w:val="none"/>
              </w:rPr>
            </w:pPr>
            <w:r>
              <w:rPr>
                <w:rFonts w:ascii="宋体" w:hAnsi="宋体" w:cs="宋体"/>
                <w:color w:val="auto"/>
                <w:sz w:val="24"/>
                <w:highlight w:val="none"/>
              </w:rPr>
              <w:t xml:space="preserve">对项目的理解及认识程度</w:t>
            </w:r>
            <w:r/>
          </w:p>
        </w:tc>
        <w:tc>
          <w:tcPr>
            <w:gridSpan w:val="2"/>
            <w:tcBorders>
              <w:top w:val="single" w:color="000000" w:sz="4" w:space="0"/>
              <w:left w:val="single" w:color="000000" w:sz="4" w:space="0"/>
              <w:bottom w:val="single" w:color="000000" w:sz="4" w:space="0"/>
              <w:right w:val="single" w:color="000000" w:sz="4" w:space="0"/>
            </w:tcBorders>
            <w:tcW w:w="7739" w:type="dxa"/>
            <w:vAlign w:val="center"/>
            <w:textDirection w:val="lrTb"/>
            <w:noWrap/>
          </w:tcPr>
          <w:p>
            <w:pPr>
              <w:ind w:firstLine="422"/>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供应商对国家新型技术改造试点工作要求熟悉掌握，对南京市重点产业新型技改现状认识理解到位，能准确把握南京市新型技术改造的需求，对新型技术改造的工作目标、重点任务等理解分析透彻，具有创新能力。</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评审要求：</w:t>
            </w:r>
            <w:r/>
          </w:p>
          <w:p>
            <w:pPr>
              <w:ind w:firstLine="422"/>
              <w:spacing w:line="360" w:lineRule="auto"/>
              <w:rPr>
                <w:rFonts w:hint="eastAsia" w:ascii="宋体" w:hAnsi="宋体" w:cs="宋体"/>
                <w:color w:val="auto"/>
                <w:sz w:val="24"/>
                <w:highlight w:val="none"/>
                <w:lang w:val="zh-CN"/>
              </w:rPr>
              <w:outlineLvl w:val="1"/>
            </w:pPr>
            <w:r>
              <w:rPr>
                <w:rFonts w:hint="eastAsia" w:ascii="宋体" w:hAnsi="宋体" w:cs="宋体"/>
                <w:color w:val="auto"/>
                <w:sz w:val="24"/>
                <w:highlight w:val="none"/>
              </w:rPr>
              <w:t xml:space="preserve">①整体方案标准规范、理念先进、目标清晰、实施具体方案详尽、能够最大限度满足本项目需要，整个方案具有很强的实用性和可行性强，语言表述准确清晰，方案可信度高，得7分；</w:t>
            </w:r>
            <w:r/>
          </w:p>
          <w:p>
            <w:pPr>
              <w:ind w:firstLine="422"/>
              <w:spacing w:line="360" w:lineRule="auto"/>
              <w:rPr>
                <w:rFonts w:hint="eastAsia" w:ascii="宋体" w:hAnsi="宋体" w:cs="宋体"/>
                <w:color w:val="auto"/>
                <w:sz w:val="24"/>
                <w:highlight w:val="none"/>
                <w:lang w:val="zh-CN"/>
              </w:rPr>
              <w:outlineLvl w:val="1"/>
            </w:pPr>
            <w:r>
              <w:rPr>
                <w:rFonts w:hint="eastAsia" w:ascii="宋体" w:hAnsi="宋体" w:cs="宋体"/>
                <w:color w:val="auto"/>
                <w:sz w:val="24"/>
                <w:highlight w:val="none"/>
              </w:rPr>
              <w:t xml:space="preserve">②整体方案标准、理念等方案相对规范合理，能抓住重点，内容相对完整。针对采购项目的需求，业务方案针对性、实用性、可行性妥当，得5分；</w:t>
            </w:r>
            <w:r/>
          </w:p>
          <w:p>
            <w:pPr>
              <w:ind w:firstLine="422"/>
              <w:spacing w:line="360" w:lineRule="auto"/>
              <w:rPr>
                <w:rFonts w:hint="eastAsia" w:ascii="宋体" w:hAnsi="宋体" w:cs="宋体"/>
                <w:color w:val="auto"/>
                <w:sz w:val="24"/>
                <w:highlight w:val="none"/>
                <w:lang w:val="zh-CN"/>
              </w:rPr>
              <w:outlineLvl w:val="1"/>
            </w:pPr>
            <w:r>
              <w:rPr>
                <w:rFonts w:hint="eastAsia" w:ascii="宋体" w:hAnsi="宋体" w:cs="宋体"/>
                <w:color w:val="auto"/>
                <w:sz w:val="24"/>
                <w:highlight w:val="none"/>
              </w:rPr>
              <w:t xml:space="preserve">③整体方案标准、理念等方案不能完全抓住重点，内容相对完整。针对采购项目的需求，业务方案针对性、实用性、可行性一般，但不影响实际工作，得3分；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④整体方案标准、服务理念等方案内容笼统，操作性差，不满足项目要求，没有进一步的优化。整个方案针对性、实用性和可行性差，得1分；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⑤未提供不得分。</w:t>
            </w:r>
            <w:r/>
          </w:p>
        </w:tc>
        <w:tc>
          <w:tcPr>
            <w:gridSpan w:val="2"/>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spacing w:line="242" w:lineRule="auto"/>
              <w:rPr>
                <w:rFonts w:hint="eastAsia" w:ascii="宋体" w:hAnsi="宋体" w:cs="宋体"/>
                <w:color w:val="auto"/>
                <w:sz w:val="24"/>
                <w:highlight w:val="none"/>
              </w:rPr>
            </w:pPr>
            <w:r>
              <w:rPr>
                <w:rFonts w:hint="eastAsia" w:ascii="宋体" w:hAnsi="宋体" w:cs="宋体"/>
                <w:color w:val="auto"/>
                <w:spacing w:val="-2"/>
                <w:sz w:val="24"/>
                <w:highlight w:val="none"/>
                <w:lang w:bidi="zh-CN"/>
              </w:rPr>
              <w:t xml:space="preserve">7</w:t>
            </w:r>
            <w:r/>
          </w:p>
        </w:tc>
      </w:tr>
      <w:tr>
        <w:trPr>
          <w:jc w:val="center"/>
          <w:trHeight w:val="1151"/>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91"/>
              <w:jc w:val="center"/>
              <w:rPr>
                <w:rFonts w:hint="eastAsia"/>
                <w:color w:val="auto"/>
                <w:sz w:val="24"/>
                <w:szCs w:val="24"/>
                <w:highlight w:val="none"/>
                <w:lang w:val="en-US"/>
              </w:rPr>
            </w:pPr>
            <w:r>
              <w:rPr>
                <w:rFonts w:hint="eastAsia"/>
                <w:color w:val="auto"/>
                <w:sz w:val="24"/>
                <w:szCs w:val="24"/>
                <w:highlight w:val="none"/>
                <w:lang w:val="en-US"/>
              </w:rPr>
              <w:t xml:space="preserve">6</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全面支撑试点工作组织实施服务方案</w:t>
            </w:r>
            <w:r/>
          </w:p>
        </w:tc>
        <w:tc>
          <w:tcPr>
            <w:gridSpan w:val="2"/>
            <w:tcBorders>
              <w:top w:val="single" w:color="000000" w:sz="4" w:space="0"/>
              <w:left w:val="single" w:color="000000" w:sz="4" w:space="0"/>
              <w:bottom w:val="single" w:color="000000" w:sz="4" w:space="0"/>
              <w:right w:val="single" w:color="000000" w:sz="4" w:space="0"/>
            </w:tcBorders>
            <w:tcW w:w="7739" w:type="dxa"/>
            <w:vAlign w:val="center"/>
            <w:textDirection w:val="lrTb"/>
            <w:noWrap/>
          </w:tcPr>
          <w:p>
            <w:pPr>
              <w:ind w:firstLine="422"/>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供应商提供全面支撑试点工作组织实施的服务方案（包括但不限于1.专业研究服务。2.重点会议会务服务。3.项目核查评估服务。4.项目建设过程辅助监测服务。5.资金拨付前专业技术支撑服务。6.阶段评估咨询服务。7.项目竣工验收专业支撑服务。8.终期评估咨询服务。9.项目数据运维服务。）</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评审要求：</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①整体方案标准规范、理念先进、目标清晰、实施具体方案详尽、能够最大限度满足本项目需要，整个方案具有很强的实用性和可行性强，语言表述准确清晰，方案可信度高，得7分；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②整体方案标准、理念等方案相对规范合理，能抓住重点，内容相对完整。针对采购项目的需求，业务方案针对性、实用性、可行性妥当，得5分；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③整体方案标准、理念等方案不能完全抓住重点，内容相对完整。针对采购项目的需求，业务方案针对性、实用性、可行性一般，但不影响实际工作，得3分；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④整体方案标准、服务理念等方案内容笼统，操作性差，不满足项目要求，没有进一步的优化。整个方案针对性、实用性和可行性差，得1分。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⑤未提供不得分。</w:t>
            </w:r>
            <w:r/>
          </w:p>
        </w:tc>
        <w:tc>
          <w:tcPr>
            <w:gridSpan w:val="2"/>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spacing w:line="242"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p>
        </w:tc>
      </w:tr>
      <w:tr>
        <w:trPr>
          <w:jc w:val="center"/>
          <w:trHeight w:val="202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91"/>
              <w:jc w:val="center"/>
              <w:rPr>
                <w:rFonts w:hint="eastAsia"/>
                <w:color w:val="auto"/>
                <w:sz w:val="24"/>
                <w:szCs w:val="24"/>
                <w:highlight w:val="none"/>
                <w:lang w:val="en-US"/>
              </w:rPr>
            </w:pPr>
            <w:r>
              <w:rPr>
                <w:rFonts w:hint="eastAsia"/>
                <w:color w:val="auto"/>
                <w:sz w:val="24"/>
                <w:szCs w:val="24"/>
                <w:highlight w:val="none"/>
                <w:lang w:val="en-US"/>
              </w:rPr>
              <w:t xml:space="preserve">7</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新型技改全域赋能及精准培育服务方案</w:t>
            </w:r>
            <w:r/>
          </w:p>
        </w:tc>
        <w:tc>
          <w:tcPr>
            <w:gridSpan w:val="2"/>
            <w:tcBorders>
              <w:top w:val="single" w:color="000000" w:sz="4" w:space="0"/>
              <w:left w:val="single" w:color="000000" w:sz="4" w:space="0"/>
              <w:bottom w:val="single" w:color="000000" w:sz="4" w:space="0"/>
              <w:right w:val="single" w:color="000000" w:sz="4" w:space="0"/>
            </w:tcBorders>
            <w:tcW w:w="7739" w:type="dxa"/>
            <w:vAlign w:val="center"/>
            <w:textDirection w:val="lrTb"/>
            <w:noWrap/>
          </w:tcPr>
          <w:p>
            <w:pPr>
              <w:ind w:firstLine="422"/>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供应商提供新型技改全域赋能及精准培育服务方案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包括但不限于1.</w:t>
            </w:r>
            <w:r>
              <w:rPr>
                <w:rFonts w:hint="eastAsia" w:ascii="宋体" w:hAnsi="宋体" w:cs="宋体"/>
                <w:b/>
                <w:bCs/>
                <w:color w:val="auto"/>
                <w:sz w:val="24"/>
                <w:highlight w:val="none"/>
              </w:rPr>
              <w:t xml:space="preserve">培训与交流活动会务服务</w:t>
            </w:r>
            <w:r>
              <w:rPr>
                <w:rFonts w:hint="eastAsia" w:ascii="宋体" w:hAnsi="宋体" w:cs="宋体"/>
                <w:b/>
                <w:bCs/>
                <w:color w:val="auto"/>
                <w:sz w:val="24"/>
                <w:highlight w:val="none"/>
                <w:lang w:val="en-US" w:eastAsia="zh-CN"/>
              </w:rPr>
              <w:t xml:space="preserve">方案。2.</w:t>
            </w:r>
            <w:r>
              <w:rPr>
                <w:rFonts w:hint="eastAsia" w:ascii="宋体" w:hAnsi="宋体" w:cs="宋体"/>
                <w:b/>
                <w:bCs/>
                <w:color w:val="auto"/>
                <w:sz w:val="24"/>
                <w:highlight w:val="none"/>
              </w:rPr>
              <w:t xml:space="preserve">策划试点全周期、分层级系统化赋能培训及辅导方案，明确不同阶段面向不同主体的赋能辅导内容</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评审要求：</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①整体方案标准规范、理念先进、目标清晰、实施具体方案详尽、能够最大限度满足本项目需要，整个方案具有很强的实用性和可行性强，语言表述准确清晰，方案可信度高，得7分；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②整体方案标准、理念等方案相对规范合理，能抓住重点，内容相对完整。针对采购项目的需求，业务方案针对性、实用性、可行性妥当，得5分；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③整体方案标准、理念等方案不能完全抓住重点，内容相对完整。针对采购项目的需求，业务方案针对性、实用性、可行性一般，但不影响实际工作，得3分；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④整体方案标准、服务理念等方案内容笼统，操作性差，不满足项目要求，没有进一步的优化。整个方案针对性、实用性和可行性差，得1分。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⑤未提供不得分。</w:t>
            </w:r>
            <w:r/>
          </w:p>
        </w:tc>
        <w:tc>
          <w:tcPr>
            <w:gridSpan w:val="2"/>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spacing w:line="242" w:lineRule="auto"/>
              <w:rPr>
                <w:rFonts w:hint="eastAsia" w:ascii="宋体" w:hAnsi="宋体" w:cs="宋体"/>
                <w:color w:val="auto"/>
                <w:spacing w:val="-2"/>
                <w:sz w:val="24"/>
                <w:highlight w:val="none"/>
                <w:lang w:bidi="zh-CN"/>
              </w:rPr>
            </w:pPr>
            <w:r>
              <w:rPr>
                <w:rFonts w:hint="eastAsia" w:ascii="宋体" w:hAnsi="宋体" w:cs="宋体"/>
                <w:color w:val="auto"/>
                <w:spacing w:val="-2"/>
                <w:sz w:val="24"/>
                <w:highlight w:val="none"/>
                <w:lang w:bidi="zh-CN"/>
              </w:rPr>
              <w:t xml:space="preserve">7</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91"/>
              <w:jc w:val="center"/>
              <w:rPr>
                <w:rFonts w:hint="eastAsia"/>
                <w:color w:val="auto"/>
                <w:sz w:val="24"/>
                <w:szCs w:val="24"/>
                <w:highlight w:val="none"/>
                <w:lang w:val="en-US"/>
              </w:rPr>
            </w:pPr>
            <w:r>
              <w:rPr>
                <w:rFonts w:hint="eastAsia"/>
                <w:color w:val="auto"/>
                <w:sz w:val="24"/>
                <w:szCs w:val="24"/>
                <w:highlight w:val="none"/>
                <w:lang w:val="en-US"/>
              </w:rPr>
              <w:t xml:space="preserve">8</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rPr>
                <w:rFonts w:hint="eastAsia" w:ascii="宋体" w:hAnsi="宋体" w:cs="宋体"/>
                <w:color w:val="auto"/>
                <w:spacing w:val="-2"/>
                <w:sz w:val="24"/>
                <w:highlight w:val="none"/>
                <w:lang w:bidi="zh-CN"/>
              </w:rPr>
            </w:pPr>
            <w:r>
              <w:rPr>
                <w:rFonts w:hint="eastAsia" w:ascii="宋体" w:hAnsi="宋体" w:cs="宋体"/>
                <w:color w:val="auto"/>
                <w:sz w:val="24"/>
                <w:szCs w:val="24"/>
                <w:highlight w:val="none"/>
              </w:rPr>
              <w:t xml:space="preserve">全周期宣传策划与高层次示范推广服务方案</w:t>
            </w:r>
            <w:r/>
          </w:p>
        </w:tc>
        <w:tc>
          <w:tcPr>
            <w:gridSpan w:val="2"/>
            <w:tcBorders>
              <w:top w:val="single" w:color="000000" w:sz="4" w:space="0"/>
              <w:left w:val="single" w:color="000000" w:sz="4" w:space="0"/>
              <w:bottom w:val="single" w:color="000000" w:sz="4" w:space="0"/>
              <w:right w:val="single" w:color="000000" w:sz="4" w:space="0"/>
            </w:tcBorders>
            <w:tcW w:w="7739" w:type="dxa"/>
            <w:vAlign w:val="center"/>
            <w:textDirection w:val="lrTb"/>
            <w:noWrap/>
          </w:tcPr>
          <w:p>
            <w:pPr>
              <w:ind w:firstLine="422"/>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供应商提供全周期宣传策划与高层次示范推广服务方案</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包括但不限于1.宣传策划及推广方案。2.分阶段媒体推广方案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明确宣传目标，策划各阶段宣传主题，梳理宣传时间周期、发布媒体及主要宣传内容等</w:t>
            </w:r>
            <w:r>
              <w:rPr>
                <w:rFonts w:hint="eastAsia" w:ascii="宋体" w:hAnsi="宋体" w:cs="宋体"/>
                <w:b/>
                <w:bCs/>
                <w:color w:val="auto"/>
                <w:sz w:val="24"/>
                <w:highlight w:val="none"/>
                <w:lang w:eastAsia="zh-CN"/>
              </w:rPr>
              <w:t xml:space="preserve">）。</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评审要求：</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①整体方案标准规范、理念先进、目标清晰、实施具体方案详尽、能够最大限度满足本项目需要，整个方案具有很强的实用性和可行性强，语言表述准确清晰，方案可信度高，得7分；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②整体方案标准、理念等方案相对规范合理，能抓住重点，内容相对完整。针对采购项目的需求，业务方案针对性、实用性、可行性妥当，得5分；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③整体方案标准、理念等方案不能完全抓住重点，内容相对完整。针对采购项目的需求，业务方案针对性、实用性、可行性一般，但不影响实际工作，得3分；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④整体方案标准、服务理念等方案内容笼统，操作性差，不满足项目要求，没有进一步的优化。整个方案针对性、实用性和可行性差，得1分。</w:t>
            </w:r>
            <w:r/>
          </w:p>
          <w:p>
            <w:pPr>
              <w:rPr>
                <w:rFonts w:hint="eastAsia" w:ascii="宋体" w:hAnsi="宋体" w:cs="宋体"/>
                <w:color w:val="auto"/>
                <w:sz w:val="24"/>
                <w:highlight w:val="none"/>
                <w:lang w:bidi="zh-CN"/>
              </w:rPr>
            </w:pPr>
            <w:r>
              <w:rPr>
                <w:rFonts w:hint="eastAsia" w:ascii="宋体" w:hAnsi="宋体" w:cs="宋体"/>
                <w:color w:val="auto"/>
                <w:sz w:val="24"/>
                <w:highlight w:val="none"/>
              </w:rPr>
              <w:t xml:space="preserve">⑤未提供不得分。</w:t>
            </w:r>
            <w:r/>
          </w:p>
        </w:tc>
        <w:tc>
          <w:tcPr>
            <w:gridSpan w:val="2"/>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spacing w:line="242" w:lineRule="auto"/>
              <w:rPr>
                <w:rFonts w:hint="eastAsia" w:ascii="宋体" w:hAnsi="宋体" w:cs="宋体"/>
                <w:color w:val="auto"/>
                <w:spacing w:val="-2"/>
                <w:sz w:val="24"/>
                <w:highlight w:val="none"/>
                <w:lang w:bidi="zh-CN"/>
              </w:rPr>
            </w:pPr>
            <w:r>
              <w:rPr>
                <w:rFonts w:hint="eastAsia" w:ascii="宋体" w:hAnsi="宋体" w:cs="宋体"/>
                <w:color w:val="auto"/>
                <w:spacing w:val="-2"/>
                <w:sz w:val="24"/>
                <w:highlight w:val="none"/>
                <w:lang w:bidi="zh-CN"/>
              </w:rPr>
              <w:t xml:space="preserve">7</w:t>
            </w:r>
            <w:r/>
          </w:p>
        </w:tc>
      </w:tr>
      <w:tr>
        <w:trPr>
          <w:jc w:val="center"/>
          <w:trHeight w:val="385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91"/>
              <w:jc w:val="center"/>
              <w:rPr>
                <w:rFonts w:hint="eastAsia"/>
                <w:color w:val="auto"/>
                <w:sz w:val="24"/>
                <w:szCs w:val="24"/>
                <w:highlight w:val="none"/>
                <w:lang w:val="en-US"/>
              </w:rPr>
            </w:pPr>
            <w:r>
              <w:rPr>
                <w:rFonts w:hint="eastAsia"/>
                <w:color w:val="auto"/>
                <w:sz w:val="24"/>
                <w:szCs w:val="24"/>
                <w:highlight w:val="none"/>
                <w:lang w:val="en-US"/>
              </w:rPr>
              <w:t xml:space="preserve">9</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rPr>
                <w:rFonts w:hint="eastAsia" w:ascii="宋体" w:hAnsi="宋体" w:cs="宋体"/>
                <w:color w:val="auto"/>
                <w:spacing w:val="-2"/>
                <w:sz w:val="24"/>
                <w:highlight w:val="none"/>
                <w:lang w:bidi="zh-CN"/>
              </w:rPr>
            </w:pPr>
            <w:r>
              <w:rPr>
                <w:rFonts w:hint="eastAsia" w:ascii="宋体" w:hAnsi="宋体" w:cs="宋体"/>
                <w:color w:val="auto"/>
                <w:sz w:val="24"/>
                <w:highlight w:val="none"/>
              </w:rPr>
              <w:t xml:space="preserve">重点、难点分析</w:t>
            </w:r>
            <w:r/>
          </w:p>
        </w:tc>
        <w:tc>
          <w:tcPr>
            <w:gridSpan w:val="2"/>
            <w:tcBorders>
              <w:top w:val="single" w:color="000000" w:sz="4" w:space="0"/>
              <w:left w:val="single" w:color="000000" w:sz="4" w:space="0"/>
              <w:bottom w:val="single" w:color="000000" w:sz="4" w:space="0"/>
              <w:right w:val="single" w:color="000000" w:sz="4" w:space="0"/>
            </w:tcBorders>
            <w:tcW w:w="7739" w:type="dxa"/>
            <w:vAlign w:val="center"/>
            <w:textDirection w:val="lrTb"/>
            <w:noWrap/>
          </w:tcPr>
          <w:p>
            <w:pPr>
              <w:ind w:firstLine="422"/>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供应商需针对服务需求对项目进行重点、难点分析等内容，进行综合评分（包括但不限于1.重点分析。2.难点分析。）</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评审要求：</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①整体方案标准规范、理念先进、目标清晰、实施具体方案详尽、能够最大限度满足本项目需要，整个方案具有很强的实用性和可行性强，语言表述准确清晰，方案可信度高，得7分；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②整体方案标准、理念等方案相对规范合理，能抓住重点，内容相对完整。针对采购项目的需求，业务方案针对性、实用性、可行性妥当，得5分；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③整体方案标准、理念等方案不能完全抓住重点，内容相对完整。针对采购项目的需求，业务方案针对性、实用性、可行性一般，但不影响实际工作，得3分；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④整体方案标准、服务理念等方案内容笼统，操作性差，不满足项目要求，没有进一步的优化。整个方案针对性、实用性和可行性差，得1分。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⑤未提供不得分。</w:t>
            </w:r>
            <w:r/>
          </w:p>
        </w:tc>
        <w:tc>
          <w:tcPr>
            <w:gridSpan w:val="2"/>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spacing w:line="242" w:lineRule="auto"/>
              <w:rPr>
                <w:rFonts w:hint="eastAsia" w:ascii="宋体" w:hAnsi="宋体" w:cs="宋体"/>
                <w:color w:val="auto"/>
                <w:spacing w:val="-2"/>
                <w:sz w:val="24"/>
                <w:highlight w:val="none"/>
                <w:lang w:bidi="zh-CN"/>
              </w:rPr>
            </w:pPr>
            <w:r>
              <w:rPr>
                <w:rFonts w:hint="eastAsia" w:ascii="宋体" w:hAnsi="宋体" w:cs="宋体"/>
                <w:color w:val="auto"/>
                <w:spacing w:val="-2"/>
                <w:sz w:val="24"/>
                <w:highlight w:val="none"/>
                <w:lang w:bidi="zh-CN"/>
              </w:rPr>
              <w:t xml:space="preserve">7</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91"/>
              <w:jc w:val="center"/>
              <w:rPr>
                <w:rFonts w:hint="eastAsia"/>
                <w:color w:val="auto"/>
                <w:sz w:val="24"/>
                <w:szCs w:val="24"/>
                <w:highlight w:val="none"/>
                <w:lang w:val="en-US"/>
              </w:rPr>
            </w:pPr>
            <w:r>
              <w:rPr>
                <w:rFonts w:hint="eastAsia"/>
                <w:color w:val="auto"/>
                <w:sz w:val="24"/>
                <w:szCs w:val="24"/>
                <w:highlight w:val="none"/>
                <w:lang w:val="en-US"/>
              </w:rPr>
              <w:t xml:space="preserve">10</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rPr>
                <w:rFonts w:hint="eastAsia" w:ascii="宋体" w:hAnsi="宋体" w:cs="宋体"/>
                <w:color w:val="auto"/>
                <w:spacing w:val="-2"/>
                <w:sz w:val="24"/>
                <w:highlight w:val="none"/>
                <w:lang w:bidi="zh-CN"/>
              </w:rPr>
            </w:pPr>
            <w:r>
              <w:rPr>
                <w:rFonts w:hint="eastAsia" w:ascii="宋体" w:hAnsi="宋体" w:cs="宋体"/>
                <w:color w:val="auto"/>
                <w:sz w:val="24"/>
                <w:highlight w:val="none"/>
              </w:rPr>
              <w:t xml:space="preserve">进度控制方案</w:t>
            </w:r>
            <w:r/>
          </w:p>
        </w:tc>
        <w:tc>
          <w:tcPr>
            <w:gridSpan w:val="2"/>
            <w:tcBorders>
              <w:top w:val="single" w:color="000000" w:sz="4" w:space="0"/>
              <w:left w:val="single" w:color="000000" w:sz="4" w:space="0"/>
              <w:bottom w:val="single" w:color="000000" w:sz="4" w:space="0"/>
              <w:right w:val="single" w:color="000000" w:sz="4" w:space="0"/>
            </w:tcBorders>
            <w:tcW w:w="7739" w:type="dxa"/>
            <w:vAlign w:val="center"/>
            <w:textDirection w:val="lrTb"/>
            <w:noWrap/>
          </w:tcPr>
          <w:p>
            <w:pPr>
              <w:ind w:firstLine="422"/>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供应商提供进度控制方案（包括但不限于1.各阶段进度管理。2.各阶段进度控制。）</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评审要求：</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①整体方案标准规范、理念先进、目标清晰、实施具体方案详尽、能够最大限度满足本项目需要，整个方案具有很强的实用性和可行性强，语言表述准确清晰，方案可信度高，得6分；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②整体方案标准、理念等方案相对规范合理，能抓住重点，内容相对完整。针对采购项目的需求，业务方案针对性、实用性、可行性妥当，得4分；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③整体方案标准、服务理念等方案内容笼统，操作性差，不满足项目要求，没有进一步的优化。整个方案针对性、实用性和可行性差，得 2 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④未提供不得分。</w:t>
            </w:r>
            <w:r/>
          </w:p>
        </w:tc>
        <w:tc>
          <w:tcPr>
            <w:gridSpan w:val="2"/>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spacing w:line="242" w:lineRule="auto"/>
              <w:rPr>
                <w:rFonts w:hint="eastAsia" w:ascii="宋体" w:hAnsi="宋体" w:cs="宋体"/>
                <w:color w:val="auto"/>
                <w:spacing w:val="-2"/>
                <w:sz w:val="24"/>
                <w:highlight w:val="none"/>
                <w:lang w:bidi="zh-CN"/>
              </w:rPr>
            </w:pPr>
            <w:r>
              <w:rPr>
                <w:rFonts w:hint="eastAsia" w:ascii="宋体" w:hAnsi="宋体" w:cs="宋体"/>
                <w:color w:val="auto"/>
                <w:spacing w:val="-2"/>
                <w:sz w:val="24"/>
                <w:highlight w:val="none"/>
                <w:lang w:bidi="zh-CN"/>
              </w:rPr>
              <w:t xml:space="preserve">6</w:t>
            </w:r>
            <w:r/>
          </w:p>
        </w:tc>
      </w:tr>
      <w:tr>
        <w:trPr>
          <w:jc w:val="center"/>
          <w:trHeight w:val="2029"/>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91"/>
              <w:jc w:val="center"/>
              <w:rPr>
                <w:rFonts w:hint="eastAsia"/>
                <w:color w:val="auto"/>
                <w:sz w:val="24"/>
                <w:szCs w:val="24"/>
                <w:highlight w:val="none"/>
                <w:lang w:val="en-US"/>
              </w:rPr>
            </w:pPr>
            <w:r>
              <w:rPr>
                <w:rFonts w:hint="eastAsia"/>
                <w:color w:val="auto"/>
                <w:sz w:val="24"/>
                <w:szCs w:val="24"/>
                <w:highlight w:val="none"/>
                <w:lang w:val="en-US"/>
              </w:rPr>
              <w:t xml:space="preserve">11</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服务质量控制方案</w:t>
            </w:r>
            <w:r/>
          </w:p>
        </w:tc>
        <w:tc>
          <w:tcPr>
            <w:gridSpan w:val="2"/>
            <w:tcBorders>
              <w:top w:val="single" w:color="000000" w:sz="4" w:space="0"/>
              <w:left w:val="single" w:color="000000" w:sz="4" w:space="0"/>
              <w:bottom w:val="single" w:color="000000" w:sz="4" w:space="0"/>
              <w:right w:val="single" w:color="000000" w:sz="4" w:space="0"/>
            </w:tcBorders>
            <w:tcW w:w="7739" w:type="dxa"/>
            <w:vAlign w:val="center"/>
            <w:textDirection w:val="lrTb"/>
            <w:noWrap/>
          </w:tcPr>
          <w:p>
            <w:pPr>
              <w:ind w:firstLine="422"/>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供应商提供服务质量控制方案（包括但不限于</w:t>
            </w:r>
            <w:r>
              <w:rPr>
                <w:rFonts w:ascii="宋体" w:hAnsi="宋体" w:cs="宋体"/>
                <w:b/>
                <w:bCs/>
                <w:color w:val="auto"/>
                <w:sz w:val="24"/>
                <w:highlight w:val="none"/>
              </w:rPr>
              <w:t xml:space="preserve">1.</w:t>
            </w:r>
            <w:r>
              <w:rPr>
                <w:rFonts w:hint="eastAsia" w:ascii="宋体" w:hAnsi="宋体" w:cs="宋体"/>
                <w:b/>
                <w:bCs/>
                <w:color w:val="auto"/>
                <w:sz w:val="24"/>
                <w:highlight w:val="none"/>
              </w:rPr>
              <w:t xml:space="preserve">服务质量问题分析。</w:t>
            </w:r>
            <w:r>
              <w:rPr>
                <w:rFonts w:ascii="宋体" w:hAnsi="宋体" w:cs="宋体"/>
                <w:b/>
                <w:bCs/>
                <w:color w:val="auto"/>
                <w:sz w:val="24"/>
                <w:highlight w:val="none"/>
              </w:rPr>
              <w:t xml:space="preserve">2.</w:t>
            </w:r>
            <w:r>
              <w:rPr>
                <w:rFonts w:hint="eastAsia" w:ascii="宋体" w:hAnsi="宋体" w:cs="宋体"/>
                <w:b/>
                <w:bCs/>
                <w:color w:val="auto"/>
                <w:sz w:val="24"/>
                <w:highlight w:val="none"/>
              </w:rPr>
              <w:t xml:space="preserve">服务保障措施。）</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评审要求：</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①整体方案标准规范、理念先进、目标清晰、实施具体方案详尽、能够最大限度满足本项目需要，整个方案具有很强的实用性和可行性强，语言表述准确清晰，方案可信度高，得6分；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②整体方案标准、理念等方案相对规范合理，能抓住重点，内容相对完整。针对采购项目的需求，业务方案针对性、实用性、可行性妥当，得4分；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③整体方案标准、服务理念等方案内容笼统，操作性差，不满足项目要求，没有进一步的优化。整个方案针对性、实用性和可行性差，得2分；</w:t>
            </w:r>
            <w:r/>
          </w:p>
          <w:p>
            <w:pPr>
              <w:ind w:firstLine="422"/>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④未提供不得分。</w:t>
            </w:r>
            <w:r/>
          </w:p>
        </w:tc>
        <w:tc>
          <w:tcPr>
            <w:gridSpan w:val="2"/>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spacing w:line="242" w:lineRule="auto"/>
              <w:rPr>
                <w:rFonts w:hint="eastAsia" w:ascii="宋体" w:hAnsi="宋体" w:cs="宋体"/>
                <w:color w:val="auto"/>
                <w:spacing w:val="-2"/>
                <w:sz w:val="24"/>
                <w:highlight w:val="none"/>
                <w:lang w:bidi="zh-CN"/>
              </w:rPr>
            </w:pPr>
            <w:r>
              <w:rPr>
                <w:rFonts w:hint="eastAsia" w:ascii="宋体" w:hAnsi="宋体" w:cs="宋体"/>
                <w:color w:val="auto"/>
                <w:spacing w:val="-2"/>
                <w:sz w:val="24"/>
                <w:highlight w:val="none"/>
                <w:lang w:bidi="zh-CN"/>
              </w:rPr>
              <w:t xml:space="preserve">6</w:t>
            </w:r>
            <w:r/>
          </w:p>
        </w:tc>
      </w:tr>
    </w:tbl>
    <w:p>
      <w:pPr>
        <w:pStyle w:val="890"/>
        <w:spacing w:line="360" w:lineRule="auto"/>
        <w:tabs>
          <w:tab w:val="right" w:pos="8953" w:leader="none"/>
        </w:tabs>
        <w:rPr>
          <w:rFonts w:hint="eastAsia" w:hAnsi="宋体" w:cs="宋体"/>
          <w:b/>
          <w:color w:val="auto"/>
          <w:sz w:val="24"/>
          <w:szCs w:val="24"/>
          <w:highlight w:val="none"/>
        </w:rPr>
      </w:pPr>
      <w:r>
        <w:rPr>
          <w:rFonts w:hint="eastAsia" w:hAnsi="宋体" w:cs="宋体"/>
          <w:b/>
          <w:color w:val="auto"/>
          <w:sz w:val="24"/>
          <w:szCs w:val="24"/>
          <w:highlight w:val="none"/>
        </w:rPr>
      </w:r>
      <w:r/>
    </w:p>
    <w:p>
      <w:pPr>
        <w:pStyle w:val="890"/>
        <w:spacing w:line="360" w:lineRule="auto"/>
        <w:tabs>
          <w:tab w:val="right" w:pos="8953" w:leader="none"/>
        </w:tabs>
        <w:rPr>
          <w:rFonts w:hint="eastAsia" w:hAnsi="宋体" w:cs="宋体"/>
          <w:color w:val="auto"/>
          <w:highlight w:val="none"/>
        </w:rPr>
        <w:outlineLvl w:val="1"/>
      </w:pPr>
      <w:r>
        <w:rPr>
          <w:rFonts w:hint="eastAsia" w:hAnsi="宋体" w:cs="宋体"/>
          <w:b/>
          <w:color w:val="auto"/>
          <w:highlight w:val="none"/>
        </w:rPr>
        <w:t xml:space="preserve">说明：</w:t>
      </w:r>
      <w:r/>
    </w:p>
    <w:p>
      <w:pPr>
        <w:ind w:firstLine="422"/>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一、对国家认定的节能产品或环保产品分别给予投标价的5%价格扣除，用扣除后的价格参与评审（特别说明：节能、环保产品必须纳入“中国政府采购网http：//www.ccgp.gov.cn”等官方网站“节能、环保产品查询系统”，且以提供的证书复印件为准）。</w:t>
      </w:r>
      <w:r/>
    </w:p>
    <w:p>
      <w:pPr>
        <w:ind w:firstLine="422"/>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二、小微企业的价格扣除</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2.价格扣除比例或者价格分加分比例对小型企业和微型企业同等对待，不作区分。</w:t>
      </w:r>
      <w:r/>
    </w:p>
    <w:p>
      <w:pPr>
        <w:ind w:firstLine="422"/>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三、监狱和戒毒企业的价格扣除</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1.本项目对监狱和戒毒企业（简称监狱企业）视同小型、微型企业，享受相同的价格扣除优惠政策。</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2.监狱企业需提供由省级以上监狱管理局、戒毒管理局（含新疆生产建设兵团）出具的属于监狱企业的证明文件。</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22"/>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四、残疾人福利性单位的价格扣除</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1.本项目对残疾人福利性单位视同小型、微型企业，享受相同的价格扣除优惠政策。</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2.残疾人福利性单位需按照招标文件的要求提供《残疾人福利性单位声明函》。</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3.残疾人福利性单位标准请参照《关于促进残疾人就业政府采购政策的通知》（财库〔2017〕141号）。</w:t>
      </w:r>
      <w:r/>
    </w:p>
    <w:p>
      <w:pPr>
        <w:ind w:firstLine="422"/>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五、监狱企业、残疾人福利性单位属于小型、微型企业的，不重复享受政策。</w:t>
      </w:r>
      <w:r/>
    </w:p>
    <w:p>
      <w:pPr>
        <w:ind w:firstLine="422"/>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六、除评分标准中另有说明外，所有认证、证明和业绩均以有效的证明文件的复印件为依据。</w:t>
      </w:r>
      <w:r/>
    </w:p>
    <w:p>
      <w:pPr>
        <w:jc w:val="center"/>
        <w:rPr>
          <w:rFonts w:hint="eastAsia" w:ascii="宋体" w:hAnsi="宋体" w:cs="宋体"/>
          <w:b/>
          <w:bCs/>
          <w:color w:val="auto"/>
          <w:sz w:val="36"/>
          <w:szCs w:val="36"/>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bCs/>
          <w:color w:val="auto"/>
          <w:sz w:val="36"/>
          <w:szCs w:val="36"/>
          <w:highlight w:val="none"/>
        </w:rPr>
      </w:r>
      <w:r/>
    </w:p>
    <w:p>
      <w:pPr>
        <w:jc w:val="center"/>
        <w:spacing w:line="360" w:lineRule="auto"/>
        <w:rPr>
          <w:rFonts w:hint="eastAsia" w:ascii="宋体" w:hAnsi="宋体" w:cs="宋体"/>
          <w:b/>
          <w:color w:val="auto"/>
          <w:sz w:val="36"/>
          <w:highlight w:val="none"/>
        </w:rPr>
        <w:outlineLvl w:val="0"/>
      </w:pPr>
      <w:r/>
      <w:bookmarkStart w:id="42" w:name="_Toc32253"/>
      <w:r>
        <w:rPr>
          <w:rFonts w:hint="eastAsia" w:ascii="宋体" w:hAnsi="宋体" w:cs="宋体"/>
          <w:b/>
          <w:color w:val="auto"/>
          <w:sz w:val="36"/>
          <w:highlight w:val="none"/>
          <w:lang w:val="zh-CN"/>
        </w:rPr>
        <w:t xml:space="preserve">第四章  </w:t>
      </w:r>
      <w:r>
        <w:rPr>
          <w:rFonts w:hint="eastAsia" w:ascii="宋体" w:hAnsi="宋体" w:cs="宋体"/>
          <w:b/>
          <w:color w:val="auto"/>
          <w:sz w:val="36"/>
          <w:highlight w:val="none"/>
        </w:rPr>
        <w:t xml:space="preserve">采购需求</w:t>
      </w:r>
      <w:bookmarkEnd w:id="42"/>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（注：本章内容，供应商需在商务条款偏离表或技术条款偏离表中进行响应）</w:t>
      </w:r>
      <w:bookmarkEnd w:id="41"/>
      <w:r/>
      <w:r/>
    </w:p>
    <w:p>
      <w:pPr>
        <w:jc w:val="center"/>
        <w:spacing w:line="408" w:lineRule="auto"/>
        <w:rPr>
          <w:rFonts w:hint="eastAsia" w:ascii="宋体" w:hAnsi="宋体" w:cs="宋体"/>
          <w:b/>
          <w:bCs/>
          <w:color w:val="auto"/>
          <w:sz w:val="32"/>
          <w:szCs w:val="40"/>
          <w:highlight w:val="none"/>
        </w:rPr>
      </w:pPr>
      <w:r>
        <w:rPr>
          <w:rFonts w:hint="eastAsia" w:ascii="宋体" w:hAnsi="宋体" w:cs="宋体"/>
          <w:b/>
          <w:bCs/>
          <w:color w:val="auto"/>
          <w:sz w:val="32"/>
          <w:szCs w:val="40"/>
          <w:highlight w:val="none"/>
        </w:rPr>
        <w:t xml:space="preserve">（第一部分：项目概况）</w:t>
      </w:r>
      <w:r/>
    </w:p>
    <w:p>
      <w:pPr>
        <w:jc w:val="left"/>
        <w:spacing w:line="408"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一、项目基本情况</w:t>
      </w:r>
      <w:r/>
    </w:p>
    <w:p>
      <w:pPr>
        <w:ind w:firstLine="480"/>
        <w:spacing w:line="408" w:lineRule="auto"/>
        <w:rPr>
          <w:rFonts w:hint="eastAsia" w:ascii="宋体" w:hAnsi="宋体" w:cs="宋体"/>
          <w:color w:val="auto"/>
          <w:sz w:val="24"/>
          <w:highlight w:val="none"/>
        </w:rPr>
      </w:pPr>
      <w:r>
        <w:rPr>
          <w:rFonts w:hint="eastAsia" w:ascii="宋体" w:hAnsi="宋体" w:cs="宋体"/>
          <w:color w:val="auto"/>
          <w:sz w:val="24"/>
          <w:highlight w:val="none"/>
        </w:rPr>
        <w:t xml:space="preserve">2026年6月，工信部正式发文批复南京市新型技术改造城市试点。在试点期间(2026年5月至2028年12月)，南京市将聚焦重点行业，推动“点”上数字化智能化改造、“线”上产业链供应链协同数字化改造、“面”上产业集群和科技产业园区整体数字化改造。</w:t>
      </w:r>
      <w:r/>
    </w:p>
    <w:p>
      <w:pPr>
        <w:ind w:firstLine="480"/>
        <w:spacing w:line="408" w:lineRule="auto"/>
        <w:rPr>
          <w:rFonts w:hint="eastAsia" w:ascii="宋体" w:hAnsi="宋体" w:cs="宋体"/>
          <w:color w:val="auto"/>
          <w:sz w:val="24"/>
          <w:highlight w:val="none"/>
        </w:rPr>
      </w:pPr>
      <w:r>
        <w:rPr>
          <w:rFonts w:hint="eastAsia" w:ascii="宋体" w:hAnsi="宋体" w:cs="宋体"/>
          <w:color w:val="auto"/>
          <w:sz w:val="24"/>
          <w:highlight w:val="none"/>
        </w:rPr>
        <w:t xml:space="preserve">为高标准落地国家级试点建设任务，强化试点全生命周期闭环管理，有序推进重点项目全流程运营管控，健全完善新型技改配套政策，面向各类市场主体开展全周期系统化赋能培育，分层分类做好政策宣贯、实操辅导与经验推广，统筹构建全周期高端传播体系，紧扣试点关键节点分阶段开展专项传播，联动国家级主流媒体、全国工信系统平台等渠道，持续提升南京新型技改模式的全国影响力与示范价值，放大国家级试点示范引领效应，南京市工业和信息化局拟通过公开招标形式聘请第三方专业机构，为试点工作提供专业支撑服务。</w:t>
      </w:r>
      <w:r/>
    </w:p>
    <w:p>
      <w:pPr>
        <w:jc w:val="center"/>
        <w:spacing w:line="408" w:lineRule="auto"/>
        <w:rPr>
          <w:rFonts w:hint="eastAsia" w:ascii="宋体" w:hAnsi="宋体" w:cs="宋体"/>
          <w:b/>
          <w:bCs/>
          <w:color w:val="auto"/>
          <w:sz w:val="32"/>
          <w:szCs w:val="40"/>
          <w:highlight w:val="none"/>
        </w:rPr>
      </w:pPr>
      <w:r>
        <w:rPr>
          <w:rFonts w:hint="eastAsia" w:ascii="宋体" w:hAnsi="宋体" w:cs="宋体"/>
          <w:b/>
          <w:color w:val="auto"/>
          <w:sz w:val="36"/>
          <w:highlight w:val="none"/>
        </w:rPr>
        <w:t xml:space="preserve">★</w:t>
      </w:r>
      <w:r>
        <w:rPr>
          <w:rFonts w:hint="eastAsia" w:ascii="宋体" w:hAnsi="宋体" w:cs="宋体"/>
          <w:b/>
          <w:bCs/>
          <w:color w:val="auto"/>
          <w:sz w:val="32"/>
          <w:szCs w:val="40"/>
          <w:highlight w:val="none"/>
        </w:rPr>
        <w:t xml:space="preserve">（第二部分：技术部分）</w:t>
      </w:r>
      <w:r/>
    </w:p>
    <w:p>
      <w:pPr>
        <w:jc w:val="left"/>
        <w:spacing w:line="408"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二、服务内容及要求</w:t>
      </w:r>
      <w:r/>
    </w:p>
    <w:p>
      <w:pPr>
        <w:ind w:firstLine="482"/>
        <w:spacing w:line="40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（一）全面支撑试点工作组织实施</w:t>
      </w:r>
      <w:r/>
    </w:p>
    <w:p>
      <w:p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1.专业研究服务。</w:t>
      </w:r>
      <w:r/>
    </w:p>
    <w:p>
      <w:p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（1）服务目标：</w:t>
      </w:r>
      <w:r>
        <w:rPr>
          <w:rFonts w:hint="eastAsia" w:ascii="宋体" w:hAnsi="宋体" w:cs="宋体"/>
          <w:color w:val="auto"/>
          <w:sz w:val="24"/>
          <w:highlight w:val="none"/>
        </w:rPr>
        <w:t xml:space="preserve">落实国家新型技术改造政策要求，立足南京产业实际，开展政策研究咨询，为南京市健全完善新型技改政策体系提供专业咨询支撑，协助细化实施路径，研究提出项目管控、资金拨付、评审验收等全流程标准建议。面向全市园区管理部门、20个重点项目企业组织分层分级政策宣贯活动，配合采购人推动试点要求精准直达一线。</w:t>
      </w:r>
      <w:r/>
    </w:p>
    <w:p>
      <w:pPr>
        <w:ind w:firstLine="420"/>
        <w:jc w:val="left"/>
        <w:spacing w:line="360" w:lineRule="auto"/>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（2）服务要求：</w:t>
      </w:r>
      <w:r>
        <w:rPr>
          <w:rFonts w:hint="eastAsia" w:ascii="宋体" w:hAnsi="宋体" w:cs="宋体"/>
          <w:color w:val="auto"/>
          <w:sz w:val="24"/>
          <w:highlight w:val="none"/>
        </w:rPr>
        <w:t xml:space="preserve">开展国家新型技术改造城市试点工作要求专题研究，从南京市新型技术改造工作任务路径、项目全生命周期管理、资金管理分配等方面输出专业咨询报告，分析南京市企业技改现状（包括但不限于企业技改投入、供需对接需求等），研究提出国家、省、市分级协同的政策体系优化建议，输出南京市优化技改相关政策文件专业咨询分析报告。</w:t>
      </w:r>
      <w:r>
        <w:rPr>
          <w:rFonts w:hint="eastAsia" w:ascii="宋体" w:hAnsi="宋体" w:cs="宋体"/>
          <w:color w:val="auto"/>
          <w:sz w:val="24"/>
          <w:highlight w:val="none"/>
        </w:rPr>
        <w:t xml:space="preserve">政策解读要实现</w:t>
      </w:r>
      <w:r>
        <w:rPr>
          <w:rFonts w:ascii="宋体" w:hAnsi="宋体" w:eastAsia="宋体" w:cs="宋体"/>
          <w:color w:val="auto"/>
          <w:sz w:val="24"/>
          <w:szCs w:val="24"/>
          <w:highlight w:val="none"/>
        </w:rPr>
        <w:t xml:space="preserve">各区工信部门、</w:t>
      </w:r>
      <w:r>
        <w:rPr>
          <w:rFonts w:hint="eastAsia" w:ascii="宋体" w:hAnsi="宋体" w:cs="宋体"/>
          <w:color w:val="auto"/>
          <w:sz w:val="24"/>
          <w:highlight w:val="none"/>
        </w:rPr>
        <w:t xml:space="preserve">园区管理部门、</w:t>
      </w:r>
      <w:r>
        <w:rPr>
          <w:rFonts w:ascii="宋体" w:hAnsi="宋体" w:eastAsia="宋体" w:cs="宋体"/>
          <w:color w:val="auto"/>
          <w:sz w:val="24"/>
          <w:szCs w:val="24"/>
          <w:highlight w:val="none"/>
        </w:rPr>
        <w:t xml:space="preserve">20个重点项目企业全覆盖</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提供日常政策咨询响应</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工作日内</w:t>
      </w:r>
      <w:r>
        <w:rPr>
          <w:rFonts w:hint="eastAsia" w:ascii="宋体" w:hAnsi="宋体" w:eastAsia="宋体" w:cs="宋体"/>
          <w:color w:val="auto"/>
          <w:sz w:val="24"/>
          <w:szCs w:val="24"/>
          <w:highlight w:val="none"/>
        </w:rPr>
        <w:t xml:space="preserve">随时</w:t>
      </w:r>
      <w:r>
        <w:rPr>
          <w:rFonts w:ascii="宋体" w:hAnsi="宋体" w:eastAsia="宋体" w:cs="宋体"/>
          <w:color w:val="auto"/>
          <w:sz w:val="24"/>
          <w:szCs w:val="24"/>
          <w:highlight w:val="none"/>
        </w:rPr>
        <w:t xml:space="preserve">反馈企业及各区业务咨询</w:t>
      </w:r>
      <w:r>
        <w:rPr>
          <w:rFonts w:hint="eastAsia" w:ascii="宋体" w:hAnsi="宋体" w:cs="宋体"/>
          <w:color w:val="auto"/>
          <w:sz w:val="24"/>
          <w:highlight w:val="none"/>
        </w:rPr>
        <w:t xml:space="preserve">。</w:t>
      </w:r>
      <w:r/>
    </w:p>
    <w:p>
      <w:pPr>
        <w:ind w:firstLine="42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2.重点会议会务服务。</w:t>
      </w:r>
      <w:r/>
    </w:p>
    <w:p>
      <w:pPr>
        <w:ind w:firstLine="420"/>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（1）服务目标：</w:t>
      </w:r>
      <w:r>
        <w:rPr>
          <w:rFonts w:hint="eastAsia" w:ascii="宋体" w:hAnsi="宋体" w:cs="宋体"/>
          <w:color w:val="auto"/>
          <w:sz w:val="24"/>
          <w:highlight w:val="none"/>
        </w:rPr>
        <w:t xml:space="preserve">根据采购人确定的会议安排，为重点工作会议提供专业会务服务，开展不少于5场工作专项会议（包括阶段性工作推进会、供需对接会等），配合做好会务资料整理、场地安排、会场布置、嘉宾联络、现场执行等全流程保障性、事务性服务；会议主题、议程、参会范围及嘉宾名单由采购人确定，相关会议材料报采购人审定后使用，保障各类会议规范有序开展。</w:t>
      </w:r>
      <w:r/>
    </w:p>
    <w:p>
      <w:pPr>
        <w:ind w:firstLine="420"/>
        <w:jc w:val="left"/>
        <w:spacing w:line="360" w:lineRule="auto"/>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（2）服务要求</w:t>
      </w:r>
      <w:r>
        <w:rPr>
          <w:rFonts w:hint="eastAsia" w:ascii="宋体" w:hAnsi="宋体" w:cs="宋体"/>
          <w:color w:val="auto"/>
          <w:sz w:val="24"/>
          <w:highlight w:val="none"/>
        </w:rPr>
        <w:t xml:space="preserve">：5场工作专项会议中至少3场的单场参会人数不少于100人，每场会议配合采购人邀请新型技术改造领域专家不少于3人，会务服务需提供符合百人级会议规模的场地租赁、会场整套视觉设计方案、主会场布置（</w:t>
      </w:r>
      <w:r>
        <w:rPr>
          <w:rFonts w:hint="eastAsia" w:ascii="宋体" w:hAnsi="宋体" w:eastAsia="宋体" w:cs="宋体"/>
          <w:color w:val="auto"/>
          <w:sz w:val="24"/>
          <w:szCs w:val="24"/>
          <w:highlight w:val="none"/>
        </w:rPr>
        <w:t xml:space="preserve">包括但不限于：</w:t>
      </w:r>
      <w:r>
        <w:rPr>
          <w:rFonts w:hint="eastAsia" w:ascii="宋体" w:hAnsi="宋体" w:cs="宋体"/>
          <w:color w:val="auto"/>
          <w:sz w:val="24"/>
          <w:highlight w:val="none"/>
        </w:rPr>
        <w:t xml:space="preserve">舞台、地毯、讲台、音响系统、灯光系统）、氛围营造、指引系统设计（</w:t>
      </w:r>
      <w:r>
        <w:rPr>
          <w:rFonts w:hint="eastAsia" w:ascii="宋体" w:hAnsi="宋体" w:eastAsia="宋体" w:cs="宋体"/>
          <w:color w:val="auto"/>
          <w:sz w:val="24"/>
          <w:szCs w:val="24"/>
          <w:highlight w:val="none"/>
        </w:rPr>
        <w:t xml:space="preserve">包括但不限于：</w:t>
      </w:r>
      <w:r>
        <w:rPr>
          <w:rFonts w:hint="eastAsia" w:ascii="宋体" w:hAnsi="宋体" w:cs="宋体"/>
          <w:color w:val="auto"/>
          <w:sz w:val="24"/>
          <w:highlight w:val="none"/>
        </w:rPr>
        <w:t xml:space="preserve">会场指引牌等）、物料制作（</w:t>
      </w:r>
      <w:r>
        <w:rPr>
          <w:rFonts w:hint="eastAsia" w:ascii="宋体" w:hAnsi="宋体" w:eastAsia="宋体" w:cs="宋体"/>
          <w:color w:val="auto"/>
          <w:sz w:val="24"/>
          <w:szCs w:val="24"/>
          <w:highlight w:val="none"/>
        </w:rPr>
        <w:t xml:space="preserve">包括但不限于：</w:t>
      </w:r>
      <w:r>
        <w:rPr>
          <w:rFonts w:hint="eastAsia" w:ascii="宋体" w:hAnsi="宋体" w:cs="宋体"/>
          <w:color w:val="auto"/>
          <w:sz w:val="24"/>
          <w:highlight w:val="none"/>
        </w:rPr>
        <w:t xml:space="preserve">议程单、活动手册等）、专业摄影摄像及相关会务服务人员。会议方案、会议展示文件、会议总结等相关材料，需交付采购人归档。</w:t>
      </w:r>
      <w:r/>
    </w:p>
    <w:p>
      <w:pPr>
        <w:numPr>
          <w:ilvl w:val="0"/>
          <w:numId w:val="2"/>
        </w:num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项目核查评估服务。</w:t>
      </w:r>
      <w:r/>
    </w:p>
    <w:p>
      <w:pPr>
        <w:numPr>
          <w:ilvl w:val="255"/>
          <w:numId w:val="0"/>
        </w:num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（1）服务目标：</w:t>
      </w:r>
      <w:r>
        <w:rPr>
          <w:rFonts w:hint="eastAsia" w:ascii="宋体" w:hAnsi="宋体" w:cs="宋体"/>
          <w:color w:val="auto"/>
          <w:sz w:val="24"/>
          <w:highlight w:val="none"/>
        </w:rPr>
        <w:t xml:space="preserve">从专业第三方</w:t>
      </w:r>
      <w:r>
        <w:rPr>
          <w:rFonts w:hint="eastAsia" w:ascii="宋体" w:hAnsi="宋体" w:cs="宋体"/>
          <w:color w:val="auto"/>
          <w:sz w:val="24"/>
          <w:highlight w:val="none"/>
        </w:rPr>
        <w:t xml:space="preserve">视角，在受理后3个月内，对纳入试点的20个重点项目，配合采购人开展立项核验辅助工作，通过材料预审、数据比对、现场踏勘等方式，对项目备案文件、建设方案、投资明细等核心材料进行技术性核查，形成核查工作底稿和建议意见供采购人决策参考，同步建立重点项目全周期电子档案，实现项目底数全摸清。试点工作实施过程中，针对项目实施中可能出现的实施周期调整、投资规模变更、项目暂停终止、项目递补等各类特殊情形，配合采购人开展现场踏勘、资料收集和合规性初审，形成辅助性论证材料，按采购人要求做好流程报备等事务性工作，有效防控项目风险。</w:t>
      </w:r>
      <w:r/>
    </w:p>
    <w:p>
      <w:pPr>
        <w:ind w:firstLine="420"/>
        <w:jc w:val="left"/>
        <w:spacing w:line="360" w:lineRule="auto"/>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（2）服务要求</w:t>
      </w:r>
      <w:r>
        <w:rPr>
          <w:rFonts w:hint="eastAsia" w:ascii="宋体" w:hAnsi="宋体" w:cs="宋体"/>
          <w:color w:val="auto"/>
          <w:sz w:val="24"/>
          <w:highlight w:val="none"/>
        </w:rPr>
        <w:t xml:space="preserve">：服务商应配合采购人对项目基本信息、备案信息、审批手续、投资明细、建设进度、资金投入等开展现场与线上相结合的材料核查，建立形成20个重点项目全周期电子档案。项目变更环节，配合采购人组织不少于2名行业专家及财务专家开展现场踏勘，全面核查项目基础、变更合理性及后续影响，形成辅助核查意见供采购人参考，变更核查服务覆盖率100%。</w:t>
      </w:r>
      <w:r/>
    </w:p>
    <w:p>
      <w:pPr>
        <w:numPr>
          <w:ilvl w:val="0"/>
          <w:numId w:val="2"/>
        </w:num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项目建设过程辅助监测服务。</w:t>
      </w:r>
      <w:r/>
    </w:p>
    <w:p>
      <w:pPr>
        <w:numPr>
          <w:ilvl w:val="255"/>
          <w:numId w:val="0"/>
        </w:num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（1）服务目标：</w:t>
      </w:r>
      <w:r>
        <w:rPr>
          <w:rFonts w:hint="eastAsia" w:ascii="宋体" w:hAnsi="宋体" w:cs="宋体"/>
          <w:color w:val="auto"/>
          <w:sz w:val="24"/>
          <w:highlight w:val="none"/>
        </w:rPr>
        <w:t xml:space="preserve">从专业第三方视角，协助采购人组织重点企业填报项目任务书，明确项目建设的目标、任务及投资计划。建立常态化数据归集机制，受理后每两月归集各项目工程建设、设备采购安装、AI场景落地、资金使用等进度数据，形成动态进度台账。配合采购人统筹行业专家开展不定期现场踏勘，对照批复内容跟踪建设进度与实施质量，实际踏勘次数由采购人确定；对进度滞后、建设内容偏离的项目，配合采购人逐一建立问题清单与整改台账，协助跟进整改落实，保障项目按计划推进。</w:t>
      </w:r>
      <w:r/>
    </w:p>
    <w:p>
      <w:pPr>
        <w:ind w:firstLine="420"/>
        <w:jc w:val="left"/>
        <w:spacing w:line="360" w:lineRule="auto"/>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（2）服务要求</w:t>
      </w:r>
      <w:r>
        <w:rPr>
          <w:rFonts w:hint="eastAsia" w:ascii="宋体" w:hAnsi="宋体" w:cs="宋体"/>
          <w:color w:val="auto"/>
          <w:sz w:val="24"/>
          <w:highlight w:val="none"/>
        </w:rPr>
        <w:t xml:space="preserve">：前期组织阶段，中标供应商应配合采购人编制统一规范的任务书模板，对20个重点项目实现任务书填报辅导全覆盖，协助组织20个重点项目相关企业完成任务书签订。重点任务攻坚阶段，中标供应商应至少每2个月梳理分析1次项目进度数据，全年累计形成不少于6期动态进度台账；配合采购人组织不定期现场踏勘，每次踏勘配备专家不少于2人（包含行业专家和财务专家），单次踏勘项目覆盖率不低于30%，对进度滞后及现场踏勘中发现问题的项目全部配合建立问题清单与整改台账，每月跟进整改进度，实行闭环销号管理。</w:t>
      </w:r>
      <w:r/>
    </w:p>
    <w:p>
      <w:pPr>
        <w:ind w:firstLine="42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5.资金拨付前专业技术支撑服务。</w:t>
      </w:r>
      <w:r/>
    </w:p>
    <w:p>
      <w:pPr>
        <w:ind w:firstLine="420"/>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（1）服务目标：</w:t>
      </w:r>
      <w:r>
        <w:rPr>
          <w:rFonts w:hint="eastAsia" w:ascii="宋体" w:hAnsi="宋体" w:cs="宋体"/>
          <w:color w:val="auto"/>
          <w:sz w:val="24"/>
          <w:highlight w:val="none"/>
        </w:rPr>
        <w:t xml:space="preserve">从专业第三方视角，</w:t>
      </w:r>
      <w:r>
        <w:rPr>
          <w:rFonts w:ascii="宋体" w:hAnsi="宋体" w:cs="宋体"/>
          <w:color w:val="auto"/>
          <w:sz w:val="24"/>
          <w:highlight w:val="none"/>
        </w:rPr>
        <w:t xml:space="preserve">会同</w:t>
      </w:r>
      <w:r>
        <w:rPr>
          <w:rFonts w:hint="eastAsia" w:ascii="宋体" w:hAnsi="宋体" w:cs="宋体"/>
          <w:color w:val="auto"/>
          <w:sz w:val="24"/>
          <w:highlight w:val="none"/>
        </w:rPr>
        <w:t xml:space="preserve">行业专家、财务专业人员等专业技术团队，在各阶段资金拨付前，配合采购人对重点项目的建设进展、实际完成投资额、资金使用情况、资金申请材料等进行数据核对、材料预审和现场踏勘，形成技术性核验材料和建议意见，供采购人拨付决策参考，保障财政资金使用安全。</w:t>
      </w:r>
      <w:r/>
    </w:p>
    <w:p>
      <w:pPr>
        <w:ind w:firstLine="420"/>
        <w:jc w:val="left"/>
        <w:spacing w:line="360" w:lineRule="auto"/>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（2）服务要求：</w:t>
      </w:r>
      <w:r>
        <w:rPr>
          <w:rFonts w:hint="eastAsia" w:ascii="宋体" w:hAnsi="宋体" w:cs="宋体"/>
          <w:color w:val="auto"/>
          <w:sz w:val="24"/>
          <w:highlight w:val="none"/>
        </w:rPr>
        <w:t xml:space="preserve">各阶段资金拨付前，配合采购人对20个重点项目相关企业开展现场核查，每个项目每次配备具备资质的专业人员不少于2人（其中专业审计财务人员不少于1人），现场核查结束后5个工作日内形成核验情况报告及建议意见，作为采购人判断是否符合拨付条件的参考依据。</w:t>
      </w:r>
      <w:r/>
    </w:p>
    <w:p>
      <w:pPr>
        <w:ind w:firstLine="482"/>
        <w:spacing w:line="40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6.阶段评估咨询服务。</w:t>
      </w:r>
      <w:r/>
    </w:p>
    <w:p>
      <w:p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（1）服务目标：</w:t>
      </w:r>
      <w:r>
        <w:rPr>
          <w:rFonts w:hint="eastAsia" w:ascii="宋体" w:hAnsi="宋体" w:cs="宋体"/>
          <w:color w:val="auto"/>
          <w:sz w:val="24"/>
          <w:highlight w:val="none"/>
        </w:rPr>
        <w:t xml:space="preserve">从第三方专业视角，协助采购人全面梳理各阶段工作推进成效、重点项目建设进度、创新工作举措及现存问题，对试点工作开展阶段性第三方评估，逐项核查任务落地、项目推进、资金使用等情况。</w:t>
      </w:r>
      <w:r/>
    </w:p>
    <w:p>
      <w:pPr>
        <w:ind w:firstLine="420"/>
        <w:jc w:val="left"/>
        <w:spacing w:line="360" w:lineRule="auto"/>
        <w:rPr>
          <w:color w:val="auto"/>
          <w:highlight w:val="none"/>
        </w:rPr>
      </w:pPr>
      <w:r>
        <w:rPr>
          <w:rFonts w:hint="eastAsia" w:ascii="宋体" w:hAnsi="宋体" w:cs="宋体"/>
          <w:b/>
          <w:bCs/>
          <w:color w:val="auto"/>
          <w:sz w:val="24"/>
          <w:highlight w:val="none"/>
        </w:rPr>
        <w:t xml:space="preserve">（2）服务要求：</w:t>
      </w:r>
      <w:r>
        <w:rPr>
          <w:rFonts w:hint="eastAsia" w:ascii="宋体" w:hAnsi="宋体" w:cs="宋体"/>
          <w:color w:val="auto"/>
          <w:sz w:val="24"/>
          <w:highlight w:val="none"/>
        </w:rPr>
        <w:t xml:space="preserve">从专业第三方视角，对照南京市新型技术改造城市试点工作目标及重点任务，开展第三方评估，内容包括试点工作目标指标完成、政策制定落实、各项分工任务推进、重点项目进度、资金拨付情况、项目亮点成效等情况，试点周期内累计开展阶段性评估不少于5次，每次评估形成专业评估分析报告1份。</w:t>
      </w:r>
      <w:r/>
    </w:p>
    <w:p>
      <w:pPr>
        <w:ind w:firstLine="482"/>
        <w:spacing w:line="40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7.项目竣工验收专业支撑服务。</w:t>
      </w:r>
      <w:r/>
    </w:p>
    <w:p>
      <w:p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（1）服务目标：</w:t>
      </w:r>
      <w:r>
        <w:rPr>
          <w:rFonts w:hint="eastAsia" w:ascii="宋体" w:hAnsi="宋体" w:cs="宋体"/>
          <w:color w:val="auto"/>
          <w:sz w:val="24"/>
          <w:highlight w:val="none"/>
        </w:rPr>
        <w:t xml:space="preserve">从专业第三方视角，对达到竣工条件的重点项目，为采购人组织的竣工评审验收提供全流程专业支撑，协助采购人遴选技术、财务等领域专家，配合做好验收专家组组建的事务性工作；配合开展现场踏勘、材料整理与评审会务，结合具备资质的会计师事务所出具的专项审计报告，对照项目批复目标、建设内容、投资要求等逐项进行技术性核对，形成验收辅助报告及建议意见，验收结论由采购人组织的验收专家组依法作出。协助采购人做好项目全流程资料的分类整理、规范归档，确保项目档案完整可追溯。</w:t>
      </w:r>
      <w:r/>
    </w:p>
    <w:p>
      <w:pPr>
        <w:ind w:firstLine="420"/>
        <w:jc w:val="left"/>
        <w:spacing w:line="360" w:lineRule="auto"/>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（2）服务要求：</w:t>
      </w:r>
      <w:r>
        <w:rPr>
          <w:rFonts w:hint="eastAsia" w:ascii="宋体" w:hAnsi="宋体" w:cs="宋体"/>
          <w:color w:val="auto"/>
          <w:sz w:val="24"/>
          <w:highlight w:val="none"/>
        </w:rPr>
        <w:t xml:space="preserve">20个重点项目验收支撑服务全覆盖，提供验收辅导、材料预审、专家组织事务、现场会务、验收辅助报告编制等全流程服务，项目专项审计由具备资质的会计师事务所实施，相关费用包含在投标报价中。每个项目验收专家组人数不少于3人，其中财务专家不少于1人，相关费用包含在投标报价中；</w:t>
      </w:r>
      <w:r>
        <w:rPr>
          <w:rFonts w:hint="eastAsia" w:ascii="宋体" w:hAnsi="宋体" w:cs="宋体"/>
          <w:color w:val="auto"/>
          <w:sz w:val="24"/>
          <w:highlight w:val="none"/>
          <w:lang w:val="en-US" w:eastAsia="zh-CN"/>
        </w:rPr>
        <w:t xml:space="preserve">供应</w:t>
      </w:r>
      <w:r>
        <w:rPr>
          <w:rFonts w:hint="eastAsia" w:ascii="宋体" w:hAnsi="宋体" w:cs="宋体"/>
          <w:color w:val="auto"/>
          <w:sz w:val="24"/>
          <w:highlight w:val="none"/>
        </w:rPr>
        <w:t xml:space="preserve">商</w:t>
      </w:r>
      <w:r>
        <w:rPr>
          <w:rFonts w:hint="eastAsia" w:ascii="宋体" w:hAnsi="宋体" w:cs="宋体"/>
          <w:color w:val="auto"/>
          <w:sz w:val="24"/>
          <w:highlight w:val="none"/>
        </w:rPr>
        <w:t xml:space="preserve">配合形成验收辅助报告及建议意见各1份，正式验收报告、验收意见书由采购人（验收专家组）出具；项目档案归档率100%，每套档案包含任务书、进度报告、阶段评估、资金申请、资金拨付、资金使用、项目变更、项目验收等正式文件。</w:t>
      </w:r>
      <w:r/>
    </w:p>
    <w:p>
      <w:pPr>
        <w:ind w:firstLine="482"/>
        <w:spacing w:line="40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8.终期评估咨询服务。</w:t>
      </w:r>
      <w:r/>
    </w:p>
    <w:p>
      <w:p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（1）服务目标：</w:t>
      </w:r>
      <w:r>
        <w:rPr>
          <w:rFonts w:hint="eastAsia" w:ascii="宋体" w:hAnsi="宋体" w:cs="宋体"/>
          <w:color w:val="auto"/>
          <w:sz w:val="24"/>
          <w:highlight w:val="none"/>
        </w:rPr>
        <w:t xml:space="preserve">从专业第三方视角，全面梳理绩效目标及重点任务完成情况、重点项目实施情况、资金使用和管理情况、政策配套完成情况、典型经验做法、存在问题及建议等，从专业第三方视角系统总结典型经验、剖析短板不足，为采购人形成国家试点工作总结报告提供第三方评估依据和咨询参考。</w:t>
      </w:r>
      <w:r/>
    </w:p>
    <w:p>
      <w:pPr>
        <w:ind w:firstLine="420"/>
        <w:jc w:val="left"/>
        <w:spacing w:line="360" w:lineRule="auto"/>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（2）服务要求：</w:t>
      </w:r>
      <w:r>
        <w:rPr>
          <w:rFonts w:hint="eastAsia" w:ascii="宋体" w:hAnsi="宋体" w:cs="宋体"/>
          <w:color w:val="auto"/>
          <w:sz w:val="24"/>
          <w:highlight w:val="none"/>
        </w:rPr>
        <w:t xml:space="preserve">从专业第三方视角，</w:t>
      </w:r>
      <w:r>
        <w:rPr>
          <w:rFonts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rPr>
        <w:t xml:space="preserve">不少于3名专业咨询评估人员，</w:t>
      </w:r>
      <w:r>
        <w:rPr>
          <w:rFonts w:hint="eastAsia" w:ascii="宋体" w:hAnsi="宋体" w:cs="宋体"/>
          <w:color w:val="auto"/>
          <w:sz w:val="24"/>
          <w:highlight w:val="none"/>
        </w:rPr>
        <w:t xml:space="preserve">对照南京市新型技术改造城市试点工作目标及重点任务，围绕新型技改绩效目标，</w:t>
      </w:r>
      <w:r>
        <w:rPr>
          <w:rFonts w:ascii="宋体" w:hAnsi="宋体" w:eastAsia="宋体" w:cs="宋体"/>
          <w:color w:val="auto"/>
          <w:sz w:val="24"/>
          <w:szCs w:val="24"/>
          <w:highlight w:val="none"/>
        </w:rPr>
        <w:t xml:space="preserve">提供全维度梳理、系统性评估、专业化总结的咨询</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从任务完成、项目投资、项目建设成效、资金使用和管理、政策配套、典型案例等方面综合评估南京市新型技术改造城市试点实施情况，提炼经验做法、总结问题不足，形成</w:t>
      </w:r>
      <w:r>
        <w:rPr>
          <w:rFonts w:ascii="宋体" w:hAnsi="宋体" w:eastAsia="宋体" w:cs="宋体"/>
          <w:color w:val="auto"/>
          <w:sz w:val="24"/>
          <w:szCs w:val="24"/>
          <w:highlight w:val="none"/>
        </w:rPr>
        <w:t xml:space="preserve">咨询报告</w:t>
      </w:r>
      <w:r>
        <w:rPr>
          <w:rFonts w:hint="eastAsia" w:ascii="宋体" w:hAnsi="宋体" w:eastAsia="宋体" w:cs="宋体"/>
          <w:color w:val="auto"/>
          <w:sz w:val="24"/>
          <w:szCs w:val="24"/>
          <w:highlight w:val="none"/>
        </w:rPr>
        <w:t xml:space="preserve">1份。</w:t>
      </w:r>
      <w:r/>
    </w:p>
    <w:p>
      <w:pPr>
        <w:numPr>
          <w:ilvl w:val="0"/>
          <w:numId w:val="3"/>
        </w:num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项目数据运维服务。</w:t>
      </w:r>
      <w:r/>
    </w:p>
    <w:p>
      <w:pPr>
        <w:numPr>
          <w:ilvl w:val="255"/>
          <w:numId w:val="0"/>
        </w:num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（1）服务目标：</w:t>
      </w:r>
      <w:r>
        <w:rPr>
          <w:rFonts w:hint="eastAsia" w:ascii="宋体" w:hAnsi="宋体" w:cs="宋体"/>
          <w:color w:val="auto"/>
          <w:sz w:val="24"/>
          <w:highlight w:val="none"/>
        </w:rPr>
        <w:t xml:space="preserve">为采购人新型技改项目入库管理提供运维和数据服务，建设并运维重点项目全生命周期管理台账，覆盖项目申报、进度跟踪、现场检查、资金管控、运行监测、绩效评价等环节的数据归集功能，实现项目数据自动归集、进度状态动态核查、逾期提醒自动预警、问题清单闭环跟踪、项目资金透明管理及风险自动预警，为采购人入库管理、运行监测和监督管理提供坚实数据支撑。</w:t>
      </w:r>
      <w:r/>
    </w:p>
    <w:p>
      <w:pPr>
        <w:ind w:firstLine="482"/>
        <w:jc w:val="left"/>
        <w:spacing w:line="360" w:lineRule="auto"/>
        <w:rPr>
          <w:color w:val="auto"/>
          <w:highlight w:val="none"/>
        </w:rPr>
      </w:pPr>
      <w:r>
        <w:rPr>
          <w:rFonts w:hint="eastAsia" w:ascii="宋体" w:hAnsi="宋体" w:cs="宋体"/>
          <w:b/>
          <w:bCs/>
          <w:color w:val="auto"/>
          <w:sz w:val="24"/>
          <w:highlight w:val="none"/>
        </w:rPr>
        <w:t xml:space="preserve">（2）服务要求：</w:t>
      </w:r>
      <w:r>
        <w:rPr>
          <w:rFonts w:ascii="宋体" w:hAnsi="宋体" w:eastAsia="宋体" w:cs="宋体"/>
          <w:color w:val="auto"/>
          <w:sz w:val="24"/>
          <w:szCs w:val="24"/>
          <w:highlight w:val="none"/>
        </w:rPr>
        <w:t xml:space="preserve">搭建重点项目全生命周期管理台账，覆盖</w:t>
      </w:r>
      <w:r>
        <w:rPr>
          <w:rFonts w:hint="eastAsia" w:ascii="宋体" w:hAnsi="宋体" w:eastAsia="宋体" w:cs="宋体"/>
          <w:color w:val="auto"/>
          <w:sz w:val="24"/>
          <w:szCs w:val="24"/>
          <w:highlight w:val="none"/>
        </w:rPr>
        <w:t xml:space="preserve">项目申报、项目进度信息、项目进度检查、项目资金管理、项目绩效评价、项目审核验收、项目运行监测等功能，</w:t>
      </w:r>
      <w:r>
        <w:rPr>
          <w:rFonts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rPr>
        <w:t xml:space="preserve">两月</w:t>
      </w:r>
      <w:r>
        <w:rPr>
          <w:rFonts w:ascii="宋体" w:hAnsi="宋体" w:eastAsia="宋体" w:cs="宋体"/>
          <w:color w:val="auto"/>
          <w:sz w:val="24"/>
          <w:szCs w:val="24"/>
          <w:highlight w:val="none"/>
        </w:rPr>
        <w:t xml:space="preserve">自动更新项目数据</w:t>
      </w:r>
      <w:r>
        <w:rPr>
          <w:rFonts w:hint="eastAsia" w:ascii="宋体" w:hAnsi="宋体" w:eastAsia="宋体" w:cs="宋体"/>
          <w:color w:val="auto"/>
          <w:sz w:val="24"/>
          <w:szCs w:val="24"/>
          <w:highlight w:val="none"/>
        </w:rPr>
        <w:t xml:space="preserve">，实现技改项目从申报入库到运行监测的全生命周期闭环管理。</w:t>
      </w:r>
      <w:r/>
    </w:p>
    <w:p>
      <w:pPr>
        <w:ind w:firstLine="482"/>
        <w:spacing w:line="40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（二）新型技改全域赋能及精准培育</w:t>
      </w:r>
      <w:r/>
    </w:p>
    <w:p>
      <w:pPr>
        <w:ind w:firstLine="482"/>
        <w:spacing w:line="40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10.培训与交流活动会务服务。</w:t>
      </w:r>
      <w:r/>
    </w:p>
    <w:p>
      <w:p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（1）服务目标：</w:t>
      </w:r>
      <w:r>
        <w:rPr>
          <w:rFonts w:hint="eastAsia" w:ascii="宋体" w:hAnsi="宋体" w:cs="宋体"/>
          <w:color w:val="auto"/>
          <w:sz w:val="24"/>
          <w:highlight w:val="none"/>
        </w:rPr>
        <w:t xml:space="preserve">紧扣全市“1026”先进制造业体系整体部署，面向更大范围市场主体策划组织</w:t>
      </w:r>
      <w:r>
        <w:rPr>
          <w:rFonts w:hint="eastAsia" w:ascii="宋体" w:hAnsi="宋体" w:cs="宋体"/>
          <w:color w:val="auto"/>
          <w:sz w:val="24"/>
          <w:highlight w:val="none"/>
        </w:rPr>
        <w:t xml:space="preserve">全周期、分层级系统化赋能培训活动，充分释放国家级试点带动效应。启动阶段配合采购人组织政策宣贯活动，系统宣讲各级技改支持政策，辅导企业对接国家、省、市等多元政策资源，助力企业抢抓政策红利、谋划改造路径；实施阶段开设重点行业专场研讨，精准讲解政策要求、资金使用规范、项目过程管控与验收筹备要点，指导企业规范推进改造实施；收官阶段组织标杆成果交流与经验分享活动，复制推广成熟改造路径与典型模式，协助实现全市石化化工、电子信息、电气机械三大重点行业诊断和数字化改造100%全覆盖的试点目标，带动更多市场主体启动新型技改。</w:t>
      </w:r>
      <w:r/>
    </w:p>
    <w:p>
      <w:pPr>
        <w:ind w:firstLine="420"/>
        <w:jc w:val="left"/>
        <w:spacing w:line="360" w:lineRule="auto"/>
        <w:rPr>
          <w:color w:val="auto"/>
          <w:highlight w:val="none"/>
        </w:rPr>
      </w:pPr>
      <w:r>
        <w:rPr>
          <w:rFonts w:hint="eastAsia" w:ascii="宋体" w:hAnsi="宋体" w:cs="宋体"/>
          <w:b/>
          <w:bCs/>
          <w:color w:val="auto"/>
          <w:sz w:val="24"/>
          <w:highlight w:val="none"/>
        </w:rPr>
        <w:t xml:space="preserve">（2）服务要求</w:t>
      </w:r>
      <w:r>
        <w:rPr>
          <w:rFonts w:hint="eastAsia" w:ascii="宋体" w:hAnsi="宋体" w:cs="宋体"/>
          <w:color w:val="auto"/>
          <w:sz w:val="24"/>
          <w:highlight w:val="none"/>
        </w:rPr>
        <w:t xml:space="preserve">：服务覆盖试点重点项目企业、链主企业、全市规上工业企业及各类潜在技改主体，统筹策划组织不少于15次覆盖试点全周期的培训与交流活动，累计覆盖企业不少于300家。培训与交流活动可采用政策定向专场、潜在意向企业入企辅导等多元形式，每次活动应配备熟悉国家、省、市相关技改政策的专家和相关领域行业专家，能够准确宣讲政策支持范围、申报门槛、奖补标准、审核要点及常见申报误区，现场配合采购人做好政策咨询答复，结合企业实际给出合规申报建议。</w:t>
      </w:r>
      <w:r/>
    </w:p>
    <w:p>
      <w:pPr>
        <w:ind w:firstLine="482"/>
        <w:spacing w:line="40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（三）全周期宣传策划与高层次示范推广</w:t>
      </w:r>
      <w:r/>
    </w:p>
    <w:p>
      <w:pPr>
        <w:pStyle w:val="882"/>
        <w:ind w:left="0" w:firstLine="482"/>
        <w:spacing w:after="0" w:line="40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11.宣传策划及推广。</w:t>
      </w:r>
      <w:r/>
    </w:p>
    <w:p>
      <w:pPr>
        <w:pStyle w:val="882"/>
        <w:ind w:left="0" w:firstLine="482"/>
        <w:spacing w:after="0" w:line="408" w:lineRule="auto"/>
        <w:rPr>
          <w:rFonts w:hint="eastAsia" w:ascii="宋体" w:hAnsi="宋体" w:eastAsia="宋体" w:cs="宋体"/>
          <w:color w:val="auto"/>
          <w:sz w:val="24"/>
          <w:szCs w:val="24"/>
          <w:highlight w:val="none"/>
        </w:rPr>
      </w:pPr>
      <w:r>
        <w:rPr>
          <w:rFonts w:hint="eastAsia" w:ascii="宋体" w:hAnsi="宋体" w:cs="宋体"/>
          <w:b/>
          <w:bCs/>
          <w:color w:val="auto"/>
          <w:sz w:val="24"/>
          <w:highlight w:val="none"/>
        </w:rPr>
        <w:t xml:space="preserve">（1）服务目标：</w:t>
      </w:r>
      <w:r>
        <w:rPr>
          <w:rFonts w:hint="eastAsia" w:ascii="宋体" w:hAnsi="宋体" w:eastAsia="宋体" w:cs="宋体"/>
          <w:color w:val="auto"/>
          <w:sz w:val="24"/>
          <w:szCs w:val="24"/>
          <w:highlight w:val="none"/>
        </w:rPr>
        <w:t xml:space="preserve">统筹构建试点全周期高端传播体系，配合采购人编制试点全周期宣传推广方案，整合等主流媒体多元传播渠道，开展多元化分层次宣传推广。配合采购人梳理技改典型场景及特色做法素材，依托新媒体平台开展宣介推广，凝练新型技改典型场景及特色案例，推动典型模式在工信领域等国家主流期刊发表，择优配合采购人向国家、省级工信主管部门报送试点创新举措。</w:t>
      </w:r>
      <w:r/>
    </w:p>
    <w:p>
      <w:pPr>
        <w:ind w:firstLine="420"/>
        <w:jc w:val="left"/>
        <w:spacing w:line="360" w:lineRule="auto"/>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（2）服务要求</w:t>
      </w:r>
      <w:r>
        <w:rPr>
          <w:rFonts w:hint="eastAsia" w:ascii="宋体" w:hAnsi="宋体" w:cs="宋体"/>
          <w:color w:val="auto"/>
          <w:sz w:val="24"/>
          <w:highlight w:val="none"/>
        </w:rPr>
        <w:t xml:space="preserve">：编制试点全周期宣传推广方案1套，涵盖启动、实施、收官三个阶段的传播策略、主题内容策划、宣传渠道规划等，整合不少于10家党政央级媒体、省级媒体、行业媒体等主流渠道，形成全媒体传播矩阵，配合采购人凝练新型技改典型场景及特色案例不少于30个，支撑采购人在国家级工信领域主流期刊发表深度研究文章不少于2篇。</w:t>
      </w:r>
      <w:r/>
    </w:p>
    <w:p>
      <w:pPr>
        <w:ind w:firstLine="482"/>
        <w:spacing w:line="40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12.分阶段媒体推广。</w:t>
      </w:r>
      <w:r/>
    </w:p>
    <w:p>
      <w:p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（1）服务目标：</w:t>
      </w:r>
      <w:r>
        <w:rPr>
          <w:rFonts w:hint="eastAsia" w:ascii="宋体" w:hAnsi="宋体" w:cs="宋体"/>
          <w:color w:val="auto"/>
          <w:sz w:val="24"/>
          <w:highlight w:val="none"/>
        </w:rPr>
        <w:t xml:space="preserve">紧扣试点关键节点，并结合项目相关要求，分阶段开展专项宣传造势。启动阶段发布官方主通稿与重点行业专题报道不少于6篇，营造试点启动的良好舆论氛围；实施阶段挖掘南京新型技改特色路径，推出深度观察报道与标杆案例专题报道不少于6篇，持续扩大试点传播声量；收官阶段发布试点建设成果总通稿与经验纪实特稿不少于6篇，推广标杆企业成熟改造路径，发挥试点带动效应。</w:t>
      </w:r>
      <w:r/>
    </w:p>
    <w:p>
      <w:pPr>
        <w:pStyle w:val="882"/>
        <w:ind w:left="0" w:firstLine="482"/>
        <w:spacing w:after="0" w:line="408" w:lineRule="auto"/>
        <w:rPr>
          <w:rFonts w:hint="eastAsia" w:ascii="宋体" w:hAnsi="宋体" w:eastAsia="宋体" w:cs="宋体"/>
          <w:color w:val="auto"/>
          <w:sz w:val="24"/>
          <w:szCs w:val="24"/>
          <w:highlight w:val="none"/>
        </w:rPr>
      </w:pPr>
      <w:r>
        <w:rPr>
          <w:rFonts w:hint="eastAsia" w:ascii="宋体" w:hAnsi="宋体" w:cs="宋体" w:eastAsiaTheme="minorEastAsia"/>
          <w:b/>
          <w:bCs/>
          <w:color w:val="auto"/>
          <w:sz w:val="24"/>
          <w:szCs w:val="22"/>
          <w:highlight w:val="none"/>
          <w:lang w:val="en-US" w:eastAsia="zh-CN" w:bidi="ar-SA"/>
        </w:rPr>
        <w:t xml:space="preserve">（2）服务要求：</w:t>
      </w:r>
      <w:r>
        <w:rPr>
          <w:rFonts w:hint="eastAsia" w:ascii="宋体" w:hAnsi="宋体" w:eastAsia="宋体" w:cs="宋体"/>
          <w:color w:val="auto"/>
          <w:sz w:val="24"/>
          <w:szCs w:val="24"/>
          <w:highlight w:val="none"/>
        </w:rPr>
        <w:t xml:space="preserve">合同期内</w:t>
      </w:r>
      <w:r>
        <w:rPr>
          <w:rFonts w:ascii="宋体" w:hAnsi="宋体" w:eastAsia="宋体" w:cs="宋体"/>
          <w:color w:val="auto"/>
          <w:sz w:val="24"/>
          <w:szCs w:val="24"/>
          <w:highlight w:val="none"/>
        </w:rPr>
        <w:t xml:space="preserve">累计发布各类宣传报道不少于18篇，结合项目推进节奏与宣传重点，提供从主题策划、素材收集、企业采访、稿件撰写、审核打磨到媒体对接、发布落地、效果追踪的全流程传播服务。所有宣传内容严格履行合规审核程序，100% 经采购人审核确认后发布，确保导向正确、数据准确、表述规范。</w:t>
      </w:r>
      <w:r>
        <w:rPr>
          <w:rFonts w:hint="eastAsia" w:ascii="宋体" w:hAnsi="宋体" w:eastAsia="宋体" w:cs="宋体"/>
          <w:color w:val="auto"/>
          <w:sz w:val="24"/>
          <w:szCs w:val="24"/>
          <w:highlight w:val="none"/>
        </w:rPr>
        <w:t xml:space="preserve">中标人宣传内容要遵守我国相关法律法规，不得出现违反我国法律法规、政策方针以及影响国家统一、民族团结、社会稳定等不当言行。中标人应对宣传内容提前审核，并对宣传内容的合法性、合规性负责，确保不出现意识形态问题。</w:t>
      </w:r>
      <w:r/>
    </w:p>
    <w:p>
      <w:pPr>
        <w:jc w:val="left"/>
        <w:spacing w:line="408"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三、分阶段服务要求</w:t>
      </w:r>
      <w:r/>
    </w:p>
    <w:p>
      <w:p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1.第一阶段－前期组织：</w:t>
      </w:r>
      <w:r>
        <w:rPr>
          <w:rFonts w:hint="eastAsia" w:ascii="宋体" w:hAnsi="宋体" w:cs="宋体"/>
          <w:color w:val="auto"/>
          <w:sz w:val="24"/>
          <w:highlight w:val="none"/>
        </w:rPr>
        <w:t xml:space="preserve">为南京市健全完善新型技改政策体系提供专业咨询支撑，协助细化明确整体目标任务及全过程管理要求；协助采购人组织与项目企业签订责任书，明确各方责任分工与关键时间节点，配合做好企业技改项目储备库动态更新；开展启动阶段宣传造势，积极引导企业投入新型技术改造，营造良好舆论氛围；配合组织动员及培训会议，精准赋能辅导企业实施新型技术改造；配合采购人做好重点项目资金申报服务、项目核验辅助和首笔中央资金分配的事务性工作。</w:t>
      </w:r>
      <w:r/>
    </w:p>
    <w:p>
      <w:p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2.第二阶段－重点任务攻坚：</w:t>
      </w:r>
      <w:r>
        <w:rPr>
          <w:rFonts w:hint="eastAsia" w:ascii="宋体" w:hAnsi="宋体" w:cs="宋体"/>
          <w:color w:val="auto"/>
          <w:sz w:val="24"/>
          <w:highlight w:val="none"/>
        </w:rPr>
        <w:t xml:space="preserve">推动重点项目按计划实施，为企业数字化智能化改造、产业链供应链协同升级、产业园区整体数字化转型等新型技改重点任务提供咨询支撑，配合采购人开展重点项目核验及首笔中央资金剩余部分拨付的事务性工作；配合开展常态化绩效跟踪评估，梳理短板不足、总结实践经验；挖掘南京新型技改特色路径，推出深度观察报道与标杆案例；组织开展企业赋能培训活动，通过精准讲解政策要求、资金使用规范、项目过程管控与验收筹备要点，指导企业规范推进改造实施。</w:t>
      </w:r>
      <w:r/>
    </w:p>
    <w:p>
      <w:pPr>
        <w:ind w:firstLine="48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3.第三阶段－验收评估与示范推广：</w:t>
      </w:r>
      <w:r>
        <w:rPr>
          <w:rFonts w:hint="eastAsia" w:ascii="宋体" w:hAnsi="宋体" w:cs="宋体"/>
          <w:color w:val="auto"/>
          <w:sz w:val="24"/>
          <w:highlight w:val="none"/>
        </w:rPr>
        <w:t xml:space="preserve">配合采购人开展重点项目竣工验收和试点工作整体绩效评价工作，全面核查任务推进与目标达成情况，配合做好第二笔中央资金分配的事务性工作；协助采购人系统梳理试点推进过程中的关键举措、典型模式与创新机制，配合凝练形成可复制、可推广的政策措施、工作范式和典型经验，组织标杆成果交流与经验分享活动，复制推广成熟改造路径与典型模式；发布试点建设成果总通稿与经验纪实特稿，配合凝练新型技改典型场景及特色案例，协助采购人择优向国家、省级工信主管部门报送，推动典型模式在工信领域等国家主流期刊发表。</w:t>
      </w:r>
      <w:r/>
    </w:p>
    <w:p>
      <w:pPr>
        <w:ind w:firstLine="480"/>
        <w:spacing w:line="408"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
          <w:bCs/>
          <w:color w:val="auto"/>
          <w:sz w:val="24"/>
          <w:highlight w:val="none"/>
        </w:rPr>
        <w:t xml:space="preserve">第四阶段-</w:t>
      </w:r>
      <w:r>
        <w:rPr>
          <w:rFonts w:ascii="宋体" w:hAnsi="宋体" w:cs="宋体"/>
          <w:b/>
          <w:bCs/>
          <w:color w:val="auto"/>
          <w:sz w:val="24"/>
          <w:highlight w:val="none"/>
        </w:rPr>
        <w:t xml:space="preserve">项目绩效评价与审计配合工作</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需配合国家试点实施过程中及试点验收后的相关绩效评价和审计工作，须无条件配合国家试点城市绩效评价、专项审计、资金核查、督导整改、成果复核等全部后续合规性工作，严格落实国家、省、市工信</w:t>
      </w:r>
      <w:r>
        <w:rPr>
          <w:rFonts w:hint="eastAsia" w:ascii="宋体" w:hAnsi="宋体" w:cs="宋体"/>
          <w:color w:val="auto"/>
          <w:sz w:val="24"/>
          <w:highlight w:val="none"/>
        </w:rPr>
        <w:t xml:space="preserve">等部门</w:t>
      </w:r>
      <w:r>
        <w:rPr>
          <w:rFonts w:ascii="宋体" w:hAnsi="宋体" w:cs="宋体"/>
          <w:color w:val="auto"/>
          <w:sz w:val="24"/>
          <w:highlight w:val="none"/>
        </w:rPr>
        <w:t xml:space="preserve">相关要求，全力保障本项目合规落地、绩效达标、资金规范使用。</w:t>
      </w:r>
      <w:r/>
    </w:p>
    <w:p>
      <w:pPr>
        <w:jc w:val="left"/>
        <w:spacing w:line="408"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四、服务标准</w:t>
      </w:r>
      <w:r/>
    </w:p>
    <w:p>
      <w:pPr>
        <w:ind w:firstLine="422"/>
        <w:spacing w:line="408"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（一）项目技术要求：</w:t>
      </w:r>
      <w:r>
        <w:rPr>
          <w:rFonts w:hint="eastAsia" w:ascii="宋体" w:hAnsi="宋体" w:cs="宋体"/>
          <w:color w:val="auto"/>
          <w:sz w:val="24"/>
          <w:highlight w:val="none"/>
        </w:rPr>
        <w:t xml:space="preserve">投标人拟为本项目投入的第三方综合支撑服务的人员应对国家、江苏省、南京市等新型技术改造相关政策要求有深刻的理解，精准把握国家新型技术改造城市试点的建设标准、绩效目标与考核规则，熟悉新型技术改造的概念、基本路径和典型模式，确保本项目顺利开展，审核通过；投标人应对项目工作流程有科学合理、清晰明确、可操作性强的流程规划和实施路径。</w:t>
      </w:r>
      <w:r/>
    </w:p>
    <w:p>
      <w:pPr>
        <w:ind w:firstLine="422"/>
        <w:spacing w:line="40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（二）项目团队要求：</w:t>
      </w:r>
      <w:r/>
    </w:p>
    <w:p>
      <w:pPr>
        <w:ind w:firstLine="420"/>
        <w:spacing w:line="408"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1、投标人项目团队人员应具有新型技术改造等相关领域（包括但不限于数字经济、智能制造、工业互联网、数字化转型、技术改造）的专业技术能力和项目咨询管理经验。</w:t>
      </w:r>
      <w:r/>
    </w:p>
    <w:p>
      <w:pPr>
        <w:pStyle w:val="882"/>
        <w:ind w:left="0" w:firstLine="480"/>
        <w:spacing w:after="0" w:line="408"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2、</w:t>
      </w:r>
      <w:r>
        <w:rPr>
          <w:rFonts w:hint="eastAsia" w:ascii="宋体" w:hAnsi="宋体" w:eastAsia="宋体" w:cs="宋体"/>
          <w:color w:val="auto"/>
          <w:sz w:val="24"/>
          <w:szCs w:val="24"/>
          <w:highlight w:val="none"/>
        </w:rPr>
        <w:t xml:space="preserve">项目负责人不得更换，项目实施过程中如因特殊原因调整项目组其他成员，需要采购人同意且调整人数不得超过1/3，调整人员需具有同等资历及专业技能，确保不影响服务整体质量。</w:t>
      </w:r>
      <w:r/>
    </w:p>
    <w:p>
      <w:pPr>
        <w:pStyle w:val="882"/>
        <w:ind w:left="0"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（三）成果文件要求：</w:t>
      </w:r>
      <w:r/>
    </w:p>
    <w:p>
      <w:pPr>
        <w:pStyle w:val="892"/>
        <w:ind w:firstLine="440"/>
        <w:spacing w:line="408" w:lineRule="auto"/>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1、成果的内容必须符合本项目招投标文件的有关要求和国家有关标准，并按采购人要求提交至采购人相关部门。</w:t>
      </w:r>
      <w:r/>
    </w:p>
    <w:p>
      <w:pPr>
        <w:pStyle w:val="892"/>
        <w:ind w:firstLine="440"/>
        <w:spacing w:line="408" w:lineRule="auto"/>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2、最终成果应包含相关工作方案（会议、活动、宣传等）、宣传稿件、阶段评估报告、第三方评估报告，以及供采购人编制终期总结报告使用的咨询材料等成果文件及采购人要求的相关资料等，并配合完成试点项目验收辅助工作，协助采购人形成完整的新型技术改造城市试点验收材料及项目验收资料。</w:t>
      </w:r>
      <w:r/>
    </w:p>
    <w:p>
      <w:pPr>
        <w:pStyle w:val="892"/>
        <w:ind w:firstLine="440"/>
        <w:spacing w:line="408" w:lineRule="auto"/>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3、最终成果内容必须清晰完整，中标人应按上报所需的要求及采购人要求向采购人提供相应的文本及资料，提交的成果、文字应字迹清晰，内容完整，不得粗制滥造。</w:t>
      </w:r>
      <w:r/>
    </w:p>
    <w:p>
      <w:pPr>
        <w:jc w:val="center"/>
        <w:spacing w:line="408" w:lineRule="auto"/>
        <w:rPr>
          <w:rFonts w:hint="eastAsia" w:ascii="宋体" w:hAnsi="宋体" w:cs="宋体"/>
          <w:b/>
          <w:bCs/>
          <w:color w:val="auto"/>
          <w:sz w:val="32"/>
          <w:szCs w:val="40"/>
          <w:highlight w:val="none"/>
        </w:rPr>
      </w:pPr>
      <w:r>
        <w:rPr>
          <w:rFonts w:hint="eastAsia" w:ascii="宋体" w:hAnsi="宋体" w:cs="宋体"/>
          <w:b/>
          <w:bCs/>
          <w:color w:val="auto"/>
          <w:sz w:val="32"/>
          <w:szCs w:val="40"/>
          <w:highlight w:val="none"/>
        </w:rPr>
        <w:t xml:space="preserve">★（第三部分：商务部分）</w:t>
      </w:r>
      <w:r/>
    </w:p>
    <w:p>
      <w:pPr>
        <w:jc w:val="left"/>
        <w:spacing w:line="408"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五、商务条款</w:t>
      </w:r>
      <w:r/>
    </w:p>
    <w:tbl>
      <w:tblPr>
        <w:tblStyle w:val="871"/>
        <w:tblW w:w="9463" w:type="dxa"/>
        <w:tblInd w:w="392"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9"/>
        <w:gridCol w:w="1919"/>
        <w:gridCol w:w="6925"/>
      </w:tblGrid>
      <w:tr>
        <w:trPr>
          <w:trHeight w:val="827"/>
        </w:trPr>
        <w:tc>
          <w:tcPr>
            <w:tcW w:w="619" w:type="dxa"/>
            <w:vAlign w:val="center"/>
            <w:textDirection w:val="lrTb"/>
            <w:noWrap/>
          </w:tcPr>
          <w:p>
            <w:pPr>
              <w:pStyle w:val="892"/>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1</w:t>
            </w:r>
            <w:r/>
          </w:p>
        </w:tc>
        <w:tc>
          <w:tcPr>
            <w:tcW w:w="1919" w:type="dxa"/>
            <w:vAlign w:val="center"/>
            <w:textDirection w:val="lrTb"/>
            <w:noWrap/>
          </w:tcPr>
          <w:p>
            <w:pPr>
              <w:pStyle w:val="892"/>
              <w:jc w:val="center"/>
              <w:rPr>
                <w:rFonts w:ascii="宋体" w:hAnsi="宋体" w:cs="宋体"/>
                <w:color w:val="auto"/>
                <w:sz w:val="24"/>
                <w:szCs w:val="24"/>
                <w:highlight w:val="none"/>
                <w:lang w:eastAsia="zh-CN"/>
              </w:rPr>
            </w:pPr>
            <w:r>
              <w:rPr>
                <w:rFonts w:ascii="宋体" w:hAnsi="宋体" w:cs="宋体"/>
                <w:color w:val="auto"/>
                <w:sz w:val="24"/>
                <w:szCs w:val="24"/>
                <w:highlight w:val="none"/>
              </w:rPr>
              <w:t xml:space="preserve">合同履行期限</w:t>
            </w:r>
            <w:r/>
          </w:p>
        </w:tc>
        <w:tc>
          <w:tcPr>
            <w:tcW w:w="6925" w:type="dxa"/>
            <w:vAlign w:val="center"/>
            <w:textDirection w:val="lrTb"/>
            <w:noWrap/>
          </w:tcPr>
          <w:p>
            <w:pPr>
              <w:pStyle w:val="892"/>
              <w:jc w:val="both"/>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自合同签订之日起至南京市新型技术改造城市试点完成验收。</w:t>
            </w:r>
            <w:r/>
          </w:p>
        </w:tc>
      </w:tr>
      <w:tr>
        <w:trPr>
          <w:trHeight w:val="827"/>
        </w:trPr>
        <w:tc>
          <w:tcPr>
            <w:tcW w:w="619" w:type="dxa"/>
            <w:vAlign w:val="center"/>
            <w:textDirection w:val="lrTb"/>
            <w:noWrap/>
          </w:tcPr>
          <w:p>
            <w:pPr>
              <w:pStyle w:val="892"/>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2</w:t>
            </w:r>
            <w:r/>
          </w:p>
        </w:tc>
        <w:tc>
          <w:tcPr>
            <w:tcW w:w="1919" w:type="dxa"/>
            <w:vAlign w:val="center"/>
            <w:textDirection w:val="lrTb"/>
            <w:noWrap/>
          </w:tcPr>
          <w:p>
            <w:pPr>
              <w:pStyle w:val="892"/>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保密、廉洁要求</w:t>
            </w:r>
            <w:r/>
          </w:p>
        </w:tc>
        <w:tc>
          <w:tcPr>
            <w:tcW w:w="6925" w:type="dxa"/>
            <w:vAlign w:val="center"/>
            <w:textDirection w:val="lrTb"/>
            <w:noWrap/>
          </w:tcPr>
          <w:p>
            <w:pPr>
              <w:pStyle w:val="892"/>
              <w:jc w:val="both"/>
              <w:rPr>
                <w:rFonts w:ascii="宋体" w:hAnsi="宋体" w:cs="宋体"/>
                <w:color w:val="auto"/>
                <w:sz w:val="24"/>
                <w:szCs w:val="24"/>
                <w:highlight w:val="none"/>
                <w:lang w:eastAsia="zh-CN"/>
              </w:rPr>
            </w:pPr>
            <w:r>
              <w:rPr>
                <w:rFonts w:ascii="宋体" w:hAnsi="宋体" w:cs="宋体"/>
                <w:b/>
                <w:bCs/>
                <w:color w:val="auto"/>
                <w:sz w:val="24"/>
                <w:szCs w:val="24"/>
                <w:highlight w:val="none"/>
                <w:lang w:eastAsia="zh-CN"/>
              </w:rPr>
              <w:t xml:space="preserve">提供保密、廉洁承诺书，格式详见附件</w:t>
            </w:r>
            <w:r/>
          </w:p>
        </w:tc>
      </w:tr>
      <w:tr>
        <w:trPr>
          <w:trHeight w:val="827"/>
        </w:trPr>
        <w:tc>
          <w:tcPr>
            <w:tcW w:w="619" w:type="dxa"/>
            <w:vAlign w:val="center"/>
            <w:textDirection w:val="lrTb"/>
            <w:noWrap/>
          </w:tcPr>
          <w:p>
            <w:pPr>
              <w:pStyle w:val="892"/>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3</w:t>
            </w:r>
            <w:r/>
          </w:p>
        </w:tc>
        <w:tc>
          <w:tcPr>
            <w:tcW w:w="1919" w:type="dxa"/>
            <w:vAlign w:val="center"/>
            <w:textDirection w:val="lrTb"/>
            <w:noWrap/>
          </w:tcPr>
          <w:p>
            <w:pPr>
              <w:pStyle w:val="892"/>
              <w:jc w:val="center"/>
              <w:rPr>
                <w:rFonts w:ascii="宋体" w:hAnsi="宋体" w:cs="宋体"/>
                <w:color w:val="auto"/>
                <w:sz w:val="24"/>
                <w:szCs w:val="24"/>
                <w:highlight w:val="none"/>
              </w:rPr>
            </w:pPr>
            <w:r>
              <w:rPr>
                <w:rFonts w:ascii="宋体" w:hAnsi="宋体" w:cs="宋体"/>
                <w:color w:val="auto"/>
                <w:sz w:val="24"/>
                <w:szCs w:val="24"/>
                <w:highlight w:val="none"/>
              </w:rPr>
              <w:t xml:space="preserve">标的提供的地点</w:t>
            </w:r>
            <w:r/>
          </w:p>
        </w:tc>
        <w:tc>
          <w:tcPr>
            <w:tcW w:w="6925" w:type="dxa"/>
            <w:vAlign w:val="center"/>
            <w:textDirection w:val="lrTb"/>
            <w:noWrap/>
          </w:tcPr>
          <w:p>
            <w:pPr>
              <w:pStyle w:val="892"/>
              <w:jc w:val="center"/>
              <w:rPr>
                <w:rFonts w:ascii="宋体" w:hAnsi="宋体" w:cs="宋体"/>
                <w:color w:val="auto"/>
                <w:sz w:val="24"/>
                <w:szCs w:val="24"/>
                <w:highlight w:val="none"/>
              </w:rPr>
            </w:pPr>
            <w:r>
              <w:rPr>
                <w:rFonts w:ascii="宋体" w:hAnsi="宋体" w:cs="宋体"/>
                <w:color w:val="auto"/>
                <w:sz w:val="24"/>
                <w:szCs w:val="24"/>
                <w:highlight w:val="none"/>
              </w:rPr>
              <w:t xml:space="preserve">南京市</w:t>
            </w:r>
            <w:r/>
          </w:p>
        </w:tc>
      </w:tr>
      <w:tr>
        <w:trPr>
          <w:trHeight w:val="1122"/>
        </w:trPr>
        <w:tc>
          <w:tcPr>
            <w:tcW w:w="619" w:type="dxa"/>
            <w:vAlign w:val="center"/>
            <w:textDirection w:val="lrTb"/>
            <w:noWrap/>
          </w:tcPr>
          <w:p>
            <w:pPr>
              <w:pStyle w:val="892"/>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4</w:t>
            </w:r>
            <w:r/>
          </w:p>
        </w:tc>
        <w:tc>
          <w:tcPr>
            <w:tcW w:w="1919" w:type="dxa"/>
            <w:vAlign w:val="center"/>
            <w:textDirection w:val="lrTb"/>
            <w:noWrap/>
          </w:tcPr>
          <w:p>
            <w:pPr>
              <w:pStyle w:val="892"/>
              <w:jc w:val="center"/>
              <w:rPr>
                <w:rFonts w:ascii="宋体" w:hAnsi="宋体" w:cs="宋体"/>
                <w:color w:val="auto"/>
                <w:sz w:val="24"/>
                <w:szCs w:val="24"/>
                <w:highlight w:val="none"/>
              </w:rPr>
            </w:pPr>
            <w:r>
              <w:rPr>
                <w:rFonts w:ascii="宋体" w:hAnsi="宋体" w:cs="宋体"/>
                <w:color w:val="auto"/>
                <w:sz w:val="24"/>
                <w:szCs w:val="24"/>
                <w:highlight w:val="none"/>
              </w:rPr>
              <w:t xml:space="preserve">付款方式</w:t>
            </w:r>
            <w:r/>
          </w:p>
        </w:tc>
        <w:tc>
          <w:tcPr>
            <w:tcW w:w="6925" w:type="dxa"/>
            <w:vAlign w:val="center"/>
            <w:textDirection w:val="lrTb"/>
            <w:noWrap/>
          </w:tcPr>
          <w:p>
            <w:pPr>
              <w:pStyle w:val="892"/>
              <w:jc w:val="both"/>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合同签订后一个月内支付合同金额的50%，服务结束并经确认完成服务后一个月内付清全部款项。满足付款条件后，采购人自收到中标人相应金额的正规增值税发票后10个工作日内支付。</w:t>
            </w:r>
            <w:r/>
          </w:p>
        </w:tc>
      </w:tr>
      <w:tr>
        <w:trPr>
          <w:trHeight w:val="992"/>
        </w:trPr>
        <w:tc>
          <w:tcPr>
            <w:tcW w:w="619" w:type="dxa"/>
            <w:vAlign w:val="center"/>
            <w:textDirection w:val="lrTb"/>
            <w:noWrap/>
          </w:tcPr>
          <w:p>
            <w:pPr>
              <w:pStyle w:val="892"/>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5</w:t>
            </w:r>
            <w:r/>
          </w:p>
        </w:tc>
        <w:tc>
          <w:tcPr>
            <w:tcW w:w="1919" w:type="dxa"/>
            <w:vAlign w:val="center"/>
            <w:textDirection w:val="lrTb"/>
            <w:noWrap/>
          </w:tcPr>
          <w:p>
            <w:pPr>
              <w:pStyle w:val="892"/>
              <w:jc w:val="center"/>
              <w:rPr>
                <w:rFonts w:ascii="宋体" w:hAnsi="宋体" w:cs="宋体"/>
                <w:color w:val="auto"/>
                <w:sz w:val="24"/>
                <w:szCs w:val="24"/>
                <w:highlight w:val="none"/>
              </w:rPr>
            </w:pPr>
            <w:r>
              <w:rPr>
                <w:rFonts w:ascii="宋体" w:hAnsi="宋体" w:cs="宋体"/>
                <w:color w:val="auto"/>
                <w:sz w:val="24"/>
                <w:szCs w:val="24"/>
                <w:highlight w:val="none"/>
              </w:rPr>
              <w:t xml:space="preserve">验收要求</w:t>
            </w:r>
            <w:r/>
          </w:p>
        </w:tc>
        <w:tc>
          <w:tcPr>
            <w:tcW w:w="6925" w:type="dxa"/>
            <w:vAlign w:val="center"/>
            <w:textDirection w:val="lrTb"/>
            <w:noWrap/>
          </w:tcPr>
          <w:p>
            <w:pPr>
              <w:pStyle w:val="892"/>
              <w:jc w:val="both"/>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按时、按质、按量完成本项目服务工作，符合采购文件及采购人要求。</w:t>
            </w:r>
            <w:r/>
          </w:p>
        </w:tc>
      </w:tr>
      <w:tr>
        <w:trPr>
          <w:trHeight w:val="2557"/>
        </w:trPr>
        <w:tc>
          <w:tcPr>
            <w:tcW w:w="619" w:type="dxa"/>
            <w:vAlign w:val="center"/>
            <w:textDirection w:val="lrTb"/>
            <w:noWrap/>
          </w:tcPr>
          <w:p>
            <w:pPr>
              <w:pStyle w:val="892"/>
              <w:jc w:val="center"/>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6</w:t>
            </w:r>
            <w:r/>
          </w:p>
        </w:tc>
        <w:tc>
          <w:tcPr>
            <w:tcW w:w="1919" w:type="dxa"/>
            <w:vAlign w:val="center"/>
            <w:textDirection w:val="lrTb"/>
            <w:noWrap/>
          </w:tcPr>
          <w:p>
            <w:pPr>
              <w:pStyle w:val="892"/>
              <w:jc w:val="center"/>
              <w:rPr>
                <w:rFonts w:ascii="宋体" w:hAnsi="宋体" w:cs="宋体"/>
                <w:color w:val="auto"/>
                <w:sz w:val="24"/>
                <w:szCs w:val="24"/>
                <w:highlight w:val="none"/>
              </w:rPr>
            </w:pPr>
            <w:r>
              <w:rPr>
                <w:rFonts w:ascii="宋体" w:hAnsi="宋体" w:cs="宋体"/>
                <w:color w:val="auto"/>
                <w:sz w:val="24"/>
                <w:szCs w:val="24"/>
                <w:highlight w:val="none"/>
              </w:rPr>
              <w:t xml:space="preserve">其他</w:t>
            </w:r>
            <w:r/>
          </w:p>
        </w:tc>
        <w:tc>
          <w:tcPr>
            <w:tcW w:w="6925" w:type="dxa"/>
            <w:vAlign w:val="center"/>
            <w:textDirection w:val="lrTb"/>
            <w:noWrap/>
          </w:tcPr>
          <w:p>
            <w:pPr>
              <w:pStyle w:val="892"/>
              <w:jc w:val="both"/>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本项目采用总价包干形式，请供应商认真测算，报价应包含但不限于：人数、服务时间、工资社保及各项税金等；此外，项目实施过程中所需的采购文件中未列出的辅料、会议物料、会议场地、专家组费用、第三方审计费用、软件开发费用、上门服务、软硬件建设对接及维保、设备折旧等其他一切费用应由供应商在报价时一并考虑，项目实施过程中不再单独结算。</w:t>
            </w:r>
            <w:r>
              <w:rPr>
                <w:rFonts w:ascii="宋体" w:hAnsi="宋体" w:cs="宋体"/>
                <w:color w:val="auto"/>
                <w:sz w:val="24"/>
                <w:highlight w:val="none"/>
                <w:lang w:eastAsia="zh-CN"/>
              </w:rPr>
              <w:t xml:space="preserve">中标人提供的服务内容不得违反中央八项规定及其财政资金相关管理规定等要求。</w:t>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pStyle w:val="893"/>
        <w:ind w:left="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36"/>
          <w:highlight w:val="none"/>
          <w:lang w:val="zh-CN"/>
        </w:rPr>
        <w:sectPr>
          <w:footerReference w:type="default" r:id="rId10"/>
          <w:footnotePr/>
          <w:endnotePr>
            <w:numFmt w:val="decimal"/>
          </w:endnotePr>
          <w:type w:val="nextPage"/>
          <w:pgSz w:w="11906" w:h="16838" w:orient="portrait"/>
          <w:pgMar w:top="850" w:right="850" w:bottom="850" w:left="1417" w:header="340" w:footer="567" w:gutter="0"/>
          <w:cols w:num="1" w:sep="0" w:space="1701" w:equalWidth="1"/>
          <w:docGrid w:linePitch="360"/>
        </w:sectPr>
        <w:outlineLvl w:val="0"/>
      </w:pPr>
      <w:r/>
      <w:bookmarkStart w:id="43" w:name="_Toc26600"/>
      <w:r/>
      <w:r/>
    </w:p>
    <w:p>
      <w:pPr>
        <w:jc w:val="center"/>
        <w:spacing w:line="360" w:lineRule="auto"/>
        <w:rPr>
          <w:rFonts w:hint="eastAsia" w:ascii="宋体" w:hAnsi="宋体" w:cs="宋体"/>
          <w:b/>
          <w:color w:val="auto"/>
          <w:sz w:val="36"/>
          <w:highlight w:val="none"/>
          <w:lang w:val="zh-CN"/>
        </w:rPr>
        <w:outlineLvl w:val="0"/>
      </w:pPr>
      <w:r>
        <w:rPr>
          <w:rFonts w:hint="eastAsia" w:ascii="宋体" w:hAnsi="宋体" w:cs="宋体"/>
          <w:b/>
          <w:color w:val="auto"/>
          <w:sz w:val="36"/>
          <w:highlight w:val="none"/>
          <w:lang w:val="zh-CN"/>
        </w:rPr>
        <w:t xml:space="preserve">第五章  合同主要条款及格式</w:t>
      </w:r>
      <w:bookmarkEnd w:id="43"/>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以下为</w:t>
      </w:r>
      <w:r>
        <w:rPr>
          <w:rFonts w:hint="eastAsia" w:ascii="宋体" w:hAnsi="宋体" w:cs="宋体"/>
          <w:color w:val="auto"/>
          <w:sz w:val="24"/>
          <w:highlight w:val="none"/>
        </w:rPr>
        <w:t xml:space="preserve">中标</w:t>
      </w:r>
      <w:r>
        <w:rPr>
          <w:rFonts w:hint="eastAsia" w:ascii="宋体" w:hAnsi="宋体" w:cs="宋体"/>
          <w:bCs/>
          <w:color w:val="auto"/>
          <w:sz w:val="24"/>
          <w:highlight w:val="none"/>
        </w:rPr>
        <w:t xml:space="preserve">后签定本项目合同的通用条款，</w:t>
      </w:r>
      <w:r>
        <w:rPr>
          <w:rFonts w:hint="eastAsia" w:ascii="宋体" w:hAnsi="宋体" w:cs="宋体"/>
          <w:color w:val="auto"/>
          <w:sz w:val="24"/>
          <w:highlight w:val="none"/>
        </w:rPr>
        <w:t xml:space="preserve">中标供应商</w:t>
      </w:r>
      <w:r>
        <w:rPr>
          <w:rFonts w:hint="eastAsia" w:ascii="宋体" w:hAnsi="宋体" w:cs="宋体"/>
          <w:bCs/>
          <w:color w:val="auto"/>
          <w:sz w:val="24"/>
          <w:highlight w:val="none"/>
        </w:rPr>
        <w:t xml:space="preserve">不得提出实质性的修改，关于专用条款将由采购人与</w:t>
      </w:r>
      <w:r>
        <w:rPr>
          <w:rFonts w:hint="eastAsia" w:ascii="宋体" w:hAnsi="宋体" w:cs="宋体"/>
          <w:color w:val="auto"/>
          <w:sz w:val="24"/>
          <w:highlight w:val="none"/>
        </w:rPr>
        <w:t xml:space="preserve">中标供应商</w:t>
      </w:r>
      <w:r>
        <w:rPr>
          <w:rFonts w:hint="eastAsia" w:ascii="宋体" w:hAnsi="宋体" w:cs="宋体"/>
          <w:bCs/>
          <w:color w:val="auto"/>
          <w:sz w:val="24"/>
          <w:highlight w:val="none"/>
        </w:rPr>
        <w:t xml:space="preserve">结合本项目具体情况协商后签订。</w:t>
      </w:r>
      <w:r/>
    </w:p>
    <w:p>
      <w:pPr>
        <w:jc w:val="center"/>
        <w:spacing w:line="420" w:lineRule="auto"/>
        <w:rPr>
          <w:rFonts w:ascii="黑体" w:hAnsi="Arial"/>
          <w:color w:val="auto"/>
          <w:sz w:val="28"/>
          <w:szCs w:val="28"/>
          <w:highlight w:val="none"/>
          <w:lang w:val="zh-CN"/>
        </w:rPr>
      </w:pPr>
      <w:r/>
      <w:bookmarkStart w:id="44" w:name="合同编号"/>
      <w:r/>
      <w:bookmarkEnd w:id="44"/>
      <w:r/>
      <w:r/>
    </w:p>
    <w:p>
      <w:pPr>
        <w:jc w:val="center"/>
        <w:rPr>
          <w:rFonts w:hint="eastAsia" w:ascii="宋体" w:hAnsi="宋体"/>
          <w:color w:val="auto"/>
          <w:sz w:val="52"/>
          <w:highlight w:val="none"/>
        </w:rPr>
      </w:pPr>
      <w:r>
        <w:rPr>
          <w:rFonts w:ascii="宋体" w:hAnsi="宋体" w:cs="宋体"/>
          <w:color w:val="auto"/>
          <w:sz w:val="52"/>
          <w:highlight w:val="none"/>
        </w:rPr>
        <w:t xml:space="preserve">南京市政府采购合同</w:t>
      </w:r>
      <w:r/>
    </w:p>
    <w:p>
      <w:pPr>
        <w:ind w:firstLine="1807"/>
        <w:rPr>
          <w:rFonts w:hint="eastAsia" w:ascii="宋体" w:hAnsi="宋体" w:cs="黑体"/>
          <w:b/>
          <w:color w:val="auto"/>
          <w:sz w:val="36"/>
          <w:highlight w:val="none"/>
        </w:rPr>
      </w:pPr>
      <w:r>
        <w:rPr>
          <w:rFonts w:hint="eastAsia" w:ascii="宋体" w:hAnsi="宋体" w:cs="黑体"/>
          <w:b/>
          <w:color w:val="auto"/>
          <w:sz w:val="36"/>
          <w:highlight w:val="none"/>
        </w:rPr>
      </w:r>
      <w:r/>
    </w:p>
    <w:p>
      <w:pPr>
        <w:rPr>
          <w:rFonts w:hint="eastAsia" w:ascii="宋体" w:hAnsi="宋体" w:cs="黑体"/>
          <w:b/>
          <w:color w:val="auto"/>
          <w:sz w:val="36"/>
          <w:highlight w:val="none"/>
        </w:rPr>
      </w:pPr>
      <w:r>
        <w:rPr>
          <w:rFonts w:hint="eastAsia" w:ascii="宋体" w:hAnsi="宋体" w:cs="黑体"/>
          <w:b/>
          <w:color w:val="auto"/>
          <w:sz w:val="36"/>
          <w:highlight w:val="none"/>
        </w:rPr>
      </w:r>
      <w:r/>
    </w:p>
    <w:p>
      <w:pPr>
        <w:pStyle w:val="894"/>
        <w:ind w:firstLine="720"/>
        <w:rPr>
          <w:rFonts w:hint="eastAsia" w:hAnsi="宋体" w:cs="黑体"/>
          <w:b/>
          <w:color w:val="auto"/>
          <w:sz w:val="36"/>
          <w:highlight w:val="none"/>
        </w:rPr>
      </w:pPr>
      <w:r>
        <w:rPr>
          <w:rFonts w:hint="eastAsia" w:hAnsi="宋体" w:cs="黑体"/>
          <w:b/>
          <w:color w:val="auto"/>
          <w:sz w:val="36"/>
          <w:highlight w:val="none"/>
        </w:rPr>
      </w:r>
      <w:r/>
    </w:p>
    <w:p>
      <w:pPr>
        <w:pStyle w:val="894"/>
        <w:ind w:firstLine="720"/>
        <w:rPr>
          <w:rFonts w:hint="eastAsia" w:hAnsi="宋体" w:cs="黑体"/>
          <w:b/>
          <w:color w:val="auto"/>
          <w:sz w:val="36"/>
          <w:highlight w:val="none"/>
        </w:rPr>
      </w:pPr>
      <w:r>
        <w:rPr>
          <w:rFonts w:hint="eastAsia" w:hAnsi="宋体" w:cs="黑体"/>
          <w:b/>
          <w:color w:val="auto"/>
          <w:sz w:val="36"/>
          <w:highlight w:val="none"/>
        </w:rPr>
      </w:r>
      <w:r/>
    </w:p>
    <w:p>
      <w:pPr>
        <w:ind w:firstLine="1807"/>
        <w:rPr>
          <w:rFonts w:hint="eastAsia" w:ascii="宋体" w:hAnsi="宋体" w:cs="黑体"/>
          <w:b/>
          <w:color w:val="auto"/>
          <w:sz w:val="36"/>
          <w:highlight w:val="none"/>
        </w:rPr>
      </w:pPr>
      <w:r>
        <w:rPr>
          <w:rFonts w:hint="eastAsia" w:ascii="宋体" w:hAnsi="宋体" w:cs="黑体"/>
          <w:b/>
          <w:color w:val="auto"/>
          <w:sz w:val="36"/>
          <w:highlight w:val="none"/>
        </w:rPr>
      </w:r>
      <w:r/>
    </w:p>
    <w:p>
      <w:pPr>
        <w:ind w:firstLine="1918"/>
        <w:rPr>
          <w:rFonts w:hint="eastAsia" w:ascii="宋体" w:hAnsi="宋体" w:cs="黑体"/>
          <w:b/>
          <w:color w:val="auto"/>
          <w:sz w:val="36"/>
          <w:highlight w:val="none"/>
        </w:rPr>
      </w:pPr>
      <w:r>
        <w:rPr>
          <w:rFonts w:ascii="宋体" w:hAnsi="宋体" w:cs="黑体"/>
          <w:b/>
          <w:color w:val="auto"/>
          <w:sz w:val="36"/>
          <w:highlight w:val="none"/>
        </w:rPr>
        <w:t xml:space="preserve">合同编号：</w:t>
      </w:r>
      <w:r/>
    </w:p>
    <w:p>
      <w:pPr>
        <w:ind w:firstLine="1918"/>
        <w:rPr>
          <w:rFonts w:hint="eastAsia" w:ascii="宋体" w:hAnsi="宋体" w:cs="黑体"/>
          <w:b/>
          <w:color w:val="auto"/>
          <w:sz w:val="36"/>
          <w:highlight w:val="none"/>
          <w:u w:val="single"/>
        </w:rPr>
      </w:pPr>
      <w:r>
        <w:rPr>
          <w:rFonts w:ascii="宋体" w:hAnsi="宋体" w:cs="黑体"/>
          <w:b/>
          <w:color w:val="auto"/>
          <w:sz w:val="36"/>
          <w:highlight w:val="none"/>
        </w:rPr>
        <w:t xml:space="preserve">项目名称：</w:t>
      </w:r>
      <w:r/>
    </w:p>
    <w:p>
      <w:pPr>
        <w:ind w:firstLine="1918"/>
        <w:rPr>
          <w:rFonts w:hint="eastAsia" w:ascii="宋体" w:hAnsi="宋体" w:cs="黑体"/>
          <w:b/>
          <w:color w:val="auto"/>
          <w:sz w:val="36"/>
          <w:highlight w:val="none"/>
          <w:u w:val="single"/>
        </w:rPr>
      </w:pPr>
      <w:r>
        <w:rPr>
          <w:rFonts w:ascii="宋体" w:hAnsi="宋体" w:cs="黑体"/>
          <w:b/>
          <w:color w:val="auto"/>
          <w:sz w:val="36"/>
          <w:highlight w:val="none"/>
        </w:rPr>
        <w:t xml:space="preserve">使用单位：</w:t>
      </w:r>
      <w:r/>
    </w:p>
    <w:p>
      <w:pPr>
        <w:ind w:firstLine="1916"/>
        <w:rPr>
          <w:rFonts w:hint="eastAsia" w:ascii="宋体" w:hAnsi="宋体" w:cs="黑体"/>
          <w:b/>
          <w:color w:val="auto"/>
          <w:sz w:val="36"/>
          <w:highlight w:val="none"/>
        </w:rPr>
      </w:pPr>
      <w:r>
        <w:rPr>
          <w:rFonts w:hint="eastAsia" w:ascii="宋体" w:hAnsi="宋体" w:cs="黑体"/>
          <w:b/>
          <w:color w:val="auto"/>
          <w:sz w:val="36"/>
          <w:highlight w:val="none"/>
        </w:rPr>
        <w:t xml:space="preserve">服务</w:t>
      </w:r>
      <w:r>
        <w:rPr>
          <w:rFonts w:ascii="宋体" w:hAnsi="宋体" w:cs="黑体"/>
          <w:b/>
          <w:color w:val="auto"/>
          <w:sz w:val="36"/>
          <w:highlight w:val="none"/>
        </w:rPr>
        <w:t xml:space="preserve">单位：</w:t>
      </w:r>
      <w:r/>
    </w:p>
    <w:p>
      <w:pPr>
        <w:ind w:firstLine="1916"/>
        <w:rPr>
          <w:rFonts w:hint="eastAsia" w:ascii="宋体" w:hAnsi="宋体" w:cs="黑体"/>
          <w:b/>
          <w:color w:val="auto"/>
          <w:sz w:val="36"/>
          <w:highlight w:val="none"/>
        </w:rPr>
      </w:pPr>
      <w:r>
        <w:rPr>
          <w:rFonts w:ascii="宋体" w:hAnsi="宋体" w:cs="黑体"/>
          <w:b/>
          <w:color w:val="auto"/>
          <w:sz w:val="36"/>
          <w:highlight w:val="none"/>
        </w:rPr>
        <w:t xml:space="preserve">签订日期：</w:t>
      </w:r>
      <w:r/>
    </w:p>
    <w:p>
      <w:pPr>
        <w:rPr>
          <w:rFonts w:hint="eastAsia" w:ascii="宋体" w:hAnsi="宋体" w:cs="黑体"/>
          <w:color w:val="auto"/>
          <w:sz w:val="36"/>
          <w:highlight w:val="none"/>
        </w:rPr>
      </w:pPr>
      <w:r>
        <w:rPr>
          <w:rFonts w:hint="eastAsia" w:ascii="宋体" w:hAnsi="宋体" w:cs="黑体"/>
          <w:color w:val="auto"/>
          <w:sz w:val="36"/>
          <w:highlight w:val="none"/>
        </w:rPr>
      </w:r>
      <w:r/>
    </w:p>
    <w:p>
      <w:pPr>
        <w:pStyle w:val="894"/>
        <w:ind w:firstLine="720"/>
        <w:rPr>
          <w:rFonts w:hint="eastAsia" w:hAnsi="宋体" w:cs="黑体"/>
          <w:color w:val="auto"/>
          <w:sz w:val="36"/>
          <w:highlight w:val="none"/>
        </w:rPr>
      </w:pPr>
      <w:r>
        <w:rPr>
          <w:rFonts w:hint="eastAsia" w:hAnsi="宋体" w:cs="黑体"/>
          <w:color w:val="auto"/>
          <w:sz w:val="36"/>
          <w:highlight w:val="none"/>
        </w:rPr>
      </w:r>
      <w:r/>
    </w:p>
    <w:p>
      <w:pPr>
        <w:rPr>
          <w:rFonts w:hint="eastAsia" w:ascii="宋体" w:hAnsi="宋体" w:cs="黑体"/>
          <w:color w:val="auto"/>
          <w:sz w:val="36"/>
          <w:highlight w:val="none"/>
        </w:rPr>
      </w:pPr>
      <w:r>
        <w:rPr>
          <w:rFonts w:hint="eastAsia" w:ascii="宋体" w:hAnsi="宋体" w:cs="黑体"/>
          <w:color w:val="auto"/>
          <w:sz w:val="36"/>
          <w:highlight w:val="none"/>
        </w:rPr>
      </w:r>
      <w:r/>
    </w:p>
    <w:p>
      <w:pPr>
        <w:jc w:val="center"/>
        <w:rPr>
          <w:rFonts w:hint="eastAsia" w:ascii="宋体" w:hAnsi="宋体" w:cs="黑体"/>
          <w:b/>
          <w:color w:val="auto"/>
          <w:sz w:val="36"/>
          <w:highlight w:val="none"/>
        </w:rPr>
      </w:pPr>
      <w:r>
        <w:rPr>
          <w:rFonts w:ascii="宋体" w:hAnsi="宋体" w:cs="黑体"/>
          <w:b/>
          <w:color w:val="auto"/>
          <w:sz w:val="36"/>
          <w:highlight w:val="none"/>
        </w:rPr>
        <w:t xml:space="preserve">南京市工商行政管理局</w:t>
      </w:r>
      <w:r/>
    </w:p>
    <w:p>
      <w:pPr>
        <w:jc w:val="center"/>
        <w:rPr>
          <w:rFonts w:hint="eastAsia" w:ascii="宋体" w:hAnsi="宋体" w:cs="黑体"/>
          <w:b/>
          <w:color w:val="auto"/>
          <w:sz w:val="36"/>
          <w:highlight w:val="none"/>
        </w:rPr>
      </w:pPr>
      <w:r>
        <w:rPr>
          <w:rFonts w:ascii="宋体" w:hAnsi="宋体" w:cs="黑体"/>
          <w:b/>
          <w:color w:val="auto"/>
          <w:sz w:val="36"/>
          <w:highlight w:val="none"/>
        </w:rPr>
        <w:t xml:space="preserve">南京市财政局监制</w:t>
      </w:r>
      <w:r/>
    </w:p>
    <w:p>
      <w:pPr>
        <w:rPr>
          <w:rFonts w:hint="eastAsia" w:ascii="宋体" w:hAnsi="宋体"/>
          <w:color w:val="auto"/>
          <w:sz w:val="22"/>
          <w:szCs w:val="21"/>
          <w:highlight w:val="none"/>
          <w:lang w:val="zh-CN"/>
        </w:rPr>
      </w:pPr>
      <w:r>
        <w:rPr>
          <w:rFonts w:hint="eastAsia" w:ascii="宋体" w:hAnsi="宋体"/>
          <w:color w:val="auto"/>
          <w:sz w:val="22"/>
          <w:szCs w:val="21"/>
          <w:highlight w:val="none"/>
          <w:lang w:val="zh-CN"/>
        </w:rPr>
        <w:br w:type="page" w:clear="all"/>
      </w:r>
      <w:r/>
    </w:p>
    <w:p>
      <w:pPr>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合同编号：</w:t>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政府采购计划号：</w:t>
      </w:r>
      <w:r/>
    </w:p>
    <w:p>
      <w:pPr>
        <w:spacing w:line="360" w:lineRule="auto"/>
        <w:rPr>
          <w:rFonts w:hint="eastAsia" w:ascii="宋体" w:hAnsi="宋体" w:cs="宋体"/>
          <w:b/>
          <w:color w:val="auto"/>
          <w:sz w:val="24"/>
          <w:highlight w:val="none"/>
          <w:u w:val="single"/>
          <w:lang w:val="zh-CN"/>
        </w:rPr>
      </w:pPr>
      <w:r>
        <w:rPr>
          <w:rFonts w:hint="eastAsia" w:ascii="宋体" w:hAnsi="宋体" w:cs="宋体"/>
          <w:color w:val="auto"/>
          <w:sz w:val="24"/>
          <w:highlight w:val="none"/>
          <w:lang w:val="zh-CN"/>
        </w:rPr>
        <w:t xml:space="preserve">采购人（以下称甲方）：</w:t>
      </w:r>
      <w:r>
        <w:rPr>
          <w:rFonts w:hint="eastAsia" w:ascii="宋体" w:hAnsi="宋体" w:cs="宋体"/>
          <w:b/>
          <w:color w:val="auto"/>
          <w:sz w:val="24"/>
          <w:highlight w:val="none"/>
          <w:u w:val="single"/>
          <w:lang w:val="zh-CN"/>
        </w:rPr>
        <w:t xml:space="preserve">南京市工业和信息化局</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住所地：</w:t>
      </w:r>
      <w:r/>
    </w:p>
    <w:p>
      <w:pPr>
        <w:spacing w:line="360" w:lineRule="auto"/>
        <w:rPr>
          <w:rFonts w:hint="eastAsia" w:ascii="宋体" w:hAnsi="宋体" w:cs="宋体"/>
          <w:b/>
          <w:color w:val="auto"/>
          <w:sz w:val="24"/>
          <w:highlight w:val="none"/>
          <w:u w:val="single"/>
        </w:rPr>
      </w:pPr>
      <w:r>
        <w:rPr>
          <w:rFonts w:hint="eastAsia" w:ascii="宋体" w:hAnsi="宋体" w:cs="宋体"/>
          <w:color w:val="auto"/>
          <w:sz w:val="24"/>
          <w:highlight w:val="none"/>
          <w:lang w:val="zh-CN"/>
        </w:rPr>
        <w:t xml:space="preserve">供应商（以下称乙方）：</w:t>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住所地：</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根据《中华人民共和国政府采购法》、《中华人民共和国民法典》等法律法规的规定，甲乙双方按照招标结果签订本合同。</w:t>
      </w:r>
      <w:r/>
    </w:p>
    <w:p>
      <w:pPr>
        <w:ind w:firstLine="482"/>
        <w:spacing w:line="360" w:lineRule="auto"/>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第一条 合同标的</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乙方根据甲方需求提供下列服务：详见附件及乙方投标文件。</w:t>
      </w:r>
      <w:r/>
    </w:p>
    <w:p>
      <w:pPr>
        <w:ind w:firstLine="482"/>
        <w:jc w:val="left"/>
        <w:spacing w:line="360" w:lineRule="auto"/>
        <w:shd w:val="clear" w:color="auto" w:fill="ffffff"/>
        <w:widowControl/>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第二条合同单价款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本合同项下服务总价款为：元，分项价款在“</w:t>
      </w:r>
      <w:r>
        <w:rPr>
          <w:rFonts w:hint="eastAsia" w:ascii="宋体" w:hAnsi="宋体" w:cs="宋体"/>
          <w:color w:val="auto"/>
          <w:sz w:val="24"/>
          <w:highlight w:val="none"/>
        </w:rPr>
        <w:t xml:space="preserve">分项</w:t>
      </w:r>
      <w:r>
        <w:rPr>
          <w:rFonts w:hint="eastAsia" w:ascii="宋体" w:hAnsi="宋体" w:cs="宋体"/>
          <w:color w:val="auto"/>
          <w:sz w:val="24"/>
          <w:highlight w:val="none"/>
          <w:lang w:val="zh-CN"/>
        </w:rPr>
        <w:t xml:space="preserve">报价表”中有明确规定；</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本合同总价款包含以下内容：</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（1）完成本服务项目发生的所有含税费用；</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（2）支付给员工的工资和国家强制缴纳的各种社会保障资金；</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（3）乙方应当提供的伴随服务/售后服务费用；</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（4）供应商认为需要的其他费用。</w:t>
      </w:r>
      <w:r/>
    </w:p>
    <w:p>
      <w:pPr>
        <w:ind w:firstLine="482"/>
        <w:jc w:val="left"/>
        <w:spacing w:line="360" w:lineRule="auto"/>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第三条 组成本合同的有关文件</w:t>
      </w:r>
      <w:r/>
    </w:p>
    <w:p>
      <w:pPr>
        <w:ind w:firstLine="480"/>
        <w:jc w:val="left"/>
        <w:spacing w:line="360" w:lineRule="auto"/>
        <w:widowControl/>
        <w:rPr>
          <w:rFonts w:hint="eastAsia" w:ascii="宋体" w:hAnsi="宋体" w:cs="宋体"/>
          <w:color w:val="auto"/>
          <w:sz w:val="24"/>
          <w:highlight w:val="none"/>
          <w:u w:val="single"/>
          <w:lang w:val="zh-CN"/>
        </w:rPr>
      </w:pPr>
      <w:r>
        <w:rPr>
          <w:rFonts w:hint="eastAsia" w:ascii="宋体" w:hAnsi="宋体" w:cs="宋体"/>
          <w:color w:val="auto"/>
          <w:sz w:val="24"/>
          <w:highlight w:val="none"/>
          <w:lang w:val="zh-CN"/>
        </w:rPr>
        <w:t xml:space="preserve">下列关于JSZC-320100-SNZX-G2026-0179标的招投标文件或与本次采购活动方式相适应的文件及有关附件是本合同不可分割的组成部分，与本合同具有同等法律效力，这些文件包括但不限于：</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（1）投标（响应）文件和报价表；    （2）服务一览表；</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（3）交付一览表；                  （4）技术规格响应表；</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（5）投标（响应）承诺；            （6）服务承诺；</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（7）中标（成交）通知书；          （8）甲乙双方商定的其它文件。</w:t>
      </w:r>
      <w:r/>
    </w:p>
    <w:p>
      <w:pPr>
        <w:ind w:firstLine="482"/>
        <w:jc w:val="left"/>
        <w:spacing w:line="360" w:lineRule="auto"/>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第四条 权利保证</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乙方应保证甲方在使用该服务或其任何一部分时不受第三方提出侵犯其专利权、版权、商标权或其他权利的起诉。一旦出现侵权，乙方应承担全部责任。</w:t>
      </w:r>
      <w:r/>
    </w:p>
    <w:p>
      <w:pPr>
        <w:ind w:firstLine="482"/>
        <w:jc w:val="left"/>
        <w:spacing w:line="360" w:lineRule="auto"/>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第五条 质量保证</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乙方所提供的服务的技术规格应与招标（采购）文件规定的技术规格及所附的“</w:t>
      </w:r>
      <w:r>
        <w:rPr>
          <w:rFonts w:hint="eastAsia" w:ascii="宋体" w:hAnsi="宋体" w:cs="宋体"/>
          <w:color w:val="auto"/>
          <w:sz w:val="24"/>
          <w:highlight w:val="none"/>
        </w:rPr>
        <w:t xml:space="preserve">技术条款偏离表</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和“商务条款偏离表”</w:t>
      </w:r>
      <w:r>
        <w:rPr>
          <w:rFonts w:hint="eastAsia" w:ascii="宋体" w:hAnsi="宋体" w:cs="宋体"/>
          <w:color w:val="auto"/>
          <w:sz w:val="24"/>
          <w:highlight w:val="none"/>
          <w:lang w:val="zh-CN"/>
        </w:rPr>
        <w:t xml:space="preserve">相一致；若技术性能无特殊说明，则按国家有关部门最新颁布的标准及规范为准。</w:t>
      </w:r>
      <w:r/>
    </w:p>
    <w:p>
      <w:pPr>
        <w:ind w:firstLine="482"/>
        <w:jc w:val="left"/>
        <w:spacing w:line="360" w:lineRule="auto"/>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第六条 交付和验收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1.合同期限</w:t>
      </w:r>
      <w:r>
        <w:rPr>
          <w:rFonts w:hint="eastAsia" w:ascii="宋体" w:hAnsi="宋体" w:cs="宋体"/>
          <w:color w:val="auto"/>
          <w:sz w:val="24"/>
          <w:highlight w:val="none"/>
        </w:rPr>
        <w:t xml:space="preserve">：自合同签订之日起至南京市新型技术改造城市试点完成验收。</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2.验收标准：</w:t>
      </w:r>
      <w:r>
        <w:rPr>
          <w:rFonts w:hint="eastAsia" w:ascii="宋体" w:hAnsi="宋体"/>
          <w:color w:val="auto"/>
          <w:sz w:val="24"/>
          <w:highlight w:val="none"/>
        </w:rPr>
        <w:t xml:space="preserve">按时、按质、按量完成本项目服务工作，符合采购文件及甲方要求。</w:t>
      </w:r>
      <w:r/>
    </w:p>
    <w:p>
      <w:pPr>
        <w:ind w:firstLine="482"/>
        <w:jc w:val="left"/>
        <w:spacing w:line="360" w:lineRule="auto"/>
        <w:rPr>
          <w:rFonts w:hint="eastAsia" w:ascii="宋体" w:hAnsi="宋体" w:cs="宋体"/>
          <w:b/>
          <w:bCs/>
          <w:i/>
          <w:iCs/>
          <w:color w:val="auto"/>
          <w:sz w:val="24"/>
          <w:highlight w:val="none"/>
          <w:lang w:val="zh-CN"/>
        </w:rPr>
        <w:outlineLvl w:val="1"/>
      </w:pPr>
      <w:r>
        <w:rPr>
          <w:rFonts w:hint="eastAsia" w:ascii="宋体" w:hAnsi="宋体" w:cs="宋体"/>
          <w:b/>
          <w:bCs/>
          <w:color w:val="auto"/>
          <w:sz w:val="24"/>
          <w:highlight w:val="none"/>
          <w:lang w:val="zh-CN"/>
        </w:rPr>
        <w:t xml:space="preserve">第七条 合同款支付</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1、本合同项下所有款项均以人民币支付。</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2、本合同项下的采购资金由甲方自行支付，乙方</w:t>
      </w:r>
      <w:r>
        <w:rPr>
          <w:rFonts w:hint="eastAsia" w:ascii="宋体" w:hAnsi="宋体" w:cs="宋体"/>
          <w:color w:val="auto"/>
          <w:sz w:val="24"/>
          <w:highlight w:val="none"/>
        </w:rPr>
        <w:t xml:space="preserve">应在甲方每次付款前</w:t>
      </w:r>
      <w:r>
        <w:rPr>
          <w:rFonts w:hint="eastAsia" w:ascii="宋体" w:hAnsi="宋体" w:cs="宋体"/>
          <w:color w:val="auto"/>
          <w:sz w:val="24"/>
          <w:highlight w:val="none"/>
          <w:lang w:val="zh-CN"/>
        </w:rPr>
        <w:t xml:space="preserve">向甲方开具发票。满足付款条件后，甲方自收到乙方相应金额的正规增值税发票后10个工作日内支付。</w:t>
      </w:r>
      <w:r/>
    </w:p>
    <w:p>
      <w:pPr>
        <w:ind w:firstLine="480"/>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3、付款</w:t>
      </w:r>
      <w:r>
        <w:rPr>
          <w:rFonts w:hint="eastAsia" w:ascii="宋体" w:hAnsi="宋体" w:cs="宋体"/>
          <w:color w:val="auto"/>
          <w:sz w:val="24"/>
          <w:highlight w:val="none"/>
        </w:rPr>
        <w:t xml:space="preserve">方式</w:t>
      </w:r>
      <w:r>
        <w:rPr>
          <w:rFonts w:hint="eastAsia" w:ascii="宋体" w:hAnsi="宋体" w:cs="宋体"/>
          <w:color w:val="auto"/>
          <w:sz w:val="24"/>
          <w:highlight w:val="none"/>
          <w:lang w:val="zh-CN"/>
        </w:rPr>
        <w:t xml:space="preserve">：</w:t>
      </w:r>
      <w:r/>
    </w:p>
    <w:p>
      <w:pPr>
        <w:pStyle w:val="892"/>
        <w:ind w:firstLine="787"/>
        <w:jc w:val="both"/>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合同签订后一个月内支付合同金额的50%，服务结束并经确认完成服务后一个月内付清全部款项。</w:t>
      </w:r>
      <w:r/>
    </w:p>
    <w:p>
      <w:pPr>
        <w:ind w:firstLine="482"/>
        <w:jc w:val="left"/>
        <w:spacing w:line="360" w:lineRule="auto"/>
        <w:rPr>
          <w:rFonts w:hint="eastAsia" w:ascii="宋体" w:hAnsi="宋体" w:cs="宋体"/>
          <w:color w:val="auto"/>
          <w:sz w:val="24"/>
          <w:highlight w:val="none"/>
          <w:lang w:val="zh-CN"/>
        </w:rPr>
        <w:outlineLvl w:val="1"/>
      </w:pPr>
      <w:r>
        <w:rPr>
          <w:rFonts w:hint="eastAsia" w:ascii="宋体" w:hAnsi="宋体" w:cs="宋体"/>
          <w:b/>
          <w:bCs/>
          <w:color w:val="auto"/>
          <w:sz w:val="24"/>
          <w:highlight w:val="none"/>
          <w:lang w:val="zh-CN"/>
        </w:rPr>
        <w:t xml:space="preserve">第八条 违约责任</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1.甲方无正当理由拒收服务、拒付服务款的，甲方向乙方偿付合同总价的</w:t>
      </w:r>
      <w:r>
        <w:rPr>
          <w:rFonts w:hint="eastAsia" w:ascii="宋体" w:hAnsi="宋体" w:cs="宋体"/>
          <w:color w:val="auto"/>
          <w:sz w:val="24"/>
          <w:highlight w:val="none"/>
          <w:u w:val="single"/>
        </w:rPr>
        <w:t xml:space="preserve">5</w:t>
      </w:r>
      <w:r>
        <w:rPr>
          <w:rFonts w:hint="eastAsia" w:ascii="宋体" w:hAnsi="宋体" w:cs="宋体"/>
          <w:color w:val="auto"/>
          <w:sz w:val="24"/>
          <w:highlight w:val="none"/>
          <w:lang w:val="zh-CN"/>
        </w:rPr>
        <w:t xml:space="preserve">%违约金。</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2.甲方未按合同规定的期限向乙方支付服务款的，每逾期1天甲方向乙方偿付欠款总额的</w:t>
      </w:r>
      <w:r>
        <w:rPr>
          <w:rFonts w:hint="eastAsia" w:ascii="宋体" w:hAnsi="宋体" w:cs="宋体"/>
          <w:color w:val="auto"/>
          <w:sz w:val="24"/>
          <w:highlight w:val="none"/>
          <w:u w:val="single"/>
        </w:rPr>
        <w:t xml:space="preserve">5</w:t>
      </w:r>
      <w:r>
        <w:rPr>
          <w:rFonts w:hint="eastAsia" w:ascii="宋体" w:hAnsi="宋体" w:cs="宋体"/>
          <w:color w:val="auto"/>
          <w:sz w:val="24"/>
          <w:highlight w:val="none"/>
          <w:lang w:val="zh-CN"/>
        </w:rPr>
        <w:t xml:space="preserve">‰滞纳金，但累计滞纳金总额不超过欠款总额的</w:t>
      </w:r>
      <w:r>
        <w:rPr>
          <w:rFonts w:hint="eastAsia" w:ascii="宋体" w:hAnsi="宋体" w:cs="宋体"/>
          <w:color w:val="auto"/>
          <w:sz w:val="24"/>
          <w:highlight w:val="none"/>
          <w:u w:val="single"/>
        </w:rPr>
        <w:t xml:space="preserve">5</w:t>
      </w:r>
      <w:r>
        <w:rPr>
          <w:rFonts w:hint="eastAsia" w:ascii="宋体" w:hAnsi="宋体" w:cs="宋体"/>
          <w:color w:val="auto"/>
          <w:sz w:val="24"/>
          <w:highlight w:val="none"/>
          <w:lang w:val="zh-CN"/>
        </w:rPr>
        <w:t xml:space="preserve">% 。</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3.如乙方不能交付服务的，乙方应向甲方支付合同总价</w:t>
      </w:r>
      <w:r>
        <w:rPr>
          <w:rFonts w:hint="eastAsia" w:ascii="宋体" w:hAnsi="宋体" w:cs="宋体"/>
          <w:color w:val="auto"/>
          <w:sz w:val="24"/>
          <w:highlight w:val="none"/>
          <w:u w:val="single"/>
        </w:rPr>
        <w:t xml:space="preserve">5</w:t>
      </w:r>
      <w:r>
        <w:rPr>
          <w:rFonts w:hint="eastAsia" w:ascii="宋体" w:hAnsi="宋体" w:cs="宋体"/>
          <w:color w:val="auto"/>
          <w:sz w:val="24"/>
          <w:highlight w:val="none"/>
          <w:lang w:val="zh-CN"/>
        </w:rPr>
        <w:t xml:space="preserve">%的违约金。</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4.乙方逾期交付的，每逾期1天，乙方向甲方偿付合同总额的</w:t>
      </w:r>
      <w:r>
        <w:rPr>
          <w:rFonts w:hint="eastAsia" w:ascii="宋体" w:hAnsi="宋体" w:cs="宋体"/>
          <w:color w:val="auto"/>
          <w:sz w:val="24"/>
          <w:highlight w:val="none"/>
          <w:u w:val="single"/>
        </w:rPr>
        <w:t xml:space="preserve">5</w:t>
      </w:r>
      <w:r>
        <w:rPr>
          <w:rFonts w:hint="eastAsia" w:ascii="宋体" w:hAnsi="宋体" w:cs="宋体"/>
          <w:color w:val="auto"/>
          <w:sz w:val="24"/>
          <w:highlight w:val="none"/>
          <w:lang w:val="zh-CN"/>
        </w:rPr>
        <w:t xml:space="preserve">‰的滞纳金。如乙方逾期交付达</w:t>
      </w:r>
      <w:r>
        <w:rPr>
          <w:rFonts w:hint="eastAsia" w:ascii="宋体" w:hAnsi="宋体" w:cs="宋体"/>
          <w:color w:val="auto"/>
          <w:sz w:val="24"/>
          <w:highlight w:val="none"/>
          <w:u w:val="single"/>
        </w:rPr>
        <w:t xml:space="preserve">10</w:t>
      </w:r>
      <w:r>
        <w:rPr>
          <w:rFonts w:hint="eastAsia" w:ascii="宋体" w:hAnsi="宋体" w:cs="宋体"/>
          <w:color w:val="auto"/>
          <w:sz w:val="24"/>
          <w:highlight w:val="none"/>
          <w:lang w:val="zh-CN"/>
        </w:rPr>
        <w:t xml:space="preserve">天，甲方有权解除合同，解除合同的通知自到达乙方时生效。</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5.乙方所交付的服务不符合合同规定的，甲方有权拒收。甲方拒收的，乙方应向甲方支付合同总款</w:t>
      </w:r>
      <w:r>
        <w:rPr>
          <w:rFonts w:hint="eastAsia" w:ascii="宋体" w:hAnsi="宋体" w:cs="宋体"/>
          <w:color w:val="auto"/>
          <w:sz w:val="24"/>
          <w:highlight w:val="none"/>
          <w:u w:val="single"/>
        </w:rPr>
        <w:t xml:space="preserve">5</w:t>
      </w:r>
      <w:r>
        <w:rPr>
          <w:rFonts w:hint="eastAsia" w:ascii="宋体" w:hAnsi="宋体" w:cs="宋体"/>
          <w:color w:val="auto"/>
          <w:sz w:val="24"/>
          <w:highlight w:val="none"/>
          <w:lang w:val="zh-CN"/>
        </w:rPr>
        <w:t xml:space="preserve">%的违约金。</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6.在乙方承诺的或国家规定的质量保证期内（取两者中最长的期限），如经乙方</w:t>
      </w:r>
      <w:r>
        <w:rPr>
          <w:rFonts w:hint="eastAsia" w:ascii="宋体" w:hAnsi="宋体" w:cs="宋体"/>
          <w:color w:val="auto"/>
          <w:sz w:val="24"/>
          <w:highlight w:val="none"/>
          <w:u w:val="single"/>
        </w:rPr>
        <w:t xml:space="preserve">3</w:t>
      </w:r>
      <w:r>
        <w:rPr>
          <w:rFonts w:hint="eastAsia" w:ascii="宋体" w:hAnsi="宋体" w:cs="宋体"/>
          <w:color w:val="auto"/>
          <w:sz w:val="24"/>
          <w:highlight w:val="none"/>
          <w:lang w:val="zh-CN"/>
        </w:rPr>
        <w:t xml:space="preserve">次整改仍不能达到合同约定的质量标准，乙方应退回全部合同价款，并按本条第3款处理，同时，乙方还须赔偿甲方因此遭受的损失。</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7.乙方未按本合同的规定和服务承诺提供伴随服务/售后服务的，应按合同总价款的</w:t>
      </w:r>
      <w:r>
        <w:rPr>
          <w:rFonts w:hint="eastAsia" w:ascii="宋体" w:hAnsi="宋体" w:cs="宋体"/>
          <w:color w:val="auto"/>
          <w:sz w:val="24"/>
          <w:highlight w:val="none"/>
          <w:u w:val="single"/>
        </w:rPr>
        <w:t xml:space="preserve">5</w:t>
      </w:r>
      <w:r>
        <w:rPr>
          <w:rFonts w:hint="eastAsia" w:ascii="宋体" w:hAnsi="宋体" w:cs="宋体"/>
          <w:color w:val="auto"/>
          <w:sz w:val="24"/>
          <w:highlight w:val="none"/>
          <w:lang w:val="zh-CN"/>
        </w:rPr>
        <w:t xml:space="preserve">%向甲方承担违约责任。</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hint="eastAsia" w:ascii="宋体" w:hAnsi="宋体" w:cs="宋体"/>
          <w:b/>
          <w:bCs/>
          <w:color w:val="auto"/>
          <w:sz w:val="24"/>
          <w:highlight w:val="none"/>
          <w:lang w:val="zh-CN"/>
        </w:rPr>
      </w:pPr>
      <w:r>
        <w:rPr>
          <w:rFonts w:hint="eastAsia" w:ascii="宋体" w:hAnsi="宋体" w:cs="宋体"/>
          <w:color w:val="auto"/>
          <w:sz w:val="24"/>
          <w:highlight w:val="none"/>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cs="宋体"/>
          <w:color w:val="auto"/>
          <w:sz w:val="24"/>
          <w:highlight w:val="none"/>
          <w:u w:val="single"/>
        </w:rPr>
        <w:t xml:space="preserve">30</w:t>
      </w:r>
      <w:r>
        <w:rPr>
          <w:rFonts w:hint="eastAsia" w:ascii="宋体" w:hAnsi="宋体" w:cs="宋体"/>
          <w:color w:val="auto"/>
          <w:sz w:val="24"/>
          <w:highlight w:val="none"/>
          <w:lang w:val="zh-CN"/>
        </w:rPr>
        <w:t xml:space="preserve">%赔偿金。</w:t>
      </w:r>
      <w:r/>
    </w:p>
    <w:p>
      <w:pPr>
        <w:ind w:firstLine="482"/>
        <w:jc w:val="left"/>
        <w:spacing w:line="360" w:lineRule="auto"/>
        <w:widowControl/>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第九条 合同的变更和终止</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1、除《政府采购法》第50条规定的情形外，本合同一经签订，甲乙双方不得擅自变更、中止或终止合同。</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除发生法律规定的不能预见、不能避免并不能克服的客观情况外，甲乙双方不得放弃或拒绝履行合同。</w:t>
      </w:r>
      <w:r/>
    </w:p>
    <w:p>
      <w:pPr>
        <w:ind w:firstLine="482"/>
        <w:jc w:val="left"/>
        <w:spacing w:line="360" w:lineRule="auto"/>
        <w:widowControl/>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第十条 合同的转让</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乙方不得擅自部分或全部转让其应履行的合同义务。</w:t>
      </w:r>
      <w:r/>
    </w:p>
    <w:p>
      <w:pPr>
        <w:ind w:firstLine="482"/>
        <w:jc w:val="left"/>
        <w:spacing w:line="360" w:lineRule="auto"/>
        <w:widowControl/>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第十一条 争议的解决</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1、因服务的质量问题发生争议的，应当邀请国家认可的部门对服务质量进行鉴定。符合标准的，鉴定费由甲方承担；不符合质量标准的，鉴定费由乙方承担。</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2、因履行本合同引起的或与本合同有关的争议，甲、乙双方应首先通过友好协商解决，如果协商不能解决争议，则采取以下第（1）种方式解决争议：</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（1）向甲方所在地有管辖权的人民法院提起诉讼；</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（2）向南京仲裁委员会按其仲裁规则申请仲裁。</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如没有约定，默认采取第2种方式解决争议。</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3、在诉讼期间，本合同应继续履行。</w:t>
      </w:r>
      <w:r/>
    </w:p>
    <w:p>
      <w:pPr>
        <w:ind w:firstLine="482"/>
        <w:jc w:val="left"/>
        <w:spacing w:line="360" w:lineRule="auto"/>
        <w:widowControl/>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第十二条 诚实信用</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乙方应诚实信用，严格按照招标文件要求和投标承诺履行合同，不向甲方进行商业贿赂或者提供不正当利益。</w:t>
      </w:r>
      <w:r/>
    </w:p>
    <w:p>
      <w:pPr>
        <w:ind w:firstLine="482"/>
        <w:jc w:val="left"/>
        <w:spacing w:line="360" w:lineRule="auto"/>
        <w:widowControl/>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第十三条 合同生效及其他</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1、本合同自签订之日起生效。</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2、本合同一式</w:t>
      </w:r>
      <w:r>
        <w:rPr>
          <w:rFonts w:hint="eastAsia" w:ascii="宋体" w:hAnsi="宋体" w:cs="宋体"/>
          <w:color w:val="auto"/>
          <w:sz w:val="24"/>
          <w:highlight w:val="none"/>
        </w:rPr>
        <w:t xml:space="preserve">肆</w:t>
      </w:r>
      <w:r>
        <w:rPr>
          <w:rFonts w:hint="eastAsia" w:ascii="宋体" w:hAnsi="宋体" w:cs="宋体"/>
          <w:color w:val="auto"/>
          <w:sz w:val="24"/>
          <w:highlight w:val="none"/>
          <w:lang w:val="zh-CN"/>
        </w:rPr>
        <w:t xml:space="preserve">份，甲乙双方各执</w:t>
      </w:r>
      <w:r>
        <w:rPr>
          <w:rFonts w:hint="eastAsia" w:ascii="宋体" w:hAnsi="宋体" w:cs="宋体"/>
          <w:color w:val="auto"/>
          <w:sz w:val="24"/>
          <w:highlight w:val="none"/>
        </w:rPr>
        <w:t xml:space="preserve">贰</w:t>
      </w:r>
      <w:r>
        <w:rPr>
          <w:rFonts w:hint="eastAsia" w:ascii="宋体" w:hAnsi="宋体" w:cs="宋体"/>
          <w:color w:val="auto"/>
          <w:sz w:val="24"/>
          <w:highlight w:val="none"/>
          <w:lang w:val="zh-CN"/>
        </w:rPr>
        <w:t xml:space="preserve">份。</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3、本合同应按照中华人民共和国的现行法律进行解释。</w:t>
      </w:r>
      <w:r/>
    </w:p>
    <w:p>
      <w:pPr>
        <w:pStyle w:val="895"/>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95"/>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bl>
      <w:tblPr>
        <w:tblStyle w:val="871"/>
        <w:tblpPr w:horzAnchor="page" w:tblpX="1614" w:vertAnchor="text" w:tblpY="264" w:leftFromText="180" w:topFromText="0" w:rightFromText="180" w:bottomFromText="0"/>
        <w:tblW w:w="9286" w:type="dxa"/>
        <w:tblInd w:w="0"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907"/>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乙方（供应商）：（盖章）</w:t>
            </w:r>
            <w:r/>
          </w:p>
        </w:tc>
      </w:tr>
      <w:tr>
        <w:trPr>
          <w:trHeight w:val="907"/>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代表人</w:t>
            </w:r>
            <w:r>
              <w:rPr>
                <w:rFonts w:hint="eastAsia" w:ascii="宋体" w:hAnsi="宋体" w:cs="宋体"/>
                <w:color w:val="auto"/>
                <w:sz w:val="24"/>
                <w:highlight w:val="none"/>
              </w:rPr>
              <w:t xml:space="preserve">：</w:t>
            </w:r>
            <w:r/>
          </w:p>
        </w:tc>
      </w:tr>
      <w:tr>
        <w:trPr>
          <w:trHeight w:val="907"/>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电 话：</w:t>
            </w:r>
            <w:r>
              <w:rPr>
                <w:rFonts w:hint="eastAsia" w:ascii="宋体" w:hAnsi="宋体" w:cs="宋体"/>
                <w:color w:val="auto"/>
                <w:sz w:val="24"/>
                <w:highlight w:val="none"/>
                <w:lang w:val="zh-CN"/>
              </w:rPr>
              <w:tab/>
            </w:r>
            <w:r/>
          </w:p>
        </w:tc>
      </w:tr>
      <w:tr>
        <w:trPr>
          <w:trHeight w:val="907"/>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开户银行：</w:t>
            </w:r>
            <w:r/>
          </w:p>
        </w:tc>
      </w:tr>
      <w:tr>
        <w:trPr>
          <w:trHeight w:val="907"/>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银行帐号：</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银行账号：</w:t>
            </w:r>
            <w:r/>
          </w:p>
        </w:tc>
      </w:tr>
    </w:tbl>
    <w:p>
      <w:pPr>
        <w:jc w:val="left"/>
        <w:spacing w:line="56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附件：服务内容及要求</w:t>
      </w:r>
      <w:r/>
    </w:p>
    <w:p>
      <w:pPr>
        <w:jc w:val="left"/>
        <w:spacing w:line="5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560" w:lineRule="exact"/>
        <w:widowControl/>
        <w:rPr>
          <w:rFonts w:hint="eastAsia" w:ascii="宋体" w:hAnsi="宋体" w:cs="宋体"/>
          <w:b/>
          <w:color w:val="auto"/>
          <w:sz w:val="24"/>
          <w:highlight w:val="none"/>
        </w:rPr>
      </w:pPr>
      <w:r>
        <w:rPr>
          <w:rFonts w:hint="eastAsia" w:ascii="宋体" w:hAnsi="宋体" w:cs="宋体"/>
          <w:bCs/>
          <w:color w:val="auto"/>
          <w:sz w:val="24"/>
          <w:highlight w:val="none"/>
        </w:rPr>
        <w:t xml:space="preserve">详见采购文件“第四章 项目需求”</w:t>
      </w:r>
      <w:r/>
    </w:p>
    <w:p>
      <w:pPr>
        <w:rPr>
          <w:rFonts w:hint="eastAsia" w:hAnsi="宋体" w:cs="宋体"/>
          <w:color w:val="auto"/>
          <w:sz w:val="36"/>
          <w:szCs w:val="36"/>
          <w:highlight w:val="none"/>
          <w:lang w:val="zh-CN"/>
        </w:rPr>
      </w:pPr>
      <w:r>
        <w:rPr>
          <w:rFonts w:hint="eastAsia" w:hAnsi="宋体" w:cs="宋体"/>
          <w:color w:val="auto"/>
          <w:sz w:val="36"/>
          <w:szCs w:val="36"/>
          <w:highlight w:val="none"/>
          <w:lang w:val="zh-CN"/>
        </w:rPr>
      </w:r>
      <w:r/>
    </w:p>
    <w:p>
      <w:pPr>
        <w:pStyle w:val="890"/>
        <w:ind w:firstLine="720"/>
        <w:jc w:val="center"/>
        <w:spacing w:line="360" w:lineRule="auto"/>
        <w:rPr>
          <w:rFonts w:hint="eastAsia" w:hAnsi="宋体" w:cs="宋体"/>
          <w:color w:val="auto"/>
          <w:sz w:val="36"/>
          <w:szCs w:val="36"/>
          <w:highlight w:val="none"/>
          <w:lang w:val="zh-CN"/>
        </w:rPr>
        <w:sectPr>
          <w:footnotePr/>
          <w:endnotePr>
            <w:numFmt w:val="decimal"/>
          </w:endnotePr>
          <w:type w:val="nextPage"/>
          <w:pgSz w:w="11906" w:h="16838" w:orient="portrait"/>
          <w:pgMar w:top="850" w:right="850" w:bottom="850" w:left="1417" w:header="340" w:footer="567" w:gutter="0"/>
          <w:cols w:num="1" w:sep="0" w:space="1701" w:equalWidth="1"/>
          <w:docGrid w:linePitch="360"/>
        </w:sectPr>
      </w:pPr>
      <w:r>
        <w:rPr>
          <w:rFonts w:hint="eastAsia" w:hAnsi="宋体" w:cs="宋体"/>
          <w:color w:val="auto"/>
          <w:sz w:val="36"/>
          <w:szCs w:val="36"/>
          <w:highlight w:val="none"/>
          <w:lang w:val="zh-CN"/>
        </w:rPr>
      </w:r>
      <w:r/>
    </w:p>
    <w:p>
      <w:pPr>
        <w:jc w:val="center"/>
        <w:spacing w:line="360" w:lineRule="auto"/>
        <w:rPr>
          <w:rFonts w:hint="eastAsia" w:ascii="宋体" w:hAnsi="宋体" w:cs="宋体"/>
          <w:b/>
          <w:color w:val="auto"/>
          <w:sz w:val="36"/>
          <w:highlight w:val="none"/>
          <w:lang w:val="zh-CN"/>
        </w:rPr>
        <w:outlineLvl w:val="0"/>
      </w:pPr>
      <w:r/>
      <w:bookmarkStart w:id="45" w:name="_Toc6660"/>
      <w:r>
        <w:rPr>
          <w:rFonts w:hint="eastAsia" w:ascii="宋体" w:hAnsi="宋体" w:cs="宋体"/>
          <w:b/>
          <w:color w:val="auto"/>
          <w:sz w:val="36"/>
          <w:highlight w:val="none"/>
          <w:lang w:val="zh-CN"/>
        </w:rPr>
        <w:t xml:space="preserve">第六章  投标文件格式</w:t>
      </w:r>
      <w:bookmarkEnd w:id="45"/>
      <w:r/>
      <w:r/>
    </w:p>
    <w:p>
      <w:pPr>
        <w:jc w:val="center"/>
        <w:rPr>
          <w:rFonts w:hint="eastAsia" w:ascii="宋体" w:hAnsi="宋体" w:cs="宋体"/>
          <w:b/>
          <w:color w:val="auto"/>
          <w:sz w:val="72"/>
          <w:highlight w:val="none"/>
        </w:rPr>
      </w:pPr>
      <w:r>
        <w:rPr>
          <w:rFonts w:hint="eastAsia" w:ascii="宋体" w:hAnsi="宋体" w:cs="宋体"/>
          <w:color w:val="auto"/>
          <w:sz w:val="24"/>
          <w:highlight w:val="none"/>
        </w:rPr>
        <w:t xml:space="preserve">（投标人应根据招标文件相关内容提供证明材料，并在制作电子投标文件时做好相关关联索引工作，因关联索引错误或未做关联导致的不利后果由投标人自行承担。）</w:t>
      </w:r>
      <w:r/>
    </w:p>
    <w:p>
      <w:pPr>
        <w:pStyle w:val="896"/>
        <w:ind w:left="0"/>
        <w:rPr>
          <w:rFonts w:hint="eastAsia" w:ascii="宋体" w:hAnsi="宋体" w:eastAsia="宋体"/>
          <w:b/>
          <w:color w:val="auto"/>
          <w:sz w:val="72"/>
          <w:highlight w:val="none"/>
        </w:rPr>
      </w:pPr>
      <w:r>
        <w:rPr>
          <w:rFonts w:hint="eastAsia" w:ascii="宋体" w:hAnsi="宋体" w:eastAsia="宋体"/>
          <w:b/>
          <w:color w:val="auto"/>
          <w:sz w:val="72"/>
          <w:highlight w:val="none"/>
        </w:rPr>
      </w:r>
      <w:r/>
    </w:p>
    <w:p>
      <w:pPr>
        <w:rPr>
          <w:rFonts w:hint="eastAsia" w:ascii="宋体" w:hAnsi="宋体" w:cs="宋体"/>
          <w:b/>
          <w:color w:val="auto"/>
          <w:sz w:val="72"/>
          <w:highlight w:val="none"/>
        </w:rPr>
      </w:pPr>
      <w:r>
        <w:rPr>
          <w:rFonts w:hint="eastAsia" w:ascii="宋体" w:hAnsi="宋体" w:cs="宋体"/>
          <w:b/>
          <w:color w:val="auto"/>
          <w:sz w:val="72"/>
          <w:highlight w:val="none"/>
        </w:rPr>
      </w:r>
      <w:r/>
    </w:p>
    <w:p>
      <w:pPr>
        <w:pStyle w:val="896"/>
        <w:ind w:left="0"/>
        <w:rPr>
          <w:rFonts w:hint="eastAsia" w:ascii="宋体" w:hAnsi="宋体" w:eastAsia="宋体"/>
          <w:b/>
          <w:color w:val="auto"/>
          <w:sz w:val="72"/>
          <w:highlight w:val="none"/>
        </w:rPr>
      </w:pPr>
      <w:r>
        <w:rPr>
          <w:rFonts w:hint="eastAsia" w:ascii="宋体" w:hAnsi="宋体" w:eastAsia="宋体"/>
          <w:b/>
          <w:color w:val="auto"/>
          <w:sz w:val="72"/>
          <w:highlight w:val="none"/>
        </w:rPr>
      </w:r>
      <w:r/>
    </w:p>
    <w:p>
      <w:pPr>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left="1478"/>
        <w:rPr>
          <w:rFonts w:hint="eastAsia" w:ascii="宋体" w:hAnsi="宋体" w:cs="宋体"/>
          <w:b/>
          <w:color w:val="auto"/>
          <w:sz w:val="36"/>
          <w:highlight w:val="none"/>
        </w:rPr>
      </w:pPr>
      <w:r>
        <w:rPr>
          <w:rFonts w:hint="eastAsia" w:ascii="宋体" w:hAnsi="宋体" w:cs="宋体"/>
          <w:b/>
          <w:color w:val="auto"/>
          <w:sz w:val="36"/>
          <w:highlight w:val="none"/>
        </w:rPr>
        <w:t xml:space="preserve">项目名称：</w:t>
      </w:r>
      <w:r/>
    </w:p>
    <w:p>
      <w:pPr>
        <w:ind w:left="1478"/>
        <w:rPr>
          <w:rFonts w:hint="eastAsia" w:ascii="宋体" w:hAnsi="宋体" w:cs="宋体"/>
          <w:b/>
          <w:color w:val="auto"/>
          <w:sz w:val="36"/>
          <w:highlight w:val="none"/>
        </w:rPr>
      </w:pPr>
      <w:r>
        <w:rPr>
          <w:rFonts w:hint="eastAsia" w:ascii="宋体" w:hAnsi="宋体" w:cs="宋体"/>
          <w:b/>
          <w:color w:val="auto"/>
          <w:sz w:val="36"/>
          <w:highlight w:val="none"/>
        </w:rPr>
        <w:t xml:space="preserve">项目编号：</w:t>
      </w:r>
      <w:r/>
    </w:p>
    <w:p>
      <w:pPr>
        <w:ind w:left="1478"/>
        <w:rPr>
          <w:rFonts w:hint="eastAsia" w:ascii="宋体" w:hAnsi="宋体" w:cs="宋体"/>
          <w:b/>
          <w:color w:val="auto"/>
          <w:sz w:val="36"/>
          <w:highlight w:val="none"/>
          <w:u w:val="single"/>
        </w:rPr>
      </w:pPr>
      <w:r>
        <w:rPr>
          <w:rFonts w:hint="eastAsia" w:ascii="宋体" w:hAnsi="宋体" w:cs="宋体"/>
          <w:b/>
          <w:color w:val="auto"/>
          <w:sz w:val="36"/>
          <w:highlight w:val="none"/>
        </w:rPr>
        <w:t xml:space="preserve">投标人名称：</w:t>
      </w:r>
      <w:r>
        <w:rPr>
          <w:rFonts w:hint="eastAsia" w:ascii="宋体" w:hAnsi="宋体" w:cs="宋体"/>
          <w:b/>
          <w:color w:val="auto"/>
          <w:sz w:val="36"/>
          <w:highlight w:val="none"/>
          <w:u w:val="single"/>
        </w:rPr>
        <w:t xml:space="preserve">（加盖电子公章）   </w:t>
      </w:r>
      <w:r/>
    </w:p>
    <w:p>
      <w:pPr>
        <w:ind w:left="1478"/>
        <w:rPr>
          <w:rFonts w:hint="eastAsia" w:ascii="宋体" w:hAnsi="宋体" w:cs="宋体"/>
          <w:b/>
          <w:color w:val="auto"/>
          <w:sz w:val="36"/>
          <w:highlight w:val="none"/>
          <w:u w:val="single"/>
        </w:rPr>
      </w:pPr>
      <w:r>
        <w:rPr>
          <w:rFonts w:hint="eastAsia" w:ascii="宋体" w:hAnsi="宋体" w:cs="宋体"/>
          <w:b/>
          <w:color w:val="auto"/>
          <w:sz w:val="36"/>
          <w:highlight w:val="none"/>
        </w:rPr>
        <w:t xml:space="preserve">日期：</w:t>
      </w:r>
      <w:r/>
    </w:p>
    <w:p>
      <w:pPr>
        <w:ind w:firstLine="723"/>
        <w:jc w:val="center"/>
        <w:rPr>
          <w:rFonts w:hint="eastAsia" w:ascii="宋体" w:hAnsi="宋体" w:cs="宋体"/>
          <w:b/>
          <w:bCs/>
          <w:color w:val="auto"/>
          <w:sz w:val="36"/>
          <w:highlight w:val="none"/>
        </w:rPr>
      </w:pPr>
      <w:r/>
      <w:bookmarkStart w:id="46" w:name="_Toc405408732"/>
      <w:r/>
      <w:bookmarkStart w:id="47" w:name="_Toc489655320"/>
      <w:r/>
      <w:bookmarkEnd w:id="46"/>
      <w:r/>
      <w:bookmarkEnd w:id="47"/>
      <w:r/>
      <w:r/>
    </w:p>
    <w:p>
      <w:pPr>
        <w:jc w:val="center"/>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投标文件主要目录及相关证明材料格式、附件</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2280" w:hanging="7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一、投标申请及声明</w:t>
      </w:r>
      <w:r/>
    </w:p>
    <w:p>
      <w:pPr>
        <w:ind w:left="2280" w:hanging="7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二、法定代表人授权书</w:t>
      </w:r>
      <w:r/>
    </w:p>
    <w:p>
      <w:pPr>
        <w:ind w:left="2280" w:hanging="7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三、开标一览表</w:t>
      </w:r>
      <w:r/>
    </w:p>
    <w:p>
      <w:pPr>
        <w:ind w:left="2280" w:hanging="7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四、南京市政府采购供应商信用记录表暨信用承诺书</w:t>
      </w:r>
      <w:r/>
    </w:p>
    <w:p>
      <w:pPr>
        <w:ind w:left="2280" w:hanging="7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五、分项报价表</w:t>
      </w:r>
      <w:r/>
    </w:p>
    <w:p>
      <w:pPr>
        <w:ind w:left="2280" w:hanging="7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六、技术条款偏离表</w:t>
      </w:r>
      <w:r/>
    </w:p>
    <w:p>
      <w:pPr>
        <w:ind w:left="2280" w:hanging="7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七、商务条款偏离表</w:t>
      </w:r>
      <w:r/>
    </w:p>
    <w:p>
      <w:pPr>
        <w:ind w:left="2280" w:hanging="7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八、服务与承诺</w:t>
      </w:r>
      <w:r/>
    </w:p>
    <w:p>
      <w:pPr>
        <w:ind w:left="2280" w:hanging="7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九、供应商类似业绩情况表</w:t>
      </w:r>
      <w:r/>
    </w:p>
    <w:p>
      <w:pPr>
        <w:ind w:left="2280" w:hanging="7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十、投标需要的其他证明文件及材料（若有)</w:t>
      </w:r>
      <w:r/>
    </w:p>
    <w:p>
      <w:pPr>
        <w:ind w:left="2280" w:hanging="7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2954" w:hanging="123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附件一、中小企业声明函格式</w:t>
      </w:r>
      <w:r/>
    </w:p>
    <w:p>
      <w:pPr>
        <w:ind w:left="2954" w:hanging="123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附件二、无重大违法记录声明格式</w:t>
      </w:r>
      <w:r/>
    </w:p>
    <w:p>
      <w:pPr>
        <w:ind w:left="2954" w:hanging="123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附件三、具备履行合同所必需的设备和专业技术能力的声明格式及证明材料</w:t>
      </w:r>
      <w:r/>
    </w:p>
    <w:p>
      <w:pPr>
        <w:pStyle w:val="897"/>
        <w:ind w:firstLine="1680"/>
        <w:jc w:val="both"/>
        <w:spacing w:before="0" w:beforeAutospacing="0" w:after="120" w:afterAutospacing="0"/>
        <w:widowControl w:val="off"/>
        <w:rPr>
          <w:rFonts w:hint="eastAsia"/>
          <w:color w:val="auto"/>
          <w:sz w:val="28"/>
          <w:szCs w:val="28"/>
          <w:highlight w:val="none"/>
        </w:rPr>
      </w:pPr>
      <w:r>
        <w:rPr>
          <w:rFonts w:hint="eastAsia"/>
          <w:color w:val="auto"/>
          <w:sz w:val="28"/>
          <w:szCs w:val="28"/>
          <w:highlight w:val="none"/>
        </w:rPr>
        <w:t xml:space="preserve">附件四、残疾人福利性单位声明函格式</w:t>
      </w:r>
      <w:r/>
    </w:p>
    <w:p>
      <w:pPr>
        <w:pStyle w:val="897"/>
        <w:ind w:firstLine="1680"/>
        <w:jc w:val="both"/>
        <w:spacing w:before="0" w:beforeAutospacing="0" w:after="120" w:afterAutospacing="0"/>
        <w:widowControl w:val="off"/>
        <w:rPr>
          <w:rFonts w:hint="eastAsia"/>
          <w:color w:val="auto"/>
          <w:sz w:val="28"/>
          <w:szCs w:val="28"/>
          <w:highlight w:val="none"/>
        </w:rPr>
      </w:pPr>
      <w:r>
        <w:rPr>
          <w:rFonts w:hint="eastAsia"/>
          <w:color w:val="auto"/>
          <w:sz w:val="28"/>
          <w:szCs w:val="28"/>
          <w:highlight w:val="none"/>
        </w:rPr>
        <w:t xml:space="preserve">附件五、属于监狱企业的证明文件</w:t>
      </w:r>
      <w:r/>
    </w:p>
    <w:p>
      <w:pPr>
        <w:pStyle w:val="897"/>
        <w:ind w:firstLine="1680"/>
        <w:jc w:val="both"/>
        <w:spacing w:before="0" w:beforeAutospacing="0" w:after="120" w:afterAutospacing="0"/>
        <w:widowControl w:val="off"/>
        <w:rPr>
          <w:rFonts w:hint="eastAsia"/>
          <w:color w:val="auto"/>
          <w:sz w:val="28"/>
          <w:szCs w:val="28"/>
          <w:highlight w:val="none"/>
        </w:rPr>
      </w:pPr>
      <w:r>
        <w:rPr>
          <w:rFonts w:hint="eastAsia"/>
          <w:color w:val="auto"/>
          <w:sz w:val="28"/>
          <w:szCs w:val="28"/>
          <w:highlight w:val="none"/>
        </w:rPr>
        <w:t xml:space="preserve">附件六、保密、廉洁承诺书</w:t>
      </w:r>
      <w:r/>
    </w:p>
    <w:p>
      <w:pPr>
        <w:pStyle w:val="897"/>
        <w:ind w:firstLine="1680"/>
        <w:jc w:val="both"/>
        <w:spacing w:before="0" w:beforeAutospacing="0" w:after="120" w:afterAutospacing="0"/>
        <w:widowControl w:val="off"/>
        <w:rPr>
          <w:rFonts w:hint="eastAsia"/>
          <w:color w:val="auto"/>
          <w:sz w:val="28"/>
          <w:szCs w:val="28"/>
          <w:highlight w:val="none"/>
        </w:rPr>
      </w:pPr>
      <w:r>
        <w:rPr>
          <w:rFonts w:hint="eastAsia"/>
          <w:color w:val="auto"/>
          <w:sz w:val="28"/>
          <w:szCs w:val="28"/>
          <w:highlight w:val="none"/>
        </w:rPr>
      </w:r>
      <w:r/>
    </w:p>
    <w:p>
      <w:pPr>
        <w:spacing w:line="360" w:lineRule="auto"/>
        <w:rPr>
          <w:rFonts w:hint="eastAsia" w:ascii="宋体" w:hAnsi="宋体" w:cs="宋体"/>
          <w:b/>
          <w:color w:val="auto"/>
          <w:sz w:val="24"/>
          <w:highlight w:val="none"/>
          <w:lang w:val="zh-CN"/>
        </w:rPr>
        <w:outlineLvl w:val="1"/>
      </w:pPr>
      <w:r>
        <w:rPr>
          <w:rFonts w:hint="eastAsia" w:ascii="宋体" w:hAnsi="宋体" w:cs="宋体"/>
          <w:b/>
          <w:color w:val="auto"/>
          <w:sz w:val="24"/>
          <w:highlight w:val="none"/>
          <w:lang w:val="zh-CN"/>
        </w:rPr>
        <w:t xml:space="preserve">一、投标申请及声明</w:t>
      </w:r>
      <w:r/>
    </w:p>
    <w:p>
      <w:pPr>
        <w:jc w:val="center"/>
        <w:spacing w:line="360" w:lineRule="auto"/>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投标申请及声明</w:t>
      </w:r>
      <w:r/>
    </w:p>
    <w:p>
      <w:pPr>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致：南京市工业和信息化局</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根据贵方</w:t>
      </w:r>
      <w:r>
        <w:rPr>
          <w:rFonts w:hint="eastAsia" w:ascii="宋体" w:hAnsi="宋体" w:cs="宋体"/>
          <w:color w:val="auto"/>
          <w:sz w:val="24"/>
          <w:highlight w:val="none"/>
          <w:u w:val="single"/>
          <w:lang w:val="zh-CN"/>
        </w:rPr>
        <w:t xml:space="preserve">（项目名称）（项目编号）</w:t>
      </w:r>
      <w:r>
        <w:rPr>
          <w:rFonts w:hint="eastAsia" w:ascii="宋体" w:hAnsi="宋体" w:cs="宋体"/>
          <w:color w:val="auto"/>
          <w:sz w:val="24"/>
          <w:highlight w:val="none"/>
          <w:lang w:val="zh-CN"/>
        </w:rPr>
        <w:t xml:space="preserve">投标邀请，正式授权下述签字人</w:t>
      </w:r>
      <w:r>
        <w:rPr>
          <w:rFonts w:hint="eastAsia" w:ascii="宋体" w:hAnsi="宋体" w:cs="宋体"/>
          <w:color w:val="auto"/>
          <w:sz w:val="24"/>
          <w:highlight w:val="none"/>
          <w:u w:val="single"/>
          <w:lang w:val="zh-CN"/>
        </w:rPr>
        <w:t xml:space="preserve">（姓名和职务）</w:t>
      </w:r>
      <w:r>
        <w:rPr>
          <w:rFonts w:hint="eastAsia" w:ascii="宋体" w:hAnsi="宋体" w:cs="宋体"/>
          <w:color w:val="auto"/>
          <w:sz w:val="24"/>
          <w:highlight w:val="none"/>
          <w:lang w:val="zh-CN"/>
        </w:rPr>
        <w:t xml:space="preserve">代表供应商</w:t>
      </w:r>
      <w:r>
        <w:rPr>
          <w:rFonts w:hint="eastAsia" w:ascii="宋体" w:hAnsi="宋体" w:cs="宋体"/>
          <w:color w:val="auto"/>
          <w:sz w:val="24"/>
          <w:highlight w:val="none"/>
          <w:u w:val="single"/>
          <w:lang w:val="zh-CN"/>
        </w:rPr>
        <w:t xml:space="preserve">（供应商名称）</w:t>
      </w:r>
      <w:r>
        <w:rPr>
          <w:rFonts w:hint="eastAsia" w:ascii="宋体" w:hAnsi="宋体" w:cs="宋体"/>
          <w:color w:val="auto"/>
          <w:sz w:val="24"/>
          <w:highlight w:val="none"/>
          <w:lang w:val="zh-CN"/>
        </w:rPr>
        <w:t xml:space="preserve">，提交投标文件。</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据此函，签字人兹宣布声明和承诺如下：</w:t>
      </w:r>
      <w:r/>
    </w:p>
    <w:p>
      <w:pPr>
        <w:ind w:firstLine="420"/>
        <w:spacing w:line="264" w:lineRule="auto"/>
        <w:rPr>
          <w:rFonts w:hint="eastAsia" w:ascii="宋体" w:hAnsi="宋体" w:cs="宋体"/>
          <w:color w:val="auto"/>
          <w:sz w:val="24"/>
          <w:szCs w:val="32"/>
          <w:highlight w:val="none"/>
        </w:rPr>
      </w:pPr>
      <w:r>
        <w:rPr>
          <w:rFonts w:hint="eastAsia" w:ascii="宋体" w:hAnsi="宋体" w:cs="宋体"/>
          <w:color w:val="auto"/>
          <w:sz w:val="24"/>
          <w:highlight w:val="none"/>
          <w:lang w:val="zh-CN"/>
        </w:rPr>
        <w:t xml:space="preserve">1.我方的资格条件符合政府采购法和本次招标要求，我方同意并向贵方提供了与投标有关的所有证据和资料。</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szCs w:val="32"/>
          <w:highlight w:val="none"/>
        </w:rPr>
        <w:t xml:space="preserve">按招标要求，</w:t>
      </w:r>
      <w:r>
        <w:rPr>
          <w:rFonts w:hint="eastAsia" w:ascii="宋体" w:hAnsi="宋体" w:cs="宋体"/>
          <w:color w:val="auto"/>
          <w:sz w:val="24"/>
          <w:highlight w:val="none"/>
        </w:rPr>
        <w:t xml:space="preserve">我方投标报价</w:t>
      </w:r>
      <w:r>
        <w:rPr>
          <w:rFonts w:hint="eastAsia" w:ascii="宋体" w:hAnsi="宋体" w:cs="宋体"/>
          <w:color w:val="auto"/>
          <w:sz w:val="24"/>
          <w:highlight w:val="none"/>
          <w:lang w:val="zh-CN"/>
        </w:rPr>
        <w:t xml:space="preserve">为（小写）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元人民币，（大写）人民币：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；其中，小、微型企业的报价为（小写）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元人民币，（大写）人民币：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rPr>
          <w:rFonts w:hint="eastAsia" w:ascii="宋体" w:hAnsi="宋体" w:cs="宋体"/>
          <w:color w:val="auto"/>
          <w:sz w:val="24"/>
          <w:highlight w:val="none"/>
          <w:lang w:val="zh-CN"/>
        </w:rPr>
        <w:t xml:space="preserve">合同履行期限</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 </w:t>
      </w:r>
      <w:r>
        <w:rPr>
          <w:rFonts w:hint="eastAsia" w:ascii="宋体" w:hAnsi="宋体" w:cs="宋体"/>
          <w:color w:val="auto"/>
          <w:sz w:val="24"/>
          <w:szCs w:val="32"/>
          <w:highlight w:val="none"/>
        </w:rPr>
        <w:t xml:space="preserve">。</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3.我方参加本次采购活动前三年内，在经营活动中没有重大违法记录。</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4.我方参加本次采购活动前，没有被信用中国网站、中国政府采购网站列入失信被执行人名单、重大税收违法案件当事人名单、政府采购严重违法失信行为记录名单。</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5.我方在全国范围内未受过财政部门禁止参加政府采购活动的处罚，或禁止参加政府采购活动的处罚期限已满。</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6.我方没有为本采购项目提供整体设计、规范编制，以及项目管理、监理、检测等服务。</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.我方与参与本次采购活动的其他供应商的法定代表人或</w:t>
      </w:r>
      <w:r>
        <w:rPr>
          <w:rFonts w:hint="eastAsia" w:ascii="宋体" w:hAnsi="宋体" w:cs="宋体"/>
          <w:color w:val="auto"/>
          <w:sz w:val="24"/>
          <w:highlight w:val="none"/>
        </w:rPr>
        <w:t xml:space="preserve">委托代理人</w:t>
      </w:r>
      <w:r>
        <w:rPr>
          <w:rFonts w:hint="eastAsia" w:ascii="宋体" w:hAnsi="宋体" w:cs="宋体"/>
          <w:color w:val="auto"/>
          <w:sz w:val="24"/>
          <w:highlight w:val="none"/>
          <w:lang w:val="zh-CN"/>
        </w:rPr>
        <w:t xml:space="preserve">无夫妻、直系血亲关系。</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.我方与参与本次采购活动的其他供应商的负责人不是同一人，也不存在直接控股、管理关系。</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0</w:t>
      </w:r>
      <w:r>
        <w:rPr>
          <w:rFonts w:hint="eastAsia" w:ascii="宋体" w:hAnsi="宋体" w:cs="宋体"/>
          <w:color w:val="auto"/>
          <w:sz w:val="24"/>
          <w:highlight w:val="none"/>
          <w:lang w:val="zh-CN"/>
        </w:rPr>
        <w:t xml:space="preserve">.我方同意从规定的开标日期起遵循本投标文件，并在规定的投标有效期期满之前均具有约束力。</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.一旦我方中标，将根据招标文件的规定严格履行合同，并保证按承诺的时间完成服务的启动/集成、调试等服务，交付采购人验收、使用。</w:t>
      </w:r>
      <w:r/>
    </w:p>
    <w:p>
      <w:pPr>
        <w:ind w:firstLine="420"/>
        <w:jc w:val="left"/>
        <w:spacing w:line="264"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13.</w:t>
      </w:r>
      <w:r>
        <w:rPr>
          <w:rFonts w:hint="eastAsia" w:ascii="宋体" w:hAnsi="宋体" w:cs="宋体"/>
          <w:color w:val="auto"/>
          <w:sz w:val="24"/>
          <w:highlight w:val="none"/>
          <w:lang w:val="zh-CN"/>
        </w:rPr>
        <w:t xml:space="preserve">与本投标有关的正式联系方式为：</w:t>
      </w:r>
      <w:r/>
    </w:p>
    <w:p>
      <w:pPr>
        <w:ind w:firstLine="420"/>
        <w:spacing w:line="264"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rPr>
        <w:t xml:space="preserve">地址：</w:t>
      </w:r>
      <w:r/>
    </w:p>
    <w:p>
      <w:pPr>
        <w:ind w:firstLine="420"/>
        <w:spacing w:line="264"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rPr>
        <w:t xml:space="preserve">电话：</w:t>
      </w:r>
      <w:r/>
    </w:p>
    <w:p>
      <w:pPr>
        <w:ind w:firstLine="420"/>
        <w:spacing w:line="264"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rPr>
        <w:t xml:space="preserve">传真：</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开户银行：</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银行账号：</w:t>
      </w:r>
      <w:r/>
    </w:p>
    <w:p>
      <w:pPr>
        <w:ind w:firstLine="420"/>
        <w:spacing w:line="264"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rPr>
        <w:t xml:space="preserve">供应商授权代表姓名（签字）：</w:t>
      </w:r>
      <w:r/>
    </w:p>
    <w:p>
      <w:pPr>
        <w:ind w:firstLine="420"/>
        <w:spacing w:line="264"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投标人名称（加盖CA电子公章）：</w:t>
      </w:r>
      <w:r/>
    </w:p>
    <w:p>
      <w:pPr>
        <w:ind w:firstLine="420"/>
        <w:spacing w:line="264" w:lineRule="auto"/>
        <w:rPr>
          <w:rFonts w:hint="eastAsia" w:ascii="宋体" w:hAnsi="宋体" w:cs="宋体"/>
          <w:b/>
          <w:color w:val="auto"/>
          <w:sz w:val="24"/>
          <w:highlight w:val="none"/>
          <w:lang w:val="zh-CN"/>
        </w:rPr>
      </w:pPr>
      <w:r>
        <w:rPr>
          <w:rFonts w:hint="eastAsia" w:ascii="宋体" w:hAnsi="宋体" w:cs="宋体"/>
          <w:color w:val="auto"/>
          <w:sz w:val="24"/>
          <w:highlight w:val="none"/>
          <w:lang w:val="zh-CN"/>
        </w:rPr>
        <w:t xml:space="preserve">日期：年月日</w:t>
      </w:r>
      <w:r/>
    </w:p>
    <w:p>
      <w:pPr>
        <w:jc w:val="left"/>
        <w:spacing w:line="360" w:lineRule="auto"/>
        <w:widowControl/>
        <w:rPr>
          <w:rFonts w:hint="eastAsia" w:ascii="宋体" w:hAnsi="宋体" w:cs="宋体"/>
          <w:b/>
          <w:color w:val="auto"/>
          <w:sz w:val="24"/>
          <w:highlight w:val="none"/>
          <w:lang w:val="zh-CN"/>
        </w:rPr>
        <w:outlineLvl w:val="1"/>
      </w:pPr>
      <w:r>
        <w:rPr>
          <w:rFonts w:hint="eastAsia" w:ascii="宋体" w:hAnsi="宋体" w:cs="宋体"/>
          <w:b/>
          <w:color w:val="auto"/>
          <w:szCs w:val="21"/>
          <w:highlight w:val="none"/>
          <w:lang w:val="zh-CN"/>
        </w:rPr>
        <w:br w:type="page" w:clear="all"/>
      </w:r>
      <w:r>
        <w:rPr>
          <w:rFonts w:hint="eastAsia" w:ascii="宋体" w:hAnsi="宋体" w:cs="宋体"/>
          <w:b/>
          <w:color w:val="auto"/>
          <w:sz w:val="24"/>
          <w:highlight w:val="none"/>
          <w:lang w:val="zh-CN"/>
        </w:rPr>
        <w:t xml:space="preserve">二、法定代表人授权书</w:t>
      </w:r>
      <w:r/>
    </w:p>
    <w:p>
      <w:pPr>
        <w:ind w:firstLine="720"/>
        <w:jc w:val="center"/>
        <w:spacing w:line="360" w:lineRule="auto"/>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法定代表人授权委托书</w:t>
      </w:r>
      <w:r/>
    </w:p>
    <w:p>
      <w:pPr>
        <w:jc w:val="center"/>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48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南京市工业和信息化局：</w:t>
      </w:r>
      <w:r/>
    </w:p>
    <w:p>
      <w:pPr>
        <w:ind w:firstLine="420"/>
        <w:jc w:val="left"/>
        <w:spacing w:line="48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本授权书声明：注册于</w:t>
      </w:r>
      <w:r>
        <w:rPr>
          <w:rFonts w:hint="eastAsia" w:ascii="宋体" w:hAnsi="宋体" w:cs="宋体"/>
          <w:color w:val="auto"/>
          <w:sz w:val="24"/>
          <w:highlight w:val="none"/>
          <w:u w:val="single"/>
          <w:lang w:val="zh-CN"/>
        </w:rPr>
        <w:t xml:space="preserve">（供应商住址）</w:t>
      </w:r>
      <w:r>
        <w:rPr>
          <w:rFonts w:hint="eastAsia" w:ascii="宋体" w:hAnsi="宋体" w:cs="宋体"/>
          <w:color w:val="auto"/>
          <w:sz w:val="24"/>
          <w:highlight w:val="none"/>
          <w:lang w:val="zh-CN"/>
        </w:rPr>
        <w:t xml:space="preserve">的</w:t>
      </w:r>
      <w:r>
        <w:rPr>
          <w:rFonts w:hint="eastAsia" w:ascii="宋体" w:hAnsi="宋体" w:cs="宋体"/>
          <w:color w:val="auto"/>
          <w:sz w:val="24"/>
          <w:highlight w:val="none"/>
          <w:u w:val="single"/>
          <w:lang w:val="zh-CN"/>
        </w:rPr>
        <w:t xml:space="preserve">（供应商名称）</w:t>
      </w:r>
      <w:r>
        <w:rPr>
          <w:rFonts w:hint="eastAsia" w:ascii="宋体" w:hAnsi="宋体" w:cs="宋体"/>
          <w:color w:val="auto"/>
          <w:sz w:val="24"/>
          <w:highlight w:val="none"/>
          <w:lang w:val="zh-CN"/>
        </w:rPr>
        <w:t xml:space="preserve">法定代表人</w:t>
      </w:r>
      <w:r>
        <w:rPr>
          <w:rFonts w:hint="eastAsia" w:ascii="宋体" w:hAnsi="宋体" w:cs="宋体"/>
          <w:color w:val="auto"/>
          <w:sz w:val="24"/>
          <w:highlight w:val="none"/>
          <w:u w:val="single"/>
          <w:lang w:val="zh-CN"/>
        </w:rPr>
        <w:t xml:space="preserve">（法定代表人姓名、职务）</w:t>
      </w:r>
      <w:r>
        <w:rPr>
          <w:rFonts w:hint="eastAsia" w:ascii="宋体" w:hAnsi="宋体" w:cs="宋体"/>
          <w:color w:val="auto"/>
          <w:sz w:val="24"/>
          <w:highlight w:val="none"/>
          <w:lang w:val="zh-CN"/>
        </w:rPr>
        <w:t xml:space="preserve">代表本公司授权在下面签字的</w:t>
      </w:r>
      <w:r>
        <w:rPr>
          <w:rFonts w:hint="eastAsia" w:ascii="宋体" w:hAnsi="宋体" w:cs="宋体"/>
          <w:color w:val="auto"/>
          <w:sz w:val="24"/>
          <w:highlight w:val="none"/>
          <w:u w:val="single"/>
          <w:lang w:val="zh-CN"/>
        </w:rPr>
        <w:t xml:space="preserve">（供应商代表姓名、职务）</w:t>
      </w:r>
      <w:r>
        <w:rPr>
          <w:rFonts w:hint="eastAsia" w:ascii="宋体" w:hAnsi="宋体" w:cs="宋体"/>
          <w:color w:val="auto"/>
          <w:sz w:val="24"/>
          <w:highlight w:val="none"/>
          <w:lang w:val="zh-CN"/>
        </w:rPr>
        <w:t xml:space="preserve">为本公司的合法代理人，就贵方组织的</w:t>
      </w:r>
      <w:r>
        <w:rPr>
          <w:rFonts w:hint="eastAsia" w:ascii="宋体" w:hAnsi="宋体" w:cs="宋体"/>
          <w:color w:val="auto"/>
          <w:sz w:val="24"/>
          <w:highlight w:val="none"/>
          <w:u w:val="single"/>
          <w:lang w:val="zh-CN"/>
        </w:rPr>
        <w:t xml:space="preserve">（项目名称）</w:t>
      </w:r>
      <w:r>
        <w:rPr>
          <w:rFonts w:hint="eastAsia" w:ascii="宋体" w:hAnsi="宋体" w:cs="宋体"/>
          <w:color w:val="auto"/>
          <w:sz w:val="24"/>
          <w:highlight w:val="none"/>
          <w:lang w:val="zh-CN"/>
        </w:rPr>
        <w:t xml:space="preserve">投标，以本公司名义处理一切与之有关的事务。</w:t>
      </w:r>
      <w:r/>
    </w:p>
    <w:p>
      <w:pPr>
        <w:ind w:firstLine="420"/>
        <w:jc w:val="left"/>
        <w:spacing w:line="48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本授权书于年  月  日签字生效，特此声明。</w:t>
      </w:r>
      <w:r/>
    </w:p>
    <w:p>
      <w:pPr>
        <w:ind w:firstLine="420"/>
        <w:jc w:val="left"/>
        <w:spacing w:line="48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20"/>
        <w:jc w:val="left"/>
        <w:spacing w:line="48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20"/>
        <w:jc w:val="left"/>
        <w:spacing w:line="48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法定代表人签字或盖章：</w:t>
      </w:r>
      <w:r/>
    </w:p>
    <w:p>
      <w:pPr>
        <w:ind w:firstLine="420"/>
        <w:jc w:val="left"/>
        <w:spacing w:line="48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授权委托人签字：</w:t>
      </w:r>
      <w:r/>
    </w:p>
    <w:p>
      <w:pPr>
        <w:ind w:firstLine="420"/>
        <w:jc w:val="left"/>
        <w:spacing w:line="480" w:lineRule="auto"/>
        <w:widowControl/>
        <w:tabs>
          <w:tab w:val="left" w:pos="1440" w:leader="none"/>
        </w:tabs>
        <w:rPr>
          <w:rFonts w:hint="eastAsia" w:ascii="宋体" w:hAnsi="宋体" w:cs="宋体"/>
          <w:color w:val="auto"/>
          <w:sz w:val="24"/>
          <w:highlight w:val="none"/>
          <w:lang w:val="zh-CN"/>
        </w:rPr>
      </w:pPr>
      <w:r>
        <w:rPr>
          <w:rFonts w:hint="eastAsia" w:ascii="宋体" w:hAnsi="宋体" w:cs="宋体"/>
          <w:color w:val="auto"/>
          <w:sz w:val="24"/>
          <w:highlight w:val="none"/>
        </w:rPr>
        <w:t xml:space="preserve">投标人</w:t>
      </w:r>
      <w:r>
        <w:rPr>
          <w:rFonts w:hint="eastAsia" w:ascii="宋体" w:hAnsi="宋体" w:cs="宋体"/>
          <w:color w:val="auto"/>
          <w:sz w:val="24"/>
          <w:highlight w:val="none"/>
          <w:lang w:val="zh-CN"/>
        </w:rPr>
        <w:t xml:space="preserve">名称（加盖CA电子公章）</w:t>
      </w:r>
      <w:r/>
    </w:p>
    <w:p>
      <w:pPr>
        <w:ind w:firstLine="420"/>
        <w:jc w:val="left"/>
        <w:spacing w:line="480" w:lineRule="auto"/>
        <w:widowControl/>
        <w:tabs>
          <w:tab w:val="left" w:pos="144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日        期：年    月    日</w:t>
      </w:r>
      <w:r/>
    </w:p>
    <w:p>
      <w:pPr>
        <w:ind w:firstLine="420"/>
        <w:jc w:val="left"/>
        <w:spacing w:line="480" w:lineRule="auto"/>
        <w:widowControl/>
        <w:tabs>
          <w:tab w:val="left" w:pos="144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法定代表人身份证复印件：</w:t>
      </w:r>
      <w:r/>
    </w:p>
    <w:p>
      <w:pPr>
        <w:ind w:firstLine="420"/>
        <w:jc w:val="left"/>
        <w:spacing w:line="480" w:lineRule="auto"/>
        <w:widowControl/>
        <w:tabs>
          <w:tab w:val="left" w:pos="144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授权委托人身份证复印件：</w:t>
      </w:r>
      <w:r/>
    </w:p>
    <w:p>
      <w:pPr>
        <w:pStyle w:val="898"/>
        <w:rPr>
          <w:color w:val="auto"/>
          <w:highlight w:val="none"/>
          <w:lang w:val="zh-CN"/>
        </w:rPr>
      </w:pPr>
      <w:r>
        <w:rPr>
          <w:color w:val="auto"/>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 w:val="24"/>
          <w:highlight w:val="none"/>
          <w:lang w:val="zh-CN"/>
        </w:rPr>
        <w:outlineLvl w:val="1"/>
      </w:pPr>
      <w:r>
        <w:rPr>
          <w:rFonts w:hint="eastAsia" w:ascii="宋体" w:hAnsi="宋体" w:cs="宋体"/>
          <w:b/>
          <w:color w:val="auto"/>
          <w:sz w:val="24"/>
          <w:highlight w:val="none"/>
          <w:lang w:val="zh-CN"/>
        </w:rPr>
        <w:t xml:space="preserve">三、开标一览表格式</w:t>
      </w:r>
      <w:r/>
    </w:p>
    <w:p>
      <w:pPr>
        <w:jc w:val="center"/>
        <w:spacing w:line="360" w:lineRule="auto"/>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开标一览表</w:t>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投标人名称（CA公章）：</w:t>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项目名称：南京市制造业新型技术改造城市试点全流程运营管理与综合赋能项目</w:t>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项目编号：JSZC-320100-SNZX-G2026-0179</w:t>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分包号：采购包1</w:t>
      </w:r>
      <w:r/>
    </w:p>
    <w:tbl>
      <w:tblPr>
        <w:tblStyle w:val="899"/>
        <w:tblW w:w="95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5"/>
        <w:gridCol w:w="4159"/>
      </w:tblGrid>
      <w:tr>
        <w:trPr>
          <w:trHeight w:val="680"/>
        </w:trPr>
        <w:tc>
          <w:tcPr>
            <w:tcW w:w="5355" w:type="dxa"/>
            <w:vAlign w:val="center"/>
            <w:textDirection w:val="lrTb"/>
            <w:noWrap/>
          </w:tcPr>
          <w:p>
            <w:pPr>
              <w:pStyle w:val="889"/>
              <w:jc w:val="center"/>
              <w:spacing w:after="0"/>
              <w:rPr>
                <w:rFonts w:hint="eastAsia" w:ascii="宋体" w:hAnsi="宋体" w:cs="宋体"/>
                <w:color w:val="auto"/>
                <w:highlight w:val="none"/>
              </w:rPr>
            </w:pPr>
            <w:r>
              <w:rPr>
                <w:rFonts w:hint="eastAsia" w:ascii="宋体" w:hAnsi="宋体" w:cs="宋体"/>
                <w:color w:val="auto"/>
                <w:highlight w:val="none"/>
              </w:rPr>
              <w:t xml:space="preserve">投标项目名称</w:t>
            </w:r>
            <w:r/>
          </w:p>
        </w:tc>
        <w:tc>
          <w:tcPr>
            <w:tcW w:w="4159" w:type="dxa"/>
            <w:vAlign w:val="center"/>
            <w:textDirection w:val="lrTb"/>
            <w:noWrap/>
          </w:tcPr>
          <w:p>
            <w:pPr>
              <w:pStyle w:val="889"/>
              <w:jc w:val="center"/>
              <w:spacing w:after="0"/>
              <w:rPr>
                <w:rFonts w:hint="eastAsia" w:ascii="宋体" w:hAnsi="宋体" w:cs="宋体"/>
                <w:color w:val="auto"/>
                <w:highlight w:val="none"/>
              </w:rPr>
            </w:pPr>
            <w:r>
              <w:rPr>
                <w:rFonts w:hint="eastAsia" w:ascii="宋体" w:hAnsi="宋体" w:cs="宋体"/>
                <w:color w:val="auto"/>
                <w:highlight w:val="none"/>
              </w:rPr>
              <w:t xml:space="preserve">总价（小写）</w:t>
            </w:r>
            <w:r/>
          </w:p>
        </w:tc>
      </w:tr>
      <w:tr>
        <w:trPr>
          <w:trHeight w:val="1100"/>
        </w:trPr>
        <w:tc>
          <w:tcPr>
            <w:tcW w:w="5355" w:type="dxa"/>
            <w:vAlign w:val="center"/>
            <w:textDirection w:val="lrTb"/>
            <w:noWrap/>
          </w:tcPr>
          <w:p>
            <w:pPr>
              <w:pStyle w:val="889"/>
              <w:jc w:val="center"/>
              <w:spacing w:after="0"/>
              <w:rPr>
                <w:rFonts w:hint="eastAsia" w:ascii="宋体" w:hAnsi="宋体" w:cs="宋体"/>
                <w:color w:val="auto"/>
                <w:highlight w:val="none"/>
              </w:rPr>
            </w:pPr>
            <w:r>
              <w:rPr>
                <w:rFonts w:hint="eastAsia" w:ascii="宋体" w:hAnsi="宋体" w:cs="宋体"/>
                <w:color w:val="auto"/>
                <w:highlight w:val="none"/>
              </w:rPr>
              <w:t xml:space="preserve">南京市制造业新型技术改造城市试点全流程运营管理与综合赋能项目</w:t>
            </w:r>
            <w:r/>
          </w:p>
        </w:tc>
        <w:tc>
          <w:tcPr>
            <w:tcW w:w="4159" w:type="dxa"/>
            <w:vAlign w:val="center"/>
            <w:textDirection w:val="lrTb"/>
            <w:noWrap/>
          </w:tcPr>
          <w:p>
            <w:pPr>
              <w:pStyle w:val="889"/>
              <w:jc w:val="center"/>
              <w:spacing w:after="0"/>
              <w:rPr>
                <w:rFonts w:hint="eastAsia" w:ascii="宋体" w:hAnsi="宋体" w:cs="宋体"/>
                <w:color w:val="auto"/>
                <w:highlight w:val="none"/>
              </w:rPr>
            </w:pPr>
            <w:r>
              <w:rPr>
                <w:rFonts w:hint="eastAsia" w:ascii="宋体" w:hAnsi="宋体" w:cs="宋体"/>
                <w:color w:val="auto"/>
                <w:highlight w:val="none"/>
              </w:rPr>
            </w:r>
            <w:r/>
          </w:p>
        </w:tc>
      </w:tr>
    </w:tbl>
    <w:p>
      <w:pPr>
        <w:pStyle w:val="889"/>
        <w:jc w:val="right"/>
        <w:rPr>
          <w:color w:val="auto"/>
          <w:highlight w:val="none"/>
        </w:rPr>
      </w:pPr>
      <w:r>
        <w:rPr>
          <w:color w:val="auto"/>
          <w:highlight w:val="none"/>
        </w:rPr>
      </w:r>
      <w:r/>
    </w:p>
    <w:p>
      <w:pPr>
        <w:pStyle w:val="889"/>
        <w:jc w:val="right"/>
        <w:rPr>
          <w:rFonts w:hint="eastAsia" w:ascii="宋体" w:hAnsi="宋体" w:cs="宋体"/>
          <w:color w:val="auto"/>
          <w:highlight w:val="none"/>
        </w:rPr>
      </w:pPr>
      <w:r>
        <w:rPr>
          <w:rFonts w:hint="eastAsia" w:ascii="宋体" w:hAnsi="宋体" w:cs="宋体"/>
          <w:color w:val="auto"/>
          <w:highlight w:val="none"/>
        </w:rPr>
        <w:t xml:space="preserve">年    月    日</w:t>
      </w:r>
      <w:r/>
    </w:p>
    <w:p>
      <w:pPr>
        <w:rPr>
          <w:rFonts w:hint="eastAsia" w:ascii="宋体" w:hAnsi="宋体" w:cs="宋体"/>
          <w:b/>
          <w:color w:val="auto"/>
          <w:sz w:val="24"/>
          <w:highlight w:val="none"/>
          <w:lang w:val="zh-CN"/>
        </w:rPr>
        <w:outlineLvl w:val="1"/>
      </w:pPr>
      <w:r/>
      <w:bookmarkStart w:id="48" w:name="_Toc120614284"/>
      <w:r>
        <w:rPr>
          <w:rFonts w:hint="eastAsia" w:ascii="宋体" w:hAnsi="宋体" w:cs="宋体"/>
          <w:color w:val="auto"/>
          <w:sz w:val="32"/>
          <w:szCs w:val="32"/>
          <w:highlight w:val="none"/>
        </w:rPr>
        <w:br w:type="page" w:clear="all"/>
      </w:r>
      <w:bookmarkEnd w:id="48"/>
      <w:r>
        <w:rPr>
          <w:rFonts w:hint="eastAsia" w:ascii="宋体" w:hAnsi="宋体" w:cs="宋体"/>
          <w:b/>
          <w:color w:val="auto"/>
          <w:sz w:val="24"/>
          <w:highlight w:val="none"/>
          <w:lang w:val="zh-CN"/>
        </w:rPr>
        <w:t xml:space="preserve">四、南京市政府采购供应商信用记录表暨信用承诺书</w:t>
      </w:r>
      <w:r/>
    </w:p>
    <w:p>
      <w:pPr>
        <w:jc w:val="center"/>
        <w:widowControl/>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jc w:val="center"/>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center"/>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南京市政府采购供应商信用记录表暨信用承诺书</w:t>
      </w:r>
      <w:r/>
    </w:p>
    <w:p>
      <w:pPr>
        <w:widowControl/>
        <w:rPr>
          <w:rFonts w:hint="eastAsia" w:ascii="宋体" w:hAnsi="宋体" w:cs="宋体"/>
          <w:color w:val="auto"/>
          <w:sz w:val="24"/>
          <w:highlight w:val="none"/>
        </w:rPr>
      </w:pPr>
      <w:r>
        <w:rPr>
          <w:rFonts w:hint="eastAsia" w:ascii="宋体" w:hAnsi="宋体" w:cs="宋体"/>
          <w:color w:val="auto"/>
          <w:sz w:val="24"/>
          <w:highlight w:val="none"/>
        </w:rPr>
      </w:r>
      <w:r/>
    </w:p>
    <w:p>
      <w:pPr>
        <w:widowControl/>
        <w:rPr>
          <w:rFonts w:hint="eastAsia" w:ascii="宋体" w:hAnsi="宋体" w:cs="宋体"/>
          <w:color w:val="auto"/>
          <w:sz w:val="24"/>
          <w:highlight w:val="none"/>
        </w:rPr>
      </w:pPr>
      <w:r>
        <w:rPr>
          <w:rFonts w:hint="eastAsia" w:ascii="宋体" w:hAnsi="宋体" w:cs="宋体"/>
          <w:color w:val="auto"/>
          <w:sz w:val="24"/>
          <w:highlight w:val="none"/>
        </w:rPr>
      </w:r>
      <w:r/>
    </w:p>
    <w:p>
      <w:pPr>
        <w:jc w:val="right"/>
        <w:widowControl/>
        <w:rPr>
          <w:rFonts w:hint="eastAsia" w:ascii="宋体" w:hAnsi="宋体" w:cs="宋体"/>
          <w:color w:val="auto"/>
          <w:sz w:val="24"/>
          <w:highlight w:val="none"/>
        </w:rPr>
      </w:pPr>
      <w:r>
        <w:rPr>
          <w:rFonts w:hint="eastAsia" w:ascii="宋体" w:hAnsi="宋体" w:cs="宋体"/>
          <w:color w:val="auto"/>
          <w:sz w:val="24"/>
          <w:highlight w:val="none"/>
        </w:rPr>
        <w:t xml:space="preserve">20   年  月   日</w:t>
      </w:r>
      <w:r/>
    </w:p>
    <w:p>
      <w:pPr>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901"/>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单位名称</w:t>
            </w:r>
            <w:r/>
          </w:p>
        </w:tc>
        <w:tc>
          <w:tcPr>
            <w:tcW w:w="2205"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048"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统一社会信用代码</w:t>
            </w:r>
            <w:r/>
          </w:p>
        </w:tc>
        <w:tc>
          <w:tcPr>
            <w:tcW w:w="3472"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jc w:val="center"/>
          <w:trHeight w:val="510"/>
        </w:trPr>
        <w:tc>
          <w:tcPr>
            <w:tcW w:w="2137"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w:t>
            </w:r>
            <w:r/>
          </w:p>
        </w:tc>
        <w:tc>
          <w:tcPr>
            <w:tcW w:w="2205"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048"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联系人</w:t>
            </w:r>
            <w:r/>
          </w:p>
        </w:tc>
        <w:tc>
          <w:tcPr>
            <w:tcW w:w="3472"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jc w:val="center"/>
          <w:trHeight w:val="510"/>
        </w:trPr>
        <w:tc>
          <w:tcPr>
            <w:tcW w:w="2137"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联系地址</w:t>
            </w:r>
            <w:r/>
          </w:p>
        </w:tc>
        <w:tc>
          <w:tcPr>
            <w:tcW w:w="2205"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048"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联系电话</w:t>
            </w:r>
            <w:r/>
          </w:p>
        </w:tc>
        <w:tc>
          <w:tcPr>
            <w:tcW w:w="3472"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jc w:val="center"/>
          <w:trHeight w:val="1710"/>
        </w:trPr>
        <w:tc>
          <w:tcPr>
            <w:tcW w:w="2137"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诚信档案记录情况</w:t>
            </w:r>
            <w:r/>
          </w:p>
        </w:tc>
        <w:tc>
          <w:tcPr>
            <w:gridSpan w:val="3"/>
            <w:tcW w:w="7725" w:type="dxa"/>
            <w:vAlign w:val="center"/>
            <w:textDirection w:val="lrTb"/>
            <w:noWrap/>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jc w:val="center"/>
          <w:trHeight w:val="4575"/>
        </w:trPr>
        <w:tc>
          <w:tcPr>
            <w:tcW w:w="2137" w:type="dxa"/>
            <w:vAlign w:val="center"/>
            <w:vMerge w:val="restart"/>
            <w:textDirection w:val="lrTb"/>
            <w:noWrap/>
          </w:tcPr>
          <w:p>
            <w:pPr>
              <w:jc w:val="center"/>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信用承诺</w:t>
            </w:r>
            <w:r/>
          </w:p>
        </w:tc>
        <w:tc>
          <w:tcPr>
            <w:gridSpan w:val="3"/>
            <w:tcW w:w="7725" w:type="dxa"/>
            <w:vAlign w:val="center"/>
            <w:textDirection w:val="lrTb"/>
            <w:noWrap/>
          </w:tcPr>
          <w:p>
            <w:pPr>
              <w:ind w:left="42" w:firstLine="480"/>
              <w:widowControl/>
              <w:rPr>
                <w:rFonts w:hint="eastAsia" w:ascii="宋体" w:hAnsi="宋体" w:cs="宋体"/>
                <w:color w:val="auto"/>
                <w:sz w:val="24"/>
                <w:highlight w:val="none"/>
              </w:rPr>
            </w:pPr>
            <w:r>
              <w:rPr>
                <w:rFonts w:hint="eastAsia" w:ascii="宋体" w:hAnsi="宋体" w:cs="宋体"/>
                <w:color w:val="auto"/>
                <w:sz w:val="24"/>
                <w:highlight w:val="none"/>
              </w:rPr>
              <w:t xml:space="preserve">我公司自愿参加贵中心（公司）组织的本次采购活动，严格遵守《中华人民共和国政府采购法》及相关法</w:t>
            </w:r>
            <w:r>
              <w:rPr>
                <w:rFonts w:hint="eastAsia" w:ascii="宋体" w:hAnsi="宋体" w:cs="宋体"/>
                <w:color w:val="auto"/>
                <w:sz w:val="24"/>
                <w:highlight w:val="none"/>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7725" w:type="dxa"/>
            <w:vAlign w:val="center"/>
            <w:textDirection w:val="lrTb"/>
            <w:noWrap/>
          </w:tcPr>
          <w:p>
            <w:pPr>
              <w:ind w:left="3780"/>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lang w:val="zh-CN"/>
              </w:rPr>
              <w:t xml:space="preserve">名称（加盖CA电子公章）</w:t>
            </w:r>
            <w:r>
              <w:rPr>
                <w:rFonts w:hint="eastAsia" w:ascii="宋体" w:hAnsi="宋体" w:cs="宋体"/>
                <w:color w:val="auto"/>
                <w:sz w:val="24"/>
                <w:highlight w:val="none"/>
              </w:rPr>
              <w:t xml:space="preserve">∶</w:t>
            </w:r>
            <w:r/>
          </w:p>
          <w:p>
            <w:pPr>
              <w:ind w:left="3780"/>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p>
          <w:p>
            <w:pPr>
              <w:ind w:left="3780"/>
              <w:widowControl/>
              <w:rPr>
                <w:rFonts w:hint="eastAsia" w:ascii="宋体" w:hAnsi="宋体" w:cs="宋体"/>
                <w:color w:val="auto"/>
                <w:sz w:val="24"/>
                <w:highlight w:val="none"/>
              </w:rPr>
            </w:pPr>
            <w:r>
              <w:rPr>
                <w:rFonts w:hint="eastAsia" w:ascii="宋体" w:hAnsi="宋体" w:cs="宋体"/>
                <w:color w:val="auto"/>
                <w:sz w:val="24"/>
                <w:highlight w:val="none"/>
              </w:rPr>
              <w:t xml:space="preserve">二O  年  月日</w:t>
            </w:r>
            <w:r/>
          </w:p>
        </w:tc>
      </w:tr>
    </w:tbl>
    <w:p>
      <w:pPr>
        <w:jc w:val="left"/>
        <w:spacing w:line="240" w:lineRule="atLeast"/>
        <w:widowControl/>
        <w:rPr>
          <w:rFonts w:hint="eastAsia" w:ascii="宋体" w:hAnsi="宋体" w:eastAsia="宋体" w:cs="宋体"/>
          <w:color w:val="auto"/>
          <w:sz w:val="24"/>
          <w:highlight w:val="none"/>
        </w:rPr>
        <w:sectPr>
          <w:footnotePr/>
          <w:endnotePr>
            <w:numFmt w:val="decimal"/>
          </w:endnotePr>
          <w:type w:val="nextPage"/>
          <w:pgSz w:w="11906" w:h="16838" w:orient="portrait"/>
          <w:pgMar w:top="850" w:right="850" w:bottom="850" w:left="1417" w:header="340" w:footer="567" w:gutter="0"/>
          <w:cols w:num="1" w:sep="0" w:space="1701" w:equalWidth="1"/>
          <w:docGrid w:linePitch="360"/>
        </w:sectPr>
        <w:outlineLvl w:val="1"/>
      </w:pPr>
      <w:r>
        <w:rPr>
          <w:rFonts w:hint="eastAsia" w:ascii="宋体" w:hAnsi="宋体" w:cs="宋体"/>
          <w:b/>
          <w:bCs/>
          <w:color w:val="auto"/>
          <w:szCs w:val="21"/>
          <w:highlight w:val="none"/>
        </w:rPr>
        <w:br w:type="page" w:clear="all"/>
      </w:r>
      <w:r>
        <w:rPr>
          <w:rFonts w:hint="eastAsia" w:ascii="宋体" w:hAnsi="宋体" w:cs="宋体"/>
          <w:color w:val="auto"/>
          <w:sz w:val="24"/>
          <w:highlight w:val="none"/>
        </w:rPr>
        <w:t xml:space="preserve">营业执照：</w:t>
      </w:r>
      <w:r/>
    </w:p>
    <w:p>
      <w:pPr>
        <w:jc w:val="left"/>
        <w:spacing w:line="240" w:lineRule="atLeast"/>
        <w:widowControl/>
        <w:rPr>
          <w:rFonts w:hint="eastAsia" w:ascii="宋体" w:hAnsi="宋体" w:cs="宋体"/>
          <w:b/>
          <w:bCs/>
          <w:color w:val="auto"/>
          <w:sz w:val="24"/>
          <w:highlight w:val="none"/>
          <w:lang w:val="zh-CN"/>
        </w:rPr>
        <w:outlineLvl w:val="1"/>
      </w:pPr>
      <w:r>
        <w:rPr>
          <w:rFonts w:hint="eastAsia" w:ascii="宋体" w:hAnsi="宋体" w:cs="宋体"/>
          <w:b/>
          <w:bCs/>
          <w:color w:val="auto"/>
          <w:sz w:val="24"/>
          <w:highlight w:val="none"/>
        </w:rPr>
        <w:t xml:space="preserve">五</w:t>
      </w:r>
      <w:r>
        <w:rPr>
          <w:rFonts w:hint="eastAsia" w:ascii="宋体" w:hAnsi="宋体" w:cs="宋体"/>
          <w:b/>
          <w:bCs/>
          <w:color w:val="auto"/>
          <w:sz w:val="24"/>
          <w:highlight w:val="none"/>
          <w:lang w:val="zh-CN"/>
        </w:rPr>
        <w:t xml:space="preserve">、分项报价表</w:t>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240" w:lineRule="atLeast"/>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分项报价表</w:t>
      </w:r>
      <w:r/>
    </w:p>
    <w:p>
      <w:pPr>
        <w:jc w:val="center"/>
        <w:spacing w:line="240" w:lineRule="atLeast"/>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bCs/>
          <w:color w:val="auto"/>
          <w:sz w:val="24"/>
          <w:szCs w:val="32"/>
          <w:highlight w:val="none"/>
        </w:rPr>
        <w:t xml:space="preserve">格式自拟</w:t>
      </w:r>
      <w:r>
        <w:rPr>
          <w:rFonts w:hint="eastAsia" w:ascii="宋体" w:hAnsi="宋体" w:cs="宋体"/>
          <w:bCs/>
          <w:color w:val="auto"/>
          <w:sz w:val="24"/>
          <w:highlight w:val="none"/>
        </w:rPr>
        <w:t xml:space="preserve">）</w:t>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widowControl/>
        <w:rPr>
          <w:rFonts w:hint="eastAsia" w:ascii="宋体" w:hAnsi="宋体" w:cs="宋体"/>
          <w:b/>
          <w:color w:val="auto"/>
          <w:sz w:val="24"/>
          <w:highlight w:val="none"/>
          <w:lang w:val="zh-CN"/>
        </w:rPr>
        <w:outlineLvl w:val="1"/>
      </w:pPr>
      <w:r>
        <w:rPr>
          <w:rFonts w:hint="eastAsia" w:ascii="宋体" w:hAnsi="宋体" w:cs="宋体"/>
          <w:b/>
          <w:color w:val="auto"/>
          <w:sz w:val="24"/>
          <w:highlight w:val="none"/>
        </w:rPr>
        <w:t xml:space="preserve">六</w:t>
      </w:r>
      <w:r>
        <w:rPr>
          <w:rFonts w:hint="eastAsia" w:ascii="宋体" w:hAnsi="宋体" w:cs="宋体"/>
          <w:b/>
          <w:color w:val="auto"/>
          <w:sz w:val="24"/>
          <w:highlight w:val="none"/>
          <w:lang w:val="zh-CN"/>
        </w:rPr>
        <w:t xml:space="preserve">、技术条款偏离表</w:t>
      </w:r>
      <w:r/>
    </w:p>
    <w:p>
      <w:pPr>
        <w:jc w:val="center"/>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技术条款偏离表</w:t>
      </w:r>
      <w:r/>
    </w:p>
    <w:tbl>
      <w:tblPr>
        <w:tblStyle w:val="871"/>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tcPr>
          <w:p>
            <w:pPr>
              <w:jc w:val="lef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lef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招标文件要求的</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CN"/>
              </w:rPr>
              <w:t xml:space="preserve">条款</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440" w:lineRule="exact"/>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投标人</w:t>
      </w:r>
      <w:r>
        <w:rPr>
          <w:rFonts w:hint="eastAsia" w:ascii="宋体" w:hAnsi="宋体" w:cs="宋体"/>
          <w:color w:val="auto"/>
          <w:sz w:val="24"/>
          <w:highlight w:val="none"/>
          <w:lang w:val="zh-CN"/>
        </w:rPr>
        <w:t xml:space="preserve">名称（</w:t>
      </w:r>
      <w:r>
        <w:rPr>
          <w:rFonts w:hint="eastAsia" w:ascii="宋体" w:hAnsi="宋体" w:cs="宋体"/>
          <w:color w:val="auto"/>
          <w:szCs w:val="21"/>
          <w:highlight w:val="none"/>
          <w:lang w:val="zh-CN"/>
        </w:rPr>
        <w:t xml:space="preserve">加盖CA电子公章</w:t>
      </w:r>
      <w:r>
        <w:rPr>
          <w:rFonts w:hint="eastAsia" w:ascii="宋体" w:hAnsi="宋体" w:cs="宋体"/>
          <w:color w:val="auto"/>
          <w:sz w:val="24"/>
          <w:highlight w:val="none"/>
          <w:lang w:val="zh-CN"/>
        </w:rPr>
        <w:t xml:space="preserve">）：</w:t>
      </w:r>
      <w:r/>
    </w:p>
    <w:p>
      <w:pPr>
        <w:jc w:val="left"/>
        <w:spacing w:line="440" w:lineRule="exact"/>
        <w:widowControl/>
        <w:rPr>
          <w:rFonts w:cs="宋体"/>
          <w:color w:val="auto"/>
          <w:szCs w:val="21"/>
          <w:highlight w:val="none"/>
        </w:rPr>
      </w:pPr>
      <w:r>
        <w:rPr>
          <w:rFonts w:hint="eastAsia" w:cs="宋体"/>
          <w:color w:val="auto"/>
          <w:szCs w:val="21"/>
          <w:highlight w:val="none"/>
        </w:rPr>
        <w:t xml:space="preserve">1、如果行数不够，请自行增加。</w:t>
      </w:r>
      <w:r/>
    </w:p>
    <w:p>
      <w:pPr>
        <w:jc w:val="left"/>
        <w:spacing w:line="440" w:lineRule="exact"/>
        <w:widowControl/>
        <w:rPr>
          <w:rFonts w:cs="宋体"/>
          <w:b/>
          <w:bCs/>
          <w:color w:val="auto"/>
          <w:sz w:val="36"/>
          <w:szCs w:val="36"/>
          <w:highlight w:val="none"/>
        </w:rPr>
      </w:pPr>
      <w:r>
        <w:rPr>
          <w:rFonts w:hint="eastAsia" w:cs="宋体"/>
          <w:b/>
          <w:bCs/>
          <w:color w:val="auto"/>
          <w:sz w:val="36"/>
          <w:szCs w:val="36"/>
          <w:highlight w:val="none"/>
        </w:rPr>
        <w:t xml:space="preserve">2、供应商需在上表中对采购文件第四章“（第二部分：技术部分要求）”中的相关要求进行响应。</w:t>
      </w:r>
      <w:r/>
    </w:p>
    <w:p>
      <w:pPr>
        <w:jc w:val="left"/>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shd w:val="clear" w:color="auto" w:fill="ffffff"/>
        <w:widowControl/>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七、商务条款偏离表</w:t>
      </w:r>
      <w:r/>
    </w:p>
    <w:p>
      <w:pPr>
        <w:ind w:left="420"/>
        <w:jc w:val="center"/>
        <w:shd w:val="clear" w:color="auto" w:fill="ffffff"/>
        <w:widowControl/>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商务条款偏离表</w:t>
      </w:r>
      <w:r/>
    </w:p>
    <w:tbl>
      <w:tblPr>
        <w:tblStyle w:val="871"/>
        <w:tblW w:w="9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917"/>
        <w:gridCol w:w="1620"/>
        <w:gridCol w:w="2700"/>
        <w:gridCol w:w="3240"/>
        <w:gridCol w:w="1144"/>
      </w:tblGrid>
      <w:tr>
        <w:trPr>
          <w:jc w:val="center"/>
          <w:trHeight w:val="454"/>
          <w:tblHeader/>
        </w:trPr>
        <w:tc>
          <w:tcPr>
            <w:gridSpan w:val="3"/>
            <w:tcMar>
              <w:left w:w="10" w:type="dxa"/>
              <w:top w:w="0" w:type="dxa"/>
              <w:right w:w="10" w:type="dxa"/>
              <w:bottom w:w="0" w:type="dxa"/>
            </w:tcMar>
            <w:tcW w:w="5237" w:type="dxa"/>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gridSpan w:val="2"/>
            <w:tcMar>
              <w:left w:w="10" w:type="dxa"/>
              <w:top w:w="0" w:type="dxa"/>
              <w:right w:w="10" w:type="dxa"/>
              <w:bottom w:w="0" w:type="dxa"/>
            </w:tcMar>
            <w:tcW w:w="4384" w:type="dxa"/>
            <w:vAlign w:val="center"/>
            <w:textDirection w:val="lrTb"/>
            <w:noWrap/>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项目编号：</w:t>
            </w:r>
            <w:r/>
          </w:p>
        </w:tc>
      </w:tr>
      <w:tr>
        <w:trPr>
          <w:jc w:val="center"/>
          <w:trHeight w:val="454"/>
        </w:trPr>
        <w:tc>
          <w:tcPr>
            <w:tcMar>
              <w:left w:w="10" w:type="dxa"/>
              <w:top w:w="0" w:type="dxa"/>
              <w:right w:w="10" w:type="dxa"/>
              <w:bottom w:w="0" w:type="dxa"/>
            </w:tcMar>
            <w:tcW w:w="917"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Mar>
              <w:left w:w="10" w:type="dxa"/>
              <w:top w:w="0" w:type="dxa"/>
              <w:right w:w="10" w:type="dxa"/>
              <w:bottom w:w="0" w:type="dxa"/>
            </w:tcMar>
            <w:tcW w:w="1620"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招标文件条目号</w:t>
            </w:r>
            <w:r/>
          </w:p>
        </w:tc>
        <w:tc>
          <w:tcPr>
            <w:tcMar>
              <w:left w:w="10" w:type="dxa"/>
              <w:top w:w="0" w:type="dxa"/>
              <w:right w:w="10" w:type="dxa"/>
              <w:bottom w:w="0" w:type="dxa"/>
            </w:tcMar>
            <w:tcW w:w="2700"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招标文件要求的商务条款</w:t>
            </w:r>
            <w:r/>
          </w:p>
        </w:tc>
        <w:tc>
          <w:tcPr>
            <w:tcMar>
              <w:left w:w="10" w:type="dxa"/>
              <w:top w:w="0" w:type="dxa"/>
              <w:right w:w="10" w:type="dxa"/>
              <w:bottom w:w="0" w:type="dxa"/>
            </w:tcMar>
            <w:tcW w:w="3240"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投标响应</w:t>
            </w:r>
            <w:r/>
          </w:p>
        </w:tc>
        <w:tc>
          <w:tcPr>
            <w:tcMar>
              <w:left w:w="10" w:type="dxa"/>
              <w:top w:w="0" w:type="dxa"/>
              <w:right w:w="10" w:type="dxa"/>
              <w:bottom w:w="0" w:type="dxa"/>
            </w:tcMar>
            <w:tcW w:w="1144"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偏离</w:t>
            </w:r>
            <w:r/>
          </w:p>
        </w:tc>
      </w:tr>
      <w:tr>
        <w:trPr>
          <w:jc w:val="center"/>
          <w:trHeight w:val="454"/>
        </w:trPr>
        <w:tc>
          <w:tcPr>
            <w:tcMar>
              <w:left w:w="10" w:type="dxa"/>
              <w:top w:w="0" w:type="dxa"/>
              <w:right w:w="10" w:type="dxa"/>
              <w:bottom w:w="0" w:type="dxa"/>
            </w:tcMar>
            <w:tcW w:w="917"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 w:type="dxa"/>
              <w:top w:w="0" w:type="dxa"/>
              <w:right w:w="10" w:type="dxa"/>
              <w:bottom w:w="0" w:type="dxa"/>
            </w:tcMar>
            <w:tcW w:w="1620"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 w:type="dxa"/>
              <w:top w:w="0" w:type="dxa"/>
              <w:right w:w="10" w:type="dxa"/>
              <w:bottom w:w="0" w:type="dxa"/>
            </w:tcMar>
            <w:tcW w:w="2700"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 w:type="dxa"/>
              <w:top w:w="0" w:type="dxa"/>
              <w:right w:w="10" w:type="dxa"/>
              <w:bottom w:w="0" w:type="dxa"/>
            </w:tcMar>
            <w:tcW w:w="3240"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 w:type="dxa"/>
              <w:top w:w="0" w:type="dxa"/>
              <w:right w:w="10" w:type="dxa"/>
              <w:bottom w:w="0" w:type="dxa"/>
            </w:tcMar>
            <w:tcW w:w="1144"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Mar>
              <w:left w:w="10" w:type="dxa"/>
              <w:top w:w="0" w:type="dxa"/>
              <w:right w:w="10" w:type="dxa"/>
              <w:bottom w:w="0" w:type="dxa"/>
            </w:tcMar>
            <w:tcW w:w="917"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 w:type="dxa"/>
              <w:top w:w="0" w:type="dxa"/>
              <w:right w:w="10" w:type="dxa"/>
              <w:bottom w:w="0" w:type="dxa"/>
            </w:tcMar>
            <w:tcW w:w="1620"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 w:type="dxa"/>
              <w:top w:w="0" w:type="dxa"/>
              <w:right w:w="10" w:type="dxa"/>
              <w:bottom w:w="0" w:type="dxa"/>
            </w:tcMar>
            <w:tcW w:w="2700"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 w:type="dxa"/>
              <w:top w:w="0" w:type="dxa"/>
              <w:right w:w="10" w:type="dxa"/>
              <w:bottom w:w="0" w:type="dxa"/>
            </w:tcMar>
            <w:tcW w:w="3240"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 w:type="dxa"/>
              <w:top w:w="0" w:type="dxa"/>
              <w:right w:w="10" w:type="dxa"/>
              <w:bottom w:w="0" w:type="dxa"/>
            </w:tcMar>
            <w:tcW w:w="1144"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trPr>
        <w:tc>
          <w:tcPr>
            <w:tcMar>
              <w:left w:w="10" w:type="dxa"/>
              <w:top w:w="0" w:type="dxa"/>
              <w:right w:w="10" w:type="dxa"/>
              <w:bottom w:w="0" w:type="dxa"/>
            </w:tcMar>
            <w:tcW w:w="917"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 w:type="dxa"/>
              <w:top w:w="0" w:type="dxa"/>
              <w:right w:w="10" w:type="dxa"/>
              <w:bottom w:w="0" w:type="dxa"/>
            </w:tcMar>
            <w:tcW w:w="1620"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 w:type="dxa"/>
              <w:top w:w="0" w:type="dxa"/>
              <w:right w:w="10" w:type="dxa"/>
              <w:bottom w:w="0" w:type="dxa"/>
            </w:tcMar>
            <w:tcW w:w="2700"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 w:type="dxa"/>
              <w:top w:w="0" w:type="dxa"/>
              <w:right w:w="10" w:type="dxa"/>
              <w:bottom w:w="0" w:type="dxa"/>
            </w:tcMar>
            <w:tcW w:w="3240"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 w:type="dxa"/>
              <w:top w:w="0" w:type="dxa"/>
              <w:right w:w="10" w:type="dxa"/>
              <w:bottom w:w="0" w:type="dxa"/>
            </w:tcMar>
            <w:tcW w:w="1144" w:type="dxa"/>
            <w:vAlign w:val="center"/>
            <w:textDirection w:val="lrTb"/>
            <w:noWrap/>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440" w:lineRule="exact"/>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投标人</w:t>
      </w:r>
      <w:r>
        <w:rPr>
          <w:rFonts w:hint="eastAsia" w:ascii="宋体" w:hAnsi="宋体" w:cs="宋体"/>
          <w:color w:val="auto"/>
          <w:sz w:val="24"/>
          <w:highlight w:val="none"/>
          <w:lang w:val="zh-CN"/>
        </w:rPr>
        <w:t xml:space="preserve">名称（</w:t>
      </w:r>
      <w:r>
        <w:rPr>
          <w:rFonts w:hint="eastAsia" w:ascii="宋体" w:hAnsi="宋体" w:cs="宋体"/>
          <w:color w:val="auto"/>
          <w:szCs w:val="21"/>
          <w:highlight w:val="none"/>
          <w:lang w:val="zh-CN"/>
        </w:rPr>
        <w:t xml:space="preserve">加盖CA电子公章</w:t>
      </w:r>
      <w:r>
        <w:rPr>
          <w:rFonts w:hint="eastAsia" w:ascii="宋体" w:hAnsi="宋体" w:cs="宋体"/>
          <w:color w:val="auto"/>
          <w:sz w:val="24"/>
          <w:highlight w:val="none"/>
          <w:lang w:val="zh-CN"/>
        </w:rPr>
        <w:t xml:space="preserve">）</w:t>
      </w:r>
      <w:r/>
    </w:p>
    <w:p>
      <w:pPr>
        <w:jc w:val="left"/>
        <w:spacing w:line="440" w:lineRule="exact"/>
        <w:widowControl/>
        <w:rPr>
          <w:rFonts w:cs="宋体"/>
          <w:color w:val="auto"/>
          <w:szCs w:val="21"/>
          <w:highlight w:val="none"/>
        </w:rPr>
      </w:pPr>
      <w:r>
        <w:rPr>
          <w:rFonts w:hint="eastAsia" w:cs="宋体"/>
          <w:color w:val="auto"/>
          <w:szCs w:val="21"/>
          <w:highlight w:val="none"/>
        </w:rPr>
        <w:t xml:space="preserve">1、如果行数不够，请自行增加。</w:t>
      </w:r>
      <w:r/>
    </w:p>
    <w:p>
      <w:pPr>
        <w:jc w:val="left"/>
        <w:spacing w:line="440" w:lineRule="exact"/>
        <w:widowControl/>
        <w:rPr>
          <w:rFonts w:hint="eastAsia" w:cs="宋体"/>
          <w:b/>
          <w:bCs/>
          <w:color w:val="auto"/>
          <w:sz w:val="36"/>
          <w:szCs w:val="36"/>
          <w:highlight w:val="none"/>
        </w:rPr>
      </w:pPr>
      <w:r>
        <w:rPr>
          <w:rFonts w:hint="eastAsia" w:cs="宋体"/>
          <w:b/>
          <w:bCs/>
          <w:color w:val="auto"/>
          <w:sz w:val="36"/>
          <w:szCs w:val="36"/>
          <w:highlight w:val="none"/>
        </w:rPr>
        <w:t xml:space="preserve">2、供应商需在上表中对采购文件第四章“（第三部分：商务部分要求）”中的相关要求进行响应。</w:t>
      </w:r>
      <w:r/>
    </w:p>
    <w:p>
      <w:pPr>
        <w:jc w:val="left"/>
        <w:spacing w:line="360" w:lineRule="auto"/>
        <w:shd w:val="clear" w:color="auto" w:fill="ffffff"/>
        <w:widowControl/>
        <w:rPr>
          <w:rFonts w:hint="eastAsia" w:ascii="宋体" w:hAnsi="宋体" w:cs="宋体"/>
          <w:b/>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color w:val="auto"/>
          <w:sz w:val="24"/>
          <w:highlight w:val="none"/>
        </w:rPr>
        <w:t xml:space="preserve">八、服务与承诺</w:t>
      </w:r>
      <w:r/>
    </w:p>
    <w:p>
      <w:pPr>
        <w:jc w:val="left"/>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240" w:lineRule="atLeast"/>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（格式自拟）</w:t>
      </w:r>
      <w:r/>
    </w:p>
    <w:p>
      <w:pPr>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shd w:val="clear" w:color="auto" w:fill="ffffff"/>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24"/>
          <w:highlight w:val="none"/>
        </w:rPr>
        <w:t xml:space="preserve">九、供应商类似业绩情况表</w:t>
      </w:r>
      <w:r/>
    </w:p>
    <w:p>
      <w:pPr>
        <w:jc w:val="center"/>
        <w:spacing w:line="360" w:lineRule="auto"/>
        <w:rPr>
          <w:rFonts w:hint="eastAsia" w:ascii="宋体" w:hAnsi="宋体" w:cs="宋体"/>
          <w:bCs/>
          <w:color w:val="auto"/>
          <w:sz w:val="36"/>
          <w:szCs w:val="36"/>
          <w:highlight w:val="none"/>
        </w:rPr>
      </w:pPr>
      <w:r>
        <w:rPr>
          <w:rFonts w:hint="eastAsia" w:ascii="宋体" w:hAnsi="宋体" w:cs="宋体"/>
          <w:bCs/>
          <w:color w:val="auto"/>
          <w:sz w:val="36"/>
          <w:szCs w:val="36"/>
          <w:highlight w:val="none"/>
        </w:rPr>
        <w:t xml:space="preserve">供应商类似业绩情况表</w:t>
      </w:r>
      <w:r/>
    </w:p>
    <w:tbl>
      <w:tblPr>
        <w:tblStyle w:val="871"/>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3415"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41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业主方</w:t>
            </w:r>
            <w:r/>
          </w:p>
        </w:tc>
        <w:tc>
          <w:tcPr>
            <w:tcW w:w="151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签约及服务</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时间</w:t>
            </w:r>
            <w:r/>
          </w:p>
        </w:tc>
        <w:tc>
          <w:tcPr>
            <w:tcW w:w="1134"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联系人及电话</w:t>
            </w:r>
            <w:r/>
          </w:p>
        </w:tc>
        <w:tc>
          <w:tcPr>
            <w:tcW w:w="1134"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737"/>
        </w:trPr>
        <w:tc>
          <w:tcPr>
            <w:tcW w:w="947"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3415"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center"/>
            <w:textDirection w:val="lrTb"/>
            <w:noWrap/>
          </w:tcPr>
          <w:p>
            <w:pPr>
              <w:ind w:firstLine="105"/>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517"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37"/>
        </w:trPr>
        <w:tc>
          <w:tcPr>
            <w:tcW w:w="947"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3415"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517"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37"/>
        </w:trPr>
        <w:tc>
          <w:tcPr>
            <w:tcW w:w="947"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3415"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418"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517"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投标人</w:t>
      </w:r>
      <w:r>
        <w:rPr>
          <w:rFonts w:hint="eastAsia" w:ascii="宋体" w:hAnsi="宋体" w:cs="宋体"/>
          <w:color w:val="auto"/>
          <w:sz w:val="24"/>
          <w:highlight w:val="none"/>
          <w:lang w:val="zh-CN"/>
        </w:rPr>
        <w:t xml:space="preserve">名称（</w:t>
      </w:r>
      <w:r>
        <w:rPr>
          <w:rFonts w:hint="eastAsia" w:ascii="宋体" w:hAnsi="宋体" w:cs="宋体"/>
          <w:color w:val="auto"/>
          <w:szCs w:val="21"/>
          <w:highlight w:val="none"/>
          <w:lang w:val="zh-CN"/>
        </w:rPr>
        <w:t xml:space="preserve">加盖CA电子公章</w:t>
      </w:r>
      <w:r>
        <w:rPr>
          <w:rFonts w:hint="eastAsia" w:ascii="宋体" w:hAnsi="宋体" w:cs="宋体"/>
          <w:color w:val="auto"/>
          <w:sz w:val="24"/>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    期：   年   月   日</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1、如果行、列数不够，请自行增加。</w:t>
      </w:r>
      <w:r/>
    </w:p>
    <w:p>
      <w:pPr>
        <w:spacing w:line="360" w:lineRule="auto"/>
        <w:rPr>
          <w:rFonts w:hint="eastAsia" w:ascii="宋体" w:hAnsi="宋体" w:cs="宋体"/>
          <w:bCs/>
          <w:color w:val="auto"/>
          <w:sz w:val="24"/>
          <w:highlight w:val="none"/>
        </w:rPr>
      </w:pPr>
      <w:r>
        <w:rPr>
          <w:rFonts w:hint="eastAsia" w:ascii="宋体" w:hAnsi="宋体" w:cs="宋体"/>
          <w:bCs/>
          <w:color w:val="auto"/>
          <w:szCs w:val="21"/>
          <w:highlight w:val="none"/>
        </w:rPr>
        <w:t xml:space="preserve">2、请供应商根据本格式要求如实填写业绩情况表，并附业绩合同复印件。</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sz w:val="24"/>
          <w:szCs w:val="32"/>
          <w:highlight w:val="none"/>
        </w:rPr>
        <w:outlineLvl w:val="1"/>
      </w:pPr>
      <w:r>
        <w:rPr>
          <w:rFonts w:hint="eastAsia" w:ascii="宋体" w:hAnsi="宋体" w:cs="宋体"/>
          <w:b/>
          <w:color w:val="auto"/>
          <w:sz w:val="24"/>
          <w:szCs w:val="32"/>
          <w:highlight w:val="none"/>
        </w:rPr>
        <w:t xml:space="preserve">十、投标需要的其他证明文件及材料（若有）</w:t>
      </w:r>
      <w:r/>
    </w:p>
    <w:p>
      <w:pPr>
        <w:jc w:val="left"/>
        <w:spacing w:line="360" w:lineRule="auto"/>
        <w:widowControl/>
        <w:rPr>
          <w:rFonts w:hint="eastAsia" w:ascii="宋体" w:hAnsi="宋体" w:cs="宋体"/>
          <w:bCs/>
          <w:color w:val="auto"/>
          <w:sz w:val="24"/>
          <w:highlight w:val="none"/>
        </w:rPr>
      </w:pPr>
      <w:r>
        <w:rPr>
          <w:rFonts w:hint="eastAsia" w:ascii="宋体" w:hAnsi="宋体" w:cs="宋体"/>
          <w:b/>
          <w:color w:val="auto"/>
          <w:highlight w:val="none"/>
        </w:rPr>
        <w:br w:type="page" w:clear="all"/>
      </w:r>
      <w:r/>
    </w:p>
    <w:p>
      <w:pPr>
        <w:spacing w:line="360" w:lineRule="auto"/>
        <w:rPr>
          <w:rFonts w:hint="eastAsia" w:ascii="宋体" w:hAnsi="宋体" w:cs="宋体"/>
          <w:b/>
          <w:color w:val="auto"/>
          <w:highlight w:val="none"/>
        </w:rPr>
        <w:sectPr>
          <w:footnotePr/>
          <w:endnotePr>
            <w:numFmt w:val="decimal"/>
          </w:endnotePr>
          <w:type w:val="nextPage"/>
          <w:pgSz w:w="11906" w:h="16838" w:orient="portrait"/>
          <w:pgMar w:top="850" w:right="850" w:bottom="850" w:left="1417" w:header="340" w:footer="567" w:gutter="0"/>
          <w:cols w:num="1" w:sep="0" w:space="1701" w:equalWidth="1"/>
          <w:docGrid w:linePitch="360"/>
        </w:sectPr>
      </w:pPr>
      <w:r>
        <w:rPr>
          <w:rFonts w:hint="eastAsia" w:ascii="宋体" w:hAnsi="宋体" w:cs="宋体"/>
          <w:b/>
          <w:color w:val="auto"/>
          <w:highlight w:val="none"/>
        </w:rPr>
      </w:r>
      <w:r/>
    </w:p>
    <w:p>
      <w:pPr>
        <w:spacing w:line="360" w:lineRule="auto"/>
        <w:rPr>
          <w:rFonts w:hint="eastAsia" w:ascii="宋体" w:hAnsi="宋体" w:cs="宋体"/>
          <w:b/>
          <w:color w:val="auto"/>
          <w:sz w:val="24"/>
          <w:szCs w:val="32"/>
          <w:highlight w:val="none"/>
        </w:rPr>
        <w:outlineLvl w:val="1"/>
      </w:pPr>
      <w:r>
        <w:rPr>
          <w:rFonts w:hint="eastAsia" w:ascii="宋体" w:hAnsi="宋体" w:cs="宋体"/>
          <w:b/>
          <w:color w:val="auto"/>
          <w:sz w:val="24"/>
          <w:szCs w:val="32"/>
          <w:highlight w:val="none"/>
        </w:rPr>
        <w:t xml:space="preserve">附件一、中小企业声明函格式</w:t>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中小企业声明函（工程、服务）</w:t>
      </w:r>
      <w:r/>
    </w:p>
    <w:p>
      <w:pPr>
        <w:ind w:firstLine="42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1、（标的名称），属于</w:t>
      </w:r>
      <w:r>
        <w:rPr>
          <w:rFonts w:hint="eastAsia" w:ascii="宋体" w:hAnsi="宋体" w:cs="宋体"/>
          <w:color w:val="auto"/>
          <w:sz w:val="24"/>
          <w:szCs w:val="32"/>
          <w:highlight w:val="none"/>
          <w:u w:val="single"/>
        </w:rPr>
        <w:t xml:space="preserve"> 其他未列明行业 </w:t>
      </w:r>
      <w:r>
        <w:rPr>
          <w:rFonts w:hint="eastAsia" w:ascii="宋体" w:hAnsi="宋体" w:cs="宋体"/>
          <w:color w:val="auto"/>
          <w:sz w:val="24"/>
          <w:szCs w:val="32"/>
          <w:highlight w:val="none"/>
        </w:rPr>
        <w:t xml:space="preserve">（采购文件中明确的所属行业）；承建（承接）企业为（企业名称），从业人员</w:t>
      </w:r>
      <w:r>
        <w:rPr>
          <w:rFonts w:hint="eastAsia" w:ascii="宋体" w:hAnsi="宋体" w:cs="宋体"/>
          <w:color w:val="auto"/>
          <w:sz w:val="24"/>
          <w:szCs w:val="32"/>
          <w:highlight w:val="none"/>
          <w:u w:val="single"/>
        </w:rPr>
        <w:tab/>
      </w:r>
      <w:r>
        <w:rPr>
          <w:rFonts w:hint="eastAsia" w:ascii="宋体" w:hAnsi="宋体" w:cs="宋体"/>
          <w:color w:val="auto"/>
          <w:sz w:val="24"/>
          <w:szCs w:val="32"/>
          <w:highlight w:val="none"/>
        </w:rPr>
        <w:t xml:space="preserve">人，营业收入为</w:t>
      </w:r>
      <w:r>
        <w:rPr>
          <w:rFonts w:hint="eastAsia" w:ascii="宋体" w:hAnsi="宋体" w:cs="宋体"/>
          <w:color w:val="auto"/>
          <w:sz w:val="24"/>
          <w:szCs w:val="32"/>
          <w:highlight w:val="none"/>
          <w:u w:val="single"/>
        </w:rPr>
        <w:tab/>
      </w:r>
      <w:r>
        <w:rPr>
          <w:rFonts w:hint="eastAsia" w:ascii="宋体" w:hAnsi="宋体" w:cs="宋体"/>
          <w:color w:val="auto"/>
          <w:sz w:val="24"/>
          <w:szCs w:val="32"/>
          <w:highlight w:val="none"/>
        </w:rPr>
        <w:t xml:space="preserve">万元，资产总额为万元，属于（中型企业、小型企业、微型企业）；</w:t>
      </w:r>
      <w:r/>
    </w:p>
    <w:p>
      <w:pPr>
        <w:ind w:firstLine="42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2、（标的名称），属于</w:t>
      </w:r>
      <w:r>
        <w:rPr>
          <w:rFonts w:hint="eastAsia" w:ascii="宋体" w:hAnsi="宋体" w:cs="宋体"/>
          <w:color w:val="auto"/>
          <w:sz w:val="24"/>
          <w:szCs w:val="32"/>
          <w:highlight w:val="none"/>
          <w:u w:val="single"/>
        </w:rPr>
        <w:t xml:space="preserve"> 其他未列明行业 </w:t>
      </w:r>
      <w:r>
        <w:rPr>
          <w:rFonts w:hint="eastAsia" w:ascii="宋体" w:hAnsi="宋体" w:cs="宋体"/>
          <w:color w:val="auto"/>
          <w:sz w:val="24"/>
          <w:szCs w:val="32"/>
          <w:highlight w:val="none"/>
        </w:rPr>
        <w:t xml:space="preserve">（采购文件中明确的所属行业；承建（承接）企业为（企业名称），从业人员</w:t>
      </w:r>
      <w:r>
        <w:rPr>
          <w:rFonts w:hint="eastAsia" w:ascii="宋体" w:hAnsi="宋体" w:cs="宋体"/>
          <w:color w:val="auto"/>
          <w:sz w:val="24"/>
          <w:szCs w:val="32"/>
          <w:highlight w:val="none"/>
          <w:u w:val="single"/>
        </w:rPr>
        <w:tab/>
      </w:r>
      <w:r>
        <w:rPr>
          <w:rFonts w:hint="eastAsia" w:ascii="宋体" w:hAnsi="宋体" w:cs="宋体"/>
          <w:color w:val="auto"/>
          <w:sz w:val="24"/>
          <w:szCs w:val="32"/>
          <w:highlight w:val="none"/>
        </w:rPr>
        <w:t xml:space="preserve">人，营业收入为 </w:t>
      </w:r>
      <w:r>
        <w:rPr>
          <w:rFonts w:hint="eastAsia" w:ascii="宋体" w:hAnsi="宋体" w:cs="宋体"/>
          <w:color w:val="auto"/>
          <w:sz w:val="24"/>
          <w:szCs w:val="32"/>
          <w:highlight w:val="none"/>
          <w:u w:val="single"/>
        </w:rPr>
        <w:tab/>
      </w:r>
      <w:r>
        <w:rPr>
          <w:rFonts w:hint="eastAsia" w:ascii="宋体" w:hAnsi="宋体" w:cs="宋体"/>
          <w:color w:val="auto"/>
          <w:sz w:val="24"/>
          <w:szCs w:val="32"/>
          <w:highlight w:val="none"/>
        </w:rPr>
        <w:t xml:space="preserve">万元，资产总额为</w:t>
      </w:r>
      <w:r>
        <w:rPr>
          <w:rFonts w:hint="eastAsia" w:ascii="宋体" w:hAnsi="宋体" w:cs="宋体"/>
          <w:color w:val="auto"/>
          <w:sz w:val="24"/>
          <w:szCs w:val="32"/>
          <w:highlight w:val="none"/>
          <w:u w:val="single"/>
        </w:rPr>
        <w:tab/>
      </w:r>
      <w:r>
        <w:rPr>
          <w:rFonts w:hint="eastAsia" w:ascii="宋体" w:hAnsi="宋体" w:cs="宋体"/>
          <w:color w:val="auto"/>
          <w:sz w:val="24"/>
          <w:szCs w:val="32"/>
          <w:highlight w:val="none"/>
        </w:rPr>
        <w:t xml:space="preserve">万元，属于（中型企业、小型企业、微型企业）；</w:t>
      </w:r>
      <w:r/>
    </w:p>
    <w:p>
      <w:pPr>
        <w:ind w:firstLine="42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w:t>
      </w:r>
      <w:r/>
    </w:p>
    <w:p>
      <w:pPr>
        <w:ind w:firstLine="42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本企业对上述声明内容的真实性负责。如有虚假，将依法承担相应责任。</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r>
      <w:r/>
    </w:p>
    <w:p>
      <w:pPr>
        <w:ind w:firstLine="462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企业名称（</w:t>
      </w:r>
      <w:r>
        <w:rPr>
          <w:rFonts w:hint="eastAsia" w:ascii="宋体" w:hAnsi="宋体" w:cs="宋体"/>
          <w:color w:val="auto"/>
          <w:sz w:val="24"/>
          <w:szCs w:val="32"/>
          <w:highlight w:val="none"/>
          <w:lang w:val="zh-CN"/>
        </w:rPr>
        <w:t xml:space="preserve">加盖CA电子公章</w:t>
      </w:r>
      <w:r>
        <w:rPr>
          <w:rFonts w:hint="eastAsia" w:ascii="宋体" w:hAnsi="宋体" w:cs="宋体"/>
          <w:color w:val="auto"/>
          <w:sz w:val="24"/>
          <w:szCs w:val="32"/>
          <w:highlight w:val="none"/>
        </w:rPr>
        <w:t xml:space="preserve">）：</w:t>
      </w:r>
      <w:r/>
    </w:p>
    <w:p>
      <w:pPr>
        <w:ind w:firstLine="462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日　　　　　期：          年     月    日</w:t>
      </w:r>
      <w:r/>
    </w:p>
    <w:p>
      <w:pPr>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hint="eastAsia" w:ascii="宋体" w:hAnsi="宋体" w:cs="宋体"/>
          <w:color w:val="auto"/>
          <w:highlight w:val="none"/>
        </w:rPr>
      </w:pPr>
      <w:r>
        <w:rPr>
          <w:rFonts w:hint="eastAsia" w:ascii="宋体" w:hAnsi="宋体" w:cs="宋体"/>
          <w:b/>
          <w:bCs/>
          <w:color w:val="auto"/>
          <w:highlight w:val="none"/>
        </w:rPr>
        <w:t xml:space="preserve">注2：</w:t>
      </w:r>
      <w:r>
        <w:rPr>
          <w:rFonts w:hint="eastAsia" w:ascii="宋体" w:hAnsi="宋体" w:cs="宋体"/>
          <w:color w:val="auto"/>
          <w:highlight w:val="none"/>
        </w:rPr>
        <w:t xml:space="preserve">从业人员、营业收入、资产总额填报上一年度数据，无上一年度数据的新成立企业可不填报。</w:t>
      </w:r>
      <w:r/>
    </w:p>
    <w:p>
      <w:pPr>
        <w:spacing w:line="360" w:lineRule="auto"/>
        <w:widowControl/>
        <w:rPr>
          <w:rFonts w:hint="eastAsia" w:ascii="宋体" w:hAnsi="宋体" w:cs="宋体"/>
          <w:color w:val="auto"/>
          <w:highlight w:val="none"/>
        </w:rPr>
      </w:pPr>
      <w:r>
        <w:rPr>
          <w:rFonts w:hint="eastAsia" w:ascii="宋体" w:hAnsi="宋体" w:cs="宋体"/>
          <w:b/>
          <w:bCs/>
          <w:color w:val="auto"/>
          <w:highlight w:val="none"/>
        </w:rPr>
        <w:t xml:space="preserve">注3：</w:t>
      </w:r>
      <w:r>
        <w:rPr>
          <w:rFonts w:hint="eastAsia" w:ascii="宋体" w:hAnsi="宋体" w:cs="宋体"/>
          <w:color w:val="auto"/>
          <w:highlight w:val="none"/>
        </w:rPr>
        <w:t xml:space="preserve">供应商如不提供此声明函，价格将不做相应扣除。</w:t>
      </w:r>
      <w:r/>
    </w:p>
    <w:p>
      <w:pPr>
        <w:spacing w:line="360" w:lineRule="auto"/>
        <w:widowControl/>
        <w:rPr>
          <w:rFonts w:cs="宋体"/>
          <w:color w:val="auto"/>
          <w:sz w:val="22"/>
          <w:szCs w:val="21"/>
          <w:highlight w:val="none"/>
        </w:rPr>
      </w:pPr>
      <w:r>
        <w:rPr>
          <w:rFonts w:hint="eastAsia" w:ascii="宋体" w:hAnsi="宋体" w:cs="宋体"/>
          <w:b/>
          <w:color w:val="auto"/>
          <w:highlight w:val="none"/>
        </w:rPr>
        <w:t xml:space="preserve">注4：</w:t>
      </w:r>
      <w:r>
        <w:rPr>
          <w:rFonts w:hint="eastAsia" w:cs="宋体"/>
          <w:color w:val="auto"/>
          <w:sz w:val="22"/>
          <w:szCs w:val="21"/>
          <w:highlight w:val="none"/>
        </w:rPr>
        <w:t xml:space="preserve">依据《关于印发中小企业划型标准规定的通知》（工信部联企业〔2011〕300号 ）：</w:t>
      </w:r>
      <w:r/>
    </w:p>
    <w:p>
      <w:pPr>
        <w:spacing w:line="360" w:lineRule="auto"/>
        <w:widowControl/>
        <w:rPr>
          <w:rFonts w:hint="eastAsia" w:ascii="宋体" w:hAnsi="宋体" w:cs="宋体"/>
          <w:color w:val="auto"/>
          <w:highlight w:val="none"/>
        </w:rPr>
      </w:pPr>
      <w:r>
        <w:rPr>
          <w:rFonts w:cs="宋体"/>
          <w:b/>
          <w:bCs/>
          <w:color w:val="auto"/>
          <w:sz w:val="22"/>
          <w:szCs w:val="21"/>
          <w:highlight w:val="none"/>
        </w:rPr>
        <w:t xml:space="preserve">（十六）其他未列明行业。</w:t>
      </w:r>
      <w:r>
        <w:rPr>
          <w:rFonts w:cs="宋体"/>
          <w:color w:val="auto"/>
          <w:sz w:val="22"/>
          <w:szCs w:val="21"/>
          <w:highlight w:val="none"/>
        </w:rPr>
        <w:t xml:space="preserve">从业人员300人以下的为中小微型企业。其中，从业人员100人及以上的为中型企业；从业人员10人及以上的为小型企业；从业人员10人以下的为微型企业。</w:t>
      </w:r>
      <w:r/>
    </w:p>
    <w:p>
      <w:pPr>
        <w:spacing w:line="240" w:lineRule="atLeast"/>
        <w:widowControl/>
        <w:rPr>
          <w:rFonts w:hint="eastAsia" w:ascii="宋体" w:hAnsi="宋体" w:cs="宋体"/>
          <w:b/>
          <w:color w:val="auto"/>
          <w:highlight w:val="none"/>
        </w:rPr>
        <w:sectPr>
          <w:footnotePr/>
          <w:endnotePr>
            <w:numFmt w:val="decimal"/>
          </w:endnotePr>
          <w:type w:val="nextPage"/>
          <w:pgSz w:w="11906" w:h="16838" w:orient="portrait"/>
          <w:pgMar w:top="850" w:right="850" w:bottom="850" w:left="1417" w:header="340" w:footer="567" w:gutter="0"/>
          <w:cols w:num="1" w:sep="0" w:space="1701" w:equalWidth="1"/>
          <w:docGrid w:linePitch="360"/>
        </w:sectPr>
      </w:pPr>
      <w:r>
        <w:rPr>
          <w:rFonts w:hint="eastAsia" w:ascii="宋体" w:hAnsi="宋体" w:cs="宋体"/>
          <w:b/>
          <w:color w:val="auto"/>
          <w:highlight w:val="none"/>
        </w:rPr>
      </w:r>
      <w:r/>
    </w:p>
    <w:p>
      <w:pPr>
        <w:spacing w:line="240" w:lineRule="atLeast"/>
        <w:widowControl/>
        <w:rPr>
          <w:rFonts w:hint="eastAsia" w:ascii="宋体" w:hAnsi="宋体" w:cs="宋体"/>
          <w:b/>
          <w:color w:val="auto"/>
          <w:sz w:val="24"/>
          <w:szCs w:val="32"/>
          <w:highlight w:val="none"/>
        </w:rPr>
        <w:outlineLvl w:val="1"/>
      </w:pPr>
      <w:r>
        <w:rPr>
          <w:rFonts w:hint="eastAsia" w:ascii="宋体" w:hAnsi="宋体" w:cs="宋体"/>
          <w:b/>
          <w:color w:val="auto"/>
          <w:sz w:val="24"/>
          <w:szCs w:val="32"/>
          <w:highlight w:val="none"/>
        </w:rPr>
        <w:t xml:space="preserve">附件二、无重大违法记录声明格式</w:t>
      </w:r>
      <w:r/>
    </w:p>
    <w:p>
      <w:pPr>
        <w:spacing w:line="240" w:lineRule="atLeast"/>
        <w:widowControl/>
        <w:rPr>
          <w:rFonts w:hint="eastAsia" w:ascii="宋体" w:hAnsi="宋体" w:cs="宋体"/>
          <w:b/>
          <w:color w:val="auto"/>
          <w:highlight w:val="none"/>
        </w:rPr>
      </w:pPr>
      <w:r>
        <w:rPr>
          <w:rFonts w:hint="eastAsia" w:ascii="宋体" w:hAnsi="宋体" w:cs="宋体"/>
          <w:b/>
          <w:color w:val="auto"/>
          <w:highlight w:val="none"/>
        </w:rPr>
      </w:r>
      <w:r/>
    </w:p>
    <w:p>
      <w:pPr>
        <w:jc w:val="center"/>
        <w:rPr>
          <w:rFonts w:hint="eastAsia" w:ascii="宋体" w:hAnsi="宋体" w:cs="宋体"/>
          <w:color w:val="auto"/>
          <w:highlight w:val="none"/>
        </w:rPr>
      </w:pPr>
      <w:r>
        <w:rPr>
          <w:rFonts w:hint="eastAsia" w:ascii="宋体" w:hAnsi="宋体" w:cs="宋体"/>
          <w:color w:val="auto"/>
          <w:sz w:val="36"/>
          <w:szCs w:val="36"/>
          <w:highlight w:val="none"/>
        </w:rPr>
        <w:t xml:space="preserve">无重大违法记录声明</w:t>
      </w:r>
      <w:r/>
    </w:p>
    <w:p>
      <w:pPr>
        <w:spacing w:line="48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南京市工业和信息化局：</w:t>
      </w:r>
      <w:r/>
    </w:p>
    <w:p>
      <w:pPr>
        <w:ind w:firstLine="420"/>
        <w:spacing w:line="48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我单位</w:t>
      </w:r>
      <w:r>
        <w:rPr>
          <w:rFonts w:hint="eastAsia" w:ascii="宋体" w:hAnsi="宋体" w:cs="宋体"/>
          <w:color w:val="auto"/>
          <w:sz w:val="24"/>
          <w:szCs w:val="32"/>
          <w:highlight w:val="none"/>
          <w:u w:val="single"/>
        </w:rPr>
        <w:t xml:space="preserve">（供应商名称）</w:t>
      </w:r>
      <w:r>
        <w:rPr>
          <w:rFonts w:hint="eastAsia" w:ascii="宋体" w:hAnsi="宋体" w:cs="宋体"/>
          <w:color w:val="auto"/>
          <w:sz w:val="24"/>
          <w:szCs w:val="32"/>
          <w:highlight w:val="none"/>
        </w:rPr>
        <w:t xml:space="preserve">郑重声明：</w:t>
      </w:r>
      <w:r/>
    </w:p>
    <w:p>
      <w:pPr>
        <w:ind w:firstLine="420"/>
        <w:spacing w:line="48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参加政府采购活动前3年内在经营活动中</w:t>
      </w:r>
      <w:r>
        <w:rPr>
          <w:rFonts w:hint="eastAsia" w:ascii="宋体" w:hAnsi="宋体" w:cs="宋体"/>
          <w:color w:val="auto"/>
          <w:sz w:val="24"/>
          <w:szCs w:val="32"/>
          <w:highlight w:val="none"/>
          <w:lang w:val="en-US" w:eastAsia="zh-CN"/>
        </w:rPr>
        <w:t xml:space="preserve"> </w:t>
      </w:r>
      <w:r>
        <w:rPr>
          <w:rFonts w:hint="eastAsia" w:ascii="宋体" w:hAnsi="宋体" w:cs="宋体"/>
          <w:color w:val="auto"/>
          <w:sz w:val="24"/>
          <w:szCs w:val="32"/>
          <w:highlight w:val="none"/>
          <w:u w:val="single"/>
          <w:lang w:val="en-US" w:eastAsia="zh-CN"/>
        </w:rPr>
        <w:t xml:space="preserve">    </w:t>
      </w:r>
      <w:r>
        <w:rPr>
          <w:rFonts w:hint="eastAsia" w:ascii="宋体" w:hAnsi="宋体" w:cs="宋体"/>
          <w:color w:val="auto"/>
          <w:sz w:val="24"/>
          <w:szCs w:val="32"/>
          <w:highlight w:val="none"/>
        </w:rPr>
        <w:t xml:space="preserve">（在下划线上如实填写：有或没有）重大违法记录。</w:t>
      </w:r>
      <w:r/>
    </w:p>
    <w:p>
      <w:pPr>
        <w:ind w:firstLine="420"/>
        <w:spacing w:line="48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20"/>
        <w:jc w:val="center"/>
        <w:spacing w:line="480" w:lineRule="auto"/>
        <w:rPr>
          <w:rFonts w:hint="eastAsia"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                   </w:t>
      </w:r>
      <w:r>
        <w:rPr>
          <w:rFonts w:hint="eastAsia" w:ascii="宋体" w:hAnsi="宋体" w:cs="宋体"/>
          <w:color w:val="auto"/>
          <w:sz w:val="24"/>
          <w:szCs w:val="32"/>
          <w:highlight w:val="none"/>
        </w:rPr>
        <w:t xml:space="preserve">声明人（</w:t>
      </w:r>
      <w:r>
        <w:rPr>
          <w:rFonts w:hint="eastAsia" w:ascii="宋体" w:hAnsi="宋体" w:cs="宋体"/>
          <w:color w:val="auto"/>
          <w:sz w:val="24"/>
          <w:szCs w:val="32"/>
          <w:highlight w:val="none"/>
          <w:lang w:val="zh-CN"/>
        </w:rPr>
        <w:t xml:space="preserve">加盖CA电子公章</w:t>
      </w:r>
      <w:r>
        <w:rPr>
          <w:rFonts w:hint="eastAsia" w:ascii="宋体" w:hAnsi="宋体" w:cs="宋体"/>
          <w:color w:val="auto"/>
          <w:sz w:val="24"/>
          <w:szCs w:val="32"/>
          <w:highlight w:val="none"/>
        </w:rPr>
        <w:t xml:space="preserve">）：</w:t>
      </w:r>
      <w:r/>
    </w:p>
    <w:p>
      <w:pPr>
        <w:ind w:firstLine="4620"/>
        <w:spacing w:line="480" w:lineRule="auto"/>
        <w:rPr>
          <w:rFonts w:hint="eastAsia" w:ascii="宋体" w:hAnsi="宋体" w:cs="宋体"/>
          <w:b/>
          <w:color w:val="auto"/>
          <w:sz w:val="24"/>
          <w:szCs w:val="32"/>
          <w:highlight w:val="none"/>
        </w:rPr>
      </w:pPr>
      <w:r>
        <w:rPr>
          <w:rFonts w:hint="eastAsia" w:ascii="宋体" w:hAnsi="宋体" w:cs="宋体"/>
          <w:color w:val="auto"/>
          <w:sz w:val="24"/>
          <w:szCs w:val="32"/>
          <w:highlight w:val="none"/>
        </w:rPr>
        <w:t xml:space="preserve">日　　　　期：          年     月    日</w:t>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sz w:val="24"/>
          <w:szCs w:val="32"/>
          <w:highlight w:val="none"/>
        </w:rPr>
        <w:outlineLvl w:val="1"/>
      </w:pPr>
      <w:r>
        <w:rPr>
          <w:rFonts w:hint="eastAsia" w:ascii="宋体" w:hAnsi="宋体" w:cs="宋体"/>
          <w:b/>
          <w:color w:val="auto"/>
          <w:sz w:val="24"/>
          <w:szCs w:val="32"/>
          <w:highlight w:val="none"/>
        </w:rPr>
        <w:t xml:space="preserve">附件三、具备履行合同所必需的设备和专业技术能力的声明格式及证明材料</w:t>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具备履行合同所必需的设备和专业技术能力的声明</w:t>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南京市工业和信息化局：</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郑重声明：我公司具备履行本项采购合同所必需的设备和专业技术能力，为履行本项采购合同我单位具备如下主要设备和主要专业技术能力：</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主要设备有：</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主要专业技术能力有：</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                                     声明人：（</w:t>
      </w:r>
      <w:r>
        <w:rPr>
          <w:rFonts w:hint="eastAsia" w:ascii="宋体" w:hAnsi="宋体" w:cs="宋体"/>
          <w:color w:val="auto"/>
          <w:sz w:val="24"/>
          <w:highlight w:val="none"/>
          <w:lang w:val="zh-CN"/>
        </w:rPr>
        <w:t xml:space="preserve">加盖CA电子公章</w:t>
      </w:r>
      <w:r>
        <w:rPr>
          <w:rFonts w:hint="eastAsia" w:ascii="宋体" w:hAnsi="宋体" w:cs="宋体"/>
          <w:color w:val="auto"/>
          <w:sz w:val="24"/>
          <w:highlight w:val="none"/>
        </w:rPr>
        <w:t xml:space="preserve">）</w:t>
      </w:r>
      <w:r/>
    </w:p>
    <w:p>
      <w:pPr>
        <w:ind w:firstLine="441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日期：年月日</w:t>
      </w:r>
      <w:r/>
    </w:p>
    <w:p>
      <w:pPr>
        <w:jc w:val="left"/>
        <w:spacing w:line="48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其他证明材料及文件：（如果供应商认为需要提供的话）</w:t>
      </w:r>
      <w:r/>
    </w:p>
    <w:p>
      <w:pPr>
        <w:pStyle w:val="902"/>
        <w:ind w:left="0"/>
        <w:spacing w:before="20" w:line="480" w:lineRule="auto"/>
        <w:rPr>
          <w:rFonts w:hint="eastAsia"/>
          <w:color w:val="auto"/>
          <w:highlight w:val="none"/>
        </w:rPr>
        <w:outlineLvl w:val="9"/>
      </w:pPr>
      <w:r>
        <w:rPr>
          <w:rFonts w:hint="eastAsia"/>
          <w:color w:val="auto"/>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902"/>
        <w:ind w:left="0"/>
        <w:spacing w:line="360" w:lineRule="auto"/>
        <w:rPr>
          <w:rFonts w:hint="eastAsia"/>
          <w:b w:val="0"/>
          <w:color w:val="auto"/>
          <w:sz w:val="32"/>
          <w:szCs w:val="32"/>
          <w:highlight w:val="none"/>
        </w:rPr>
        <w:outlineLvl w:val="1"/>
      </w:pPr>
      <w:r>
        <w:rPr>
          <w:rFonts w:hint="eastAsia"/>
          <w:color w:val="auto"/>
          <w:highlight w:val="none"/>
        </w:rPr>
        <w:t xml:space="preserve">附件四、残疾人福利性单位声明函格式</w:t>
      </w:r>
      <w:r/>
    </w:p>
    <w:p>
      <w:pPr>
        <w:pStyle w:val="902"/>
        <w:ind w:left="0"/>
        <w:jc w:val="center"/>
        <w:spacing w:line="360" w:lineRule="auto"/>
        <w:rPr>
          <w:rFonts w:hint="eastAsia"/>
          <w:b w:val="0"/>
          <w:bCs w:val="0"/>
          <w:color w:val="auto"/>
          <w:sz w:val="36"/>
          <w:szCs w:val="36"/>
          <w:highlight w:val="none"/>
          <w:lang w:val="en-US"/>
        </w:rPr>
        <w:outlineLvl w:val="9"/>
      </w:pPr>
      <w:r>
        <w:rPr>
          <w:rFonts w:hint="eastAsia"/>
          <w:b w:val="0"/>
          <w:bCs w:val="0"/>
          <w:color w:val="auto"/>
          <w:sz w:val="36"/>
          <w:szCs w:val="36"/>
          <w:highlight w:val="none"/>
          <w:lang w:val="en-US"/>
        </w:rPr>
        <w:t xml:space="preserve">残疾人福利性单位声明函</w:t>
      </w:r>
      <w:r/>
    </w:p>
    <w:p>
      <w:pPr>
        <w:pStyle w:val="903"/>
        <w:ind w:firstLine="420"/>
        <w:jc w:val="left"/>
        <w:spacing w:line="480" w:lineRule="auto"/>
        <w:tabs>
          <w:tab w:val="left" w:pos="3711" w:leader="none"/>
          <w:tab w:val="left" w:pos="51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903"/>
        <w:ind w:firstLine="420"/>
        <w:jc w:val="left"/>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本单位对上述声明的真实性负责。如有虚假，将依法承担相应责任。</w:t>
      </w:r>
      <w:r/>
    </w:p>
    <w:p>
      <w:pPr>
        <w:pStyle w:val="903"/>
        <w:ind w:left="6300"/>
        <w:jc w:val="left"/>
        <w:spacing w:line="480" w:lineRule="auto"/>
        <w:tabs>
          <w:tab w:val="left" w:pos="7098"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单位名称（盖章）：</w:t>
      </w:r>
      <w:r/>
    </w:p>
    <w:p>
      <w:pPr>
        <w:pStyle w:val="903"/>
        <w:ind w:left="6300"/>
        <w:jc w:val="left"/>
        <w:spacing w:line="480" w:lineRule="auto"/>
        <w:tabs>
          <w:tab w:val="left" w:pos="7098"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w:t>
      </w:r>
      <w:r/>
    </w:p>
    <w:p>
      <w:pPr>
        <w:rPr>
          <w:color w:val="auto"/>
          <w:highlight w:val="none"/>
        </w:rPr>
      </w:pPr>
      <w:r>
        <w:rPr>
          <w:color w:val="auto"/>
          <w:highlight w:val="none"/>
        </w:rPr>
      </w:r>
      <w:r/>
    </w:p>
    <w:p>
      <w:pPr>
        <w:pStyle w:val="902"/>
        <w:ind w:left="0"/>
        <w:spacing w:line="360" w:lineRule="auto"/>
        <w:rPr>
          <w:rFonts w:hint="eastAsia"/>
          <w:color w:val="auto"/>
          <w:highlight w:val="none"/>
        </w:rPr>
        <w:outlineLvl w:val="1"/>
      </w:pPr>
      <w:r>
        <w:rPr>
          <w:rFonts w:hint="eastAsia"/>
          <w:color w:val="auto"/>
          <w:highlight w:val="none"/>
        </w:rPr>
        <w:t xml:space="preserve">附件五、属于监狱企业的证明文件</w:t>
      </w:r>
      <w:r/>
    </w:p>
    <w:p>
      <w:pPr>
        <w:ind w:firstLine="420"/>
        <w:jc w:val="lef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br w:type="page" w:clear="all"/>
      </w:r>
      <w:r/>
    </w:p>
    <w:p>
      <w:pPr>
        <w:pStyle w:val="902"/>
        <w:ind w:left="0"/>
        <w:spacing w:line="360" w:lineRule="auto"/>
        <w:rPr>
          <w:rFonts w:hint="eastAsia"/>
          <w:color w:val="auto"/>
          <w:highlight w:val="none"/>
          <w:lang w:val="en-US"/>
        </w:rPr>
        <w:outlineLvl w:val="1"/>
      </w:pPr>
      <w:r>
        <w:rPr>
          <w:rFonts w:hint="eastAsia"/>
          <w:color w:val="auto"/>
          <w:highlight w:val="none"/>
          <w:lang w:val="en-US"/>
        </w:rPr>
        <w:t xml:space="preserve">附件六、</w:t>
      </w:r>
      <w:r>
        <w:rPr>
          <w:rFonts w:hint="eastAsia"/>
          <w:color w:val="auto"/>
          <w:highlight w:val="none"/>
        </w:rPr>
        <w:t xml:space="preserve">保密、廉洁</w:t>
      </w:r>
      <w:r>
        <w:rPr>
          <w:rFonts w:hint="eastAsia"/>
          <w:color w:val="auto"/>
          <w:highlight w:val="none"/>
          <w:lang w:val="en-US"/>
        </w:rPr>
        <w:t xml:space="preserve">承诺书</w:t>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保密、廉洁承诺书</w:t>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南京市工业和信息化局：</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承诺如下：</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1.一旦中标将建立严格的保密制度，对服务过程中掌握的采购人及试点企业的各类文档、资料、数据及相关信息承担保密责任和法律责任，并承诺未经书面许可，中标人及其工作人员不得将相关材料以任何形式泄露给任何个人、单位、团体、公司及其他组织。</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2.一旦中标将建立健全内部廉洁管理制度，严格遵守国家有关廉洁从业、反商业贿赂及相关法律法规规定，中标人及其工作人员不得以任何形式、通过任何渠道，从试点企业及其关联方、工作人员处谋取或试图谋取不正当利益，包括但不限于：</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（一）索取、收受或变相收受现金、有价证券、支付凭证、礼品、礼金、回扣、佣金、购物卡、消费卡及其他财物；</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（二）接受可能影响公正履约的宴请、旅游、娱乐、健身等活动安排；</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（三）要求或接受试点企业为其报销应由中标人自行承担的费用；</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（四）利用服务过程中知悉的信息、资源或职务便利，为自身或第三方谋取不当利益；</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（五）与试点企业及其工作人员串通，损害招标人或其他相关方合法权益；</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（六）其他违反廉洁从业规定或可能构成利益输送的行为。</w:t>
      </w:r>
      <w:r/>
    </w:p>
    <w:p>
      <w:pPr>
        <w:ind w:firstLine="492"/>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3.如我单位违反上述保密、廉洁义务，招标人有权视情节轻重采取以下措施：要求限期整改、扣减或拒付合同款项、单方解除合同、追究违约责任、取消其中标资格或纳入不良行为记录；涉嫌违法犯罪的，依法移送有关机关处理。因中标人违反保密、廉洁义务给招标人造成损失的，中标人应承担全部赔偿责任。</w:t>
      </w:r>
      <w:r/>
    </w:p>
    <w:p>
      <w:pPr>
        <w:ind w:firstLine="492"/>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投标人名称： （</w:t>
      </w:r>
      <w:r>
        <w:rPr>
          <w:rFonts w:hint="eastAsia" w:ascii="宋体" w:hAnsi="宋体" w:cs="宋体"/>
          <w:color w:val="auto"/>
          <w:sz w:val="24"/>
          <w:highlight w:val="none"/>
          <w:lang w:val="zh-CN"/>
        </w:rPr>
        <w:t xml:space="preserve">加盖CA电子公章</w:t>
      </w:r>
      <w:r>
        <w:rPr>
          <w:rFonts w:hint="eastAsia" w:ascii="宋体" w:hAnsi="宋体" w:cs="宋体"/>
          <w:color w:val="auto"/>
          <w:sz w:val="24"/>
          <w:highlight w:val="none"/>
        </w:rPr>
        <w:t xml:space="preserve">）</w:t>
      </w:r>
      <w:r/>
    </w:p>
    <w:p>
      <w:pPr>
        <w:ind w:firstLine="492"/>
        <w:jc w:val="right"/>
        <w:spacing w:line="48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日    期：   年   月   日</w:t>
      </w:r>
      <w:r/>
    </w:p>
    <w:p>
      <w:pPr>
        <w:rPr>
          <w:color w:val="auto"/>
          <w:highlight w:val="none"/>
        </w:rPr>
      </w:pPr>
      <w:r>
        <w:rPr>
          <w:color w:val="auto"/>
          <w:highlight w:val="none"/>
        </w:rPr>
      </w:r>
      <w:r/>
    </w:p>
    <w:sectPr>
      <w:headerReference w:type="default" r:id="rId9"/>
      <w:footnotePr/>
      <w:endnotePr/>
      <w:type w:val="nextPage"/>
      <w:pgSz w:w="11906" w:h="16838" w:orient="portrait"/>
      <w:pgMar w:top="850" w:right="850" w:bottom="850" w:left="1417" w:header="851" w:footer="454"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83" w:lineRule="auto"/>
      <w:rPr>
        <w:sz w:val="6"/>
        <w:szCs w:val="6"/>
      </w:rPr>
    </w:pPr>
    <w:r>
      <w:rPr>
        <w:sz w:val="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7"/>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p>
  <w:p>
    <w:pPr>
      <w:pStyle w:val="889"/>
      <w:ind w:left="7621"/>
      <w:spacing w:line="183" w:lineRule="auto"/>
      <w:rPr>
        <w:sz w:val="6"/>
        <w:szCs w:val="6"/>
      </w:rPr>
    </w:pPr>
    <w:r>
      <w:rPr>
        <w:sz w:val="6"/>
        <w:szCs w:val="6"/>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67"/>
    <w:next w:val="867"/>
    <w:link w:val="697"/>
    <w:uiPriority w:val="9"/>
    <w:qFormat/>
    <w:pPr>
      <w:keepLines/>
      <w:keepNext/>
      <w:spacing w:before="480" w:after="200"/>
      <w:outlineLvl w:val="0"/>
    </w:pPr>
    <w:rPr>
      <w:rFonts w:ascii="Arial" w:hAnsi="Arial" w:eastAsia="Arial" w:cs="Arial"/>
      <w:sz w:val="40"/>
      <w:szCs w:val="40"/>
    </w:rPr>
  </w:style>
  <w:style w:type="character" w:styleId="697">
    <w:name w:val="Heading 1 Char"/>
    <w:basedOn w:val="870"/>
    <w:link w:val="696"/>
    <w:uiPriority w:val="9"/>
    <w:rPr>
      <w:rFonts w:ascii="Arial" w:hAnsi="Arial" w:eastAsia="Arial" w:cs="Arial"/>
      <w:sz w:val="40"/>
      <w:szCs w:val="40"/>
    </w:rPr>
  </w:style>
  <w:style w:type="character" w:styleId="698">
    <w:name w:val="Heading 2 Char"/>
    <w:basedOn w:val="870"/>
    <w:link w:val="868"/>
    <w:uiPriority w:val="9"/>
    <w:rPr>
      <w:rFonts w:ascii="Arial" w:hAnsi="Arial" w:eastAsia="Arial" w:cs="Arial"/>
      <w:sz w:val="34"/>
    </w:rPr>
  </w:style>
  <w:style w:type="paragraph" w:styleId="699">
    <w:name w:val="Heading 3"/>
    <w:basedOn w:val="867"/>
    <w:next w:val="867"/>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basedOn w:val="870"/>
    <w:link w:val="699"/>
    <w:uiPriority w:val="9"/>
    <w:rPr>
      <w:rFonts w:ascii="Arial" w:hAnsi="Arial" w:eastAsia="Arial" w:cs="Arial"/>
      <w:sz w:val="30"/>
      <w:szCs w:val="30"/>
    </w:rPr>
  </w:style>
  <w:style w:type="character" w:styleId="701">
    <w:name w:val="Heading 4 Char"/>
    <w:basedOn w:val="870"/>
    <w:link w:val="869"/>
    <w:uiPriority w:val="9"/>
    <w:rPr>
      <w:rFonts w:ascii="Arial" w:hAnsi="Arial" w:eastAsia="Arial" w:cs="Arial"/>
      <w:b/>
      <w:bCs/>
      <w:sz w:val="26"/>
      <w:szCs w:val="26"/>
    </w:rPr>
  </w:style>
  <w:style w:type="paragraph" w:styleId="702">
    <w:name w:val="Heading 5"/>
    <w:basedOn w:val="867"/>
    <w:next w:val="867"/>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basedOn w:val="870"/>
    <w:link w:val="702"/>
    <w:uiPriority w:val="9"/>
    <w:rPr>
      <w:rFonts w:ascii="Arial" w:hAnsi="Arial" w:eastAsia="Arial" w:cs="Arial"/>
      <w:b/>
      <w:bCs/>
      <w:sz w:val="24"/>
      <w:szCs w:val="24"/>
    </w:rPr>
  </w:style>
  <w:style w:type="paragraph" w:styleId="704">
    <w:name w:val="Heading 6"/>
    <w:basedOn w:val="867"/>
    <w:next w:val="867"/>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basedOn w:val="870"/>
    <w:link w:val="704"/>
    <w:uiPriority w:val="9"/>
    <w:rPr>
      <w:rFonts w:ascii="Arial" w:hAnsi="Arial" w:eastAsia="Arial" w:cs="Arial"/>
      <w:b/>
      <w:bCs/>
      <w:sz w:val="22"/>
      <w:szCs w:val="22"/>
    </w:rPr>
  </w:style>
  <w:style w:type="paragraph" w:styleId="706">
    <w:name w:val="Heading 7"/>
    <w:basedOn w:val="867"/>
    <w:next w:val="867"/>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basedOn w:val="870"/>
    <w:link w:val="706"/>
    <w:uiPriority w:val="9"/>
    <w:rPr>
      <w:rFonts w:ascii="Arial" w:hAnsi="Arial" w:eastAsia="Arial" w:cs="Arial"/>
      <w:b/>
      <w:bCs/>
      <w:i/>
      <w:iCs/>
      <w:sz w:val="22"/>
      <w:szCs w:val="22"/>
    </w:rPr>
  </w:style>
  <w:style w:type="paragraph" w:styleId="708">
    <w:name w:val="Heading 8"/>
    <w:basedOn w:val="867"/>
    <w:next w:val="867"/>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basedOn w:val="870"/>
    <w:link w:val="708"/>
    <w:uiPriority w:val="9"/>
    <w:rPr>
      <w:rFonts w:ascii="Arial" w:hAnsi="Arial" w:eastAsia="Arial" w:cs="Arial"/>
      <w:i/>
      <w:iCs/>
      <w:sz w:val="22"/>
      <w:szCs w:val="22"/>
    </w:rPr>
  </w:style>
  <w:style w:type="paragraph" w:styleId="710">
    <w:name w:val="Heading 9"/>
    <w:basedOn w:val="867"/>
    <w:next w:val="867"/>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basedOn w:val="870"/>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67"/>
    <w:next w:val="867"/>
    <w:link w:val="714"/>
    <w:uiPriority w:val="10"/>
    <w:qFormat/>
    <w:pPr>
      <w:contextualSpacing/>
      <w:spacing w:before="300" w:after="200"/>
    </w:pPr>
    <w:rPr>
      <w:sz w:val="48"/>
      <w:szCs w:val="48"/>
    </w:rPr>
  </w:style>
  <w:style w:type="character" w:styleId="714">
    <w:name w:val="Title Char"/>
    <w:basedOn w:val="870"/>
    <w:link w:val="713"/>
    <w:uiPriority w:val="10"/>
    <w:rPr>
      <w:sz w:val="48"/>
      <w:szCs w:val="48"/>
    </w:rPr>
  </w:style>
  <w:style w:type="paragraph" w:styleId="715">
    <w:name w:val="Subtitle"/>
    <w:basedOn w:val="867"/>
    <w:next w:val="867"/>
    <w:link w:val="716"/>
    <w:uiPriority w:val="11"/>
    <w:qFormat/>
    <w:pPr>
      <w:spacing w:before="200" w:after="200"/>
    </w:pPr>
    <w:rPr>
      <w:sz w:val="24"/>
      <w:szCs w:val="24"/>
    </w:rPr>
  </w:style>
  <w:style w:type="character" w:styleId="716">
    <w:name w:val="Subtitle Char"/>
    <w:basedOn w:val="870"/>
    <w:link w:val="715"/>
    <w:uiPriority w:val="11"/>
    <w:rPr>
      <w:sz w:val="24"/>
      <w:szCs w:val="24"/>
    </w:rPr>
  </w:style>
  <w:style w:type="paragraph" w:styleId="717">
    <w:name w:val="Quote"/>
    <w:basedOn w:val="867"/>
    <w:next w:val="867"/>
    <w:link w:val="718"/>
    <w:uiPriority w:val="29"/>
    <w:qFormat/>
    <w:pPr>
      <w:ind w:left="720" w:right="720"/>
    </w:pPr>
    <w:rPr>
      <w:i/>
    </w:rPr>
  </w:style>
  <w:style w:type="character" w:styleId="718">
    <w:name w:val="Quote Char"/>
    <w:link w:val="717"/>
    <w:uiPriority w:val="29"/>
    <w:rPr>
      <w:i/>
    </w:rPr>
  </w:style>
  <w:style w:type="paragraph" w:styleId="719">
    <w:name w:val="Intense Quote"/>
    <w:basedOn w:val="867"/>
    <w:next w:val="867"/>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0"/>
    <w:link w:val="878"/>
    <w:uiPriority w:val="99"/>
  </w:style>
  <w:style w:type="character" w:styleId="722">
    <w:name w:val="Footer Char"/>
    <w:basedOn w:val="870"/>
    <w:link w:val="877"/>
    <w:uiPriority w:val="99"/>
  </w:style>
  <w:style w:type="paragraph" w:styleId="723">
    <w:name w:val="Caption"/>
    <w:basedOn w:val="867"/>
    <w:next w:val="867"/>
    <w:uiPriority w:val="35"/>
    <w:semiHidden/>
    <w:unhideWhenUsed/>
    <w:qFormat/>
    <w:pPr>
      <w:spacing w:line="276" w:lineRule="auto"/>
    </w:pPr>
    <w:rPr>
      <w:b/>
      <w:bCs/>
      <w:color w:val="4f81bd" w:themeColor="accent1"/>
      <w:sz w:val="18"/>
      <w:szCs w:val="18"/>
    </w:rPr>
  </w:style>
  <w:style w:type="character" w:styleId="724">
    <w:name w:val="Caption Char"/>
    <w:basedOn w:val="723"/>
    <w:link w:val="877"/>
    <w:uiPriority w:val="99"/>
  </w:style>
  <w:style w:type="table" w:styleId="725">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7"/>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70"/>
    <w:uiPriority w:val="99"/>
    <w:unhideWhenUsed/>
    <w:rPr>
      <w:vertAlign w:val="superscript"/>
    </w:rPr>
  </w:style>
  <w:style w:type="paragraph" w:styleId="854">
    <w:name w:val="endnote text"/>
    <w:basedOn w:val="867"/>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0"/>
    <w:uiPriority w:val="99"/>
    <w:semiHidden/>
    <w:unhideWhenUsed/>
    <w:rPr>
      <w:vertAlign w:val="superscript"/>
    </w:r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paragraph" w:styleId="868">
    <w:name w:val="Heading 2"/>
    <w:basedOn w:val="867"/>
    <w:next w:val="867"/>
    <w:uiPriority w:val="9"/>
    <w:unhideWhenUsed/>
    <w:qFormat/>
    <w:pPr>
      <w:keepLines/>
      <w:keepNext/>
      <w:spacing w:before="360" w:after="200"/>
      <w:outlineLvl w:val="1"/>
    </w:pPr>
    <w:rPr>
      <w:rFonts w:ascii="Arial" w:hAnsi="Arial" w:eastAsia="Arial" w:cs="Arial"/>
      <w:sz w:val="34"/>
    </w:rPr>
  </w:style>
  <w:style w:type="paragraph" w:styleId="869">
    <w:name w:val="Heading 4"/>
    <w:basedOn w:val="867"/>
    <w:next w:val="867"/>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Normal Indent"/>
    <w:basedOn w:val="867"/>
    <w:uiPriority w:val="99"/>
    <w:semiHidden/>
    <w:unhideWhenUsed/>
    <w:qFormat/>
    <w:pPr>
      <w:ind w:firstLine="630"/>
    </w:pPr>
    <w:rPr>
      <w:rFonts w:ascii="Times New Roman" w:hAnsi="Times New Roman" w:eastAsia="宋体" w:cs="Times New Roman"/>
      <w:szCs w:val="21"/>
    </w:rPr>
  </w:style>
  <w:style w:type="paragraph" w:styleId="873">
    <w:name w:val="toa heading"/>
    <w:basedOn w:val="867"/>
    <w:next w:val="867"/>
    <w:uiPriority w:val="0"/>
    <w:semiHidden/>
    <w:qFormat/>
    <w:pPr>
      <w:spacing w:before="120"/>
    </w:pPr>
    <w:rPr>
      <w:rFonts w:ascii="Arial" w:hAnsi="Arial" w:cs="Arial"/>
      <w:sz w:val="24"/>
      <w:szCs w:val="24"/>
    </w:rPr>
  </w:style>
  <w:style w:type="paragraph" w:styleId="874">
    <w:name w:val="annotation text"/>
    <w:basedOn w:val="867"/>
    <w:link w:val="908"/>
    <w:uiPriority w:val="99"/>
    <w:unhideWhenUsed/>
    <w:qFormat/>
    <w:pPr>
      <w:jc w:val="left"/>
    </w:pPr>
  </w:style>
  <w:style w:type="paragraph" w:styleId="875">
    <w:name w:val="Body Text Indent"/>
    <w:basedOn w:val="867"/>
    <w:uiPriority w:val="99"/>
    <w:unhideWhenUsed/>
    <w:qFormat/>
    <w:pPr>
      <w:ind w:left="420"/>
      <w:spacing w:after="120"/>
    </w:pPr>
  </w:style>
  <w:style w:type="paragraph" w:styleId="876">
    <w:name w:val="index 4"/>
    <w:basedOn w:val="867"/>
    <w:next w:val="867"/>
    <w:uiPriority w:val="99"/>
    <w:unhideWhenUsed/>
    <w:qFormat/>
    <w:pPr>
      <w:ind w:left="600"/>
    </w:pPr>
  </w:style>
  <w:style w:type="paragraph" w:styleId="877">
    <w:name w:val="Footer"/>
    <w:basedOn w:val="867"/>
    <w:link w:val="887"/>
    <w:uiPriority w:val="99"/>
    <w:unhideWhenUsed/>
    <w:qFormat/>
    <w:pPr>
      <w:jc w:val="left"/>
      <w:tabs>
        <w:tab w:val="center" w:pos="4153" w:leader="none"/>
        <w:tab w:val="right" w:pos="8306" w:leader="none"/>
      </w:tabs>
    </w:pPr>
    <w:rPr>
      <w:sz w:val="18"/>
      <w:szCs w:val="18"/>
    </w:rPr>
  </w:style>
  <w:style w:type="paragraph" w:styleId="878">
    <w:name w:val="Header"/>
    <w:basedOn w:val="867"/>
    <w:link w:val="88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9">
    <w:name w:val="toc 1"/>
    <w:basedOn w:val="867"/>
    <w:next w:val="867"/>
    <w:uiPriority w:val="39"/>
    <w:unhideWhenUsed/>
    <w:qFormat/>
    <w:pPr>
      <w:spacing w:after="57"/>
    </w:pPr>
  </w:style>
  <w:style w:type="paragraph" w:styleId="880">
    <w:name w:val="Normal (Web)"/>
    <w:basedOn w:val="867"/>
    <w:uiPriority w:val="99"/>
    <w:semiHidden/>
    <w:unhideWhenUsed/>
    <w:qFormat/>
    <w:pPr>
      <w:jc w:val="left"/>
      <w:spacing w:beforeAutospacing="1" w:afterAutospacing="1"/>
    </w:pPr>
    <w:rPr>
      <w:rFonts w:cs="Times New Roman"/>
      <w:sz w:val="24"/>
    </w:rPr>
  </w:style>
  <w:style w:type="paragraph" w:styleId="881">
    <w:name w:val="annotation subject"/>
    <w:basedOn w:val="874"/>
    <w:next w:val="874"/>
    <w:link w:val="909"/>
    <w:uiPriority w:val="99"/>
    <w:semiHidden/>
    <w:unhideWhenUsed/>
    <w:qFormat/>
    <w:rPr>
      <w:b/>
      <w:bCs/>
    </w:rPr>
  </w:style>
  <w:style w:type="paragraph" w:styleId="882">
    <w:name w:val="Body Text First Indent 2"/>
    <w:basedOn w:val="875"/>
    <w:next w:val="867"/>
    <w:uiPriority w:val="99"/>
    <w:unhideWhenUsed/>
    <w:qFormat/>
    <w:pPr>
      <w:ind w:firstLine="420"/>
    </w:pPr>
    <w:rPr>
      <w:rFonts w:ascii="仿宋_GB2312" w:hAnsi="Times New Roman" w:eastAsia="仿宋_GB2312" w:cs="Times New Roman"/>
      <w:sz w:val="32"/>
      <w:szCs w:val="32"/>
    </w:rPr>
  </w:style>
  <w:style w:type="table" w:styleId="883">
    <w:name w:val="Table Grid"/>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name w:val="Strong"/>
    <w:basedOn w:val="870"/>
    <w:uiPriority w:val="22"/>
    <w:qFormat/>
    <w:rPr>
      <w:b/>
    </w:rPr>
  </w:style>
  <w:style w:type="character" w:styleId="885">
    <w:name w:val="annotation reference"/>
    <w:basedOn w:val="870"/>
    <w:uiPriority w:val="99"/>
    <w:semiHidden/>
    <w:unhideWhenUsed/>
    <w:qFormat/>
    <w:rPr>
      <w:sz w:val="21"/>
      <w:szCs w:val="21"/>
    </w:rPr>
  </w:style>
  <w:style w:type="character" w:styleId="886" w:customStyle="1">
    <w:name w:val="页眉 字符"/>
    <w:basedOn w:val="870"/>
    <w:link w:val="878"/>
    <w:uiPriority w:val="99"/>
    <w:qFormat/>
    <w:rPr>
      <w:sz w:val="18"/>
      <w:szCs w:val="18"/>
    </w:rPr>
  </w:style>
  <w:style w:type="character" w:styleId="887" w:customStyle="1">
    <w:name w:val="页脚 字符"/>
    <w:basedOn w:val="870"/>
    <w:link w:val="877"/>
    <w:uiPriority w:val="99"/>
    <w:qFormat/>
    <w:rPr>
      <w:sz w:val="18"/>
      <w:szCs w:val="18"/>
    </w:rPr>
  </w:style>
  <w:style w:type="paragraph" w:styleId="888">
    <w:name w:val="List Paragraph"/>
    <w:basedOn w:val="867"/>
    <w:uiPriority w:val="34"/>
    <w:qFormat/>
    <w:pPr>
      <w:ind w:firstLine="420"/>
    </w:pPr>
  </w:style>
  <w:style w:type="paragraph" w:styleId="889" w:customStyle="1">
    <w:name w:val="正文文本11"/>
    <w:basedOn w:val="867"/>
    <w:uiPriority w:val="99"/>
    <w:unhideWhenUsed/>
    <w:qFormat/>
    <w:pPr>
      <w:spacing w:after="120"/>
    </w:pPr>
    <w:rPr>
      <w:sz w:val="24"/>
    </w:rPr>
  </w:style>
  <w:style w:type="paragraph" w:styleId="890" w:customStyle="1">
    <w:name w:val="纯文本11"/>
    <w:basedOn w:val="867"/>
    <w:next w:val="867"/>
    <w:uiPriority w:val="0"/>
    <w:qFormat/>
    <w:rPr>
      <w:rFonts w:ascii="宋体" w:hAnsi="Courier New"/>
      <w:szCs w:val="21"/>
    </w:rPr>
  </w:style>
  <w:style w:type="paragraph" w:styleId="891" w:customStyle="1">
    <w:name w:val="Table Paragraph"/>
    <w:basedOn w:val="867"/>
    <w:uiPriority w:val="1"/>
    <w:qFormat/>
    <w:pPr>
      <w:jc w:val="left"/>
    </w:pPr>
    <w:rPr>
      <w:rFonts w:ascii="宋体" w:hAnsi="宋体" w:cs="宋体"/>
      <w:sz w:val="22"/>
      <w:lang w:val="zh-CN" w:bidi="zh-CN"/>
    </w:rPr>
  </w:style>
  <w:style w:type="paragraph" w:styleId="892" w:customStyle="1">
    <w:name w:val="null3"/>
    <w:uiPriority w:val="0"/>
    <w:qFormat/>
    <w:pPr>
      <w:spacing w:after="160" w:line="278" w:lineRule="auto"/>
    </w:pPr>
    <w:rPr>
      <w:rFonts w:hint="eastAsia" w:ascii="Calibri" w:hAnsi="Calibri" w:eastAsia="宋体" w:cs="Times New Roman"/>
      <w:lang w:val="en-US" w:eastAsia="en-US" w:bidi="ar-SA"/>
    </w:rPr>
  </w:style>
  <w:style w:type="paragraph" w:styleId="893" w:customStyle="1">
    <w:name w:val="msolistparagraph"/>
    <w:basedOn w:val="867"/>
    <w:uiPriority w:val="0"/>
    <w:qFormat/>
    <w:pPr>
      <w:ind w:left="420" w:firstLine="420"/>
      <w:spacing w:line="400" w:lineRule="exact"/>
    </w:pPr>
    <w:rPr>
      <w:rFonts w:ascii="Calibri" w:hAnsi="Calibri"/>
    </w:rPr>
  </w:style>
  <w:style w:type="paragraph" w:styleId="894" w:customStyle="1">
    <w:name w:val="段"/>
    <w:next w:val="867"/>
    <w:uiPriority w:val="0"/>
    <w:qFormat/>
    <w:pPr>
      <w:ind w:firstLine="200"/>
      <w:jc w:val="both"/>
      <w:spacing w:after="160" w:line="278" w:lineRule="auto"/>
    </w:pPr>
    <w:rPr>
      <w:rFonts w:ascii="宋体" w:hAnsi="Times New Roman" w:eastAsia="宋体" w:cs="Times New Roman"/>
      <w:sz w:val="21"/>
      <w:lang w:val="en-US" w:eastAsia="zh-CN" w:bidi="ar-SA"/>
    </w:rPr>
  </w:style>
  <w:style w:type="paragraph" w:styleId="895" w:customStyle="1">
    <w:name w:val="正文缩进1"/>
    <w:basedOn w:val="867"/>
    <w:uiPriority w:val="99"/>
    <w:qFormat/>
    <w:pPr>
      <w:ind w:firstLine="420"/>
    </w:pPr>
    <w:rPr>
      <w:szCs w:val="20"/>
    </w:rPr>
  </w:style>
  <w:style w:type="paragraph" w:styleId="896" w:customStyle="1">
    <w:name w:val="索引 41"/>
    <w:basedOn w:val="867"/>
    <w:next w:val="867"/>
    <w:uiPriority w:val="0"/>
    <w:semiHidden/>
    <w:qFormat/>
    <w:pPr>
      <w:ind w:left="1260"/>
    </w:pPr>
    <w:rPr>
      <w:rFonts w:ascii="Calibri" w:hAnsi="Calibri" w:eastAsia="Calibri" w:cs="宋体"/>
      <w:sz w:val="20"/>
      <w:lang w:val="zh-CN"/>
    </w:rPr>
  </w:style>
  <w:style w:type="paragraph" w:styleId="897" w:customStyle="1">
    <w:name w:val="普通(网站)1"/>
    <w:basedOn w:val="867"/>
    <w:uiPriority w:val="99"/>
    <w:qFormat/>
    <w:pPr>
      <w:jc w:val="left"/>
      <w:spacing w:before="100" w:beforeAutospacing="1" w:after="100" w:afterAutospacing="1"/>
      <w:widowControl/>
    </w:pPr>
    <w:rPr>
      <w:rFonts w:ascii="宋体" w:hAnsi="宋体" w:cs="宋体"/>
      <w:sz w:val="24"/>
    </w:rPr>
  </w:style>
  <w:style w:type="paragraph" w:styleId="898" w:customStyle="1">
    <w:name w:val="首行缩进"/>
    <w:basedOn w:val="867"/>
    <w:uiPriority w:val="0"/>
    <w:qFormat/>
    <w:pPr>
      <w:ind w:left="420" w:firstLine="480"/>
      <w:spacing w:line="400" w:lineRule="exact"/>
    </w:pPr>
    <w:rPr>
      <w:szCs w:val="20"/>
    </w:rPr>
  </w:style>
  <w:style w:type="table" w:styleId="899" w:customStyle="1">
    <w:name w:val="网格型1"/>
    <w:basedOn w:val="900"/>
    <w:uiPriority w:val="0"/>
    <w:qFormat/>
    <w:pPr>
      <w:jc w:val="both"/>
      <w:widowControl w:val="off"/>
    </w:pPr>
    <w:tblPr/>
  </w:style>
  <w:style w:type="table" w:styleId="900" w:customStyle="1">
    <w:name w:val="普通表格1"/>
    <w:uiPriority w:val="99"/>
    <w:unhideWhenUsed/>
    <w:qFormat/>
    <w:tblPr>
      <w:tblCellMar>
        <w:left w:w="0" w:type="dxa"/>
        <w:top w:w="0" w:type="dxa"/>
        <w:right w:w="0" w:type="dxa"/>
        <w:bottom w:w="0" w:type="dxa"/>
      </w:tblCellMar>
    </w:tblPr>
  </w:style>
  <w:style w:type="table" w:styleId="901" w:customStyle="1">
    <w:name w:val="Table Normal"/>
    <w:basedOn w:val="900"/>
    <w:uiPriority w:val="2"/>
    <w:semiHidden/>
    <w:qFormat/>
    <w:tblPr/>
  </w:style>
  <w:style w:type="paragraph" w:styleId="902" w:customStyle="1">
    <w:name w:val="标题 41"/>
    <w:basedOn w:val="867"/>
    <w:uiPriority w:val="1"/>
    <w:qFormat/>
    <w:pPr>
      <w:ind w:left="618"/>
      <w:jc w:val="left"/>
      <w:outlineLvl w:val="4"/>
    </w:pPr>
    <w:rPr>
      <w:rFonts w:ascii="宋体" w:hAnsi="宋体" w:cs="宋体"/>
      <w:b/>
      <w:bCs/>
      <w:sz w:val="24"/>
      <w:lang w:val="zh-CN" w:bidi="zh-CN"/>
    </w:rPr>
  </w:style>
  <w:style w:type="paragraph" w:styleId="903" w:customStyle="1">
    <w:name w:val="正文文本1"/>
    <w:basedOn w:val="867"/>
    <w:next w:val="867"/>
    <w:uiPriority w:val="0"/>
    <w:semiHidden/>
    <w:qFormat/>
    <w:rPr>
      <w:rFonts w:ascii="Arial" w:hAnsi="Arial" w:eastAsia="Arial" w:cs="Arial"/>
      <w:szCs w:val="21"/>
      <w:lang w:eastAsia="en-US"/>
    </w:rPr>
  </w:style>
  <w:style w:type="paragraph" w:styleId="904" w:customStyle="1">
    <w:name w:val="页眉1"/>
    <w:basedOn w:val="86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05" w:customStyle="1">
    <w:name w:val="页脚1"/>
    <w:basedOn w:val="867"/>
    <w:uiPriority w:val="99"/>
    <w:unhideWhenUsed/>
    <w:qFormat/>
    <w:pPr>
      <w:jc w:val="left"/>
      <w:tabs>
        <w:tab w:val="center" w:pos="4153" w:leader="none"/>
        <w:tab w:val="right" w:pos="8306" w:leader="none"/>
      </w:tabs>
    </w:pPr>
    <w:rPr>
      <w:sz w:val="18"/>
      <w:szCs w:val="18"/>
    </w:rPr>
  </w:style>
  <w:style w:type="paragraph" w:styleId="906" w:customStyle="1">
    <w:name w:val="修订1"/>
    <w:hidden/>
    <w:uiPriority w:val="99"/>
    <w:unhideWhenUsed/>
    <w:qFormat/>
    <w:pPr>
      <w:spacing w:after="160" w:line="278" w:lineRule="auto"/>
    </w:pPr>
    <w:rPr>
      <w:rFonts w:asciiTheme="minorHAnsi" w:hAnsiTheme="minorHAnsi" w:eastAsiaTheme="minorEastAsia" w:cstheme="minorBidi"/>
      <w:sz w:val="21"/>
      <w:szCs w:val="22"/>
      <w:lang w:val="en-US" w:eastAsia="zh-CN" w:bidi="ar-SA"/>
    </w:rPr>
  </w:style>
  <w:style w:type="paragraph" w:styleId="907" w:customStyle="1">
    <w:name w:val="Revision"/>
    <w:hidden/>
    <w:uiPriority w:val="99"/>
    <w:unhideWhenUsed/>
    <w:qFormat/>
    <w:pPr>
      <w:spacing w:after="0" w:line="240" w:lineRule="auto"/>
    </w:pPr>
    <w:rPr>
      <w:rFonts w:asciiTheme="minorHAnsi" w:hAnsiTheme="minorHAnsi" w:eastAsiaTheme="minorEastAsia" w:cstheme="minorBidi"/>
      <w:sz w:val="21"/>
      <w:szCs w:val="22"/>
      <w:lang w:val="en-US" w:eastAsia="zh-CN" w:bidi="ar-SA"/>
    </w:rPr>
  </w:style>
  <w:style w:type="character" w:styleId="908" w:customStyle="1">
    <w:name w:val="批注文字 字符"/>
    <w:basedOn w:val="870"/>
    <w:link w:val="874"/>
    <w:uiPriority w:val="99"/>
    <w:qFormat/>
    <w:rPr>
      <w:rFonts w:asciiTheme="minorHAnsi" w:hAnsiTheme="minorHAnsi" w:eastAsiaTheme="minorEastAsia" w:cstheme="minorBidi"/>
      <w:sz w:val="21"/>
      <w:szCs w:val="22"/>
    </w:rPr>
  </w:style>
  <w:style w:type="character" w:styleId="909" w:customStyle="1">
    <w:name w:val="批注主题 字符"/>
    <w:basedOn w:val="908"/>
    <w:link w:val="881"/>
    <w:uiPriority w:val="99"/>
    <w:semiHidden/>
    <w:qFormat/>
    <w:rPr>
      <w:rFonts w:asciiTheme="minorHAnsi" w:hAnsiTheme="minorHAnsi" w:eastAsiaTheme="minorEastAsia" w:cstheme="minorBidi"/>
      <w:b/>
      <w:bCs/>
      <w:sz w:val="21"/>
      <w:szCs w:val="22"/>
    </w:rPr>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ad9644f0-d9be-4754-80c0-88db37310795</errorID>
      <errorWord>采购事项采购事项</errorWord>
      <group>L1_Word</group>
      <groupName>字词问题</groupName>
      <ability>L2_Typo</ability>
      <abilityName>字词错误</abilityName>
      <candidateList>
        <item>采购事项</item>
      </candidateList>
      <explain/>
      <paraID>7461588D</paraID>
      <start>32</start>
      <end>36</end>
      <status>modified</status>
      <modifiedWord>采购事项</modifiedWord>
      <trackRevisions>false</trackRevisions>
    </reviewItem>
    <reviewItem>
      <errorID>bd7f84fb-7e76-4974-9e5a-9ea877b7f9bd</errorID>
      <errorWord>开展</errorWord>
      <group>L1_Grammar</group>
      <groupName>语法问题</groupName>
      <ability>L2_Grammar</ability>
      <abilityName>语法错误</abilityName>
      <candidateList>
        <item>召开</item>
      </candidateList>
      <explain>“开展～会议”搭配不当，建议修改为“召开～会议”。</explain>
      <paraID>48B39D0C</paraID>
      <start>31</start>
      <end>33</end>
      <status>ignored</status>
      <modifiedWord/>
      <trackRevisions>false</trackRevisions>
    </reviewItem>
    <reviewItem>
      <errorID>5debe2e8-7a78-41a9-8087-b8e149497873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72634CCA</paraID>
      <start>12</start>
      <end>24</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8BFB2FA-E2D7-4D83-BF21-0113BCA5A7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马业</dc:creator>
  <cp:lastModifiedBy>李佳蓉</cp:lastModifiedBy>
  <cp:revision>52</cp:revision>
  <dcterms:created xsi:type="dcterms:W3CDTF">2023-06-01T03:33:00Z</dcterms:created>
  <dcterms:modified xsi:type="dcterms:W3CDTF">2026-10-22T08:32:06Z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9338B3CBC51C40B4BAA6809357BDE22F_13</vt:lpwstr>
  </property>
  <property fmtid="{D5CDD505-2E9C-101B-9397-08002B2CF9AE}" pid="4" name="KSOTemplateDocerSaveRecord">
    <vt:lpwstr>eyJoZGlkIjoiMTZmMWFjYjdjZDQxZmQ0NzhhZjUxMGNjODdlYTkzZGYiLCJ1c2VySWQiOiIxNjQ5OTE5MjIyIn0=</vt:lpwstr>
  </property>
</Properties>
</file>