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ABFBE">
      <w:pPr>
        <w:pStyle w:val="48"/>
        <w:tabs>
          <w:tab w:val="left" w:pos="7642"/>
        </w:tabs>
        <w:ind w:firstLine="0"/>
        <w:rPr>
          <w:rFonts w:hint="eastAsia"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tab/>
      </w:r>
    </w:p>
    <w:p w14:paraId="41092A2D">
      <w:pPr>
        <w:pStyle w:val="48"/>
        <w:tabs>
          <w:tab w:val="left" w:pos="7642"/>
        </w:tabs>
        <w:ind w:firstLine="0"/>
        <w:rPr>
          <w:rFonts w:hint="eastAsia" w:ascii="宋体" w:hAnsi="宋体"/>
          <w:b/>
          <w:color w:val="000000" w:themeColor="text1"/>
          <w:sz w:val="52"/>
          <w:szCs w:val="52"/>
          <w:highlight w:val="none"/>
          <w14:textFill>
            <w14:solidFill>
              <w14:schemeClr w14:val="tx1"/>
            </w14:solidFill>
          </w14:textFill>
        </w:rPr>
      </w:pPr>
    </w:p>
    <w:p w14:paraId="5D00B629">
      <w:pPr>
        <w:pStyle w:val="48"/>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 </w:t>
      </w:r>
      <w:r>
        <w:rPr>
          <w:rFonts w:hint="eastAsia" w:ascii="方正小标宋_GBK" w:hAnsi="方正小标宋_GBK" w:eastAsia="方正小标宋_GBK" w:cs="方正小标宋_GBK"/>
          <w:bCs/>
          <w:color w:val="000000" w:themeColor="text1"/>
          <w:kern w:val="2"/>
          <w:sz w:val="84"/>
          <w:szCs w:val="21"/>
          <w:highlight w:val="none"/>
          <w14:textFill>
            <w14:solidFill>
              <w14:schemeClr w14:val="tx1"/>
            </w14:solidFill>
          </w14:textFill>
        </w:rPr>
        <w:t>竞争性磋商文件</w:t>
      </w:r>
    </w:p>
    <w:p w14:paraId="51D78E69">
      <w:pPr>
        <w:pStyle w:val="48"/>
        <w:ind w:firstLine="0"/>
        <w:rPr>
          <w:rFonts w:hint="eastAsia" w:ascii="宋体" w:hAnsi="宋体"/>
          <w:b/>
          <w:bCs/>
          <w:color w:val="000000" w:themeColor="text1"/>
          <w:sz w:val="32"/>
          <w:szCs w:val="32"/>
          <w:highlight w:val="none"/>
          <w14:textFill>
            <w14:solidFill>
              <w14:schemeClr w14:val="tx1"/>
            </w14:solidFill>
          </w14:textFill>
        </w:rPr>
      </w:pPr>
    </w:p>
    <w:p w14:paraId="7073EF24">
      <w:pPr>
        <w:pStyle w:val="48"/>
        <w:ind w:firstLine="0"/>
        <w:rPr>
          <w:rFonts w:hint="eastAsia" w:ascii="宋体" w:hAnsi="宋体"/>
          <w:b/>
          <w:bCs/>
          <w:color w:val="000000" w:themeColor="text1"/>
          <w:sz w:val="32"/>
          <w:szCs w:val="32"/>
          <w:highlight w:val="none"/>
          <w14:textFill>
            <w14:solidFill>
              <w14:schemeClr w14:val="tx1"/>
            </w14:solidFill>
          </w14:textFill>
        </w:rPr>
      </w:pPr>
    </w:p>
    <w:p w14:paraId="625FD1FB">
      <w:pPr>
        <w:pStyle w:val="48"/>
        <w:ind w:firstLine="0"/>
        <w:rPr>
          <w:rFonts w:hint="eastAsia" w:ascii="宋体" w:hAnsi="宋体"/>
          <w:b/>
          <w:bCs/>
          <w:color w:val="000000" w:themeColor="text1"/>
          <w:sz w:val="32"/>
          <w:szCs w:val="32"/>
          <w:highlight w:val="none"/>
          <w14:textFill>
            <w14:solidFill>
              <w14:schemeClr w14:val="tx1"/>
            </w14:solidFill>
          </w14:textFill>
        </w:rPr>
      </w:pPr>
    </w:p>
    <w:p w14:paraId="3F6CAB5A">
      <w:pPr>
        <w:ind w:firstLine="1807" w:firstLineChars="500"/>
        <w:rPr>
          <w:rFonts w:hint="eastAsia" w:ascii="宋体" w:eastAsia="宋体"/>
          <w:b/>
          <w:color w:val="000000" w:themeColor="text1"/>
          <w:sz w:val="36"/>
          <w:highlight w:val="none"/>
          <w:lang w:val="en-US" w:eastAsia="zh-CN"/>
          <w14:textFill>
            <w14:solidFill>
              <w14:schemeClr w14:val="tx1"/>
            </w14:solidFill>
          </w14:textFill>
        </w:rPr>
      </w:pPr>
      <w:r>
        <w:rPr>
          <w:rFonts w:hint="eastAsia" w:ascii="宋体"/>
          <w:b/>
          <w:color w:val="000000" w:themeColor="text1"/>
          <w:sz w:val="36"/>
          <w:highlight w:val="none"/>
          <w14:textFill>
            <w14:solidFill>
              <w14:schemeClr w14:val="tx1"/>
            </w14:solidFill>
          </w14:textFill>
        </w:rPr>
        <w:t>项目编号：JSZC-320902-YDZJ-C2026-0006</w:t>
      </w:r>
    </w:p>
    <w:p w14:paraId="5213F11A">
      <w:pPr>
        <w:jc w:val="center"/>
        <w:rPr>
          <w:rFonts w:eastAsia="黑体"/>
          <w:b/>
          <w:color w:val="000000" w:themeColor="text1"/>
          <w:sz w:val="32"/>
          <w:highlight w:val="none"/>
          <w14:textFill>
            <w14:solidFill>
              <w14:schemeClr w14:val="tx1"/>
            </w14:solidFill>
          </w14:textFill>
        </w:rPr>
      </w:pPr>
    </w:p>
    <w:p w14:paraId="1218CDFF">
      <w:pPr>
        <w:jc w:val="center"/>
        <w:rPr>
          <w:rFonts w:eastAsia="黑体"/>
          <w:b/>
          <w:color w:val="000000" w:themeColor="text1"/>
          <w:sz w:val="32"/>
          <w:highlight w:val="none"/>
          <w14:textFill>
            <w14:solidFill>
              <w14:schemeClr w14:val="tx1"/>
            </w14:solidFill>
          </w14:textFill>
        </w:rPr>
      </w:pPr>
    </w:p>
    <w:p w14:paraId="37B63DD5">
      <w:pPr>
        <w:ind w:firstLine="723" w:firstLineChars="200"/>
        <w:jc w:val="left"/>
        <w:rPr>
          <w:rFonts w:hint="eastAsia" w:ascii="宋体" w:hAnsi="宋体" w:eastAsia="宋体" w:cs="宋体"/>
          <w:b/>
          <w:color w:val="000000" w:themeColor="text1"/>
          <w:sz w:val="36"/>
          <w:szCs w:val="36"/>
          <w:highlight w:val="none"/>
          <w:lang w:eastAsia="zh-CN"/>
          <w14:textFill>
            <w14:solidFill>
              <w14:schemeClr w14:val="tx1"/>
            </w14:solidFill>
          </w14:textFill>
        </w:rPr>
      </w:pPr>
      <w:r>
        <w:rPr>
          <w:rFonts w:hint="eastAsia" w:ascii="宋体"/>
          <w:b/>
          <w:color w:val="000000" w:themeColor="text1"/>
          <w:sz w:val="36"/>
          <w:szCs w:val="36"/>
          <w:highlight w:val="none"/>
          <w14:textFill>
            <w14:solidFill>
              <w14:schemeClr w14:val="tx1"/>
            </w14:solidFill>
          </w14:textFill>
        </w:rPr>
        <w:t>项</w:t>
      </w:r>
      <w:r>
        <w:rPr>
          <w:rFonts w:hint="eastAsia" w:ascii="宋体" w:hAnsi="宋体" w:cs="宋体"/>
          <w:b/>
          <w:color w:val="000000" w:themeColor="text1"/>
          <w:sz w:val="36"/>
          <w:szCs w:val="36"/>
          <w:highlight w:val="none"/>
          <w14:textFill>
            <w14:solidFill>
              <w14:schemeClr w14:val="tx1"/>
            </w14:solidFill>
          </w14:textFill>
        </w:rPr>
        <w:t>目名称：</w:t>
      </w:r>
      <w:r>
        <w:rPr>
          <w:rFonts w:hint="eastAsia" w:ascii="宋体" w:hAnsi="宋体" w:cs="宋体"/>
          <w:b/>
          <w:color w:val="000000" w:themeColor="text1"/>
          <w:sz w:val="36"/>
          <w:szCs w:val="36"/>
          <w:highlight w:val="none"/>
          <w:lang w:eastAsia="zh-CN"/>
          <w14:textFill>
            <w14:solidFill>
              <w14:schemeClr w14:val="tx1"/>
            </w14:solidFill>
          </w14:textFill>
        </w:rPr>
        <w:t>便仓镇恒泽源农产品加工项目配套污水压力管道建设工程</w:t>
      </w:r>
    </w:p>
    <w:p w14:paraId="3FF9080C">
      <w:pPr>
        <w:rPr>
          <w:rFonts w:ascii="宋体"/>
          <w:b/>
          <w:color w:val="000000" w:themeColor="text1"/>
          <w:sz w:val="32"/>
          <w:highlight w:val="none"/>
          <w14:textFill>
            <w14:solidFill>
              <w14:schemeClr w14:val="tx1"/>
            </w14:solidFill>
          </w14:textFill>
        </w:rPr>
      </w:pPr>
    </w:p>
    <w:p w14:paraId="5AAEAC03">
      <w:pPr>
        <w:rPr>
          <w:rFonts w:ascii="宋体"/>
          <w:b/>
          <w:color w:val="000000" w:themeColor="text1"/>
          <w:sz w:val="32"/>
          <w:highlight w:val="none"/>
          <w14:textFill>
            <w14:solidFill>
              <w14:schemeClr w14:val="tx1"/>
            </w14:solidFill>
          </w14:textFill>
        </w:rPr>
      </w:pPr>
    </w:p>
    <w:p w14:paraId="3E95A082">
      <w:pPr>
        <w:jc w:val="center"/>
        <w:rPr>
          <w:rFonts w:ascii="宋体"/>
          <w:b/>
          <w:color w:val="000000" w:themeColor="text1"/>
          <w:sz w:val="32"/>
          <w:highlight w:val="none"/>
          <w14:textFill>
            <w14:solidFill>
              <w14:schemeClr w14:val="tx1"/>
            </w14:solidFill>
          </w14:textFill>
        </w:rPr>
      </w:pPr>
    </w:p>
    <w:p w14:paraId="5C64174D">
      <w:pPr>
        <w:jc w:val="center"/>
        <w:rPr>
          <w:rFonts w:ascii="宋体"/>
          <w:b/>
          <w:color w:val="000000" w:themeColor="text1"/>
          <w:sz w:val="32"/>
          <w:highlight w:val="none"/>
          <w14:textFill>
            <w14:solidFill>
              <w14:schemeClr w14:val="tx1"/>
            </w14:solidFill>
          </w14:textFill>
        </w:rPr>
      </w:pPr>
    </w:p>
    <w:p w14:paraId="467C1C4A">
      <w:pPr>
        <w:jc w:val="center"/>
        <w:rPr>
          <w:rFonts w:hint="eastAsia" w:ascii="宋体" w:eastAsia="宋体"/>
          <w:bCs/>
          <w:color w:val="000000" w:themeColor="text1"/>
          <w:sz w:val="36"/>
          <w:szCs w:val="36"/>
          <w:highlight w:val="none"/>
          <w:lang w:eastAsia="zh-CN"/>
          <w14:textFill>
            <w14:solidFill>
              <w14:schemeClr w14:val="tx1"/>
            </w14:solidFill>
          </w14:textFill>
        </w:rPr>
      </w:pPr>
      <w:r>
        <w:rPr>
          <w:rFonts w:hint="eastAsia" w:ascii="黑体" w:hAnsi="黑体" w:eastAsia="黑体" w:cs="黑体"/>
          <w:bCs/>
          <w:color w:val="000000" w:themeColor="text1"/>
          <w:spacing w:val="15"/>
          <w:sz w:val="36"/>
          <w:szCs w:val="36"/>
          <w:highlight w:val="none"/>
          <w:lang w:eastAsia="zh-CN"/>
          <w14:textFill>
            <w14:solidFill>
              <w14:schemeClr w14:val="tx1"/>
            </w14:solidFill>
          </w14:textFill>
        </w:rPr>
        <w:t>盐城市亭湖区便仓镇人民政府</w:t>
      </w:r>
    </w:p>
    <w:p w14:paraId="7CD1428E">
      <w:pPr>
        <w:jc w:val="center"/>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202</w:t>
      </w:r>
      <w:r>
        <w:rPr>
          <w:rFonts w:hint="eastAsia" w:ascii="黑体" w:eastAsia="黑体"/>
          <w:color w:val="000000" w:themeColor="text1"/>
          <w:sz w:val="36"/>
          <w:szCs w:val="36"/>
          <w:highlight w:val="none"/>
          <w:lang w:val="en-US" w:eastAsia="zh-CN"/>
          <w14:textFill>
            <w14:solidFill>
              <w14:schemeClr w14:val="tx1"/>
            </w14:solidFill>
          </w14:textFill>
        </w:rPr>
        <w:t>6</w:t>
      </w:r>
      <w:r>
        <w:rPr>
          <w:rFonts w:ascii="黑体" w:eastAsia="黑体"/>
          <w:color w:val="000000" w:themeColor="text1"/>
          <w:sz w:val="36"/>
          <w:szCs w:val="36"/>
          <w:highlight w:val="none"/>
          <w14:textFill>
            <w14:solidFill>
              <w14:schemeClr w14:val="tx1"/>
            </w14:solidFill>
          </w14:textFill>
        </w:rPr>
        <w:t>年</w:t>
      </w:r>
      <w:r>
        <w:rPr>
          <w:rFonts w:hint="eastAsia" w:ascii="黑体" w:eastAsia="黑体"/>
          <w:color w:val="000000" w:themeColor="text1"/>
          <w:sz w:val="36"/>
          <w:szCs w:val="36"/>
          <w:highlight w:val="none"/>
          <w:lang w:val="en-US" w:eastAsia="zh-CN"/>
          <w14:textFill>
            <w14:solidFill>
              <w14:schemeClr w14:val="tx1"/>
            </w14:solidFill>
          </w14:textFill>
        </w:rPr>
        <w:t>10</w:t>
      </w:r>
      <w:r>
        <w:rPr>
          <w:rFonts w:ascii="黑体" w:eastAsia="黑体"/>
          <w:color w:val="000000" w:themeColor="text1"/>
          <w:sz w:val="36"/>
          <w:szCs w:val="36"/>
          <w:highlight w:val="none"/>
          <w14:textFill>
            <w14:solidFill>
              <w14:schemeClr w14:val="tx1"/>
            </w14:solidFill>
          </w14:textFill>
        </w:rPr>
        <w:t>月</w:t>
      </w:r>
    </w:p>
    <w:p w14:paraId="6C3627A6">
      <w:pPr>
        <w:pStyle w:val="48"/>
        <w:ind w:firstLine="0"/>
        <w:jc w:val="center"/>
        <w:rPr>
          <w:b/>
          <w:bCs/>
          <w:color w:val="000000" w:themeColor="text1"/>
          <w:sz w:val="32"/>
          <w:highlight w:val="none"/>
          <w14:textFill>
            <w14:solidFill>
              <w14:schemeClr w14:val="tx1"/>
            </w14:solidFill>
          </w14:textFill>
        </w:rPr>
      </w:pPr>
    </w:p>
    <w:p w14:paraId="281ABF45">
      <w:pPr>
        <w:rPr>
          <w:rFonts w:ascii="黑体" w:hAnsi="Arial" w:eastAsia="黑体"/>
          <w:b/>
          <w:color w:val="000000" w:themeColor="text1"/>
          <w:sz w:val="44"/>
          <w:szCs w:val="21"/>
          <w:highlight w:val="none"/>
          <w14:textFill>
            <w14:solidFill>
              <w14:schemeClr w14:val="tx1"/>
            </w14:solidFill>
          </w14:textFill>
        </w:rPr>
      </w:pPr>
    </w:p>
    <w:p w14:paraId="3199AAA6">
      <w:pPr>
        <w:rPr>
          <w:rFonts w:ascii="黑体" w:hAnsi="Arial" w:eastAsia="黑体"/>
          <w:b/>
          <w:color w:val="000000" w:themeColor="text1"/>
          <w:sz w:val="44"/>
          <w:szCs w:val="21"/>
          <w:highlight w:val="none"/>
          <w14:textFill>
            <w14:solidFill>
              <w14:schemeClr w14:val="tx1"/>
            </w14:solidFill>
          </w14:textFill>
        </w:rPr>
      </w:pPr>
    </w:p>
    <w:p w14:paraId="3D6B0A70">
      <w:pPr>
        <w:ind w:firstLine="3313" w:firstLineChars="750"/>
        <w:rPr>
          <w:rFonts w:ascii="黑体" w:hAnsi="Arial" w:eastAsia="黑体"/>
          <w:b/>
          <w:color w:val="000000" w:themeColor="text1"/>
          <w:sz w:val="44"/>
          <w:szCs w:val="21"/>
          <w:highlight w:val="none"/>
          <w14:textFill>
            <w14:solidFill>
              <w14:schemeClr w14:val="tx1"/>
            </w14:solidFill>
          </w14:textFill>
        </w:rPr>
        <w:sectPr>
          <w:headerReference r:id="rId4" w:type="first"/>
          <w:footerReference r:id="rId6" w:type="first"/>
          <w:headerReference r:id="rId3" w:type="even"/>
          <w:footerReference r:id="rId5" w:type="even"/>
          <w:pgSz w:w="11906" w:h="16838"/>
          <w:pgMar w:top="1417" w:right="1417" w:bottom="1417" w:left="1417" w:header="851" w:footer="907" w:gutter="0"/>
          <w:pgNumType w:fmt="decimal" w:start="1"/>
          <w:cols w:space="720" w:num="1"/>
          <w:docGrid w:type="lines" w:linePitch="286" w:charSpace="0"/>
        </w:sectPr>
      </w:pPr>
    </w:p>
    <w:p w14:paraId="7CE613E6">
      <w:pPr>
        <w:jc w:val="center"/>
        <w:rPr>
          <w:rFonts w:hint="eastAsia" w:ascii="宋体" w:hAnsi="宋体"/>
          <w:b/>
          <w:color w:val="000000" w:themeColor="text1"/>
          <w:sz w:val="48"/>
          <w:szCs w:val="48"/>
          <w:highlight w:val="none"/>
          <w14:textFill>
            <w14:solidFill>
              <w14:schemeClr w14:val="tx1"/>
            </w14:solidFill>
          </w14:textFill>
        </w:rPr>
      </w:pPr>
      <w:r>
        <w:rPr>
          <w:rFonts w:hint="eastAsia" w:ascii="黑体" w:hAnsi="Arial" w:eastAsia="黑体"/>
          <w:b/>
          <w:color w:val="000000" w:themeColor="text1"/>
          <w:sz w:val="48"/>
          <w:szCs w:val="22"/>
          <w:highlight w:val="none"/>
          <w14:textFill>
            <w14:solidFill>
              <w14:schemeClr w14:val="tx1"/>
            </w14:solidFill>
          </w14:textFill>
        </w:rPr>
        <w:t>总 目 录</w:t>
      </w:r>
    </w:p>
    <w:p w14:paraId="5E678647">
      <w:pPr>
        <w:pStyle w:val="27"/>
        <w:spacing w:line="360" w:lineRule="auto"/>
        <w:rPr>
          <w:rFonts w:hint="eastAsia" w:ascii="宋体" w:hAnsi="宋体" w:eastAsia="宋体"/>
          <w:b w:val="0"/>
          <w:color w:val="000000" w:themeColor="text1"/>
          <w:sz w:val="24"/>
          <w:szCs w:val="24"/>
          <w:highlight w:val="none"/>
          <w14:textFill>
            <w14:solidFill>
              <w14:schemeClr w14:val="tx1"/>
            </w14:solidFill>
          </w14:textFill>
        </w:rPr>
      </w:pPr>
    </w:p>
    <w:p w14:paraId="1FD85730">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 xml:space="preserve">第一章   竞争性磋商公告                                       </w:t>
      </w:r>
    </w:p>
    <w:p w14:paraId="1061C4D3">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第二章   供应商须知</w:t>
      </w:r>
    </w:p>
    <w:p w14:paraId="7C3E454B">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第三章   合同条款及格式</w:t>
      </w:r>
    </w:p>
    <w:p w14:paraId="5ADBC2C9">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第四章   项目需求</w:t>
      </w:r>
    </w:p>
    <w:p w14:paraId="2474AC4B">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第五章   评审方法和评审标准</w:t>
      </w:r>
    </w:p>
    <w:p w14:paraId="7147A826">
      <w:pPr>
        <w:spacing w:line="800" w:lineRule="exact"/>
        <w:ind w:firstLine="1320" w:firstLineChars="300"/>
        <w:outlineLvl w:val="0"/>
        <w:rPr>
          <w:rFonts w:hint="eastAsia" w:ascii="黑体" w:hAnsi="宋体" w:eastAsia="黑体"/>
          <w:color w:val="000000" w:themeColor="text1"/>
          <w:sz w:val="44"/>
          <w:highlight w:val="none"/>
          <w14:textFill>
            <w14:solidFill>
              <w14:schemeClr w14:val="tx1"/>
            </w14:solidFill>
          </w14:textFill>
        </w:rPr>
      </w:pPr>
      <w:r>
        <w:rPr>
          <w:rFonts w:hint="eastAsia" w:ascii="黑体" w:hAnsi="宋体" w:eastAsia="黑体"/>
          <w:color w:val="000000" w:themeColor="text1"/>
          <w:sz w:val="44"/>
          <w:highlight w:val="none"/>
          <w14:textFill>
            <w14:solidFill>
              <w14:schemeClr w14:val="tx1"/>
            </w14:solidFill>
          </w14:textFill>
        </w:rPr>
        <w:t>第六章   竞争性磋商响应文件格式</w:t>
      </w:r>
    </w:p>
    <w:p w14:paraId="34693EEB">
      <w:pPr>
        <w:rPr>
          <w:rFonts w:hint="eastAsia" w:ascii="宋体" w:hAnsi="宋体"/>
          <w:color w:val="000000" w:themeColor="text1"/>
          <w:highlight w:val="none"/>
          <w14:textFill>
            <w14:solidFill>
              <w14:schemeClr w14:val="tx1"/>
            </w14:solidFill>
          </w14:textFill>
        </w:rPr>
      </w:pPr>
    </w:p>
    <w:p w14:paraId="5910A449">
      <w:pPr>
        <w:ind w:firstLine="1680" w:firstLineChars="800"/>
        <w:rPr>
          <w:rFonts w:hint="eastAsia" w:ascii="宋体" w:hAnsi="宋体"/>
          <w:color w:val="000000" w:themeColor="text1"/>
          <w:highlight w:val="none"/>
          <w:lang w:val="en-US" w:eastAsia="zh-CN"/>
          <w14:textFill>
            <w14:solidFill>
              <w14:schemeClr w14:val="tx1"/>
            </w14:solidFill>
          </w14:textFill>
        </w:rPr>
        <w:sectPr>
          <w:footerReference r:id="rId9" w:type="first"/>
          <w:headerReference r:id="rId7" w:type="default"/>
          <w:footerReference r:id="rId8" w:type="default"/>
          <w:pgSz w:w="11906" w:h="16838"/>
          <w:pgMar w:top="1417" w:right="1417" w:bottom="1417" w:left="1417" w:header="851" w:footer="907" w:gutter="0"/>
          <w:pgNumType w:fmt="decimal" w:start="1"/>
          <w:cols w:space="720" w:num="1"/>
          <w:docGrid w:type="lines" w:linePitch="286" w:charSpace="0"/>
        </w:sectPr>
      </w:pPr>
    </w:p>
    <w:p w14:paraId="6FFA2FEA">
      <w:pPr>
        <w:jc w:val="center"/>
        <w:rPr>
          <w:rFonts w:ascii="黑体" w:eastAsia="黑体"/>
          <w:b/>
          <w:bCs/>
          <w:color w:val="000000" w:themeColor="text1"/>
          <w:sz w:val="44"/>
          <w:szCs w:val="44"/>
          <w:highlight w:val="none"/>
          <w14:textFill>
            <w14:solidFill>
              <w14:schemeClr w14:val="tx1"/>
            </w14:solidFill>
          </w14:textFill>
        </w:rPr>
      </w:pPr>
      <w:r>
        <w:rPr>
          <w:rFonts w:hint="eastAsia" w:ascii="黑体" w:eastAsia="黑体"/>
          <w:b/>
          <w:bCs/>
          <w:color w:val="000000" w:themeColor="text1"/>
          <w:sz w:val="44"/>
          <w:szCs w:val="44"/>
          <w:highlight w:val="none"/>
          <w14:textFill>
            <w14:solidFill>
              <w14:schemeClr w14:val="tx1"/>
            </w14:solidFill>
          </w14:textFill>
        </w:rPr>
        <w:t>第一章 竞争性磋商公告</w:t>
      </w:r>
    </w:p>
    <w:p w14:paraId="5D487236">
      <w:pPr>
        <w:rPr>
          <w:color w:val="000000" w:themeColor="text1"/>
          <w:highlight w:val="none"/>
          <w14:textFill>
            <w14:solidFill>
              <w14:schemeClr w14:val="tx1"/>
            </w14:solidFill>
          </w14:textFill>
        </w:rPr>
      </w:pPr>
      <w:bookmarkStart w:id="0" w:name="_Toc14577347"/>
      <w:bookmarkStart w:id="1" w:name="_Toc61149549"/>
      <w:bookmarkStart w:id="2" w:name="_Toc513029209"/>
    </w:p>
    <w:p w14:paraId="75BFFAC6">
      <w:pPr>
        <w:pBdr>
          <w:top w:val="single" w:color="auto" w:sz="4" w:space="1"/>
          <w:left w:val="single" w:color="auto" w:sz="4" w:space="4"/>
          <w:bottom w:val="single" w:color="auto" w:sz="4" w:space="1"/>
          <w:right w:val="single" w:color="auto" w:sz="4" w:space="4"/>
        </w:pBdr>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项目概况</w:t>
      </w:r>
    </w:p>
    <w:p w14:paraId="7C6AAFAF">
      <w:pPr>
        <w:pBdr>
          <w:top w:val="single" w:color="auto" w:sz="4" w:space="1"/>
          <w:left w:val="single" w:color="auto" w:sz="4" w:space="4"/>
          <w:bottom w:val="single" w:color="auto" w:sz="4" w:space="1"/>
          <w:right w:val="single" w:color="auto" w:sz="4" w:space="4"/>
        </w:pBdr>
        <w:spacing w:line="500" w:lineRule="exact"/>
        <w:ind w:firstLine="480"/>
        <w:rPr>
          <w:color w:val="000000" w:themeColor="text1"/>
          <w:highlight w:val="none"/>
          <w14:textFill>
            <w14:solidFill>
              <w14:schemeClr w14:val="tx1"/>
            </w14:solidFill>
          </w14:textFill>
        </w:rPr>
      </w:pPr>
      <w:bookmarkStart w:id="3" w:name="_Toc28359089"/>
      <w:bookmarkStart w:id="4" w:name="_Toc28359012"/>
      <w:bookmarkStart w:id="5" w:name="_Toc35393798"/>
      <w:bookmarkStart w:id="6" w:name="_Toc35393629"/>
      <w:r>
        <w:rPr>
          <w:rFonts w:hint="eastAsia" w:ascii="宋体" w:hAnsi="宋体" w:cs="Times New Roman"/>
          <w:color w:val="000000" w:themeColor="text1"/>
          <w:kern w:val="2"/>
          <w:sz w:val="24"/>
          <w:szCs w:val="24"/>
          <w:highlight w:val="none"/>
          <w:u w:val="single"/>
          <w:lang w:val="en-US" w:eastAsia="zh-CN" w:bidi="ar-SA"/>
          <w14:textFill>
            <w14:solidFill>
              <w14:schemeClr w14:val="tx1"/>
            </w14:solidFill>
          </w14:textFill>
        </w:rPr>
        <w:t>便仓镇恒泽源农产品加工项目配套污水压力管道建设工程JSZC-320902-YDZJ-C2026-0006</w:t>
      </w:r>
      <w:r>
        <w:rPr>
          <w:rFonts w:hint="eastAsia" w:ascii="宋体" w:hAnsi="宋体" w:eastAsia="宋体" w:cs="宋体"/>
          <w:sz w:val="24"/>
        </w:rPr>
        <w:t>采购项目的潜在供应商应在“苏采云”系统内免费下载（投标人必须在苏采云系统中获取采购文件，方能参与政府采购项目）获取采购文件，并于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26</w:t>
      </w:r>
      <w:r>
        <w:rPr>
          <w:rFonts w:hint="eastAsia" w:ascii="宋体" w:hAnsi="宋体" w:eastAsia="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 xml:space="preserve"> 分</w:t>
      </w:r>
      <w:r>
        <w:rPr>
          <w:rFonts w:hint="eastAsia" w:ascii="宋体" w:hAnsi="宋体"/>
          <w:color w:val="000000" w:themeColor="text1"/>
          <w:sz w:val="24"/>
          <w:highlight w:val="none"/>
          <w14:textFill>
            <w14:solidFill>
              <w14:schemeClr w14:val="tx1"/>
            </w14:solidFill>
          </w14:textFill>
        </w:rPr>
        <w:t>（北京时间）</w:t>
      </w:r>
      <w:r>
        <w:rPr>
          <w:rFonts w:hint="eastAsia" w:ascii="宋体" w:hAnsi="宋体" w:eastAsia="宋体" w:cs="宋体"/>
          <w:sz w:val="24"/>
        </w:rPr>
        <w:t>前提交响应文件。</w:t>
      </w:r>
    </w:p>
    <w:p w14:paraId="75C103FF">
      <w:pPr>
        <w:pStyle w:val="3"/>
        <w:pageBreakBefore w:val="0"/>
        <w:kinsoku/>
        <w:wordWrap/>
        <w:overflowPunct/>
        <w:topLinePunct w:val="0"/>
        <w:autoSpaceDE/>
        <w:autoSpaceDN/>
        <w:bidi w:val="0"/>
        <w:spacing w:before="0" w:after="0" w:line="460" w:lineRule="exact"/>
        <w:ind w:left="0" w:leftChars="0" w:firstLine="482" w:firstLineChars="200"/>
        <w:jc w:val="both"/>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一、项目基本情况</w:t>
      </w:r>
      <w:bookmarkEnd w:id="3"/>
      <w:bookmarkEnd w:id="4"/>
      <w:bookmarkEnd w:id="5"/>
      <w:bookmarkEnd w:id="6"/>
    </w:p>
    <w:p w14:paraId="21635627">
      <w:pPr>
        <w:pageBreakBefore w:val="0"/>
        <w:kinsoku/>
        <w:wordWrap/>
        <w:overflowPunct/>
        <w:topLinePunct w:val="0"/>
        <w:autoSpaceDE/>
        <w:autoSpaceDN/>
        <w:bidi w:val="0"/>
        <w:spacing w:line="460" w:lineRule="exact"/>
        <w:ind w:left="0" w:leftChars="0" w:firstLine="480" w:firstLineChars="200"/>
        <w:textAlignment w:val="auto"/>
        <w:rPr>
          <w:rFonts w:hint="default" w:ascii="宋体" w:hAnsi="宋体" w:cs="宋体"/>
          <w:color w:val="000000" w:themeColor="text1"/>
          <w:sz w:val="24"/>
          <w:highlight w:val="none"/>
          <w:u w:val="singl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ab/>
      </w:r>
      <w:r>
        <w:rPr>
          <w:rFonts w:hint="eastAsia" w:ascii="宋体" w:hAnsi="宋体" w:cs="宋体"/>
          <w:color w:val="000000" w:themeColor="text1"/>
          <w:sz w:val="24"/>
          <w:highlight w:val="none"/>
          <w:u w:val="single"/>
          <w:lang w:val="en-US" w:eastAsia="zh-CN"/>
          <w14:textFill>
            <w14:solidFill>
              <w14:schemeClr w14:val="tx1"/>
            </w14:solidFill>
          </w14:textFill>
        </w:rPr>
        <w:t xml:space="preserve">JSZC-320902-YDZJ-C2026-0006 </w:t>
      </w:r>
    </w:p>
    <w:p w14:paraId="12AD0E03">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2.项目名称：</w:t>
      </w:r>
      <w:r>
        <w:rPr>
          <w:rFonts w:hint="eastAsia" w:ascii="宋体" w:hAnsi="宋体" w:cs="宋体"/>
          <w:color w:val="000000" w:themeColor="text1"/>
          <w:sz w:val="24"/>
          <w:highlight w:val="none"/>
          <w:u w:val="single"/>
          <w:lang w:eastAsia="zh-CN"/>
          <w14:textFill>
            <w14:solidFill>
              <w14:schemeClr w14:val="tx1"/>
            </w14:solidFill>
          </w14:textFill>
        </w:rPr>
        <w:t>便仓镇恒泽源农产品加工项目配套污水压力管道建设工程</w:t>
      </w:r>
    </w:p>
    <w:p w14:paraId="20958C7F">
      <w:pPr>
        <w:spacing w:line="500" w:lineRule="exact"/>
        <w:ind w:firstLine="480"/>
        <w:rPr>
          <w:rFonts w:hint="eastAsia" w:ascii="宋体" w:hAnsi="宋体" w:eastAsia="宋体" w:cs="宋体"/>
          <w:sz w:val="24"/>
        </w:rPr>
      </w:pPr>
      <w:r>
        <w:rPr>
          <w:rFonts w:hint="eastAsia" w:ascii="宋体" w:hAnsi="宋体" w:cs="宋体"/>
          <w:color w:val="000000" w:themeColor="text1"/>
          <w:sz w:val="24"/>
          <w:highlight w:val="none"/>
          <w14:textFill>
            <w14:solidFill>
              <w14:schemeClr w14:val="tx1"/>
            </w14:solidFill>
          </w14:textFill>
        </w:rPr>
        <w:t>3.采购方式：</w:t>
      </w:r>
      <w:r>
        <w:rPr>
          <w:rFonts w:hint="eastAsia" w:ascii="宋体" w:hAnsi="宋体" w:eastAsia="宋体" w:cs="宋体"/>
          <w:sz w:val="24"/>
        </w:rPr>
        <w:t>□竞争性谈判 ☑竞争性磋商 □询价</w:t>
      </w:r>
    </w:p>
    <w:p w14:paraId="31AAE590">
      <w:pPr>
        <w:keepNext w:val="0"/>
        <w:keepLines w:val="0"/>
        <w:pageBreakBefore w:val="0"/>
        <w:widowControl/>
        <w:suppressLineNumbers w:val="0"/>
        <w:kinsoku/>
        <w:wordWrap/>
        <w:overflowPunct/>
        <w:topLinePunct w:val="0"/>
        <w:autoSpaceDE/>
        <w:autoSpaceDN/>
        <w:bidi w:val="0"/>
        <w:spacing w:line="460" w:lineRule="exact"/>
        <w:ind w:left="0" w:leftChars="0" w:firstLine="480" w:firstLineChars="20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4.预算金额：123.277645</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万</w:t>
      </w:r>
      <w:r>
        <w:rPr>
          <w:rFonts w:hint="eastAsia" w:ascii="宋体" w:hAnsi="宋体" w:cs="宋体"/>
          <w:sz w:val="24"/>
          <w:highlight w:val="none"/>
        </w:rPr>
        <w:t>元</w:t>
      </w:r>
      <w:r>
        <w:rPr>
          <w:rFonts w:hint="eastAsia" w:ascii="宋体" w:hAnsi="宋体" w:cs="宋体"/>
          <w:color w:val="000000" w:themeColor="text1"/>
          <w:sz w:val="24"/>
          <w:highlight w:val="none"/>
          <w14:textFill>
            <w14:solidFill>
              <w14:schemeClr w14:val="tx1"/>
            </w14:solidFill>
          </w14:textFill>
        </w:rPr>
        <w:t>。</w:t>
      </w:r>
    </w:p>
    <w:p w14:paraId="4671CCAD">
      <w:pPr>
        <w:pageBreakBefore w:val="0"/>
        <w:kinsoku/>
        <w:wordWrap/>
        <w:overflowPunct/>
        <w:topLinePunct w:val="0"/>
        <w:autoSpaceDE/>
        <w:autoSpaceDN/>
        <w:bidi w:val="0"/>
        <w:spacing w:line="460" w:lineRule="exact"/>
        <w:ind w:left="0" w:leftChars="0" w:firstLine="480" w:firstLineChars="200"/>
        <w:textAlignment w:val="auto"/>
        <w:rPr>
          <w:highlight w:val="none"/>
        </w:rPr>
      </w:pPr>
      <w:r>
        <w:rPr>
          <w:rFonts w:hint="eastAsia" w:ascii="宋体" w:hAnsi="宋体" w:cs="宋体"/>
          <w:color w:val="000000" w:themeColor="text1"/>
          <w:sz w:val="24"/>
          <w:highlight w:val="none"/>
          <w14:textFill>
            <w14:solidFill>
              <w14:schemeClr w14:val="tx1"/>
            </w14:solidFill>
          </w14:textFill>
        </w:rPr>
        <w:t>5.最高限价：123.277645</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万</w:t>
      </w:r>
      <w:r>
        <w:rPr>
          <w:rFonts w:hint="eastAsia" w:ascii="宋体" w:hAnsi="宋体" w:cs="宋体"/>
          <w:sz w:val="24"/>
          <w:highlight w:val="none"/>
        </w:rPr>
        <w:t>元</w:t>
      </w:r>
      <w:r>
        <w:rPr>
          <w:rFonts w:hint="eastAsia" w:ascii="宋体" w:hAnsi="宋体"/>
          <w:sz w:val="24"/>
          <w:highlight w:val="none"/>
        </w:rPr>
        <w:t>。</w:t>
      </w:r>
      <w:bookmarkStart w:id="7" w:name="_Toc28359090"/>
      <w:bookmarkStart w:id="8" w:name="_Toc28359013"/>
      <w:bookmarkStart w:id="9" w:name="_Toc35393630"/>
      <w:bookmarkStart w:id="10" w:name="_Toc35393799"/>
    </w:p>
    <w:p w14:paraId="4BFF470F">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6.采购</w:t>
      </w:r>
      <w:r>
        <w:rPr>
          <w:rFonts w:hint="eastAsia" w:ascii="宋体" w:hAnsi="宋体" w:cs="宋体"/>
          <w:color w:val="auto"/>
          <w:sz w:val="24"/>
          <w:highlight w:val="none"/>
        </w:rPr>
        <w:t>需求：</w:t>
      </w:r>
      <w:r>
        <w:rPr>
          <w:rFonts w:hint="eastAsia" w:ascii="宋体" w:hAnsi="宋体" w:cs="宋体"/>
          <w:color w:val="auto"/>
          <w:sz w:val="24"/>
          <w:highlight w:val="none"/>
          <w:lang w:eastAsia="zh-CN"/>
        </w:rPr>
        <w:t>便仓镇恒泽源农产品加工项目配套污水压力管道建设工程</w:t>
      </w:r>
      <w:r>
        <w:rPr>
          <w:rFonts w:hint="eastAsia" w:ascii="宋体" w:hAnsi="宋体" w:cs="宋体"/>
          <w:color w:val="auto"/>
          <w:sz w:val="24"/>
          <w:highlight w:val="none"/>
        </w:rPr>
        <w:t>，具体详见</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文件项目需求。</w:t>
      </w:r>
    </w:p>
    <w:p w14:paraId="37E89D13">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7.合同履行期限：30日历天</w:t>
      </w:r>
      <w:r>
        <w:rPr>
          <w:rFonts w:hint="eastAsia" w:ascii="宋体" w:hAnsi="宋体" w:cs="宋体"/>
          <w:color w:val="auto"/>
          <w:kern w:val="2"/>
          <w:sz w:val="24"/>
          <w:szCs w:val="24"/>
          <w:highlight w:val="none"/>
          <w:lang w:val="en-US" w:eastAsia="zh-CN" w:bidi="ar-SA"/>
        </w:rPr>
        <w:t>。</w:t>
      </w:r>
    </w:p>
    <w:p w14:paraId="35E22768">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w:t>
      </w:r>
      <w:r>
        <w:rPr>
          <w:rFonts w:hint="eastAsia" w:ascii="宋体" w:hAnsi="宋体" w:eastAsia="宋体" w:cs="宋体"/>
          <w:sz w:val="24"/>
        </w:rPr>
        <w:t>本项目不接受联合体投标。</w:t>
      </w:r>
    </w:p>
    <w:p w14:paraId="4BF97330">
      <w:pPr>
        <w:pageBreakBefore w:val="0"/>
        <w:kinsoku/>
        <w:wordWrap/>
        <w:overflowPunct/>
        <w:topLinePunct w:val="0"/>
        <w:autoSpaceDE/>
        <w:autoSpaceDN/>
        <w:bidi w:val="0"/>
        <w:spacing w:line="460" w:lineRule="exact"/>
        <w:ind w:left="0" w:leftChars="0" w:firstLine="482"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二、申请人的资格要求</w:t>
      </w:r>
      <w:bookmarkEnd w:id="7"/>
      <w:bookmarkEnd w:id="8"/>
      <w:bookmarkEnd w:id="9"/>
      <w:bookmarkEnd w:id="10"/>
    </w:p>
    <w:p w14:paraId="27B82E7C">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bookmarkStart w:id="11" w:name="_Toc28359091"/>
      <w:bookmarkStart w:id="12" w:name="_Toc28359014"/>
      <w:r>
        <w:rPr>
          <w:rFonts w:hint="eastAsia" w:ascii="宋体" w:hAnsi="宋体" w:cs="宋体"/>
          <w:color w:val="000000" w:themeColor="text1"/>
          <w:sz w:val="24"/>
          <w:highlight w:val="none"/>
          <w14:textFill>
            <w14:solidFill>
              <w14:schemeClr w14:val="tx1"/>
            </w14:solidFill>
          </w14:textFill>
        </w:rPr>
        <w:t>1.满足《中华人民共和国政府采购法》第二十二条规定，并提供下列材料：</w:t>
      </w:r>
    </w:p>
    <w:p w14:paraId="5C7BE7AE">
      <w:pPr>
        <w:spacing w:line="500" w:lineRule="exact"/>
        <w:ind w:firstLine="480"/>
        <w:rPr>
          <w:rFonts w:hint="eastAsia" w:ascii="宋体" w:hAnsi="宋体" w:eastAsia="宋体" w:cs="宋体"/>
          <w:sz w:val="24"/>
        </w:rPr>
      </w:pPr>
      <w:r>
        <w:rPr>
          <w:rFonts w:hint="eastAsia" w:ascii="宋体" w:hAnsi="宋体" w:eastAsia="宋体" w:cs="宋体"/>
          <w:sz w:val="24"/>
        </w:rPr>
        <w:t>1.1 法人或者其他组织的营业执照等证明文件，自然人的身份证明；</w:t>
      </w:r>
    </w:p>
    <w:p w14:paraId="1873D9B3">
      <w:pPr>
        <w:spacing w:line="500" w:lineRule="exact"/>
        <w:ind w:firstLine="480"/>
        <w:rPr>
          <w:rFonts w:hint="eastAsia" w:ascii="宋体" w:hAnsi="宋体" w:eastAsia="宋体" w:cs="宋体"/>
          <w:sz w:val="24"/>
        </w:rPr>
      </w:pPr>
      <w:r>
        <w:rPr>
          <w:rFonts w:hint="eastAsia" w:ascii="宋体" w:hAnsi="宋体" w:eastAsia="宋体" w:cs="宋体"/>
          <w:sz w:val="24"/>
        </w:rPr>
        <w:t>1.2上一年度的财务状况报表（至少提供资产负债表、利润表、现金流量表，磋商供应商成立不满一年无需提供）；</w:t>
      </w:r>
    </w:p>
    <w:p w14:paraId="2F73798D">
      <w:pPr>
        <w:spacing w:line="500" w:lineRule="exact"/>
        <w:ind w:firstLine="480"/>
        <w:rPr>
          <w:rFonts w:hint="eastAsia" w:ascii="宋体" w:hAnsi="宋体" w:eastAsia="宋体" w:cs="宋体"/>
          <w:sz w:val="24"/>
        </w:rPr>
      </w:pPr>
      <w:r>
        <w:rPr>
          <w:rFonts w:hint="eastAsia" w:ascii="宋体" w:hAnsi="宋体" w:eastAsia="宋体" w:cs="宋体"/>
          <w:sz w:val="24"/>
        </w:rPr>
        <w:t>1.3具备履行合同所必需的设备和专业技术能力的书面声明；</w:t>
      </w:r>
    </w:p>
    <w:p w14:paraId="7C0AE1AC">
      <w:pPr>
        <w:spacing w:line="500" w:lineRule="exact"/>
        <w:ind w:firstLine="480"/>
        <w:rPr>
          <w:rFonts w:hint="eastAsia" w:ascii="宋体" w:hAnsi="宋体" w:eastAsia="宋体" w:cs="宋体"/>
          <w:sz w:val="24"/>
        </w:rPr>
      </w:pPr>
      <w:r>
        <w:rPr>
          <w:rFonts w:hint="eastAsia" w:ascii="宋体" w:hAnsi="宋体" w:eastAsia="宋体" w:cs="宋体"/>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8808051">
      <w:pPr>
        <w:spacing w:line="500" w:lineRule="exact"/>
        <w:ind w:firstLine="480"/>
        <w:rPr>
          <w:rFonts w:hint="eastAsia" w:ascii="宋体" w:hAnsi="宋体" w:eastAsia="宋体" w:cs="宋体"/>
          <w:sz w:val="24"/>
        </w:rPr>
      </w:pPr>
      <w:r>
        <w:rPr>
          <w:rFonts w:hint="eastAsia" w:ascii="宋体" w:hAnsi="宋体" w:eastAsia="宋体" w:cs="宋体"/>
          <w:sz w:val="24"/>
        </w:rPr>
        <w:t>1.5参加政府采购活动前3年内在经营活动中没有重大违法记录的书面声明。</w:t>
      </w:r>
    </w:p>
    <w:p w14:paraId="04C76E95">
      <w:pPr>
        <w:spacing w:line="500" w:lineRule="exact"/>
        <w:ind w:firstLine="480"/>
        <w:rPr>
          <w:rFonts w:hint="eastAsia" w:ascii="宋体" w:hAnsi="宋体" w:eastAsia="宋体" w:cs="宋体"/>
          <w:sz w:val="24"/>
        </w:rPr>
      </w:pPr>
      <w:r>
        <w:rPr>
          <w:rFonts w:hint="eastAsia" w:ascii="宋体" w:hAnsi="宋体" w:eastAsia="宋体" w:cs="宋体"/>
          <w:sz w:val="24"/>
        </w:rPr>
        <w:t>1.6法律、行政法规规定的其他条件。</w:t>
      </w:r>
    </w:p>
    <w:p w14:paraId="71EA04B8">
      <w:pPr>
        <w:spacing w:line="500" w:lineRule="exact"/>
        <w:ind w:firstLine="480"/>
        <w:rPr>
          <w:rFonts w:hint="eastAsia" w:ascii="宋体" w:hAnsi="宋体" w:eastAsia="宋体" w:cs="宋体"/>
          <w:sz w:val="24"/>
        </w:rPr>
      </w:pPr>
      <w:r>
        <w:rPr>
          <w:rFonts w:hint="eastAsia" w:ascii="宋体" w:hAnsi="宋体" w:eastAsia="宋体" w:cs="宋体"/>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9C408B2">
      <w:pPr>
        <w:spacing w:line="500" w:lineRule="exact"/>
        <w:ind w:firstLine="480"/>
        <w:rPr>
          <w:rFonts w:hint="eastAsia" w:ascii="宋体" w:hAnsi="宋体" w:eastAsia="宋体" w:cs="宋体"/>
          <w:sz w:val="24"/>
        </w:rPr>
      </w:pPr>
      <w:r>
        <w:rPr>
          <w:rFonts w:hint="eastAsia" w:ascii="宋体" w:hAnsi="宋体" w:eastAsia="宋体" w:cs="宋体"/>
          <w:sz w:val="24"/>
        </w:rPr>
        <w:t>1.8单位负责人为同一人或者存在直接控股、管理关系的不同供应商，不得参加同一合同项下的政府采购活动。</w:t>
      </w:r>
    </w:p>
    <w:p w14:paraId="4AA81BD4">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落实政府采购政策需满足的资格要求：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p>
    <w:p w14:paraId="33805F65">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bookmarkStart w:id="13" w:name="_Toc35393800"/>
      <w:bookmarkStart w:id="14" w:name="_Toc35393631"/>
      <w:r>
        <w:rPr>
          <w:rFonts w:hint="eastAsia" w:ascii="宋体" w:hAnsi="宋体" w:cs="宋体"/>
          <w:color w:val="000000" w:themeColor="text1"/>
          <w:sz w:val="24"/>
          <w:highlight w:val="none"/>
          <w14:textFill>
            <w14:solidFill>
              <w14:schemeClr w14:val="tx1"/>
            </w14:solidFill>
          </w14:textFill>
        </w:rPr>
        <w:t>3.本项目的特定资格要求：</w:t>
      </w:r>
    </w:p>
    <w:p w14:paraId="5FD95533">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3.1</w:t>
      </w:r>
      <w:r>
        <w:rPr>
          <w:rFonts w:hint="eastAsia" w:ascii="宋体" w:hAnsi="宋体" w:cs="宋体"/>
          <w:color w:val="000000" w:themeColor="text1"/>
          <w:sz w:val="24"/>
          <w:highlight w:val="none"/>
          <w14:textFill>
            <w14:solidFill>
              <w14:schemeClr w14:val="tx1"/>
            </w14:solidFill>
          </w14:textFill>
        </w:rPr>
        <w:t>投标人须具有建设行政主管部门核发的</w:t>
      </w:r>
      <w:r>
        <w:rPr>
          <w:rFonts w:hint="eastAsia" w:ascii="宋体" w:hAnsi="宋体" w:cs="宋体"/>
          <w:color w:val="000000" w:themeColor="text1"/>
          <w:sz w:val="24"/>
          <w:highlight w:val="none"/>
          <w:lang w:val="en-US" w:eastAsia="zh-CN"/>
          <w14:textFill>
            <w14:solidFill>
              <w14:schemeClr w14:val="tx1"/>
            </w14:solidFill>
          </w14:textFill>
        </w:rPr>
        <w:t>市政</w:t>
      </w:r>
      <w:r>
        <w:rPr>
          <w:rFonts w:hint="eastAsia" w:ascii="宋体" w:hAnsi="宋体" w:cs="宋体"/>
          <w:color w:val="000000" w:themeColor="text1"/>
          <w:sz w:val="24"/>
          <w:highlight w:val="none"/>
          <w14:textFill>
            <w14:solidFill>
              <w14:schemeClr w14:val="tx1"/>
            </w14:solidFill>
          </w14:textFill>
        </w:rPr>
        <w:t>工程施工总承包三级及以上资质的独立法人，并具有有效的安全生产许可证。</w:t>
      </w:r>
    </w:p>
    <w:p w14:paraId="4AD9F26C">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3.2</w:t>
      </w:r>
      <w:r>
        <w:rPr>
          <w:rFonts w:hint="eastAsia" w:ascii="宋体" w:hAnsi="宋体" w:cs="宋体"/>
          <w:color w:val="000000" w:themeColor="text1"/>
          <w:sz w:val="24"/>
          <w:highlight w:val="none"/>
          <w14:textFill>
            <w14:solidFill>
              <w14:schemeClr w14:val="tx1"/>
            </w14:solidFill>
          </w14:textFill>
        </w:rPr>
        <w:t>项目负责人资格类别和等级</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具有</w:t>
      </w:r>
      <w:r>
        <w:rPr>
          <w:rFonts w:hint="eastAsia" w:ascii="宋体" w:hAnsi="宋体" w:cs="宋体"/>
          <w:color w:val="000000" w:themeColor="text1"/>
          <w:sz w:val="24"/>
          <w:highlight w:val="none"/>
          <w:lang w:val="en-US" w:eastAsia="zh-CN"/>
          <w14:textFill>
            <w14:solidFill>
              <w14:schemeClr w14:val="tx1"/>
            </w14:solidFill>
          </w14:textFill>
        </w:rPr>
        <w:t>市政</w:t>
      </w:r>
      <w:r>
        <w:rPr>
          <w:rFonts w:hint="eastAsia" w:ascii="宋体" w:hAnsi="宋体" w:cs="宋体"/>
          <w:color w:val="000000" w:themeColor="text1"/>
          <w:sz w:val="24"/>
          <w:highlight w:val="none"/>
          <w14:textFill>
            <w14:solidFill>
              <w14:schemeClr w14:val="tx1"/>
            </w14:solidFill>
          </w14:textFill>
        </w:rPr>
        <w:t>工程专业二级及以上注册建造师资格，同时具有有效的安全生产考核合格证（B类）。</w:t>
      </w:r>
    </w:p>
    <w:bookmarkEnd w:id="11"/>
    <w:bookmarkEnd w:id="12"/>
    <w:bookmarkEnd w:id="13"/>
    <w:bookmarkEnd w:id="14"/>
    <w:p w14:paraId="17BF9FDC">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bookmarkStart w:id="15" w:name="_Toc35393801"/>
      <w:bookmarkStart w:id="16" w:name="_Toc28359092"/>
      <w:bookmarkStart w:id="17" w:name="_Toc35393632"/>
      <w:bookmarkStart w:id="18" w:name="_Toc28359015"/>
      <w:r>
        <w:rPr>
          <w:rFonts w:hint="eastAsia" w:ascii="宋体" w:hAnsi="宋体" w:cs="宋体"/>
          <w:color w:val="000000" w:themeColor="text1"/>
          <w:sz w:val="24"/>
          <w:highlight w:val="none"/>
          <w:lang w:val="en-US" w:eastAsia="zh-CN"/>
          <w14:textFill>
            <w14:solidFill>
              <w14:schemeClr w14:val="tx1"/>
            </w14:solidFill>
          </w14:textFill>
        </w:rPr>
        <w:t>3.3</w:t>
      </w:r>
      <w:r>
        <w:rPr>
          <w:rFonts w:hint="eastAsia" w:ascii="宋体" w:hAnsi="宋体" w:cs="宋体"/>
          <w:color w:val="000000" w:themeColor="text1"/>
          <w:sz w:val="24"/>
          <w:highlight w:val="none"/>
          <w14:textFill>
            <w14:solidFill>
              <w14:schemeClr w14:val="tx1"/>
            </w14:solidFill>
          </w14:textFill>
        </w:rPr>
        <w:t>投标申请人代理人及投标承诺的项目负责人均为本单位的正式职工，投标时提供从2026年</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月开始至投标截止之日当月至少1个月在本单位缴纳养老保险缴费记录证明。（退休人员提供在本单位相关证明）。</w:t>
      </w:r>
    </w:p>
    <w:p w14:paraId="5716EC9C">
      <w:pPr>
        <w:pageBreakBefore w:val="0"/>
        <w:kinsoku/>
        <w:wordWrap/>
        <w:overflowPunct/>
        <w:topLinePunct w:val="0"/>
        <w:autoSpaceDE/>
        <w:autoSpaceDN/>
        <w:bidi w:val="0"/>
        <w:spacing w:line="460" w:lineRule="exact"/>
        <w:ind w:left="0" w:leftChars="0" w:firstLine="482" w:firstLineChars="200"/>
        <w:textAlignment w:val="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bookmarkEnd w:id="15"/>
    <w:bookmarkEnd w:id="16"/>
    <w:bookmarkEnd w:id="17"/>
    <w:bookmarkEnd w:id="18"/>
    <w:p w14:paraId="27CB6934">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bookmarkStart w:id="19" w:name="_Toc35393793"/>
      <w:bookmarkStart w:id="20" w:name="_Toc28359082"/>
      <w:bookmarkStart w:id="21" w:name="_Toc28359005"/>
      <w:bookmarkStart w:id="22" w:name="_Toc35393624"/>
      <w:bookmarkStart w:id="23" w:name="_Toc28359007"/>
      <w:bookmarkStart w:id="24" w:name="_Toc35393625"/>
      <w:bookmarkStart w:id="25" w:name="_Toc35393794"/>
      <w:bookmarkStart w:id="26" w:name="_Toc28359084"/>
      <w:bookmarkStart w:id="27" w:name="_Toc35393636"/>
      <w:bookmarkStart w:id="28" w:name="_Toc35393805"/>
      <w:bookmarkStart w:id="29" w:name="_Toc28359018"/>
      <w:bookmarkStart w:id="30" w:name="_Toc28359095"/>
      <w:r>
        <w:rPr>
          <w:rFonts w:hint="eastAsia" w:ascii="宋体" w:hAnsi="宋体" w:cs="宋体"/>
          <w:color w:val="000000" w:themeColor="text1"/>
          <w:sz w:val="24"/>
          <w:highlight w:val="none"/>
          <w14:textFill>
            <w14:solidFill>
              <w14:schemeClr w14:val="tx1"/>
            </w14:solidFill>
          </w14:textFill>
        </w:rPr>
        <w:t>时间：自招标文件公告发布之日起5个工作日 </w:t>
      </w:r>
    </w:p>
    <w:p w14:paraId="51E79C59">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地点：“苏采云”系统内免费下载（投标人必须在苏采云系统中获取采购文件，方能参与政府采购项目）</w:t>
      </w:r>
    </w:p>
    <w:p w14:paraId="371E72C4">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方式：本项目采用网上注册登记方式。  </w:t>
      </w:r>
    </w:p>
    <w:p w14:paraId="3021DBD8">
      <w:pPr>
        <w:pStyle w:val="35"/>
        <w:keepNext/>
        <w:keepLines/>
        <w:pageBreakBefore w:val="0"/>
        <w:kinsoku/>
        <w:wordWrap/>
        <w:overflowPunct/>
        <w:topLinePunct w:val="0"/>
        <w:autoSpaceDE/>
        <w:autoSpaceDN/>
        <w:bidi w:val="0"/>
        <w:spacing w:before="0" w:beforeAutospacing="0" w:after="0" w:afterAutospacing="0" w:line="460" w:lineRule="exact"/>
        <w:ind w:left="0" w:leftChars="0" w:firstLine="480" w:firstLineChars="200"/>
        <w:jc w:val="both"/>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售价：0.00元</w:t>
      </w:r>
      <w:bookmarkEnd w:id="19"/>
      <w:bookmarkEnd w:id="20"/>
      <w:bookmarkEnd w:id="21"/>
      <w:bookmarkEnd w:id="22"/>
    </w:p>
    <w:p w14:paraId="006E31C1">
      <w:pPr>
        <w:pStyle w:val="35"/>
        <w:keepNext/>
        <w:keepLines/>
        <w:pageBreakBefore w:val="0"/>
        <w:kinsoku/>
        <w:wordWrap/>
        <w:overflowPunct/>
        <w:topLinePunct w:val="0"/>
        <w:autoSpaceDE/>
        <w:autoSpaceDN/>
        <w:bidi w:val="0"/>
        <w:spacing w:before="0" w:beforeAutospacing="0" w:after="0" w:afterAutospacing="0" w:line="460" w:lineRule="exact"/>
        <w:ind w:left="0" w:leftChars="0" w:firstLine="482" w:firstLineChars="200"/>
        <w:jc w:val="both"/>
        <w:textAlignment w:val="auto"/>
        <w:rPr>
          <w:rFonts w:hint="eastAsia"/>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四、响应文件提交</w:t>
      </w:r>
    </w:p>
    <w:p w14:paraId="3D3BABC6">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截止时间：</w:t>
      </w:r>
      <w:r>
        <w:rPr>
          <w:rFonts w:hint="eastAsia" w:ascii="宋体" w:hAnsi="宋体" w:cs="宋体"/>
          <w:color w:val="000000" w:themeColor="text1"/>
          <w:sz w:val="24"/>
          <w:highlight w:val="none"/>
          <w:u w:val="single"/>
          <w14:textFill>
            <w14:solidFill>
              <w14:schemeClr w14:val="tx1"/>
            </w14:solidFill>
          </w14:textFill>
        </w:rPr>
        <w:t>202</w:t>
      </w:r>
      <w:r>
        <w:rPr>
          <w:rFonts w:hint="eastAsia" w:ascii="宋体" w:hAnsi="宋体" w:cs="宋体"/>
          <w:color w:val="000000" w:themeColor="text1"/>
          <w:sz w:val="24"/>
          <w:highlight w:val="none"/>
          <w:u w:val="single"/>
          <w:lang w:val="en-US" w:eastAsia="zh-CN"/>
          <w14:textFill>
            <w14:solidFill>
              <w14:schemeClr w14:val="tx1"/>
            </w14:solidFill>
          </w14:textFill>
        </w:rPr>
        <w:t>6</w:t>
      </w:r>
      <w:r>
        <w:rPr>
          <w:rFonts w:hint="eastAsia" w:ascii="宋体" w:hAnsi="宋体" w:cs="宋体"/>
          <w:color w:val="000000" w:themeColor="text1"/>
          <w:sz w:val="24"/>
          <w:highlight w:val="none"/>
          <w:u w:val="singl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10</w:t>
      </w:r>
      <w:r>
        <w:rPr>
          <w:rFonts w:hint="eastAsia" w:ascii="宋体" w:hAnsi="宋体" w:cs="宋体"/>
          <w:color w:val="000000" w:themeColor="text1"/>
          <w:sz w:val="24"/>
          <w:highlight w:val="none"/>
          <w:u w:val="single"/>
          <w14:textFill>
            <w14:solidFill>
              <w14:schemeClr w14:val="tx1"/>
            </w14:solidFill>
          </w14:textFill>
        </w:rPr>
        <w:t>月</w:t>
      </w:r>
      <w:r>
        <w:rPr>
          <w:rFonts w:hint="eastAsia" w:ascii="宋体" w:hAnsi="宋体" w:cs="宋体"/>
          <w:color w:val="000000" w:themeColor="text1"/>
          <w:sz w:val="24"/>
          <w:highlight w:val="none"/>
          <w:u w:val="single"/>
          <w:lang w:val="en-US" w:eastAsia="zh-CN"/>
          <w14:textFill>
            <w14:solidFill>
              <w14:schemeClr w14:val="tx1"/>
            </w14:solidFill>
          </w14:textFill>
        </w:rPr>
        <w:t>26</w:t>
      </w:r>
      <w:r>
        <w:rPr>
          <w:rFonts w:hint="eastAsia" w:ascii="宋体" w:hAnsi="宋体" w:cs="宋体"/>
          <w:color w:val="000000" w:themeColor="text1"/>
          <w:sz w:val="24"/>
          <w:highlight w:val="none"/>
          <w:u w:val="single"/>
          <w14:textFill>
            <w14:solidFill>
              <w14:schemeClr w14:val="tx1"/>
            </w14:solidFill>
          </w14:textFill>
        </w:rPr>
        <w:t>日</w:t>
      </w: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点00分</w:t>
      </w:r>
    </w:p>
    <w:p w14:paraId="74EFFE1E">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w:t>
      </w:r>
      <w:bookmarkStart w:id="151" w:name="_GoBack"/>
      <w:bookmarkEnd w:id="151"/>
      <w:r>
        <w:rPr>
          <w:rFonts w:hint="eastAsia" w:ascii="宋体" w:hAnsi="宋体" w:eastAsia="宋体" w:cs="宋体"/>
          <w:position w:val="2"/>
          <w:sz w:val="24"/>
        </w:rPr>
        <w:t>“苏采云”政府采购交易系统网上开标大厅</w:t>
      </w:r>
    </w:p>
    <w:bookmarkEnd w:id="23"/>
    <w:bookmarkEnd w:id="24"/>
    <w:bookmarkEnd w:id="25"/>
    <w:bookmarkEnd w:id="26"/>
    <w:p w14:paraId="04652980">
      <w:pPr>
        <w:pStyle w:val="35"/>
        <w:keepNext/>
        <w:keepLines/>
        <w:pageBreakBefore w:val="0"/>
        <w:kinsoku/>
        <w:wordWrap/>
        <w:overflowPunct/>
        <w:topLinePunct w:val="0"/>
        <w:autoSpaceDE/>
        <w:autoSpaceDN/>
        <w:bidi w:val="0"/>
        <w:spacing w:before="0" w:beforeAutospacing="0" w:after="0" w:afterAutospacing="0" w:line="460" w:lineRule="exact"/>
        <w:ind w:left="0" w:leftChars="0" w:firstLine="482" w:firstLineChars="200"/>
        <w:jc w:val="both"/>
        <w:textAlignment w:val="auto"/>
        <w:rPr>
          <w:rFonts w:hint="eastAsia"/>
          <w:b/>
          <w:color w:val="000000" w:themeColor="text1"/>
          <w:highlight w:val="none"/>
          <w14:textFill>
            <w14:solidFill>
              <w14:schemeClr w14:val="tx1"/>
            </w14:solidFill>
          </w14:textFill>
        </w:rPr>
      </w:pPr>
      <w:bookmarkStart w:id="31" w:name="_Toc38985268"/>
      <w:bookmarkStart w:id="32" w:name="_Toc35393795"/>
      <w:bookmarkStart w:id="33" w:name="_Toc35393626"/>
      <w:r>
        <w:rPr>
          <w:rFonts w:hint="eastAsia"/>
          <w:b/>
          <w:color w:val="000000" w:themeColor="text1"/>
          <w:highlight w:val="none"/>
          <w14:textFill>
            <w14:solidFill>
              <w14:schemeClr w14:val="tx1"/>
            </w14:solidFill>
          </w14:textFill>
        </w:rPr>
        <w:t>五、开启</w:t>
      </w:r>
    </w:p>
    <w:p w14:paraId="1BD4060E">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时间：</w:t>
      </w:r>
      <w:r>
        <w:rPr>
          <w:rFonts w:hint="eastAsia" w:ascii="宋体" w:hAnsi="宋体" w:cs="宋体"/>
          <w:color w:val="000000" w:themeColor="text1"/>
          <w:sz w:val="24"/>
          <w:highlight w:val="none"/>
          <w:u w:val="single"/>
          <w14:textFill>
            <w14:solidFill>
              <w14:schemeClr w14:val="tx1"/>
            </w14:solidFill>
          </w14:textFill>
        </w:rPr>
        <w:t>202</w:t>
      </w:r>
      <w:r>
        <w:rPr>
          <w:rFonts w:hint="eastAsia" w:ascii="宋体" w:hAnsi="宋体" w:cs="宋体"/>
          <w:color w:val="000000" w:themeColor="text1"/>
          <w:sz w:val="24"/>
          <w:highlight w:val="none"/>
          <w:u w:val="single"/>
          <w:lang w:val="en-US" w:eastAsia="zh-CN"/>
          <w14:textFill>
            <w14:solidFill>
              <w14:schemeClr w14:val="tx1"/>
            </w14:solidFill>
          </w14:textFill>
        </w:rPr>
        <w:t>6</w:t>
      </w:r>
      <w:r>
        <w:rPr>
          <w:rFonts w:hint="eastAsia" w:ascii="宋体" w:hAnsi="宋体" w:cs="宋体"/>
          <w:color w:val="000000" w:themeColor="text1"/>
          <w:sz w:val="24"/>
          <w:highlight w:val="none"/>
          <w:u w:val="single"/>
          <w14:textFill>
            <w14:solidFill>
              <w14:schemeClr w14:val="tx1"/>
            </w14:solidFill>
          </w14:textFill>
        </w:rPr>
        <w:t>年</w:t>
      </w:r>
      <w:r>
        <w:rPr>
          <w:rFonts w:hint="eastAsia" w:ascii="宋体" w:hAnsi="宋体" w:cs="宋体"/>
          <w:color w:val="000000" w:themeColor="text1"/>
          <w:sz w:val="24"/>
          <w:highlight w:val="none"/>
          <w:u w:val="single"/>
          <w:lang w:val="en-US" w:eastAsia="zh-CN"/>
          <w14:textFill>
            <w14:solidFill>
              <w14:schemeClr w14:val="tx1"/>
            </w14:solidFill>
          </w14:textFill>
        </w:rPr>
        <w:t>10</w:t>
      </w:r>
      <w:r>
        <w:rPr>
          <w:rFonts w:hint="eastAsia" w:ascii="宋体" w:hAnsi="宋体" w:cs="宋体"/>
          <w:color w:val="000000" w:themeColor="text1"/>
          <w:sz w:val="24"/>
          <w:highlight w:val="none"/>
          <w:u w:val="single"/>
          <w14:textFill>
            <w14:solidFill>
              <w14:schemeClr w14:val="tx1"/>
            </w14:solidFill>
          </w14:textFill>
        </w:rPr>
        <w:t>月</w:t>
      </w:r>
      <w:r>
        <w:rPr>
          <w:rFonts w:hint="eastAsia" w:ascii="宋体" w:hAnsi="宋体" w:cs="宋体"/>
          <w:color w:val="000000" w:themeColor="text1"/>
          <w:sz w:val="24"/>
          <w:highlight w:val="none"/>
          <w:u w:val="single"/>
          <w:lang w:val="en-US" w:eastAsia="zh-CN"/>
          <w14:textFill>
            <w14:solidFill>
              <w14:schemeClr w14:val="tx1"/>
            </w14:solidFill>
          </w14:textFill>
        </w:rPr>
        <w:t>26</w:t>
      </w:r>
      <w:r>
        <w:rPr>
          <w:rFonts w:hint="eastAsia" w:ascii="宋体" w:hAnsi="宋体" w:cs="宋体"/>
          <w:color w:val="000000" w:themeColor="text1"/>
          <w:sz w:val="24"/>
          <w:highlight w:val="none"/>
          <w:u w:val="single"/>
          <w14:textFill>
            <w14:solidFill>
              <w14:schemeClr w14:val="tx1"/>
            </w14:solidFill>
          </w14:textFill>
        </w:rPr>
        <w:t>日</w:t>
      </w:r>
      <w:r>
        <w:rPr>
          <w:rFonts w:hint="eastAsia" w:ascii="宋体" w:hAnsi="宋体" w:cs="宋体"/>
          <w:color w:val="000000" w:themeColor="text1"/>
          <w:sz w:val="24"/>
          <w:highlight w:val="none"/>
          <w:u w:val="single"/>
          <w:lang w:val="en-US" w:eastAsia="zh-CN"/>
          <w14:textFill>
            <w14:solidFill>
              <w14:schemeClr w14:val="tx1"/>
            </w14:solidFill>
          </w14:textFill>
        </w:rPr>
        <w:t>9</w:t>
      </w:r>
      <w:r>
        <w:rPr>
          <w:rFonts w:hint="eastAsia" w:ascii="宋体" w:hAnsi="宋体" w:cs="宋体"/>
          <w:color w:val="000000" w:themeColor="text1"/>
          <w:sz w:val="24"/>
          <w:highlight w:val="none"/>
          <w:u w:val="single"/>
          <w14:textFill>
            <w14:solidFill>
              <w14:schemeClr w14:val="tx1"/>
            </w14:solidFill>
          </w14:textFill>
        </w:rPr>
        <w:t>点00分</w:t>
      </w:r>
      <w:r>
        <w:rPr>
          <w:rFonts w:hint="eastAsia" w:ascii="宋体" w:hAnsi="宋体" w:cs="宋体"/>
          <w:color w:val="000000" w:themeColor="text1"/>
          <w:sz w:val="24"/>
          <w:highlight w:val="none"/>
          <w14:textFill>
            <w14:solidFill>
              <w14:schemeClr w14:val="tx1"/>
            </w14:solidFill>
          </w14:textFill>
        </w:rPr>
        <w:t>（北京时间）。</w:t>
      </w:r>
      <w:bookmarkEnd w:id="31"/>
      <w:bookmarkEnd w:id="32"/>
      <w:bookmarkEnd w:id="33"/>
    </w:p>
    <w:p w14:paraId="1A623FCC">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地点：</w:t>
      </w:r>
      <w:r>
        <w:rPr>
          <w:rFonts w:hint="eastAsia" w:ascii="宋体" w:hAnsi="宋体" w:eastAsia="宋体" w:cs="宋体"/>
          <w:position w:val="2"/>
          <w:sz w:val="24"/>
        </w:rPr>
        <w:t>“苏采云”政府采购交易系统网上开标大厅</w:t>
      </w:r>
    </w:p>
    <w:p w14:paraId="6BAB2386">
      <w:pPr>
        <w:pStyle w:val="35"/>
        <w:keepNext/>
        <w:keepLines/>
        <w:pageBreakBefore w:val="0"/>
        <w:kinsoku/>
        <w:wordWrap/>
        <w:overflowPunct/>
        <w:topLinePunct w:val="0"/>
        <w:autoSpaceDE/>
        <w:autoSpaceDN/>
        <w:bidi w:val="0"/>
        <w:spacing w:before="0" w:beforeAutospacing="0" w:after="0" w:afterAutospacing="0" w:line="460" w:lineRule="exact"/>
        <w:ind w:left="0" w:leftChars="0" w:firstLine="482" w:firstLineChars="200"/>
        <w:jc w:val="both"/>
        <w:textAlignment w:val="auto"/>
        <w:rPr>
          <w:rFonts w:hint="eastAsia"/>
          <w:b/>
          <w:color w:val="000000" w:themeColor="text1"/>
          <w:highlight w:val="none"/>
          <w14:textFill>
            <w14:solidFill>
              <w14:schemeClr w14:val="tx1"/>
            </w14:solidFill>
          </w14:textFill>
        </w:rPr>
      </w:pPr>
      <w:bookmarkStart w:id="34" w:name="_Toc28359094"/>
      <w:r>
        <w:rPr>
          <w:rFonts w:hint="eastAsia"/>
          <w:b/>
          <w:color w:val="000000" w:themeColor="text1"/>
          <w:highlight w:val="none"/>
          <w14:textFill>
            <w14:solidFill>
              <w14:schemeClr w14:val="tx1"/>
            </w14:solidFill>
          </w14:textFill>
        </w:rPr>
        <w:t>六、公告期限</w:t>
      </w:r>
      <w:bookmarkEnd w:id="34"/>
    </w:p>
    <w:p w14:paraId="0126CF4B">
      <w:pPr>
        <w:pageBreakBefore w:val="0"/>
        <w:kinsoku/>
        <w:wordWrap/>
        <w:overflowPunct/>
        <w:topLinePunct w:val="0"/>
        <w:autoSpaceDE/>
        <w:autoSpaceDN/>
        <w:bidi w:val="0"/>
        <w:spacing w:line="460" w:lineRule="exact"/>
        <w:ind w:left="0" w:leftChars="0"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自本公告发布之日起3个工作日</w:t>
      </w:r>
    </w:p>
    <w:p w14:paraId="39A92A65">
      <w:pPr>
        <w:pStyle w:val="35"/>
        <w:pageBreakBefore w:val="0"/>
        <w:kinsoku/>
        <w:wordWrap/>
        <w:overflowPunct/>
        <w:topLinePunct w:val="0"/>
        <w:autoSpaceDE/>
        <w:autoSpaceDN/>
        <w:bidi w:val="0"/>
        <w:spacing w:before="0" w:beforeAutospacing="0" w:after="0" w:afterAutospacing="0" w:line="460" w:lineRule="exact"/>
        <w:ind w:left="0" w:leftChars="0" w:firstLine="482" w:firstLineChars="200"/>
        <w:textAlignment w:val="auto"/>
        <w:rPr>
          <w:rFonts w:hint="eastAsia"/>
          <w:b/>
          <w:color w:val="000000" w:themeColor="text1"/>
          <w:highlight w:val="none"/>
          <w14:textFill>
            <w14:solidFill>
              <w14:schemeClr w14:val="tx1"/>
            </w14:solidFill>
          </w14:textFill>
        </w:rPr>
      </w:pPr>
      <w:r>
        <w:rPr>
          <w:rFonts w:hint="eastAsia" w:cs="宋体"/>
          <w:b/>
          <w:color w:val="000000" w:themeColor="text1"/>
          <w:sz w:val="24"/>
          <w:highlight w:val="none"/>
          <w:lang w:val="en-US" w:eastAsia="zh-CN"/>
          <w14:textFill>
            <w14:solidFill>
              <w14:schemeClr w14:val="tx1"/>
            </w14:solidFill>
          </w14:textFill>
        </w:rPr>
        <w:t>七、</w:t>
      </w:r>
      <w:r>
        <w:rPr>
          <w:rFonts w:hint="eastAsia"/>
          <w:b/>
          <w:color w:val="000000" w:themeColor="text1"/>
          <w:highlight w:val="none"/>
          <w14:textFill>
            <w14:solidFill>
              <w14:schemeClr w14:val="tx1"/>
            </w14:solidFill>
          </w14:textFill>
        </w:rPr>
        <w:t>其他补充事宜</w:t>
      </w:r>
    </w:p>
    <w:p w14:paraId="3F0BE011">
      <w:pPr>
        <w:spacing w:line="500" w:lineRule="exact"/>
        <w:ind w:firstLine="480"/>
        <w:rPr>
          <w:rFonts w:hint="eastAsia" w:ascii="宋体" w:hAnsi="宋体" w:eastAsia="宋体" w:cs="宋体"/>
          <w:sz w:val="24"/>
        </w:rPr>
      </w:pPr>
      <w:r>
        <w:rPr>
          <w:rFonts w:hint="eastAsia" w:ascii="宋体" w:hAnsi="宋体" w:eastAsia="宋体" w:cs="宋体"/>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59FBF1F">
      <w:pPr>
        <w:spacing w:line="500" w:lineRule="exact"/>
        <w:ind w:firstLine="480"/>
        <w:rPr>
          <w:rFonts w:hint="eastAsia" w:ascii="宋体" w:hAnsi="宋体" w:eastAsia="宋体" w:cs="宋体"/>
          <w:sz w:val="24"/>
        </w:rPr>
      </w:pPr>
      <w:r>
        <w:rPr>
          <w:rFonts w:hint="eastAsia" w:ascii="宋体" w:hAnsi="宋体" w:eastAsia="宋体" w:cs="宋体"/>
          <w:sz w:val="24"/>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1C73E507">
      <w:pPr>
        <w:spacing w:line="500" w:lineRule="exact"/>
        <w:ind w:firstLine="480"/>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p>
    <w:p w14:paraId="2525EC13">
      <w:pPr>
        <w:spacing w:line="500" w:lineRule="exact"/>
        <w:ind w:firstLine="480"/>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3ADE6706">
      <w:pPr>
        <w:spacing w:line="500" w:lineRule="exact"/>
        <w:ind w:firstLine="480"/>
        <w:rPr>
          <w:rFonts w:hint="eastAsia" w:ascii="宋体" w:hAnsi="宋体" w:eastAsia="宋体" w:cs="宋体"/>
          <w:sz w:val="24"/>
        </w:rPr>
      </w:pPr>
      <w:r>
        <w:rPr>
          <w:rFonts w:hint="eastAsia" w:ascii="宋体" w:hAnsi="宋体" w:eastAsia="宋体" w:cs="宋体"/>
          <w:sz w:val="24"/>
        </w:rPr>
        <w:t xml:space="preserve">2.2潜在投标人访问“苏采云”系统方法：江苏省政府采购网首页-“苏采云”链接。 </w:t>
      </w:r>
    </w:p>
    <w:p w14:paraId="01232E05">
      <w:pPr>
        <w:spacing w:line="500" w:lineRule="exact"/>
        <w:ind w:firstLine="480"/>
        <w:rPr>
          <w:rFonts w:hint="eastAsia"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p>
    <w:p w14:paraId="3DA92B51">
      <w:pPr>
        <w:spacing w:line="500" w:lineRule="exact"/>
        <w:ind w:firstLine="480"/>
        <w:rPr>
          <w:rFonts w:hint="eastAsia" w:ascii="宋体" w:hAnsi="宋体" w:eastAsia="宋体" w:cs="宋体"/>
          <w:sz w:val="24"/>
        </w:rPr>
      </w:pPr>
      <w:r>
        <w:rPr>
          <w:rFonts w:hint="eastAsia" w:ascii="宋体" w:hAnsi="宋体" w:eastAsia="宋体" w:cs="宋体"/>
          <w:sz w:val="24"/>
        </w:rPr>
        <w:t xml:space="preserve">2.4采购代理机构将数据电文形式的采购文件加载至“苏采云”系统，供潜在供应商下载或者查阅。 </w:t>
      </w:r>
    </w:p>
    <w:p w14:paraId="1DEF906E">
      <w:pPr>
        <w:spacing w:line="500" w:lineRule="exact"/>
        <w:ind w:firstLine="480"/>
        <w:rPr>
          <w:rFonts w:hint="eastAsia" w:ascii="宋体" w:hAnsi="宋体" w:eastAsia="宋体" w:cs="宋体"/>
          <w:sz w:val="24"/>
        </w:rPr>
      </w:pPr>
      <w:r>
        <w:rPr>
          <w:rFonts w:hint="eastAsia" w:ascii="宋体" w:hAnsi="宋体" w:eastAsia="宋体" w:cs="宋体"/>
          <w:sz w:val="24"/>
        </w:rPr>
        <w:t>2.5请潜在投标单位提前安装相应的控件（详见《“苏采云”系统供应商操作手册》）并使用谷歌浏览器登录“苏采云”系统参与不见面开评标。</w:t>
      </w:r>
    </w:p>
    <w:p w14:paraId="0A848E47">
      <w:pPr>
        <w:spacing w:line="500" w:lineRule="exact"/>
        <w:ind w:firstLine="480"/>
        <w:rPr>
          <w:rFonts w:hint="eastAsia" w:ascii="宋体" w:hAnsi="宋体" w:eastAsia="宋体" w:cs="宋体"/>
          <w:sz w:val="24"/>
        </w:rPr>
      </w:pPr>
      <w:r>
        <w:rPr>
          <w:rFonts w:hint="eastAsia" w:ascii="宋体" w:hAnsi="宋体" w:eastAsia="宋体" w:cs="宋体"/>
          <w:sz w:val="24"/>
        </w:rPr>
        <w:t>如潜在投标人未按上述要求操作，将自行承担所产生的风险。</w:t>
      </w:r>
    </w:p>
    <w:p w14:paraId="1A52E3C1">
      <w:pPr>
        <w:spacing w:line="500" w:lineRule="exact"/>
        <w:ind w:firstLine="480"/>
        <w:rPr>
          <w:rFonts w:hint="eastAsia" w:ascii="宋体" w:hAnsi="宋体" w:eastAsia="宋体" w:cs="宋体"/>
          <w:sz w:val="24"/>
        </w:rPr>
      </w:pPr>
      <w:r>
        <w:rPr>
          <w:rFonts w:hint="eastAsia" w:ascii="宋体" w:hAnsi="宋体" w:eastAsia="宋体" w:cs="宋体"/>
          <w:sz w:val="24"/>
        </w:rPr>
        <w:t>3.有关本次磋商的事项若存在变动或修改，敬请及时关注采购人在“中国政府采购网”、“江苏政府采购网”、“盐城市政府采购网”发布的更正公告。</w:t>
      </w:r>
    </w:p>
    <w:p w14:paraId="78F83229">
      <w:pPr>
        <w:spacing w:line="500" w:lineRule="exact"/>
        <w:ind w:firstLine="480"/>
        <w:rPr>
          <w:rFonts w:hint="eastAsia" w:ascii="宋体" w:hAnsi="宋体" w:eastAsia="宋体" w:cs="宋体"/>
          <w:sz w:val="24"/>
        </w:rPr>
      </w:pPr>
      <w:r>
        <w:rPr>
          <w:rFonts w:hint="eastAsia" w:ascii="宋体" w:hAnsi="宋体" w:eastAsia="宋体" w:cs="宋体"/>
          <w:sz w:val="24"/>
        </w:rPr>
        <w:t>4.供应商不得提供虚假材料谋取中标成交的或采取不正当手段诋毁、排挤其他供应商。</w:t>
      </w:r>
    </w:p>
    <w:p w14:paraId="64A940EF">
      <w:pPr>
        <w:spacing w:line="500" w:lineRule="exact"/>
        <w:ind w:firstLine="480"/>
        <w:rPr>
          <w:rFonts w:hint="eastAsia" w:ascii="宋体" w:hAnsi="宋体" w:eastAsia="宋体" w:cs="宋体"/>
          <w:sz w:val="24"/>
        </w:rPr>
      </w:pPr>
      <w:r>
        <w:rPr>
          <w:rFonts w:hint="eastAsia" w:ascii="宋体" w:hAnsi="宋体" w:eastAsia="宋体" w:cs="宋体"/>
          <w:sz w:val="24"/>
        </w:rPr>
        <w:t>5</w:t>
      </w:r>
      <w:r>
        <w:rPr>
          <w:rFonts w:ascii="宋体" w:hAnsi="宋体" w:eastAsia="宋体" w:cs="宋体"/>
          <w:sz w:val="24"/>
        </w:rPr>
        <w:t>.</w:t>
      </w:r>
      <w:r>
        <w:rPr>
          <w:rFonts w:hint="eastAsia" w:ascii="宋体" w:hAnsi="宋体" w:eastAsia="宋体" w:cs="宋体"/>
          <w:sz w:val="24"/>
        </w:rPr>
        <w:t>供应商存在串通投标、以他人名义投标、弄虚作假等违法违规行为，或者无正当理由放弃投标、中标资格，造成项目招标失败的，不得参加该项目重新招标的投标。</w:t>
      </w:r>
    </w:p>
    <w:p w14:paraId="4C2CFC59">
      <w:pPr>
        <w:spacing w:line="500" w:lineRule="exact"/>
        <w:ind w:firstLine="480"/>
        <w:rPr>
          <w:rFonts w:hint="eastAsia" w:ascii="宋体" w:hAnsi="宋体" w:eastAsia="宋体" w:cs="宋体"/>
          <w:sz w:val="24"/>
        </w:rPr>
      </w:pPr>
      <w:r>
        <w:rPr>
          <w:rFonts w:hint="eastAsia" w:ascii="宋体" w:hAnsi="宋体" w:eastAsia="宋体" w:cs="宋体"/>
          <w:sz w:val="24"/>
        </w:rPr>
        <w:t>6</w:t>
      </w:r>
      <w:r>
        <w:rPr>
          <w:rFonts w:ascii="宋体" w:hAnsi="宋体" w:eastAsia="宋体" w:cs="宋体"/>
          <w:sz w:val="24"/>
        </w:rPr>
        <w:t>.</w:t>
      </w:r>
      <w:r>
        <w:rPr>
          <w:rFonts w:hint="eastAsia" w:ascii="宋体" w:hAnsi="宋体" w:eastAsia="宋体" w:cs="宋体"/>
          <w:sz w:val="24"/>
        </w:rPr>
        <w:t>因供应商的系统环境、操作等原因导致项目参与、开评标过程中出现问题由供应商自行承担负责。</w:t>
      </w:r>
    </w:p>
    <w:p w14:paraId="74D9AEE8">
      <w:pPr>
        <w:spacing w:line="500" w:lineRule="exact"/>
        <w:ind w:firstLine="480"/>
        <w:rPr>
          <w:rFonts w:hint="eastAsia" w:ascii="宋体" w:hAnsi="宋体" w:eastAsia="宋体" w:cs="宋体"/>
          <w:sz w:val="24"/>
        </w:rPr>
      </w:pPr>
      <w:r>
        <w:rPr>
          <w:rFonts w:hint="eastAsia" w:ascii="宋体" w:hAnsi="宋体" w:eastAsia="宋体" w:cs="宋体"/>
          <w:sz w:val="24"/>
        </w:rPr>
        <w:t>7.本次磋商不收取投标保证金，不收取质量保证金。</w:t>
      </w:r>
    </w:p>
    <w:p w14:paraId="4FA605A1">
      <w:pPr>
        <w:pageBreakBefore w:val="0"/>
        <w:numPr>
          <w:ilvl w:val="0"/>
          <w:numId w:val="0"/>
        </w:numPr>
        <w:kinsoku/>
        <w:wordWrap/>
        <w:overflowPunct/>
        <w:topLinePunct w:val="0"/>
        <w:autoSpaceDE/>
        <w:autoSpaceDN/>
        <w:bidi w:val="0"/>
        <w:adjustRightInd w:val="0"/>
        <w:snapToGrid w:val="0"/>
        <w:spacing w:line="460" w:lineRule="exact"/>
        <w:ind w:left="0" w:leftChars="0" w:firstLine="482" w:firstLineChars="200"/>
        <w:textAlignment w:val="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八、</w:t>
      </w:r>
      <w:r>
        <w:rPr>
          <w:rFonts w:hint="eastAsia" w:ascii="宋体" w:hAnsi="宋体" w:cs="宋体"/>
          <w:b/>
          <w:bCs/>
          <w:color w:val="000000" w:themeColor="text1"/>
          <w:sz w:val="24"/>
          <w:highlight w:val="none"/>
          <w14:textFill>
            <w14:solidFill>
              <w14:schemeClr w14:val="tx1"/>
            </w14:solidFill>
          </w14:textFill>
        </w:rPr>
        <w:t>凡对本次采购提出询问，请按以下方式联系。</w:t>
      </w:r>
      <w:bookmarkEnd w:id="27"/>
      <w:bookmarkEnd w:id="28"/>
      <w:bookmarkEnd w:id="29"/>
      <w:bookmarkEnd w:id="30"/>
    </w:p>
    <w:p w14:paraId="7D89E0F4">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jc w:val="left"/>
        <w:textAlignment w:val="auto"/>
        <w:rPr>
          <w:rFonts w:hint="eastAsia" w:ascii="宋体" w:hAnsi="宋体" w:cs="宋体"/>
          <w:b/>
          <w:bCs/>
          <w:sz w:val="24"/>
          <w:highlight w:val="none"/>
        </w:rPr>
      </w:pPr>
      <w:r>
        <w:rPr>
          <w:rFonts w:hint="eastAsia" w:ascii="宋体" w:hAnsi="宋体" w:cs="宋体"/>
          <w:b/>
          <w:bCs/>
          <w:sz w:val="24"/>
          <w:highlight w:val="none"/>
        </w:rPr>
        <w:t>1.采购人信息</w:t>
      </w:r>
    </w:p>
    <w:p w14:paraId="36A83B48">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highlight w:val="none"/>
          <w:u w:val="none"/>
          <w:lang w:eastAsia="zh-CN"/>
        </w:rPr>
      </w:pPr>
      <w:r>
        <w:rPr>
          <w:rFonts w:hint="eastAsia" w:ascii="宋体" w:hAnsi="宋体" w:cs="宋体"/>
          <w:sz w:val="24"/>
          <w:highlight w:val="none"/>
          <w:u w:val="none"/>
        </w:rPr>
        <w:t>名    称：</w:t>
      </w:r>
      <w:r>
        <w:rPr>
          <w:rFonts w:hint="eastAsia" w:ascii="宋体" w:hAnsi="宋体" w:cs="宋体"/>
          <w:sz w:val="24"/>
          <w:highlight w:val="none"/>
          <w:u w:val="none"/>
          <w:lang w:eastAsia="zh-CN"/>
        </w:rPr>
        <w:t>盐城市亭湖区便仓镇人民政府</w:t>
      </w:r>
    </w:p>
    <w:p w14:paraId="090791C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sz w:val="24"/>
          <w:highlight w:val="none"/>
          <w:u w:val="none"/>
        </w:rPr>
      </w:pPr>
      <w:r>
        <w:rPr>
          <w:rFonts w:hint="eastAsia" w:ascii="宋体" w:hAnsi="宋体" w:cs="宋体"/>
          <w:sz w:val="24"/>
          <w:highlight w:val="none"/>
          <w:u w:val="none"/>
        </w:rPr>
        <w:t>地    址：</w:t>
      </w:r>
      <w:r>
        <w:rPr>
          <w:rFonts w:hint="eastAsia" w:ascii="宋体" w:hAnsi="宋体" w:eastAsia="宋体" w:cs="宋体"/>
          <w:color w:val="auto"/>
          <w:sz w:val="24"/>
          <w:szCs w:val="24"/>
          <w:highlight w:val="none"/>
        </w:rPr>
        <w:t>江苏省盐城市亭湖区便仓镇仓中路56号</w:t>
      </w:r>
    </w:p>
    <w:p w14:paraId="02E9BBF7">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highlight w:val="none"/>
          <w:u w:val="none"/>
          <w:lang w:val="en-US" w:eastAsia="zh-CN"/>
        </w:rPr>
      </w:pPr>
      <w:r>
        <w:rPr>
          <w:rFonts w:hint="eastAsia" w:ascii="宋体" w:hAnsi="宋体" w:cs="宋体"/>
          <w:sz w:val="24"/>
          <w:highlight w:val="none"/>
          <w:u w:val="none"/>
        </w:rPr>
        <w:t>联 系 人：</w:t>
      </w:r>
      <w:r>
        <w:rPr>
          <w:rFonts w:hint="eastAsia" w:ascii="宋体" w:hAnsi="宋体" w:cs="宋体"/>
          <w:sz w:val="24"/>
          <w:highlight w:val="none"/>
          <w:u w:val="none"/>
          <w:lang w:val="en-US" w:eastAsia="zh-CN"/>
        </w:rPr>
        <w:t>陈主任</w:t>
      </w:r>
    </w:p>
    <w:p w14:paraId="77BCB199">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ascii="宋体" w:hAnsi="宋体" w:cs="宋体"/>
          <w:sz w:val="24"/>
          <w:highlight w:val="none"/>
          <w:u w:val="none"/>
        </w:rPr>
      </w:pPr>
      <w:r>
        <w:rPr>
          <w:rFonts w:hint="eastAsia" w:ascii="宋体" w:hAnsi="宋体" w:cs="宋体"/>
          <w:sz w:val="24"/>
          <w:highlight w:val="none"/>
          <w:u w:val="none"/>
        </w:rPr>
        <w:t>联系电话：13851181369　</w:t>
      </w:r>
    </w:p>
    <w:p w14:paraId="474B63B0">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jc w:val="left"/>
        <w:textAlignment w:val="auto"/>
        <w:rPr>
          <w:rFonts w:ascii="宋体" w:hAnsi="宋体" w:cs="宋体"/>
          <w:b/>
          <w:bCs/>
          <w:sz w:val="24"/>
          <w:highlight w:val="none"/>
        </w:rPr>
      </w:pPr>
      <w:r>
        <w:rPr>
          <w:rFonts w:hint="eastAsia" w:ascii="宋体" w:hAnsi="宋体" w:cs="宋体"/>
          <w:b/>
          <w:bCs/>
          <w:sz w:val="24"/>
          <w:highlight w:val="none"/>
        </w:rPr>
        <w:t>2.招标代理机构信息</w:t>
      </w:r>
    </w:p>
    <w:p w14:paraId="7F4FF46B">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highlight w:val="none"/>
          <w:u w:val="none"/>
          <w:lang w:eastAsia="zh-CN"/>
        </w:rPr>
      </w:pPr>
      <w:r>
        <w:rPr>
          <w:rFonts w:hint="eastAsia" w:ascii="宋体" w:hAnsi="宋体" w:cs="宋体"/>
          <w:sz w:val="24"/>
          <w:highlight w:val="none"/>
          <w:u w:val="none"/>
        </w:rPr>
        <w:t>名    称：</w:t>
      </w:r>
      <w:r>
        <w:rPr>
          <w:rFonts w:hint="eastAsia" w:ascii="宋体" w:hAnsi="宋体" w:cs="宋体"/>
          <w:sz w:val="24"/>
          <w:highlight w:val="none"/>
          <w:u w:val="none"/>
          <w:lang w:eastAsia="zh-CN"/>
        </w:rPr>
        <w:t>江苏盐渎工程咨询有限公司</w:t>
      </w:r>
    </w:p>
    <w:p w14:paraId="2233653B">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highlight w:val="none"/>
          <w:u w:val="none"/>
          <w:lang w:eastAsia="zh-CN"/>
        </w:rPr>
      </w:pPr>
      <w:r>
        <w:rPr>
          <w:rFonts w:hint="eastAsia" w:ascii="宋体" w:hAnsi="宋体" w:cs="宋体"/>
          <w:sz w:val="24"/>
          <w:highlight w:val="none"/>
          <w:u w:val="none"/>
        </w:rPr>
        <w:t>地　　址：</w:t>
      </w:r>
      <w:r>
        <w:rPr>
          <w:rFonts w:hint="eastAsia" w:ascii="宋体" w:hAnsi="宋体" w:cs="宋体"/>
          <w:sz w:val="24"/>
          <w:highlight w:val="none"/>
          <w:u w:val="none"/>
          <w:lang w:eastAsia="zh-CN"/>
        </w:rPr>
        <w:t>盐城市盐都区金融城10号楼1206</w:t>
      </w:r>
    </w:p>
    <w:p w14:paraId="5AB43E99">
      <w:pPr>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outlineLvl w:val="9"/>
        <w:rPr>
          <w:rFonts w:ascii="宋体" w:hAnsi="宋体" w:cs="宋体"/>
          <w:sz w:val="24"/>
          <w:highlight w:val="none"/>
        </w:rPr>
      </w:pPr>
      <w:r>
        <w:rPr>
          <w:rFonts w:hint="eastAsia" w:ascii="宋体" w:hAnsi="宋体" w:cs="宋体"/>
          <w:sz w:val="24"/>
          <w:highlight w:val="none"/>
          <w:u w:val="none"/>
        </w:rPr>
        <w:t>联 系 人：</w:t>
      </w:r>
      <w:r>
        <w:rPr>
          <w:rFonts w:hint="eastAsia" w:ascii="宋体" w:hAnsi="宋体" w:cs="宋体"/>
          <w:sz w:val="24"/>
          <w:highlight w:val="none"/>
          <w:lang w:val="en-US" w:eastAsia="zh-CN"/>
        </w:rPr>
        <w:t>张工</w:t>
      </w:r>
      <w:r>
        <w:rPr>
          <w:rFonts w:hint="eastAsia" w:ascii="宋体" w:hAnsi="宋体" w:cs="宋体"/>
          <w:sz w:val="24"/>
          <w:highlight w:val="none"/>
        </w:rPr>
        <w:t xml:space="preserve">      </w:t>
      </w:r>
    </w:p>
    <w:p w14:paraId="2B0DEACB">
      <w:pPr>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outlineLvl w:val="9"/>
        <w:rPr>
          <w:rFonts w:hint="default" w:ascii="宋体" w:hAnsi="宋体" w:eastAsia="宋体" w:cs="宋体"/>
          <w:sz w:val="24"/>
          <w:highlight w:val="none"/>
          <w:lang w:val="en-US" w:eastAsia="zh-CN"/>
        </w:rPr>
      </w:pPr>
      <w:r>
        <w:rPr>
          <w:rFonts w:hint="eastAsia" w:ascii="宋体" w:hAnsi="宋体" w:cs="宋体"/>
          <w:sz w:val="24"/>
          <w:highlight w:val="none"/>
        </w:rPr>
        <w:t>联系电话：15251096137</w:t>
      </w:r>
    </w:p>
    <w:p w14:paraId="7F77C6B0">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jc w:val="left"/>
        <w:textAlignment w:val="auto"/>
        <w:rPr>
          <w:rFonts w:hint="eastAsia" w:ascii="宋体" w:hAnsi="宋体" w:cs="宋体"/>
          <w:b/>
          <w:bCs/>
          <w:sz w:val="24"/>
          <w:highlight w:val="none"/>
        </w:rPr>
      </w:pPr>
      <w:bookmarkStart w:id="35" w:name="_Hlt26954810"/>
      <w:bookmarkEnd w:id="35"/>
      <w:bookmarkStart w:id="36" w:name="_Hlt26954907"/>
      <w:bookmarkEnd w:id="36"/>
      <w:bookmarkStart w:id="37" w:name="_Hlt26668836"/>
      <w:bookmarkEnd w:id="37"/>
      <w:bookmarkStart w:id="38" w:name="_Hlt26954824"/>
      <w:bookmarkEnd w:id="38"/>
      <w:bookmarkStart w:id="39" w:name="_Hlt26670330"/>
      <w:bookmarkEnd w:id="39"/>
      <w:r>
        <w:rPr>
          <w:rFonts w:hint="eastAsia" w:ascii="宋体" w:hAnsi="宋体" w:cs="宋体"/>
          <w:b/>
          <w:bCs/>
          <w:sz w:val="24"/>
          <w:highlight w:val="none"/>
        </w:rPr>
        <w:t>3.项目联系方式</w:t>
      </w:r>
    </w:p>
    <w:p w14:paraId="78B4740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sz w:val="24"/>
          <w:highlight w:val="none"/>
          <w:u w:val="none"/>
        </w:rPr>
      </w:pPr>
      <w:r>
        <w:rPr>
          <w:rFonts w:hint="eastAsia" w:ascii="宋体" w:hAnsi="宋体" w:cs="宋体"/>
          <w:b w:val="0"/>
          <w:bCs w:val="0"/>
          <w:sz w:val="24"/>
          <w:highlight w:val="none"/>
        </w:rPr>
        <w:t>项目联系人：</w:t>
      </w:r>
      <w:r>
        <w:rPr>
          <w:rFonts w:hint="eastAsia" w:ascii="宋体" w:hAnsi="宋体" w:cs="宋体"/>
          <w:sz w:val="24"/>
          <w:highlight w:val="none"/>
          <w:lang w:val="en-US" w:eastAsia="zh-CN"/>
        </w:rPr>
        <w:t>张工</w:t>
      </w:r>
      <w:r>
        <w:rPr>
          <w:rFonts w:hint="eastAsia" w:ascii="宋体" w:hAnsi="宋体" w:cs="宋体"/>
          <w:sz w:val="24"/>
          <w:highlight w:val="none"/>
          <w:u w:val="none"/>
          <w:lang w:val="en-US" w:eastAsia="zh-CN"/>
        </w:rPr>
        <w:t xml:space="preserve"> </w:t>
      </w:r>
    </w:p>
    <w:p w14:paraId="2615B457">
      <w:pPr>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outlineLvl w:val="9"/>
        <w:rPr>
          <w:rFonts w:hint="eastAsia" w:ascii="宋体" w:hAnsi="宋体" w:cs="宋体"/>
          <w:sz w:val="24"/>
          <w:highlight w:val="none"/>
          <w:lang w:val="en-US" w:eastAsia="zh-CN"/>
        </w:rPr>
      </w:pPr>
      <w:r>
        <w:rPr>
          <w:rFonts w:hint="eastAsia" w:ascii="宋体" w:hAnsi="宋体" w:cs="宋体"/>
          <w:b w:val="0"/>
          <w:bCs w:val="0"/>
          <w:sz w:val="24"/>
          <w:highlight w:val="none"/>
        </w:rPr>
        <w:t>电话：</w:t>
      </w:r>
      <w:bookmarkEnd w:id="0"/>
      <w:bookmarkEnd w:id="1"/>
      <w:bookmarkEnd w:id="2"/>
      <w:r>
        <w:rPr>
          <w:rFonts w:hint="eastAsia" w:ascii="宋体" w:hAnsi="宋体" w:cs="宋体"/>
          <w:sz w:val="24"/>
          <w:highlight w:val="none"/>
        </w:rPr>
        <w:t>15251096137</w:t>
      </w:r>
    </w:p>
    <w:p w14:paraId="1D7DD05E">
      <w:pPr>
        <w:pStyle w:val="14"/>
        <w:rPr>
          <w:rFonts w:hint="eastAsia" w:ascii="宋体" w:hAnsi="宋体" w:cs="宋体"/>
          <w:sz w:val="24"/>
          <w:highlight w:val="none"/>
          <w:lang w:val="en-US" w:eastAsia="zh-CN"/>
        </w:rPr>
      </w:pPr>
    </w:p>
    <w:p w14:paraId="432F8E5A">
      <w:pPr>
        <w:pStyle w:val="14"/>
        <w:rPr>
          <w:rFonts w:hint="eastAsia" w:ascii="宋体" w:hAnsi="宋体" w:cs="宋体"/>
          <w:sz w:val="24"/>
          <w:highlight w:val="none"/>
          <w:lang w:val="en-US" w:eastAsia="zh-CN"/>
        </w:rPr>
      </w:pPr>
    </w:p>
    <w:p w14:paraId="29159ABB">
      <w:pPr>
        <w:pStyle w:val="14"/>
        <w:rPr>
          <w:rFonts w:hint="eastAsia" w:ascii="宋体" w:hAnsi="宋体" w:cs="宋体"/>
          <w:sz w:val="24"/>
          <w:highlight w:val="none"/>
          <w:lang w:val="en-US" w:eastAsia="zh-CN"/>
        </w:rPr>
      </w:pPr>
    </w:p>
    <w:p w14:paraId="3563042F">
      <w:pPr>
        <w:pStyle w:val="14"/>
        <w:rPr>
          <w:rFonts w:hint="eastAsia" w:ascii="宋体" w:hAnsi="宋体" w:cs="宋体"/>
          <w:sz w:val="24"/>
          <w:highlight w:val="none"/>
          <w:lang w:val="en-US" w:eastAsia="zh-CN"/>
        </w:rPr>
      </w:pPr>
    </w:p>
    <w:p w14:paraId="170542EE">
      <w:pPr>
        <w:pStyle w:val="14"/>
        <w:rPr>
          <w:rFonts w:hint="eastAsia" w:ascii="宋体" w:hAnsi="宋体" w:cs="宋体"/>
          <w:sz w:val="24"/>
          <w:highlight w:val="none"/>
          <w:lang w:val="en-US" w:eastAsia="zh-CN"/>
        </w:rPr>
      </w:pPr>
    </w:p>
    <w:p w14:paraId="5813039D">
      <w:pPr>
        <w:pStyle w:val="14"/>
        <w:rPr>
          <w:rFonts w:hint="eastAsia" w:ascii="宋体" w:hAnsi="宋体" w:cs="宋体"/>
          <w:sz w:val="24"/>
          <w:highlight w:val="none"/>
          <w:lang w:val="en-US" w:eastAsia="zh-CN"/>
        </w:rPr>
      </w:pPr>
    </w:p>
    <w:p w14:paraId="596F6FA6">
      <w:pPr>
        <w:pStyle w:val="14"/>
        <w:rPr>
          <w:rFonts w:hint="eastAsia" w:ascii="宋体" w:hAnsi="宋体" w:cs="宋体"/>
          <w:sz w:val="24"/>
          <w:highlight w:val="none"/>
          <w:lang w:val="en-US" w:eastAsia="zh-CN"/>
        </w:rPr>
      </w:pPr>
    </w:p>
    <w:p w14:paraId="652AB58B">
      <w:pPr>
        <w:pStyle w:val="14"/>
        <w:rPr>
          <w:rFonts w:hint="eastAsia" w:ascii="宋体" w:hAnsi="宋体" w:cs="宋体"/>
          <w:sz w:val="24"/>
          <w:highlight w:val="none"/>
          <w:lang w:val="en-US" w:eastAsia="zh-CN"/>
        </w:rPr>
      </w:pPr>
    </w:p>
    <w:p w14:paraId="094590D2">
      <w:pPr>
        <w:pStyle w:val="14"/>
        <w:rPr>
          <w:rFonts w:hint="eastAsia" w:ascii="宋体" w:hAnsi="宋体" w:cs="宋体"/>
          <w:sz w:val="24"/>
          <w:highlight w:val="none"/>
          <w:lang w:val="en-US" w:eastAsia="zh-CN"/>
        </w:rPr>
      </w:pPr>
    </w:p>
    <w:p w14:paraId="704E74D1">
      <w:pPr>
        <w:pStyle w:val="14"/>
        <w:rPr>
          <w:rFonts w:hint="eastAsia" w:ascii="宋体" w:hAnsi="宋体" w:cs="宋体"/>
          <w:sz w:val="24"/>
          <w:highlight w:val="none"/>
          <w:lang w:val="en-US" w:eastAsia="zh-CN"/>
        </w:rPr>
      </w:pPr>
    </w:p>
    <w:p w14:paraId="12B15C71">
      <w:pPr>
        <w:pStyle w:val="14"/>
        <w:rPr>
          <w:rFonts w:hint="eastAsia" w:ascii="宋体" w:hAnsi="宋体" w:cs="宋体"/>
          <w:sz w:val="24"/>
          <w:highlight w:val="none"/>
          <w:lang w:val="en-US" w:eastAsia="zh-CN"/>
        </w:rPr>
      </w:pPr>
    </w:p>
    <w:p w14:paraId="6EAC373C">
      <w:pPr>
        <w:pStyle w:val="3"/>
        <w:keepNext/>
        <w:keepLines/>
        <w:pageBreakBefore w:val="0"/>
        <w:widowControl w:val="0"/>
        <w:numPr>
          <w:ilvl w:val="0"/>
          <w:numId w:val="3"/>
        </w:numPr>
        <w:tabs>
          <w:tab w:val="left" w:pos="3492"/>
        </w:tabs>
        <w:kinsoku/>
        <w:wordWrap/>
        <w:overflowPunct/>
        <w:topLinePunct w:val="0"/>
        <w:autoSpaceDE/>
        <w:autoSpaceDN/>
        <w:bidi w:val="0"/>
        <w:adjustRightInd/>
        <w:snapToGrid/>
        <w:spacing w:before="0" w:after="0" w:line="240" w:lineRule="auto"/>
        <w:jc w:val="center"/>
        <w:textAlignment w:val="auto"/>
        <w:rPr>
          <w:rFonts w:hint="eastAsia" w:ascii="黑体" w:hAnsi="宋体" w:eastAsia="黑体" w:cs="黑体"/>
          <w:color w:val="000000" w:themeColor="text1"/>
          <w:szCs w:val="44"/>
          <w:highlight w:val="none"/>
          <w14:textFill>
            <w14:solidFill>
              <w14:schemeClr w14:val="tx1"/>
            </w14:solidFill>
          </w14:textFill>
        </w:rPr>
      </w:pPr>
      <w:r>
        <w:rPr>
          <w:rFonts w:hint="eastAsia" w:ascii="黑体" w:hAnsi="宋体" w:eastAsia="黑体" w:cs="黑体"/>
          <w:color w:val="000000" w:themeColor="text1"/>
          <w:szCs w:val="44"/>
          <w:highlight w:val="none"/>
          <w14:textFill>
            <w14:solidFill>
              <w14:schemeClr w14:val="tx1"/>
            </w14:solidFill>
          </w14:textFill>
        </w:rPr>
        <w:t>供应商须知</w:t>
      </w:r>
    </w:p>
    <w:p w14:paraId="1C968CCB">
      <w:pPr>
        <w:spacing w:line="360" w:lineRule="auto"/>
        <w:ind w:firstLine="2040"/>
        <w:rPr>
          <w:rFonts w:hint="eastAsia" w:ascii="宋体" w:hAnsi="宋体" w:eastAsia="宋体" w:cs="宋体"/>
          <w:b/>
          <w:bCs/>
          <w:sz w:val="24"/>
        </w:rPr>
      </w:pPr>
      <w:r>
        <w:rPr>
          <w:rFonts w:hint="eastAsia" w:ascii="宋体" w:hAnsi="宋体" w:eastAsia="宋体" w:cs="宋体"/>
          <w:bCs/>
          <w:sz w:val="24"/>
        </w:rPr>
        <w:t>（参加竞争性磋商的供应商以下简称“磋商供应商”）</w:t>
      </w:r>
    </w:p>
    <w:p w14:paraId="5E8DCCC4">
      <w:pPr>
        <w:pageBreakBefore w:val="0"/>
        <w:tabs>
          <w:tab w:val="left" w:pos="900"/>
        </w:tabs>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一、总则</w:t>
      </w:r>
    </w:p>
    <w:p w14:paraId="59667C5F">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1、采购方式</w:t>
      </w:r>
    </w:p>
    <w:p w14:paraId="58A5948A">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 本次政府采购活动采取竞争性磋商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以下简称磋商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方式，本磋商文件仅适用于磋商公告中所述项目。</w:t>
      </w:r>
    </w:p>
    <w:p w14:paraId="052714D6">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40" w:name="_Toc16938521"/>
      <w:bookmarkStart w:id="41" w:name="_Toc20823277"/>
      <w:bookmarkStart w:id="42" w:name="_Toc513029205"/>
      <w:r>
        <w:rPr>
          <w:rFonts w:hint="eastAsia" w:ascii="宋体" w:hAnsi="宋体" w:eastAsia="宋体" w:cs="宋体"/>
          <w:color w:val="000000" w:themeColor="text1"/>
          <w:sz w:val="24"/>
          <w:szCs w:val="24"/>
          <w:highlight w:val="none"/>
          <w14:textFill>
            <w14:solidFill>
              <w14:schemeClr w14:val="tx1"/>
            </w14:solidFill>
          </w14:textFill>
        </w:rPr>
        <w:t>2、合格的</w:t>
      </w:r>
      <w:bookmarkEnd w:id="40"/>
      <w:bookmarkEnd w:id="41"/>
      <w:bookmarkEnd w:id="42"/>
      <w:r>
        <w:rPr>
          <w:rFonts w:hint="eastAsia" w:ascii="宋体" w:hAnsi="宋体" w:eastAsia="宋体" w:cs="宋体"/>
          <w:color w:val="000000" w:themeColor="text1"/>
          <w:sz w:val="24"/>
          <w:szCs w:val="24"/>
          <w:highlight w:val="none"/>
          <w14:textFill>
            <w14:solidFill>
              <w14:schemeClr w14:val="tx1"/>
            </w14:solidFill>
          </w14:textFill>
        </w:rPr>
        <w:t>供应商</w:t>
      </w:r>
    </w:p>
    <w:p w14:paraId="4361669F">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2.1满足磋商公告中供应商资格要求的规定。</w:t>
      </w:r>
    </w:p>
    <w:p w14:paraId="7006F1FD">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 满足本磋商文件实质性要求和条件的规定。</w:t>
      </w:r>
    </w:p>
    <w:p w14:paraId="2BAA0C49">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43" w:name="_Toc513029206"/>
      <w:bookmarkStart w:id="44" w:name="_Toc16938522"/>
      <w:bookmarkStart w:id="45" w:name="_Toc20823278"/>
      <w:r>
        <w:rPr>
          <w:rFonts w:hint="eastAsia" w:ascii="宋体" w:hAnsi="宋体" w:eastAsia="宋体" w:cs="宋体"/>
          <w:color w:val="000000" w:themeColor="text1"/>
          <w:sz w:val="24"/>
          <w:szCs w:val="24"/>
          <w:highlight w:val="none"/>
          <w14:textFill>
            <w14:solidFill>
              <w14:schemeClr w14:val="tx1"/>
            </w14:solidFill>
          </w14:textFill>
        </w:rPr>
        <w:t>3、适用法律</w:t>
      </w:r>
      <w:bookmarkEnd w:id="43"/>
      <w:bookmarkEnd w:id="44"/>
      <w:bookmarkEnd w:id="45"/>
    </w:p>
    <w:p w14:paraId="07D6651B">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 本次磋商及由此产生的合同受中华人民共和国有关的法律法规制约和保护。</w:t>
      </w:r>
    </w:p>
    <w:p w14:paraId="6FDC0644">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4、磋商费用</w:t>
      </w:r>
    </w:p>
    <w:p w14:paraId="41222660">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4.1参加磋商供应商应自行承担所有与参加磋商有关的费用。不论最终的成交结果如何，采购代理机构和采购人在任何情况下均无义务和责任承担这些费用。</w:t>
      </w:r>
    </w:p>
    <w:p w14:paraId="5CA1B334">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4.2本项目磋商服务费：招标代理费：按照苏招协（2022）002号文件规定标准的计取。由中标人在领取中标通知书时向代理公司支付。请投标人考虑在投标报价中（此项费用投标人在投标报价中不得单独列出）。</w:t>
      </w:r>
    </w:p>
    <w:p w14:paraId="30B97803">
      <w:pPr>
        <w:pageBreakBefore w:val="0"/>
        <w:tabs>
          <w:tab w:val="left" w:pos="900"/>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磋商文件的约束力</w:t>
      </w:r>
    </w:p>
    <w:p w14:paraId="6701A71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bookmarkStart w:id="46" w:name="_Toc20823281"/>
      <w:bookmarkStart w:id="47" w:name="_Toc16938525"/>
      <w:bookmarkStart w:id="48" w:name="_Toc120614215"/>
      <w:r>
        <w:rPr>
          <w:rFonts w:hint="eastAsia"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57A37BCB">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2"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w:t>
      </w:r>
      <w:bookmarkEnd w:id="46"/>
      <w:bookmarkEnd w:id="47"/>
      <w:bookmarkEnd w:id="48"/>
      <w:r>
        <w:rPr>
          <w:rFonts w:hint="eastAsia" w:ascii="宋体" w:hAnsi="宋体" w:eastAsia="宋体" w:cs="宋体"/>
          <w:b/>
          <w:color w:val="000000" w:themeColor="text1"/>
          <w:sz w:val="24"/>
          <w:szCs w:val="24"/>
          <w:highlight w:val="none"/>
          <w14:textFill>
            <w14:solidFill>
              <w14:schemeClr w14:val="tx1"/>
            </w14:solidFill>
          </w14:textFill>
        </w:rPr>
        <w:t>磋商文件</w:t>
      </w:r>
    </w:p>
    <w:p w14:paraId="3F7B4D0E">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49" w:name="_Toc20823282"/>
      <w:bookmarkStart w:id="50" w:name="_Toc513029210"/>
      <w:bookmarkStart w:id="51" w:name="_Toc16938526"/>
      <w:r>
        <w:rPr>
          <w:rFonts w:hint="eastAsia" w:ascii="宋体" w:hAnsi="宋体" w:eastAsia="宋体" w:cs="宋体"/>
          <w:color w:val="000000" w:themeColor="text1"/>
          <w:sz w:val="24"/>
          <w:szCs w:val="24"/>
          <w:highlight w:val="none"/>
          <w14:textFill>
            <w14:solidFill>
              <w14:schemeClr w14:val="tx1"/>
            </w14:solidFill>
          </w14:textFill>
        </w:rPr>
        <w:t>6、磋商文件构成</w:t>
      </w:r>
      <w:bookmarkEnd w:id="49"/>
      <w:bookmarkEnd w:id="50"/>
      <w:bookmarkEnd w:id="51"/>
    </w:p>
    <w:p w14:paraId="5ECBAB56">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6.1磋商文件由以下部分组成：</w:t>
      </w:r>
    </w:p>
    <w:p w14:paraId="44A88DAD">
      <w:pPr>
        <w:pStyle w:val="35"/>
        <w:pageBreakBefore w:val="0"/>
        <w:numPr>
          <w:ilvl w:val="0"/>
          <w:numId w:val="4"/>
        </w:numPr>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磋商公告</w:t>
      </w:r>
    </w:p>
    <w:p w14:paraId="6170419B">
      <w:pPr>
        <w:pStyle w:val="35"/>
        <w:pageBreakBefore w:val="0"/>
        <w:numPr>
          <w:ilvl w:val="0"/>
          <w:numId w:val="4"/>
        </w:numPr>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供应商须知</w:t>
      </w:r>
    </w:p>
    <w:p w14:paraId="075AE4E2">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（3）合同文本</w:t>
      </w:r>
    </w:p>
    <w:p w14:paraId="1E4B14A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（4）采购需求</w:t>
      </w:r>
    </w:p>
    <w:p w14:paraId="5C99DA69">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（5）评审方法与评审标准</w:t>
      </w:r>
    </w:p>
    <w:p w14:paraId="7A2E4E9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（6）响应文件格式</w:t>
      </w:r>
    </w:p>
    <w:p w14:paraId="12FC9A13">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请仔细检查磋商文件是否齐全，如有缺漏请立即与采购人或代理公司联系解决。</w:t>
      </w:r>
    </w:p>
    <w:p w14:paraId="7C03A5AE">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4F15268">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6.3中标人在中标公告结束后将加盖公章的投标文件（正本份数：1份，副本份数：4份）书面送至采购代理机构。</w:t>
      </w:r>
    </w:p>
    <w:p w14:paraId="1F9105E6">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2" w:name="_Toc20823283"/>
      <w:bookmarkStart w:id="53" w:name="_Toc462564070"/>
      <w:bookmarkStart w:id="54" w:name="_Toc16938527"/>
      <w:bookmarkStart w:id="55" w:name="_Toc513029211"/>
      <w:r>
        <w:rPr>
          <w:rFonts w:hint="eastAsia" w:ascii="宋体" w:hAnsi="宋体" w:eastAsia="宋体" w:cs="宋体"/>
          <w:color w:val="000000" w:themeColor="text1"/>
          <w:sz w:val="24"/>
          <w:szCs w:val="24"/>
          <w:highlight w:val="none"/>
          <w14:textFill>
            <w14:solidFill>
              <w14:schemeClr w14:val="tx1"/>
            </w14:solidFill>
          </w14:textFill>
        </w:rPr>
        <w:t>7、磋商文件的澄清</w:t>
      </w:r>
      <w:bookmarkEnd w:id="52"/>
      <w:bookmarkEnd w:id="53"/>
      <w:bookmarkEnd w:id="54"/>
      <w:bookmarkEnd w:id="55"/>
    </w:p>
    <w:p w14:paraId="40FB5289">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 任何要求对磋商文件进行澄清的供应商，应在磋商截止期5日前按磋商公告中的通讯地址，以书面形式通知采购人或代理公司。</w:t>
      </w:r>
    </w:p>
    <w:p w14:paraId="772B388F">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6" w:name="_Toc20823284"/>
      <w:bookmarkStart w:id="57" w:name="_Toc16938528"/>
      <w:bookmarkStart w:id="58" w:name="_Toc513029212"/>
      <w:bookmarkStart w:id="59" w:name="_Toc462564071"/>
      <w:r>
        <w:rPr>
          <w:rFonts w:hint="eastAsia" w:ascii="宋体" w:hAnsi="宋体" w:eastAsia="宋体" w:cs="宋体"/>
          <w:color w:val="000000" w:themeColor="text1"/>
          <w:sz w:val="24"/>
          <w:szCs w:val="24"/>
          <w:highlight w:val="none"/>
          <w14:textFill>
            <w14:solidFill>
              <w14:schemeClr w14:val="tx1"/>
            </w14:solidFill>
          </w14:textFill>
        </w:rPr>
        <w:t>8、磋商文件的澄清和修改</w:t>
      </w:r>
      <w:bookmarkEnd w:id="56"/>
      <w:bookmarkEnd w:id="57"/>
      <w:bookmarkEnd w:id="58"/>
      <w:bookmarkEnd w:id="59"/>
    </w:p>
    <w:p w14:paraId="6A64D13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8.1在响应文件提交截止时间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前</w:t>
      </w:r>
      <w:r>
        <w:rPr>
          <w:rFonts w:hint="eastAsia" w:ascii="宋体" w:hAnsi="宋体" w:eastAsia="宋体" w:cs="宋体"/>
          <w:color w:val="000000" w:themeColor="text1"/>
          <w:sz w:val="24"/>
          <w:szCs w:val="24"/>
          <w:highlight w:val="none"/>
          <w14:textFill>
            <w14:solidFill>
              <w14:schemeClr w14:val="tx1"/>
            </w14:solidFill>
          </w14:textFill>
        </w:rPr>
        <w:t>，采购人可以对磋商文件进行澄清和修改</w:t>
      </w:r>
      <w:r>
        <w:rPr>
          <w:rFonts w:hint="eastAsia"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3B50255E">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8.2采购人可以视采购项目的具体情况，组织供应商进行现场考察或召开磋商前答疑会，但不单独或分别组织只有一个供应商参加的现场考察和答疑会。</w:t>
      </w:r>
    </w:p>
    <w:p w14:paraId="682B7FAD">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2"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60" w:name="_Toc120614216"/>
      <w:bookmarkStart w:id="61" w:name="_Toc20823285"/>
      <w:bookmarkStart w:id="62" w:name="_Toc16938529"/>
      <w:bookmarkStart w:id="63" w:name="_Toc462564072"/>
      <w:bookmarkStart w:id="64" w:name="_Toc513029213"/>
      <w:r>
        <w:rPr>
          <w:rFonts w:hint="eastAsia" w:ascii="宋体" w:hAnsi="宋体" w:eastAsia="宋体" w:cs="宋体"/>
          <w:b/>
          <w:color w:val="000000" w:themeColor="text1"/>
          <w:sz w:val="24"/>
          <w:szCs w:val="24"/>
          <w:highlight w:val="none"/>
          <w14:textFill>
            <w14:solidFill>
              <w14:schemeClr w14:val="tx1"/>
            </w14:solidFill>
          </w14:textFill>
        </w:rPr>
        <w:t>三、响应文件的编制</w:t>
      </w:r>
      <w:bookmarkEnd w:id="60"/>
      <w:bookmarkEnd w:id="61"/>
      <w:bookmarkEnd w:id="62"/>
      <w:bookmarkEnd w:id="63"/>
      <w:bookmarkEnd w:id="64"/>
    </w:p>
    <w:p w14:paraId="57B98E00">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65" w:name="_Toc513029214"/>
      <w:bookmarkStart w:id="66" w:name="_Toc16938530"/>
      <w:bookmarkStart w:id="67" w:name="_Toc20823286"/>
      <w:bookmarkStart w:id="68" w:name="_Toc462564073"/>
      <w:r>
        <w:rPr>
          <w:rFonts w:hint="eastAsia" w:ascii="宋体" w:hAnsi="宋体" w:eastAsia="宋体" w:cs="宋体"/>
          <w:color w:val="000000" w:themeColor="text1"/>
          <w:sz w:val="24"/>
          <w:szCs w:val="24"/>
          <w:highlight w:val="none"/>
          <w14:textFill>
            <w14:solidFill>
              <w14:schemeClr w14:val="tx1"/>
            </w14:solidFill>
          </w14:textFill>
        </w:rPr>
        <w:t>9、响应文件的语言及度量衡单位</w:t>
      </w:r>
      <w:bookmarkEnd w:id="65"/>
      <w:bookmarkEnd w:id="66"/>
      <w:bookmarkEnd w:id="67"/>
      <w:bookmarkEnd w:id="68"/>
    </w:p>
    <w:p w14:paraId="7921C108">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9.1供应商提交的响应文件以及供应商与采购人（或代理公司）就有关磋商的所有来往通知、函件和文件均应使用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简体中文</w:t>
      </w:r>
      <w:r>
        <w:rPr>
          <w:rFonts w:hint="eastAsia" w:ascii="宋体" w:hAnsi="宋体" w:eastAsia="宋体" w:cs="宋体"/>
          <w:color w:val="000000" w:themeColor="text1"/>
          <w:sz w:val="24"/>
          <w:szCs w:val="24"/>
          <w:highlight w:val="none"/>
          <w14:textFill>
            <w14:solidFill>
              <w14:schemeClr w14:val="tx1"/>
            </w14:solidFill>
          </w14:textFill>
        </w:rPr>
        <w:t>。</w:t>
      </w:r>
    </w:p>
    <w:p w14:paraId="5632C737">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9.2除技术性能另有规定外，响应文件所使用的度量衡单位，均须采用国家法定计量单位。</w:t>
      </w:r>
    </w:p>
    <w:p w14:paraId="24079D3A">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69" w:name="_Toc462564074"/>
      <w:bookmarkStart w:id="70" w:name="_Toc16938531"/>
      <w:bookmarkStart w:id="71" w:name="_Toc513029215"/>
      <w:bookmarkStart w:id="72" w:name="_Toc20823287"/>
      <w:r>
        <w:rPr>
          <w:rFonts w:hint="eastAsia" w:ascii="宋体" w:hAnsi="宋体" w:eastAsia="宋体" w:cs="宋体"/>
          <w:color w:val="000000" w:themeColor="text1"/>
          <w:sz w:val="24"/>
          <w:szCs w:val="24"/>
          <w:highlight w:val="none"/>
          <w14:textFill>
            <w14:solidFill>
              <w14:schemeClr w14:val="tx1"/>
            </w14:solidFill>
          </w14:textFill>
        </w:rPr>
        <w:t>10、响应文件构成</w:t>
      </w:r>
      <w:bookmarkEnd w:id="69"/>
      <w:bookmarkEnd w:id="70"/>
      <w:bookmarkEnd w:id="71"/>
      <w:bookmarkEnd w:id="72"/>
    </w:p>
    <w:p w14:paraId="3C7ED8FF">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10.1供应商编写的响应文件应包括资格证明文件、符合性证明文件、分项报价表、技术要求响应及偏离表、商务要求响应及偏离表、其他证明文件、磋商响应函等部分。</w:t>
      </w:r>
    </w:p>
    <w:p w14:paraId="0AC60D1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10.2 如标书制作工具中格式和内容与“中国政府采购网”、“江苏政府采购网”、“盐城市政府采购网”发布的磋商文件不一致，请以“中国政府采购网”、“江苏政府采购网”、“盐城市政府采购网”发布的磋商文件为准。</w:t>
      </w:r>
      <w:bookmarkStart w:id="73" w:name="_Toc49090507"/>
      <w:bookmarkStart w:id="74" w:name="_Toc49090508"/>
      <w:bookmarkStart w:id="75" w:name="_Toc14577355"/>
      <w:bookmarkStart w:id="76" w:name="_Toc14577354"/>
      <w:bookmarkStart w:id="77" w:name="_Toc513029219"/>
      <w:bookmarkStart w:id="78" w:name="_Toc14577357"/>
      <w:bookmarkStart w:id="79" w:name="_Toc513029216"/>
      <w:bookmarkStart w:id="80" w:name="_Toc49090509"/>
    </w:p>
    <w:p w14:paraId="1FD50D3A">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11、证明磋商响应标的符合磋商文件规定的文件</w:t>
      </w:r>
      <w:bookmarkEnd w:id="73"/>
      <w:bookmarkEnd w:id="74"/>
      <w:bookmarkEnd w:id="75"/>
      <w:bookmarkEnd w:id="76"/>
      <w:bookmarkEnd w:id="77"/>
      <w:bookmarkEnd w:id="78"/>
      <w:bookmarkEnd w:id="79"/>
      <w:bookmarkEnd w:id="80"/>
    </w:p>
    <w:p w14:paraId="680D2CF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11.1供应商应按照磋商文件要求提交证明文件，证明其及磋商响应标的符合磋商文件规定。</w:t>
      </w:r>
    </w:p>
    <w:p w14:paraId="55FE5176">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11.2磋商文件对证明文件无明确形式要求的，证明文件可以以文字资料、图纸和数据等形式提交。</w:t>
      </w:r>
    </w:p>
    <w:p w14:paraId="792CE622">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12、分项报价表</w:t>
      </w:r>
    </w:p>
    <w:p w14:paraId="662D8D4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12.1供应商应按照磋商文件规定格式填报分项报价表。</w:t>
      </w:r>
    </w:p>
    <w:p w14:paraId="1B89E0ED">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12.2磋商货币。响应文件中的单价和总价无特殊规定的采用人民币报价，以元为单位标注。磋商文件中另有规定的按规定执行。</w:t>
      </w:r>
    </w:p>
    <w:p w14:paraId="77DCE15B">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13、技术要求响应及偏离表、商务要求响应及偏离表</w:t>
      </w:r>
    </w:p>
    <w:p w14:paraId="23A6645F">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13.1供应商需对磋商文件中的技术要求与商务要求逐项作出响应或偏离，并说明原因。</w:t>
      </w:r>
    </w:p>
    <w:p w14:paraId="2F070618">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13.2供应商可在响应文件中提供认为需要的其他技术文件或说明。</w:t>
      </w:r>
    </w:p>
    <w:p w14:paraId="3DCE2BFC">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14、服务承诺、培训计划、人员安排及其他</w:t>
      </w:r>
    </w:p>
    <w:p w14:paraId="4AA55969">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81" w:name="_Toc14577359"/>
      <w:bookmarkStart w:id="82" w:name="_Toc49090510"/>
      <w:r>
        <w:rPr>
          <w:rFonts w:hint="eastAsia" w:ascii="宋体" w:hAnsi="宋体" w:eastAsia="宋体" w:cs="宋体"/>
          <w:color w:val="000000" w:themeColor="text1"/>
          <w:sz w:val="24"/>
          <w:szCs w:val="24"/>
          <w:highlight w:val="none"/>
          <w14:textFill>
            <w14:solidFill>
              <w14:schemeClr w14:val="tx1"/>
            </w14:solidFill>
          </w14:textFill>
        </w:rPr>
        <w:t>14.1供应商需根据磋商文件要求提供有关售后服务的管理制度，售后服务机构的分布情况，售后服务人员的数量、素质、技术水平及售后服务的反应能力等。</w:t>
      </w:r>
    </w:p>
    <w:p w14:paraId="6ADF99C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14.2供应商需根据磋商文件要求提供培训计划。</w:t>
      </w:r>
    </w:p>
    <w:p w14:paraId="2E62651F">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14.3供应商需根据磋商文件要求提供磋商响应标的的主要组成部分、功能设计、实现思路及关键技术等。</w:t>
      </w:r>
    </w:p>
    <w:p w14:paraId="4FD38B8F">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15、磋商响应函</w:t>
      </w:r>
      <w:bookmarkEnd w:id="81"/>
      <w:bookmarkEnd w:id="82"/>
    </w:p>
    <w:p w14:paraId="14D92A4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15.1供应商应按照磋商文件中提供的格式完整、正确填写磋商响应函。</w:t>
      </w:r>
    </w:p>
    <w:p w14:paraId="0C4AC6A6">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83" w:name="_Toc14577360"/>
      <w:bookmarkStart w:id="84" w:name="_Toc49090511"/>
      <w:r>
        <w:rPr>
          <w:rFonts w:hint="eastAsia" w:ascii="宋体" w:hAnsi="宋体" w:eastAsia="宋体" w:cs="宋体"/>
          <w:color w:val="000000" w:themeColor="text1"/>
          <w:sz w:val="24"/>
          <w:szCs w:val="24"/>
          <w:highlight w:val="none"/>
          <w14:textFill>
            <w14:solidFill>
              <w14:schemeClr w14:val="tx1"/>
            </w14:solidFill>
          </w14:textFill>
        </w:rPr>
        <w:t>16、磋商有效期</w:t>
      </w:r>
      <w:bookmarkEnd w:id="83"/>
      <w:bookmarkEnd w:id="84"/>
    </w:p>
    <w:p w14:paraId="0753C9E7">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16.1磋商有效期为采购人规定的提交响应文件截止之日后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themeColor="text1"/>
          <w:sz w:val="24"/>
          <w:szCs w:val="24"/>
          <w:highlight w:val="none"/>
          <w14:textFill>
            <w14:solidFill>
              <w14:schemeClr w14:val="tx1"/>
            </w14:solidFill>
          </w14:textFill>
        </w:rPr>
        <w:t>。磋商有效期比规定短的将被视为非实质性响应磋商文件而予以拒绝。</w:t>
      </w:r>
    </w:p>
    <w:p w14:paraId="7834263A">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17、磋商有效期的延长</w:t>
      </w:r>
    </w:p>
    <w:p w14:paraId="6FD55D7B">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Toc120614217"/>
      <w:bookmarkStart w:id="86" w:name="_Toc16938540"/>
      <w:bookmarkStart w:id="87" w:name="_Toc20823296"/>
      <w:bookmarkStart w:id="88" w:name="_Toc513029224"/>
    </w:p>
    <w:p w14:paraId="0FB3A179">
      <w:pPr>
        <w:pStyle w:val="35"/>
        <w:pageBreakBefore w:val="0"/>
        <w:numPr>
          <w:ilvl w:val="0"/>
          <w:numId w:val="5"/>
        </w:numPr>
        <w:kinsoku/>
        <w:wordWrap/>
        <w:overflowPunct/>
        <w:topLinePunct w:val="0"/>
        <w:autoSpaceDE/>
        <w:autoSpaceDN/>
        <w:bidi w:val="0"/>
        <w:adjustRightInd/>
        <w:snapToGrid/>
        <w:spacing w:before="0" w:beforeAutospacing="0" w:after="0" w:afterAutospacing="0" w:line="460" w:lineRule="exact"/>
        <w:ind w:left="0" w:leftChars="0" w:firstLine="482" w:firstLineChars="200"/>
        <w:jc w:val="both"/>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响应文件的递交</w:t>
      </w:r>
      <w:bookmarkEnd w:id="85"/>
      <w:bookmarkEnd w:id="86"/>
      <w:bookmarkEnd w:id="87"/>
      <w:bookmarkEnd w:id="88"/>
      <w:bookmarkStart w:id="89" w:name="_Toc513029225"/>
      <w:bookmarkStart w:id="90" w:name="_Toc20823297"/>
      <w:bookmarkStart w:id="91" w:name="_Toc462564084"/>
      <w:bookmarkStart w:id="92" w:name="_Toc16938541"/>
    </w:p>
    <w:p w14:paraId="5BC9FDD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18、电子磋商</w:t>
      </w:r>
      <w:bookmarkEnd w:id="89"/>
      <w:bookmarkEnd w:id="90"/>
      <w:bookmarkEnd w:id="91"/>
      <w:bookmarkEnd w:id="92"/>
      <w:r>
        <w:rPr>
          <w:rFonts w:hint="eastAsia" w:ascii="宋体" w:hAnsi="宋体" w:eastAsia="宋体" w:cs="宋体"/>
          <w:color w:val="000000" w:themeColor="text1"/>
          <w:sz w:val="24"/>
          <w:szCs w:val="24"/>
          <w:highlight w:val="none"/>
          <w14:textFill>
            <w14:solidFill>
              <w14:schemeClr w14:val="tx1"/>
            </w14:solidFill>
          </w14:textFill>
        </w:rPr>
        <w:t>响应文件的递交</w:t>
      </w:r>
    </w:p>
    <w:p w14:paraId="3BE17C0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18.1供应商应当按照《操作手册》规定，在提交响应文件截止时间前制作并上传电子响应文件。</w:t>
      </w:r>
      <w:bookmarkStart w:id="93" w:name="_Toc20823298"/>
      <w:bookmarkEnd w:id="93"/>
      <w:bookmarkStart w:id="94" w:name="_Toc16938542"/>
      <w:bookmarkEnd w:id="94"/>
    </w:p>
    <w:p w14:paraId="738EC31A">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19、提交响应文件截止时间</w:t>
      </w:r>
    </w:p>
    <w:p w14:paraId="57896BDB">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19.1供应商上传电子响应文件的时间不得迟于磋商公告中规定的提交响应文件截止时间。</w:t>
      </w:r>
    </w:p>
    <w:p w14:paraId="138A087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供应商应充分考虑到网络环境、网络带宽等风险因素，如因供应商自身原因造成的电子响应文件上传不成功的按照本磋商文件第二章第26.3.2条规定做无效响应处理。</w:t>
      </w:r>
    </w:p>
    <w:p w14:paraId="2F482E1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19.2 采购人可以按照规定，通过修改磋商文件酌情延长提交响应文件截止日期，在此情况下，供应商的所有权利和义务以及供应商受制的截止日期均应以延长后新的截止日期为准。</w:t>
      </w:r>
    </w:p>
    <w:p w14:paraId="31F27881">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95" w:name="_Toc20823299"/>
      <w:bookmarkStart w:id="96" w:name="_Toc513029227"/>
      <w:bookmarkStart w:id="97" w:name="_Toc16938543"/>
      <w:r>
        <w:rPr>
          <w:rFonts w:hint="eastAsia" w:ascii="宋体" w:hAnsi="宋体" w:eastAsia="宋体" w:cs="宋体"/>
          <w:color w:val="000000" w:themeColor="text1"/>
          <w:sz w:val="24"/>
          <w:szCs w:val="24"/>
          <w:highlight w:val="none"/>
          <w14:textFill>
            <w14:solidFill>
              <w14:schemeClr w14:val="tx1"/>
            </w14:solidFill>
          </w14:textFill>
        </w:rPr>
        <w:t>20、响应文件</w:t>
      </w:r>
      <w:bookmarkEnd w:id="95"/>
      <w:bookmarkEnd w:id="96"/>
      <w:bookmarkEnd w:id="97"/>
      <w:r>
        <w:rPr>
          <w:rFonts w:hint="eastAsia" w:ascii="宋体" w:hAnsi="宋体" w:eastAsia="宋体" w:cs="宋体"/>
          <w:color w:val="000000" w:themeColor="text1"/>
          <w:sz w:val="24"/>
          <w:szCs w:val="24"/>
          <w:highlight w:val="none"/>
          <w14:textFill>
            <w14:solidFill>
              <w14:schemeClr w14:val="tx1"/>
            </w14:solidFill>
          </w14:textFill>
        </w:rPr>
        <w:t>的拒收</w:t>
      </w:r>
    </w:p>
    <w:p w14:paraId="45F003BF">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20.1 采购人拒绝接收在其规定的提交响应文件截止时间后上传的任何电子响应文件。</w:t>
      </w:r>
    </w:p>
    <w:p w14:paraId="1D7515C6">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98" w:name="_Toc20823300"/>
      <w:bookmarkStart w:id="99" w:name="_Toc16938544"/>
      <w:bookmarkStart w:id="100" w:name="_Toc513029228"/>
      <w:r>
        <w:rPr>
          <w:rFonts w:hint="eastAsia" w:ascii="宋体" w:hAnsi="宋体" w:eastAsia="宋体" w:cs="宋体"/>
          <w:color w:val="000000" w:themeColor="text1"/>
          <w:sz w:val="24"/>
          <w:szCs w:val="24"/>
          <w:highlight w:val="none"/>
          <w14:textFill>
            <w14:solidFill>
              <w14:schemeClr w14:val="tx1"/>
            </w14:solidFill>
          </w14:textFill>
        </w:rPr>
        <w:t>21、响应文件的撤回和修改</w:t>
      </w:r>
      <w:bookmarkEnd w:id="98"/>
      <w:bookmarkEnd w:id="99"/>
      <w:bookmarkEnd w:id="100"/>
    </w:p>
    <w:p w14:paraId="205CAF5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21.1响应文件的撤回</w:t>
      </w:r>
    </w:p>
    <w:p w14:paraId="5587DAB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21.1.1 电子响应文件的撤回</w:t>
      </w:r>
    </w:p>
    <w:p w14:paraId="58B88598">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供应商可在提交响应文件截止时间前，撤回其电子响应文件，具体操作方法见《操作手册》。</w:t>
      </w:r>
    </w:p>
    <w:p w14:paraId="1353BFDF">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21.1.2供应商撤回电子响应文件，则认为其不再参与本项目磋商活动。</w:t>
      </w:r>
    </w:p>
    <w:p w14:paraId="3FAD131A">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21.2响应文件的修改</w:t>
      </w:r>
    </w:p>
    <w:p w14:paraId="4DE5FAF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供应商可在提交响应文件截止时间前，对其电子响应文件进行修改，具体操作方法见《操作手册》。</w:t>
      </w:r>
    </w:p>
    <w:p w14:paraId="12B451B7">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21.3 在提交响应文件截止时间之后，供应商不得对其电子响应文件作任何修改。</w:t>
      </w:r>
    </w:p>
    <w:p w14:paraId="3D47AD72">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21.4 在提交响应文件截止时间至磋商文件中规定的磋商有效期满之间的这段时间内，供应商不得撤回其响应文件。</w:t>
      </w:r>
    </w:p>
    <w:p w14:paraId="653C0068">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2"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01" w:name="_Toc120614218"/>
      <w:bookmarkStart w:id="102" w:name="_Toc20823301"/>
      <w:bookmarkStart w:id="103" w:name="_Toc513029229"/>
      <w:bookmarkStart w:id="104" w:name="_Toc16938545"/>
      <w:r>
        <w:rPr>
          <w:rFonts w:hint="eastAsia" w:ascii="宋体" w:hAnsi="宋体" w:eastAsia="宋体" w:cs="宋体"/>
          <w:b/>
          <w:color w:val="000000" w:themeColor="text1"/>
          <w:sz w:val="24"/>
          <w:szCs w:val="24"/>
          <w:highlight w:val="none"/>
          <w14:textFill>
            <w14:solidFill>
              <w14:schemeClr w14:val="tx1"/>
            </w14:solidFill>
          </w14:textFill>
        </w:rPr>
        <w:t>五、响应文件的解密与评审</w:t>
      </w:r>
      <w:bookmarkEnd w:id="101"/>
      <w:bookmarkEnd w:id="102"/>
      <w:bookmarkEnd w:id="103"/>
      <w:bookmarkEnd w:id="104"/>
    </w:p>
    <w:p w14:paraId="376A95C3">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05" w:name="_Toc16938546"/>
      <w:bookmarkStart w:id="106" w:name="_Toc20823302"/>
      <w:bookmarkStart w:id="107" w:name="_Toc513029230"/>
      <w:r>
        <w:rPr>
          <w:rFonts w:hint="eastAsia" w:ascii="宋体" w:hAnsi="宋体" w:eastAsia="宋体" w:cs="宋体"/>
          <w:color w:val="000000" w:themeColor="text1"/>
          <w:sz w:val="24"/>
          <w:szCs w:val="24"/>
          <w:highlight w:val="none"/>
          <w14:textFill>
            <w14:solidFill>
              <w14:schemeClr w14:val="tx1"/>
            </w14:solidFill>
          </w14:textFill>
        </w:rPr>
        <w:t>22、</w:t>
      </w:r>
      <w:bookmarkEnd w:id="105"/>
      <w:bookmarkEnd w:id="106"/>
      <w:bookmarkEnd w:id="107"/>
      <w:r>
        <w:rPr>
          <w:rFonts w:hint="eastAsia" w:ascii="宋体" w:hAnsi="宋体" w:eastAsia="宋体" w:cs="宋体"/>
          <w:color w:val="000000" w:themeColor="text1"/>
          <w:sz w:val="24"/>
          <w:szCs w:val="24"/>
          <w:highlight w:val="none"/>
          <w14:textFill>
            <w14:solidFill>
              <w14:schemeClr w14:val="tx1"/>
            </w14:solidFill>
          </w14:textFill>
        </w:rPr>
        <w:t>响应文件解密</w:t>
      </w:r>
    </w:p>
    <w:p w14:paraId="3B6615F3">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22.1供应商应当按照《操作手册》规定，在苏采云系统规定的时间内对磋商响应文件进行解密。</w:t>
      </w:r>
    </w:p>
    <w:p w14:paraId="3F2FCD66">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08" w:name="_Toc16938547"/>
      <w:bookmarkStart w:id="109" w:name="_Toc513029231"/>
      <w:bookmarkStart w:id="110" w:name="_Toc20823303"/>
      <w:r>
        <w:rPr>
          <w:rFonts w:hint="eastAsia" w:ascii="宋体" w:hAnsi="宋体" w:eastAsia="宋体" w:cs="宋体"/>
          <w:color w:val="000000" w:themeColor="text1"/>
          <w:sz w:val="24"/>
          <w:szCs w:val="24"/>
          <w:highlight w:val="none"/>
          <w14:textFill>
            <w14:solidFill>
              <w14:schemeClr w14:val="tx1"/>
            </w14:solidFill>
          </w14:textFill>
        </w:rPr>
        <w:t>23、磋商小组</w:t>
      </w:r>
      <w:bookmarkEnd w:id="108"/>
      <w:bookmarkEnd w:id="109"/>
      <w:bookmarkEnd w:id="110"/>
    </w:p>
    <w:p w14:paraId="7FCF3B7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23.1采购人将组织磋商小组对响应文件进行评审。磋商小组由采购人代表和有关技术、经济等方面的专家组成，且人员构成符合政府采购有关规定。</w:t>
      </w:r>
    </w:p>
    <w:p w14:paraId="31AC4F62">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23.2磋商小组独立工作，负责评审所有响应文件并确定成交侯选人。</w:t>
      </w:r>
    </w:p>
    <w:p w14:paraId="58BB758B">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24、评审过程的保密与公正</w:t>
      </w:r>
    </w:p>
    <w:p w14:paraId="2F1126A2">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24.1磋商小组、采购人和代理公司工作人员、相关监督人员等与评审工作有关的人员，对评审情况以及在评审过程中获悉的国家秘密、商业秘密负有保密责任。</w:t>
      </w:r>
    </w:p>
    <w:p w14:paraId="22E5386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24.2在评审过程中，供应商不得以任何行为影响磋商评审过程，否则其响应文件将被作为无效响应文件。</w:t>
      </w:r>
    </w:p>
    <w:p w14:paraId="50DCEE0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24.3在项目评审期间，采购人将设专门人员与供应商联系。</w:t>
      </w:r>
    </w:p>
    <w:p w14:paraId="6FC05927">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24.4 采购人和磋商小组不向未成交的供应商解释未成交原因，也不公布评审过程中的相关细节。</w:t>
      </w:r>
    </w:p>
    <w:p w14:paraId="1E466DF6">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11" w:name="_Toc513029232"/>
      <w:bookmarkStart w:id="112" w:name="_Toc20823304"/>
      <w:bookmarkStart w:id="113" w:name="_Toc16938548"/>
      <w:r>
        <w:rPr>
          <w:rFonts w:hint="eastAsia" w:ascii="宋体" w:hAnsi="宋体" w:eastAsia="宋体" w:cs="宋体"/>
          <w:color w:val="000000" w:themeColor="text1"/>
          <w:sz w:val="24"/>
          <w:szCs w:val="24"/>
          <w:highlight w:val="none"/>
          <w14:textFill>
            <w14:solidFill>
              <w14:schemeClr w14:val="tx1"/>
            </w14:solidFill>
          </w14:textFill>
        </w:rPr>
        <w:t>25、评审过程中的的澄清</w:t>
      </w:r>
      <w:bookmarkEnd w:id="111"/>
      <w:bookmarkEnd w:id="112"/>
      <w:bookmarkEnd w:id="113"/>
    </w:p>
    <w:p w14:paraId="3937EAD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C62B3DF">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磋商小组并非对每个供应商都作澄清要求。</w:t>
      </w:r>
    </w:p>
    <w:p w14:paraId="4167121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340E3EB">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25.3 接到磋商小组澄清、说明和更正要求的供应商如未按规定做出澄清、说明和更正，其风险由供应商自行承担。</w:t>
      </w:r>
    </w:p>
    <w:p w14:paraId="1D51790F">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14" w:name="_Toc20823305"/>
      <w:bookmarkStart w:id="115" w:name="_Toc513029233"/>
      <w:bookmarkStart w:id="116" w:name="_Toc16938549"/>
      <w:r>
        <w:rPr>
          <w:rFonts w:hint="eastAsia" w:ascii="宋体" w:hAnsi="宋体" w:eastAsia="宋体" w:cs="宋体"/>
          <w:color w:val="000000" w:themeColor="text1"/>
          <w:sz w:val="24"/>
          <w:szCs w:val="24"/>
          <w:highlight w:val="none"/>
          <w14:textFill>
            <w14:solidFill>
              <w14:schemeClr w14:val="tx1"/>
            </w14:solidFill>
          </w14:textFill>
        </w:rPr>
        <w:t>26、对响应文件的审</w:t>
      </w:r>
      <w:bookmarkEnd w:id="114"/>
      <w:bookmarkEnd w:id="115"/>
      <w:bookmarkEnd w:id="116"/>
      <w:r>
        <w:rPr>
          <w:rFonts w:hint="eastAsia" w:ascii="宋体" w:hAnsi="宋体" w:eastAsia="宋体" w:cs="宋体"/>
          <w:color w:val="000000" w:themeColor="text1"/>
          <w:sz w:val="24"/>
          <w:szCs w:val="24"/>
          <w:highlight w:val="none"/>
          <w14:textFill>
            <w14:solidFill>
              <w14:schemeClr w14:val="tx1"/>
            </w14:solidFill>
          </w14:textFill>
        </w:rPr>
        <w:t>查</w:t>
      </w:r>
    </w:p>
    <w:p w14:paraId="3CA09C8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26.1响应文件审查分为资格审查和符合性审查。</w:t>
      </w:r>
    </w:p>
    <w:p w14:paraId="16C7A83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26.1.1 资格审查：由磋商小组依据法律法规和磋商文件的规定，对响应文件中的资格证明文件进行审查，以确定供应商是否具备参加磋商的资格。</w:t>
      </w:r>
    </w:p>
    <w:p w14:paraId="02BA6FB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磋商小组在进行资格审查的同时，将在“信用中国”网站查询供应商的信用记录，以确定供应商是否具备磋商资格,查询结果留存并归档。</w:t>
      </w:r>
    </w:p>
    <w:p w14:paraId="4A6FAC0A">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7418784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26.1.2 符合性审查：依据磋商文件的规定，由磋商小组从响应文件的有效性、完整性和对磋商文件的响应程度进行审查，以确定是否对磋商文件的实质性要求作出响应。</w:t>
      </w:r>
    </w:p>
    <w:p w14:paraId="5369FC9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26.1.3 未通过资格审查或符合性审查的供应商，磋商小组将在苏采云系统中告知未通过资格审查或符合性审查的原因，评审结束后，磋商小组将不再告知未通过资格审查或符合性审查的原因。</w:t>
      </w:r>
    </w:p>
    <w:p w14:paraId="5E84D92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26.2在详细评审之前，磋商小组将首先审查每份响应文件是否实质性响应了磋商文件的要求。实质性响应的响应文件应该是与磋商文件要求的条款、条件和规格相符，没有重大偏离或保留。</w:t>
      </w:r>
    </w:p>
    <w:p w14:paraId="6491E4C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96A17F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2E138F62">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7F6DE3E3">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08B0FBA8">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0ACADAF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2B2A1E7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6E128D4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26.3.6不符合磋商文件中规定的实质性要求和条件的（本磋商文件中斜体且有下划线部分为实质性要求和条件）。</w:t>
      </w:r>
    </w:p>
    <w:p w14:paraId="641B2DFD">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B0B8CBA">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67676037">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.10投标人不能证明其报价合理性的，评标委员会应当将其作为无效投标处理。</w:t>
      </w:r>
    </w:p>
    <w:p w14:paraId="4DBC899D">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（一）评审过程中出现下列情形之一的，评标委员会应当启动异常低价投标审查程序：</w:t>
      </w:r>
    </w:p>
    <w:p w14:paraId="142F51C3">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698A7F0F">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54A4056">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3.投标（响应）报价低于采购项目最高限价45%的，即投标（响应）报价&lt;采购项目最高限价×45%；</w:t>
      </w:r>
    </w:p>
    <w:p w14:paraId="4EEC6373">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4.评审委员会基于专业判断，认为供应商报价过低，有可能影响产品质量或者不能诚信履约的其他情形。</w:t>
      </w:r>
    </w:p>
    <w:p w14:paraId="57D7A661">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相关法律法规对供应商报价有规定的，从其规定。</w:t>
      </w:r>
    </w:p>
    <w:p w14:paraId="03D3905F">
      <w:pPr>
        <w:pStyle w:val="35"/>
        <w:pageBreakBefore w:val="0"/>
        <w:widowControl/>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kern w:val="0"/>
          <w:sz w:val="24"/>
          <w:szCs w:val="24"/>
          <w:lang w:val="en-US" w:eastAsia="zh-CN" w:bidi="ar-SA"/>
        </w:rPr>
        <w:t>（二）</w:t>
      </w:r>
      <w:r>
        <w:rPr>
          <w:rFonts w:hint="eastAsia" w:ascii="宋体" w:hAnsi="宋体" w:eastAsia="宋体" w:cs="宋体"/>
          <w:color w:val="FF0000"/>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00FEBEA">
      <w:pPr>
        <w:pStyle w:val="35"/>
        <w:pageBreakBefore w:val="0"/>
        <w:widowControl/>
        <w:numPr>
          <w:ilvl w:val="0"/>
          <w:numId w:val="0"/>
        </w:numPr>
        <w:kinsoku/>
        <w:wordWrap/>
        <w:overflowPunct/>
        <w:topLinePunct w:val="0"/>
        <w:autoSpaceDE/>
        <w:autoSpaceDN/>
        <w:bidi w:val="0"/>
        <w:adjustRightInd/>
        <w:snapToGrid/>
        <w:spacing w:before="0" w:beforeAutospacing="0" w:after="0" w:afterAutospacing="0" w:line="460" w:lineRule="exact"/>
        <w:ind w:leftChars="0" w:firstLine="480" w:firstLineChars="20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BF37A9">
      <w:pPr>
        <w:pStyle w:val="35"/>
        <w:pageBreakBefore w:val="0"/>
        <w:widowControl/>
        <w:numPr>
          <w:ilvl w:val="0"/>
          <w:numId w:val="0"/>
        </w:numPr>
        <w:kinsoku/>
        <w:wordWrap/>
        <w:overflowPunct/>
        <w:topLinePunct w:val="0"/>
        <w:autoSpaceDE/>
        <w:autoSpaceDN/>
        <w:bidi w:val="0"/>
        <w:adjustRightInd/>
        <w:snapToGrid/>
        <w:spacing w:before="0" w:beforeAutospacing="0" w:after="0" w:afterAutospacing="0" w:line="460" w:lineRule="exact"/>
        <w:ind w:leftChars="0" w:firstLine="480" w:firstLineChars="20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B3E6BC">
      <w:pPr>
        <w:pStyle w:val="35"/>
        <w:keepNext/>
        <w:keepLines/>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53784EA5">
      <w:pPr>
        <w:pStyle w:val="35"/>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17" w:name="_Toc513029234"/>
      <w:bookmarkStart w:id="118" w:name="_Toc16938550"/>
      <w:bookmarkStart w:id="119" w:name="_Toc20823306"/>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，并安排专人与采购中心及磋商小组联系。</w:t>
      </w:r>
      <w:bookmarkEnd w:id="117"/>
      <w:bookmarkEnd w:id="118"/>
      <w:bookmarkEnd w:id="119"/>
    </w:p>
    <w:p w14:paraId="200ED6F5">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27、磋商程序及评审方法和评审标准</w:t>
      </w:r>
    </w:p>
    <w:p w14:paraId="55D61845">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27.1磋商程序</w:t>
      </w:r>
    </w:p>
    <w:p w14:paraId="2DE7C76A">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5C0FE59">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DBD6FE2">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A5315D6">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DF4D74E">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42B07B81">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9DF5B14">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 评审方法和评审标准</w:t>
      </w:r>
    </w:p>
    <w:p w14:paraId="49EDE625">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27.2.1评审方法。经磋商确定最终采购需求和提交最后报价的供应商后，由磋商小组采用综合评分法对提交最后报价的供应商的响应文件和最后报价进行综合评分。</w:t>
      </w:r>
    </w:p>
    <w:p w14:paraId="4380FDA0">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9C009FD">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27.2.2评审标准</w:t>
      </w:r>
    </w:p>
    <w:p w14:paraId="3E61A712">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见本磋商文件第五章规定。</w:t>
      </w:r>
    </w:p>
    <w:p w14:paraId="2D5DA993">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27.3采购活动终止的情况</w:t>
      </w:r>
    </w:p>
    <w:p w14:paraId="533D3CDF">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出现下列情形之一的，本次竞争性磋商采购活动将被终止：</w:t>
      </w:r>
    </w:p>
    <w:p w14:paraId="017AF4C3">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27.3.1因情况变化，不再符合规定的竞争性磋商采购方式适用情形的。</w:t>
      </w:r>
    </w:p>
    <w:p w14:paraId="10B35BFD">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27.3.2出现影响采购公正的违法、违规行为的。</w:t>
      </w:r>
    </w:p>
    <w:p w14:paraId="4B6E5E68">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27.3.3除本磋商文件第二章第27.1.2条第三款规定的情形外，在采购过程中符合要求的供应商或者最后报价未超过采购预算的供应商不足3家的。</w:t>
      </w:r>
    </w:p>
    <w:p w14:paraId="24743851">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27.3.4在苏采云系统规定时间内成功解密电子响应文件的供应商不足3家的。</w:t>
      </w:r>
    </w:p>
    <w:p w14:paraId="3F723CF7">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2"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20" w:name="_Toc20823307"/>
      <w:bookmarkStart w:id="121" w:name="_Toc120614219"/>
      <w:bookmarkStart w:id="122" w:name="_Toc16938551"/>
      <w:bookmarkStart w:id="123" w:name="_Toc513029235"/>
      <w:r>
        <w:rPr>
          <w:rFonts w:hint="eastAsia" w:ascii="宋体" w:hAnsi="宋体" w:eastAsia="宋体" w:cs="宋体"/>
          <w:b/>
          <w:color w:val="000000" w:themeColor="text1"/>
          <w:sz w:val="24"/>
          <w:szCs w:val="24"/>
          <w:highlight w:val="none"/>
          <w14:textFill>
            <w14:solidFill>
              <w14:schemeClr w14:val="tx1"/>
            </w14:solidFill>
          </w14:textFill>
        </w:rPr>
        <w:t>六、</w:t>
      </w:r>
      <w:bookmarkEnd w:id="120"/>
      <w:bookmarkEnd w:id="121"/>
      <w:bookmarkEnd w:id="122"/>
      <w:bookmarkEnd w:id="123"/>
      <w:r>
        <w:rPr>
          <w:rFonts w:hint="eastAsia" w:ascii="宋体" w:hAnsi="宋体" w:eastAsia="宋体" w:cs="宋体"/>
          <w:b/>
          <w:color w:val="000000" w:themeColor="text1"/>
          <w:sz w:val="24"/>
          <w:szCs w:val="24"/>
          <w:highlight w:val="none"/>
          <w14:textFill>
            <w14:solidFill>
              <w14:schemeClr w14:val="tx1"/>
            </w14:solidFill>
          </w14:textFill>
        </w:rPr>
        <w:t>成交</w:t>
      </w:r>
    </w:p>
    <w:p w14:paraId="24EA68B1">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24" w:name="_Toc20823310"/>
      <w:bookmarkStart w:id="125" w:name="_Toc16938554"/>
      <w:bookmarkStart w:id="126" w:name="_Toc513029238"/>
      <w:r>
        <w:rPr>
          <w:rFonts w:hint="eastAsia" w:ascii="宋体" w:hAnsi="宋体" w:eastAsia="宋体" w:cs="宋体"/>
          <w:color w:val="000000" w:themeColor="text1"/>
          <w:sz w:val="24"/>
          <w:szCs w:val="24"/>
          <w:highlight w:val="none"/>
          <w14:textFill>
            <w14:solidFill>
              <w14:schemeClr w14:val="tx1"/>
            </w14:solidFill>
          </w14:textFill>
        </w:rPr>
        <w:t>28、</w:t>
      </w:r>
      <w:bookmarkEnd w:id="124"/>
      <w:r>
        <w:rPr>
          <w:rFonts w:hint="eastAsia" w:ascii="宋体" w:hAnsi="宋体" w:eastAsia="宋体" w:cs="宋体"/>
          <w:color w:val="000000" w:themeColor="text1"/>
          <w:sz w:val="24"/>
          <w:szCs w:val="24"/>
          <w:highlight w:val="none"/>
          <w14:textFill>
            <w14:solidFill>
              <w14:schemeClr w14:val="tx1"/>
            </w14:solidFill>
          </w14:textFill>
        </w:rPr>
        <w:t>确定</w:t>
      </w:r>
      <w:bookmarkEnd w:id="125"/>
      <w:bookmarkEnd w:id="126"/>
      <w:r>
        <w:rPr>
          <w:rFonts w:hint="eastAsia" w:ascii="宋体" w:hAnsi="宋体" w:eastAsia="宋体" w:cs="宋体"/>
          <w:color w:val="000000" w:themeColor="text1"/>
          <w:sz w:val="24"/>
          <w:szCs w:val="24"/>
          <w:highlight w:val="none"/>
          <w14:textFill>
            <w14:solidFill>
              <w14:schemeClr w14:val="tx1"/>
            </w14:solidFill>
          </w14:textFill>
        </w:rPr>
        <w:t>成交单位</w:t>
      </w:r>
    </w:p>
    <w:p w14:paraId="5404BCC0">
      <w:pPr>
        <w:pStyle w:val="35"/>
        <w:pageBreakBefore w:val="0"/>
        <w:tabs>
          <w:tab w:val="left" w:pos="901"/>
        </w:tabs>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2C630B2">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A5752A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4F671208">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28.3若有充分证据证明，成交供应商出现下列情况之一的，一经查实，将被取消成交资格：</w:t>
      </w:r>
    </w:p>
    <w:p w14:paraId="791EA9CF">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28.3.1提供虚假材料谋取成交的。</w:t>
      </w:r>
    </w:p>
    <w:p w14:paraId="6C559A73">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28.3.2与评审专家、采购人、其他供应商或者代理公司工作人员恶意串通的。</w:t>
      </w:r>
    </w:p>
    <w:p w14:paraId="272AF6ED">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28.3.3向评审专家、采购人或代理公司工作人员行贿或者提供其他不正当利益的。</w:t>
      </w:r>
    </w:p>
    <w:p w14:paraId="6E47F6DF">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28.3.4恶意竞争，最后报价明显低于其自身合理成本且又无法提供证明的。</w:t>
      </w:r>
    </w:p>
    <w:p w14:paraId="5CC9EA8A">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28.3.5不满足本磋商文件规定的实质性要求，但在评审过程中又未被磋商小组发现的。</w:t>
      </w:r>
    </w:p>
    <w:p w14:paraId="2FC16709">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28.3.6成交后无正当理由拒不与采购人签订政府采购合同或者未按照磋商文件确定的事项签订政府采购合同的。</w:t>
      </w:r>
    </w:p>
    <w:p w14:paraId="5E9D256C">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28.3.7将政府采购合同转包的。</w:t>
      </w:r>
    </w:p>
    <w:p w14:paraId="096EDD52">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27" w:name="_Toc200451960"/>
      <w:r>
        <w:rPr>
          <w:rFonts w:hint="eastAsia" w:ascii="宋体" w:hAnsi="宋体" w:eastAsia="宋体" w:cs="宋体"/>
          <w:color w:val="000000" w:themeColor="text1"/>
          <w:sz w:val="24"/>
          <w:szCs w:val="24"/>
          <w:highlight w:val="none"/>
          <w14:textFill>
            <w14:solidFill>
              <w14:schemeClr w14:val="tx1"/>
            </w14:solidFill>
          </w14:textFill>
        </w:rPr>
        <w:t>29、质疑处理</w:t>
      </w:r>
      <w:bookmarkEnd w:id="127"/>
    </w:p>
    <w:p w14:paraId="1E04DEB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29.1 提出质疑的供应商应当是参与所质疑项目采购活动的供应商。潜在供应商依法获取其可质疑的采购文件的，可以对采购文件提出质疑。</w:t>
      </w:r>
    </w:p>
    <w:p w14:paraId="0F0EDFD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23935B75">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29.2.1对可以质疑的采购文件提出质疑的，为收到采购文件之日或者采购文件公告期限届满之日。</w:t>
      </w:r>
    </w:p>
    <w:p w14:paraId="454649A6">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29.2.2对采购过程提出质疑的，为各采购程序环节结束之日。</w:t>
      </w:r>
    </w:p>
    <w:p w14:paraId="342C5A73">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29.2.3对成交结果提出质疑的，为成交结果公告期限届满之日。</w:t>
      </w:r>
    </w:p>
    <w:p w14:paraId="5FF2FCD4">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供应商应当在法定质疑期内一次性提出针对同一采购程序环节的质疑。供应商如在法定期限内对同一采购程序环节提出多次质疑的，采购人、代理公司将只对供应商第一次质疑作出答复。</w:t>
      </w:r>
    </w:p>
    <w:p w14:paraId="2DDA039B">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29.3质疑函必须按照本磋商文件中《质疑函范本》要求的格式和内容进行填写。供应商如组成联合体参加磋商，则《质疑函范本》中要求签字、盖章、加盖公章之处，联合体各方均须按要求签字、盖章、加盖公章。</w:t>
      </w:r>
    </w:p>
    <w:p w14:paraId="3CC46D9A">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 以下情形的质疑不予受理</w:t>
      </w:r>
    </w:p>
    <w:p w14:paraId="2E713A1E">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29.4.1 内容不符合《政府采购质疑和投诉办法》第十二条规定的质疑。</w:t>
      </w:r>
    </w:p>
    <w:p w14:paraId="552512BE">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29.4.2 超出政府采购法定期限的质疑。</w:t>
      </w:r>
    </w:p>
    <w:p w14:paraId="4AE89430">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29.4.3 以传真、电子邮件等方式递交的非原件形式的质疑。</w:t>
      </w:r>
    </w:p>
    <w:p w14:paraId="7B4FFCF6">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29.4.4 未参加磋商活动的供应商或在磋商活动中自身权益未受到损害的供应商所提出的质疑。</w:t>
      </w:r>
    </w:p>
    <w:p w14:paraId="7034FBF6">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29.4.5供应商组成联合体参加磋商，联合体中任何一方或多方未按要求签字、盖章、加盖公章的质疑。</w:t>
      </w:r>
    </w:p>
    <w:p w14:paraId="1D83C3D1">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C7F7CD6">
      <w:pPr>
        <w:pStyle w:val="35"/>
        <w:keepNext/>
        <w:keepLines/>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30、成交通知书</w:t>
      </w:r>
    </w:p>
    <w:p w14:paraId="76E9C88A">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3BCB1DE">
      <w:pPr>
        <w:pStyle w:val="35"/>
        <w:pageBreakBefore w:val="0"/>
        <w:kinsoku/>
        <w:wordWrap/>
        <w:overflowPunct/>
        <w:topLinePunct w:val="0"/>
        <w:autoSpaceDE/>
        <w:autoSpaceDN/>
        <w:bidi w:val="0"/>
        <w:adjustRightInd/>
        <w:snapToGrid/>
        <w:spacing w:before="0" w:beforeAutospacing="0" w:after="0" w:afterAutospacing="0" w:line="460" w:lineRule="exact"/>
        <w:ind w:left="0" w:lef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30.2成交通知书将是合同的一个组成部分。对采购人和成交供应商均具有法律效力。成交通知书发出后，采购人改变成交结果的，或者成交供应商放弃成交项目的，应当依法承担法律责任。</w:t>
      </w:r>
    </w:p>
    <w:p w14:paraId="51451D70">
      <w:pPr>
        <w:pageBreakBefore w:val="0"/>
        <w:kinsoku/>
        <w:wordWrap/>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七、授予合同</w:t>
      </w:r>
    </w:p>
    <w:p w14:paraId="4F8674E0">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bookmarkStart w:id="128" w:name="_Toc20823309"/>
      <w:bookmarkStart w:id="129" w:name="_Toc16938553"/>
      <w:bookmarkStart w:id="130" w:name="_Toc513029237"/>
      <w:r>
        <w:rPr>
          <w:rFonts w:hint="eastAsia" w:ascii="宋体" w:hAnsi="宋体" w:eastAsia="宋体" w:cs="宋体"/>
          <w:sz w:val="24"/>
          <w:szCs w:val="24"/>
          <w:highlight w:val="none"/>
        </w:rPr>
        <w:t>30、签订合同</w:t>
      </w:r>
      <w:bookmarkEnd w:id="128"/>
      <w:bookmarkEnd w:id="129"/>
      <w:bookmarkEnd w:id="130"/>
    </w:p>
    <w:p w14:paraId="6D43C9F4">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30.l中标人应当在中标通知书发出之日起三十日内，按照招标文件确定的事项与采购人签订政府采购合同。</w:t>
      </w:r>
    </w:p>
    <w:p w14:paraId="36C7A620">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30.2招标文件、中标人的投标文件及招标过程中有关澄清、承诺文件均应作为合同附件。</w:t>
      </w:r>
    </w:p>
    <w:p w14:paraId="6A88A97C">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30.3签订合同后，</w:t>
      </w:r>
      <w:r>
        <w:rPr>
          <w:rFonts w:hint="eastAsia" w:ascii="宋体" w:hAnsi="宋体" w:eastAsia="宋体" w:cs="宋体"/>
          <w:i w:val="0"/>
          <w:iCs/>
          <w:sz w:val="24"/>
          <w:szCs w:val="24"/>
          <w:highlight w:val="none"/>
          <w:u w:val="none"/>
        </w:rPr>
        <w:t>中标人不得将合同标的进行转包</w:t>
      </w:r>
      <w:r>
        <w:rPr>
          <w:rFonts w:hint="eastAsia" w:ascii="宋体" w:hAnsi="宋体" w:eastAsia="宋体" w:cs="宋体"/>
          <w:i w:val="0"/>
          <w:iCs/>
          <w:sz w:val="24"/>
          <w:szCs w:val="24"/>
          <w:highlight w:val="none"/>
          <w:u w:val="none"/>
          <w:lang w:val="en-US" w:eastAsia="zh-CN"/>
        </w:rPr>
        <w:t>和分包。</w:t>
      </w:r>
      <w:r>
        <w:rPr>
          <w:rFonts w:hint="eastAsia" w:ascii="宋体" w:hAnsi="宋体" w:eastAsia="宋体" w:cs="宋体"/>
          <w:sz w:val="24"/>
          <w:szCs w:val="24"/>
          <w:highlight w:val="none"/>
        </w:rPr>
        <w:t>未经采购人同意，中标人也不得采用分包的形式履行合同，否则采购人有权终止合同。转包或分包造成采购人损失的，中标人应承担相应赔偿责任。</w:t>
      </w:r>
    </w:p>
    <w:p w14:paraId="53100E21">
      <w:pPr>
        <w:spacing w:line="500" w:lineRule="exact"/>
        <w:ind w:firstLine="480"/>
        <w:rPr>
          <w:rFonts w:hint="eastAsia" w:ascii="宋体" w:hAnsi="宋体" w:eastAsia="宋体" w:cs="宋体"/>
          <w:sz w:val="24"/>
        </w:rPr>
      </w:pPr>
      <w:r>
        <w:rPr>
          <w:rFonts w:hint="eastAsia" w:ascii="宋体" w:hAnsi="宋体" w:eastAsia="宋体" w:cs="宋体"/>
          <w:sz w:val="24"/>
        </w:rPr>
        <w:t>30.4供应商</w:t>
      </w:r>
      <w:r>
        <w:rPr>
          <w:rFonts w:ascii="宋体" w:hAnsi="宋体" w:eastAsia="宋体" w:cs="宋体"/>
          <w:sz w:val="24"/>
        </w:rPr>
        <w:t>成交后无正当理由拒不与采购人签订政府采购合同</w:t>
      </w:r>
      <w:r>
        <w:rPr>
          <w:rFonts w:hint="eastAsia" w:ascii="宋体" w:hAnsi="宋体" w:eastAsia="宋体" w:cs="宋体"/>
          <w:sz w:val="24"/>
        </w:rPr>
        <w:t>的，按《</w:t>
      </w:r>
      <w:r>
        <w:rPr>
          <w:rFonts w:ascii="宋体" w:hAnsi="宋体" w:eastAsia="宋体" w:cs="宋体"/>
          <w:sz w:val="24"/>
        </w:rPr>
        <w:t>中华人民共和国政府采购法</w:t>
      </w:r>
      <w:r>
        <w:rPr>
          <w:rFonts w:hint="eastAsia" w:ascii="宋体" w:hAnsi="宋体" w:eastAsia="宋体" w:cs="宋体"/>
          <w:sz w:val="24"/>
        </w:rPr>
        <w:t>》、《</w:t>
      </w:r>
      <w:r>
        <w:rPr>
          <w:rFonts w:ascii="宋体" w:hAnsi="宋体" w:eastAsia="宋体" w:cs="宋体"/>
          <w:sz w:val="24"/>
        </w:rPr>
        <w:t>中华人民共和国政府采购法实施条例</w:t>
      </w:r>
      <w:r>
        <w:rPr>
          <w:rFonts w:hint="eastAsia" w:ascii="宋体" w:hAnsi="宋体" w:eastAsia="宋体" w:cs="宋体"/>
          <w:sz w:val="24"/>
        </w:rPr>
        <w:t>》相关规定执行。</w:t>
      </w:r>
    </w:p>
    <w:p w14:paraId="3DA11E0D">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31、服务（包含与服务相关的货物）的追加</w:t>
      </w:r>
    </w:p>
    <w:p w14:paraId="73021EFC">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052437D">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32、政府采购政策功能落实</w:t>
      </w:r>
    </w:p>
    <w:p w14:paraId="7ED52E17">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32.1政府采购线上合同信用融资政策</w:t>
      </w:r>
    </w:p>
    <w:p w14:paraId="2DFB9F5C">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23AF3C39">
      <w:pPr>
        <w:pageBreakBefore w:val="0"/>
        <w:tabs>
          <w:tab w:val="left" w:pos="1381"/>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32.2进口产品</w:t>
      </w:r>
    </w:p>
    <w:p w14:paraId="4FF01122">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5E92AF0">
      <w:pPr>
        <w:pageBreakBefore w:val="0"/>
        <w:tabs>
          <w:tab w:val="left" w:pos="1381"/>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32.3中小企业、监狱企业及残疾人福利性单位</w:t>
      </w:r>
    </w:p>
    <w:p w14:paraId="349CA0E7">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32.3.1中小企业定义：</w:t>
      </w:r>
    </w:p>
    <w:p w14:paraId="5AC23081">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360C166">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32.3.2投标人提供的货物、工程或者服务符合下列情形的，享受中小企业扶持政策：</w:t>
      </w:r>
    </w:p>
    <w:p w14:paraId="6C03EBBA">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32.3.2.1在货物采购项目中，货物由中小企业制造，即货物由中小企业生产且使用该中小企业商号或者注册商标；</w:t>
      </w:r>
    </w:p>
    <w:p w14:paraId="39E81C15">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32.3.2.2在工程采购项目中，工程由中小企业承建，即工程施工单位为中小企业；</w:t>
      </w:r>
    </w:p>
    <w:p w14:paraId="64301EEB">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32.3.2.3在服务采购项目中，服务由中小企业承接，即提供服务的人员为中小企业依照《中华人民共和国劳动合同法》订立劳动合同的从业人员。</w:t>
      </w:r>
    </w:p>
    <w:p w14:paraId="68369863">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32.3.3在货物采购项目中，投标人提供的货物既有中小企业制造货物，也有大型企业制造货物的，不享受中小企业扶持政策。</w:t>
      </w:r>
    </w:p>
    <w:p w14:paraId="23277EEE">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32.3.4以联合体形式参加政府采购活动，联合体各方均为中小企业的，联合体视同中小企业。其中，联合体各方均为小微企业的，联合体视同小微企业。</w:t>
      </w:r>
    </w:p>
    <w:p w14:paraId="1FC4E54B">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655F0D">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32.3.6残疾人福利单位定义：享受政府采购支持政策的残疾人福利性单位应当同时满足以下条件：</w:t>
      </w:r>
    </w:p>
    <w:p w14:paraId="4D356180">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32.3.6.1安置的残疾人占本单位在职职工人数的比例不低于25%（含25%），并且安置的残疾人人数不少于10人（含10人）；</w:t>
      </w:r>
    </w:p>
    <w:p w14:paraId="01877D2F">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32.3.6.2依法与安置的每位残疾人签订了一年以上（含一年）的劳动合同或服务协议；</w:t>
      </w:r>
    </w:p>
    <w:p w14:paraId="15516636">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32.3.6.3为安置的每位残疾人按月足额缴纳了基本养老保险、基本医疗保险、失业保险、工伤保险和生育保险等社会保险费；</w:t>
      </w:r>
    </w:p>
    <w:p w14:paraId="7534E5DD">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32.3.6.4通过银行等金融机构向安置的每位残疾人，按月支付了不低于单位所在区县适用的经省级人民政府批准的月最低工资标准的工资；</w:t>
      </w:r>
    </w:p>
    <w:p w14:paraId="29E9C8F1">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32.3.6.5提供本单位制造的货物、承担的工程或者服务（以下简称产品），或者提供其他残疾人福利性单位制造的货物（不包括使用非残疾人福利性单位注册商标的货物）；</w:t>
      </w:r>
    </w:p>
    <w:p w14:paraId="1319D947">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7A7C99B">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32.3.7本项目是否专门面向中小企业预留采购份额见第一章《招标公告》。</w:t>
      </w:r>
    </w:p>
    <w:p w14:paraId="4A4D69EE">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32.3.8采购标的对应的中小企业划分标准所属行业见第四章《采购需求》。</w:t>
      </w:r>
    </w:p>
    <w:p w14:paraId="0664EA4D">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32.3.9小微企业价格评审优惠的政策：见第五章《评标方法和评标标准》。</w:t>
      </w:r>
    </w:p>
    <w:p w14:paraId="4E29B2CC">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32.4政府采购节能产品、环境标志产品</w:t>
      </w:r>
    </w:p>
    <w:p w14:paraId="48DCF030">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4DB51F7">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1F57B20">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32.5绿色包装</w:t>
      </w:r>
    </w:p>
    <w:p w14:paraId="66637545">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6517675">
      <w:pPr>
        <w:pageBreakBefore w:val="0"/>
        <w:tabs>
          <w:tab w:val="left" w:pos="1381"/>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32.6政府采购创新产品</w:t>
      </w:r>
    </w:p>
    <w:p w14:paraId="54EBC4E6">
      <w:pPr>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采购人优先采购各级政府部门公开发布的有效期内的创新产品、创新服务、首台套、首购首用等《目录》的创新产品。</w:t>
      </w:r>
    </w:p>
    <w:p w14:paraId="26955E02">
      <w:pPr>
        <w:keepNext w:val="0"/>
        <w:keepLines w:val="0"/>
        <w:pageBreakBefore w:val="0"/>
        <w:widowControl w:val="0"/>
        <w:tabs>
          <w:tab w:val="left" w:pos="1381"/>
        </w:tabs>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32.7绿色数据中心政策</w:t>
      </w:r>
    </w:p>
    <w:p w14:paraId="38B7AEBC">
      <w:pPr>
        <w:keepNext w:val="0"/>
        <w:keepLines w:val="0"/>
        <w:pageBreakBefore w:val="0"/>
        <w:widowControl w:val="0"/>
        <w:tabs>
          <w:tab w:val="left" w:pos="1381"/>
        </w:tabs>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p>
    <w:p w14:paraId="1F3C8645">
      <w:pPr>
        <w:keepNext w:val="0"/>
        <w:keepLines w:val="0"/>
        <w:pageBreakBefore w:val="0"/>
        <w:widowControl w:val="0"/>
        <w:tabs>
          <w:tab w:val="left" w:pos="1381"/>
        </w:tabs>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32.8履约保证金政策</w:t>
      </w:r>
    </w:p>
    <w:p w14:paraId="0233908C">
      <w:pPr>
        <w:spacing w:line="500" w:lineRule="exact"/>
        <w:ind w:firstLine="480"/>
        <w:rPr>
          <w:rFonts w:hint="eastAsia" w:ascii="宋体" w:hAnsi="宋体" w:eastAsia="宋体" w:cs="宋体"/>
          <w:sz w:val="24"/>
        </w:rPr>
      </w:pPr>
      <w:r>
        <w:rPr>
          <w:rFonts w:hint="eastAsia" w:ascii="宋体" w:hAnsi="宋体" w:eastAsia="宋体" w:cs="宋体"/>
          <w:sz w:val="24"/>
        </w:rPr>
        <w:t>确需收取履约保证金的，履约保证金的缴纳形式：</w:t>
      </w:r>
    </w:p>
    <w:p w14:paraId="0F3CEFE1">
      <w:pPr>
        <w:spacing w:line="500" w:lineRule="exact"/>
        <w:ind w:firstLine="482"/>
        <w:rPr>
          <w:rFonts w:hint="eastAsia" w:ascii="宋体" w:hAnsi="宋体" w:eastAsia="宋体" w:cs="宋体"/>
          <w:sz w:val="24"/>
        </w:rPr>
      </w:pPr>
      <w:r>
        <w:rPr>
          <w:rFonts w:hint="eastAsia" w:ascii="宋体" w:hAnsi="宋体" w:eastAsia="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FCB33E1">
      <w:pPr>
        <w:spacing w:line="500" w:lineRule="exact"/>
        <w:ind w:firstLine="482"/>
        <w:rPr>
          <w:rFonts w:hint="eastAsia" w:ascii="宋体" w:hAnsi="宋体" w:eastAsia="宋体" w:cs="宋体"/>
          <w:sz w:val="24"/>
        </w:rPr>
      </w:pPr>
      <w:r>
        <w:rPr>
          <w:rFonts w:hint="eastAsia" w:ascii="宋体" w:hAnsi="宋体" w:eastAsia="宋体" w:cs="宋体"/>
          <w:sz w:val="24"/>
        </w:rPr>
        <w:t>如以履约保函（保险）形式缴纳履约保证金，供应商可通过政府采购电子履约保函（保险）平台（www.jsdzbh.com）在线申请履约保函（保险）。</w:t>
      </w:r>
    </w:p>
    <w:p w14:paraId="78DD6471">
      <w:pPr>
        <w:spacing w:line="500" w:lineRule="exact"/>
        <w:ind w:firstLine="482"/>
        <w:rPr>
          <w:rFonts w:hint="eastAsia" w:ascii="宋体" w:hAnsi="宋体" w:eastAsia="宋体" w:cs="宋体"/>
          <w:sz w:val="24"/>
        </w:rPr>
      </w:pPr>
      <w:r>
        <w:rPr>
          <w:rFonts w:ascii="宋体" w:hAnsi="宋体" w:eastAsia="宋体" w:cs="宋体"/>
          <w:sz w:val="24"/>
        </w:rPr>
        <w:t>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p>
    <w:p w14:paraId="4E72C9CA">
      <w:pPr>
        <w:keepNext w:val="0"/>
        <w:keepLines w:val="0"/>
        <w:pageBreakBefore w:val="0"/>
        <w:widowControl w:val="0"/>
        <w:kinsoku/>
        <w:wordWrap/>
        <w:overflowPunct/>
        <w:topLinePunct w:val="0"/>
        <w:autoSpaceDE/>
        <w:autoSpaceDN/>
        <w:bidi w:val="0"/>
        <w:adjustRightInd/>
        <w:snapToGrid/>
        <w:spacing w:line="460" w:lineRule="exact"/>
        <w:ind w:left="0" w:leftChars="0" w:firstLine="482" w:firstLineChars="200"/>
        <w:jc w:val="both"/>
        <w:textAlignment w:val="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33. 预付款制度</w:t>
      </w:r>
    </w:p>
    <w:p w14:paraId="577A5000">
      <w:pPr>
        <w:widowControl/>
        <w:spacing w:line="500" w:lineRule="exact"/>
        <w:ind w:firstLine="482"/>
        <w:rPr>
          <w:rFonts w:hint="eastAsia" w:ascii="宋体" w:hAnsi="宋体" w:eastAsia="宋体" w:cs="宋体"/>
          <w:sz w:val="24"/>
        </w:rPr>
      </w:pPr>
      <w:r>
        <w:rPr>
          <w:rFonts w:hint="eastAsia" w:ascii="宋体" w:hAnsi="宋体" w:eastAsia="宋体" w:cs="宋体"/>
          <w:sz w:val="24"/>
        </w:rPr>
        <w:t>本项目落实预付款制度，预付款比例为10%。在签订合同时，中标、成交供应商明确书面表示无需预付款或者主动要求降低预付款比例的，采购人可就预付款比例作相应调整</w:t>
      </w:r>
      <w:r>
        <w:rPr>
          <w:rFonts w:hint="eastAsia" w:ascii="宋体" w:hAnsi="宋体" w:eastAsia="宋体" w:cs="宋体"/>
          <w:sz w:val="24"/>
          <w:lang w:val="zh-CN"/>
        </w:rPr>
        <w:t>。</w:t>
      </w:r>
    </w:p>
    <w:p w14:paraId="1D54CAE0">
      <w:pPr>
        <w:jc w:val="left"/>
        <w:rPr>
          <w:rFonts w:ascii="宋体" w:hAnsi="宋体" w:cs="宋体"/>
          <w:bCs/>
          <w:sz w:val="28"/>
          <w:szCs w:val="28"/>
          <w:highlight w:val="none"/>
        </w:rPr>
      </w:pPr>
    </w:p>
    <w:p w14:paraId="588FC0AB">
      <w:pPr>
        <w:rPr>
          <w:rFonts w:hint="eastAsia" w:ascii="黑体" w:eastAsia="黑体" w:cs="Arial"/>
          <w:bCs/>
          <w:szCs w:val="44"/>
          <w:highlight w:val="none"/>
        </w:rPr>
      </w:pPr>
    </w:p>
    <w:p w14:paraId="01F626DB">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ascii="黑体" w:eastAsia="黑体" w:cs="Arial"/>
          <w:bCs/>
          <w:szCs w:val="44"/>
          <w:highlight w:val="none"/>
        </w:rPr>
      </w:pPr>
      <w:r>
        <w:rPr>
          <w:rFonts w:hint="eastAsia" w:ascii="黑体" w:eastAsia="黑体" w:cs="Arial"/>
          <w:bCs/>
          <w:szCs w:val="44"/>
          <w:highlight w:val="none"/>
        </w:rPr>
        <w:t>第三章  合同条款及格式</w:t>
      </w:r>
    </w:p>
    <w:p w14:paraId="14FFD940">
      <w:pPr>
        <w:keepNext w:val="0"/>
        <w:keepLines w:val="0"/>
        <w:pageBreakBefore w:val="0"/>
        <w:widowControl w:val="0"/>
        <w:kinsoku w:val="0"/>
        <w:wordWrap/>
        <w:overflowPunct w:val="0"/>
        <w:topLinePunct w:val="0"/>
        <w:autoSpaceDE w:val="0"/>
        <w:autoSpaceDN w:val="0"/>
        <w:bidi w:val="0"/>
        <w:adjustRightInd w:val="0"/>
        <w:snapToGrid w:val="0"/>
        <w:spacing w:line="460" w:lineRule="exact"/>
        <w:ind w:firstLine="480" w:firstLineChars="200"/>
        <w:textAlignment w:val="auto"/>
        <w:rPr>
          <w:rFonts w:ascii="宋体" w:hAnsi="宋体"/>
          <w:bCs/>
          <w:sz w:val="24"/>
          <w:szCs w:val="24"/>
          <w:highlight w:val="none"/>
        </w:rPr>
      </w:pPr>
      <w:r>
        <w:rPr>
          <w:rFonts w:hint="eastAsia" w:ascii="宋体" w:hAnsi="宋体"/>
          <w:bCs/>
          <w:sz w:val="24"/>
          <w:szCs w:val="24"/>
          <w:highlight w:val="none"/>
        </w:rPr>
        <w:t>以下为成交后签订本项目合同的通用条款，成交供应商不得提出实质性的修改，关于专用条款将由采购人与成交供应商结合本项目具体情况协商后签订。</w:t>
      </w:r>
    </w:p>
    <w:p w14:paraId="245DDC09">
      <w:pPr>
        <w:jc w:val="left"/>
        <w:rPr>
          <w:rFonts w:hint="eastAsia" w:ascii="宋体" w:hAnsi="宋体" w:cs="宋体"/>
          <w:bCs/>
          <w:sz w:val="28"/>
          <w:szCs w:val="28"/>
          <w:highlight w:val="none"/>
        </w:rPr>
      </w:pPr>
    </w:p>
    <w:p w14:paraId="5031BF8B">
      <w:pPr>
        <w:jc w:val="left"/>
        <w:rPr>
          <w:rFonts w:ascii="宋体" w:hAnsi="宋体" w:cs="宋体"/>
          <w:bCs/>
          <w:sz w:val="28"/>
          <w:szCs w:val="28"/>
          <w:highlight w:val="none"/>
        </w:rPr>
      </w:pPr>
      <w:r>
        <w:rPr>
          <w:rFonts w:hint="eastAsia" w:ascii="宋体" w:hAnsi="宋体" w:cs="宋体"/>
          <w:bCs/>
          <w:sz w:val="28"/>
          <w:szCs w:val="28"/>
          <w:highlight w:val="none"/>
        </w:rPr>
        <w:t>（GF—2017—0201）</w:t>
      </w:r>
    </w:p>
    <w:p w14:paraId="6481E779">
      <w:pPr>
        <w:jc w:val="center"/>
        <w:rPr>
          <w:rFonts w:ascii="宋体" w:hAnsi="宋体" w:cs="宋体"/>
          <w:b/>
          <w:sz w:val="52"/>
          <w:szCs w:val="52"/>
          <w:highlight w:val="none"/>
        </w:rPr>
      </w:pPr>
    </w:p>
    <w:p w14:paraId="5C07C651">
      <w:pPr>
        <w:jc w:val="both"/>
        <w:rPr>
          <w:rFonts w:ascii="宋体" w:hAnsi="宋体" w:cs="宋体"/>
          <w:b/>
          <w:sz w:val="52"/>
          <w:szCs w:val="52"/>
          <w:highlight w:val="none"/>
        </w:rPr>
      </w:pPr>
    </w:p>
    <w:p w14:paraId="2889257A">
      <w:pPr>
        <w:jc w:val="center"/>
        <w:rPr>
          <w:rFonts w:ascii="宋体" w:hAnsi="宋体" w:cs="宋体"/>
          <w:b/>
          <w:sz w:val="52"/>
          <w:szCs w:val="52"/>
          <w:highlight w:val="none"/>
        </w:rPr>
      </w:pPr>
    </w:p>
    <w:p w14:paraId="622128F0">
      <w:pPr>
        <w:jc w:val="center"/>
        <w:rPr>
          <w:rFonts w:ascii="宋体" w:hAnsi="宋体" w:cs="宋体"/>
          <w:b/>
          <w:sz w:val="52"/>
          <w:szCs w:val="52"/>
          <w:highlight w:val="none"/>
        </w:rPr>
      </w:pPr>
      <w:r>
        <w:rPr>
          <w:rFonts w:hint="eastAsia" w:ascii="宋体" w:hAnsi="宋体" w:cs="宋体"/>
          <w:b/>
          <w:sz w:val="52"/>
          <w:szCs w:val="52"/>
          <w:highlight w:val="none"/>
        </w:rPr>
        <w:t>建设工程施工合同</w:t>
      </w:r>
    </w:p>
    <w:p w14:paraId="12059649">
      <w:pPr>
        <w:rPr>
          <w:rFonts w:ascii="宋体" w:hAnsi="宋体" w:cs="宋体"/>
          <w:b/>
          <w:sz w:val="28"/>
          <w:szCs w:val="28"/>
          <w:highlight w:val="none"/>
        </w:rPr>
      </w:pPr>
    </w:p>
    <w:p w14:paraId="430A4C5D">
      <w:pPr>
        <w:rPr>
          <w:rFonts w:ascii="宋体" w:hAnsi="宋体" w:cs="宋体"/>
          <w:b/>
          <w:sz w:val="28"/>
          <w:szCs w:val="28"/>
          <w:highlight w:val="none"/>
        </w:rPr>
      </w:pPr>
    </w:p>
    <w:p w14:paraId="7686A6EE">
      <w:pPr>
        <w:rPr>
          <w:rFonts w:ascii="宋体" w:hAnsi="宋体" w:cs="宋体"/>
          <w:b/>
          <w:sz w:val="28"/>
          <w:szCs w:val="28"/>
          <w:highlight w:val="none"/>
        </w:rPr>
      </w:pPr>
    </w:p>
    <w:p w14:paraId="28271169">
      <w:pPr>
        <w:rPr>
          <w:rFonts w:ascii="宋体" w:hAnsi="宋体" w:cs="宋体"/>
          <w:b/>
          <w:sz w:val="28"/>
          <w:szCs w:val="28"/>
          <w:highlight w:val="none"/>
        </w:rPr>
      </w:pPr>
    </w:p>
    <w:p w14:paraId="35841B9A">
      <w:pPr>
        <w:rPr>
          <w:rFonts w:ascii="宋体" w:hAnsi="宋体" w:cs="宋体"/>
          <w:b/>
          <w:sz w:val="28"/>
          <w:szCs w:val="28"/>
          <w:highlight w:val="none"/>
        </w:rPr>
      </w:pPr>
    </w:p>
    <w:p w14:paraId="25345FE1">
      <w:pPr>
        <w:rPr>
          <w:rFonts w:ascii="宋体" w:hAnsi="宋体" w:cs="宋体"/>
          <w:b/>
          <w:sz w:val="28"/>
          <w:szCs w:val="28"/>
          <w:highlight w:val="none"/>
        </w:rPr>
      </w:pPr>
    </w:p>
    <w:p w14:paraId="4BBBA542">
      <w:pPr>
        <w:rPr>
          <w:rFonts w:ascii="宋体" w:hAnsi="宋体" w:cs="宋体"/>
          <w:b/>
          <w:sz w:val="28"/>
          <w:szCs w:val="28"/>
          <w:highlight w:val="none"/>
        </w:rPr>
      </w:pPr>
    </w:p>
    <w:p w14:paraId="309FA8CB">
      <w:pPr>
        <w:rPr>
          <w:rFonts w:ascii="宋体" w:hAnsi="宋体" w:cs="宋体"/>
          <w:b/>
          <w:sz w:val="28"/>
          <w:szCs w:val="28"/>
          <w:highlight w:val="none"/>
        </w:rPr>
      </w:pPr>
    </w:p>
    <w:p w14:paraId="23940D9D">
      <w:pPr>
        <w:ind w:right="2719" w:rightChars="1295" w:firstLine="2738" w:firstLineChars="1304"/>
        <w:jc w:val="distribute"/>
        <w:rPr>
          <w:rFonts w:ascii="宋体" w:hAnsi="宋体" w:cs="宋体"/>
          <w:b/>
          <w:sz w:val="32"/>
          <w:szCs w:val="28"/>
          <w:highlight w:val="none"/>
        </w:rPr>
      </w:pPr>
      <w:r>
        <w:rPr>
          <w:rFonts w:ascii="宋体" w:hAnsi="宋体" w:cs="宋体"/>
          <w:highlight w:val="none"/>
        </w:rPr>
        <mc:AlternateContent>
          <mc:Choice Requires="wps">
            <w:drawing>
              <wp:anchor distT="0" distB="0" distL="114300" distR="114300" simplePos="0" relativeHeight="251659264" behindDoc="0" locked="0" layoutInCell="1" allowOverlap="1">
                <wp:simplePos x="0" y="0"/>
                <wp:positionH relativeFrom="column">
                  <wp:posOffset>4406265</wp:posOffset>
                </wp:positionH>
                <wp:positionV relativeFrom="paragraph">
                  <wp:posOffset>140335</wp:posOffset>
                </wp:positionV>
                <wp:extent cx="723900" cy="457200"/>
                <wp:effectExtent l="4445" t="4445" r="18415" b="10795"/>
                <wp:wrapNone/>
                <wp:docPr id="4" name="文本框 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6B86925F">
                            <w:pPr>
                              <w:ind w:firstLine="161" w:firstLineChars="50"/>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46.95pt;margin-top:11.05pt;height:36pt;width:57pt;z-index:251659264;mso-width-relative:page;mso-height-relative:page;" filled="f" stroked="t" coordsize="21600,21600" o:gfxdata="UEsDBAoAAAAAAIdO4kAAAAAAAAAAAAAAAAAEAAAAZHJzL1BLAwQUAAAACACHTuJAHcJtH9kAAAAJ&#10;AQAADwAAAGRycy9kb3ducmV2LnhtbE2PQU7DMBBF90jcwRokNhW1E6qQhEy6QGLBokBLD+DGJg7E&#10;4yh2knJ7zIouZ+bpz/vV9mx7NuvRd44QkrUApqlxqqMW4fjxfJcD80GSkr0jjfCjPWzr66tKlsot&#10;tNfzIbQshpAvJYIJYSg5943RVvq1GzTF26cbrQxxHFuuRrnEcNvzVIiMW9lR/GDkoJ+Mbr4Pk0XY&#10;v5j3FW12u17xOfs6vk5vS75CvL1JxCOwoM/hH4Y//agOdXQ6uYmUZz1CVtwXEUVI0wRYBHLxEBcn&#10;hGKTAK8rftmg/gVQSwMEFAAAAAgAh07iQK47mL8EAgAADAQAAA4AAABkcnMvZTJvRG9jLnhtbK1T&#10;S44TMRDdI3EHy3vSmZAwTCudkSCEDQKkgQM4/nRb8k8uJ925ANyAFRv2nCvnmLI7k4FhkwW96K52&#10;PT/Xe1Ve3g7WkL2MoL1r6NVkSol03Avt2oZ+/bJ58ZoSSMwJZryTDT1IoLer58+WfajlzHfeCBkJ&#10;kjio+9DQLqVQVxXwTloGEx+kw6Ty0bKEv7GtRGQ9sltTzabTV1XvowjRcwmAq+sxSU+M8RJCr5Tm&#10;cu35zkqXRtYoDUsoCTodgK5KtUpJnj4pBTIR01BUmsobD8F4m9/VasnqNrLQaX4qgV1SwhNNlmmH&#10;h56p1iwxsov6HyqrefTgVZpwb6tRSHEEVVxNn3hz17Egixa0GsLZdPh/tPzj/nMkWjR0ToljFht+&#10;/PH9+PP38dc3Ms/29AFqRN0FxKXhjR9waB7WARez6kFFm7+oh2AezT2czZVDIhwXr2cvb6aY4Zia&#10;L65xFDJL9bg5REjvpbckBw2N2LtiKdt/gDRCHyD5LOc32pjSP+NI39CbxWyB9AxnUuEsYGgD6gLX&#10;FhrwRou8JW+G2G7fmkj2DOdiU55TNX/B8nlrBt2IK6kMY7XVScYSdZKJd06QdAjoncMrQ3MxVgpK&#10;jMQblqOCTEybS5BoiXHoTDZ+NDhHadgOSJPDrRcHbMYuRN126FRpR4HjkBRLTwOdp/DP/0L6eIlX&#10;9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3CbR/ZAAAACQEAAA8AAAAAAAAAAQAgAAAAIgAAAGRy&#10;cy9kb3ducmV2LnhtbFBLAQIUABQAAAAIAIdO4kCuO5i/BAIAAAwEAAAOAAAAAAAAAAEAIAAAACgB&#10;AABkcnMvZTJvRG9jLnhtbFBLBQYAAAAABgAGAFkBAACeBQAAAAA=&#10;">
                <v:fill on="f" focussize="0,0"/>
                <v:stroke color="#FFFFFF" joinstyle="miter"/>
                <v:imagedata o:title=""/>
                <o:lock v:ext="edit" aspectratio="f"/>
                <v:textbox>
                  <w:txbxContent>
                    <w:p w14:paraId="6B86925F">
                      <w:pPr>
                        <w:ind w:firstLine="161" w:firstLineChars="50"/>
                        <w:rPr>
                          <w:b/>
                          <w:bCs/>
                          <w:sz w:val="32"/>
                        </w:rPr>
                      </w:pPr>
                      <w:r>
                        <w:rPr>
                          <w:rFonts w:hint="eastAsia"/>
                          <w:b/>
                          <w:bCs/>
                          <w:sz w:val="32"/>
                        </w:rPr>
                        <w:t>制定</w:t>
                      </w:r>
                    </w:p>
                  </w:txbxContent>
                </v:textbox>
              </v:shape>
            </w:pict>
          </mc:Fallback>
        </mc:AlternateContent>
      </w:r>
      <w:r>
        <w:rPr>
          <w:rFonts w:hint="eastAsia" w:ascii="宋体" w:hAnsi="宋体" w:cs="宋体"/>
          <w:b/>
          <w:sz w:val="32"/>
          <w:szCs w:val="28"/>
          <w:highlight w:val="none"/>
        </w:rPr>
        <w:t>住房和城乡建设部</w:t>
      </w:r>
    </w:p>
    <w:p w14:paraId="08D911C7">
      <w:pPr>
        <w:ind w:right="2719" w:rightChars="1295" w:firstLine="2750" w:firstLineChars="856"/>
        <w:jc w:val="distribute"/>
        <w:rPr>
          <w:rFonts w:hint="eastAsia" w:ascii="宋体" w:hAnsi="宋体" w:cs="宋体"/>
          <w:b/>
          <w:sz w:val="32"/>
          <w:szCs w:val="28"/>
          <w:highlight w:val="none"/>
        </w:rPr>
      </w:pPr>
      <w:r>
        <w:rPr>
          <w:rFonts w:hint="eastAsia" w:ascii="宋体" w:hAnsi="宋体" w:cs="宋体"/>
          <w:b/>
          <w:sz w:val="32"/>
          <w:szCs w:val="28"/>
          <w:highlight w:val="none"/>
        </w:rPr>
        <w:t>国家工商行政管理总局</w:t>
      </w:r>
    </w:p>
    <w:p w14:paraId="0B87AA27">
      <w:pPr>
        <w:pStyle w:val="102"/>
        <w:spacing w:before="0" w:after="0" w:line="400" w:lineRule="exact"/>
        <w:jc w:val="both"/>
        <w:rPr>
          <w:rFonts w:hint="eastAsia" w:eastAsia="华文中宋"/>
          <w:sz w:val="32"/>
          <w:szCs w:val="32"/>
          <w:highlight w:val="none"/>
          <w:lang w:val="zh-CN"/>
        </w:rPr>
      </w:pPr>
    </w:p>
    <w:p w14:paraId="08770AD9">
      <w:pPr>
        <w:rPr>
          <w:rFonts w:hint="eastAsia"/>
          <w:highlight w:val="none"/>
          <w:lang w:val="zh-CN"/>
        </w:rPr>
      </w:pPr>
    </w:p>
    <w:p w14:paraId="2DD9AE0E">
      <w:pPr>
        <w:pStyle w:val="14"/>
        <w:rPr>
          <w:rFonts w:hint="eastAsia"/>
          <w:highlight w:val="none"/>
          <w:lang w:val="zh-CN"/>
        </w:rPr>
      </w:pPr>
    </w:p>
    <w:p w14:paraId="58000FFC">
      <w:pPr>
        <w:pStyle w:val="14"/>
        <w:rPr>
          <w:rFonts w:hint="eastAsia"/>
          <w:highlight w:val="none"/>
          <w:lang w:val="zh-CN"/>
        </w:rPr>
      </w:pPr>
    </w:p>
    <w:p w14:paraId="793AF3F4">
      <w:pPr>
        <w:pStyle w:val="14"/>
        <w:rPr>
          <w:rFonts w:hint="eastAsia"/>
          <w:highlight w:val="none"/>
          <w:lang w:val="zh-CN"/>
        </w:rPr>
      </w:pPr>
    </w:p>
    <w:p w14:paraId="56342252">
      <w:pPr>
        <w:pStyle w:val="102"/>
        <w:spacing w:before="0" w:after="0" w:line="400" w:lineRule="exact"/>
        <w:jc w:val="center"/>
        <w:rPr>
          <w:rFonts w:eastAsia="华文中宋"/>
          <w:sz w:val="32"/>
          <w:szCs w:val="32"/>
          <w:highlight w:val="none"/>
          <w:lang w:val="zh-CN"/>
        </w:rPr>
      </w:pPr>
      <w:r>
        <w:rPr>
          <w:rFonts w:hint="eastAsia" w:eastAsia="华文中宋"/>
          <w:sz w:val="32"/>
          <w:szCs w:val="32"/>
          <w:highlight w:val="none"/>
          <w:lang w:val="zh-CN"/>
        </w:rPr>
        <w:t>说</w:t>
      </w:r>
      <w:r>
        <w:rPr>
          <w:rFonts w:hint="eastAsia" w:eastAsia="华文中宋"/>
          <w:sz w:val="32"/>
          <w:szCs w:val="32"/>
          <w:highlight w:val="none"/>
        </w:rPr>
        <w:t xml:space="preserve"> </w:t>
      </w:r>
      <w:r>
        <w:rPr>
          <w:rFonts w:hint="eastAsia" w:eastAsia="华文中宋"/>
          <w:sz w:val="32"/>
          <w:szCs w:val="32"/>
          <w:highlight w:val="none"/>
          <w:lang w:val="zh-CN"/>
        </w:rPr>
        <w:t>明</w:t>
      </w:r>
    </w:p>
    <w:p w14:paraId="572BBCA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13C5B9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一、《示范文本》的组成</w:t>
      </w:r>
    </w:p>
    <w:p w14:paraId="374A9AB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《示范文本》由合同协议书、通用合同条款和专用合同条款三部分组成。</w:t>
      </w:r>
    </w:p>
    <w:p w14:paraId="71C3315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（一）合同协议书</w:t>
      </w:r>
    </w:p>
    <w:p w14:paraId="14A5BB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220A17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（二）通用合同条款</w:t>
      </w:r>
    </w:p>
    <w:p w14:paraId="7A003EF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通用合同条款是合同当事人根据《中华人民共和国建筑法》、《中华人民共和国民法典》等法律法规的规定，就工程建设的实施及相关事项，对合同当事人的权利义务作出的原则性约定。</w:t>
      </w:r>
    </w:p>
    <w:p w14:paraId="5BA0157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6A19FF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（三）专用合同条款</w:t>
      </w:r>
    </w:p>
    <w:p w14:paraId="52615F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33ACDF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1.专用合同条款的编号应与相应的通用合同条款的编号一致；</w:t>
      </w:r>
    </w:p>
    <w:p w14:paraId="666AE99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2.合同当事人可以通过对专用合同条款的修改，满足具体建设工程的特殊要求，避免直接修改通用合同条款；</w:t>
      </w:r>
    </w:p>
    <w:p w14:paraId="6AFD321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3.在专用合同条款中有横道线的地方，合同当事人可针对相应的通用合同条款进行细化、完善、补充、修改或另行约定；如无细化、完善、补充、修改或另行约定，则填写“无”或划“/”。</w:t>
      </w:r>
    </w:p>
    <w:p w14:paraId="7DDDEC4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二、《示范文本》的性质和适用范围</w:t>
      </w:r>
    </w:p>
    <w:p w14:paraId="6E580F1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sz w:val="24"/>
          <w:szCs w:val="24"/>
          <w:highlight w:val="none"/>
        </w:rPr>
      </w:pPr>
      <w:r>
        <w:rPr>
          <w:rFonts w:hint="eastAsia" w:ascii="宋体" w:hAnsi="宋体"/>
          <w:sz w:val="24"/>
          <w:szCs w:val="24"/>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61876FCE">
      <w:pPr>
        <w:keepNext/>
        <w:keepLines w:val="0"/>
        <w:pageBreakBefore/>
        <w:widowControl w:val="0"/>
        <w:kinsoku/>
        <w:wordWrap/>
        <w:overflowPunct/>
        <w:topLinePunct w:val="0"/>
        <w:autoSpaceDE/>
        <w:autoSpaceDN/>
        <w:bidi w:val="0"/>
        <w:adjustRightInd/>
        <w:snapToGrid/>
        <w:spacing w:line="240" w:lineRule="auto"/>
        <w:jc w:val="center"/>
        <w:textAlignment w:val="auto"/>
        <w:rPr>
          <w:rFonts w:ascii="宋体" w:hAnsi="宋体"/>
          <w:b/>
          <w:bCs/>
          <w:sz w:val="30"/>
          <w:szCs w:val="30"/>
          <w:highlight w:val="none"/>
        </w:rPr>
      </w:pPr>
      <w:r>
        <w:rPr>
          <w:rFonts w:hint="eastAsia"/>
          <w:b/>
          <w:sz w:val="30"/>
          <w:szCs w:val="30"/>
          <w:highlight w:val="none"/>
        </w:rPr>
        <w:t>第一部分  合同协议书</w:t>
      </w:r>
    </w:p>
    <w:p w14:paraId="7819DFD5">
      <w:pPr>
        <w:keepNext w:val="0"/>
        <w:keepLines w:val="0"/>
        <w:pageBreakBefore w:val="0"/>
        <w:widowControl w:val="0"/>
        <w:tabs>
          <w:tab w:val="left" w:pos="618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发包人</w:t>
      </w:r>
      <w:r>
        <w:rPr>
          <w:rFonts w:hint="eastAsia" w:ascii="宋体" w:hAnsi="宋体" w:cs="MS PGothic"/>
          <w:sz w:val="24"/>
          <w:szCs w:val="24"/>
          <w:highlight w:val="none"/>
        </w:rPr>
        <w:t>(</w:t>
      </w:r>
      <w:r>
        <w:rPr>
          <w:rFonts w:hint="eastAsia" w:ascii="宋体" w:hAnsi="宋体" w:cs="宋体"/>
          <w:sz w:val="24"/>
          <w:szCs w:val="24"/>
          <w:highlight w:val="none"/>
        </w:rPr>
        <w:t>全称</w:t>
      </w:r>
      <w:r>
        <w:rPr>
          <w:rFonts w:hint="eastAsia" w:ascii="宋体" w:hAnsi="宋体" w:cs="MS PGothic"/>
          <w:sz w:val="24"/>
          <w:szCs w:val="24"/>
          <w:highlight w:val="none"/>
        </w:rPr>
        <w:t>)：</w:t>
      </w:r>
      <w:r>
        <w:rPr>
          <w:rFonts w:hint="eastAsia" w:ascii="宋体" w:hAnsi="宋体" w:cs="宋体"/>
          <w:sz w:val="24"/>
          <w:szCs w:val="24"/>
          <w:highlight w:val="none"/>
          <w:u w:val="single"/>
        </w:rPr>
        <w:t xml:space="preserve">  </w:t>
      </w:r>
      <w:r>
        <w:rPr>
          <w:rFonts w:hint="eastAsia" w:ascii="宋体" w:hAnsi="宋体"/>
          <w:sz w:val="24"/>
          <w:szCs w:val="24"/>
          <w:highlight w:val="none"/>
          <w:u w:val="single"/>
          <w:lang w:eastAsia="zh-CN"/>
        </w:rPr>
        <w:t>盐城市亭湖区便仓镇人民政府</w:t>
      </w:r>
      <w:r>
        <w:rPr>
          <w:rFonts w:hint="eastAsia" w:ascii="宋体" w:hAnsi="宋体" w:cs="宋体"/>
          <w:sz w:val="24"/>
          <w:szCs w:val="24"/>
          <w:highlight w:val="none"/>
          <w:u w:val="single"/>
        </w:rPr>
        <w:t xml:space="preserve">   </w:t>
      </w:r>
    </w:p>
    <w:p w14:paraId="6AAFA68B">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u w:val="single"/>
        </w:rPr>
      </w:pPr>
      <w:r>
        <w:rPr>
          <w:rFonts w:hint="eastAsia" w:ascii="宋体" w:hAnsi="宋体" w:cs="宋体"/>
          <w:sz w:val="24"/>
          <w:szCs w:val="24"/>
          <w:highlight w:val="none"/>
        </w:rPr>
        <w:t>承包人</w:t>
      </w:r>
      <w:r>
        <w:rPr>
          <w:rFonts w:hint="eastAsia" w:ascii="宋体" w:hAnsi="宋体" w:cs="MS PGothic"/>
          <w:sz w:val="24"/>
          <w:szCs w:val="24"/>
          <w:highlight w:val="none"/>
        </w:rPr>
        <w:t>(</w:t>
      </w:r>
      <w:r>
        <w:rPr>
          <w:rFonts w:hint="eastAsia" w:ascii="宋体" w:hAnsi="宋体" w:cs="宋体"/>
          <w:sz w:val="24"/>
          <w:szCs w:val="24"/>
          <w:highlight w:val="none"/>
        </w:rPr>
        <w:t>全称</w:t>
      </w:r>
      <w:r>
        <w:rPr>
          <w:rFonts w:hint="eastAsia" w:ascii="宋体" w:hAnsi="宋体" w:cs="MS PGothic"/>
          <w:sz w:val="24"/>
          <w:szCs w:val="24"/>
          <w:highlight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p>
    <w:p w14:paraId="2A85DC63">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根据《中华人民共和国民法典》、《中华人民共和国建筑法》及有关法律规定</w:t>
      </w:r>
      <w:r>
        <w:rPr>
          <w:rFonts w:hint="eastAsia" w:ascii="宋体" w:hAnsi="宋体" w:cs="MS PGothic"/>
          <w:sz w:val="24"/>
          <w:szCs w:val="24"/>
          <w:highlight w:val="none"/>
        </w:rPr>
        <w:t>，</w:t>
      </w:r>
      <w:r>
        <w:rPr>
          <w:rFonts w:hint="eastAsia" w:ascii="宋体" w:hAnsi="宋体" w:cs="宋体"/>
          <w:sz w:val="24"/>
          <w:szCs w:val="24"/>
          <w:highlight w:val="none"/>
        </w:rPr>
        <w:t>遵循平等、自愿、公平和诚实信用的原则</w:t>
      </w:r>
      <w:r>
        <w:rPr>
          <w:rFonts w:hint="eastAsia" w:ascii="宋体" w:hAnsi="宋体" w:cs="MS PGothic"/>
          <w:sz w:val="24"/>
          <w:szCs w:val="24"/>
          <w:highlight w:val="none"/>
        </w:rPr>
        <w:t>，</w:t>
      </w:r>
      <w:r>
        <w:rPr>
          <w:rFonts w:hint="eastAsia" w:ascii="宋体" w:hAnsi="宋体" w:cs="宋体"/>
          <w:sz w:val="24"/>
          <w:szCs w:val="24"/>
          <w:highlight w:val="none"/>
        </w:rPr>
        <w:t>双方就</w:t>
      </w:r>
      <w:r>
        <w:rPr>
          <w:rFonts w:hint="eastAsia" w:ascii="宋体" w:hAnsi="宋体"/>
          <w:sz w:val="24"/>
          <w:szCs w:val="24"/>
          <w:highlight w:val="none"/>
          <w:u w:val="single"/>
          <w:lang w:eastAsia="zh-CN"/>
        </w:rPr>
        <w:t>便仓镇恒泽源农产品加工项目配套污水压力管道建设工程</w:t>
      </w:r>
      <w:r>
        <w:rPr>
          <w:rFonts w:hint="eastAsia" w:ascii="宋体" w:hAnsi="宋体" w:cs="宋体"/>
          <w:sz w:val="24"/>
          <w:szCs w:val="24"/>
          <w:highlight w:val="none"/>
        </w:rPr>
        <w:t>及有关事项协商一致</w:t>
      </w:r>
      <w:r>
        <w:rPr>
          <w:rFonts w:hint="eastAsia" w:ascii="宋体" w:hAnsi="宋体" w:cs="MS PGothic"/>
          <w:sz w:val="24"/>
          <w:szCs w:val="24"/>
          <w:highlight w:val="none"/>
        </w:rPr>
        <w:t>，</w:t>
      </w:r>
      <w:r>
        <w:rPr>
          <w:rFonts w:hint="eastAsia" w:ascii="宋体" w:hAnsi="宋体" w:cs="宋体"/>
          <w:sz w:val="24"/>
          <w:szCs w:val="24"/>
          <w:highlight w:val="none"/>
        </w:rPr>
        <w:t>共同达成如下协议</w:t>
      </w:r>
      <w:r>
        <w:rPr>
          <w:rFonts w:hint="eastAsia" w:ascii="宋体" w:hAnsi="宋体" w:cs="MS PGothic"/>
          <w:sz w:val="24"/>
          <w:szCs w:val="24"/>
          <w:highlight w:val="none"/>
        </w:rPr>
        <w:t>：</w:t>
      </w:r>
    </w:p>
    <w:p w14:paraId="6AF9B445">
      <w:pPr>
        <w:keepNext w:val="0"/>
        <w:keepLines w:val="0"/>
        <w:pageBreakBefore w:val="0"/>
        <w:widowControl w:val="0"/>
        <w:tabs>
          <w:tab w:val="left" w:pos="5080"/>
          <w:tab w:val="left" w:pos="9960"/>
          <w:tab w:val="left" w:pos="101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一、工程概况</w:t>
      </w:r>
    </w:p>
    <w:p w14:paraId="4E039405">
      <w:pPr>
        <w:keepNext w:val="0"/>
        <w:keepLines w:val="0"/>
        <w:pageBreakBefore w:val="0"/>
        <w:widowControl w:val="0"/>
        <w:tabs>
          <w:tab w:val="left" w:pos="2160"/>
          <w:tab w:val="left" w:pos="5080"/>
          <w:tab w:val="left" w:pos="9960"/>
          <w:tab w:val="left" w:pos="101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u w:val="single"/>
        </w:rPr>
      </w:pPr>
      <w:r>
        <w:rPr>
          <w:rFonts w:hint="eastAsia" w:ascii="宋体" w:hAnsi="宋体" w:cs="MS PGothic"/>
          <w:sz w:val="24"/>
          <w:szCs w:val="24"/>
          <w:highlight w:val="none"/>
        </w:rPr>
        <w:t>1.</w:t>
      </w:r>
      <w:r>
        <w:rPr>
          <w:rFonts w:hint="eastAsia" w:ascii="宋体" w:hAnsi="宋体" w:cs="宋体"/>
          <w:sz w:val="24"/>
          <w:szCs w:val="24"/>
          <w:highlight w:val="none"/>
        </w:rPr>
        <w:t>工程名称：</w:t>
      </w:r>
      <w:r>
        <w:rPr>
          <w:rFonts w:hint="eastAsia" w:ascii="宋体" w:hAnsi="宋体"/>
          <w:sz w:val="24"/>
          <w:szCs w:val="24"/>
          <w:highlight w:val="none"/>
          <w:u w:val="single"/>
          <w:lang w:eastAsia="zh-CN"/>
        </w:rPr>
        <w:t>便仓镇恒泽源农产品加工项目配套污水压力管道建设工程</w:t>
      </w:r>
    </w:p>
    <w:p w14:paraId="524C089D">
      <w:pPr>
        <w:keepNext w:val="0"/>
        <w:keepLines w:val="0"/>
        <w:pageBreakBefore w:val="0"/>
        <w:widowControl w:val="0"/>
        <w:tabs>
          <w:tab w:val="left" w:pos="2160"/>
          <w:tab w:val="left" w:pos="5080"/>
          <w:tab w:val="left" w:pos="9960"/>
          <w:tab w:val="left" w:pos="101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MS PGothic"/>
          <w:sz w:val="24"/>
          <w:szCs w:val="24"/>
          <w:highlight w:val="none"/>
        </w:rPr>
        <w:t>2.</w:t>
      </w:r>
      <w:r>
        <w:rPr>
          <w:rFonts w:hint="eastAsia" w:ascii="宋体" w:hAnsi="宋体" w:cs="宋体"/>
          <w:sz w:val="24"/>
          <w:szCs w:val="24"/>
          <w:highlight w:val="none"/>
        </w:rPr>
        <w:t>工程地点</w:t>
      </w:r>
      <w:r>
        <w:rPr>
          <w:rFonts w:hint="eastAsia" w:ascii="宋体" w:hAnsi="宋体" w:cs="MS PGothic"/>
          <w:sz w:val="24"/>
          <w:szCs w:val="24"/>
          <w:highlight w:val="none"/>
        </w:rPr>
        <w:t>：</w:t>
      </w:r>
      <w:r>
        <w:rPr>
          <w:rFonts w:hint="eastAsia" w:ascii="宋体" w:hAnsi="宋体" w:cs="宋体"/>
          <w:sz w:val="24"/>
          <w:szCs w:val="24"/>
          <w:highlight w:val="none"/>
          <w:u w:val="single"/>
          <w:lang w:eastAsia="zh-CN"/>
        </w:rPr>
        <w:t>盐城市亭湖区便仓镇人民政府</w:t>
      </w:r>
      <w:r>
        <w:rPr>
          <w:rFonts w:hint="eastAsia" w:ascii="宋体" w:hAnsi="宋体" w:cs="宋体"/>
          <w:sz w:val="24"/>
          <w:szCs w:val="24"/>
          <w:highlight w:val="none"/>
        </w:rPr>
        <w:t>。</w:t>
      </w:r>
    </w:p>
    <w:p w14:paraId="1B2D2AC0">
      <w:pPr>
        <w:keepNext w:val="0"/>
        <w:keepLines w:val="0"/>
        <w:pageBreakBefore w:val="0"/>
        <w:widowControl w:val="0"/>
        <w:tabs>
          <w:tab w:val="left" w:pos="3200"/>
          <w:tab w:val="left" w:pos="5080"/>
          <w:tab w:val="left" w:pos="9960"/>
          <w:tab w:val="left" w:pos="101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MS PGothic"/>
          <w:sz w:val="24"/>
          <w:szCs w:val="24"/>
          <w:highlight w:val="none"/>
        </w:rPr>
        <w:t>3.</w:t>
      </w:r>
      <w:r>
        <w:rPr>
          <w:rFonts w:hint="eastAsia" w:ascii="宋体" w:hAnsi="宋体" w:cs="宋体"/>
          <w:sz w:val="24"/>
          <w:szCs w:val="24"/>
          <w:highlight w:val="none"/>
        </w:rPr>
        <w:t>资金来源</w:t>
      </w:r>
      <w:r>
        <w:rPr>
          <w:rFonts w:hint="eastAsia" w:ascii="宋体" w:hAnsi="宋体" w:cs="MS PGothic"/>
          <w:sz w:val="24"/>
          <w:szCs w:val="24"/>
          <w:highlight w:val="none"/>
        </w:rPr>
        <w:t>：</w:t>
      </w:r>
      <w:r>
        <w:rPr>
          <w:rFonts w:ascii="宋体" w:hAnsi="宋体" w:cs="宋体"/>
          <w:sz w:val="24"/>
          <w:szCs w:val="24"/>
          <w:highlight w:val="none"/>
          <w:u w:val="single"/>
        </w:rPr>
        <w:t>财政资金</w:t>
      </w:r>
      <w:r>
        <w:rPr>
          <w:rFonts w:hint="eastAsia" w:ascii="宋体" w:hAnsi="宋体" w:cs="宋体"/>
          <w:sz w:val="24"/>
          <w:szCs w:val="24"/>
          <w:highlight w:val="none"/>
          <w:u w:val="single"/>
        </w:rPr>
        <w:t>，100%</w:t>
      </w:r>
      <w:r>
        <w:rPr>
          <w:rFonts w:hint="eastAsia" w:ascii="宋体" w:hAnsi="宋体" w:cs="宋体"/>
          <w:sz w:val="24"/>
          <w:szCs w:val="24"/>
          <w:highlight w:val="none"/>
        </w:rPr>
        <w:t>。</w:t>
      </w:r>
    </w:p>
    <w:p w14:paraId="0C878B30">
      <w:pPr>
        <w:keepNext w:val="0"/>
        <w:keepLines w:val="0"/>
        <w:pageBreakBefore w:val="0"/>
        <w:widowControl w:val="0"/>
        <w:tabs>
          <w:tab w:val="left" w:pos="2160"/>
          <w:tab w:val="left" w:pos="5080"/>
          <w:tab w:val="left" w:pos="9960"/>
          <w:tab w:val="left" w:pos="101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MS PGothic"/>
          <w:sz w:val="24"/>
          <w:szCs w:val="24"/>
          <w:highlight w:val="none"/>
        </w:rPr>
        <w:t>4.</w:t>
      </w:r>
      <w:r>
        <w:rPr>
          <w:rFonts w:hint="eastAsia" w:ascii="宋体" w:hAnsi="宋体" w:cs="宋体"/>
          <w:sz w:val="24"/>
          <w:szCs w:val="24"/>
          <w:highlight w:val="none"/>
        </w:rPr>
        <w:t>工程内容</w:t>
      </w:r>
      <w:r>
        <w:rPr>
          <w:rFonts w:hint="eastAsia" w:ascii="宋体" w:hAnsi="宋体" w:cs="MS PGothic"/>
          <w:sz w:val="24"/>
          <w:szCs w:val="24"/>
          <w:highlight w:val="none"/>
        </w:rPr>
        <w:t>：</w:t>
      </w:r>
      <w:r>
        <w:rPr>
          <w:rFonts w:hint="eastAsia" w:ascii="宋体" w:hAnsi="宋体"/>
          <w:sz w:val="24"/>
          <w:szCs w:val="24"/>
          <w:highlight w:val="none"/>
          <w:u w:val="single"/>
        </w:rPr>
        <w:tab/>
      </w:r>
      <w:r>
        <w:rPr>
          <w:rFonts w:hint="eastAsia" w:ascii="宋体" w:hAnsi="宋体"/>
          <w:sz w:val="24"/>
          <w:szCs w:val="24"/>
          <w:highlight w:val="none"/>
          <w:u w:val="single"/>
        </w:rPr>
        <w:t xml:space="preserve">工程包工包料施工    </w:t>
      </w:r>
      <w:r>
        <w:rPr>
          <w:rFonts w:hint="eastAsia" w:ascii="宋体" w:hAnsi="宋体" w:cs="宋体"/>
          <w:sz w:val="24"/>
          <w:szCs w:val="24"/>
          <w:highlight w:val="none"/>
        </w:rPr>
        <w:t>。</w:t>
      </w:r>
    </w:p>
    <w:p w14:paraId="6F85831C">
      <w:pPr>
        <w:keepNext w:val="0"/>
        <w:keepLines w:val="0"/>
        <w:pageBreakBefore w:val="0"/>
        <w:widowControl w:val="0"/>
        <w:tabs>
          <w:tab w:val="left" w:pos="1950"/>
          <w:tab w:val="left" w:pos="2600"/>
          <w:tab w:val="left" w:pos="3200"/>
          <w:tab w:val="left" w:pos="5080"/>
          <w:tab w:val="left" w:pos="9960"/>
        </w:tabs>
        <w:kinsoku/>
        <w:wordWrap/>
        <w:overflowPunct/>
        <w:topLinePunct w:val="0"/>
        <w:autoSpaceDE/>
        <w:autoSpaceDN/>
        <w:bidi w:val="0"/>
        <w:adjustRightInd/>
        <w:snapToGrid/>
        <w:spacing w:line="460" w:lineRule="exact"/>
        <w:ind w:left="0" w:right="0" w:firstLine="480" w:firstLineChars="200"/>
        <w:jc w:val="left"/>
        <w:textAlignment w:val="auto"/>
        <w:rPr>
          <w:rFonts w:hint="eastAsia" w:ascii="宋体" w:hAnsi="宋体" w:cs="宋体"/>
          <w:sz w:val="24"/>
          <w:szCs w:val="24"/>
          <w:highlight w:val="none"/>
        </w:rPr>
      </w:pPr>
      <w:r>
        <w:rPr>
          <w:rFonts w:hint="eastAsia" w:ascii="宋体" w:hAnsi="宋体" w:cs="MS PGothic"/>
          <w:sz w:val="24"/>
          <w:szCs w:val="24"/>
          <w:highlight w:val="none"/>
        </w:rPr>
        <w:t>5.</w:t>
      </w:r>
      <w:r>
        <w:rPr>
          <w:rFonts w:hint="eastAsia" w:ascii="宋体" w:hAnsi="宋体" w:cs="宋体"/>
          <w:sz w:val="24"/>
          <w:szCs w:val="24"/>
          <w:highlight w:val="none"/>
        </w:rPr>
        <w:t>工程承包范围</w:t>
      </w:r>
      <w:r>
        <w:rPr>
          <w:rFonts w:hint="eastAsia" w:ascii="宋体" w:hAnsi="宋体" w:cs="MS PGothic"/>
          <w:sz w:val="24"/>
          <w:szCs w:val="24"/>
          <w:highlight w:val="none"/>
        </w:rPr>
        <w:t>：</w:t>
      </w:r>
      <w:r>
        <w:rPr>
          <w:rFonts w:hint="eastAsia" w:ascii="宋体" w:hAnsi="宋体"/>
          <w:sz w:val="24"/>
          <w:szCs w:val="24"/>
          <w:highlight w:val="none"/>
          <w:u w:val="single"/>
          <w:lang w:val="en-US" w:eastAsia="zh-CN"/>
        </w:rPr>
        <w:t xml:space="preserve">                      </w:t>
      </w:r>
      <w:r>
        <w:rPr>
          <w:rFonts w:hint="eastAsia" w:ascii="宋体" w:hAnsi="宋体" w:cs="宋体"/>
          <w:sz w:val="24"/>
          <w:szCs w:val="24"/>
          <w:highlight w:val="none"/>
        </w:rPr>
        <w:t>　　</w:t>
      </w:r>
    </w:p>
    <w:p w14:paraId="0F34DBCE">
      <w:pPr>
        <w:keepNext w:val="0"/>
        <w:keepLines w:val="0"/>
        <w:pageBreakBefore w:val="0"/>
        <w:widowControl w:val="0"/>
        <w:tabs>
          <w:tab w:val="left" w:pos="1950"/>
          <w:tab w:val="left" w:pos="2600"/>
          <w:tab w:val="left" w:pos="3200"/>
          <w:tab w:val="left" w:pos="5080"/>
          <w:tab w:val="left" w:pos="996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二、合同工期</w:t>
      </w:r>
    </w:p>
    <w:p w14:paraId="35A3383F">
      <w:pPr>
        <w:keepNext w:val="0"/>
        <w:keepLines w:val="0"/>
        <w:pageBreakBefore w:val="0"/>
        <w:widowControl w:val="0"/>
        <w:tabs>
          <w:tab w:val="left" w:pos="2175"/>
          <w:tab w:val="left" w:pos="5080"/>
          <w:tab w:val="left" w:pos="9960"/>
          <w:tab w:val="left" w:pos="101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计划开工日期</w:t>
      </w:r>
      <w:r>
        <w:rPr>
          <w:rFonts w:hint="eastAsia" w:ascii="宋体" w:hAnsi="宋体" w:cs="MS PGothic"/>
          <w:sz w:val="24"/>
          <w:szCs w:val="24"/>
          <w:highlight w:val="none"/>
        </w:rPr>
        <w:t>：</w:t>
      </w:r>
      <w:r>
        <w:rPr>
          <w:rFonts w:hint="eastAsia" w:ascii="宋体" w:hAnsi="宋体"/>
          <w:sz w:val="24"/>
          <w:szCs w:val="24"/>
          <w:highlight w:val="none"/>
          <w:u w:val="single"/>
        </w:rPr>
        <w:t>（以</w:t>
      </w:r>
      <w:r>
        <w:rPr>
          <w:rFonts w:ascii="宋体" w:hAnsi="宋体"/>
          <w:sz w:val="24"/>
          <w:szCs w:val="24"/>
          <w:highlight w:val="none"/>
          <w:u w:val="single"/>
        </w:rPr>
        <w:t>发包人书面通知为准）</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cs="宋体"/>
          <w:sz w:val="24"/>
          <w:szCs w:val="24"/>
          <w:highlight w:val="none"/>
        </w:rPr>
        <w:t>。</w:t>
      </w:r>
    </w:p>
    <w:p w14:paraId="2CB95276">
      <w:pPr>
        <w:keepNext w:val="0"/>
        <w:keepLines w:val="0"/>
        <w:pageBreakBefore w:val="0"/>
        <w:widowControl w:val="0"/>
        <w:tabs>
          <w:tab w:val="left" w:pos="2805"/>
          <w:tab w:val="left" w:pos="5400"/>
          <w:tab w:val="left" w:pos="9960"/>
          <w:tab w:val="left" w:pos="101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计划竣工日期</w:t>
      </w:r>
      <w:r>
        <w:rPr>
          <w:rFonts w:hint="eastAsia" w:ascii="宋体" w:hAnsi="宋体" w:cs="MS PGothic"/>
          <w:sz w:val="24"/>
          <w:szCs w:val="24"/>
          <w:highlight w:val="none"/>
        </w:rPr>
        <w:t>：</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宋体"/>
          <w:sz w:val="24"/>
          <w:szCs w:val="24"/>
          <w:highlight w:val="none"/>
        </w:rPr>
        <w:t>。</w:t>
      </w:r>
    </w:p>
    <w:p w14:paraId="336F4CBD">
      <w:pPr>
        <w:keepNext w:val="0"/>
        <w:keepLines w:val="0"/>
        <w:pageBreakBefore w:val="0"/>
        <w:widowControl w:val="0"/>
        <w:tabs>
          <w:tab w:val="left" w:pos="280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工期总日历天数</w:t>
      </w:r>
      <w:r>
        <w:rPr>
          <w:rFonts w:hint="eastAsia" w:ascii="宋体" w:hAnsi="宋体" w:cs="MS PGothic"/>
          <w:sz w:val="24"/>
          <w:szCs w:val="24"/>
          <w:highlight w:val="none"/>
        </w:rPr>
        <w:t>：</w:t>
      </w:r>
      <w:r>
        <w:rPr>
          <w:rFonts w:hint="eastAsia" w:ascii="宋体" w:hAnsi="宋体" w:cs="MS PGothic"/>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天</w:t>
      </w:r>
      <w:r>
        <w:rPr>
          <w:rFonts w:hint="eastAsia" w:ascii="宋体" w:hAnsi="宋体" w:cs="宋体"/>
          <w:sz w:val="24"/>
          <w:szCs w:val="24"/>
          <w:highlight w:val="none"/>
        </w:rPr>
        <w:t>。工期总日历天数与根据前述计划开竣工日期计算的工期天数不一致的</w:t>
      </w:r>
      <w:r>
        <w:rPr>
          <w:rFonts w:hint="eastAsia" w:ascii="宋体" w:hAnsi="宋体" w:cs="MS PGothic"/>
          <w:sz w:val="24"/>
          <w:szCs w:val="24"/>
          <w:highlight w:val="none"/>
        </w:rPr>
        <w:t>，</w:t>
      </w:r>
      <w:r>
        <w:rPr>
          <w:rFonts w:hint="eastAsia" w:ascii="宋体" w:hAnsi="宋体" w:cs="宋体"/>
          <w:sz w:val="24"/>
          <w:szCs w:val="24"/>
          <w:highlight w:val="none"/>
        </w:rPr>
        <w:t>以工期总日历天数为准。</w:t>
      </w:r>
    </w:p>
    <w:p w14:paraId="634C6170">
      <w:pPr>
        <w:keepNext w:val="0"/>
        <w:keepLines w:val="0"/>
        <w:pageBreakBefore w:val="0"/>
        <w:widowControl w:val="0"/>
        <w:tabs>
          <w:tab w:val="left" w:pos="2800"/>
          <w:tab w:val="left" w:pos="3880"/>
          <w:tab w:val="left" w:pos="7580"/>
          <w:tab w:val="left" w:pos="7960"/>
          <w:tab w:val="left" w:pos="9500"/>
          <w:tab w:val="left" w:pos="9980"/>
        </w:tabs>
        <w:kinsoku/>
        <w:wordWrap/>
        <w:overflowPunct/>
        <w:topLinePunct w:val="0"/>
        <w:autoSpaceDE/>
        <w:autoSpaceDN/>
        <w:bidi w:val="0"/>
        <w:adjustRightInd/>
        <w:snapToGrid/>
        <w:spacing w:line="460" w:lineRule="exact"/>
        <w:ind w:left="0" w:right="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三、质量标准</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合格</w:t>
      </w:r>
    </w:p>
    <w:p w14:paraId="19CE6F9C">
      <w:pPr>
        <w:keepNext w:val="0"/>
        <w:keepLines w:val="0"/>
        <w:pageBreakBefore w:val="0"/>
        <w:widowControl w:val="0"/>
        <w:tabs>
          <w:tab w:val="left" w:pos="9500"/>
          <w:tab w:val="left" w:pos="998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四、暂定合同价与合同价格形式</w:t>
      </w:r>
    </w:p>
    <w:p w14:paraId="75A5DAC5">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eastAsia" w:ascii="宋体" w:hAnsi="宋体"/>
          <w:sz w:val="24"/>
          <w:szCs w:val="24"/>
          <w:highlight w:val="none"/>
        </w:rPr>
      </w:pPr>
      <w:r>
        <w:rPr>
          <w:rFonts w:hint="eastAsia" w:ascii="宋体" w:hAnsi="宋体"/>
          <w:sz w:val="24"/>
          <w:szCs w:val="24"/>
          <w:highlight w:val="none"/>
        </w:rPr>
        <w:t>暂定合同总价为人民币（大写）：</w:t>
      </w:r>
      <w:r>
        <w:rPr>
          <w:rFonts w:hint="eastAsia" w:ascii="宋体" w:hAnsi="宋体"/>
          <w:sz w:val="24"/>
          <w:szCs w:val="24"/>
          <w:highlight w:val="none"/>
          <w:u w:val="single"/>
        </w:rPr>
        <w:t xml:space="preserve">         </w:t>
      </w:r>
      <w:r>
        <w:rPr>
          <w:rFonts w:hint="eastAsia" w:ascii="宋体" w:hAnsi="宋体"/>
          <w:sz w:val="24"/>
          <w:szCs w:val="24"/>
          <w:highlight w:val="none"/>
        </w:rPr>
        <w:t>元（小写：</w:t>
      </w:r>
      <w:r>
        <w:rPr>
          <w:rFonts w:hint="eastAsia" w:ascii="宋体" w:hAnsi="宋体"/>
          <w:sz w:val="24"/>
          <w:szCs w:val="24"/>
          <w:highlight w:val="none"/>
          <w:u w:val="single"/>
        </w:rPr>
        <w:t xml:space="preserve">         </w:t>
      </w:r>
      <w:r>
        <w:rPr>
          <w:rFonts w:hint="eastAsia" w:ascii="宋体" w:hAnsi="宋体"/>
          <w:sz w:val="24"/>
          <w:szCs w:val="24"/>
          <w:highlight w:val="none"/>
        </w:rPr>
        <w:t>元）；</w:t>
      </w:r>
    </w:p>
    <w:p w14:paraId="7AE3B690">
      <w:pPr>
        <w:keepNext w:val="0"/>
        <w:keepLines w:val="0"/>
        <w:pageBreakBefore w:val="0"/>
        <w:widowControl w:val="0"/>
        <w:tabs>
          <w:tab w:val="left" w:pos="1971"/>
          <w:tab w:val="left" w:pos="4572"/>
          <w:tab w:val="left" w:pos="5292"/>
          <w:tab w:val="left" w:pos="7960"/>
          <w:tab w:val="left" w:pos="998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sz w:val="24"/>
          <w:szCs w:val="24"/>
          <w:highlight w:val="none"/>
        </w:rPr>
        <w:t>合同价格形式：固定</w:t>
      </w:r>
      <w:r>
        <w:rPr>
          <w:rFonts w:hint="eastAsia" w:ascii="宋体" w:hAnsi="宋体"/>
          <w:sz w:val="24"/>
          <w:szCs w:val="24"/>
          <w:highlight w:val="none"/>
          <w:lang w:val="en-US" w:eastAsia="zh-CN"/>
        </w:rPr>
        <w:t>单</w:t>
      </w:r>
      <w:r>
        <w:rPr>
          <w:rFonts w:hint="eastAsia" w:ascii="宋体" w:hAnsi="宋体"/>
          <w:sz w:val="24"/>
          <w:szCs w:val="24"/>
          <w:highlight w:val="none"/>
        </w:rPr>
        <w:t>价合同。</w:t>
      </w:r>
    </w:p>
    <w:p w14:paraId="0ECA9127">
      <w:pPr>
        <w:keepNext w:val="0"/>
        <w:keepLines w:val="0"/>
        <w:pageBreakBefore w:val="0"/>
        <w:widowControl w:val="0"/>
        <w:tabs>
          <w:tab w:val="left" w:pos="2900"/>
          <w:tab w:val="left" w:pos="7580"/>
          <w:tab w:val="left" w:pos="7960"/>
          <w:tab w:val="left" w:pos="998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五、工程总承包项目经理</w:t>
      </w:r>
    </w:p>
    <w:p w14:paraId="5177C417">
      <w:pPr>
        <w:keepNext w:val="0"/>
        <w:keepLines w:val="0"/>
        <w:pageBreakBefore w:val="0"/>
        <w:widowControl w:val="0"/>
        <w:tabs>
          <w:tab w:val="left" w:pos="4240"/>
          <w:tab w:val="left" w:pos="7835"/>
          <w:tab w:val="left" w:pos="998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工程总承包项目经理</w:t>
      </w:r>
      <w:r>
        <w:rPr>
          <w:rFonts w:hint="eastAsia" w:ascii="宋体" w:hAnsi="宋体" w:cs="MS PGothic"/>
          <w:sz w:val="24"/>
          <w:szCs w:val="24"/>
          <w:highlight w:val="none"/>
        </w:rPr>
        <w:t>：</w:t>
      </w:r>
      <w:r>
        <w:rPr>
          <w:rFonts w:hint="eastAsia" w:ascii="宋体" w:hAnsi="宋体"/>
          <w:sz w:val="24"/>
          <w:szCs w:val="24"/>
          <w:highlight w:val="none"/>
          <w:u w:val="single"/>
        </w:rPr>
        <w:tab/>
      </w:r>
      <w:r>
        <w:rPr>
          <w:rFonts w:hint="eastAsia" w:ascii="宋体" w:hAnsi="宋体" w:cs="宋体"/>
          <w:sz w:val="24"/>
          <w:szCs w:val="24"/>
          <w:highlight w:val="none"/>
        </w:rPr>
        <w:t>。</w:t>
      </w:r>
    </w:p>
    <w:p w14:paraId="3BE665B4">
      <w:pPr>
        <w:keepNext w:val="0"/>
        <w:keepLines w:val="0"/>
        <w:pageBreakBefore w:val="0"/>
        <w:widowControl w:val="0"/>
        <w:tabs>
          <w:tab w:val="left" w:pos="2900"/>
          <w:tab w:val="left" w:pos="7580"/>
          <w:tab w:val="left" w:pos="7960"/>
          <w:tab w:val="left" w:pos="9980"/>
        </w:tabs>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六、合同文件构成</w:t>
      </w:r>
    </w:p>
    <w:p w14:paraId="53F5E7B5">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本协议书与下列文件一起构成合同文件</w:t>
      </w:r>
      <w:r>
        <w:rPr>
          <w:rFonts w:hint="eastAsia" w:ascii="宋体" w:hAnsi="宋体" w:cs="MS PGothic"/>
          <w:sz w:val="24"/>
          <w:szCs w:val="24"/>
          <w:highlight w:val="none"/>
        </w:rPr>
        <w:t>：</w:t>
      </w:r>
    </w:p>
    <w:p w14:paraId="5C88D88F">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MS PGothic"/>
          <w:sz w:val="24"/>
          <w:szCs w:val="24"/>
          <w:highlight w:val="none"/>
        </w:rPr>
        <w:t>（1）</w:t>
      </w:r>
      <w:r>
        <w:rPr>
          <w:rFonts w:hint="eastAsia" w:ascii="宋体" w:hAnsi="宋体" w:cs="宋体"/>
          <w:sz w:val="24"/>
          <w:szCs w:val="24"/>
          <w:highlight w:val="none"/>
        </w:rPr>
        <w:t>中标通知书</w:t>
      </w:r>
      <w:r>
        <w:rPr>
          <w:rFonts w:hint="eastAsia" w:ascii="宋体" w:hAnsi="宋体" w:cs="MS PGothic"/>
          <w:sz w:val="24"/>
          <w:szCs w:val="24"/>
          <w:highlight w:val="none"/>
        </w:rPr>
        <w:t>（</w:t>
      </w:r>
      <w:r>
        <w:rPr>
          <w:rFonts w:hint="eastAsia" w:ascii="宋体" w:hAnsi="宋体" w:cs="宋体"/>
          <w:sz w:val="24"/>
          <w:szCs w:val="24"/>
          <w:highlight w:val="none"/>
        </w:rPr>
        <w:t>如果有</w:t>
      </w:r>
      <w:r>
        <w:rPr>
          <w:rFonts w:hint="eastAsia" w:ascii="宋体" w:hAnsi="宋体" w:cs="MS PGothic"/>
          <w:sz w:val="24"/>
          <w:szCs w:val="24"/>
          <w:highlight w:val="none"/>
        </w:rPr>
        <w:t>）</w:t>
      </w:r>
    </w:p>
    <w:p w14:paraId="0212215C">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MS PGothic"/>
          <w:sz w:val="24"/>
          <w:szCs w:val="24"/>
          <w:highlight w:val="none"/>
        </w:rPr>
        <w:t>（2）</w:t>
      </w:r>
      <w:r>
        <w:rPr>
          <w:rFonts w:hint="eastAsia" w:ascii="宋体" w:hAnsi="宋体" w:cs="宋体"/>
          <w:sz w:val="24"/>
          <w:szCs w:val="24"/>
          <w:highlight w:val="none"/>
        </w:rPr>
        <w:t>投标函及其附录</w:t>
      </w:r>
      <w:r>
        <w:rPr>
          <w:rFonts w:hint="eastAsia" w:ascii="宋体" w:hAnsi="宋体" w:cs="MS PGothic"/>
          <w:sz w:val="24"/>
          <w:szCs w:val="24"/>
          <w:highlight w:val="none"/>
        </w:rPr>
        <w:t>（</w:t>
      </w:r>
      <w:r>
        <w:rPr>
          <w:rFonts w:hint="eastAsia" w:ascii="宋体" w:hAnsi="宋体" w:cs="宋体"/>
          <w:sz w:val="24"/>
          <w:szCs w:val="24"/>
          <w:highlight w:val="none"/>
        </w:rPr>
        <w:t>如果有</w:t>
      </w:r>
      <w:r>
        <w:rPr>
          <w:rFonts w:hint="eastAsia" w:ascii="宋体" w:hAnsi="宋体" w:cs="MS PGothic"/>
          <w:sz w:val="24"/>
          <w:szCs w:val="24"/>
          <w:highlight w:val="none"/>
        </w:rPr>
        <w:t>）；</w:t>
      </w:r>
    </w:p>
    <w:p w14:paraId="45A46746">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MS PGothic"/>
          <w:sz w:val="24"/>
          <w:szCs w:val="24"/>
          <w:highlight w:val="none"/>
        </w:rPr>
        <w:t>（3）</w:t>
      </w:r>
      <w:r>
        <w:rPr>
          <w:rFonts w:hint="eastAsia" w:ascii="宋体" w:hAnsi="宋体" w:cs="宋体"/>
          <w:sz w:val="24"/>
          <w:szCs w:val="24"/>
          <w:highlight w:val="none"/>
        </w:rPr>
        <w:t>专用合同条款及其附件</w:t>
      </w:r>
      <w:r>
        <w:rPr>
          <w:rFonts w:hint="eastAsia" w:ascii="宋体" w:hAnsi="宋体" w:cs="MS PGothic"/>
          <w:sz w:val="24"/>
          <w:szCs w:val="24"/>
          <w:highlight w:val="none"/>
        </w:rPr>
        <w:t>；</w:t>
      </w:r>
    </w:p>
    <w:p w14:paraId="270AEFA7">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MS PGothic"/>
          <w:sz w:val="24"/>
          <w:szCs w:val="24"/>
          <w:highlight w:val="none"/>
        </w:rPr>
        <w:t>（4）</w:t>
      </w:r>
      <w:r>
        <w:rPr>
          <w:rFonts w:hint="eastAsia" w:ascii="宋体" w:hAnsi="宋体" w:cs="宋体"/>
          <w:sz w:val="24"/>
          <w:szCs w:val="24"/>
          <w:highlight w:val="none"/>
        </w:rPr>
        <w:t>通用合同条款</w:t>
      </w:r>
      <w:r>
        <w:rPr>
          <w:rFonts w:hint="eastAsia" w:ascii="宋体" w:hAnsi="宋体" w:cs="MS PGothic"/>
          <w:sz w:val="24"/>
          <w:szCs w:val="24"/>
          <w:highlight w:val="none"/>
        </w:rPr>
        <w:t>；</w:t>
      </w:r>
    </w:p>
    <w:p w14:paraId="1E119F2D">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MS PGothic"/>
          <w:sz w:val="24"/>
          <w:szCs w:val="24"/>
          <w:highlight w:val="none"/>
        </w:rPr>
        <w:t>（5）</w:t>
      </w:r>
      <w:r>
        <w:rPr>
          <w:rFonts w:hint="eastAsia" w:ascii="宋体" w:hAnsi="宋体" w:cs="宋体"/>
          <w:sz w:val="24"/>
          <w:szCs w:val="24"/>
          <w:highlight w:val="none"/>
        </w:rPr>
        <w:t>技术标准和要求</w:t>
      </w:r>
      <w:r>
        <w:rPr>
          <w:rFonts w:hint="eastAsia" w:ascii="宋体" w:hAnsi="宋体" w:cs="MS PGothic"/>
          <w:sz w:val="24"/>
          <w:szCs w:val="24"/>
          <w:highlight w:val="none"/>
        </w:rPr>
        <w:t>；</w:t>
      </w:r>
      <w:r>
        <w:rPr>
          <w:rFonts w:hint="eastAsia" w:ascii="宋体" w:hAnsi="宋体" w:cs="宋体"/>
          <w:sz w:val="24"/>
          <w:szCs w:val="24"/>
          <w:highlight w:val="none"/>
        </w:rPr>
        <w:t xml:space="preserve"> 　　</w:t>
      </w:r>
    </w:p>
    <w:p w14:paraId="0AED6BBC">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MS PGothic"/>
          <w:sz w:val="24"/>
          <w:szCs w:val="24"/>
          <w:highlight w:val="none"/>
        </w:rPr>
        <w:t>（6）</w:t>
      </w:r>
      <w:r>
        <w:rPr>
          <w:rFonts w:hint="eastAsia" w:ascii="宋体" w:hAnsi="宋体" w:cs="宋体"/>
          <w:sz w:val="24"/>
          <w:szCs w:val="24"/>
          <w:highlight w:val="none"/>
        </w:rPr>
        <w:t>图纸（如有）</w:t>
      </w:r>
      <w:r>
        <w:rPr>
          <w:rFonts w:hint="eastAsia" w:ascii="宋体" w:hAnsi="宋体" w:cs="MS PGothic"/>
          <w:sz w:val="24"/>
          <w:szCs w:val="24"/>
          <w:highlight w:val="none"/>
        </w:rPr>
        <w:t>；</w:t>
      </w:r>
    </w:p>
    <w:p w14:paraId="49E019FB">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MS PGothic"/>
          <w:sz w:val="24"/>
          <w:szCs w:val="24"/>
          <w:highlight w:val="none"/>
        </w:rPr>
        <w:t>（7）</w:t>
      </w:r>
      <w:r>
        <w:rPr>
          <w:rFonts w:hint="eastAsia" w:ascii="宋体" w:hAnsi="宋体" w:cs="宋体"/>
          <w:sz w:val="24"/>
          <w:szCs w:val="24"/>
          <w:highlight w:val="none"/>
        </w:rPr>
        <w:t>其他合同文件。</w:t>
      </w:r>
    </w:p>
    <w:p w14:paraId="414BB5D3">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在合同订立及履行过程中形成的与合同有关的文件均构成合同文件组成部分。 　　</w:t>
      </w:r>
    </w:p>
    <w:p w14:paraId="5CFD1C03">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MS PGothic"/>
          <w:sz w:val="24"/>
          <w:szCs w:val="24"/>
          <w:highlight w:val="none"/>
        </w:rPr>
      </w:pPr>
      <w:r>
        <w:rPr>
          <w:rFonts w:hint="eastAsia" w:ascii="宋体" w:hAnsi="宋体" w:cs="宋体"/>
          <w:sz w:val="24"/>
          <w:szCs w:val="24"/>
          <w:highlight w:val="none"/>
        </w:rPr>
        <w:t>上述各项合同文件包括合同当事人就该项合同文件所作出的补充和修改</w:t>
      </w:r>
      <w:r>
        <w:rPr>
          <w:rFonts w:hint="eastAsia" w:ascii="宋体" w:hAnsi="宋体" w:cs="MS PGothic"/>
          <w:sz w:val="24"/>
          <w:szCs w:val="24"/>
          <w:highlight w:val="none"/>
        </w:rPr>
        <w:t>，</w:t>
      </w:r>
      <w:r>
        <w:rPr>
          <w:rFonts w:hint="eastAsia" w:ascii="宋体" w:hAnsi="宋体" w:cs="宋体"/>
          <w:sz w:val="24"/>
          <w:szCs w:val="24"/>
          <w:highlight w:val="none"/>
        </w:rPr>
        <w:t>属于同一类内容的</w:t>
      </w:r>
      <w:r>
        <w:rPr>
          <w:rFonts w:hint="eastAsia" w:ascii="宋体" w:hAnsi="宋体" w:cs="MS PGothic"/>
          <w:sz w:val="24"/>
          <w:szCs w:val="24"/>
          <w:highlight w:val="none"/>
        </w:rPr>
        <w:t>文件，应以最新签署的为准。专用合同条款及其附件须经合同当事人签字或盖章。</w:t>
      </w:r>
    </w:p>
    <w:p w14:paraId="0AC01C7A">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MS PGothic"/>
          <w:sz w:val="24"/>
          <w:szCs w:val="24"/>
          <w:highlight w:val="none"/>
        </w:rPr>
      </w:pPr>
      <w:r>
        <w:rPr>
          <w:rFonts w:hint="eastAsia" w:ascii="宋体" w:hAnsi="宋体" w:cs="MS PGothic"/>
          <w:sz w:val="24"/>
          <w:szCs w:val="24"/>
          <w:highlight w:val="none"/>
        </w:rPr>
        <w:t>七、承诺</w:t>
      </w:r>
    </w:p>
    <w:p w14:paraId="4D5429AB">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MS PGothic"/>
          <w:sz w:val="24"/>
          <w:szCs w:val="24"/>
          <w:highlight w:val="none"/>
        </w:rPr>
      </w:pPr>
      <w:r>
        <w:rPr>
          <w:rFonts w:hint="eastAsia" w:ascii="宋体" w:hAnsi="宋体" w:cs="MS PGothic"/>
          <w:sz w:val="24"/>
          <w:szCs w:val="24"/>
          <w:highlight w:val="none"/>
        </w:rPr>
        <w:t>1.发包人承诺按照法律规定履行项目审批手续、筹集工程建设资金并按照合同约定的期限和方式支付合同价款。 　　</w:t>
      </w:r>
    </w:p>
    <w:p w14:paraId="4CD187EB">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MS PGothic"/>
          <w:sz w:val="24"/>
          <w:szCs w:val="24"/>
          <w:highlight w:val="none"/>
        </w:rPr>
        <w:t>2.</w:t>
      </w:r>
      <w:r>
        <w:rPr>
          <w:rFonts w:hint="eastAsia" w:ascii="宋体" w:hAnsi="宋体"/>
          <w:sz w:val="24"/>
          <w:szCs w:val="24"/>
          <w:highlight w:val="none"/>
        </w:rPr>
        <w:t>承包人承诺按照法律规定及合同约定组织完成工程的设计、采购和施工等工作，确保工程质量和安全，不进行转包及违法分包，并在缺陷责任期及保修期内承担相应的工程维修责任。</w:t>
      </w:r>
    </w:p>
    <w:p w14:paraId="178BFCA3">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bookmarkStart w:id="131" w:name="page4"/>
      <w:bookmarkEnd w:id="131"/>
      <w:r>
        <w:rPr>
          <w:rFonts w:hint="eastAsia" w:ascii="宋体" w:hAnsi="宋体" w:cs="宋体"/>
          <w:sz w:val="24"/>
          <w:szCs w:val="24"/>
          <w:highlight w:val="none"/>
        </w:rPr>
        <w:t>八、词语含义</w:t>
      </w:r>
    </w:p>
    <w:p w14:paraId="06FF1EB3">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本协议书中词语含义与第二部分通用合同条款中赋予的含义相同。</w:t>
      </w:r>
    </w:p>
    <w:p w14:paraId="66AFCB98">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九、签订时间</w:t>
      </w:r>
    </w:p>
    <w:p w14:paraId="4524597D">
      <w:pPr>
        <w:pStyle w:val="103"/>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default"/>
          <w:sz w:val="24"/>
          <w:szCs w:val="24"/>
          <w:highlight w:val="none"/>
        </w:rPr>
      </w:pPr>
      <w:r>
        <w:rPr>
          <w:sz w:val="24"/>
          <w:szCs w:val="24"/>
          <w:highlight w:val="none"/>
          <w:u w:val="none"/>
        </w:rPr>
        <w:t>本合同于</w:t>
      </w:r>
      <w:r>
        <w:rPr>
          <w:sz w:val="24"/>
          <w:szCs w:val="24"/>
          <w:highlight w:val="none"/>
        </w:rPr>
        <w:t xml:space="preserve">                          </w:t>
      </w:r>
      <w:r>
        <w:rPr>
          <w:sz w:val="24"/>
          <w:szCs w:val="24"/>
          <w:highlight w:val="none"/>
          <w:u w:val="none"/>
        </w:rPr>
        <w:t>签订。</w:t>
      </w:r>
    </w:p>
    <w:p w14:paraId="32CE88C1">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十、签订地点</w:t>
      </w:r>
    </w:p>
    <w:p w14:paraId="7E498C0A">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本合同在</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签订。</w:t>
      </w:r>
    </w:p>
    <w:p w14:paraId="77CA5977">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十一、补充协议 　　</w:t>
      </w:r>
    </w:p>
    <w:p w14:paraId="70B32978">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合同未尽事宜</w:t>
      </w:r>
      <w:r>
        <w:rPr>
          <w:rFonts w:hint="eastAsia" w:ascii="宋体" w:hAnsi="宋体" w:cs="MS PGothic"/>
          <w:sz w:val="24"/>
          <w:szCs w:val="24"/>
          <w:highlight w:val="none"/>
        </w:rPr>
        <w:t>，</w:t>
      </w:r>
      <w:r>
        <w:rPr>
          <w:rFonts w:hint="eastAsia" w:ascii="宋体" w:hAnsi="宋体" w:cs="宋体"/>
          <w:sz w:val="24"/>
          <w:szCs w:val="24"/>
          <w:highlight w:val="none"/>
        </w:rPr>
        <w:t>合同当事人另行签订补充协议</w:t>
      </w:r>
      <w:r>
        <w:rPr>
          <w:rFonts w:hint="eastAsia" w:ascii="宋体" w:hAnsi="宋体" w:cs="MS PGothic"/>
          <w:sz w:val="24"/>
          <w:szCs w:val="24"/>
          <w:highlight w:val="none"/>
        </w:rPr>
        <w:t>，</w:t>
      </w:r>
      <w:r>
        <w:rPr>
          <w:rFonts w:hint="eastAsia" w:ascii="宋体" w:hAnsi="宋体" w:cs="宋体"/>
          <w:sz w:val="24"/>
          <w:szCs w:val="24"/>
          <w:highlight w:val="none"/>
        </w:rPr>
        <w:t xml:space="preserve">补充协议是合同的组成部分。 </w:t>
      </w:r>
    </w:p>
    <w:p w14:paraId="5C3F5584">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十二、合同生效 　　</w:t>
      </w:r>
    </w:p>
    <w:p w14:paraId="06B29C96">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本合同自</w:t>
      </w:r>
      <w:r>
        <w:rPr>
          <w:rFonts w:hint="eastAsia" w:ascii="宋体" w:hAnsi="宋体" w:cs="宋体"/>
          <w:sz w:val="24"/>
          <w:szCs w:val="24"/>
          <w:highlight w:val="none"/>
          <w:u w:val="single"/>
        </w:rPr>
        <w:t xml:space="preserve"> 双方签字盖章后 </w:t>
      </w:r>
      <w:r>
        <w:rPr>
          <w:rFonts w:hint="eastAsia" w:ascii="宋体" w:hAnsi="宋体" w:cs="宋体"/>
          <w:sz w:val="24"/>
          <w:szCs w:val="24"/>
          <w:highlight w:val="none"/>
        </w:rPr>
        <w:t>生效。</w:t>
      </w:r>
    </w:p>
    <w:p w14:paraId="449A6B50">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十三、合同份数 　　</w:t>
      </w:r>
    </w:p>
    <w:p w14:paraId="124A08B8">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cs="宋体"/>
          <w:sz w:val="24"/>
          <w:szCs w:val="24"/>
          <w:highlight w:val="none"/>
        </w:rPr>
        <w:t>本合同一式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捌</w:t>
      </w:r>
      <w:r>
        <w:rPr>
          <w:rFonts w:hint="eastAsia" w:ascii="宋体" w:hAnsi="宋体" w:cs="宋体"/>
          <w:sz w:val="24"/>
          <w:szCs w:val="24"/>
          <w:highlight w:val="none"/>
          <w:u w:val="single"/>
        </w:rPr>
        <w:t xml:space="preserve"> </w:t>
      </w:r>
      <w:r>
        <w:rPr>
          <w:rFonts w:hint="eastAsia" w:ascii="宋体" w:hAnsi="宋体" w:cs="宋体"/>
          <w:sz w:val="24"/>
          <w:szCs w:val="24"/>
          <w:highlight w:val="none"/>
        </w:rPr>
        <w:t>份</w:t>
      </w:r>
      <w:r>
        <w:rPr>
          <w:rFonts w:hint="eastAsia" w:ascii="宋体" w:hAnsi="宋体" w:cs="MS PGothic"/>
          <w:sz w:val="24"/>
          <w:szCs w:val="24"/>
          <w:highlight w:val="none"/>
        </w:rPr>
        <w:t>，</w:t>
      </w:r>
      <w:r>
        <w:rPr>
          <w:rFonts w:hint="eastAsia" w:ascii="宋体" w:hAnsi="宋体" w:cs="宋体"/>
          <w:sz w:val="24"/>
          <w:szCs w:val="24"/>
          <w:highlight w:val="none"/>
        </w:rPr>
        <w:t>均具有同等法律效力</w:t>
      </w:r>
      <w:r>
        <w:rPr>
          <w:rFonts w:hint="eastAsia" w:ascii="宋体" w:hAnsi="宋体" w:cs="MS PGothic"/>
          <w:sz w:val="24"/>
          <w:szCs w:val="24"/>
          <w:highlight w:val="none"/>
        </w:rPr>
        <w:t>，</w:t>
      </w:r>
      <w:r>
        <w:rPr>
          <w:rFonts w:hint="eastAsia" w:ascii="宋体" w:hAnsi="宋体" w:cs="宋体"/>
          <w:sz w:val="24"/>
          <w:szCs w:val="24"/>
          <w:highlight w:val="none"/>
        </w:rPr>
        <w:t xml:space="preserve"> 发包人执</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肆</w:t>
      </w:r>
      <w:r>
        <w:rPr>
          <w:rFonts w:hint="eastAsia" w:ascii="宋体" w:hAnsi="宋体" w:cs="宋体"/>
          <w:sz w:val="24"/>
          <w:szCs w:val="24"/>
          <w:highlight w:val="none"/>
          <w:u w:val="single"/>
        </w:rPr>
        <w:t xml:space="preserve"> </w:t>
      </w:r>
      <w:r>
        <w:rPr>
          <w:rFonts w:hint="eastAsia" w:ascii="宋体" w:hAnsi="宋体" w:cs="宋体"/>
          <w:sz w:val="24"/>
          <w:szCs w:val="24"/>
          <w:highlight w:val="none"/>
        </w:rPr>
        <w:t>份</w:t>
      </w:r>
      <w:r>
        <w:rPr>
          <w:rFonts w:hint="eastAsia" w:ascii="宋体" w:hAnsi="宋体" w:cs="MS PGothic"/>
          <w:sz w:val="24"/>
          <w:szCs w:val="24"/>
          <w:highlight w:val="none"/>
        </w:rPr>
        <w:t>，</w:t>
      </w:r>
      <w:r>
        <w:rPr>
          <w:rFonts w:hint="eastAsia" w:ascii="宋体" w:hAnsi="宋体" w:cs="宋体"/>
          <w:sz w:val="24"/>
          <w:szCs w:val="24"/>
          <w:highlight w:val="none"/>
        </w:rPr>
        <w:t xml:space="preserve">承包人执 </w:t>
      </w:r>
      <w:r>
        <w:rPr>
          <w:rFonts w:hint="eastAsia" w:ascii="宋体" w:hAnsi="宋体" w:cs="宋体"/>
          <w:sz w:val="24"/>
          <w:szCs w:val="24"/>
          <w:highlight w:val="none"/>
          <w:u w:val="single"/>
          <w:lang w:val="en-US" w:eastAsia="zh-CN"/>
        </w:rPr>
        <w:t>肆</w:t>
      </w:r>
      <w:r>
        <w:rPr>
          <w:rFonts w:hint="eastAsia" w:ascii="宋体" w:hAnsi="宋体" w:cs="宋体"/>
          <w:sz w:val="24"/>
          <w:szCs w:val="24"/>
          <w:highlight w:val="none"/>
          <w:u w:val="single"/>
        </w:rPr>
        <w:t xml:space="preserve"> </w:t>
      </w:r>
      <w:r>
        <w:rPr>
          <w:rFonts w:hint="eastAsia" w:ascii="宋体" w:hAnsi="宋体" w:cs="宋体"/>
          <w:sz w:val="24"/>
          <w:szCs w:val="24"/>
          <w:highlight w:val="none"/>
        </w:rPr>
        <w:t>份。</w:t>
      </w:r>
    </w:p>
    <w:p w14:paraId="01D941B0">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eastAsia" w:ascii="宋体" w:hAnsi="宋体"/>
          <w:sz w:val="24"/>
          <w:szCs w:val="24"/>
          <w:highlight w:val="none"/>
        </w:rPr>
      </w:pPr>
    </w:p>
    <w:p w14:paraId="7670759E">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发包人：  (公章)                             承包人：  (公章)</w:t>
      </w:r>
    </w:p>
    <w:p w14:paraId="06C5D7D6">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法定代表人或其委托代理人：                   法定代表人或其委托代理人：</w:t>
      </w:r>
    </w:p>
    <w:p w14:paraId="4267BCB0">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u w:val="single"/>
        </w:rPr>
      </w:pPr>
      <w:r>
        <w:rPr>
          <w:rFonts w:hint="eastAsia" w:ascii="宋体" w:hAnsi="宋体"/>
          <w:sz w:val="24"/>
          <w:szCs w:val="24"/>
          <w:highlight w:val="none"/>
        </w:rPr>
        <w:t>（签字或盖章）                               （签字或盖章）</w:t>
      </w:r>
    </w:p>
    <w:p w14:paraId="599AAABA">
      <w:pPr>
        <w:keepNext w:val="0"/>
        <w:keepLines w:val="0"/>
        <w:pageBreakBefore w:val="0"/>
        <w:widowControl w:val="0"/>
        <w:tabs>
          <w:tab w:val="left" w:pos="4410"/>
        </w:tabs>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组织机构代码：</w:t>
      </w:r>
      <w:r>
        <w:rPr>
          <w:rFonts w:hint="eastAsia" w:ascii="宋体" w:hAnsi="宋体"/>
          <w:sz w:val="24"/>
          <w:szCs w:val="24"/>
          <w:highlight w:val="none"/>
          <w:u w:val="single"/>
        </w:rPr>
        <w:t xml:space="preserve">       </w:t>
      </w:r>
      <w:r>
        <w:rPr>
          <w:rFonts w:hint="eastAsia" w:ascii="宋体" w:hAnsi="宋体"/>
          <w:sz w:val="24"/>
          <w:szCs w:val="24"/>
          <w:highlight w:val="none"/>
        </w:rPr>
        <w:t xml:space="preserve">                        组织机构代码：</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p>
    <w:p w14:paraId="1F2989AB">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地  址：</w:t>
      </w:r>
      <w:r>
        <w:rPr>
          <w:rFonts w:hint="eastAsia" w:ascii="宋体" w:hAnsi="宋体"/>
          <w:sz w:val="24"/>
          <w:szCs w:val="24"/>
          <w:highlight w:val="none"/>
          <w:u w:val="single"/>
        </w:rPr>
        <w:t xml:space="preserve">             </w:t>
      </w:r>
      <w:r>
        <w:rPr>
          <w:rFonts w:hint="eastAsia" w:ascii="宋体" w:hAnsi="宋体"/>
          <w:sz w:val="24"/>
          <w:szCs w:val="24"/>
          <w:highlight w:val="none"/>
        </w:rPr>
        <w:t xml:space="preserve">                        地  址：</w:t>
      </w:r>
      <w:r>
        <w:rPr>
          <w:rFonts w:hint="eastAsia" w:ascii="宋体" w:hAnsi="宋体"/>
          <w:sz w:val="24"/>
          <w:szCs w:val="24"/>
          <w:highlight w:val="none"/>
          <w:u w:val="single"/>
        </w:rPr>
        <w:t xml:space="preserve">                </w:t>
      </w:r>
    </w:p>
    <w:p w14:paraId="5FF15C99">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邮政编码：</w:t>
      </w:r>
      <w:r>
        <w:rPr>
          <w:rFonts w:hint="eastAsia" w:ascii="宋体" w:hAnsi="宋体"/>
          <w:sz w:val="24"/>
          <w:szCs w:val="24"/>
          <w:highlight w:val="none"/>
          <w:u w:val="single"/>
        </w:rPr>
        <w:t xml:space="preserve">          </w:t>
      </w:r>
      <w:r>
        <w:rPr>
          <w:rFonts w:hint="eastAsia" w:ascii="宋体" w:hAnsi="宋体"/>
          <w:sz w:val="24"/>
          <w:szCs w:val="24"/>
          <w:highlight w:val="none"/>
        </w:rPr>
        <w:t xml:space="preserve">                         邮政编码：</w:t>
      </w:r>
      <w:r>
        <w:rPr>
          <w:rFonts w:hint="eastAsia" w:ascii="宋体" w:hAnsi="宋体"/>
          <w:sz w:val="24"/>
          <w:szCs w:val="24"/>
          <w:highlight w:val="none"/>
          <w:u w:val="single"/>
        </w:rPr>
        <w:t xml:space="preserve">                   </w:t>
      </w:r>
    </w:p>
    <w:p w14:paraId="3587424A">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法定代表人：</w:t>
      </w:r>
      <w:r>
        <w:rPr>
          <w:rFonts w:hint="eastAsia" w:ascii="宋体" w:hAnsi="宋体"/>
          <w:sz w:val="24"/>
          <w:szCs w:val="24"/>
          <w:highlight w:val="none"/>
          <w:u w:val="single"/>
        </w:rPr>
        <w:t xml:space="preserve">         </w:t>
      </w:r>
      <w:r>
        <w:rPr>
          <w:rFonts w:hint="eastAsia" w:ascii="宋体" w:hAnsi="宋体"/>
          <w:sz w:val="24"/>
          <w:szCs w:val="24"/>
          <w:highlight w:val="none"/>
        </w:rPr>
        <w:t xml:space="preserve">                        法定代表人：</w:t>
      </w:r>
      <w:r>
        <w:rPr>
          <w:rFonts w:hint="eastAsia" w:ascii="宋体" w:hAnsi="宋体"/>
          <w:sz w:val="24"/>
          <w:szCs w:val="24"/>
          <w:highlight w:val="none"/>
          <w:u w:val="single"/>
        </w:rPr>
        <w:t xml:space="preserve">               </w:t>
      </w:r>
    </w:p>
    <w:p w14:paraId="68317E74">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委托代理人：</w:t>
      </w:r>
      <w:r>
        <w:rPr>
          <w:rFonts w:hint="eastAsia" w:ascii="宋体" w:hAnsi="宋体"/>
          <w:sz w:val="24"/>
          <w:szCs w:val="24"/>
          <w:highlight w:val="none"/>
          <w:u w:val="single"/>
        </w:rPr>
        <w:t xml:space="preserve">          </w:t>
      </w:r>
      <w:r>
        <w:rPr>
          <w:rFonts w:hint="eastAsia" w:ascii="宋体" w:hAnsi="宋体"/>
          <w:sz w:val="24"/>
          <w:szCs w:val="24"/>
          <w:highlight w:val="none"/>
        </w:rPr>
        <w:t xml:space="preserve">                       委托代理人：</w:t>
      </w:r>
      <w:r>
        <w:rPr>
          <w:rFonts w:hint="eastAsia" w:ascii="宋体" w:hAnsi="宋体"/>
          <w:sz w:val="24"/>
          <w:szCs w:val="24"/>
          <w:highlight w:val="none"/>
          <w:u w:val="single"/>
        </w:rPr>
        <w:t xml:space="preserve">                  </w:t>
      </w:r>
    </w:p>
    <w:p w14:paraId="5F684770">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电  话：</w:t>
      </w:r>
      <w:r>
        <w:rPr>
          <w:rFonts w:hint="eastAsia" w:ascii="宋体" w:hAnsi="宋体"/>
          <w:sz w:val="24"/>
          <w:szCs w:val="24"/>
          <w:highlight w:val="none"/>
          <w:u w:val="single"/>
        </w:rPr>
        <w:t xml:space="preserve">               </w:t>
      </w:r>
      <w:r>
        <w:rPr>
          <w:rFonts w:hint="eastAsia" w:ascii="宋体" w:hAnsi="宋体"/>
          <w:sz w:val="24"/>
          <w:szCs w:val="24"/>
          <w:highlight w:val="none"/>
        </w:rPr>
        <w:t xml:space="preserve">                      电  话：</w:t>
      </w:r>
      <w:r>
        <w:rPr>
          <w:rFonts w:hint="eastAsia" w:ascii="宋体" w:hAnsi="宋体"/>
          <w:sz w:val="24"/>
          <w:szCs w:val="24"/>
          <w:highlight w:val="none"/>
          <w:u w:val="single"/>
        </w:rPr>
        <w:t xml:space="preserve">                     </w:t>
      </w:r>
    </w:p>
    <w:p w14:paraId="7E861F60">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传  真：</w:t>
      </w:r>
      <w:r>
        <w:rPr>
          <w:rFonts w:hint="eastAsia" w:ascii="宋体" w:hAnsi="宋体"/>
          <w:sz w:val="24"/>
          <w:szCs w:val="24"/>
          <w:highlight w:val="none"/>
          <w:u w:val="single"/>
        </w:rPr>
        <w:t xml:space="preserve">                 </w:t>
      </w:r>
      <w:r>
        <w:rPr>
          <w:rFonts w:hint="eastAsia" w:ascii="宋体" w:hAnsi="宋体"/>
          <w:sz w:val="24"/>
          <w:szCs w:val="24"/>
          <w:highlight w:val="none"/>
        </w:rPr>
        <w:t xml:space="preserve">                    传  真：</w:t>
      </w:r>
      <w:r>
        <w:rPr>
          <w:rFonts w:hint="eastAsia" w:ascii="宋体" w:hAnsi="宋体"/>
          <w:sz w:val="24"/>
          <w:szCs w:val="24"/>
          <w:highlight w:val="none"/>
          <w:u w:val="single"/>
        </w:rPr>
        <w:t xml:space="preserve">                      </w:t>
      </w:r>
    </w:p>
    <w:p w14:paraId="612410FE">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电子信箱：</w:t>
      </w:r>
      <w:r>
        <w:rPr>
          <w:rFonts w:hint="eastAsia" w:ascii="宋体" w:hAnsi="宋体"/>
          <w:sz w:val="24"/>
          <w:szCs w:val="24"/>
          <w:highlight w:val="none"/>
          <w:u w:val="single"/>
        </w:rPr>
        <w:t xml:space="preserve">                 </w:t>
      </w:r>
      <w:r>
        <w:rPr>
          <w:rFonts w:hint="eastAsia" w:ascii="宋体" w:hAnsi="宋体"/>
          <w:sz w:val="24"/>
          <w:szCs w:val="24"/>
          <w:highlight w:val="none"/>
        </w:rPr>
        <w:t xml:space="preserve">                  电子信箱：</w:t>
      </w:r>
      <w:r>
        <w:rPr>
          <w:rFonts w:hint="eastAsia" w:ascii="宋体" w:hAnsi="宋体"/>
          <w:sz w:val="24"/>
          <w:szCs w:val="24"/>
          <w:highlight w:val="none"/>
          <w:u w:val="single"/>
        </w:rPr>
        <w:t xml:space="preserve">                  </w:t>
      </w:r>
    </w:p>
    <w:p w14:paraId="061448DA">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ascii="宋体" w:hAnsi="宋体"/>
          <w:sz w:val="24"/>
          <w:szCs w:val="24"/>
          <w:highlight w:val="none"/>
        </w:rPr>
      </w:pPr>
      <w:r>
        <w:rPr>
          <w:rFonts w:hint="eastAsia" w:ascii="宋体" w:hAnsi="宋体"/>
          <w:sz w:val="24"/>
          <w:szCs w:val="24"/>
          <w:highlight w:val="none"/>
        </w:rPr>
        <w:t>开户银行：</w:t>
      </w:r>
      <w:r>
        <w:rPr>
          <w:rFonts w:hint="eastAsia" w:ascii="宋体" w:hAnsi="宋体"/>
          <w:sz w:val="24"/>
          <w:szCs w:val="24"/>
          <w:highlight w:val="none"/>
          <w:u w:val="single"/>
        </w:rPr>
        <w:t xml:space="preserve">                 </w:t>
      </w:r>
      <w:r>
        <w:rPr>
          <w:rFonts w:hint="eastAsia" w:ascii="宋体" w:hAnsi="宋体"/>
          <w:sz w:val="24"/>
          <w:szCs w:val="24"/>
          <w:highlight w:val="none"/>
        </w:rPr>
        <w:t xml:space="preserve">                  开户银行：</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p>
    <w:p w14:paraId="1DBEE3E7">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jc w:val="left"/>
        <w:textAlignment w:val="auto"/>
        <w:rPr>
          <w:rFonts w:ascii="宋体" w:hAnsi="宋体"/>
          <w:sz w:val="24"/>
          <w:szCs w:val="24"/>
          <w:highlight w:val="none"/>
        </w:rPr>
      </w:pPr>
      <w:r>
        <w:rPr>
          <w:rFonts w:hint="eastAsia" w:ascii="宋体" w:hAnsi="宋体"/>
          <w:sz w:val="24"/>
          <w:szCs w:val="24"/>
          <w:highlight w:val="none"/>
        </w:rPr>
        <w:t>账  号：</w:t>
      </w:r>
      <w:r>
        <w:rPr>
          <w:rFonts w:hint="eastAsia" w:ascii="宋体" w:hAnsi="宋体"/>
          <w:sz w:val="24"/>
          <w:szCs w:val="24"/>
          <w:highlight w:val="none"/>
          <w:u w:val="single"/>
        </w:rPr>
        <w:t xml:space="preserve">                    </w:t>
      </w:r>
      <w:r>
        <w:rPr>
          <w:rFonts w:hint="eastAsia" w:ascii="宋体" w:hAnsi="宋体"/>
          <w:sz w:val="24"/>
          <w:szCs w:val="24"/>
          <w:highlight w:val="none"/>
        </w:rPr>
        <w:t xml:space="preserve">                  账  号：</w:t>
      </w:r>
      <w:r>
        <w:rPr>
          <w:rFonts w:hint="eastAsia" w:ascii="宋体" w:hAnsi="宋体"/>
          <w:sz w:val="24"/>
          <w:szCs w:val="24"/>
          <w:highlight w:val="none"/>
          <w:u w:val="single"/>
        </w:rPr>
        <w:t xml:space="preserve">                     </w:t>
      </w:r>
    </w:p>
    <w:p w14:paraId="0ED6CD71">
      <w:pPr>
        <w:spacing w:line="400" w:lineRule="exact"/>
        <w:jc w:val="left"/>
        <w:rPr>
          <w:rFonts w:ascii="宋体" w:hAnsi="宋体"/>
          <w:highlight w:val="none"/>
        </w:rPr>
      </w:pPr>
    </w:p>
    <w:p w14:paraId="05B921CF">
      <w:pPr>
        <w:keepNext w:val="0"/>
        <w:keepLines w:val="0"/>
        <w:pageBreakBefore/>
        <w:widowControl w:val="0"/>
        <w:kinsoku/>
        <w:wordWrap/>
        <w:overflowPunct/>
        <w:topLinePunct w:val="0"/>
        <w:autoSpaceDE/>
        <w:autoSpaceDN/>
        <w:bidi w:val="0"/>
        <w:adjustRightInd/>
        <w:snapToGrid/>
        <w:spacing w:line="240" w:lineRule="auto"/>
        <w:jc w:val="center"/>
        <w:textAlignment w:val="auto"/>
        <w:rPr>
          <w:rFonts w:ascii="宋体" w:hAnsi="宋体"/>
          <w:b/>
          <w:sz w:val="30"/>
          <w:szCs w:val="30"/>
          <w:highlight w:val="none"/>
        </w:rPr>
      </w:pPr>
      <w:r>
        <w:rPr>
          <w:rFonts w:hint="eastAsia" w:ascii="宋体" w:hAnsi="宋体"/>
          <w:b/>
          <w:sz w:val="30"/>
          <w:szCs w:val="30"/>
          <w:highlight w:val="none"/>
        </w:rPr>
        <w:t>第二部分   通用合同条款</w:t>
      </w:r>
      <w:bookmarkStart w:id="132" w:name="page5"/>
      <w:bookmarkEnd w:id="132"/>
    </w:p>
    <w:p w14:paraId="4E75B2CB">
      <w:pPr>
        <w:keepNext w:val="0"/>
        <w:keepLines w:val="0"/>
        <w:pageBreakBefore w:val="0"/>
        <w:widowControl w:val="0"/>
        <w:kinsoku/>
        <w:wordWrap/>
        <w:overflowPunct/>
        <w:topLinePunct w:val="0"/>
        <w:autoSpaceDE/>
        <w:autoSpaceDN/>
        <w:bidi w:val="0"/>
        <w:adjustRightInd/>
        <w:snapToGrid/>
        <w:spacing w:line="460" w:lineRule="exact"/>
        <w:ind w:firstLine="482"/>
        <w:jc w:val="center"/>
        <w:textAlignment w:val="auto"/>
        <w:rPr>
          <w:rFonts w:hint="eastAsia" w:ascii="宋体" w:hAnsi="宋体" w:cs="宋体"/>
          <w:b/>
          <w:sz w:val="32"/>
          <w:szCs w:val="32"/>
          <w:highlight w:val="none"/>
        </w:rPr>
      </w:pPr>
      <w:r>
        <w:rPr>
          <w:rFonts w:hint="eastAsia" w:ascii="宋体" w:hAnsi="宋体"/>
          <w:sz w:val="24"/>
          <w:highlight w:val="none"/>
        </w:rPr>
        <w:t>同建设工程施工合同（示范文本）（GF—2017—0201）内的通用合同条款。</w:t>
      </w:r>
    </w:p>
    <w:p w14:paraId="00604353">
      <w:pPr>
        <w:keepNext w:val="0"/>
        <w:keepLines w:val="0"/>
        <w:pageBreakBefore/>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t>第三部分 专用合同条款</w:t>
      </w:r>
    </w:p>
    <w:p w14:paraId="3A8DFDD6">
      <w:pPr>
        <w:widowControl/>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 一般约定</w:t>
      </w:r>
    </w:p>
    <w:p w14:paraId="465B401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 词语定义</w:t>
      </w:r>
    </w:p>
    <w:p w14:paraId="4A90D6E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1.1.1合同</w:t>
      </w:r>
    </w:p>
    <w:p w14:paraId="5F0C59C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1.1.1.10其他合同文件包括：</w:t>
      </w:r>
      <w:r>
        <w:rPr>
          <w:rFonts w:hint="eastAsia" w:ascii="宋体" w:hAnsi="宋体" w:eastAsia="宋体" w:cs="宋体"/>
          <w:sz w:val="24"/>
          <w:szCs w:val="24"/>
          <w:highlight w:val="none"/>
          <w:u w:val="single"/>
        </w:rPr>
        <w:t>招标文件、投标文件、发包人的工程量清单及最高限价文件（预算书）。合同履行中，发包人承包人有关工程的洽商、变更等书面协议或文件视为本合同专用条款的组成部分。若对同一问题合同文件出现矛盾和含糊，则以时间在后的文件或条款为准。</w:t>
      </w:r>
    </w:p>
    <w:p w14:paraId="4F744E5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 合同当事人及其他相关方</w:t>
      </w:r>
    </w:p>
    <w:p w14:paraId="2F68DDB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 </w:t>
      </w:r>
    </w:p>
    <w:p w14:paraId="613DF91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62BAF47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8C386D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0671367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053824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 </w:t>
      </w:r>
    </w:p>
    <w:p w14:paraId="4D0EFBA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rPr>
        <w:t xml:space="preserve"> 苏州谨忻工程设计有限公司 </w:t>
      </w:r>
      <w:r>
        <w:rPr>
          <w:rFonts w:hint="eastAsia" w:ascii="宋体" w:hAnsi="宋体" w:eastAsia="宋体" w:cs="宋体"/>
          <w:sz w:val="24"/>
          <w:szCs w:val="24"/>
          <w:highlight w:val="none"/>
        </w:rPr>
        <w:t xml:space="preserve">； </w:t>
      </w:r>
    </w:p>
    <w:p w14:paraId="5C4F61E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169098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218C956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49A22C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 </w:t>
      </w:r>
    </w:p>
    <w:p w14:paraId="2E3701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1.1.3.7 作为施工现场组成部分的其他场所包括：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244BE3E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1.1.3.9 永久占地包括：</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 </w:t>
      </w:r>
    </w:p>
    <w:p w14:paraId="5BA7C2D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1.1.3.10 临时占地包括：</w:t>
      </w:r>
      <w:r>
        <w:rPr>
          <w:rFonts w:hint="eastAsia" w:ascii="宋体" w:hAnsi="宋体" w:eastAsia="宋体" w:cs="宋体"/>
          <w:sz w:val="24"/>
          <w:szCs w:val="24"/>
          <w:highlight w:val="none"/>
          <w:u w:val="single"/>
        </w:rPr>
        <w:t>施工临时设施</w:t>
      </w:r>
      <w:r>
        <w:rPr>
          <w:rFonts w:hint="eastAsia" w:ascii="宋体" w:hAnsi="宋体" w:eastAsia="宋体" w:cs="宋体"/>
          <w:sz w:val="24"/>
          <w:szCs w:val="24"/>
          <w:highlight w:val="none"/>
        </w:rPr>
        <w:t xml:space="preserve">。 </w:t>
      </w:r>
    </w:p>
    <w:p w14:paraId="3531AE3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p>
    <w:p w14:paraId="6EA1099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适用于合同的其他规范性文件：</w:t>
      </w:r>
      <w:r>
        <w:rPr>
          <w:rFonts w:hint="eastAsia" w:ascii="宋体" w:hAnsi="宋体" w:eastAsia="宋体" w:cs="宋体"/>
          <w:sz w:val="24"/>
          <w:szCs w:val="24"/>
          <w:highlight w:val="none"/>
          <w:u w:val="single"/>
        </w:rPr>
        <w:t>《中华人民共和国民法典》、《中华人民共和国建筑法》、《中华人民共和国政府采购法》、《建设工程质量管理条例》、《中华人民共和国安全生产法》及部省市建设主管部门现行的法律、法规等。</w:t>
      </w:r>
      <w:r>
        <w:rPr>
          <w:rFonts w:hint="eastAsia" w:ascii="宋体" w:hAnsi="宋体" w:eastAsia="宋体" w:cs="宋体"/>
          <w:sz w:val="24"/>
          <w:szCs w:val="24"/>
          <w:highlight w:val="none"/>
        </w:rPr>
        <w:t xml:space="preserve"> </w:t>
      </w:r>
    </w:p>
    <w:p w14:paraId="5B36F3E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 </w:t>
      </w:r>
    </w:p>
    <w:p w14:paraId="3B432FE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1.4.1适用于工程的标准规范包括：</w:t>
      </w:r>
      <w:r>
        <w:rPr>
          <w:rFonts w:hint="eastAsia" w:ascii="宋体" w:hAnsi="宋体" w:eastAsia="宋体" w:cs="宋体"/>
          <w:sz w:val="24"/>
          <w:szCs w:val="24"/>
          <w:highlight w:val="none"/>
          <w:u w:val="single"/>
        </w:rPr>
        <w:t>国家标准、行业标准、工程所在地的地方标准以及相应的规范、规程等</w:t>
      </w:r>
      <w:r>
        <w:rPr>
          <w:rFonts w:hint="eastAsia" w:ascii="宋体" w:hAnsi="宋体" w:eastAsia="宋体" w:cs="宋体"/>
          <w:sz w:val="24"/>
          <w:szCs w:val="24"/>
          <w:highlight w:val="none"/>
        </w:rPr>
        <w:t xml:space="preserve">。 </w:t>
      </w:r>
    </w:p>
    <w:p w14:paraId="5721AEE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 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5F1DF6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5D331BE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191F8A9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1.4.3发包人对工程的技术标准和功能要求的特殊要求：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1C5FEB1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合同文件的优先顺序 </w:t>
      </w:r>
    </w:p>
    <w:p w14:paraId="0994456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合同文件组成及优先顺序为：</w:t>
      </w:r>
      <w:r>
        <w:rPr>
          <w:rFonts w:hint="eastAsia" w:ascii="宋体" w:hAnsi="宋体" w:eastAsia="宋体" w:cs="宋体"/>
          <w:sz w:val="24"/>
          <w:szCs w:val="24"/>
          <w:highlight w:val="none"/>
          <w:u w:val="single"/>
        </w:rPr>
        <w:t xml:space="preserve"> ①本合同协议书；②中标通知书；③招投标书及其附件(含投标函及其附录)；④本合同专用条款；⑤本合同通用条款；⑥标准、规范及有关技术文件；⑦工程量清单；⑧发包人委托编制的预算书；⑨双方有关工程的洽商、变更等书面协议或文件等</w:t>
      </w:r>
      <w:r>
        <w:rPr>
          <w:rFonts w:hint="eastAsia" w:ascii="宋体" w:hAnsi="宋体" w:eastAsia="宋体" w:cs="宋体"/>
          <w:sz w:val="24"/>
          <w:szCs w:val="24"/>
          <w:highlight w:val="none"/>
        </w:rPr>
        <w:t xml:space="preserve">。 </w:t>
      </w:r>
    </w:p>
    <w:p w14:paraId="2AC5F34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 </w:t>
      </w:r>
    </w:p>
    <w:p w14:paraId="283BA4C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 </w:t>
      </w:r>
    </w:p>
    <w:p w14:paraId="674ED50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发包人向承包人提供图纸的期限：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D0658F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发包人向承包人提供图纸的数量：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47544E7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发包人向承包人提供图纸的内容：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333C186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 </w:t>
      </w:r>
    </w:p>
    <w:p w14:paraId="394A8BA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需要由承包人提供的文件，包括：</w:t>
      </w:r>
      <w:r>
        <w:rPr>
          <w:rFonts w:hint="eastAsia" w:ascii="宋体" w:hAnsi="宋体" w:eastAsia="宋体" w:cs="宋体"/>
          <w:sz w:val="24"/>
          <w:szCs w:val="24"/>
          <w:highlight w:val="none"/>
          <w:u w:val="single"/>
        </w:rPr>
        <w:t xml:space="preserve">施工组织设计、专项方案、技术方案等，以及发包人(实施单位)要求提供的其他资料。 </w:t>
      </w:r>
    </w:p>
    <w:p w14:paraId="314A400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承包人提供的文件的期限为：</w:t>
      </w:r>
      <w:r>
        <w:rPr>
          <w:rFonts w:hint="eastAsia" w:ascii="宋体" w:hAnsi="宋体" w:eastAsia="宋体" w:cs="宋体"/>
          <w:sz w:val="24"/>
          <w:szCs w:val="24"/>
          <w:highlight w:val="none"/>
          <w:u w:val="single"/>
        </w:rPr>
        <w:t xml:space="preserve">根据发包人(实施单位)要求执行； </w:t>
      </w:r>
    </w:p>
    <w:p w14:paraId="241D5B3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承包人提供的文件的数量为：</w:t>
      </w:r>
      <w:r>
        <w:rPr>
          <w:rFonts w:hint="eastAsia" w:ascii="宋体" w:hAnsi="宋体" w:eastAsia="宋体" w:cs="宋体"/>
          <w:sz w:val="24"/>
          <w:szCs w:val="24"/>
          <w:highlight w:val="none"/>
          <w:u w:val="single"/>
        </w:rPr>
        <w:t xml:space="preserve">根据发包人(实施单位)要求； </w:t>
      </w:r>
    </w:p>
    <w:p w14:paraId="6799805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承包人提供的文件的形式为：</w:t>
      </w:r>
      <w:r>
        <w:rPr>
          <w:rFonts w:hint="eastAsia" w:ascii="宋体" w:hAnsi="宋体" w:eastAsia="宋体" w:cs="宋体"/>
          <w:sz w:val="24"/>
          <w:szCs w:val="24"/>
          <w:highlight w:val="none"/>
          <w:u w:val="single"/>
        </w:rPr>
        <w:t>书面及电子版；</w:t>
      </w:r>
    </w:p>
    <w:p w14:paraId="0D9F4C0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发包人审批承包人文件的期限：</w:t>
      </w:r>
      <w:r>
        <w:rPr>
          <w:rFonts w:hint="eastAsia" w:ascii="宋体" w:hAnsi="宋体" w:eastAsia="宋体" w:cs="宋体"/>
          <w:sz w:val="24"/>
          <w:szCs w:val="24"/>
          <w:highlight w:val="none"/>
          <w:u w:val="single"/>
        </w:rPr>
        <w:t xml:space="preserve">在7天内。 </w:t>
      </w:r>
    </w:p>
    <w:p w14:paraId="63F0A64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 现场图纸准备 </w:t>
      </w:r>
    </w:p>
    <w:p w14:paraId="36B1EDF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关于现场图纸准备的约定：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6A57DA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 </w:t>
      </w:r>
    </w:p>
    <w:p w14:paraId="4B4A462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1.7.1发包人和承包人应当在</w:t>
      </w:r>
      <w:r>
        <w:rPr>
          <w:rFonts w:hint="eastAsia" w:ascii="宋体" w:hAnsi="宋体" w:eastAsia="宋体" w:cs="宋体"/>
          <w:sz w:val="24"/>
          <w:szCs w:val="24"/>
          <w:highlight w:val="none"/>
          <w:u w:val="single"/>
        </w:rPr>
        <w:t>7</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 </w:t>
      </w:r>
    </w:p>
    <w:p w14:paraId="069921A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1.7.2 发包人接收文件的地点：</w:t>
      </w:r>
      <w:r>
        <w:rPr>
          <w:rFonts w:hint="eastAsia" w:ascii="宋体" w:hAnsi="宋体" w:eastAsia="宋体" w:cs="宋体"/>
          <w:sz w:val="24"/>
          <w:szCs w:val="24"/>
          <w:highlight w:val="none"/>
          <w:u w:val="single"/>
        </w:rPr>
        <w:t>施工现场</w:t>
      </w:r>
      <w:r>
        <w:rPr>
          <w:rFonts w:hint="eastAsia" w:ascii="宋体" w:hAnsi="宋体" w:eastAsia="宋体" w:cs="宋体"/>
          <w:sz w:val="24"/>
          <w:szCs w:val="24"/>
          <w:highlight w:val="none"/>
        </w:rPr>
        <w:t xml:space="preserve">。 </w:t>
      </w:r>
    </w:p>
    <w:p w14:paraId="410A9A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发包人指定的接收人为：</w:t>
      </w:r>
      <w:r>
        <w:rPr>
          <w:rFonts w:hint="eastAsia" w:ascii="宋体" w:hAnsi="宋体" w:eastAsia="宋体" w:cs="宋体"/>
          <w:sz w:val="24"/>
          <w:szCs w:val="24"/>
          <w:highlight w:val="none"/>
          <w:u w:val="single"/>
        </w:rPr>
        <w:t>实施单位现场代表</w:t>
      </w:r>
      <w:r>
        <w:rPr>
          <w:rFonts w:hint="eastAsia" w:ascii="宋体" w:hAnsi="宋体" w:eastAsia="宋体" w:cs="宋体"/>
          <w:sz w:val="24"/>
          <w:szCs w:val="24"/>
          <w:highlight w:val="none"/>
        </w:rPr>
        <w:t xml:space="preserve">。 </w:t>
      </w:r>
    </w:p>
    <w:p w14:paraId="6993F6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承包人接收文件的地点：</w:t>
      </w:r>
      <w:r>
        <w:rPr>
          <w:rFonts w:hint="eastAsia" w:ascii="宋体" w:hAnsi="宋体" w:eastAsia="宋体" w:cs="宋体"/>
          <w:sz w:val="24"/>
          <w:szCs w:val="24"/>
          <w:highlight w:val="none"/>
          <w:u w:val="single"/>
        </w:rPr>
        <w:t>施工现场</w:t>
      </w:r>
      <w:r>
        <w:rPr>
          <w:rFonts w:hint="eastAsia" w:ascii="宋体" w:hAnsi="宋体" w:eastAsia="宋体" w:cs="宋体"/>
          <w:sz w:val="24"/>
          <w:szCs w:val="24"/>
          <w:highlight w:val="none"/>
        </w:rPr>
        <w:t xml:space="preserve">。 </w:t>
      </w:r>
    </w:p>
    <w:p w14:paraId="783D503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承包人指定的接收人为：</w:t>
      </w:r>
      <w:r>
        <w:rPr>
          <w:rFonts w:hint="eastAsia" w:ascii="宋体" w:hAnsi="宋体" w:eastAsia="宋体" w:cs="宋体"/>
          <w:sz w:val="24"/>
          <w:szCs w:val="24"/>
          <w:highlight w:val="none"/>
          <w:u w:val="single"/>
        </w:rPr>
        <w:t>项目经理</w:t>
      </w:r>
      <w:r>
        <w:rPr>
          <w:rFonts w:hint="eastAsia" w:ascii="宋体" w:hAnsi="宋体" w:eastAsia="宋体" w:cs="宋体"/>
          <w:sz w:val="24"/>
          <w:szCs w:val="24"/>
          <w:highlight w:val="none"/>
        </w:rPr>
        <w:t xml:space="preserve">。 </w:t>
      </w:r>
    </w:p>
    <w:p w14:paraId="1AAAA73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监理人接收文件的地点：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4333FBD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监理人指定的接收人为：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2684E39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 交通运输 </w:t>
      </w:r>
    </w:p>
    <w:p w14:paraId="125E9F2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出入现场的权利 </w:t>
      </w:r>
    </w:p>
    <w:p w14:paraId="1DD2829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关于出入现场的权利的约定：</w:t>
      </w:r>
      <w:r>
        <w:rPr>
          <w:rFonts w:hint="eastAsia" w:ascii="宋体" w:hAnsi="宋体" w:eastAsia="宋体" w:cs="宋体"/>
          <w:sz w:val="24"/>
          <w:szCs w:val="24"/>
          <w:highlight w:val="none"/>
          <w:u w:val="single"/>
        </w:rPr>
        <w:t>根据施工需要，承包人负责取得出入施工现场所需的批准手续，以及取得因施工所需修建有关基础设施的权利，并承担相关手续费用和建设费用。承包人应在订立合同前查勘施工现场，并根据工程规模及技术参数，合理预见工程施工所需的进出施工现场的方式、手段、路径等。因承包人未合理预见，所增加的费用或延误的工期由承包人自行承担</w:t>
      </w:r>
      <w:r>
        <w:rPr>
          <w:rFonts w:hint="eastAsia" w:ascii="宋体" w:hAnsi="宋体" w:eastAsia="宋体" w:cs="宋体"/>
          <w:sz w:val="24"/>
          <w:szCs w:val="24"/>
          <w:highlight w:val="none"/>
        </w:rPr>
        <w:t xml:space="preserve">。 </w:t>
      </w:r>
    </w:p>
    <w:p w14:paraId="6E89879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场内交通 </w:t>
      </w:r>
    </w:p>
    <w:p w14:paraId="444604E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关于场外交通和场内交通的边界的约定：</w:t>
      </w:r>
      <w:r>
        <w:rPr>
          <w:rFonts w:hint="eastAsia" w:ascii="宋体" w:hAnsi="宋体" w:eastAsia="宋体" w:cs="宋体"/>
          <w:sz w:val="24"/>
          <w:szCs w:val="24"/>
          <w:highlight w:val="none"/>
          <w:u w:val="single"/>
        </w:rPr>
        <w:t xml:space="preserve">发包人仅提供现有场内、外交通设施的技术参数和具体条件，承包人应遵守有关交通法规，严格按照道路和桥梁的限制荷载行驶，执行有关道路限速、限行、禁止超载的规定，并配合交通管理部门的监督和检查。场内、外交通设施无法满足工程施工需要的，由承包人负责完善并承担相关费用。因承包人原因造成上述道路或交通设施损坏的，承包人负责修复并承担由此增加的费用。 </w:t>
      </w:r>
    </w:p>
    <w:p w14:paraId="147B243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关于发包人向承包人免费提供满足工程施工需要的场内道路和交通设施的约定：</w:t>
      </w:r>
      <w:r>
        <w:rPr>
          <w:rFonts w:hint="eastAsia" w:ascii="宋体" w:hAnsi="宋体" w:eastAsia="宋体" w:cs="宋体"/>
          <w:sz w:val="24"/>
          <w:szCs w:val="24"/>
          <w:highlight w:val="none"/>
          <w:u w:val="single"/>
        </w:rPr>
        <w:t>发包人按现状交给承包人。其它由承包人自行办理，费用由承包人承担</w:t>
      </w:r>
      <w:r>
        <w:rPr>
          <w:rFonts w:hint="eastAsia" w:ascii="宋体" w:hAnsi="宋体" w:eastAsia="宋体" w:cs="宋体"/>
          <w:sz w:val="24"/>
          <w:szCs w:val="24"/>
          <w:highlight w:val="none"/>
        </w:rPr>
        <w:t xml:space="preserve">。 </w:t>
      </w:r>
    </w:p>
    <w:p w14:paraId="6903F96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1.10.4超大件和超重件的运输 </w:t>
      </w:r>
    </w:p>
    <w:p w14:paraId="55916FD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运输超大件或超重件所需的道路和桥梁临时加固改造费用和其他有关费用由</w:t>
      </w:r>
      <w:r>
        <w:rPr>
          <w:rFonts w:hint="eastAsia" w:ascii="宋体" w:hAnsi="宋体" w:eastAsia="宋体" w:cs="宋体"/>
          <w:sz w:val="24"/>
          <w:szCs w:val="24"/>
          <w:highlight w:val="none"/>
          <w:u w:val="single"/>
        </w:rPr>
        <w:t>承包人</w:t>
      </w:r>
      <w:r>
        <w:rPr>
          <w:rFonts w:hint="eastAsia" w:ascii="宋体" w:hAnsi="宋体" w:eastAsia="宋体" w:cs="宋体"/>
          <w:sz w:val="24"/>
          <w:szCs w:val="24"/>
          <w:highlight w:val="none"/>
        </w:rPr>
        <w:t xml:space="preserve">自行承担。 </w:t>
      </w:r>
    </w:p>
    <w:p w14:paraId="1EDF903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知识产权 </w:t>
      </w:r>
    </w:p>
    <w:p w14:paraId="4505D30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1.11.1关于发包人提供给承包人的图纸、发包人为实施工程自行编制或委托编制的技术规范以及反 映发包人关于合同要求或其他类似性质的文件的著作权的归属：</w:t>
      </w:r>
      <w:r>
        <w:rPr>
          <w:rFonts w:hint="eastAsia" w:ascii="宋体" w:hAnsi="宋体" w:eastAsia="宋体" w:cs="宋体"/>
          <w:sz w:val="24"/>
          <w:szCs w:val="24"/>
          <w:highlight w:val="none"/>
          <w:u w:val="single"/>
        </w:rPr>
        <w:t>发包人</w:t>
      </w:r>
      <w:r>
        <w:rPr>
          <w:rFonts w:hint="eastAsia" w:ascii="宋体" w:hAnsi="宋体" w:eastAsia="宋体" w:cs="宋体"/>
          <w:sz w:val="24"/>
          <w:szCs w:val="24"/>
          <w:highlight w:val="none"/>
        </w:rPr>
        <w:t xml:space="preserve">。 </w:t>
      </w:r>
    </w:p>
    <w:p w14:paraId="2235CD1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关于发包人提供的上述文件的使用限制的要求：</w:t>
      </w:r>
      <w:r>
        <w:rPr>
          <w:rFonts w:hint="eastAsia" w:ascii="宋体" w:hAnsi="宋体" w:eastAsia="宋体" w:cs="宋体"/>
          <w:sz w:val="24"/>
          <w:szCs w:val="24"/>
          <w:highlight w:val="none"/>
          <w:u w:val="single"/>
        </w:rPr>
        <w:t>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4"/>
          <w:szCs w:val="24"/>
          <w:highlight w:val="none"/>
        </w:rPr>
        <w:t xml:space="preserve"> </w:t>
      </w:r>
    </w:p>
    <w:p w14:paraId="0FA0AED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1.11.2 关于承包人为实施工程所编制文件的著作权的归属：</w:t>
      </w:r>
      <w:r>
        <w:rPr>
          <w:rFonts w:hint="eastAsia" w:ascii="宋体" w:hAnsi="宋体" w:eastAsia="宋体" w:cs="宋体"/>
          <w:sz w:val="24"/>
          <w:szCs w:val="24"/>
          <w:highlight w:val="none"/>
          <w:u w:val="single"/>
        </w:rPr>
        <w:t>发包人。</w:t>
      </w:r>
      <w:r>
        <w:rPr>
          <w:rFonts w:hint="eastAsia" w:ascii="宋体" w:hAnsi="宋体" w:eastAsia="宋体" w:cs="宋体"/>
          <w:sz w:val="24"/>
          <w:szCs w:val="24"/>
          <w:highlight w:val="none"/>
        </w:rPr>
        <w:t xml:space="preserve"> </w:t>
      </w:r>
    </w:p>
    <w:p w14:paraId="19E44E2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关于承包人提供的上述文件的使用限制的要求：</w:t>
      </w:r>
      <w:r>
        <w:rPr>
          <w:rFonts w:hint="eastAsia" w:ascii="宋体" w:hAnsi="宋体" w:eastAsia="宋体" w:cs="宋体"/>
          <w:sz w:val="24"/>
          <w:szCs w:val="24"/>
          <w:highlight w:val="none"/>
          <w:u w:val="single"/>
        </w:rPr>
        <w:t>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3A2E266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1.11.4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由承包人承担,费用含在合同价中。 </w:t>
      </w:r>
    </w:p>
    <w:p w14:paraId="09B4E2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1.13工程量清单错误的修正 </w:t>
      </w:r>
    </w:p>
    <w:p w14:paraId="6529190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1.13.1出现工程量清单错误时，是否调整合同价格：</w:t>
      </w:r>
      <w:r>
        <w:rPr>
          <w:rFonts w:hint="eastAsia" w:ascii="宋体" w:hAnsi="宋体" w:eastAsia="宋体" w:cs="宋体"/>
          <w:sz w:val="24"/>
          <w:szCs w:val="24"/>
          <w:highlight w:val="none"/>
          <w:u w:val="single"/>
        </w:rPr>
        <w:t>调整。</w:t>
      </w:r>
    </w:p>
    <w:p w14:paraId="1CDA32D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1.13.2允许调整合同价格的工程量偏差范围： </w:t>
      </w:r>
      <w:r>
        <w:rPr>
          <w:rFonts w:hint="eastAsia" w:ascii="宋体" w:hAnsi="宋体" w:eastAsia="宋体" w:cs="宋体"/>
          <w:sz w:val="24"/>
          <w:szCs w:val="24"/>
          <w:highlight w:val="none"/>
          <w:u w:val="single"/>
        </w:rPr>
        <w:t>(1)工程量清单存在缺项、漏项的；（2)非承包人原因造成的工程变更（含设计变更）或其它不可预见的工程量。</w:t>
      </w:r>
    </w:p>
    <w:p w14:paraId="3281EC7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发包人 </w:t>
      </w:r>
    </w:p>
    <w:p w14:paraId="798C45A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发包人代表 </w:t>
      </w:r>
    </w:p>
    <w:p w14:paraId="7B33BDA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13BEFAE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67D497A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4C5C17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发包人对发包人代表的授权范围如下</w:t>
      </w:r>
      <w:r>
        <w:rPr>
          <w:rFonts w:hint="eastAsia" w:ascii="宋体" w:hAnsi="宋体" w:eastAsia="宋体" w:cs="宋体"/>
          <w:sz w:val="24"/>
          <w:szCs w:val="24"/>
          <w:highlight w:val="none"/>
          <w:u w:val="none"/>
        </w:rPr>
        <w:t>：</w:t>
      </w:r>
      <w:r>
        <w:rPr>
          <w:rFonts w:hint="eastAsia" w:ascii="宋体" w:hAnsi="宋体" w:eastAsia="宋体" w:cs="宋体"/>
          <w:sz w:val="24"/>
          <w:szCs w:val="24"/>
          <w:highlight w:val="none"/>
          <w:u w:val="single"/>
        </w:rPr>
        <w:t>发包人代表负责工程协调管理，按程序办理签证及变更方案实施</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rPr>
        <w:t>确认现场工程量项目、对工程质量、施工进度、造价控制、合同管理、信息管理及组织协调等各方面全面监督和管理</w:t>
      </w:r>
    </w:p>
    <w:p w14:paraId="7D6C568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施工现场、施工条件和基础资料的提供。 </w:t>
      </w:r>
    </w:p>
    <w:p w14:paraId="03167B3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 </w:t>
      </w:r>
    </w:p>
    <w:p w14:paraId="32AA624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关于发包人移交施工现场的期限要求：</w:t>
      </w:r>
      <w:r>
        <w:rPr>
          <w:rFonts w:hint="eastAsia" w:ascii="宋体" w:hAnsi="宋体" w:eastAsia="宋体" w:cs="宋体"/>
          <w:sz w:val="24"/>
          <w:szCs w:val="24"/>
          <w:highlight w:val="none"/>
          <w:u w:val="single"/>
        </w:rPr>
        <w:t>开工前3天提供承包人相应的工作面。</w:t>
      </w:r>
      <w:r>
        <w:rPr>
          <w:rFonts w:hint="eastAsia" w:ascii="宋体" w:hAnsi="宋体" w:eastAsia="宋体" w:cs="宋体"/>
          <w:sz w:val="24"/>
          <w:szCs w:val="24"/>
          <w:highlight w:val="none"/>
        </w:rPr>
        <w:t xml:space="preserve"> </w:t>
      </w:r>
    </w:p>
    <w:p w14:paraId="4B38D7E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 </w:t>
      </w:r>
    </w:p>
    <w:p w14:paraId="56948FE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关于发包人应负责提供施工所需要的条件，包括：</w:t>
      </w:r>
      <w:r>
        <w:rPr>
          <w:rFonts w:hint="eastAsia" w:ascii="宋体" w:hAnsi="宋体" w:eastAsia="宋体" w:cs="宋体"/>
          <w:sz w:val="24"/>
          <w:szCs w:val="24"/>
          <w:highlight w:val="none"/>
          <w:u w:val="single"/>
        </w:rPr>
        <w:t>本工程发包人仅提供临时用水、用电接入口，具体由承包人自行接入到位并单独挂表计量，费用由承包人自行缴纳；施工场地与公共道路的通道开通，开工前由发包人配合承包人进行，费用由承包人负责；开工前 5 天内协调处理施工场地周围地下管线和邻近建筑物、构筑（含文物保护建筑）、古树名木的保护工作，费用由承包人负责。</w:t>
      </w:r>
    </w:p>
    <w:p w14:paraId="01F5A28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资金来源证明及支付担保 </w:t>
      </w:r>
    </w:p>
    <w:p w14:paraId="0E59269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发包人提供资金来源证明的期限要求：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25214C0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发包人是否提供支付担保：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038AF4C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发包人提供支付担保的形式：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56D83C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承包人 </w:t>
      </w:r>
    </w:p>
    <w:p w14:paraId="157C10C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 </w:t>
      </w:r>
    </w:p>
    <w:p w14:paraId="0E1EA9B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承包人提交的竣工资料的内容：</w:t>
      </w:r>
      <w:r>
        <w:rPr>
          <w:rFonts w:hint="eastAsia" w:ascii="宋体" w:hAnsi="宋体" w:eastAsia="宋体" w:cs="宋体"/>
          <w:sz w:val="24"/>
          <w:szCs w:val="24"/>
          <w:highlight w:val="none"/>
          <w:u w:val="single"/>
        </w:rPr>
        <w:t xml:space="preserve">按发包人要求提交全套施工资料及竣工图。 </w:t>
      </w:r>
    </w:p>
    <w:p w14:paraId="1123077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承包人需要提交的竣工资料套数：</w:t>
      </w:r>
      <w:r>
        <w:rPr>
          <w:rFonts w:hint="eastAsia" w:ascii="宋体" w:hAnsi="宋体" w:eastAsia="宋体" w:cs="宋体"/>
          <w:sz w:val="24"/>
          <w:szCs w:val="24"/>
          <w:highlight w:val="none"/>
          <w:u w:val="single"/>
          <w:lang w:val="en-US" w:eastAsia="zh-CN"/>
        </w:rPr>
        <w:t>不少于伍份</w:t>
      </w:r>
      <w:r>
        <w:rPr>
          <w:rFonts w:hint="eastAsia" w:ascii="宋体" w:hAnsi="宋体" w:eastAsia="宋体" w:cs="宋体"/>
          <w:sz w:val="24"/>
          <w:szCs w:val="24"/>
          <w:highlight w:val="none"/>
          <w:u w:val="single"/>
        </w:rPr>
        <w:t>。</w:t>
      </w:r>
    </w:p>
    <w:p w14:paraId="6851C36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承包人提交的竣工资料的费用承担：</w:t>
      </w:r>
      <w:r>
        <w:rPr>
          <w:rFonts w:hint="eastAsia" w:ascii="宋体" w:hAnsi="宋体" w:eastAsia="宋体" w:cs="宋体"/>
          <w:sz w:val="24"/>
          <w:szCs w:val="24"/>
          <w:highlight w:val="none"/>
          <w:u w:val="single"/>
        </w:rPr>
        <w:t>由承包人承担。</w:t>
      </w:r>
      <w:r>
        <w:rPr>
          <w:rFonts w:hint="eastAsia" w:ascii="宋体" w:hAnsi="宋体" w:eastAsia="宋体" w:cs="宋体"/>
          <w:sz w:val="24"/>
          <w:szCs w:val="24"/>
          <w:highlight w:val="none"/>
        </w:rPr>
        <w:t xml:space="preserve"> </w:t>
      </w:r>
    </w:p>
    <w:p w14:paraId="7FDE098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承包人提交的竣工资料移交时间：</w:t>
      </w:r>
      <w:r>
        <w:rPr>
          <w:rFonts w:hint="eastAsia" w:ascii="宋体" w:hAnsi="宋体" w:eastAsia="宋体" w:cs="宋体"/>
          <w:sz w:val="24"/>
          <w:szCs w:val="24"/>
          <w:highlight w:val="none"/>
          <w:u w:val="single"/>
        </w:rPr>
        <w:t>工程竣工验收合格后28日内。</w:t>
      </w:r>
      <w:r>
        <w:rPr>
          <w:rFonts w:hint="eastAsia" w:ascii="宋体" w:hAnsi="宋体" w:eastAsia="宋体" w:cs="宋体"/>
          <w:sz w:val="24"/>
          <w:szCs w:val="24"/>
          <w:highlight w:val="none"/>
        </w:rPr>
        <w:t xml:space="preserve"> </w:t>
      </w:r>
    </w:p>
    <w:p w14:paraId="562126E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承包人提交的竣工资料形式要求：</w:t>
      </w:r>
      <w:r>
        <w:rPr>
          <w:rFonts w:hint="eastAsia" w:ascii="宋体" w:hAnsi="宋体" w:eastAsia="宋体" w:cs="宋体"/>
          <w:sz w:val="24"/>
          <w:szCs w:val="24"/>
          <w:highlight w:val="none"/>
          <w:u w:val="single"/>
        </w:rPr>
        <w:t>书面资料及电子档资料。</w:t>
      </w:r>
      <w:r>
        <w:rPr>
          <w:rFonts w:hint="eastAsia" w:ascii="宋体" w:hAnsi="宋体" w:eastAsia="宋体" w:cs="宋体"/>
          <w:sz w:val="24"/>
          <w:szCs w:val="24"/>
          <w:highlight w:val="none"/>
        </w:rPr>
        <w:t xml:space="preserve"> </w:t>
      </w:r>
    </w:p>
    <w:p w14:paraId="4EB6EC13">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sz w:val="24"/>
          <w:szCs w:val="24"/>
          <w:highlight w:val="none"/>
        </w:rPr>
        <w:t>承包人应履行的其他义务：</w:t>
      </w:r>
      <w:r>
        <w:rPr>
          <w:rFonts w:hint="eastAsia" w:ascii="宋体" w:hAnsi="宋体" w:eastAsia="宋体" w:cs="宋体"/>
          <w:sz w:val="24"/>
          <w:szCs w:val="24"/>
          <w:highlight w:val="none"/>
          <w:u w:val="single"/>
        </w:rPr>
        <w:t>①承担施工安全保卫工作及非夜间施工照明的责任和要求：承包人在各种危险部位设置明显的安全警示标志，安全警示标志必须符合国家标准，如发生安全事故，责任概由承包人承担，并按招标文件的相关约定要求进行处罚。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③已完工程成品保护的特殊要求及费用承担： 已竣工工程未交付发包人之前，负责已完成工程的保护工作，所需费用含在合同价内。④承包人必须对施工场地周围地下管线和邻近建筑物、构筑物进行保护，费用由承包人负责；如因承包人没有及时报告和保护而造成的一切经济损失和法律责任由承包人承担。⑤施工场地清洁卫生的要求：按文明工地标准，施工现场材料堆放要整齐，并有遮盖，不得扬尘，机械停放有序，符合清洁卫生要求，承担因自身原因违反有关规定造成的损失和罚款。⑥双方约定承包人应做的其他工作：施工场地要设立标语、标牌，做到文明施工，树立企业形象，主动接受社会监督和有关部门的管理。⑦承包人在本专业工程竣工验收后七日内拆除所有临时设施，并清运出现场，费用由承包人负责。否则，如发生相关费用由发包人在工程竣工结算价款中扣除。⑧如发包人代扣代缴本工程应由承包人缴纳的各种费用，承包人必须履行发包人要求的各项手续，费用由承包人负责。⑨本工程向建设主管部门办理的工程施工许可手续，由承包人代为办理，发包人协助，费用按规定承担。⑩承包人无条件服从发包人管理工作的要求。自行协调与其它专业工程施工承包人（如有）之间的矛盾，如发生相关费用，由承包人自行承担。</w:t>
      </w:r>
    </w:p>
    <w:p w14:paraId="16C4646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 </w:t>
      </w:r>
    </w:p>
    <w:p w14:paraId="66B8B10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 </w:t>
      </w:r>
    </w:p>
    <w:p w14:paraId="018F534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6C1624B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85B191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4958AC5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104C81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DC9747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7A78B5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3E8EFA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147CFF8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050033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承包人对项目经理的授权范围如下：</w:t>
      </w:r>
      <w:r>
        <w:rPr>
          <w:rFonts w:hint="eastAsia" w:ascii="宋体" w:hAnsi="宋体" w:eastAsia="宋体" w:cs="宋体"/>
          <w:sz w:val="24"/>
          <w:szCs w:val="24"/>
          <w:highlight w:val="none"/>
          <w:u w:val="single"/>
        </w:rPr>
        <w:t xml:space="preserve">具体负责本项目施工管理和合同履行。 </w:t>
      </w:r>
    </w:p>
    <w:p w14:paraId="34FDCE4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关于项目经理每月在施工现场的时间要求：</w:t>
      </w:r>
      <w:r>
        <w:rPr>
          <w:rFonts w:hint="eastAsia" w:ascii="宋体" w:hAnsi="宋体" w:eastAsia="宋体" w:cs="宋体"/>
          <w:sz w:val="24"/>
          <w:szCs w:val="24"/>
          <w:highlight w:val="none"/>
          <w:u w:val="single"/>
        </w:rPr>
        <w:t xml:space="preserve"> 该工程施工过程中项目经理和签订合同前经发包人及主管部门认定的项目部其他人员必须常驻现场实施施工管理。</w:t>
      </w:r>
      <w:r>
        <w:rPr>
          <w:rFonts w:hint="eastAsia" w:ascii="宋体" w:hAnsi="宋体" w:eastAsia="宋体" w:cs="宋体"/>
          <w:sz w:val="24"/>
          <w:szCs w:val="24"/>
          <w:highlight w:val="none"/>
        </w:rPr>
        <w:t xml:space="preserve"> </w:t>
      </w:r>
    </w:p>
    <w:p w14:paraId="4D538C3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承包人未提交劳动合同，以及没有为项目经理缴纳社会保险证明的违约责任：</w:t>
      </w:r>
      <w:r>
        <w:rPr>
          <w:rFonts w:hint="eastAsia" w:ascii="宋体" w:hAnsi="宋体" w:eastAsia="宋体" w:cs="宋体"/>
          <w:sz w:val="24"/>
          <w:szCs w:val="24"/>
          <w:highlight w:val="none"/>
          <w:u w:val="single"/>
        </w:rPr>
        <w:t>按通用条款。</w:t>
      </w:r>
      <w:r>
        <w:rPr>
          <w:rFonts w:hint="eastAsia" w:ascii="宋体" w:hAnsi="宋体" w:eastAsia="宋体" w:cs="宋体"/>
          <w:sz w:val="24"/>
          <w:szCs w:val="24"/>
          <w:highlight w:val="none"/>
        </w:rPr>
        <w:t xml:space="preserve"> </w:t>
      </w:r>
    </w:p>
    <w:p w14:paraId="48543FB0">
      <w:pPr>
        <w:keepNext w:val="0"/>
        <w:keepLines w:val="0"/>
        <w:pageBreakBefore w:val="0"/>
        <w:widowControl w:val="0"/>
        <w:shd w:val="clear" w:color="auto" w:fill="FFFFFF"/>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项目负责人每月在工地现场的时间不少于本月施工时间的80％</w:t>
      </w:r>
      <w:r>
        <w:rPr>
          <w:rFonts w:hint="eastAsia" w:ascii="宋体" w:hAnsi="宋体" w:eastAsia="宋体" w:cs="宋体"/>
          <w:color w:val="auto"/>
          <w:sz w:val="24"/>
          <w:szCs w:val="24"/>
          <w:highlight w:val="none"/>
          <w:u w:val="single"/>
          <w:lang w:eastAsia="zh-CN"/>
        </w:rPr>
        <w:t>，</w:t>
      </w:r>
      <w:r>
        <w:rPr>
          <w:rFonts w:hint="eastAsia" w:ascii="宋体" w:hAnsi="宋体" w:eastAsia="宋体" w:cs="宋体"/>
          <w:sz w:val="24"/>
          <w:szCs w:val="24"/>
          <w:highlight w:val="none"/>
          <w:u w:val="single"/>
        </w:rPr>
        <w:t>中途项目经理需离岗必须履行书面请假手续并经发包人同意。未经发包人同意擅自离岗的，将处以每人每天（以8小时为1天）或每次5000元的违约金，所扣违约金在支付工程款时，从应付的工程款中扣除。若擅自离岗累计达7次或累计达7天的，经发包人提出仍未改正的，发包人有权终止合同并没收承包人缴纳的全部履约保证金，因此给发包人造成损失的，发包人将依法追偿。</w:t>
      </w:r>
    </w:p>
    <w:p w14:paraId="4451CFF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3.2.3 承包人擅自更换项目经理的违约责任：</w:t>
      </w:r>
      <w:r>
        <w:rPr>
          <w:rFonts w:hint="eastAsia" w:ascii="宋体" w:hAnsi="宋体" w:eastAsia="宋体" w:cs="宋体"/>
          <w:sz w:val="24"/>
          <w:szCs w:val="24"/>
          <w:highlight w:val="none"/>
          <w:u w:val="single"/>
        </w:rPr>
        <w:t xml:space="preserve">未经发包人同意，发包人可中止合同 </w:t>
      </w:r>
    </w:p>
    <w:p w14:paraId="547B5CB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3.2.4 承包人无正当理由拒绝更换项目经理的违约责任：</w:t>
      </w:r>
      <w:r>
        <w:rPr>
          <w:rFonts w:hint="eastAsia" w:ascii="宋体" w:hAnsi="宋体" w:eastAsia="宋体" w:cs="宋体"/>
          <w:sz w:val="24"/>
          <w:szCs w:val="24"/>
          <w:highlight w:val="none"/>
          <w:u w:val="single"/>
        </w:rPr>
        <w:t xml:space="preserve">发包人将有权终止合同并没收全部履约保证金，并将依法追偿由此给发包人造成的直接和间接损失。 </w:t>
      </w:r>
    </w:p>
    <w:p w14:paraId="6C5F42E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 </w:t>
      </w:r>
    </w:p>
    <w:p w14:paraId="1B621BA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3.3.1 承包人提交项目管理机构及施工现场管理人员安排报告的期限：</w:t>
      </w:r>
      <w:r>
        <w:rPr>
          <w:rFonts w:hint="eastAsia" w:ascii="宋体" w:hAnsi="宋体" w:eastAsia="宋体" w:cs="宋体"/>
          <w:sz w:val="24"/>
          <w:szCs w:val="24"/>
          <w:highlight w:val="none"/>
          <w:u w:val="single"/>
        </w:rPr>
        <w:t xml:space="preserve">进场3日内。 </w:t>
      </w:r>
    </w:p>
    <w:p w14:paraId="356A886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3.3.3 承包人无正当理由拒绝撤换主要施工管理人员的违约责任：</w:t>
      </w:r>
      <w:r>
        <w:rPr>
          <w:rFonts w:hint="eastAsia" w:ascii="宋体" w:hAnsi="宋体" w:eastAsia="宋体" w:cs="宋体"/>
          <w:sz w:val="24"/>
          <w:szCs w:val="24"/>
          <w:highlight w:val="none"/>
          <w:u w:val="single"/>
        </w:rPr>
        <w:t xml:space="preserve">发包人有权终止合同同时没收全部履约保证金,并依法追偿由此给发包人造成的直接和间接损失。 </w:t>
      </w:r>
    </w:p>
    <w:p w14:paraId="2BB272A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3.3.4 承包人主要施工管理人员离开施工现场的批准要求：</w:t>
      </w:r>
      <w:r>
        <w:rPr>
          <w:rFonts w:hint="eastAsia" w:ascii="宋体" w:hAnsi="宋体" w:eastAsia="宋体" w:cs="宋体"/>
          <w:sz w:val="24"/>
          <w:szCs w:val="24"/>
          <w:highlight w:val="none"/>
          <w:u w:val="single"/>
        </w:rPr>
        <w:t xml:space="preserve">中途施工管理人员需离岗必须履行书面请假手续并经发包人同意。 </w:t>
      </w:r>
    </w:p>
    <w:p w14:paraId="0105999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3.3.5承包人擅自更换主要施工管理人员的违约责任：</w:t>
      </w:r>
      <w:r>
        <w:rPr>
          <w:rFonts w:hint="eastAsia" w:ascii="宋体" w:hAnsi="宋体" w:eastAsia="宋体" w:cs="宋体"/>
          <w:sz w:val="24"/>
          <w:szCs w:val="24"/>
          <w:highlight w:val="none"/>
          <w:u w:val="single"/>
        </w:rPr>
        <w:t>未经发包人同意，发包人可中止合同。</w:t>
      </w:r>
      <w:r>
        <w:rPr>
          <w:rFonts w:hint="eastAsia" w:ascii="宋体" w:hAnsi="宋体" w:eastAsia="宋体" w:cs="宋体"/>
          <w:sz w:val="24"/>
          <w:szCs w:val="24"/>
          <w:highlight w:val="none"/>
        </w:rPr>
        <w:t xml:space="preserve"> </w:t>
      </w:r>
    </w:p>
    <w:p w14:paraId="44AEE27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3.3.6承包人主要施工管理人员擅自离开施工现场的违约责任：</w:t>
      </w:r>
      <w:r>
        <w:rPr>
          <w:rFonts w:hint="eastAsia" w:ascii="宋体" w:hAnsi="宋体" w:eastAsia="宋体" w:cs="宋体"/>
          <w:sz w:val="24"/>
          <w:szCs w:val="24"/>
          <w:highlight w:val="none"/>
          <w:u w:val="single"/>
        </w:rPr>
        <w:t>若未经发包人同意而擅自离岗的，将处以每人每天</w:t>
      </w:r>
      <w:r>
        <w:rPr>
          <w:rFonts w:hint="eastAsia" w:ascii="宋体" w:hAnsi="宋体" w:eastAsia="宋体" w:cs="宋体"/>
          <w:sz w:val="24"/>
          <w:szCs w:val="24"/>
          <w:highlight w:val="none"/>
          <w:u w:val="single"/>
          <w:lang w:val="en-US" w:eastAsia="zh-CN"/>
        </w:rPr>
        <w:t>2</w:t>
      </w:r>
      <w:r>
        <w:rPr>
          <w:rFonts w:hint="eastAsia" w:ascii="宋体" w:hAnsi="宋体" w:eastAsia="宋体" w:cs="宋体"/>
          <w:sz w:val="24"/>
          <w:szCs w:val="24"/>
          <w:highlight w:val="none"/>
          <w:u w:val="single"/>
        </w:rPr>
        <w:t>000元的违约金，在支付工程款时从应付的工程款中扣除。若擅自离岗连续达2天以上的，经发包人提出仍未改正的，发包人有权终止合同，因此给发包人造成损失的，发包人将依法追偿。</w:t>
      </w:r>
    </w:p>
    <w:p w14:paraId="536A134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注：工程项目部管理人员必须严格按招投标文件要求及时配备到位。所有人员有持证要求的必须持证上 岗，在项目经理的统一领导下，尽心尽职地做好本职工作。如不能胜任工作的，发包人将有权建议更换 ，直到更换至能胜任现场管理工作为止。</w:t>
      </w:r>
    </w:p>
    <w:p w14:paraId="5072E83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分包 </w:t>
      </w:r>
    </w:p>
    <w:p w14:paraId="3892224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3.5.1 分包的一般约定 </w:t>
      </w:r>
    </w:p>
    <w:p w14:paraId="1603E1D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禁止分包的工程包括：</w:t>
      </w:r>
      <w:r>
        <w:rPr>
          <w:rFonts w:hint="eastAsia" w:ascii="宋体" w:hAnsi="宋体" w:eastAsia="宋体" w:cs="宋体"/>
          <w:sz w:val="24"/>
          <w:szCs w:val="24"/>
          <w:highlight w:val="none"/>
          <w:u w:val="single"/>
        </w:rPr>
        <w:t>本工程不允许分包、转包。</w:t>
      </w:r>
      <w:r>
        <w:rPr>
          <w:rFonts w:hint="eastAsia" w:ascii="宋体" w:hAnsi="宋体" w:eastAsia="宋体" w:cs="宋体"/>
          <w:sz w:val="24"/>
          <w:szCs w:val="24"/>
          <w:highlight w:val="none"/>
        </w:rPr>
        <w:t xml:space="preserve"> </w:t>
      </w:r>
    </w:p>
    <w:p w14:paraId="3AC7DAB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主体结构、关键性工作的范围：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51ACE4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3.5.2分包的确定 </w:t>
      </w:r>
    </w:p>
    <w:p w14:paraId="0047701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允许分包的专业工程包括：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7EB5994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26139A9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 </w:t>
      </w:r>
    </w:p>
    <w:p w14:paraId="576A9F2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关于分包合同价款支付的约定：</w:t>
      </w:r>
      <w:r>
        <w:rPr>
          <w:rFonts w:hint="eastAsia" w:ascii="宋体" w:hAnsi="宋体" w:eastAsia="宋体" w:cs="宋体"/>
          <w:sz w:val="24"/>
          <w:szCs w:val="24"/>
          <w:highlight w:val="none"/>
          <w:u w:val="single"/>
        </w:rPr>
        <w:t>按分包合同约定。</w:t>
      </w:r>
      <w:r>
        <w:rPr>
          <w:rFonts w:hint="eastAsia" w:ascii="宋体" w:hAnsi="宋体" w:eastAsia="宋体" w:cs="宋体"/>
          <w:sz w:val="24"/>
          <w:szCs w:val="24"/>
          <w:highlight w:val="none"/>
        </w:rPr>
        <w:t xml:space="preserve"> </w:t>
      </w:r>
    </w:p>
    <w:p w14:paraId="7BDBFFB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 </w:t>
      </w:r>
    </w:p>
    <w:p w14:paraId="08C2085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承包人负责照管工程及工程相关的材料、工程设备的起始时间：</w:t>
      </w:r>
      <w:r>
        <w:rPr>
          <w:rFonts w:hint="eastAsia" w:ascii="宋体" w:hAnsi="宋体" w:eastAsia="宋体" w:cs="宋体"/>
          <w:sz w:val="24"/>
          <w:szCs w:val="24"/>
          <w:highlight w:val="none"/>
          <w:u w:val="single"/>
        </w:rPr>
        <w:t>进场直至施工完成交付使用，费用由承包人承担</w:t>
      </w:r>
      <w:r>
        <w:rPr>
          <w:rFonts w:hint="eastAsia" w:ascii="宋体" w:hAnsi="宋体" w:eastAsia="宋体" w:cs="宋体"/>
          <w:sz w:val="24"/>
          <w:szCs w:val="24"/>
          <w:highlight w:val="none"/>
        </w:rPr>
        <w:t xml:space="preserve">。 </w:t>
      </w:r>
    </w:p>
    <w:p w14:paraId="7E877BF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履约担保 </w:t>
      </w:r>
    </w:p>
    <w:p w14:paraId="21D3E12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承包人是否提供履约担保：</w:t>
      </w:r>
      <w:r>
        <w:rPr>
          <w:rFonts w:hint="eastAsia" w:ascii="宋体" w:hAnsi="宋体" w:eastAsia="宋体" w:cs="宋体"/>
          <w:sz w:val="24"/>
          <w:szCs w:val="24"/>
          <w:highlight w:val="none"/>
          <w:u w:val="single"/>
        </w:rPr>
        <w:t>是</w:t>
      </w:r>
      <w:r>
        <w:rPr>
          <w:rFonts w:hint="eastAsia" w:ascii="宋体" w:hAnsi="宋体" w:eastAsia="宋体" w:cs="宋体"/>
          <w:sz w:val="24"/>
          <w:szCs w:val="24"/>
          <w:highlight w:val="none"/>
        </w:rPr>
        <w:t xml:space="preserve">。 </w:t>
      </w:r>
    </w:p>
    <w:p w14:paraId="1330F60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3.7.1乙方交纳人民币（大写）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圆整（¥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元）作为本合同的履约保证金（合同金额的10%）；于合同履行完毕后同合同款一起无息退还。引用盐城信用办推行的第三方信用报告，AAA的供应商免交履约保证金，AA的供应商按一半金额缴纳(需提供信用管理部门备案的第三方信用报告)。</w:t>
      </w:r>
    </w:p>
    <w:p w14:paraId="2DDA91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3.7.2确需收取履约保证金的，履约保证金的缴纳形式：</w:t>
      </w:r>
    </w:p>
    <w:p w14:paraId="0B1BE45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64707D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3.7.2.2 如以履约保函（保险）形式缴纳履约保证金，供应商可通过政府采购电子履约保函（保险）平台（www.jsdzbh.com）在线申请履约保函（保险）。</w:t>
      </w:r>
    </w:p>
    <w:p w14:paraId="7F6793D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3.7.3合同履行结束后，甲方应及时退还交纳的履约保证金。</w:t>
      </w:r>
    </w:p>
    <w:p w14:paraId="67795C8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3.7.4履约保证金的退还：</w:t>
      </w:r>
    </w:p>
    <w:p w14:paraId="2B5CDBB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3.7.4.1方式：无息退还至投标人缴纳履约保证金的账户。如为保函，在到期时自行失效。</w:t>
      </w:r>
    </w:p>
    <w:p w14:paraId="3A6861C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3.7.4.2时间：验收合格且采购人收到发票后30日内。</w:t>
      </w:r>
    </w:p>
    <w:p w14:paraId="7A1F886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3.7.4.3条件：按合同要求全部履约完成并经采购人验收合格，且采购人收到中标人出具的发票。</w:t>
      </w:r>
    </w:p>
    <w:p w14:paraId="337C619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3.7.4.4不予退还情形：</w:t>
      </w:r>
    </w:p>
    <w:p w14:paraId="34E28B2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除不可抗力情况外，投标人出现下列情形之一的，其履约保证金，招标人将视情节决定不予退还或部分不予退还。</w:t>
      </w:r>
    </w:p>
    <w:p w14:paraId="09BF3BB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（1）中标人无正当理由拒绝签订合同的，或者在签订合同时向采购人提出附加条件或者更改合同实质性内容要求的；</w:t>
      </w:r>
    </w:p>
    <w:p w14:paraId="5084EDB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（2）中标人不履行与采购人订立的合同的；</w:t>
      </w:r>
    </w:p>
    <w:p w14:paraId="507B71C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（3）中标人所供货物或服务不符合招标文件规定要求的；</w:t>
      </w:r>
    </w:p>
    <w:p w14:paraId="230E569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（4）中标人采取欺骗、弄虚作假方式投标的或与其它投标人串通投标的；</w:t>
      </w:r>
    </w:p>
    <w:p w14:paraId="169A2EB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（5）中标人将合同内容转包、违法分包的；</w:t>
      </w:r>
    </w:p>
    <w:p w14:paraId="1C35827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（6）中标人故意捏造事实或伪造证明材料，进行虚假恶意投诉或反映的。</w:t>
      </w:r>
    </w:p>
    <w:p w14:paraId="5EB8FA2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sz w:val="24"/>
          <w:szCs w:val="24"/>
          <w:highlight w:val="none"/>
          <w:lang w:val="en-US" w:eastAsia="zh-CN"/>
        </w:rPr>
        <w:t>3.7.4.5逾期退还的违约责任：采购人逾期无故未退还履约保证金的，按中国人民银行同期贷款基准利率上浮20%</w:t>
      </w:r>
      <w:r>
        <w:rPr>
          <w:rFonts w:hint="eastAsia" w:ascii="宋体" w:hAnsi="宋体" w:eastAsia="宋体" w:cs="宋体"/>
          <w:color w:val="000000"/>
          <w:kern w:val="0"/>
          <w:sz w:val="24"/>
          <w:szCs w:val="24"/>
          <w:highlight w:val="none"/>
          <w:lang w:val="en-US" w:eastAsia="zh-CN" w:bidi="ar-SA"/>
        </w:rPr>
        <w:t>后的利率支付超期资金占用费，但因供应商自身原因导致无法及时退还的除外。</w:t>
      </w:r>
    </w:p>
    <w:p w14:paraId="625125D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监理人 </w:t>
      </w:r>
    </w:p>
    <w:p w14:paraId="2248E0A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4.1监理人的一般规定 </w:t>
      </w:r>
    </w:p>
    <w:p w14:paraId="64BFBA6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关于监理人的监理内容：</w:t>
      </w:r>
      <w:r>
        <w:rPr>
          <w:rFonts w:hint="eastAsia" w:ascii="宋体" w:hAnsi="宋体" w:eastAsia="宋体" w:cs="宋体"/>
          <w:sz w:val="24"/>
          <w:szCs w:val="24"/>
          <w:highlight w:val="none"/>
          <w:u w:val="single"/>
        </w:rPr>
        <w:t>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eastAsia="宋体" w:cs="宋体"/>
          <w:sz w:val="24"/>
          <w:szCs w:val="24"/>
          <w:highlight w:val="none"/>
        </w:rPr>
        <w:t>。</w:t>
      </w:r>
    </w:p>
    <w:p w14:paraId="6BB96A5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关于监理人的监理权限：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712F4CB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关于监理人在施工现场的办公场所、生活场所的提供和费用承担的约定：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200148E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监理人员 </w:t>
      </w:r>
    </w:p>
    <w:p w14:paraId="368D2D1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总监理工程师： </w:t>
      </w:r>
    </w:p>
    <w:p w14:paraId="7C55114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F67974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535EE5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监理工程师执业资格证书号：</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294440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5CDC172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电子信箱：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4F40F1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通信地址：</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470EAEF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 </w:t>
      </w:r>
    </w:p>
    <w:p w14:paraId="1D6B03E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 商定或确定 </w:t>
      </w:r>
    </w:p>
    <w:p w14:paraId="00F13A0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在发包人和承包人不能通过协商达成一致意见时，发包人授权监理人对以下事项进行确定：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66086B6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工程质量 </w:t>
      </w:r>
    </w:p>
    <w:p w14:paraId="77CB770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 质量要求：国家“合格”标准。</w:t>
      </w:r>
    </w:p>
    <w:p w14:paraId="43EB3DB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5.1.1 特殊质量标准和要求： </w:t>
      </w:r>
    </w:p>
    <w:p w14:paraId="3E3402B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本工程质量标准为国家“合格”标准，并通过相关主管部门验收。若一次性验收不合格者，承包人须无条件整改达到承诺的质量标准及目标并承担相应的费用，由此造成的工期延误将不予顺延，承包人还将承担给发包人造成的实际经济损失。施工中发生严重的质量问题承包人必须同时向发包人承担承包范围内工程总造价3%的违约金。由此造成的工期延误将不予顺延，给发包人造成实际损失的还将承担经济赔偿责任。同时，承包人必须无偿整改达到承诺质量标准，保证工程按期交付使用。</w:t>
      </w:r>
    </w:p>
    <w:p w14:paraId="6C0B3EC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承包人须严格按照招标文件技术要求、质量标准、验收规范等组织施工，接受发包人的检查。若发生工序、检验批等验收不符合质量目标要求的，每发生一次接受发包人以每次不少于2000元的经济处罚，相关费用直接从工程款中扣除。若发生分项工程验收不符合质量目标要求的，每发生一次接受发包人以每次不少于3000元的经济处罚，相关费用直接从工程款中扣除。若发生分部工程验收不符合质量目标要求的，每发生一次接受发包人以每次不少于5000元的经济处罚，相关费用直接从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按实际发生的费用的1.5倍从承包人的工程款中扣除。拒不整改的发包人有权终止施工合同，已经发生的合格工作量按照70%结算。</w:t>
      </w:r>
    </w:p>
    <w:p w14:paraId="0F3F8F9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承包人须按法律法规及相关规定要求将建筑材料、试件及有关材料等送有相应资质的检测单位检测，承包人最终将凭具有相应资质的检测单位出具的检测报告作为对工程质量评定的依据。对关键部位、关键工序及隐蔽部位须按相关规定要求报质量监督部门验收，并出具合格的质量监督证明，否则发包人不予认可。非发包人原因，质量整改所发生的费用不予增加。</w:t>
      </w:r>
    </w:p>
    <w:p w14:paraId="736C377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为保证工程质量，发包人有权要求承包人提供材料样品，承包人必须无条件配合（相关费用已在投标报价中综合考虑），材料样品经发包人书面确认后方可进场施工。如承包人施工质量达不到发包人要求，承包人须无条件整改到位，若整改后仍达不到发包人要求的，发包人有权清退承包人，已完工程量按对应合同价款 70%结算，同时由此造成的损失均由承包人承担。</w:t>
      </w:r>
    </w:p>
    <w:p w14:paraId="6EBEB0C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关于工程奖项的约定：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403EB57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隐蔽工程检查 </w:t>
      </w:r>
    </w:p>
    <w:p w14:paraId="7D6BA06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5.3.2承包人提前通知监理人隐蔽工程检查的期限的约定：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4FC3F93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监理人不能按时进行检查时，应提前</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小时提交书面延期要求。 </w:t>
      </w:r>
    </w:p>
    <w:p w14:paraId="0AF86D5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关于延期最长不得超过：</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小时。 </w:t>
      </w:r>
    </w:p>
    <w:p w14:paraId="5094D78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 </w:t>
      </w:r>
    </w:p>
    <w:p w14:paraId="21C5CAB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 </w:t>
      </w:r>
    </w:p>
    <w:p w14:paraId="5BB8AE4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6.1.1 项目安全生产的达标目标及相应事项的约定：</w:t>
      </w:r>
    </w:p>
    <w:p w14:paraId="1BFB87E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1、承包人必须遵守江苏省建设厅及盐城市建设主管部门颁布的《建设工程施工安全管理规定》和《建设工程文明施工管理规定》。</w:t>
      </w:r>
    </w:p>
    <w:p w14:paraId="2B4B5FE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2、承包人进场后，必须服从发包人对施工场地总平面的规划，服从发包人的统一调度和指挥。如出现不服从管理和下列现象的，发包人将视情节轻重认定承包人是否违约，并根据情况要求承包人承担违约责任，支付违约金。</w:t>
      </w:r>
    </w:p>
    <w:p w14:paraId="365A9EA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p>
    <w:p w14:paraId="566F64F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4、本工程</w:t>
      </w:r>
      <w:r>
        <w:rPr>
          <w:rFonts w:hint="eastAsia" w:ascii="宋体" w:hAnsi="宋体" w:eastAsia="宋体" w:cs="宋体"/>
          <w:kern w:val="2"/>
          <w:sz w:val="24"/>
          <w:szCs w:val="24"/>
          <w:highlight w:val="none"/>
          <w:u w:val="single"/>
          <w:lang w:val="en-US" w:eastAsia="zh-CN" w:bidi="ar-SA"/>
        </w:rPr>
        <w:t>要求危险作业（包括动火）必须安排专门人员进行现场安全管理。特种作业人员未持证上岗或未安排现场安全管理，将对承包人进行处罚每次3000元的罚金。</w:t>
      </w:r>
    </w:p>
    <w:p w14:paraId="376B38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5</w:t>
      </w:r>
      <w:r>
        <w:rPr>
          <w:rFonts w:hint="eastAsia" w:ascii="宋体" w:hAnsi="宋体" w:eastAsia="宋体" w:cs="宋体"/>
          <w:sz w:val="24"/>
          <w:szCs w:val="24"/>
          <w:highlight w:val="none"/>
          <w:u w:val="single"/>
        </w:rPr>
        <w:t>、本工程施工期间发生的一切安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p>
    <w:p w14:paraId="5D6E1FA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val="en-US" w:eastAsia="zh-CN"/>
        </w:rPr>
        <w:t>6</w:t>
      </w:r>
      <w:r>
        <w:rPr>
          <w:rFonts w:hint="eastAsia" w:ascii="宋体" w:hAnsi="宋体" w:eastAsia="宋体" w:cs="宋体"/>
          <w:sz w:val="24"/>
          <w:szCs w:val="24"/>
          <w:highlight w:val="none"/>
          <w:u w:val="single"/>
        </w:rPr>
        <w:t>、施工过程中如遇地下管线、电缆等破坏修复费用、施工过程中及保修期内未及时修复而发生的一切安全责任，均由施工方自行承担。</w:t>
      </w:r>
    </w:p>
    <w:p w14:paraId="7B7AB2B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7</w:t>
      </w:r>
      <w:r>
        <w:rPr>
          <w:rFonts w:hint="eastAsia" w:ascii="宋体" w:hAnsi="宋体" w:eastAsia="宋体" w:cs="宋体"/>
          <w:sz w:val="24"/>
          <w:szCs w:val="24"/>
          <w:highlight w:val="none"/>
          <w:u w:val="single"/>
        </w:rPr>
        <w:t>、承包人应保障施工现场过往车辆及行人的安全，对安全生产负全责。</w:t>
      </w:r>
    </w:p>
    <w:p w14:paraId="2B7DD72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.1.4 关于治安保卫的特别约定：</w:t>
      </w:r>
      <w:r>
        <w:rPr>
          <w:rFonts w:hint="eastAsia" w:ascii="宋体" w:hAnsi="宋体" w:eastAsia="宋体" w:cs="宋体"/>
          <w:sz w:val="24"/>
          <w:szCs w:val="24"/>
          <w:highlight w:val="none"/>
          <w:u w:val="single"/>
        </w:rPr>
        <w:t xml:space="preserve">  按通用条款  </w:t>
      </w:r>
      <w:r>
        <w:rPr>
          <w:rFonts w:hint="eastAsia" w:ascii="宋体" w:hAnsi="宋体" w:eastAsia="宋体" w:cs="宋体"/>
          <w:sz w:val="24"/>
          <w:szCs w:val="24"/>
          <w:highlight w:val="none"/>
        </w:rPr>
        <w:t>。</w:t>
      </w:r>
    </w:p>
    <w:p w14:paraId="7413056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关于编制施工场地治安管理计划的约定：</w:t>
      </w:r>
      <w:r>
        <w:rPr>
          <w:rFonts w:hint="eastAsia" w:ascii="宋体" w:hAnsi="宋体" w:eastAsia="宋体" w:cs="宋体"/>
          <w:sz w:val="24"/>
          <w:szCs w:val="24"/>
          <w:highlight w:val="none"/>
          <w:u w:val="single"/>
        </w:rPr>
        <w:t xml:space="preserve">  按通用条款  </w:t>
      </w:r>
      <w:r>
        <w:rPr>
          <w:rFonts w:hint="eastAsia" w:ascii="宋体" w:hAnsi="宋体" w:eastAsia="宋体" w:cs="宋体"/>
          <w:sz w:val="24"/>
          <w:szCs w:val="24"/>
          <w:highlight w:val="none"/>
        </w:rPr>
        <w:t>。</w:t>
      </w:r>
    </w:p>
    <w:p w14:paraId="01BE278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.1.5 文明施工 </w:t>
      </w:r>
    </w:p>
    <w:p w14:paraId="4458BD7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合同当事人对文明施工的要求： </w:t>
      </w:r>
    </w:p>
    <w:p w14:paraId="14A0F51E">
      <w:pPr>
        <w:pageBreakBefore w:val="0"/>
        <w:widowControl/>
        <w:numPr>
          <w:ilvl w:val="0"/>
          <w:numId w:val="6"/>
        </w:numPr>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施工现场应在适当位置悬挂施工标准和文明施工标语，危险区域应当设置危险警示标牌和警示灯。现场围护要求坚固、稳定、整洁、美观，施工现场车辆应当采取有效措施，确保不污染道路和环境，发包人有权监督承包人的文明施工措施按照相关管理规定实施到位。由于承包人疏于采取文明施工措施所造成的必要费用的支出，应由承包人支付，承包人未支付或迟延支付的，发包人可从履约保证金或到期工程款中予以扣除。 </w:t>
      </w:r>
    </w:p>
    <w:p w14:paraId="2AAD1B17">
      <w:pPr>
        <w:keepNext w:val="0"/>
        <w:keepLines w:val="0"/>
        <w:pageBreakBefore w:val="0"/>
        <w:widowControl/>
        <w:numPr>
          <w:ilvl w:val="0"/>
          <w:numId w:val="0"/>
        </w:numPr>
        <w:kinsoku/>
        <w:wordWrap/>
        <w:overflowPunct/>
        <w:topLinePunct w:val="0"/>
        <w:autoSpaceDE/>
        <w:autoSpaceDN/>
        <w:bidi w:val="0"/>
        <w:adjustRightInd/>
        <w:snapToGrid/>
        <w:spacing w:line="460" w:lineRule="exact"/>
        <w:ind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（2）承包人在施工中污染周围环境、施工噪音干扰他人等所引起的政府职能部门罚款或停工整改或引起周围居民纠纷和索赔时，其所有发生的费用与损失将全部由承包人自行承担。</w:t>
      </w:r>
    </w:p>
    <w:p w14:paraId="3189037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承包人应负责整个场地的安全文明卫生管理,做到文明施工、保持施工场地清洁。本工程所有施工建筑垃圾均应全部清运出现场。服从发包人及相关主管部门的管理要求，主动协调、解决问题，若在施工期间出现因场地不清洁、交通不畅等违反文明施工管理规定的情况，所发生的一切费用均由承包人承担，同时还需接受发包人每次3000元的罚金。承包人必须遵守江苏省建设厅及盐城市建设主管部门颁布的《建设工程施工安全管理规定》和《建设工程文明施工管理规定》。 </w:t>
      </w:r>
    </w:p>
    <w:p w14:paraId="37FC6DA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rPr>
        <w:t xml:space="preserve">（4）发包人将定期对承包人的施工质量、安全、文明施工进行检查，如发现工程现场及生活区内安全、文明施工管理较差的，有权要求承包人整改并通报批评，如发生二次通报批评情况，可按照合同总价0.1%对承包人处以违约金。 </w:t>
      </w:r>
    </w:p>
    <w:p w14:paraId="4CB5D9E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（5）严禁在施工现场焚烧垃圾</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乱扔烟头，</w:t>
      </w:r>
      <w:r>
        <w:rPr>
          <w:rFonts w:hint="eastAsia" w:ascii="宋体" w:hAnsi="宋体" w:eastAsia="宋体" w:cs="宋体"/>
          <w:sz w:val="24"/>
          <w:szCs w:val="24"/>
          <w:highlight w:val="none"/>
          <w:u w:val="single"/>
        </w:rPr>
        <w:t xml:space="preserve">如发现一次, 可按照合同总价0.2%对承包人处以违约金。进入施工现场的所有施工人员必须带好安全帽,如发现有一人次进入施工现场未带安全帽, 发包人则按50 元/人次对承包人处以违约金,如一天发现3人以上进入施工现场未带安全帽, 发包人则按200元/人次对承包人处以违约金。 </w:t>
      </w:r>
    </w:p>
    <w:p w14:paraId="7830BF7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（6）承包人不得在施工现场发生打架、斗殴、偷窃行为，发生一次，发包人可对承包人处</w:t>
      </w:r>
      <w:r>
        <w:rPr>
          <w:rFonts w:hint="eastAsia" w:ascii="宋体" w:hAnsi="宋体" w:eastAsia="宋体" w:cs="宋体"/>
          <w:sz w:val="24"/>
          <w:szCs w:val="24"/>
          <w:highlight w:val="none"/>
          <w:u w:val="single"/>
          <w:lang w:val="en-US" w:eastAsia="zh-CN"/>
        </w:rPr>
        <w:t>5</w:t>
      </w:r>
      <w:r>
        <w:rPr>
          <w:rFonts w:hint="eastAsia" w:ascii="宋体" w:hAnsi="宋体" w:eastAsia="宋体" w:cs="宋体"/>
          <w:sz w:val="24"/>
          <w:szCs w:val="24"/>
          <w:highlight w:val="none"/>
          <w:u w:val="single"/>
        </w:rPr>
        <w:t xml:space="preserve">000元/次违约金。 </w:t>
      </w:r>
    </w:p>
    <w:p w14:paraId="4795866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p>
    <w:p w14:paraId="7857975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8）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eastAsia="宋体" w:cs="宋体"/>
          <w:sz w:val="24"/>
          <w:szCs w:val="24"/>
          <w:highlight w:val="none"/>
        </w:rPr>
        <w:t xml:space="preserve">。  </w:t>
      </w:r>
    </w:p>
    <w:p w14:paraId="7AC6244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.1.6 关于安全文明施工费支付比例和支付期限的约定：</w:t>
      </w:r>
      <w:r>
        <w:rPr>
          <w:rFonts w:hint="eastAsia" w:ascii="宋体" w:hAnsi="宋体" w:eastAsia="宋体" w:cs="宋体"/>
          <w:sz w:val="24"/>
          <w:szCs w:val="24"/>
          <w:highlight w:val="none"/>
          <w:u w:val="single"/>
        </w:rPr>
        <w:t xml:space="preserve">本工程安全文明施工费不单独支付，包含在工程款中支付。 </w:t>
      </w:r>
    </w:p>
    <w:p w14:paraId="22F7A5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 工期和进度 </w:t>
      </w:r>
    </w:p>
    <w:p w14:paraId="601D844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.1 施工组织设计 </w:t>
      </w:r>
    </w:p>
    <w:p w14:paraId="11E0FD0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.1.1 合同当事人约定的施工组织设计应包括的其他内容：</w:t>
      </w:r>
      <w:r>
        <w:rPr>
          <w:rFonts w:hint="eastAsia" w:ascii="宋体" w:hAnsi="宋体" w:eastAsia="宋体" w:cs="宋体"/>
          <w:sz w:val="24"/>
          <w:szCs w:val="24"/>
          <w:highlight w:val="none"/>
          <w:u w:val="single"/>
        </w:rPr>
        <w:t>（1）施工方案；（2）施工现场平面布置图；（3）施工进度计划和保证措施；（4）劳动力及材料供应计划；（5）施工机械设备的选用；（6）质量保证体系及措施；（7）安全生产、文明施工措施；（8）环境保护、成本控制措施；（9）合同当事人约定的其他内容。</w:t>
      </w:r>
    </w:p>
    <w:p w14:paraId="5969967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.1.2 施工组织设计的提交和修改 </w:t>
      </w:r>
    </w:p>
    <w:p w14:paraId="1A934FD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承包人提交详细施工组织设计的期限的约定：</w:t>
      </w:r>
      <w:r>
        <w:rPr>
          <w:rFonts w:hint="eastAsia" w:ascii="宋体" w:hAnsi="宋体" w:eastAsia="宋体" w:cs="宋体"/>
          <w:sz w:val="24"/>
          <w:szCs w:val="24"/>
          <w:highlight w:val="none"/>
          <w:u w:val="single"/>
        </w:rPr>
        <w:t>开工前</w:t>
      </w:r>
      <w:r>
        <w:rPr>
          <w:rFonts w:hint="eastAsia" w:ascii="宋体" w:hAnsi="宋体" w:eastAsia="宋体" w:cs="宋体"/>
          <w:sz w:val="24"/>
          <w:szCs w:val="24"/>
          <w:highlight w:val="none"/>
          <w:u w:val="single"/>
          <w:lang w:val="en-US" w:eastAsia="zh-CN"/>
        </w:rPr>
        <w:t>7</w:t>
      </w:r>
      <w:r>
        <w:rPr>
          <w:rFonts w:hint="eastAsia" w:ascii="宋体" w:hAnsi="宋体" w:eastAsia="宋体" w:cs="宋体"/>
          <w:sz w:val="24"/>
          <w:szCs w:val="24"/>
          <w:highlight w:val="none"/>
          <w:u w:val="single"/>
        </w:rPr>
        <w:t xml:space="preserve">日内 </w:t>
      </w:r>
    </w:p>
    <w:p w14:paraId="7CFD088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发包人和监理人在收到详细的施工组织设计后确认或提出修改意见的期限：</w:t>
      </w:r>
      <w:r>
        <w:rPr>
          <w:rFonts w:hint="eastAsia" w:ascii="宋体" w:hAnsi="宋体" w:eastAsia="宋体" w:cs="宋体"/>
          <w:sz w:val="24"/>
          <w:szCs w:val="24"/>
          <w:highlight w:val="none"/>
          <w:u w:val="single"/>
        </w:rPr>
        <w:t xml:space="preserve">7天。 </w:t>
      </w:r>
    </w:p>
    <w:p w14:paraId="0C2797F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.2 施工进度计划 </w:t>
      </w:r>
    </w:p>
    <w:p w14:paraId="2952875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.2.2 施工进度计划的修订 </w:t>
      </w:r>
    </w:p>
    <w:p w14:paraId="4C18E9D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发包人和监理人在收到修订的施工进度计划后确认或提出修改意见的期限：</w:t>
      </w:r>
      <w:r>
        <w:rPr>
          <w:rFonts w:hint="eastAsia" w:ascii="宋体" w:hAnsi="宋体" w:eastAsia="宋体" w:cs="宋体"/>
          <w:sz w:val="24"/>
          <w:szCs w:val="24"/>
          <w:highlight w:val="none"/>
          <w:u w:val="single"/>
        </w:rPr>
        <w:t>7天。</w:t>
      </w:r>
      <w:r>
        <w:rPr>
          <w:rFonts w:hint="eastAsia" w:ascii="宋体" w:hAnsi="宋体" w:eastAsia="宋体" w:cs="宋体"/>
          <w:sz w:val="24"/>
          <w:szCs w:val="24"/>
          <w:highlight w:val="none"/>
        </w:rPr>
        <w:t xml:space="preserve"> </w:t>
      </w:r>
    </w:p>
    <w:p w14:paraId="48720AA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.3 开工 </w:t>
      </w:r>
    </w:p>
    <w:p w14:paraId="11C5536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.3.1 开工准备 </w:t>
      </w:r>
    </w:p>
    <w:p w14:paraId="1135299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关于承包人提交工程开工报审表的期限：</w:t>
      </w:r>
      <w:r>
        <w:rPr>
          <w:rFonts w:hint="eastAsia" w:ascii="宋体" w:hAnsi="宋体" w:eastAsia="宋体" w:cs="宋体"/>
          <w:sz w:val="24"/>
          <w:szCs w:val="24"/>
          <w:highlight w:val="none"/>
          <w:u w:val="single"/>
        </w:rPr>
        <w:t>计划开工日期前</w:t>
      </w:r>
      <w:r>
        <w:rPr>
          <w:rFonts w:hint="eastAsia" w:ascii="宋体" w:hAnsi="宋体" w:eastAsia="宋体" w:cs="宋体"/>
          <w:sz w:val="24"/>
          <w:szCs w:val="24"/>
          <w:highlight w:val="none"/>
          <w:u w:val="single"/>
          <w:lang w:val="en-US" w:eastAsia="zh-CN"/>
        </w:rPr>
        <w:t>一周内</w:t>
      </w:r>
      <w:r>
        <w:rPr>
          <w:rFonts w:hint="eastAsia" w:ascii="宋体" w:hAnsi="宋体" w:eastAsia="宋体" w:cs="宋体"/>
          <w:sz w:val="24"/>
          <w:szCs w:val="24"/>
          <w:highlight w:val="none"/>
          <w:u w:val="single"/>
        </w:rPr>
        <w:t>提交开工报审表或开工报告，实际开工时间以发包人发出的开工通知日期为准</w:t>
      </w:r>
      <w:r>
        <w:rPr>
          <w:rFonts w:hint="eastAsia" w:ascii="宋体" w:hAnsi="宋体" w:eastAsia="宋体" w:cs="宋体"/>
          <w:sz w:val="24"/>
          <w:szCs w:val="24"/>
          <w:highlight w:val="none"/>
        </w:rPr>
        <w:t xml:space="preserve">。 </w:t>
      </w:r>
    </w:p>
    <w:p w14:paraId="7B0BE50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关于发包人应完成的其他开工准备工作及期限：</w:t>
      </w:r>
      <w:r>
        <w:rPr>
          <w:rFonts w:hint="eastAsia" w:ascii="宋体" w:hAnsi="宋体" w:eastAsia="宋体" w:cs="宋体"/>
          <w:sz w:val="24"/>
          <w:szCs w:val="24"/>
          <w:highlight w:val="none"/>
          <w:u w:val="single"/>
        </w:rPr>
        <w:t>开工前配合承包人将施工所需的水、电、电讯线路接至施工场地 ；开工前提供工程地质和地下管线资料；办理的施工所需证件、批件；交验水准点与坐标控制点交验，费用由承包人承担</w:t>
      </w:r>
      <w:r>
        <w:rPr>
          <w:rFonts w:hint="eastAsia" w:ascii="宋体" w:hAnsi="宋体" w:eastAsia="宋体" w:cs="宋体"/>
          <w:sz w:val="24"/>
          <w:szCs w:val="24"/>
          <w:highlight w:val="none"/>
        </w:rPr>
        <w:t>。</w:t>
      </w:r>
    </w:p>
    <w:p w14:paraId="557D505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关于承包人应完成的其他开工准备工作及期限：</w:t>
      </w:r>
      <w:r>
        <w:rPr>
          <w:rFonts w:hint="eastAsia" w:ascii="宋体" w:hAnsi="宋体" w:eastAsia="宋体" w:cs="宋体"/>
          <w:sz w:val="24"/>
          <w:szCs w:val="24"/>
          <w:highlight w:val="none"/>
          <w:u w:val="single"/>
        </w:rPr>
        <w:t>开工前必须向发包人(实施单位)提供施工进度计划、材料清单、材料进场计划、劳动力计划</w:t>
      </w:r>
      <w:r>
        <w:rPr>
          <w:rFonts w:hint="eastAsia" w:ascii="宋体" w:hAnsi="宋体" w:eastAsia="宋体" w:cs="宋体"/>
          <w:sz w:val="24"/>
          <w:szCs w:val="24"/>
          <w:highlight w:val="none"/>
        </w:rPr>
        <w:t>。</w:t>
      </w:r>
    </w:p>
    <w:p w14:paraId="3DB7BB8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.3.2开工通知 </w:t>
      </w:r>
    </w:p>
    <w:p w14:paraId="13A62C5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因发包人原因造成监理人未能在计划开工日期之日起</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天内发出开工通知的，承包人有权提出价格调整要求，或者解除合同。 </w:t>
      </w:r>
    </w:p>
    <w:p w14:paraId="60451D1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.4 测量放线 </w:t>
      </w:r>
    </w:p>
    <w:p w14:paraId="3F2008F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.4.1发包人通过监理人向承包人提供测量基准点、基准线和水准点及其书面资料的期限：</w:t>
      </w:r>
      <w:r>
        <w:rPr>
          <w:rFonts w:hint="eastAsia" w:ascii="宋体" w:hAnsi="宋体" w:eastAsia="宋体" w:cs="宋体"/>
          <w:sz w:val="24"/>
          <w:szCs w:val="24"/>
          <w:highlight w:val="none"/>
          <w:u w:val="single"/>
        </w:rPr>
        <w:t>开工前现场交验</w:t>
      </w:r>
      <w:r>
        <w:rPr>
          <w:rFonts w:hint="eastAsia" w:ascii="宋体" w:hAnsi="宋体" w:eastAsia="宋体" w:cs="宋体"/>
          <w:sz w:val="24"/>
          <w:szCs w:val="24"/>
          <w:highlight w:val="none"/>
        </w:rPr>
        <w:t xml:space="preserve">。 </w:t>
      </w:r>
    </w:p>
    <w:p w14:paraId="2BF4A32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.5 工期延误 </w:t>
      </w:r>
    </w:p>
    <w:p w14:paraId="3ABA6D7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.5.1 因发包人原因导致工期延误 </w:t>
      </w:r>
    </w:p>
    <w:p w14:paraId="34D715A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因发包人原因导致工期延误的其他情形 ：</w:t>
      </w:r>
      <w:r>
        <w:rPr>
          <w:rFonts w:hint="eastAsia" w:ascii="宋体" w:hAnsi="宋体" w:eastAsia="宋体" w:cs="宋体"/>
          <w:sz w:val="24"/>
          <w:szCs w:val="24"/>
          <w:highlight w:val="none"/>
          <w:u w:val="single"/>
        </w:rPr>
        <w:t xml:space="preserve">  /  </w:t>
      </w:r>
    </w:p>
    <w:p w14:paraId="0659B9E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.5.2 因承包人原因导致工期延误 </w:t>
      </w:r>
    </w:p>
    <w:p w14:paraId="7E0048E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承包人应按照投标文件承诺的工期确保工程验收，不得以任何借口停工怠工，如因承包人原因延误工期的（含不按期开工等情形），承包人应承担违约责任。造成工期延误的，按每延误一天处以合同价千分之二的违约金，且同时按招标文件最高限价确定依据中的赶工措施费费率扣除赶工费用；以上处罚费用直接从本工程的履约保证金或到期工程款中扣除。如因发包人原因并且符合工程工期顺延的情况，经发包人签证确认后顺延。签订合同后，承包人应编制施工组织设计报监理工程师批准。工程实施过程中,承包人严格按照经批准的施工组织设计组织施工，接受发包人对进度的检查、监督。发包人将对照确认的施工方案和进度计划对承包人的施工进度进行严格考核，每一周为一个考核周期。承包人将严格按照进度计划组织施工，如在一个考核周期内发生未能按照进度计划表约定的节点工期建设，将在限期内整改，同时接受发包人以每次10000元的经济处罚，相关费用直接从工程款项中扣除，并要求承包人在下一个考核周期内抢工补救上一个考核周期内的施工任务和本考核周期内的施工任务。如在下一个考核周期内没有完成既定施工任务的，承包人将承担违约责任，发包人将对承包人处以每个考核周期不少于20000元的违约金直至施工任务完成达到施工方案和进度计划的要求。如承包人拒绝执行上述条款的，建设单位有权清退承包单位，已完工作量按70%结算，同时由此造成的损失均由承包单位承担</w:t>
      </w:r>
      <w:r>
        <w:rPr>
          <w:rFonts w:hint="eastAsia" w:ascii="宋体" w:hAnsi="宋体" w:eastAsia="宋体" w:cs="宋体"/>
          <w:sz w:val="24"/>
          <w:szCs w:val="24"/>
          <w:highlight w:val="none"/>
        </w:rPr>
        <w:t xml:space="preserve">。 </w:t>
      </w:r>
    </w:p>
    <w:p w14:paraId="46B8627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因承包人原因造成工期延误，逾期竣工违约金的上限：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B01665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.6 不利物质条件 </w:t>
      </w:r>
    </w:p>
    <w:p w14:paraId="1918EB1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不利物质条件的其他情形和有关约定：</w:t>
      </w:r>
      <w:r>
        <w:rPr>
          <w:rFonts w:hint="eastAsia" w:ascii="宋体" w:hAnsi="宋体" w:eastAsia="宋体" w:cs="宋体"/>
          <w:sz w:val="24"/>
          <w:szCs w:val="24"/>
          <w:highlight w:val="none"/>
          <w:u w:val="single"/>
        </w:rPr>
        <w:t xml:space="preserve">  /  </w:t>
      </w:r>
    </w:p>
    <w:p w14:paraId="7C9656C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.7异常恶劣的气候条件 </w:t>
      </w:r>
    </w:p>
    <w:p w14:paraId="1C43CD9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发包人和承包人同意以下情形视为异常恶劣的气候条件：</w:t>
      </w:r>
      <w:r>
        <w:rPr>
          <w:rFonts w:hint="eastAsia" w:ascii="宋体" w:hAnsi="宋体" w:eastAsia="宋体" w:cs="宋体"/>
          <w:sz w:val="24"/>
          <w:szCs w:val="24"/>
          <w:highlight w:val="none"/>
          <w:u w:val="single"/>
        </w:rPr>
        <w:t>执行通用条款</w:t>
      </w:r>
      <w:r>
        <w:rPr>
          <w:rFonts w:hint="eastAsia" w:ascii="宋体" w:hAnsi="宋体" w:eastAsia="宋体" w:cs="宋体"/>
          <w:sz w:val="24"/>
          <w:szCs w:val="24"/>
          <w:highlight w:val="none"/>
        </w:rPr>
        <w:t xml:space="preserve">。 </w:t>
      </w:r>
    </w:p>
    <w:p w14:paraId="3C01381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.9 提前竣工的奖励 </w:t>
      </w:r>
    </w:p>
    <w:p w14:paraId="04D0DAE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.9.2提前竣工的奖励：</w:t>
      </w:r>
      <w:r>
        <w:rPr>
          <w:rFonts w:hint="eastAsia" w:ascii="宋体" w:hAnsi="宋体" w:eastAsia="宋体" w:cs="宋体"/>
          <w:sz w:val="24"/>
          <w:szCs w:val="24"/>
          <w:highlight w:val="none"/>
          <w:u w:val="single"/>
        </w:rPr>
        <w:t xml:space="preserve">  /  </w:t>
      </w:r>
    </w:p>
    <w:p w14:paraId="1D66A81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 材料与设备 </w:t>
      </w:r>
    </w:p>
    <w:p w14:paraId="63848CD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.4材料与工程设备的保管与使用 </w:t>
      </w:r>
    </w:p>
    <w:p w14:paraId="7FD306E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.4.1发包人供应的材料设备的保管费用的承担： </w:t>
      </w:r>
    </w:p>
    <w:p w14:paraId="7DB4082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除招标文件中确定的《其他项目清单计价与汇总表》中的“暂估价”的材料外，其它材料均由承包人自行组织采购。凡由承包人采购的材料，承包人应按照设计文件、技术规范、强制性标准、招标文件、品牌要求的约定采购符合上述要求的材料，并向发包人和实施单位提供质量保证书、出厂合格证及现场抽样检测报告等证明材料，对材料质量负责。如不符合质量及技术标准要求或规格有差异的，承包人应按发包人(实施单位)要求的时间，将不符合要求的材料无条件运出施工现场，重新采购符合要求的材料。若已使用，由承包人负责整改处理，确保达到要求的质量目标。因使用不符合要求的材料造成的损失及责任由承包人承担，由此延误的工期不予顺延</w:t>
      </w:r>
      <w:r>
        <w:rPr>
          <w:rFonts w:hint="eastAsia" w:ascii="宋体" w:hAnsi="宋体" w:eastAsia="宋体" w:cs="宋体"/>
          <w:sz w:val="24"/>
          <w:szCs w:val="24"/>
          <w:highlight w:val="none"/>
        </w:rPr>
        <w:t>。</w:t>
      </w:r>
    </w:p>
    <w:p w14:paraId="59AEA28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承包人必须严格按招标文件、工程量清单等要求提供本工程设备材料的样品，供发包人比较选择确定，以保证选用质优价好的材料用于本项目，同时防止出现以劣充优，以次充好，谋取不正当利益的情况，同时发包人有权对设备材料生产基地进行实地考察，承包人须无条件予以配合，承包人提供的设备材料样品经发包人及实施单位书面同意后方可进行批量采购。在施工前或施工过程中，发包人要求调整、变更材料品种，承包人应无条件认可，其变更后的材料价格由发包人签证认可确定。设备材料进场交货、验收必须由该品牌的供应商到场参加。承包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责令停业整顿，降低资质等级或者吊销资质证书。</w:t>
      </w:r>
    </w:p>
    <w:p w14:paraId="48F6D1B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承包人未对建筑材料、建筑构配件、设备和商品混凝土进行检验，或者未对涉及结构安全的试块、试件以及有关材料取样检测的，责令改正，处1万元以上5万元以下的罚款；情节严重的，责令停业整顿，降低资质等级或者吊销资质证书；造成损失的，依法承担赔偿责任。</w:t>
      </w:r>
    </w:p>
    <w:p w14:paraId="15705D5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以一罚十”的处罚。</w:t>
      </w:r>
    </w:p>
    <w:p w14:paraId="0AEBB38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.6 样品 </w:t>
      </w:r>
    </w:p>
    <w:p w14:paraId="2A5F6E3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.6.1 样品的报送与封存 </w:t>
      </w:r>
    </w:p>
    <w:p w14:paraId="6D57F98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需要承包人报送样品的材料或工程设备，样品的种类、名称、规格、数量要求：</w:t>
      </w:r>
      <w:r>
        <w:rPr>
          <w:rFonts w:hint="eastAsia" w:ascii="宋体" w:hAnsi="宋体" w:eastAsia="宋体" w:cs="宋体"/>
          <w:sz w:val="24"/>
          <w:szCs w:val="24"/>
          <w:highlight w:val="none"/>
          <w:u w:val="single"/>
          <w:lang w:val="en-US" w:eastAsia="zh-CN"/>
        </w:rPr>
        <w:t>两份</w:t>
      </w:r>
    </w:p>
    <w:p w14:paraId="2E22145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.8 施工设备和临时设施 </w:t>
      </w:r>
    </w:p>
    <w:p w14:paraId="003E9FD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.8.1 承包人提供的施工设备和临时设施 </w:t>
      </w:r>
    </w:p>
    <w:p w14:paraId="0A970A2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关于修建临时设施费用承担的约定：</w:t>
      </w:r>
      <w:r>
        <w:rPr>
          <w:rFonts w:hint="eastAsia" w:ascii="宋体" w:hAnsi="宋体" w:eastAsia="宋体" w:cs="宋体"/>
          <w:sz w:val="24"/>
          <w:szCs w:val="24"/>
          <w:highlight w:val="none"/>
          <w:u w:val="single"/>
        </w:rPr>
        <w:t>由承包人负责并承担费用</w:t>
      </w:r>
      <w:r>
        <w:rPr>
          <w:rFonts w:hint="eastAsia" w:ascii="宋体" w:hAnsi="宋体" w:eastAsia="宋体" w:cs="宋体"/>
          <w:sz w:val="24"/>
          <w:szCs w:val="24"/>
          <w:highlight w:val="none"/>
        </w:rPr>
        <w:t xml:space="preserve">。 </w:t>
      </w:r>
    </w:p>
    <w:p w14:paraId="5457895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 xml:space="preserve">. 试验与检验 </w:t>
      </w:r>
    </w:p>
    <w:p w14:paraId="61C6F00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 xml:space="preserve">.1试验设备与试验人员 </w:t>
      </w:r>
    </w:p>
    <w:p w14:paraId="74A991C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 xml:space="preserve">.1.2 试验设备 </w:t>
      </w:r>
    </w:p>
    <w:p w14:paraId="0556939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施工现场需要配置的试验场所：</w:t>
      </w:r>
      <w:r>
        <w:rPr>
          <w:rFonts w:hint="eastAsia" w:ascii="宋体" w:hAnsi="宋体" w:eastAsia="宋体" w:cs="宋体"/>
          <w:sz w:val="24"/>
          <w:szCs w:val="24"/>
          <w:highlight w:val="none"/>
          <w:u w:val="single"/>
        </w:rPr>
        <w:t>执行通用条款。</w:t>
      </w:r>
      <w:r>
        <w:rPr>
          <w:rFonts w:hint="eastAsia" w:ascii="宋体" w:hAnsi="宋体" w:eastAsia="宋体" w:cs="宋体"/>
          <w:sz w:val="24"/>
          <w:szCs w:val="24"/>
          <w:highlight w:val="none"/>
        </w:rPr>
        <w:t xml:space="preserve"> </w:t>
      </w:r>
    </w:p>
    <w:p w14:paraId="0FF5B32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施工现场需要配备的试验设备：</w:t>
      </w:r>
      <w:r>
        <w:rPr>
          <w:rFonts w:hint="eastAsia" w:ascii="宋体" w:hAnsi="宋体" w:eastAsia="宋体" w:cs="宋体"/>
          <w:sz w:val="24"/>
          <w:szCs w:val="24"/>
          <w:highlight w:val="none"/>
          <w:u w:val="single"/>
        </w:rPr>
        <w:t>执行通用条款。</w:t>
      </w:r>
      <w:r>
        <w:rPr>
          <w:rFonts w:hint="eastAsia" w:ascii="宋体" w:hAnsi="宋体" w:eastAsia="宋体" w:cs="宋体"/>
          <w:sz w:val="24"/>
          <w:szCs w:val="24"/>
          <w:highlight w:val="none"/>
        </w:rPr>
        <w:t xml:space="preserve"> </w:t>
      </w:r>
    </w:p>
    <w:p w14:paraId="269EEDD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施工现场需要具备的其他试验条件：</w:t>
      </w:r>
      <w:r>
        <w:rPr>
          <w:rFonts w:hint="eastAsia" w:ascii="宋体" w:hAnsi="宋体" w:eastAsia="宋体" w:cs="宋体"/>
          <w:sz w:val="24"/>
          <w:szCs w:val="24"/>
          <w:highlight w:val="none"/>
          <w:u w:val="single"/>
        </w:rPr>
        <w:t>执行通用条款。</w:t>
      </w:r>
    </w:p>
    <w:p w14:paraId="393A964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 xml:space="preserve">.4 现场工艺试验 </w:t>
      </w:r>
    </w:p>
    <w:p w14:paraId="22C8570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现场工艺试验的有关约定：</w:t>
      </w:r>
      <w:r>
        <w:rPr>
          <w:rFonts w:hint="eastAsia" w:ascii="宋体" w:hAnsi="宋体" w:eastAsia="宋体" w:cs="宋体"/>
          <w:sz w:val="24"/>
          <w:szCs w:val="24"/>
          <w:highlight w:val="none"/>
          <w:u w:val="single"/>
        </w:rPr>
        <w:t xml:space="preserve">执行通用条款 </w:t>
      </w:r>
    </w:p>
    <w:p w14:paraId="77E0829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变更 </w:t>
      </w:r>
    </w:p>
    <w:p w14:paraId="546A2FA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5.1</w:t>
      </w:r>
      <w:r>
        <w:rPr>
          <w:rFonts w:hint="eastAsia" w:ascii="宋体" w:hAnsi="宋体" w:eastAsia="宋体" w:cs="宋体"/>
          <w:sz w:val="24"/>
          <w:szCs w:val="24"/>
          <w:highlight w:val="none"/>
        </w:rPr>
        <w:t xml:space="preserve">变更的范围 </w:t>
      </w:r>
    </w:p>
    <w:p w14:paraId="0B6062B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关于变更的范围的约定：</w:t>
      </w:r>
      <w:r>
        <w:rPr>
          <w:rFonts w:hint="eastAsia" w:ascii="宋体" w:hAnsi="宋体" w:eastAsia="宋体" w:cs="宋体"/>
          <w:sz w:val="24"/>
          <w:szCs w:val="24"/>
          <w:highlight w:val="none"/>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eastAsia="宋体" w:cs="宋体"/>
          <w:sz w:val="24"/>
          <w:szCs w:val="24"/>
          <w:highlight w:val="none"/>
        </w:rPr>
        <w:t xml:space="preserve">。 </w:t>
      </w:r>
    </w:p>
    <w:p w14:paraId="2F03250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 变更估价 </w:t>
      </w:r>
    </w:p>
    <w:p w14:paraId="54EE219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.1 变更估价原则 </w:t>
      </w:r>
    </w:p>
    <w:p w14:paraId="0323493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关于变更估价的约定:</w:t>
      </w:r>
    </w:p>
    <w:p w14:paraId="3072535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57638FB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2) 签证的时限要求。施工中发生的应由发包人承担责任的设计变更及其他变更，承包人应在发生后7天内办理好签证手续报监理单位和发包人签证认可；</w:t>
      </w:r>
    </w:p>
    <w:p w14:paraId="70723E9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3) 由于承包人原因导致的工程变更，承包人无权要求签证赔偿；</w:t>
      </w:r>
    </w:p>
    <w:p w14:paraId="46F9CC0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4) 签证单的签证程序必须严格按照发包人规定执行，否则，视为无效签证单。无效签证单发包人不予承认，责任由承包人自负；</w:t>
      </w:r>
    </w:p>
    <w:p w14:paraId="07C4A6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5) 若发包人有明确的工作指令，承包人不应以工程签证未办理完成为借口，延误工作进展</w:t>
      </w:r>
      <w:r>
        <w:rPr>
          <w:rFonts w:hint="eastAsia" w:ascii="宋体" w:hAnsi="宋体" w:eastAsia="宋体" w:cs="宋体"/>
          <w:sz w:val="24"/>
          <w:szCs w:val="24"/>
          <w:highlight w:val="none"/>
        </w:rPr>
        <w:t>。</w:t>
      </w:r>
    </w:p>
    <w:p w14:paraId="17C9795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6</w:t>
      </w:r>
      <w:r>
        <w:rPr>
          <w:rFonts w:hint="eastAsia" w:ascii="宋体" w:hAnsi="宋体" w:eastAsia="宋体" w:cs="宋体"/>
          <w:sz w:val="24"/>
          <w:szCs w:val="24"/>
          <w:highlight w:val="none"/>
          <w:u w:val="single"/>
        </w:rPr>
        <w:t>)所有工程变更（包括设计变更、现场签证、技术核定等）必须经</w:t>
      </w:r>
      <w:r>
        <w:rPr>
          <w:rFonts w:hint="eastAsia" w:ascii="宋体" w:hAnsi="宋体" w:eastAsia="宋体" w:cs="宋体"/>
          <w:sz w:val="24"/>
          <w:szCs w:val="24"/>
          <w:highlight w:val="none"/>
          <w:u w:val="single"/>
          <w:lang w:val="en-US" w:eastAsia="zh-CN"/>
        </w:rPr>
        <w:t>发包人</w:t>
      </w:r>
      <w:r>
        <w:rPr>
          <w:rFonts w:hint="eastAsia" w:ascii="宋体" w:hAnsi="宋体" w:eastAsia="宋体" w:cs="宋体"/>
          <w:sz w:val="24"/>
          <w:szCs w:val="24"/>
          <w:highlight w:val="none"/>
          <w:u w:val="single"/>
        </w:rPr>
        <w:t>书面签字确认后方可实施，承包人不得擅自进行任何变更；未经</w:t>
      </w:r>
      <w:r>
        <w:rPr>
          <w:rFonts w:hint="eastAsia" w:ascii="宋体" w:hAnsi="宋体" w:eastAsia="宋体" w:cs="宋体"/>
          <w:sz w:val="24"/>
          <w:szCs w:val="24"/>
          <w:highlight w:val="none"/>
          <w:u w:val="single"/>
          <w:lang w:val="en-US" w:eastAsia="zh-CN"/>
        </w:rPr>
        <w:t>发包人</w:t>
      </w:r>
      <w:r>
        <w:rPr>
          <w:rFonts w:hint="eastAsia" w:ascii="宋体" w:hAnsi="宋体" w:eastAsia="宋体" w:cs="宋体"/>
          <w:sz w:val="24"/>
          <w:szCs w:val="24"/>
          <w:highlight w:val="none"/>
          <w:u w:val="single"/>
        </w:rPr>
        <w:t>确认的变更内容，</w:t>
      </w:r>
      <w:r>
        <w:rPr>
          <w:rFonts w:hint="eastAsia" w:ascii="宋体" w:hAnsi="宋体" w:eastAsia="宋体" w:cs="宋体"/>
          <w:sz w:val="24"/>
          <w:szCs w:val="24"/>
          <w:highlight w:val="none"/>
          <w:u w:val="single"/>
          <w:lang w:val="en-US" w:eastAsia="zh-CN"/>
        </w:rPr>
        <w:t>发包人</w:t>
      </w:r>
      <w:r>
        <w:rPr>
          <w:rFonts w:hint="eastAsia" w:ascii="宋体" w:hAnsi="宋体" w:eastAsia="宋体" w:cs="宋体"/>
          <w:sz w:val="24"/>
          <w:szCs w:val="24"/>
          <w:highlight w:val="none"/>
          <w:u w:val="single"/>
        </w:rPr>
        <w:t>在结算时不予认可，相关费用由承包人自行承担；变更价款的计价严格执行中标下浮率，无相同或类似单价的，由承包人提交详细组价资料报</w:t>
      </w:r>
      <w:r>
        <w:rPr>
          <w:rFonts w:hint="eastAsia" w:ascii="宋体" w:hAnsi="宋体" w:eastAsia="宋体" w:cs="宋体"/>
          <w:sz w:val="24"/>
          <w:szCs w:val="24"/>
          <w:highlight w:val="none"/>
          <w:u w:val="single"/>
          <w:lang w:val="en-US" w:eastAsia="zh-CN"/>
        </w:rPr>
        <w:t>发包人</w:t>
      </w:r>
      <w:r>
        <w:rPr>
          <w:rFonts w:hint="eastAsia" w:ascii="宋体" w:hAnsi="宋体" w:eastAsia="宋体" w:cs="宋体"/>
          <w:sz w:val="24"/>
          <w:szCs w:val="24"/>
          <w:highlight w:val="none"/>
          <w:u w:val="single"/>
        </w:rPr>
        <w:t>审核，审核通过后方可作为结算依据。</w:t>
      </w:r>
    </w:p>
    <w:p w14:paraId="583956C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承包人的合理化建议 </w:t>
      </w:r>
    </w:p>
    <w:p w14:paraId="6E8C90B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监理人审查承包人合理化建议的期限：</w:t>
      </w:r>
      <w:r>
        <w:rPr>
          <w:rFonts w:hint="eastAsia" w:ascii="宋体" w:hAnsi="宋体" w:eastAsia="宋体" w:cs="宋体"/>
          <w:sz w:val="24"/>
          <w:szCs w:val="24"/>
          <w:highlight w:val="none"/>
          <w:u w:val="single"/>
        </w:rPr>
        <w:t xml:space="preserve"> 7天   </w:t>
      </w:r>
      <w:r>
        <w:rPr>
          <w:rFonts w:hint="eastAsia" w:ascii="宋体" w:hAnsi="宋体" w:eastAsia="宋体" w:cs="宋体"/>
          <w:sz w:val="24"/>
          <w:szCs w:val="24"/>
          <w:highlight w:val="none"/>
        </w:rPr>
        <w:t xml:space="preserve">。 </w:t>
      </w:r>
    </w:p>
    <w:p w14:paraId="421175F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发包人审批承包人合理化建议的期限：</w:t>
      </w:r>
      <w:r>
        <w:rPr>
          <w:rFonts w:hint="eastAsia" w:ascii="宋体" w:hAnsi="宋体" w:eastAsia="宋体" w:cs="宋体"/>
          <w:sz w:val="24"/>
          <w:szCs w:val="24"/>
          <w:highlight w:val="none"/>
          <w:u w:val="single"/>
        </w:rPr>
        <w:t xml:space="preserve">  7天  </w:t>
      </w:r>
      <w:r>
        <w:rPr>
          <w:rFonts w:hint="eastAsia" w:ascii="宋体" w:hAnsi="宋体" w:eastAsia="宋体" w:cs="宋体"/>
          <w:sz w:val="24"/>
          <w:szCs w:val="24"/>
          <w:highlight w:val="none"/>
        </w:rPr>
        <w:t xml:space="preserve">。 </w:t>
      </w:r>
    </w:p>
    <w:p w14:paraId="6127B7A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5E2C593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 暂估价 </w:t>
      </w:r>
    </w:p>
    <w:p w14:paraId="63CCA4C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暂估价材料和工程设备的明细详见附件11：《暂估价一览表》。 </w:t>
      </w:r>
    </w:p>
    <w:p w14:paraId="20DE857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.1 依法必须招标的暂估价项目 </w:t>
      </w:r>
    </w:p>
    <w:p w14:paraId="14B4227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对于依法必须招标的暂估价项目的确认和批准采取第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种方式确定。（由发包人选用，并明确暂估价材料、专业工程暂估价的结算方法） </w:t>
      </w:r>
    </w:p>
    <w:p w14:paraId="659DE62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 xml:space="preserve">.2 不属于依法必须招标的暂估价项目 </w:t>
      </w:r>
    </w:p>
    <w:p w14:paraId="0D21C78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对于不属于依法必须招标的暂估价项目的确认和批准采取第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种方式确定。 </w:t>
      </w:r>
    </w:p>
    <w:p w14:paraId="695630B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第3种方式：承包人直接实施的暂估价项目 </w:t>
      </w:r>
    </w:p>
    <w:p w14:paraId="61CCD24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承包人直接实施的暂估价项目的约定：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9436C5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 xml:space="preserve"> 暂列金额合同当事人关于暂列金额使用的约定：</w:t>
      </w:r>
      <w:r>
        <w:rPr>
          <w:rFonts w:hint="eastAsia" w:ascii="宋体" w:hAnsi="宋体" w:eastAsia="宋体" w:cs="宋体"/>
          <w:sz w:val="24"/>
          <w:szCs w:val="24"/>
          <w:highlight w:val="none"/>
          <w:u w:val="single"/>
        </w:rPr>
        <w:t>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sz w:val="24"/>
          <w:szCs w:val="24"/>
          <w:highlight w:val="none"/>
        </w:rPr>
        <w:t xml:space="preserve">。 </w:t>
      </w:r>
    </w:p>
    <w:p w14:paraId="3F3ED99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价格调整 </w:t>
      </w:r>
    </w:p>
    <w:p w14:paraId="7EFCD0A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市场价格波动引起的调整 </w:t>
      </w:r>
    </w:p>
    <w:p w14:paraId="44D416C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市场价格波动是否调整合同价格的约定：</w:t>
      </w:r>
      <w:r>
        <w:rPr>
          <w:rFonts w:hint="eastAsia" w:ascii="宋体" w:hAnsi="宋体" w:eastAsia="宋体" w:cs="宋体"/>
          <w:sz w:val="24"/>
          <w:szCs w:val="24"/>
          <w:highlight w:val="none"/>
          <w:u w:val="single"/>
        </w:rPr>
        <w:t xml:space="preserve">   否   </w:t>
      </w:r>
    </w:p>
    <w:p w14:paraId="17EBD75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因市场价格波动调整合同价格，采用以下第</w:t>
      </w:r>
      <w:r>
        <w:rPr>
          <w:rFonts w:hint="eastAsia" w:ascii="宋体" w:hAnsi="宋体" w:eastAsia="宋体" w:cs="宋体"/>
          <w:sz w:val="24"/>
          <w:szCs w:val="24"/>
          <w:highlight w:val="none"/>
          <w:u w:val="single"/>
        </w:rPr>
        <w:t>3</w:t>
      </w:r>
      <w:r>
        <w:rPr>
          <w:rFonts w:hint="eastAsia" w:ascii="宋体" w:hAnsi="宋体" w:eastAsia="宋体" w:cs="宋体"/>
          <w:sz w:val="24"/>
          <w:szCs w:val="24"/>
          <w:highlight w:val="none"/>
        </w:rPr>
        <w:t xml:space="preserve">种方式对合同价格进行调整： </w:t>
      </w:r>
    </w:p>
    <w:p w14:paraId="0AD0AA6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第1种方式：采用价格指数进行价格调整。 </w:t>
      </w:r>
    </w:p>
    <w:p w14:paraId="3C9ED13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关于各可调因子、定值和变值权重，以及基本价格指数及其来源的约定：</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 </w:t>
      </w:r>
    </w:p>
    <w:p w14:paraId="5EAB932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第2种方式：采用造价信息进行价格调整。 </w:t>
      </w:r>
    </w:p>
    <w:p w14:paraId="6F5C7B1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（2）关于基准价格的约定：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048F774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%时，或材料单价跌幅以已标价工程量清单或预算书中载明材料单价为基础超过</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%时，其超过部分据实调整。 </w:t>
      </w:r>
    </w:p>
    <w:p w14:paraId="17C6D15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%时，材料单价涨幅以已标价工程量清单或预算书中载明材料单价为基础超过</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%时，其超过部分据实调整。 </w:t>
      </w:r>
    </w:p>
    <w:p w14:paraId="3BF544D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%时，其超过部分据实调整。 </w:t>
      </w:r>
    </w:p>
    <w:p w14:paraId="78617EB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第3种方式：其他价格调整方式：</w:t>
      </w:r>
      <w:r>
        <w:rPr>
          <w:rFonts w:hint="eastAsia" w:ascii="宋体" w:hAnsi="宋体" w:eastAsia="宋体" w:cs="宋体"/>
          <w:sz w:val="24"/>
          <w:szCs w:val="24"/>
          <w:highlight w:val="none"/>
          <w:u w:val="single"/>
        </w:rPr>
        <w:t>详见 12.1。</w:t>
      </w:r>
    </w:p>
    <w:p w14:paraId="6ACD4B2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 合同价格、计量与支付</w:t>
      </w:r>
    </w:p>
    <w:p w14:paraId="174CC59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 合同价格形式：</w:t>
      </w:r>
      <w:r>
        <w:rPr>
          <w:rFonts w:hint="eastAsia" w:ascii="宋体" w:hAnsi="宋体" w:eastAsia="宋体" w:cs="宋体"/>
          <w:sz w:val="24"/>
          <w:szCs w:val="24"/>
          <w:highlight w:val="none"/>
          <w:u w:val="single"/>
        </w:rPr>
        <w:t>单价合同</w:t>
      </w:r>
      <w:r>
        <w:rPr>
          <w:rFonts w:hint="eastAsia" w:ascii="宋体" w:hAnsi="宋体" w:eastAsia="宋体" w:cs="宋体"/>
          <w:sz w:val="24"/>
          <w:szCs w:val="24"/>
          <w:highlight w:val="none"/>
        </w:rPr>
        <w:t xml:space="preserve">。 </w:t>
      </w:r>
    </w:p>
    <w:p w14:paraId="7A51D1B6">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综合单价包含的风险范围：</w:t>
      </w:r>
      <w:r>
        <w:rPr>
          <w:rFonts w:hint="eastAsia" w:ascii="宋体" w:hAnsi="宋体" w:eastAsia="宋体" w:cs="宋体"/>
          <w:sz w:val="24"/>
          <w:szCs w:val="24"/>
          <w:highlight w:val="none"/>
          <w:u w:val="single"/>
        </w:rPr>
        <w:t>本工程采用“固定单价”合同，合同实施过程中除招标文件和合同约定允许调整外，其余的综合单价不作调整</w:t>
      </w:r>
      <w:r>
        <w:rPr>
          <w:rFonts w:hint="eastAsia" w:ascii="宋体" w:hAnsi="宋体" w:eastAsia="宋体" w:cs="宋体"/>
          <w:sz w:val="24"/>
          <w:szCs w:val="24"/>
          <w:highlight w:val="none"/>
        </w:rPr>
        <w:t>。</w:t>
      </w:r>
    </w:p>
    <w:p w14:paraId="28BB5B3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风险范围以外合同价格的调整方法：</w:t>
      </w:r>
    </w:p>
    <w:p w14:paraId="5479440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12.1.1本招标项目工程竣工结算价=分部分项工程费用（实际数量*中标综合单价）+措施项目费用+其他项目费用+规费+税金+招标文件和合同约定可以调整的价格上式中招标文件及合同约定调整的价格包括但不限于以下4种情况：①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②发包人签证使用的暂列金额、专业工程实际发包价。③经发包人认可的《专业工程暂估价及结算价表》（如有）中的材料价格调整。④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p>
    <w:p w14:paraId="734E409E">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p>
    <w:p w14:paraId="5EE393EC">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p>
    <w:p w14:paraId="648E8036">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p>
    <w:p w14:paraId="127CA759">
      <w:pPr>
        <w:pageBreakBefore w:val="0"/>
        <w:kinsoku/>
        <w:wordWrap/>
        <w:overflowPunct/>
        <w:topLinePunct w:val="0"/>
        <w:autoSpaceDE/>
        <w:autoSpaceDN/>
        <w:bidi w:val="0"/>
        <w:adjustRightInd/>
        <w:snapToGrid/>
        <w:spacing w:line="460" w:lineRule="exact"/>
        <w:ind w:firstLine="2640" w:firstLineChars="11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中标价（扣除暂列金额、专业工程暂估价、</w:t>
      </w:r>
    </w:p>
    <w:p w14:paraId="6E1DF572">
      <w:pPr>
        <w:pageBreakBefore w:val="0"/>
        <w:kinsoku/>
        <w:wordWrap/>
        <w:overflowPunct/>
        <w:topLinePunct w:val="0"/>
        <w:autoSpaceDE/>
        <w:autoSpaceDN/>
        <w:bidi w:val="0"/>
        <w:adjustRightInd/>
        <w:snapToGrid/>
        <w:spacing w:line="460" w:lineRule="exact"/>
        <w:ind w:firstLine="2880" w:firstLineChars="1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暂估材料总价及上述三项的规费和税金）</w:t>
      </w:r>
    </w:p>
    <w:p w14:paraId="3FC3459C">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下浮率＝1－ --------------------------------------------------×100% </w:t>
      </w:r>
    </w:p>
    <w:p w14:paraId="28DFBB30">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招标预算价（扣除暂列金额、专业工程暂估价、</w:t>
      </w:r>
    </w:p>
    <w:p w14:paraId="1C7EE34C">
      <w:pPr>
        <w:pageBreakBefore w:val="0"/>
        <w:kinsoku/>
        <w:wordWrap/>
        <w:overflowPunct/>
        <w:topLinePunct w:val="0"/>
        <w:autoSpaceDE/>
        <w:autoSpaceDN/>
        <w:bidi w:val="0"/>
        <w:adjustRightInd/>
        <w:snapToGrid/>
        <w:spacing w:line="460" w:lineRule="exact"/>
        <w:ind w:left="0" w:leftChars="0" w:firstLine="2640" w:firstLineChars="11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暂估材料总价及上述三项的规费和税金）</w:t>
      </w:r>
    </w:p>
    <w:p w14:paraId="3B17B2A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注：上述公式中的预算价是指发包人委托编制的工程预算价。</w:t>
      </w:r>
    </w:p>
    <w:p w14:paraId="6D0B705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12.1.2由于分部分项工程量清单漏项或非承包人原因的工程变更引起的措施项目变化，造成施工组织设计或施工方案变更，原措施费已有的项目，按原措施费的组价方法调整；原措施费中没有的措施项目，由承包人根据措施项目变更情况提出适当的措施费变更，经发包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41B4CF3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12.1.3以投标截止日前28天为基准日，其后国家的法律、法规、规章和政策发生变化导致工程税金、规费，并由省级或行业建设行政主管部门或其授权的工程造价管理机构根据上述变化发布了政策性调整，影响工程造价的，相应调整工程价款。本工程施工期材料价格、人工费在结算时均不调整。</w:t>
      </w:r>
    </w:p>
    <w:p w14:paraId="6B845C1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12.1.4竣工结算时若承包人完成了发包人所要求的且为合同以外的零星工作或发生非承包人责任事件的工程量按现场实际完成的工程量经发包人签证确定。</w:t>
      </w:r>
    </w:p>
    <w:p w14:paraId="2E50E11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12.1.5工程竣工结算时，《其他项目清单与计价汇总表》中的暂列金额和暂估价均按发包人签证认可的价格执行，而且只调整此材料的价差和对应的规费及税金。</w:t>
      </w:r>
    </w:p>
    <w:p w14:paraId="53FFC5B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12.1.6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按排施工队伍修复，费用由发包方按排的施工单位报价，在承包人结算总价中按2倍的价格扣减。</w:t>
      </w:r>
    </w:p>
    <w:p w14:paraId="223C59A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12.1.7工程所发生施工、生活、消防用水、用电由承包人挂表计量，水、电费用按供电局、自来水公司收费费用及损耗在每次电费结算时按月缴清。</w:t>
      </w:r>
    </w:p>
    <w:p w14:paraId="257A7D8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12.1.8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总承包人计取罚金，直至发包人向总承包人下次付款之日，并在付款时作相应扣罚。</w:t>
      </w:r>
    </w:p>
    <w:p w14:paraId="7B02890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12.1.9施工现场如有建筑垃圾及地面地下其他构、建筑物基础等障碍物，投标人应认真踏勘现场，将清理障碍等费用计入投标报价的总价措施费中，由中标人包干使用施工时不再签证。</w:t>
      </w:r>
    </w:p>
    <w:p w14:paraId="2F9D43A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12.1.10双方约定合同价款不予调整的情形，包括但不仅限于下列情形：</w:t>
      </w:r>
    </w:p>
    <w:p w14:paraId="1ABF187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①发包人提供的图纸如果存在明显错误或疏忽，承包人作为合格的承包商应当发现并及时通知发包人。如果承包人不能发现或发现后不及时通知发包人，由此引起的停工索赔与返工经济签证发包人不予认可，结算价款不予调整；</w:t>
      </w:r>
    </w:p>
    <w:p w14:paraId="6A091B6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② 承包人原因造成工期延误，延误期间发生的材料价格上涨差额由承包人承担，不予调整；</w:t>
      </w:r>
    </w:p>
    <w:p w14:paraId="7AF5780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③ 因承包人自身原因导致的工程变更、返工，造成工程价款增加的，不予调整；</w:t>
      </w:r>
    </w:p>
    <w:p w14:paraId="22C5FDE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④ 签证内容不全、与事实不符或不合技术标准、规范要求、施工常规、正常施工方法及已在招标文件要求计入投标报价范围的不予调整；</w:t>
      </w:r>
    </w:p>
    <w:p w14:paraId="014805DE">
      <w:pPr>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⑤不符合工程结算相关的法律、法规、规范性文件规定的价款不予调整</w:t>
      </w:r>
      <w:r>
        <w:rPr>
          <w:rFonts w:hint="eastAsia" w:ascii="宋体" w:hAnsi="宋体" w:eastAsia="宋体" w:cs="宋体"/>
          <w:sz w:val="24"/>
          <w:szCs w:val="24"/>
          <w:highlight w:val="none"/>
        </w:rPr>
        <w:t xml:space="preserve">。 </w:t>
      </w:r>
    </w:p>
    <w:p w14:paraId="6B77E55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 </w:t>
      </w:r>
    </w:p>
    <w:p w14:paraId="67BD703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总价包含的风险范围：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73A854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风险费用的计算方法：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06107B2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风险范围以外合同价格的调整方法：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5210BAB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3、其他价格方式：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093BC19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 </w:t>
      </w:r>
    </w:p>
    <w:p w14:paraId="76C7F20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 </w:t>
      </w:r>
    </w:p>
    <w:p w14:paraId="710DBF1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预付款支付比例或金额：</w:t>
      </w:r>
      <w:r>
        <w:rPr>
          <w:rFonts w:hint="eastAsia" w:ascii="宋体" w:hAnsi="宋体" w:eastAsia="宋体" w:cs="宋体"/>
          <w:sz w:val="24"/>
          <w:szCs w:val="24"/>
          <w:highlight w:val="none"/>
          <w:u w:val="single"/>
        </w:rPr>
        <w:t>合同价的</w:t>
      </w:r>
      <w:r>
        <w:rPr>
          <w:rFonts w:hint="eastAsia" w:ascii="宋体" w:hAnsi="宋体" w:eastAsia="宋体" w:cs="宋体"/>
          <w:sz w:val="24"/>
          <w:szCs w:val="24"/>
          <w:highlight w:val="none"/>
          <w:u w:val="single"/>
          <w:lang w:val="en-US" w:eastAsia="zh-CN"/>
        </w:rPr>
        <w:t>1</w:t>
      </w:r>
      <w:r>
        <w:rPr>
          <w:rFonts w:hint="eastAsia" w:ascii="宋体" w:hAnsi="宋体" w:eastAsia="宋体" w:cs="宋体"/>
          <w:sz w:val="24"/>
          <w:szCs w:val="24"/>
          <w:highlight w:val="none"/>
          <w:u w:val="single"/>
        </w:rPr>
        <w:t>0%</w:t>
      </w:r>
      <w:r>
        <w:rPr>
          <w:rFonts w:hint="eastAsia" w:ascii="宋体" w:hAnsi="宋体" w:eastAsia="宋体" w:cs="宋体"/>
          <w:sz w:val="24"/>
          <w:szCs w:val="24"/>
          <w:highlight w:val="none"/>
        </w:rPr>
        <w:t xml:space="preserve">。 </w:t>
      </w:r>
    </w:p>
    <w:p w14:paraId="26A9117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预付款支付期限：</w:t>
      </w:r>
      <w:r>
        <w:rPr>
          <w:rFonts w:hint="eastAsia" w:ascii="宋体" w:hAnsi="宋体" w:eastAsia="宋体" w:cs="宋体"/>
          <w:sz w:val="24"/>
          <w:szCs w:val="24"/>
          <w:highlight w:val="none"/>
          <w:u w:val="single"/>
        </w:rPr>
        <w:t>见12.4.1 付款周期</w:t>
      </w:r>
      <w:r>
        <w:rPr>
          <w:rFonts w:hint="eastAsia" w:ascii="宋体" w:hAnsi="宋体" w:eastAsia="宋体" w:cs="宋体"/>
          <w:sz w:val="24"/>
          <w:szCs w:val="24"/>
          <w:highlight w:val="none"/>
        </w:rPr>
        <w:t xml:space="preserve">。 </w:t>
      </w:r>
    </w:p>
    <w:p w14:paraId="0732B18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预付款扣回的方式：</w:t>
      </w:r>
      <w:r>
        <w:rPr>
          <w:rFonts w:hint="eastAsia" w:ascii="宋体" w:hAnsi="宋体" w:eastAsia="宋体" w:cs="宋体"/>
          <w:sz w:val="24"/>
          <w:szCs w:val="24"/>
          <w:highlight w:val="none"/>
          <w:u w:val="single"/>
        </w:rPr>
        <w:t>进度付款中同比例扣回</w:t>
      </w:r>
      <w:r>
        <w:rPr>
          <w:rFonts w:hint="eastAsia" w:ascii="宋体" w:hAnsi="宋体" w:eastAsia="宋体" w:cs="宋体"/>
          <w:sz w:val="24"/>
          <w:szCs w:val="24"/>
          <w:highlight w:val="none"/>
        </w:rPr>
        <w:t xml:space="preserve">。 </w:t>
      </w:r>
    </w:p>
    <w:p w14:paraId="1888946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12.2.2 预付款担保 </w:t>
      </w:r>
    </w:p>
    <w:p w14:paraId="0BEEDF0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承包人提交预付款担保的期限：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D013F4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预付款担保的形式为：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2AF1CA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 </w:t>
      </w:r>
    </w:p>
    <w:p w14:paraId="7FE0DC7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 </w:t>
      </w:r>
    </w:p>
    <w:p w14:paraId="7FD1C52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工程量计算规则：</w:t>
      </w:r>
      <w:r>
        <w:rPr>
          <w:rFonts w:hint="eastAsia" w:ascii="宋体" w:hAnsi="宋体" w:eastAsia="宋体" w:cs="宋体"/>
          <w:sz w:val="24"/>
          <w:szCs w:val="24"/>
          <w:highlight w:val="none"/>
          <w:u w:val="single"/>
        </w:rPr>
        <w:t>以相关的国家标准、行业标准为依据。</w:t>
      </w:r>
    </w:p>
    <w:p w14:paraId="5E07978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 </w:t>
      </w:r>
    </w:p>
    <w:p w14:paraId="00116D7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关于计量周期的约定：</w:t>
      </w:r>
      <w:r>
        <w:rPr>
          <w:rFonts w:hint="eastAsia" w:ascii="宋体" w:hAnsi="宋体" w:eastAsia="宋体" w:cs="宋体"/>
          <w:sz w:val="24"/>
          <w:szCs w:val="24"/>
          <w:highlight w:val="none"/>
          <w:u w:val="single"/>
        </w:rPr>
        <w:t xml:space="preserve">按通用条款执行。 </w:t>
      </w:r>
    </w:p>
    <w:p w14:paraId="7F18714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 </w:t>
      </w:r>
    </w:p>
    <w:p w14:paraId="0270AFB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关于单价合同计量的约定：</w:t>
      </w:r>
      <w:r>
        <w:rPr>
          <w:rFonts w:hint="eastAsia" w:ascii="宋体" w:hAnsi="宋体" w:eastAsia="宋体" w:cs="宋体"/>
          <w:sz w:val="24"/>
          <w:szCs w:val="24"/>
          <w:highlight w:val="none"/>
          <w:u w:val="single"/>
        </w:rPr>
        <w:t xml:space="preserve">  /  </w:t>
      </w:r>
    </w:p>
    <w:p w14:paraId="1099326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12.3.4 总价合同的计量关于总价合同计量的约定：</w:t>
      </w:r>
      <w:r>
        <w:rPr>
          <w:rFonts w:hint="eastAsia" w:ascii="宋体" w:hAnsi="宋体" w:eastAsia="宋体" w:cs="宋体"/>
          <w:sz w:val="24"/>
          <w:szCs w:val="24"/>
          <w:highlight w:val="none"/>
          <w:u w:val="single"/>
        </w:rPr>
        <w:t xml:space="preserve">  /  </w:t>
      </w:r>
    </w:p>
    <w:p w14:paraId="035EEC2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 </w:t>
      </w:r>
    </w:p>
    <w:p w14:paraId="03922CA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 </w:t>
      </w:r>
    </w:p>
    <w:p w14:paraId="078354A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其他价格形式的计量方式和程序：</w:t>
      </w:r>
      <w:r>
        <w:rPr>
          <w:rFonts w:hint="eastAsia" w:ascii="宋体" w:hAnsi="宋体" w:eastAsia="宋体" w:cs="宋体"/>
          <w:sz w:val="24"/>
          <w:szCs w:val="24"/>
          <w:highlight w:val="none"/>
          <w:u w:val="single"/>
        </w:rPr>
        <w:t xml:space="preserve">  /  </w:t>
      </w:r>
    </w:p>
    <w:p w14:paraId="3DFF16F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 </w:t>
      </w:r>
    </w:p>
    <w:p w14:paraId="7194F1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12.4.1 付款周期 </w:t>
      </w:r>
    </w:p>
    <w:p w14:paraId="4606A07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关于付款周期的约定： </w:t>
      </w:r>
    </w:p>
    <w:p w14:paraId="1BC8660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本项目农民工工资发包人、承包人严格按照盐住建建筑(2019)39号《关干在盐城市建设工程中推行施工过程结算的通知》、盐建建筑[2017]70号《盐城市建筑施]从业人员实名制信息化管理办法》、盐建建筑(2016)35号《关干进一步做好建筑施工拖欠农民[工资治理工作的通知》文件要求执行。承包人将农民工每且用工考勤记录、农民工工资清单及农民工工资支付申请表(盐建建筑(2016)35号附件2、3)</w:t>
      </w:r>
      <w:r>
        <w:rPr>
          <w:rFonts w:hint="eastAsia" w:ascii="宋体" w:hAnsi="宋体" w:cs="宋体"/>
          <w:sz w:val="24"/>
          <w:szCs w:val="24"/>
          <w:highlight w:val="none"/>
          <w:u w:val="single"/>
          <w:lang w:val="en-US" w:eastAsia="zh-CN"/>
        </w:rPr>
        <w:t>。</w:t>
      </w:r>
      <w:r>
        <w:rPr>
          <w:rFonts w:hint="eastAsia" w:ascii="宋体" w:hAnsi="宋体" w:eastAsia="宋体" w:cs="宋体"/>
          <w:sz w:val="24"/>
          <w:szCs w:val="24"/>
          <w:highlight w:val="none"/>
          <w:u w:val="single"/>
        </w:rPr>
        <w:t>报发包人审核同意后，发包人将该且农民工工资费用汇入承包人在建设主管部门指定银行开设的农民工工资支付专用账户，并由银行代发给农民工。发包人按工程施工合同约定向农民工工资专用账户存入不低王进度款20%的资金，应发工资高干进度款20%的，则按照实际工资数额存入工资专户。承包人必须贯彻执行建筑工人实名制管理办法相关规定，并按江苏省、盐城市现行有关规定和招标文件相关约定按时、足额发放工程施工人员工资。若有关农民工工资的上、下级文件及相关管理规定说法不一致时，按高标准要求执行。在履行合同过程中，承包人应遵守国家或地方的法律、法规、规章、条例、规范性文件或任何对工程有管辖权的部门的规章，并按要求支付有关费用。</w:t>
      </w:r>
    </w:p>
    <w:p w14:paraId="63651AA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工程款指合同价（即中标价）扣除暂列金额、专业工程暂估价及上述二项的规费和税金后的工程价款。具体付款幅度如下：</w:t>
      </w:r>
    </w:p>
    <w:p w14:paraId="485D997B">
      <w:pPr>
        <w:pageBreakBefore w:val="0"/>
        <w:widowControl/>
        <w:numPr>
          <w:ilvl w:val="0"/>
          <w:numId w:val="7"/>
        </w:numPr>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合同签订，收到乙方发票十个工作日内甲方支付合同价的</w:t>
      </w:r>
      <w:r>
        <w:rPr>
          <w:rFonts w:hint="eastAsia" w:ascii="宋体" w:hAnsi="宋体" w:eastAsia="宋体" w:cs="宋体"/>
          <w:sz w:val="24"/>
          <w:szCs w:val="24"/>
          <w:highlight w:val="none"/>
          <w:u w:val="single"/>
          <w:lang w:val="en-US" w:eastAsia="zh-CN"/>
        </w:rPr>
        <w:t>1</w:t>
      </w:r>
      <w:r>
        <w:rPr>
          <w:rFonts w:hint="eastAsia" w:ascii="宋体" w:hAnsi="宋体" w:eastAsia="宋体" w:cs="宋体"/>
          <w:sz w:val="24"/>
          <w:szCs w:val="24"/>
          <w:highlight w:val="none"/>
          <w:u w:val="single"/>
        </w:rPr>
        <w:t>0%作为预付款</w:t>
      </w:r>
    </w:p>
    <w:p w14:paraId="2C761F2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（2）</w:t>
      </w:r>
      <w:r>
        <w:rPr>
          <w:rFonts w:hint="eastAsia" w:ascii="宋体" w:hAnsi="宋体" w:eastAsia="宋体" w:cs="宋体"/>
          <w:sz w:val="24"/>
          <w:szCs w:val="24"/>
          <w:highlight w:val="none"/>
          <w:u w:val="single"/>
          <w:lang w:val="en-US" w:eastAsia="zh-CN"/>
        </w:rPr>
        <w:t>工程竣工验收合格后，付至工程款的80%</w:t>
      </w:r>
      <w:r>
        <w:rPr>
          <w:rFonts w:hint="eastAsia" w:ascii="宋体" w:hAnsi="宋体" w:eastAsia="宋体" w:cs="宋体"/>
          <w:sz w:val="24"/>
          <w:szCs w:val="24"/>
          <w:highlight w:val="none"/>
          <w:u w:val="single"/>
        </w:rPr>
        <w:t xml:space="preserve">； </w:t>
      </w:r>
    </w:p>
    <w:p w14:paraId="3EB76AC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rPr>
        <w:t>（3）</w:t>
      </w:r>
      <w:r>
        <w:rPr>
          <w:rFonts w:hint="eastAsia" w:ascii="宋体" w:hAnsi="宋体" w:eastAsia="宋体" w:cs="宋体"/>
          <w:sz w:val="24"/>
          <w:szCs w:val="24"/>
          <w:highlight w:val="none"/>
          <w:u w:val="single"/>
          <w:lang w:val="en-US" w:eastAsia="zh-CN"/>
        </w:rPr>
        <w:t>工程竣工验收合格满一年，并经审计结束出具审计报告后，付至审计价的97%，余款3%待缺陷责任期满后结清。</w:t>
      </w:r>
    </w:p>
    <w:p w14:paraId="33A09AF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注：在签订合同时，承包人明确书面表示无需预付款或者主动要求降低预付款比例的，发包人可就预付款比例作相应调整。</w:t>
      </w:r>
    </w:p>
    <w:p w14:paraId="5509362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对满足支付条件的，甲方应当在收到发票后10个工作日内将资金支付到合同约定的乙方账户。</w:t>
      </w:r>
    </w:p>
    <w:p w14:paraId="257756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本工程价款一律通过银行非现金结算，工程款汇入承包人基本账户，实行专款专用。</w:t>
      </w:r>
    </w:p>
    <w:p w14:paraId="0CD2234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本工程竣工验收后，承包人应整理相关资料，确保资料真实齐全、计算准确，并在规定时间内提交审计。</w:t>
      </w:r>
    </w:p>
    <w:p w14:paraId="598E1C7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注：承包人须按发包人要求提供等额增值税专用发票，经校区实施单位确认后，报发包人审核后付款。</w:t>
      </w:r>
    </w:p>
    <w:p w14:paraId="57E995D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对满足合同约定支付条件的，发包人应当提醒承包人按合同约定金额开具发票，自收到发票后 30 日内将资金支付到的承包人账户。逾期支付的发包人将依法承担违约责任，并赔偿承包人损失。</w:t>
      </w:r>
    </w:p>
    <w:p w14:paraId="74DC6C9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农民工工资确保支付方式：以银行、保险公司提供农民工工资支付保函。</w:t>
      </w:r>
    </w:p>
    <w:p w14:paraId="1C8DDA1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对未及时支付农民工工资的施工企业，发包人应当书面报告给招投标监管部门和建设行政主管部门。</w:t>
      </w:r>
    </w:p>
    <w:p w14:paraId="7A89384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本项目发包人要求承包人严格按照苏人社规【2022】3号、苏人社规【2022】4号以及盐住建建筑（2021）56 号文件要求的关于农民工工资相关约定执行</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每月5日前向发包人申报上月农民工工资</w:t>
      </w:r>
      <w:r>
        <w:rPr>
          <w:rFonts w:hint="eastAsia" w:ascii="宋体" w:hAnsi="宋体" w:eastAsia="宋体" w:cs="宋体"/>
          <w:sz w:val="24"/>
          <w:szCs w:val="24"/>
          <w:highlight w:val="none"/>
          <w:u w:val="single"/>
        </w:rPr>
        <w:t>。</w:t>
      </w:r>
    </w:p>
    <w:p w14:paraId="0C6EB0C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 </w:t>
      </w:r>
    </w:p>
    <w:p w14:paraId="724CD95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关于进度付款申请单编制的约定：</w:t>
      </w:r>
      <w:r>
        <w:rPr>
          <w:rFonts w:hint="eastAsia" w:ascii="宋体" w:hAnsi="宋体" w:eastAsia="宋体" w:cs="宋体"/>
          <w:sz w:val="24"/>
          <w:szCs w:val="24"/>
          <w:highlight w:val="none"/>
          <w:u w:val="single"/>
        </w:rPr>
        <w:t xml:space="preserve">按通用条款 </w:t>
      </w:r>
    </w:p>
    <w:p w14:paraId="3C936F1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12.4.3 进度付款申请单的提交 </w:t>
      </w:r>
    </w:p>
    <w:p w14:paraId="0326711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（1）单价合同进度付款申请单提交的约定：</w:t>
      </w:r>
      <w:r>
        <w:rPr>
          <w:rFonts w:hint="eastAsia" w:ascii="宋体" w:hAnsi="宋体" w:eastAsia="宋体" w:cs="宋体"/>
          <w:sz w:val="24"/>
          <w:szCs w:val="24"/>
          <w:highlight w:val="none"/>
          <w:u w:val="single"/>
        </w:rPr>
        <w:t xml:space="preserve">按通用条款 </w:t>
      </w:r>
    </w:p>
    <w:p w14:paraId="25EECF6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66E5D2D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6F9557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 </w:t>
      </w:r>
    </w:p>
    <w:p w14:paraId="005DE1B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（1）监理人审查并报送发包人的期限：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3352F1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发包人完成审批并签发进度款支付证书的期限：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22B4B82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（2）发包人支付进度款的期限：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6253F95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发包人逾期支付进度款的违约金的计算方式：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6FF576A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 </w:t>
      </w:r>
    </w:p>
    <w:p w14:paraId="561EB4C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6A68567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F60DAC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验收和工程试车 </w:t>
      </w:r>
    </w:p>
    <w:p w14:paraId="0E1F016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 </w:t>
      </w:r>
    </w:p>
    <w:p w14:paraId="372AA5D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13.1.2监理人不能按时进行验收时，应提前</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小时提交书面延期要求。 </w:t>
      </w:r>
    </w:p>
    <w:p w14:paraId="0B1F642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关于延期最长不得超过：</w:t>
      </w:r>
      <w:r>
        <w:rPr>
          <w:rFonts w:hint="eastAsia" w:ascii="宋体" w:hAnsi="宋体" w:eastAsia="宋体" w:cs="宋体"/>
          <w:sz w:val="24"/>
          <w:szCs w:val="24"/>
          <w:highlight w:val="none"/>
          <w:u w:val="single"/>
        </w:rPr>
        <w:t>/小时</w:t>
      </w:r>
      <w:r>
        <w:rPr>
          <w:rFonts w:hint="eastAsia" w:ascii="宋体" w:hAnsi="宋体" w:eastAsia="宋体" w:cs="宋体"/>
          <w:sz w:val="24"/>
          <w:szCs w:val="24"/>
          <w:highlight w:val="none"/>
        </w:rPr>
        <w:t xml:space="preserve">。 </w:t>
      </w:r>
    </w:p>
    <w:p w14:paraId="208A320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竣工验收 </w:t>
      </w:r>
    </w:p>
    <w:p w14:paraId="0B5241B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13.2.2竣工验收程序 </w:t>
      </w:r>
    </w:p>
    <w:p w14:paraId="08596B6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关于竣工验收程序的约定：</w:t>
      </w:r>
      <w:r>
        <w:rPr>
          <w:rFonts w:hint="eastAsia" w:ascii="宋体" w:hAnsi="宋体" w:eastAsia="宋体" w:cs="宋体"/>
          <w:sz w:val="24"/>
          <w:szCs w:val="24"/>
          <w:highlight w:val="none"/>
          <w:u w:val="single"/>
        </w:rPr>
        <w:t xml:space="preserve">  /  </w:t>
      </w:r>
    </w:p>
    <w:p w14:paraId="1D3F0AB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发包人不按照本项约定组织竣工验收、颁发工程接收证书的违约金的计算方法：</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1D064CD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13.2.5移交、接收全部与部分工程 </w:t>
      </w:r>
    </w:p>
    <w:p w14:paraId="560C10A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承包人向发包人移交工程的期限：</w:t>
      </w:r>
      <w:r>
        <w:rPr>
          <w:rFonts w:hint="eastAsia" w:ascii="宋体" w:hAnsi="宋体" w:eastAsia="宋体" w:cs="宋体"/>
          <w:sz w:val="24"/>
          <w:szCs w:val="24"/>
          <w:highlight w:val="none"/>
          <w:u w:val="single"/>
        </w:rPr>
        <w:t xml:space="preserve">合同约定的工期。 </w:t>
      </w:r>
    </w:p>
    <w:p w14:paraId="5DDC898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发包人未按本合同约定接收全部或部分工程的，违约金的计算方法为：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26D0981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承包人未按时移交工程的，违约金的计算方法为：</w:t>
      </w:r>
      <w:r>
        <w:rPr>
          <w:rFonts w:hint="eastAsia" w:ascii="宋体" w:hAnsi="宋体" w:eastAsia="宋体" w:cs="宋体"/>
          <w:sz w:val="24"/>
          <w:szCs w:val="24"/>
          <w:highlight w:val="none"/>
          <w:u w:val="single"/>
        </w:rPr>
        <w:t xml:space="preserve">承包人如竣工验收合格后不按时移交的，按工程竣工结算总价的2%承担违约金，该违约金直接从应付工程款或履约保证金中扣除。 </w:t>
      </w:r>
    </w:p>
    <w:p w14:paraId="7C1E7B5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 </w:t>
      </w:r>
    </w:p>
    <w:p w14:paraId="6BC8AD7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13.3.1 试车程序工程试车内容：</w:t>
      </w:r>
      <w:r>
        <w:rPr>
          <w:rFonts w:hint="eastAsia" w:ascii="宋体" w:hAnsi="宋体" w:eastAsia="宋体" w:cs="宋体"/>
          <w:sz w:val="24"/>
          <w:szCs w:val="24"/>
          <w:highlight w:val="none"/>
          <w:u w:val="single"/>
        </w:rPr>
        <w:t xml:space="preserve">  /  </w:t>
      </w:r>
    </w:p>
    <w:p w14:paraId="2C1042C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（1）单机无负荷试车费用由</w:t>
      </w:r>
      <w:r>
        <w:rPr>
          <w:rFonts w:hint="eastAsia" w:ascii="宋体" w:hAnsi="宋体" w:eastAsia="宋体" w:cs="宋体"/>
          <w:sz w:val="24"/>
          <w:szCs w:val="24"/>
          <w:highlight w:val="none"/>
          <w:u w:val="single"/>
        </w:rPr>
        <w:t>承包人</w:t>
      </w:r>
      <w:r>
        <w:rPr>
          <w:rFonts w:hint="eastAsia" w:ascii="宋体" w:hAnsi="宋体" w:eastAsia="宋体" w:cs="宋体"/>
          <w:sz w:val="24"/>
          <w:szCs w:val="24"/>
          <w:highlight w:val="none"/>
        </w:rPr>
        <w:t xml:space="preserve">承担； </w:t>
      </w:r>
    </w:p>
    <w:p w14:paraId="6EAD6A8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（2）无负荷联动试车费用由</w:t>
      </w:r>
      <w:r>
        <w:rPr>
          <w:rFonts w:hint="eastAsia" w:ascii="宋体" w:hAnsi="宋体" w:eastAsia="宋体" w:cs="宋体"/>
          <w:sz w:val="24"/>
          <w:szCs w:val="24"/>
          <w:highlight w:val="none"/>
          <w:u w:val="single"/>
        </w:rPr>
        <w:t>承包人</w:t>
      </w:r>
      <w:r>
        <w:rPr>
          <w:rFonts w:hint="eastAsia" w:ascii="宋体" w:hAnsi="宋体" w:eastAsia="宋体" w:cs="宋体"/>
          <w:sz w:val="24"/>
          <w:szCs w:val="24"/>
          <w:highlight w:val="none"/>
        </w:rPr>
        <w:t xml:space="preserve">承担。 </w:t>
      </w:r>
    </w:p>
    <w:p w14:paraId="4919DEF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13.3.3 投料试车 </w:t>
      </w:r>
    </w:p>
    <w:p w14:paraId="61EAB97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关于投料试车相关事项的约定：</w:t>
      </w:r>
      <w:r>
        <w:rPr>
          <w:rFonts w:hint="eastAsia" w:ascii="宋体" w:hAnsi="宋体" w:eastAsia="宋体" w:cs="宋体"/>
          <w:sz w:val="24"/>
          <w:szCs w:val="24"/>
          <w:highlight w:val="none"/>
          <w:u w:val="single"/>
        </w:rPr>
        <w:t xml:space="preserve">根据实际情况，按发包人要求执行。 </w:t>
      </w:r>
    </w:p>
    <w:p w14:paraId="0B05663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 竣工退场 </w:t>
      </w:r>
    </w:p>
    <w:p w14:paraId="4E46944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 </w:t>
      </w:r>
    </w:p>
    <w:p w14:paraId="5D57F8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承包人完成竣工退场的期限：</w:t>
      </w:r>
      <w:r>
        <w:rPr>
          <w:rFonts w:hint="eastAsia" w:ascii="宋体" w:hAnsi="宋体" w:eastAsia="宋体" w:cs="宋体"/>
          <w:sz w:val="24"/>
          <w:szCs w:val="24"/>
          <w:highlight w:val="none"/>
          <w:u w:val="single"/>
        </w:rPr>
        <w:t>竣工验收合格交付后7个工作日内。</w:t>
      </w:r>
      <w:r>
        <w:rPr>
          <w:rFonts w:hint="eastAsia" w:ascii="宋体" w:hAnsi="宋体" w:eastAsia="宋体" w:cs="宋体"/>
          <w:sz w:val="24"/>
          <w:szCs w:val="24"/>
          <w:highlight w:val="none"/>
        </w:rPr>
        <w:t xml:space="preserve"> </w:t>
      </w:r>
    </w:p>
    <w:p w14:paraId="021539F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竣工结算 </w:t>
      </w:r>
    </w:p>
    <w:p w14:paraId="3CA9062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竣工结算申请 </w:t>
      </w:r>
    </w:p>
    <w:p w14:paraId="658AF9A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承包人提交竣工结算申请单的期限：</w:t>
      </w:r>
      <w:r>
        <w:rPr>
          <w:rFonts w:hint="eastAsia" w:ascii="宋体" w:hAnsi="宋体" w:eastAsia="宋体" w:cs="宋体"/>
          <w:sz w:val="24"/>
          <w:szCs w:val="24"/>
          <w:highlight w:val="none"/>
          <w:u w:val="single"/>
        </w:rPr>
        <w:t xml:space="preserve">按通用条款。 </w:t>
      </w:r>
    </w:p>
    <w:p w14:paraId="0F02A89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竣工结算申请单应包括的内容：</w:t>
      </w:r>
      <w:r>
        <w:rPr>
          <w:rFonts w:hint="eastAsia" w:ascii="宋体" w:hAnsi="宋体" w:eastAsia="宋体" w:cs="宋体"/>
          <w:sz w:val="24"/>
          <w:szCs w:val="24"/>
          <w:highlight w:val="none"/>
          <w:u w:val="single"/>
        </w:rPr>
        <w:t>除通用条款约定外，还包括竣工图纸、文字资料、各分项的影像资料、工程照片和测绘资料等，均要求纸质原件和电子版，要求随竣工结算申请单一同提交发包人。</w:t>
      </w:r>
    </w:p>
    <w:p w14:paraId="08F0669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 竣工结算审核</w:t>
      </w:r>
    </w:p>
    <w:p w14:paraId="46B03BE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发包人审批竣工付款申请单的期限：</w:t>
      </w:r>
      <w:r>
        <w:rPr>
          <w:rFonts w:hint="eastAsia" w:ascii="宋体" w:hAnsi="宋体" w:eastAsia="宋体" w:cs="宋体"/>
          <w:sz w:val="24"/>
          <w:szCs w:val="24"/>
          <w:highlight w:val="none"/>
          <w:u w:val="single"/>
        </w:rPr>
        <w:t>参照财政部、建设部联合颁发的《建设工程价款结算暂行办法》（财建[2004]369号）执行</w:t>
      </w:r>
      <w:r>
        <w:rPr>
          <w:rFonts w:hint="eastAsia" w:ascii="宋体" w:hAnsi="宋体" w:eastAsia="宋体" w:cs="宋体"/>
          <w:sz w:val="24"/>
          <w:szCs w:val="24"/>
          <w:highlight w:val="none"/>
        </w:rPr>
        <w:t xml:space="preserve">。 </w:t>
      </w:r>
    </w:p>
    <w:p w14:paraId="517707F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发包人完成竣工付款的期限：</w:t>
      </w:r>
      <w:r>
        <w:rPr>
          <w:rFonts w:hint="eastAsia" w:ascii="宋体" w:hAnsi="宋体" w:eastAsia="宋体" w:cs="宋体"/>
          <w:sz w:val="24"/>
          <w:szCs w:val="24"/>
          <w:highlight w:val="none"/>
          <w:u w:val="single"/>
        </w:rPr>
        <w:t>按专用条款12.4条约定的工程款支付条款约定付款</w:t>
      </w:r>
      <w:r>
        <w:rPr>
          <w:rFonts w:hint="eastAsia" w:ascii="宋体" w:hAnsi="宋体" w:eastAsia="宋体" w:cs="宋体"/>
          <w:sz w:val="24"/>
          <w:szCs w:val="24"/>
          <w:highlight w:val="none"/>
        </w:rPr>
        <w:t xml:space="preserve">。 </w:t>
      </w:r>
    </w:p>
    <w:p w14:paraId="21528F9A">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关于竣工付款证书异议部分复核的方式和程序：</w:t>
      </w:r>
      <w:r>
        <w:rPr>
          <w:rFonts w:hint="eastAsia" w:ascii="宋体" w:hAnsi="宋体" w:eastAsia="宋体" w:cs="宋体"/>
          <w:sz w:val="24"/>
          <w:szCs w:val="24"/>
          <w:highlight w:val="none"/>
          <w:u w:val="single"/>
        </w:rPr>
        <w:t>按通用条款</w:t>
      </w:r>
      <w:r>
        <w:rPr>
          <w:rFonts w:hint="eastAsia" w:ascii="宋体" w:hAnsi="宋体" w:eastAsia="宋体" w:cs="宋体"/>
          <w:sz w:val="24"/>
          <w:szCs w:val="24"/>
          <w:highlight w:val="none"/>
        </w:rPr>
        <w:t xml:space="preserve">。 </w:t>
      </w:r>
    </w:p>
    <w:p w14:paraId="5694E50E">
      <w:pPr>
        <w:keepNext w:val="0"/>
        <w:keepLines w:val="0"/>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14.4 最终结清</w:t>
      </w:r>
    </w:p>
    <w:p w14:paraId="72357286">
      <w:pPr>
        <w:keepNext w:val="0"/>
        <w:keepLines w:val="0"/>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 </w:t>
      </w:r>
    </w:p>
    <w:p w14:paraId="0675CF5A">
      <w:pPr>
        <w:keepNext/>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承包人提交最终结清申请单的份数：</w:t>
      </w:r>
      <w:r>
        <w:rPr>
          <w:rFonts w:hint="eastAsia" w:ascii="宋体" w:hAnsi="宋体" w:eastAsia="宋体" w:cs="宋体"/>
          <w:sz w:val="24"/>
          <w:szCs w:val="24"/>
          <w:highlight w:val="none"/>
          <w:u w:val="single"/>
          <w:lang w:val="en-US" w:eastAsia="zh-CN"/>
        </w:rPr>
        <w:t>叁份</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 xml:space="preserve"> </w:t>
      </w:r>
    </w:p>
    <w:p w14:paraId="0E562824">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承包人提交最终结算申请单的期限：</w:t>
      </w:r>
      <w:r>
        <w:rPr>
          <w:rFonts w:hint="eastAsia" w:ascii="宋体" w:hAnsi="宋体" w:eastAsia="宋体" w:cs="宋体"/>
          <w:sz w:val="24"/>
          <w:szCs w:val="24"/>
          <w:highlight w:val="none"/>
          <w:u w:val="single"/>
        </w:rPr>
        <w:t>应在缺陷责任期终止证书颁发后7天内</w:t>
      </w:r>
      <w:r>
        <w:rPr>
          <w:rFonts w:hint="eastAsia" w:ascii="宋体" w:hAnsi="宋体" w:eastAsia="宋体" w:cs="宋体"/>
          <w:sz w:val="24"/>
          <w:szCs w:val="24"/>
          <w:highlight w:val="none"/>
        </w:rPr>
        <w:t xml:space="preserve"> 。</w:t>
      </w:r>
    </w:p>
    <w:p w14:paraId="1800D661">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最终结清证书和支付 </w:t>
      </w:r>
    </w:p>
    <w:p w14:paraId="64BDE2BD">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（1）发包人完成最终结清申请单的审批并颁发最终结清证书的期限：</w:t>
      </w:r>
      <w:r>
        <w:rPr>
          <w:rFonts w:hint="eastAsia" w:ascii="宋体" w:hAnsi="宋体" w:eastAsia="宋体" w:cs="宋体"/>
          <w:sz w:val="24"/>
          <w:szCs w:val="24"/>
          <w:highlight w:val="none"/>
          <w:u w:val="single"/>
        </w:rPr>
        <w:t xml:space="preserve">按通用条款。 </w:t>
      </w:r>
    </w:p>
    <w:p w14:paraId="042FB270">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（2）发包人完成支付的期限：</w:t>
      </w:r>
      <w:r>
        <w:rPr>
          <w:rFonts w:hint="eastAsia" w:ascii="宋体" w:hAnsi="宋体" w:eastAsia="宋体" w:cs="宋体"/>
          <w:sz w:val="24"/>
          <w:szCs w:val="24"/>
          <w:highlight w:val="none"/>
          <w:u w:val="single"/>
        </w:rPr>
        <w:t xml:space="preserve">按照专用条款12.4.1条的约定。 </w:t>
      </w:r>
    </w:p>
    <w:p w14:paraId="4FC42CC9">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缺陷责任期与保修 </w:t>
      </w:r>
    </w:p>
    <w:p w14:paraId="32D2655F">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15.2缺陷责任期 </w:t>
      </w:r>
    </w:p>
    <w:p w14:paraId="202D6B62">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缺陷责任期的具体期限：</w:t>
      </w:r>
      <w:r>
        <w:rPr>
          <w:rFonts w:hint="eastAsia" w:ascii="宋体" w:hAnsi="宋体" w:eastAsia="宋体" w:cs="宋体"/>
          <w:sz w:val="24"/>
          <w:szCs w:val="24"/>
          <w:highlight w:val="none"/>
          <w:u w:val="single"/>
        </w:rPr>
        <w:t>详见工程质量保修书。</w:t>
      </w:r>
      <w:r>
        <w:rPr>
          <w:rFonts w:hint="eastAsia" w:ascii="宋体" w:hAnsi="宋体" w:eastAsia="宋体" w:cs="宋体"/>
          <w:sz w:val="24"/>
          <w:szCs w:val="24"/>
          <w:highlight w:val="none"/>
        </w:rPr>
        <w:t xml:space="preserve"> </w:t>
      </w:r>
    </w:p>
    <w:p w14:paraId="53CA9039">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质量保证金 </w:t>
      </w:r>
    </w:p>
    <w:p w14:paraId="05A842B8">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关于是否扣留质量保证金的约定：</w:t>
      </w:r>
      <w:r>
        <w:rPr>
          <w:rFonts w:hint="eastAsia" w:ascii="宋体" w:hAnsi="宋体" w:eastAsia="宋体" w:cs="宋体"/>
          <w:sz w:val="24"/>
          <w:szCs w:val="24"/>
          <w:highlight w:val="none"/>
          <w:u w:val="single"/>
        </w:rPr>
        <w:t>扣留。</w:t>
      </w:r>
      <w:r>
        <w:rPr>
          <w:rFonts w:hint="eastAsia" w:ascii="宋体" w:hAnsi="宋体" w:eastAsia="宋体" w:cs="宋体"/>
          <w:sz w:val="24"/>
          <w:szCs w:val="24"/>
          <w:highlight w:val="none"/>
        </w:rPr>
        <w:t xml:space="preserve"> </w:t>
      </w:r>
    </w:p>
    <w:p w14:paraId="66C76B18">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 </w:t>
      </w:r>
    </w:p>
    <w:p w14:paraId="6B7C5EB3">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承包人提供质量保证金的方式 </w:t>
      </w:r>
    </w:p>
    <w:p w14:paraId="7102D6B1">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质量保证金采用以下第</w:t>
      </w:r>
      <w:r>
        <w:rPr>
          <w:rFonts w:hint="eastAsia" w:ascii="宋体" w:hAnsi="宋体" w:eastAsia="宋体" w:cs="宋体"/>
          <w:sz w:val="24"/>
          <w:szCs w:val="24"/>
          <w:highlight w:val="none"/>
          <w:u w:val="single"/>
        </w:rPr>
        <w:t>2</w:t>
      </w:r>
      <w:r>
        <w:rPr>
          <w:rFonts w:hint="eastAsia" w:ascii="宋体" w:hAnsi="宋体" w:eastAsia="宋体" w:cs="宋体"/>
          <w:sz w:val="24"/>
          <w:szCs w:val="24"/>
          <w:highlight w:val="none"/>
        </w:rPr>
        <w:t xml:space="preserve">种方式： </w:t>
      </w:r>
    </w:p>
    <w:p w14:paraId="6A6D5D56">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AE9A6E0">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3%</w:t>
      </w:r>
      <w:r>
        <w:rPr>
          <w:rFonts w:hint="eastAsia" w:ascii="宋体" w:hAnsi="宋体" w:eastAsia="宋体" w:cs="宋体"/>
          <w:sz w:val="24"/>
          <w:szCs w:val="24"/>
          <w:highlight w:val="none"/>
        </w:rPr>
        <w:t xml:space="preserve">的工程款； </w:t>
      </w:r>
    </w:p>
    <w:p w14:paraId="508F3A79">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1EE83EC">
      <w:pPr>
        <w:keepNext w:val="0"/>
        <w:keepLines/>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质量保证金的扣留 </w:t>
      </w:r>
    </w:p>
    <w:p w14:paraId="17C65F9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质量保证金的扣留采取以下第</w:t>
      </w:r>
      <w:r>
        <w:rPr>
          <w:rFonts w:hint="eastAsia" w:ascii="宋体" w:hAnsi="宋体" w:eastAsia="宋体" w:cs="宋体"/>
          <w:sz w:val="24"/>
          <w:szCs w:val="24"/>
          <w:highlight w:val="none"/>
          <w:u w:val="single"/>
        </w:rPr>
        <w:t>2</w:t>
      </w:r>
      <w:r>
        <w:rPr>
          <w:rFonts w:hint="eastAsia" w:ascii="宋体" w:hAnsi="宋体" w:eastAsia="宋体" w:cs="宋体"/>
          <w:sz w:val="24"/>
          <w:szCs w:val="24"/>
          <w:highlight w:val="none"/>
        </w:rPr>
        <w:t>种方式：</w:t>
      </w:r>
    </w:p>
    <w:p w14:paraId="42275065">
      <w:pPr>
        <w:pageBreakBefore w:val="0"/>
        <w:widowControl/>
        <w:numPr>
          <w:ilvl w:val="0"/>
          <w:numId w:val="8"/>
        </w:numPr>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在支付工程进度款时逐次扣留，在此情形下，质量保证金的计算基数不包括预付款的支付、扣回以及价格调整的金额；</w:t>
      </w:r>
    </w:p>
    <w:p w14:paraId="637DD575">
      <w:pPr>
        <w:pageBreakBefore w:val="0"/>
        <w:widowControl/>
        <w:numPr>
          <w:ilvl w:val="0"/>
          <w:numId w:val="8"/>
        </w:numPr>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工程竣工结算时一次性扣留质量保证金</w:t>
      </w:r>
      <w:r>
        <w:rPr>
          <w:rFonts w:hint="eastAsia" w:ascii="宋体" w:hAnsi="宋体" w:eastAsia="宋体" w:cs="宋体"/>
          <w:sz w:val="24"/>
          <w:szCs w:val="24"/>
          <w:highlight w:val="none"/>
        </w:rPr>
        <w:t xml:space="preserve">； </w:t>
      </w:r>
    </w:p>
    <w:p w14:paraId="7B69EF3C">
      <w:pPr>
        <w:pageBreakBefore w:val="0"/>
        <w:widowControl/>
        <w:numPr>
          <w:ilvl w:val="0"/>
          <w:numId w:val="8"/>
        </w:numPr>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01C11C7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关于质量保证金的补充约定：</w:t>
      </w:r>
      <w:r>
        <w:rPr>
          <w:rFonts w:hint="eastAsia" w:ascii="宋体" w:hAnsi="宋体" w:eastAsia="宋体" w:cs="宋体"/>
          <w:sz w:val="24"/>
          <w:szCs w:val="24"/>
          <w:highlight w:val="none"/>
          <w:u w:val="single"/>
        </w:rPr>
        <w:t xml:space="preserve">质量缺陷责任期从工程竣工验收合格之日起计算，具体保修范围、保修期限、保修责任、保修金的支付、返还应按《建设工程质量管理条例》、《建设工程质量保证金管理暂行办法》等规定及双方约定执行。在缺陷责任期内，因承包人原因造成工程缺陷、损坏的，承包人未能及时修复的，发包人可直接委托第三方修复，所需费用直接从质量保证金中扣除，质量保证金不足以弥补费用的承包人需补足并支付给发包人，缺陷责任期满将剩余部分无息退还承包人。 </w:t>
      </w:r>
    </w:p>
    <w:p w14:paraId="390E9DF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15.4保修 </w:t>
      </w:r>
    </w:p>
    <w:p w14:paraId="2678397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15.4.1 保修责任 </w:t>
      </w:r>
    </w:p>
    <w:p w14:paraId="1575834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工程保修期为：</w:t>
      </w:r>
      <w:r>
        <w:rPr>
          <w:rFonts w:hint="eastAsia" w:ascii="宋体" w:hAnsi="宋体" w:eastAsia="宋体" w:cs="宋体"/>
          <w:sz w:val="24"/>
          <w:szCs w:val="24"/>
          <w:highlight w:val="none"/>
          <w:u w:val="single"/>
        </w:rPr>
        <w:t xml:space="preserve">按照双方签订的《工程质量保修书》的约定执行 </w:t>
      </w:r>
    </w:p>
    <w:p w14:paraId="1C085C42">
      <w:pPr>
        <w:keepLines w:val="0"/>
        <w:pageBreakBefore w:val="0"/>
        <w:widowControl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15.4.3 修复通知 </w:t>
      </w:r>
    </w:p>
    <w:p w14:paraId="77D3178D">
      <w:pPr>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承包人收到保修通知并到达工程现场的合理时间：</w:t>
      </w:r>
      <w:r>
        <w:rPr>
          <w:rFonts w:hint="eastAsia" w:ascii="宋体" w:hAnsi="宋体" w:eastAsia="宋体" w:cs="宋体"/>
          <w:sz w:val="24"/>
          <w:szCs w:val="24"/>
          <w:highlight w:val="none"/>
          <w:u w:val="single"/>
        </w:rPr>
        <w:t>1、属于保修范围、内容的项目，承包人应当在接到保修通知之日起1天内派人保修。承包人不在约定期限内派人保修的，发包人可以委托他人修理，所需费用直接从质量保证金中扣除，质量保证金不足以弥补费用的承包人需补足并支付给发包人。2、发生紧急抢修事故的，承包人在接到事故通知后，应当立即到达事故现场抢修；承包人不按时派人保修的，发包人可以委托他人修理，所需费用直接从质量保证金中扣除，质量保证金不足以弥补费用的承包人需补足并支付给发包人。</w:t>
      </w:r>
    </w:p>
    <w:p w14:paraId="114F650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 违约</w:t>
      </w:r>
    </w:p>
    <w:p w14:paraId="20676AA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发包人违约 </w:t>
      </w:r>
    </w:p>
    <w:p w14:paraId="25F2536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16.1.1发包人违约的情形 </w:t>
      </w:r>
    </w:p>
    <w:p w14:paraId="1A14241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发包人违约的其他情形：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BD290E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发包人违约的责任 </w:t>
      </w:r>
    </w:p>
    <w:p w14:paraId="562EBD7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 </w:t>
      </w:r>
    </w:p>
    <w:p w14:paraId="5CB3AB2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（1）因发包人原因未能在计划开工日期前7天内下达开工通知的违约责任：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330D2F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（2）因发包人原因未能按合同约定支付合同价款的违约责任：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590E4F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22FF35B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0E33BCA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（5）因发包人违反合同约定造成暂停施工的违约责任：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BA8729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18CB9C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（7）其他：</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040DCB5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 </w:t>
      </w:r>
    </w:p>
    <w:p w14:paraId="7E280BD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承包人按16.1.1项〔发包人违约的情形〕约定暂停施工满</w:t>
      </w:r>
      <w:r>
        <w:rPr>
          <w:rFonts w:hint="eastAsia" w:ascii="宋体" w:hAnsi="宋体" w:eastAsia="宋体" w:cs="宋体"/>
          <w:sz w:val="24"/>
          <w:szCs w:val="24"/>
          <w:highlight w:val="none"/>
          <w:u w:val="single"/>
        </w:rPr>
        <w:t>（按通用条款执行）</w:t>
      </w:r>
      <w:r>
        <w:rPr>
          <w:rFonts w:hint="eastAsia" w:ascii="宋体" w:hAnsi="宋体" w:eastAsia="宋体" w:cs="宋体"/>
          <w:sz w:val="24"/>
          <w:szCs w:val="24"/>
          <w:highlight w:val="none"/>
        </w:rPr>
        <w:t xml:space="preserve">天后发包人仍不纠正其违约行为并致使合同目的不能实现的，承包人有权解除合同。 </w:t>
      </w:r>
    </w:p>
    <w:p w14:paraId="60C1DE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 </w:t>
      </w:r>
    </w:p>
    <w:p w14:paraId="375F444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 </w:t>
      </w:r>
    </w:p>
    <w:p w14:paraId="70A80BD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承包人违约的其他情形：</w:t>
      </w:r>
      <w:r>
        <w:rPr>
          <w:rFonts w:hint="eastAsia" w:ascii="宋体" w:hAnsi="宋体" w:eastAsia="宋体" w:cs="宋体"/>
          <w:sz w:val="24"/>
          <w:szCs w:val="24"/>
          <w:highlight w:val="none"/>
          <w:u w:val="single"/>
        </w:rPr>
        <w:t>专用条款已明确的按专用条款执行，专用条款未明确的按通用条款及发包人要求执行。</w:t>
      </w:r>
    </w:p>
    <w:p w14:paraId="4BDAE2F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 </w:t>
      </w:r>
    </w:p>
    <w:p w14:paraId="7FD912A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承包人违约责任的承担方式和计算方法： </w:t>
      </w:r>
    </w:p>
    <w:p w14:paraId="4B829E9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(1)本工程开工时间以发包人批准的开工通知日期为准。如遇特殊情况推迟开工，合同工期相应顺延。承 包人应按照投标文件承诺的工期确保工程验收，不得以任何借口停工怠工。如因承包人原因延误工期的，承包人应承担违约责任，按每拖延一天向发包人支付10000元的违约金。 </w:t>
      </w:r>
    </w:p>
    <w:p w14:paraId="6E3E035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sectPr>
          <w:footerReference r:id="rId10" w:type="default"/>
          <w:pgSz w:w="11906" w:h="16838"/>
          <w:pgMar w:top="1015" w:right="1196" w:bottom="868" w:left="1259" w:header="851" w:footer="907" w:gutter="0"/>
          <w:pgNumType w:fmt="decimal"/>
          <w:cols w:space="720" w:num="1"/>
          <w:docGrid w:type="lines" w:linePitch="286" w:charSpace="0"/>
        </w:sectPr>
      </w:pPr>
    </w:p>
    <w:p w14:paraId="6BEC6C16">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承包人严格按照经发包人(实施单位)同意的施工计划组织工程施工。接受发包人(实施单位)对进度的检查、监督，工程实际进度与经确认的进度计划不符时，承包人应按发包人的要求提出书面改进措施方案，并经发包人(实施单位)确认后执行。因承包人的原因导致实际进度与进度计划不符，承包人无权就改进措施提出追加合同价款。 </w:t>
      </w:r>
    </w:p>
    <w:p w14:paraId="0D33965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 承包人应当按照发包人的开工通知书的开工日期开工。承包人不能按时开工，应当不迟于合同约定的开工日期前7天，以书面形式向发包人(实施单位)提出延期开工的理由和要求。发包人(实施单位)应当在接到延期开工申请后的48小时内以书面形式答复承包人，发包人(实施单位)在接到延期开工申请后的48小时内不答复，视为不同意承包人的要求。发包人(实施单位)不同意延期要求或承包人未在规定时间内提出延期开工要求，工期不予顺延。 </w:t>
      </w:r>
    </w:p>
    <w:p w14:paraId="31FADF3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(4)承包人施工时必须服从发包人(实施单位)对施工场地和施工时间的统一管理。与相关施工单位密切配合绝不扯皮，如有问题以发包人意见为准，如不服从根据实际情况每次罚款10000元，如造成工期延误的，视为承包人违约，并每天按照合同总价</w:t>
      </w:r>
      <w:r>
        <w:rPr>
          <w:rFonts w:hint="eastAsia" w:ascii="宋体" w:hAnsi="宋体" w:eastAsia="宋体" w:cs="宋体"/>
          <w:sz w:val="24"/>
          <w:szCs w:val="24"/>
          <w:highlight w:val="none"/>
          <w:u w:val="single"/>
          <w:lang w:eastAsia="zh-CN"/>
        </w:rPr>
        <w:t>千</w:t>
      </w:r>
      <w:r>
        <w:rPr>
          <w:rFonts w:hint="eastAsia" w:ascii="宋体" w:hAnsi="宋体" w:eastAsia="宋体" w:cs="宋体"/>
          <w:sz w:val="24"/>
          <w:szCs w:val="24"/>
          <w:highlight w:val="none"/>
          <w:u w:val="single"/>
        </w:rPr>
        <w:t>分之</w:t>
      </w:r>
      <w:r>
        <w:rPr>
          <w:rFonts w:hint="eastAsia" w:ascii="宋体" w:hAnsi="宋体" w:eastAsia="宋体" w:cs="宋体"/>
          <w:sz w:val="24"/>
          <w:szCs w:val="24"/>
          <w:highlight w:val="none"/>
          <w:u w:val="single"/>
          <w:lang w:val="en-US" w:eastAsia="zh-CN"/>
        </w:rPr>
        <w:t>二</w:t>
      </w:r>
      <w:r>
        <w:rPr>
          <w:rFonts w:hint="eastAsia" w:ascii="宋体" w:hAnsi="宋体" w:eastAsia="宋体" w:cs="宋体"/>
          <w:sz w:val="24"/>
          <w:szCs w:val="24"/>
          <w:highlight w:val="none"/>
          <w:u w:val="single"/>
        </w:rPr>
        <w:t xml:space="preserve">承担逾期违约责任。承包人应充分考虑施工环境、施工部位和施工季节的特殊性，在应遵守地方政府规定的前提下确保工期和质量，自行处理各方关系，费用自理。 </w:t>
      </w:r>
    </w:p>
    <w:p w14:paraId="7B12010B">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因承包人原因，工程在中间交验过程中，不能达到招标和合同要求（工期、质量），累计拖延工期超过15天，且承包人拿不出让发包人(实施单位)满意的追赶工期计划，承包人除按照专用条款中约定的逾期、质量违约约定承担违约责任外，发包人有权拒付（缓付）工程款，并酌情调整施工队伍直至清除出场，清退出场的，将解除合同，没收全部履约保证金，承包人承诺无条件服从并承担由此发生的一切费用和损失。 </w:t>
      </w:r>
    </w:p>
    <w:p w14:paraId="6C10395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 如果一次性验收不合格，除按本合同约定规定实行处罚外，承包人必须无偿整改达到规定质量目标并承担由此造成的损失和费用。 </w:t>
      </w:r>
    </w:p>
    <w:p w14:paraId="51D61EE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(7)若存在其他违约情形，专用条款未明确的按通用条款、现行有关规定及发包人要求执行。 </w:t>
      </w:r>
    </w:p>
    <w:p w14:paraId="11973B7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 </w:t>
      </w:r>
    </w:p>
    <w:p w14:paraId="0CE354E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关于承包人违约解除合同的特别约定：</w:t>
      </w:r>
      <w:r>
        <w:rPr>
          <w:rFonts w:hint="eastAsia" w:ascii="宋体" w:hAnsi="宋体" w:eastAsia="宋体" w:cs="宋体"/>
          <w:sz w:val="24"/>
          <w:szCs w:val="24"/>
          <w:highlight w:val="none"/>
          <w:u w:val="single"/>
        </w:rPr>
        <w:t xml:space="preserve">在本合同履行过程中，如承包人发生如下情形之一，发包人将视承包人严重违约，立即解除合同并没收全部履约保证金，冻结专户资金，承包人承担违约责任并承担由此造成的一切损失，承包人在现场的人员无条件退场，承包人在现场的设备和材料无条件供发包人使用，其设备租金和材料价值待法院裁判后，如有剩余，裁判生效后7天内支付。 </w:t>
      </w:r>
    </w:p>
    <w:p w14:paraId="13E7247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① 不同意本工程合同条件； </w:t>
      </w:r>
    </w:p>
    <w:p w14:paraId="6C34097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②停工或拖延施工进度或影响施工质量； </w:t>
      </w:r>
    </w:p>
    <w:p w14:paraId="299E5D8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③无正当理由，单方面要挟发包人提高合同价款； </w:t>
      </w:r>
    </w:p>
    <w:p w14:paraId="5B1FF5C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④无正当理由，单方面要挟发包人给予某种补偿。 </w:t>
      </w:r>
    </w:p>
    <w:p w14:paraId="59C8239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发包人继续使用承包人在施工现场的材料、设备、临时工程、承包人文件和由承包人或以其名义编制的其他文件的费用承担方式：按通用条款。</w:t>
      </w:r>
      <w:r>
        <w:rPr>
          <w:rFonts w:hint="eastAsia" w:ascii="宋体" w:hAnsi="宋体" w:eastAsia="宋体" w:cs="宋体"/>
          <w:sz w:val="24"/>
          <w:szCs w:val="24"/>
          <w:highlight w:val="none"/>
        </w:rPr>
        <w:t xml:space="preserve"> </w:t>
      </w:r>
    </w:p>
    <w:p w14:paraId="7B77F7E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不可抗力 </w:t>
      </w:r>
    </w:p>
    <w:p w14:paraId="4B7B108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 </w:t>
      </w:r>
    </w:p>
    <w:p w14:paraId="6A94731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除通用合同条款约定的不可抗力事件之外，视为不可抗力的其他情形：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140CFBC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 因不可抗力解除合同 </w:t>
      </w:r>
    </w:p>
    <w:p w14:paraId="32ADF92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合同解除后，发包人应在商定或确定发包人应支付款项后</w:t>
      </w:r>
      <w:r>
        <w:rPr>
          <w:rFonts w:hint="eastAsia" w:ascii="宋体" w:hAnsi="宋体" w:eastAsia="宋体" w:cs="宋体"/>
          <w:sz w:val="24"/>
          <w:szCs w:val="24"/>
          <w:highlight w:val="none"/>
          <w:u w:val="single"/>
        </w:rPr>
        <w:t>30</w:t>
      </w:r>
      <w:r>
        <w:rPr>
          <w:rFonts w:hint="eastAsia" w:ascii="宋体" w:hAnsi="宋体" w:eastAsia="宋体" w:cs="宋体"/>
          <w:sz w:val="24"/>
          <w:szCs w:val="24"/>
          <w:highlight w:val="none"/>
        </w:rPr>
        <w:t xml:space="preserve">天内完成款项的支付。 </w:t>
      </w:r>
    </w:p>
    <w:p w14:paraId="5130980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保险 </w:t>
      </w:r>
    </w:p>
    <w:p w14:paraId="2BFE30B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 </w:t>
      </w:r>
    </w:p>
    <w:p w14:paraId="5462B35E">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关于工程保险的特别约定：</w:t>
      </w:r>
      <w:r>
        <w:rPr>
          <w:rFonts w:hint="eastAsia" w:ascii="宋体" w:hAnsi="宋体" w:eastAsia="宋体" w:cs="宋体"/>
          <w:sz w:val="24"/>
          <w:szCs w:val="24"/>
          <w:highlight w:val="none"/>
          <w:u w:val="single"/>
        </w:rPr>
        <w:t xml:space="preserve">承包人应投保建筑工程一切险并承担保险费用。 </w:t>
      </w:r>
    </w:p>
    <w:p w14:paraId="03996B2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其他保险 </w:t>
      </w:r>
    </w:p>
    <w:p w14:paraId="6722D16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关于其他保险的约定：</w:t>
      </w:r>
      <w:r>
        <w:rPr>
          <w:rFonts w:hint="eastAsia" w:ascii="宋体" w:hAnsi="宋体" w:eastAsia="宋体" w:cs="宋体"/>
          <w:sz w:val="24"/>
          <w:szCs w:val="24"/>
          <w:highlight w:val="none"/>
          <w:u w:val="single"/>
        </w:rPr>
        <w:t>按通用条款。</w:t>
      </w:r>
    </w:p>
    <w:p w14:paraId="45A8A0A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承包人是否应为其施工设备等办理财产保险：</w:t>
      </w:r>
      <w:r>
        <w:rPr>
          <w:rFonts w:hint="eastAsia" w:ascii="宋体" w:hAnsi="宋体" w:eastAsia="宋体" w:cs="宋体"/>
          <w:sz w:val="24"/>
          <w:szCs w:val="24"/>
          <w:highlight w:val="none"/>
          <w:u w:val="single"/>
        </w:rPr>
        <w:t xml:space="preserve">  是  </w:t>
      </w:r>
      <w:r>
        <w:rPr>
          <w:rFonts w:hint="eastAsia" w:ascii="宋体" w:hAnsi="宋体" w:eastAsia="宋体" w:cs="宋体"/>
          <w:sz w:val="24"/>
          <w:szCs w:val="24"/>
          <w:highlight w:val="none"/>
        </w:rPr>
        <w:t xml:space="preserve">。 </w:t>
      </w:r>
    </w:p>
    <w:p w14:paraId="5E8FA80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 通知义务 </w:t>
      </w:r>
    </w:p>
    <w:p w14:paraId="4DBD3DD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关于变更保险合同时的通知义务的约定：</w:t>
      </w:r>
      <w:r>
        <w:rPr>
          <w:rFonts w:hint="eastAsia" w:ascii="宋体" w:hAnsi="宋体" w:eastAsia="宋体" w:cs="宋体"/>
          <w:sz w:val="24"/>
          <w:szCs w:val="24"/>
          <w:highlight w:val="none"/>
          <w:u w:val="single"/>
        </w:rPr>
        <w:t xml:space="preserve">按通用条款。 </w:t>
      </w:r>
    </w:p>
    <w:p w14:paraId="47B102A7">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19.通知送达 </w:t>
      </w:r>
    </w:p>
    <w:p w14:paraId="4CAE72A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发包人向承包人发出的通知，以邮寄方式发出的，自发出之日起第3日视为送达；以传真方式发出的，自发出当日视为送达；以电子邮件、短信方式发出的，自发出之时即视为送达。。 </w:t>
      </w:r>
    </w:p>
    <w:p w14:paraId="4EF88D68">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争议解决 </w:t>
      </w:r>
    </w:p>
    <w:p w14:paraId="595B60CD">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 争议评审 </w:t>
      </w:r>
    </w:p>
    <w:p w14:paraId="5C81A20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合同当事人是否同意将工程争议提交争议评审小组决定：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3F58F660">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20.3.1 争议评审小组的确定 </w:t>
      </w:r>
    </w:p>
    <w:p w14:paraId="767E2411">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17353125">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7809A282">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w:t>
      </w:r>
    </w:p>
    <w:p w14:paraId="1222F064">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12C756E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20.3.2 争议评审小组的决定 </w:t>
      </w:r>
    </w:p>
    <w:p w14:paraId="567C282F">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p>
    <w:p w14:paraId="4F1617A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20.4仲裁或诉讼 </w:t>
      </w:r>
    </w:p>
    <w:p w14:paraId="43C5D003">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因合同及合同有关事项发生的争议，按下列第2种方式解决： </w:t>
      </w:r>
    </w:p>
    <w:p w14:paraId="0D482229">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（1）向盐城仲裁委员会申请仲裁； </w:t>
      </w:r>
    </w:p>
    <w:p w14:paraId="46397A0C">
      <w:pPr>
        <w:pageBreakBefore w:val="0"/>
        <w:widowControl/>
        <w:kinsoku/>
        <w:wordWrap/>
        <w:overflowPunct/>
        <w:topLinePunct w:val="0"/>
        <w:autoSpaceDE/>
        <w:autoSpaceDN/>
        <w:bidi w:val="0"/>
        <w:adjustRightInd/>
        <w:snapToGrid/>
        <w:spacing w:line="460" w:lineRule="exact"/>
        <w:ind w:left="0" w:leftChars="0" w:firstLine="480" w:firstLineChars="200"/>
        <w:jc w:val="left"/>
        <w:textAlignment w:val="auto"/>
        <w:rPr>
          <w:rFonts w:ascii="宋体" w:hAnsi="宋体" w:cs="宋体"/>
          <w:highlight w:val="none"/>
        </w:rPr>
      </w:pPr>
      <w:r>
        <w:rPr>
          <w:rFonts w:hint="eastAsia" w:ascii="宋体" w:hAnsi="宋体" w:eastAsia="宋体" w:cs="宋体"/>
          <w:sz w:val="24"/>
          <w:szCs w:val="24"/>
          <w:highlight w:val="none"/>
        </w:rPr>
        <w:t>（2）向</w:t>
      </w:r>
      <w:r>
        <w:rPr>
          <w:rFonts w:hint="eastAsia" w:ascii="宋体" w:hAnsi="宋体" w:eastAsia="宋体" w:cs="宋体"/>
          <w:sz w:val="24"/>
          <w:szCs w:val="24"/>
          <w:highlight w:val="none"/>
          <w:u w:val="single"/>
        </w:rPr>
        <w:t>工程所在地</w:t>
      </w:r>
      <w:r>
        <w:rPr>
          <w:rFonts w:hint="eastAsia" w:ascii="宋体" w:hAnsi="宋体" w:eastAsia="宋体" w:cs="宋体"/>
          <w:sz w:val="24"/>
          <w:szCs w:val="24"/>
          <w:highlight w:val="none"/>
        </w:rPr>
        <w:t>人民法院起诉。</w:t>
      </w:r>
      <w:r>
        <w:rPr>
          <w:rFonts w:hint="eastAsia" w:ascii="宋体" w:hAnsi="宋体" w:cs="宋体"/>
          <w:highlight w:val="none"/>
        </w:rPr>
        <w:t xml:space="preserve"> </w:t>
      </w:r>
    </w:p>
    <w:p w14:paraId="1ACE4BA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宋体" w:hAnsi="宋体" w:cs="宋体"/>
          <w:b/>
          <w:sz w:val="32"/>
          <w:szCs w:val="32"/>
          <w:highlight w:val="none"/>
        </w:rPr>
      </w:pPr>
      <w:r>
        <w:rPr>
          <w:rFonts w:hint="eastAsia" w:ascii="宋体" w:hAnsi="宋体" w:cs="宋体"/>
          <w:b/>
          <w:sz w:val="32"/>
          <w:szCs w:val="32"/>
          <w:highlight w:val="none"/>
        </w:rPr>
        <w:br w:type="page"/>
      </w:r>
      <w:r>
        <w:rPr>
          <w:rFonts w:hint="eastAsia" w:ascii="宋体" w:hAnsi="宋体" w:cs="宋体"/>
          <w:b/>
          <w:sz w:val="32"/>
          <w:szCs w:val="32"/>
          <w:highlight w:val="none"/>
        </w:rPr>
        <w:t>工程质量保修书</w:t>
      </w:r>
    </w:p>
    <w:p w14:paraId="3B9BEABA">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发包人（全称）：</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             </w:t>
      </w:r>
    </w:p>
    <w:p w14:paraId="4A939117">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承包人（全称）：</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 </w:t>
      </w:r>
    </w:p>
    <w:p w14:paraId="1E2FA360">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发包人、实施单位和承包人根据《中华人民共和国建筑法》和《建设工程质量管理条例》，经协商一致就</w:t>
      </w:r>
      <w:r>
        <w:rPr>
          <w:rFonts w:hint="eastAsia" w:ascii="宋体" w:hAnsi="宋体" w:cs="宋体"/>
          <w:sz w:val="24"/>
          <w:szCs w:val="24"/>
          <w:highlight w:val="none"/>
          <w:u w:val="single"/>
          <w:lang w:eastAsia="zh-CN"/>
        </w:rPr>
        <w:t>便仓镇恒泽源农产品加工项目配套污水压力管道建设工程</w:t>
      </w:r>
      <w:r>
        <w:rPr>
          <w:rFonts w:hint="eastAsia" w:ascii="宋体" w:hAnsi="宋体" w:cs="宋体"/>
          <w:sz w:val="24"/>
          <w:szCs w:val="24"/>
          <w:highlight w:val="none"/>
        </w:rPr>
        <w:t xml:space="preserve">（工程全称）签订工程质量保修书。 </w:t>
      </w:r>
    </w:p>
    <w:p w14:paraId="4E2B8639">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一、工程质量保修范围和内容 </w:t>
      </w:r>
    </w:p>
    <w:p w14:paraId="4B51F274">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承包人在质量保修期内，按照有关法律规定和合同约定，承担工程质量保修责任。 </w:t>
      </w:r>
    </w:p>
    <w:p w14:paraId="6E7F7296">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14:paraId="308131D4">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u w:val="single"/>
        </w:rPr>
      </w:pPr>
      <w:r>
        <w:rPr>
          <w:rFonts w:hint="eastAsia" w:ascii="宋体" w:hAnsi="宋体" w:cs="宋体"/>
          <w:sz w:val="24"/>
          <w:szCs w:val="24"/>
          <w:highlight w:val="none"/>
          <w:u w:val="single"/>
        </w:rPr>
        <w:t xml:space="preserve">从该工程竣工验收合格之日起至该工程约定保修期满之日止为保修期。具体保修范围以承包人承揽工程项目一览表、工程量清单、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p>
    <w:p w14:paraId="3D65D6E9">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二、质量保修期 </w:t>
      </w:r>
    </w:p>
    <w:p w14:paraId="2A368E48">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根据《建设工程质量管理条例》及有关规定，工程的质量保修期如下： </w:t>
      </w:r>
    </w:p>
    <w:p w14:paraId="5E75F636">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1．地基基础工程和主体结构工程为设计文件规定的工程合理使用年限； </w:t>
      </w:r>
    </w:p>
    <w:p w14:paraId="5103F800">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2．屋面防水工程、有防水要求的卫生间、房间和外墙面的防渗为5年； </w:t>
      </w:r>
    </w:p>
    <w:p w14:paraId="3B49F5A4">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3．装修工程为2年； </w:t>
      </w:r>
    </w:p>
    <w:p w14:paraId="1096617A">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4．电气管线、给排水管道、设备安装工程为2年；</w:t>
      </w:r>
    </w:p>
    <w:p w14:paraId="6007CC66">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5．供热与供冷系统为2个采暖期、供冷期；</w:t>
      </w:r>
    </w:p>
    <w:p w14:paraId="088742EE">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6．其他项目保修期限约定如下：不少于2年。</w:t>
      </w:r>
    </w:p>
    <w:p w14:paraId="089AC0B5">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质量保修期自工程竣工验收合格之日起计算。</w:t>
      </w:r>
    </w:p>
    <w:p w14:paraId="2367D637">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三、缺陷责任期 </w:t>
      </w:r>
    </w:p>
    <w:p w14:paraId="5ED85D4F">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工程缺陷责任期为24个月，缺陷责任期自工程通过竣工验收之日起计算。单位工程先于全部工程进行验收，单位工程缺陷责任期自单位工程验收合格之日起算。</w:t>
      </w:r>
    </w:p>
    <w:p w14:paraId="24B02CDA">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缺陷责任期终止后，发包人应退还剩余的质量保证金。</w:t>
      </w:r>
    </w:p>
    <w:p w14:paraId="6FDDB725">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四、质量保修责任</w:t>
      </w:r>
    </w:p>
    <w:p w14:paraId="4F82AF16">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1．属于保修范围、内容的项目，承包人应当在接到保修通知之日起1天内派人保修。承包人不在约定期限内派人保修的，发包人可以委托他人修理。 </w:t>
      </w:r>
    </w:p>
    <w:p w14:paraId="2EA0F798">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2．发生紧急事故需抢修的，承包人在接到事故通知后，应当立即到达事故现场抢修。 </w:t>
      </w:r>
    </w:p>
    <w:p w14:paraId="4A67A28A">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A762858">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4．质量保修完成后，由发包人组织验收。 </w:t>
      </w:r>
    </w:p>
    <w:p w14:paraId="17E87477">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五、保修费用 </w:t>
      </w:r>
    </w:p>
    <w:p w14:paraId="2D41328D">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保修费用由造成质量缺陷的责任方承担。 </w:t>
      </w:r>
    </w:p>
    <w:p w14:paraId="0ECD1B49">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六、双方约定的其他工程质量保修事项： </w:t>
      </w:r>
    </w:p>
    <w:p w14:paraId="338E14A9">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工程质量保修书由发包人、承包人在工程竣工验收前共同签署，作为施工合同附件，其有效期限至保修期满。</w:t>
      </w:r>
    </w:p>
    <w:p w14:paraId="10F35A77">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p>
    <w:p w14:paraId="4AB136CB">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发包人(公章)：                         承包人(公章)： </w:t>
      </w:r>
    </w:p>
    <w:p w14:paraId="3FA663CE">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地 址：                                地 址： </w:t>
      </w:r>
    </w:p>
    <w:p w14:paraId="5F4FCB5D">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法定代表人(签字)：                     法定代表人(签字)： </w:t>
      </w:r>
    </w:p>
    <w:p w14:paraId="4D9D96B1">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委托代理人(签字)：                     委托代理人(签字)： </w:t>
      </w:r>
    </w:p>
    <w:p w14:paraId="04264670">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电 话：                                电 话： </w:t>
      </w:r>
    </w:p>
    <w:p w14:paraId="29D389C7">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传 真：                                传 真： </w:t>
      </w:r>
    </w:p>
    <w:p w14:paraId="788E9336">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开户银行：                             开户银行： </w:t>
      </w:r>
    </w:p>
    <w:p w14:paraId="4BEC65EC">
      <w:pPr>
        <w:keepNext w:val="0"/>
        <w:keepLines w:val="0"/>
        <w:pageBreakBefore w:val="0"/>
        <w:widowControl/>
        <w:kinsoku/>
        <w:wordWrap/>
        <w:overflowPunct/>
        <w:topLinePunct w:val="0"/>
        <w:autoSpaceDE/>
        <w:autoSpaceDN/>
        <w:bidi w:val="0"/>
        <w:adjustRightInd/>
        <w:spacing w:line="46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 xml:space="preserve">账 号：                                账 号： </w:t>
      </w:r>
    </w:p>
    <w:p w14:paraId="21B59FFF">
      <w:pPr>
        <w:pStyle w:val="20"/>
        <w:keepNext w:val="0"/>
        <w:keepLines w:val="0"/>
        <w:pageBreakBefore w:val="0"/>
        <w:kinsoku/>
        <w:wordWrap/>
        <w:overflowPunct/>
        <w:topLinePunct w:val="0"/>
        <w:autoSpaceDE/>
        <w:autoSpaceDN/>
        <w:bidi w:val="0"/>
        <w:adjustRightInd/>
        <w:snapToGrid w:val="0"/>
        <w:spacing w:line="460" w:lineRule="exact"/>
        <w:ind w:firstLine="480" w:firstLineChars="200"/>
        <w:textAlignment w:val="auto"/>
        <w:rPr>
          <w:rFonts w:hAnsi="宋体"/>
          <w:b/>
          <w:sz w:val="24"/>
          <w:szCs w:val="24"/>
          <w:highlight w:val="none"/>
        </w:rPr>
      </w:pPr>
      <w:r>
        <w:rPr>
          <w:rFonts w:hint="eastAsia" w:hAnsi="宋体" w:cs="宋体"/>
          <w:sz w:val="24"/>
          <w:szCs w:val="24"/>
          <w:highlight w:val="none"/>
        </w:rPr>
        <w:t>邮政编码：                             邮政编码：</w:t>
      </w:r>
    </w:p>
    <w:p w14:paraId="4497028F">
      <w:pPr>
        <w:keepNext w:val="0"/>
        <w:keepLines w:val="0"/>
        <w:pageBreakBefore w:val="0"/>
        <w:kinsoku/>
        <w:wordWrap/>
        <w:overflowPunct/>
        <w:topLinePunct w:val="0"/>
        <w:autoSpaceDE/>
        <w:autoSpaceDN/>
        <w:bidi w:val="0"/>
        <w:adjustRightInd/>
        <w:spacing w:line="460" w:lineRule="exact"/>
        <w:ind w:firstLine="480" w:firstLineChars="200"/>
        <w:jc w:val="left"/>
        <w:textAlignment w:val="auto"/>
        <w:rPr>
          <w:kern w:val="44"/>
          <w:sz w:val="24"/>
          <w:szCs w:val="24"/>
          <w:highlight w:val="none"/>
        </w:rPr>
      </w:pPr>
      <w:r>
        <w:rPr>
          <w:rFonts w:hint="eastAsia"/>
          <w:kern w:val="44"/>
          <w:sz w:val="24"/>
          <w:szCs w:val="24"/>
          <w:highlight w:val="none"/>
        </w:rPr>
        <w:t xml:space="preserve">年 月 日 </w:t>
      </w:r>
    </w:p>
    <w:p w14:paraId="241A533A">
      <w:pPr>
        <w:spacing w:line="360" w:lineRule="auto"/>
        <w:jc w:val="left"/>
        <w:rPr>
          <w:kern w:val="44"/>
          <w:highlight w:val="none"/>
        </w:rPr>
      </w:pPr>
    </w:p>
    <w:p w14:paraId="1B1B3B63">
      <w:pPr>
        <w:pStyle w:val="39"/>
        <w:ind w:left="0" w:leftChars="0" w:firstLine="0" w:firstLineChars="0"/>
        <w:rPr>
          <w:rFonts w:hint="eastAsia"/>
          <w:highlight w:val="none"/>
        </w:rPr>
      </w:pPr>
    </w:p>
    <w:p w14:paraId="2E49D4E2">
      <w:pPr>
        <w:pStyle w:val="3"/>
        <w:spacing w:before="0" w:after="0" w:line="360" w:lineRule="auto"/>
        <w:rPr>
          <w:rFonts w:hint="eastAsia" w:ascii="黑体" w:eastAsia="黑体" w:cs="Arial"/>
          <w:bCs/>
          <w:color w:val="000000" w:themeColor="text1"/>
          <w:szCs w:val="44"/>
          <w:highlight w:val="none"/>
          <w14:textFill>
            <w14:solidFill>
              <w14:schemeClr w14:val="tx1"/>
            </w14:solidFill>
          </w14:textFill>
        </w:rPr>
      </w:pPr>
    </w:p>
    <w:p w14:paraId="31180468">
      <w:pPr>
        <w:pStyle w:val="3"/>
        <w:spacing w:before="0" w:after="0" w:line="360" w:lineRule="auto"/>
        <w:rPr>
          <w:rFonts w:hint="eastAsia" w:ascii="黑体" w:eastAsia="黑体" w:cs="Arial"/>
          <w:bCs/>
          <w:color w:val="000000" w:themeColor="text1"/>
          <w:szCs w:val="44"/>
          <w:highlight w:val="none"/>
          <w14:textFill>
            <w14:solidFill>
              <w14:schemeClr w14:val="tx1"/>
            </w14:solidFill>
          </w14:textFill>
        </w:rPr>
      </w:pPr>
    </w:p>
    <w:p w14:paraId="28C4867A">
      <w:pPr>
        <w:pStyle w:val="3"/>
        <w:spacing w:before="0" w:after="0" w:line="360" w:lineRule="auto"/>
        <w:rPr>
          <w:rFonts w:hint="eastAsia" w:ascii="黑体" w:eastAsia="黑体" w:cs="Arial"/>
          <w:bCs/>
          <w:color w:val="000000" w:themeColor="text1"/>
          <w:szCs w:val="44"/>
          <w:highlight w:val="none"/>
          <w14:textFill>
            <w14:solidFill>
              <w14:schemeClr w14:val="tx1"/>
            </w14:solidFill>
          </w14:textFill>
        </w:rPr>
      </w:pPr>
    </w:p>
    <w:p w14:paraId="604207A8">
      <w:pPr>
        <w:rPr>
          <w:rFonts w:hint="eastAsia" w:ascii="黑体" w:eastAsia="黑体" w:cs="Arial"/>
          <w:bCs/>
          <w:color w:val="000000" w:themeColor="text1"/>
          <w:szCs w:val="44"/>
          <w:highlight w:val="none"/>
          <w14:textFill>
            <w14:solidFill>
              <w14:schemeClr w14:val="tx1"/>
            </w14:solidFill>
          </w14:textFill>
        </w:rPr>
      </w:pPr>
    </w:p>
    <w:p w14:paraId="7510B5C2">
      <w:pPr>
        <w:pStyle w:val="39"/>
        <w:rPr>
          <w:rFonts w:hint="eastAsia" w:ascii="黑体" w:eastAsia="黑体" w:cs="Arial"/>
          <w:bCs/>
          <w:color w:val="000000" w:themeColor="text1"/>
          <w:szCs w:val="44"/>
          <w:highlight w:val="none"/>
          <w14:textFill>
            <w14:solidFill>
              <w14:schemeClr w14:val="tx1"/>
            </w14:solidFill>
          </w14:textFill>
        </w:rPr>
      </w:pPr>
    </w:p>
    <w:p w14:paraId="0A2F6471">
      <w:pPr>
        <w:rPr>
          <w:rFonts w:hint="eastAsia" w:ascii="黑体" w:eastAsia="黑体" w:cs="Arial"/>
          <w:bCs/>
          <w:color w:val="000000" w:themeColor="text1"/>
          <w:szCs w:val="44"/>
          <w:highlight w:val="none"/>
          <w14:textFill>
            <w14:solidFill>
              <w14:schemeClr w14:val="tx1"/>
            </w14:solidFill>
          </w14:textFill>
        </w:rPr>
      </w:pPr>
    </w:p>
    <w:p w14:paraId="71F5E48D">
      <w:pPr>
        <w:pStyle w:val="39"/>
        <w:rPr>
          <w:rFonts w:hint="eastAsia" w:ascii="黑体" w:eastAsia="黑体" w:cs="Arial"/>
          <w:bCs/>
          <w:color w:val="000000" w:themeColor="text1"/>
          <w:szCs w:val="44"/>
          <w:highlight w:val="none"/>
          <w14:textFill>
            <w14:solidFill>
              <w14:schemeClr w14:val="tx1"/>
            </w14:solidFill>
          </w14:textFill>
        </w:rPr>
      </w:pPr>
    </w:p>
    <w:p w14:paraId="33938DA3">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ascii="黑体" w:hAnsi="Arial" w:eastAsia="黑体" w:cs="Arial"/>
          <w:b/>
          <w:bCs/>
          <w:color w:val="000000" w:themeColor="text1"/>
          <w:kern w:val="2"/>
          <w:sz w:val="44"/>
          <w:szCs w:val="44"/>
          <w:lang w:val="en-US" w:eastAsia="zh-CN" w:bidi="ar-SA"/>
          <w14:textFill>
            <w14:solidFill>
              <w14:schemeClr w14:val="tx1"/>
            </w14:solidFill>
          </w14:textFill>
        </w:rPr>
        <w:sectPr>
          <w:footerReference r:id="rId11" w:type="default"/>
          <w:pgSz w:w="11906" w:h="16838"/>
          <w:pgMar w:top="1015" w:right="1196" w:bottom="868" w:left="1259" w:header="851" w:footer="907" w:gutter="0"/>
          <w:pgNumType w:fmt="decimal"/>
          <w:cols w:space="720" w:num="1"/>
          <w:docGrid w:type="lines" w:linePitch="286" w:charSpace="0"/>
        </w:sectPr>
      </w:pPr>
    </w:p>
    <w:p w14:paraId="3602C4A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ascii="宋体" w:hAnsi="宋体" w:cs="Calibri"/>
          <w:b/>
          <w:bCs/>
          <w:color w:val="auto"/>
          <w:sz w:val="30"/>
          <w:szCs w:val="30"/>
          <w:highlight w:val="none"/>
        </w:rPr>
      </w:pPr>
      <w:r>
        <w:rPr>
          <w:rFonts w:hint="eastAsia" w:ascii="宋体" w:hAnsi="宋体" w:eastAsia="宋体" w:cs="宋体"/>
          <w:b/>
          <w:sz w:val="32"/>
          <w:szCs w:val="32"/>
          <w:highlight w:val="none"/>
        </w:rPr>
        <w:t>工程廉政合同</w:t>
      </w:r>
    </w:p>
    <w:p w14:paraId="27F95F4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hint="eastAsia" w:ascii="宋体" w:hAnsi="宋体" w:cs="Calibri"/>
          <w:color w:val="auto"/>
          <w:sz w:val="24"/>
          <w:szCs w:val="21"/>
          <w:highlight w:val="none"/>
        </w:rPr>
        <w:t>发包人</w:t>
      </w:r>
      <w:r>
        <w:rPr>
          <w:rFonts w:ascii="宋体" w:hAnsi="宋体" w:cs="Calibri"/>
          <w:color w:val="auto"/>
          <w:sz w:val="24"/>
          <w:szCs w:val="21"/>
          <w:highlight w:val="none"/>
        </w:rPr>
        <w:t>：</w:t>
      </w:r>
      <w:r>
        <w:rPr>
          <w:rFonts w:hint="eastAsia" w:ascii="宋体" w:hAnsi="宋体" w:cs="Calibri"/>
          <w:color w:val="auto"/>
          <w:sz w:val="24"/>
          <w:szCs w:val="21"/>
          <w:highlight w:val="none"/>
          <w:u w:val="single"/>
          <w:lang w:eastAsia="zh-CN"/>
        </w:rPr>
        <w:t>盐城市亭湖区便仓镇人民政府</w:t>
      </w:r>
    </w:p>
    <w:p w14:paraId="578DBBE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hint="eastAsia" w:ascii="宋体" w:hAnsi="宋体" w:cs="Calibri"/>
          <w:color w:val="auto"/>
          <w:sz w:val="24"/>
          <w:szCs w:val="21"/>
          <w:highlight w:val="none"/>
        </w:rPr>
        <w:t>承包人</w:t>
      </w:r>
      <w:r>
        <w:rPr>
          <w:rFonts w:ascii="宋体" w:hAnsi="宋体" w:cs="Calibri"/>
          <w:color w:val="auto"/>
          <w:sz w:val="24"/>
          <w:szCs w:val="21"/>
          <w:highlight w:val="none"/>
        </w:rPr>
        <w:t>：</w:t>
      </w:r>
      <w:r>
        <w:rPr>
          <w:rFonts w:hint="eastAsia" w:ascii="宋体" w:hAnsi="宋体" w:cs="Calibri"/>
          <w:color w:val="auto"/>
          <w:sz w:val="24"/>
          <w:szCs w:val="21"/>
          <w:highlight w:val="none"/>
          <w:u w:val="single"/>
        </w:rPr>
        <w:t xml:space="preserve">      （中标人）        </w:t>
      </w:r>
    </w:p>
    <w:p w14:paraId="60BABA9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为贯彻落实党中央、国务院《关于实行党风廉政建设责任制的规定》，进一步加强</w:t>
      </w:r>
      <w:r>
        <w:rPr>
          <w:rFonts w:hint="eastAsia" w:ascii="宋体" w:hAnsi="宋体" w:cs="Calibri"/>
          <w:color w:val="auto"/>
          <w:sz w:val="24"/>
          <w:szCs w:val="21"/>
          <w:highlight w:val="none"/>
        </w:rPr>
        <w:t>公路</w:t>
      </w:r>
      <w:r>
        <w:rPr>
          <w:rFonts w:ascii="宋体" w:hAnsi="宋体" w:cs="Calibri"/>
          <w:color w:val="auto"/>
          <w:sz w:val="24"/>
          <w:szCs w:val="21"/>
          <w:highlight w:val="none"/>
        </w:rPr>
        <w:t>工程建设中的党风廉政建设，保证建设优质、高效、有序地进行，</w:t>
      </w:r>
      <w:r>
        <w:rPr>
          <w:rFonts w:hint="eastAsia" w:ascii="宋体" w:hAnsi="宋体" w:cs="Calibri"/>
          <w:color w:val="auto"/>
          <w:sz w:val="24"/>
          <w:szCs w:val="21"/>
          <w:highlight w:val="none"/>
          <w:u w:val="single"/>
        </w:rPr>
        <w:t xml:space="preserve"> </w:t>
      </w:r>
      <w:r>
        <w:rPr>
          <w:rFonts w:hint="eastAsia" w:ascii="宋体" w:hAnsi="宋体" w:cs="Calibri"/>
          <w:color w:val="auto"/>
          <w:sz w:val="24"/>
          <w:szCs w:val="21"/>
          <w:highlight w:val="none"/>
          <w:u w:val="single"/>
          <w:lang w:eastAsia="zh-CN"/>
        </w:rPr>
        <w:t>盐城市亭湖区便仓镇人民政府</w:t>
      </w:r>
      <w:r>
        <w:rPr>
          <w:rFonts w:ascii="宋体" w:hAnsi="宋体" w:cs="Calibri"/>
          <w:color w:val="auto"/>
          <w:sz w:val="24"/>
          <w:szCs w:val="21"/>
          <w:highlight w:val="none"/>
        </w:rPr>
        <w:t>（以下简称“发包人”），与承担合同的承包人</w:t>
      </w:r>
      <w:r>
        <w:rPr>
          <w:rFonts w:hint="eastAsia" w:ascii="宋体" w:hAnsi="宋体" w:cs="Calibri"/>
          <w:color w:val="auto"/>
          <w:sz w:val="24"/>
          <w:szCs w:val="21"/>
          <w:highlight w:val="none"/>
          <w:u w:val="single"/>
        </w:rPr>
        <w:t xml:space="preserve"> （中标人） </w:t>
      </w:r>
      <w:r>
        <w:rPr>
          <w:rFonts w:ascii="宋体" w:hAnsi="宋体" w:cs="Calibri"/>
          <w:color w:val="auto"/>
          <w:sz w:val="24"/>
          <w:szCs w:val="21"/>
          <w:highlight w:val="none"/>
        </w:rPr>
        <w:t>（以下简称“承包人”），经双方协商一致，自愿签订以下廉政合同。</w:t>
      </w:r>
    </w:p>
    <w:p w14:paraId="3A438947">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ascii="宋体" w:hAnsi="宋体" w:cs="Calibri"/>
          <w:b/>
          <w:color w:val="auto"/>
          <w:sz w:val="24"/>
          <w:szCs w:val="21"/>
          <w:highlight w:val="none"/>
        </w:rPr>
      </w:pPr>
      <w:r>
        <w:rPr>
          <w:rFonts w:ascii="宋体" w:hAnsi="宋体" w:cs="Calibri"/>
          <w:b/>
          <w:color w:val="auto"/>
          <w:sz w:val="24"/>
          <w:szCs w:val="21"/>
          <w:highlight w:val="none"/>
        </w:rPr>
        <w:t>第一条 甲乙双方的权利和义务</w:t>
      </w:r>
    </w:p>
    <w:p w14:paraId="1042DB8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（一）严格遵守党和国家有关法规及党风廉政建设各项规定。</w:t>
      </w:r>
    </w:p>
    <w:p w14:paraId="2D97DC7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（二）严格执行</w:t>
      </w:r>
      <w:r>
        <w:rPr>
          <w:rFonts w:hint="eastAsia" w:ascii="宋体" w:hAnsi="宋体" w:cs="Calibri"/>
          <w:color w:val="auto"/>
          <w:sz w:val="24"/>
          <w:szCs w:val="21"/>
          <w:highlight w:val="none"/>
          <w:u w:val="single"/>
        </w:rPr>
        <w:t xml:space="preserve"> </w:t>
      </w:r>
      <w:r>
        <w:rPr>
          <w:rFonts w:hint="eastAsia" w:ascii="宋体" w:hAnsi="宋体" w:cs="宋体"/>
          <w:color w:val="000000"/>
          <w:sz w:val="24"/>
          <w:u w:val="single"/>
          <w:lang w:val="en-US" w:eastAsia="zh-CN"/>
        </w:rPr>
        <w:t xml:space="preserve">                      </w:t>
      </w:r>
      <w:r>
        <w:rPr>
          <w:rFonts w:ascii="宋体" w:hAnsi="宋体" w:cs="Calibri"/>
          <w:color w:val="auto"/>
          <w:sz w:val="24"/>
          <w:szCs w:val="21"/>
          <w:highlight w:val="none"/>
        </w:rPr>
        <w:t>（合同名称）各项规定，自觉按合同办事。</w:t>
      </w:r>
    </w:p>
    <w:p w14:paraId="6D80DF1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（三）双方的业务活动坚持公开、公正、公平、诚信的原则（除法律认定的商业秘密和合同文件另有规定之外），严禁损害国家和集体利益，违反工程建设管理规章制度。</w:t>
      </w:r>
    </w:p>
    <w:p w14:paraId="04C487E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（四）建立健全党风廉政建设各项制度，开展党风廉政建设宣传教育，加强对本方工作人员的监督检查。</w:t>
      </w:r>
    </w:p>
    <w:p w14:paraId="137B04F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（五）发现对方在业务活动中有违反廉政规定的行为，有及时提醒和督促对方纠正的权利和义务，并严肃查处本方工作人员的违纪违规行为，发现重大违纪违法行为，应向执纪执法机关举报。</w:t>
      </w:r>
    </w:p>
    <w:p w14:paraId="4CDF8340">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ascii="宋体" w:hAnsi="宋体" w:cs="Calibri"/>
          <w:b/>
          <w:color w:val="auto"/>
          <w:sz w:val="24"/>
          <w:szCs w:val="21"/>
          <w:highlight w:val="none"/>
        </w:rPr>
      </w:pPr>
      <w:r>
        <w:rPr>
          <w:rFonts w:ascii="宋体" w:hAnsi="宋体" w:cs="Calibri"/>
          <w:b/>
          <w:color w:val="auto"/>
          <w:sz w:val="24"/>
          <w:szCs w:val="21"/>
          <w:highlight w:val="none"/>
        </w:rPr>
        <w:t>第二条 发包人在廉政建设方面的义务</w:t>
      </w:r>
    </w:p>
    <w:p w14:paraId="1920458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 xml:space="preserve">（一）发包人及其工作人员不准在承包人安插亲友及介绍销售不合规定的工程材料，不得指定需购物资设备的销售单位或部门；不得违反规定干预承包人的工程项目分包；不得挤占、截留、挪用工程款或超进度拨付工程款；严禁私设小金库。 </w:t>
      </w:r>
    </w:p>
    <w:p w14:paraId="20C1AA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（二）发包人及其工作人员不准利用职务之便索要或接受承包人的礼金，有价证券、支付凭证、贵重物品等财物。</w:t>
      </w:r>
    </w:p>
    <w:p w14:paraId="5A167FB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（三）发包人及其工作人员不准在承包人报销应由发包人或个人支付的费用。</w:t>
      </w:r>
    </w:p>
    <w:p w14:paraId="0324CF9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（四）发包人工作人员不准参加承包人提供的宴请、娱乐活动；不准要求承包人提供交通工具、通讯工具、高档办公用品等。</w:t>
      </w:r>
    </w:p>
    <w:p w14:paraId="1FB37DA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（五）发包人及其工作人员不准要求或者接受承包人为其住房装修、婚丧嫁娶、配偶、子女、亲友出国（境）旅游提供方便。</w:t>
      </w:r>
    </w:p>
    <w:p w14:paraId="56DCDE4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（六）发包人及其工作人员不准要求承包人为其配偶、子女及有利害关系的人员安排工作或劳务；不准违反规定从事与承包人施工项目有关的材料设备供应、工程分包等经济活动。</w:t>
      </w:r>
    </w:p>
    <w:p w14:paraId="0B88596B">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ascii="宋体" w:hAnsi="宋体" w:cs="Calibri"/>
          <w:b/>
          <w:color w:val="auto"/>
          <w:sz w:val="24"/>
          <w:szCs w:val="21"/>
          <w:highlight w:val="none"/>
        </w:rPr>
      </w:pPr>
      <w:r>
        <w:rPr>
          <w:rFonts w:ascii="宋体" w:hAnsi="宋体" w:cs="Calibri"/>
          <w:b/>
          <w:color w:val="auto"/>
          <w:sz w:val="24"/>
          <w:szCs w:val="21"/>
          <w:highlight w:val="none"/>
        </w:rPr>
        <w:t>第三条 承包人在廉政建设方面义务</w:t>
      </w:r>
    </w:p>
    <w:p w14:paraId="71668BD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Calibri"/>
          <w:color w:val="auto"/>
          <w:sz w:val="24"/>
          <w:szCs w:val="21"/>
          <w:highlight w:val="none"/>
          <w:lang w:eastAsia="zh-CN"/>
        </w:rPr>
      </w:pPr>
      <w:r>
        <w:rPr>
          <w:rFonts w:ascii="宋体" w:hAnsi="宋体" w:cs="Calibri"/>
          <w:color w:val="auto"/>
          <w:sz w:val="24"/>
          <w:szCs w:val="21"/>
          <w:highlight w:val="none"/>
        </w:rPr>
        <w:t>（一）承包人不准以任何形式向发包人及其工作人员馈赠礼金、礼品、有价证券、支付凭证、贵重物品等财物</w:t>
      </w:r>
      <w:r>
        <w:rPr>
          <w:rFonts w:hint="eastAsia" w:ascii="宋体" w:hAnsi="宋体" w:cs="Calibri"/>
          <w:color w:val="auto"/>
          <w:sz w:val="24"/>
          <w:szCs w:val="21"/>
          <w:highlight w:val="none"/>
          <w:lang w:eastAsia="zh-CN"/>
        </w:rPr>
        <w:t>。</w:t>
      </w:r>
    </w:p>
    <w:p w14:paraId="510B5B5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（二）承包人不准以任何名义为发包人及其工作人员报销应由发包人或个人支付的费用。</w:t>
      </w:r>
    </w:p>
    <w:p w14:paraId="5556455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（三）承包人不准以任何理由邀请发包人工作人员参加对承建的施工项目有影响的宴请、及娱乐活动；不准为其提供通讯工具、交通工具、高档办公用品等。</w:t>
      </w:r>
    </w:p>
    <w:p w14:paraId="24C4FE4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（四）承包人不准为发包人工作人员住房装修、婚丧嫁娶、配偶、子女、亲友出国（境）旅游提供方便；不准为发包人工作人员的配偶、子女及有利害关系的人员安排工作或劳务。</w:t>
      </w:r>
    </w:p>
    <w:p w14:paraId="25C87E1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（五）承包人不准违反规定将承建的施工项目违法分包或非法转包。</w:t>
      </w:r>
    </w:p>
    <w:p w14:paraId="0DD2604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（六）承包人及其工作人员不准与该工程的监理人串通，违反工程计量、资金支付、质量验评、竣工验收等有关规定和程序，损害发包人利益，影响工程质量、进度和安全。</w:t>
      </w:r>
    </w:p>
    <w:p w14:paraId="258025B9">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ascii="宋体" w:hAnsi="宋体" w:cs="Calibri"/>
          <w:b/>
          <w:color w:val="auto"/>
          <w:sz w:val="24"/>
          <w:szCs w:val="21"/>
          <w:highlight w:val="none"/>
        </w:rPr>
      </w:pPr>
      <w:r>
        <w:rPr>
          <w:rFonts w:ascii="宋体" w:hAnsi="宋体" w:cs="Calibri"/>
          <w:b/>
          <w:color w:val="auto"/>
          <w:sz w:val="24"/>
          <w:szCs w:val="21"/>
          <w:highlight w:val="none"/>
        </w:rPr>
        <w:t>第四条 违约责任</w:t>
      </w:r>
    </w:p>
    <w:p w14:paraId="63F13C5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（一）发包人若违反本《廉政合同》有关规定的，对违法乱纪人员，由发包人主管部门依据有关规定查处，给承包人造成的损失，按有关规定予以赔偿。</w:t>
      </w:r>
    </w:p>
    <w:p w14:paraId="239AAF9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（二）承包人若违反本《廉政合同》有关规定的，对违法乱纪人员，由承包人主管部门依据有关规定查处，构成犯罪的移交司法机关处理，给发包人造成的损失，按有关规定予以赔偿。</w:t>
      </w:r>
    </w:p>
    <w:p w14:paraId="3CF96342">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ascii="宋体" w:hAnsi="宋体" w:cs="Calibri"/>
          <w:b/>
          <w:color w:val="auto"/>
          <w:sz w:val="24"/>
          <w:szCs w:val="21"/>
          <w:highlight w:val="none"/>
        </w:rPr>
      </w:pPr>
      <w:r>
        <w:rPr>
          <w:rFonts w:ascii="宋体" w:hAnsi="宋体" w:cs="Calibri"/>
          <w:b/>
          <w:color w:val="auto"/>
          <w:sz w:val="24"/>
          <w:szCs w:val="21"/>
          <w:highlight w:val="none"/>
        </w:rPr>
        <w:t>第五条 督查</w:t>
      </w:r>
      <w:r>
        <w:rPr>
          <w:rFonts w:hint="eastAsia" w:ascii="宋体" w:hAnsi="宋体" w:cs="Calibri"/>
          <w:b/>
          <w:color w:val="auto"/>
          <w:sz w:val="24"/>
          <w:szCs w:val="21"/>
          <w:highlight w:val="none"/>
        </w:rPr>
        <w:t>部门</w:t>
      </w:r>
    </w:p>
    <w:p w14:paraId="048483D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双方约定：自愿接受</w:t>
      </w:r>
      <w:r>
        <w:rPr>
          <w:rFonts w:hint="eastAsia" w:ascii="宋体" w:hAnsi="宋体" w:cs="Calibri"/>
          <w:color w:val="auto"/>
          <w:sz w:val="24"/>
          <w:szCs w:val="21"/>
          <w:highlight w:val="none"/>
        </w:rPr>
        <w:t>发包人及其上级</w:t>
      </w:r>
      <w:r>
        <w:rPr>
          <w:rFonts w:ascii="宋体" w:hAnsi="宋体" w:cs="Calibri"/>
          <w:color w:val="auto"/>
          <w:sz w:val="24"/>
          <w:szCs w:val="21"/>
          <w:highlight w:val="none"/>
        </w:rPr>
        <w:t>纪检监察</w:t>
      </w:r>
      <w:r>
        <w:rPr>
          <w:rFonts w:hint="eastAsia" w:ascii="宋体" w:hAnsi="宋体" w:cs="Calibri"/>
          <w:color w:val="auto"/>
          <w:sz w:val="24"/>
          <w:szCs w:val="21"/>
          <w:highlight w:val="none"/>
        </w:rPr>
        <w:t>部门</w:t>
      </w:r>
      <w:r>
        <w:rPr>
          <w:rFonts w:ascii="宋体" w:hAnsi="宋体" w:cs="Calibri"/>
          <w:color w:val="auto"/>
          <w:sz w:val="24"/>
          <w:szCs w:val="21"/>
          <w:highlight w:val="none"/>
        </w:rPr>
        <w:t>对合同执行情况的监督检查，甲、乙双方应积极配合督查单位的检查，包括提供有关资料和财务</w:t>
      </w:r>
      <w:r>
        <w:rPr>
          <w:rFonts w:hint="eastAsia" w:ascii="宋体" w:hAnsi="宋体" w:cs="Calibri"/>
          <w:color w:val="auto"/>
          <w:sz w:val="24"/>
          <w:szCs w:val="21"/>
          <w:highlight w:val="none"/>
        </w:rPr>
        <w:t>账册</w:t>
      </w:r>
      <w:r>
        <w:rPr>
          <w:rFonts w:ascii="宋体" w:hAnsi="宋体" w:cs="Calibri"/>
          <w:color w:val="auto"/>
          <w:sz w:val="24"/>
          <w:szCs w:val="21"/>
          <w:highlight w:val="none"/>
        </w:rPr>
        <w:t>，接受提出本合同规定范围内的裁定意见。</w:t>
      </w:r>
    </w:p>
    <w:p w14:paraId="708679CA">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ascii="宋体" w:hAnsi="宋体" w:cs="Calibri"/>
          <w:b/>
          <w:color w:val="auto"/>
          <w:sz w:val="24"/>
          <w:szCs w:val="21"/>
          <w:highlight w:val="none"/>
        </w:rPr>
      </w:pPr>
      <w:r>
        <w:rPr>
          <w:rFonts w:ascii="宋体" w:hAnsi="宋体" w:cs="Calibri"/>
          <w:b/>
          <w:color w:val="auto"/>
          <w:sz w:val="24"/>
          <w:szCs w:val="21"/>
          <w:highlight w:val="none"/>
        </w:rPr>
        <w:t>第六条 检查方式</w:t>
      </w:r>
    </w:p>
    <w:p w14:paraId="42BFD8EB">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cs="Calibri"/>
          <w:color w:val="auto"/>
          <w:sz w:val="24"/>
          <w:szCs w:val="21"/>
          <w:highlight w:val="none"/>
        </w:rPr>
      </w:pPr>
      <w:r>
        <w:rPr>
          <w:rFonts w:ascii="宋体" w:hAnsi="宋体" w:cs="Calibri"/>
          <w:color w:val="auto"/>
          <w:sz w:val="24"/>
          <w:szCs w:val="21"/>
          <w:highlight w:val="none"/>
        </w:rPr>
        <w:t>本合同的履约情况由督查</w:t>
      </w:r>
      <w:r>
        <w:rPr>
          <w:rFonts w:hint="eastAsia" w:ascii="宋体" w:hAnsi="宋体" w:cs="Calibri"/>
          <w:color w:val="auto"/>
          <w:sz w:val="24"/>
          <w:szCs w:val="21"/>
          <w:highlight w:val="none"/>
        </w:rPr>
        <w:t>部门</w:t>
      </w:r>
      <w:r>
        <w:rPr>
          <w:rFonts w:ascii="宋体" w:hAnsi="宋体" w:cs="Calibri"/>
          <w:color w:val="auto"/>
          <w:sz w:val="24"/>
          <w:szCs w:val="21"/>
          <w:highlight w:val="none"/>
        </w:rPr>
        <w:t>主持，甲乙双方共同派员参加，检查方式为座谈、问卷调查、查看资料及财务</w:t>
      </w:r>
      <w:r>
        <w:rPr>
          <w:rFonts w:hint="eastAsia" w:ascii="宋体" w:hAnsi="宋体" w:cs="Calibri"/>
          <w:color w:val="auto"/>
          <w:sz w:val="24"/>
          <w:szCs w:val="21"/>
          <w:highlight w:val="none"/>
        </w:rPr>
        <w:t>账册</w:t>
      </w:r>
      <w:r>
        <w:rPr>
          <w:rFonts w:ascii="宋体" w:hAnsi="宋体" w:cs="Calibri"/>
          <w:color w:val="auto"/>
          <w:sz w:val="24"/>
          <w:szCs w:val="21"/>
          <w:highlight w:val="none"/>
        </w:rPr>
        <w:t>或由各方约定的其他方式等。检查时间、次数、方式、检查结论和执行违约责任等由双方协商确定，如无法达成一致的，由督查单位依据事实裁定。</w:t>
      </w:r>
    </w:p>
    <w:p w14:paraId="5E941127">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ascii="宋体" w:hAnsi="宋体" w:eastAsia="宋体" w:cs="Calibri"/>
          <w:b/>
          <w:color w:val="auto"/>
          <w:sz w:val="24"/>
          <w:szCs w:val="21"/>
          <w:highlight w:val="none"/>
        </w:rPr>
      </w:pPr>
      <w:r>
        <w:rPr>
          <w:rFonts w:ascii="宋体" w:hAnsi="宋体" w:eastAsia="宋体" w:cs="Calibri"/>
          <w:b/>
          <w:color w:val="auto"/>
          <w:sz w:val="24"/>
          <w:szCs w:val="21"/>
          <w:highlight w:val="none"/>
        </w:rPr>
        <w:t>第七条 本合同有效期为工程开工之日起至该合同段工程项目竣工验收后止。</w:t>
      </w:r>
    </w:p>
    <w:p w14:paraId="47018C00">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Calibri"/>
          <w:b/>
          <w:color w:val="auto"/>
          <w:sz w:val="24"/>
          <w:szCs w:val="21"/>
          <w:highlight w:val="none"/>
        </w:rPr>
      </w:pPr>
      <w:r>
        <w:rPr>
          <w:rFonts w:ascii="宋体" w:hAnsi="宋体" w:eastAsia="宋体" w:cs="Calibri"/>
          <w:b/>
          <w:color w:val="auto"/>
          <w:sz w:val="24"/>
          <w:szCs w:val="21"/>
          <w:highlight w:val="none"/>
        </w:rPr>
        <w:t>第八条</w:t>
      </w:r>
      <w:r>
        <w:rPr>
          <w:rFonts w:hint="eastAsia" w:ascii="宋体" w:hAnsi="宋体" w:eastAsia="宋体" w:cs="Calibri"/>
          <w:b/>
          <w:color w:val="auto"/>
          <w:sz w:val="24"/>
          <w:szCs w:val="21"/>
          <w:highlight w:val="none"/>
        </w:rPr>
        <w:t xml:space="preserve"> 本</w:t>
      </w:r>
      <w:r>
        <w:rPr>
          <w:rFonts w:hint="eastAsia" w:ascii="宋体" w:hAnsi="宋体" w:eastAsia="宋体" w:cs="Calibri"/>
          <w:b/>
          <w:color w:val="auto"/>
          <w:sz w:val="24"/>
          <w:szCs w:val="21"/>
          <w:highlight w:val="none"/>
          <w:lang w:val="en-US" w:eastAsia="zh-CN"/>
        </w:rPr>
        <w:t>协议书</w:t>
      </w:r>
      <w:r>
        <w:rPr>
          <w:rFonts w:hint="eastAsia" w:ascii="宋体" w:hAnsi="宋体" w:eastAsia="宋体" w:cs="Calibri"/>
          <w:b/>
          <w:color w:val="auto"/>
          <w:sz w:val="24"/>
          <w:szCs w:val="21"/>
          <w:highlight w:val="none"/>
        </w:rPr>
        <w:t>一式</w:t>
      </w:r>
      <w:r>
        <w:rPr>
          <w:rFonts w:hint="eastAsia" w:ascii="宋体" w:hAnsi="宋体" w:eastAsia="宋体" w:cs="Calibri"/>
          <w:b/>
          <w:color w:val="auto"/>
          <w:sz w:val="24"/>
          <w:szCs w:val="21"/>
          <w:highlight w:val="none"/>
          <w:lang w:val="en-US" w:eastAsia="zh-CN"/>
        </w:rPr>
        <w:t>捌</w:t>
      </w:r>
      <w:r>
        <w:rPr>
          <w:rFonts w:hint="eastAsia" w:ascii="宋体" w:hAnsi="宋体" w:eastAsia="宋体" w:cs="Calibri"/>
          <w:b/>
          <w:color w:val="auto"/>
          <w:sz w:val="24"/>
          <w:szCs w:val="21"/>
          <w:highlight w:val="none"/>
        </w:rPr>
        <w:t>份，均具有同等法律效力，</w:t>
      </w:r>
      <w:r>
        <w:rPr>
          <w:rFonts w:hint="eastAsia" w:ascii="宋体" w:hAnsi="宋体" w:eastAsia="宋体" w:cs="Calibri"/>
          <w:b/>
          <w:color w:val="auto"/>
          <w:sz w:val="24"/>
          <w:szCs w:val="21"/>
          <w:highlight w:val="none"/>
          <w:lang w:val="en-US" w:eastAsia="zh-CN"/>
        </w:rPr>
        <w:t>甲方</w:t>
      </w:r>
      <w:r>
        <w:rPr>
          <w:rFonts w:hint="eastAsia" w:ascii="宋体" w:hAnsi="宋体" w:eastAsia="宋体" w:cs="Calibri"/>
          <w:b/>
          <w:color w:val="auto"/>
          <w:sz w:val="24"/>
          <w:szCs w:val="21"/>
          <w:highlight w:val="none"/>
        </w:rPr>
        <w:t>执</w:t>
      </w:r>
      <w:r>
        <w:rPr>
          <w:rFonts w:hint="eastAsia" w:ascii="宋体" w:hAnsi="宋体" w:eastAsia="宋体" w:cs="Calibri"/>
          <w:b/>
          <w:color w:val="auto"/>
          <w:sz w:val="24"/>
          <w:szCs w:val="21"/>
          <w:highlight w:val="none"/>
          <w:lang w:val="en-US" w:eastAsia="zh-CN"/>
        </w:rPr>
        <w:t>伍</w:t>
      </w:r>
      <w:r>
        <w:rPr>
          <w:rFonts w:hint="eastAsia" w:ascii="宋体" w:hAnsi="宋体" w:eastAsia="宋体" w:cs="Calibri"/>
          <w:b/>
          <w:color w:val="auto"/>
          <w:sz w:val="24"/>
          <w:szCs w:val="21"/>
          <w:highlight w:val="none"/>
        </w:rPr>
        <w:t>份，</w:t>
      </w:r>
      <w:r>
        <w:rPr>
          <w:rFonts w:hint="eastAsia" w:ascii="宋体" w:hAnsi="宋体" w:eastAsia="宋体" w:cs="Calibri"/>
          <w:b/>
          <w:color w:val="auto"/>
          <w:sz w:val="24"/>
          <w:szCs w:val="21"/>
          <w:highlight w:val="none"/>
          <w:lang w:val="en-US" w:eastAsia="zh-CN"/>
        </w:rPr>
        <w:t>乙方</w:t>
      </w:r>
      <w:r>
        <w:rPr>
          <w:rFonts w:hint="eastAsia" w:ascii="宋体" w:hAnsi="宋体" w:eastAsia="宋体" w:cs="Calibri"/>
          <w:b/>
          <w:color w:val="auto"/>
          <w:sz w:val="24"/>
          <w:szCs w:val="21"/>
          <w:highlight w:val="none"/>
        </w:rPr>
        <w:t>执</w:t>
      </w:r>
      <w:r>
        <w:rPr>
          <w:rFonts w:hint="eastAsia" w:ascii="宋体" w:hAnsi="宋体" w:eastAsia="宋体" w:cs="Calibri"/>
          <w:b/>
          <w:color w:val="auto"/>
          <w:sz w:val="24"/>
          <w:szCs w:val="21"/>
          <w:highlight w:val="none"/>
          <w:lang w:val="en-US" w:eastAsia="zh-CN"/>
        </w:rPr>
        <w:t>叁</w:t>
      </w:r>
      <w:r>
        <w:rPr>
          <w:rFonts w:hint="eastAsia" w:ascii="宋体" w:hAnsi="宋体" w:eastAsia="宋体" w:cs="Calibri"/>
          <w:b/>
          <w:color w:val="auto"/>
          <w:sz w:val="24"/>
          <w:szCs w:val="21"/>
          <w:highlight w:val="none"/>
        </w:rPr>
        <w:t>份。</w:t>
      </w:r>
    </w:p>
    <w:p w14:paraId="054F0FAB">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ascii="宋体" w:hAnsi="宋体" w:eastAsia="宋体" w:cs="宋体"/>
          <w:color w:val="auto"/>
          <w:sz w:val="24"/>
          <w:szCs w:val="24"/>
          <w:highlight w:val="none"/>
        </w:rPr>
      </w:pPr>
    </w:p>
    <w:p w14:paraId="7A6E604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乙方：（盖章） </w:t>
      </w:r>
    </w:p>
    <w:p w14:paraId="65B57C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法定代表人或</w:t>
      </w:r>
    </w:p>
    <w:p w14:paraId="7F5B21AC">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xml:space="preserve">）    </w:t>
      </w:r>
    </w:p>
    <w:p w14:paraId="4FF8CBF2">
      <w:pPr>
        <w:widowControl w:val="0"/>
        <w:spacing w:line="480" w:lineRule="exact"/>
        <w:ind w:firstLine="5440"/>
        <w:jc w:val="both"/>
        <w:rPr>
          <w:rFonts w:ascii="宋体" w:hAnsi="宋体" w:cs="Calibri"/>
          <w:b/>
          <w:color w:val="auto"/>
          <w:sz w:val="24"/>
          <w:szCs w:val="21"/>
          <w:highlight w:val="none"/>
        </w:rPr>
      </w:pPr>
      <w:r>
        <w:rPr>
          <w:rFonts w:hint="eastAsia" w:ascii="宋体" w:hAnsi="宋体" w:cs="宋体"/>
          <w:color w:val="auto"/>
          <w:sz w:val="24"/>
          <w:szCs w:val="24"/>
          <w:highlight w:val="none"/>
        </w:rPr>
        <w:t xml:space="preserve"> 签订日期：      年   月   日</w:t>
      </w:r>
    </w:p>
    <w:p w14:paraId="6D601997">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ascii="黑体" w:hAnsi="Arial" w:eastAsia="黑体" w:cs="Arial"/>
          <w:b/>
          <w:bCs/>
          <w:color w:val="000000" w:themeColor="text1"/>
          <w:kern w:val="2"/>
          <w:sz w:val="44"/>
          <w:szCs w:val="44"/>
          <w:lang w:val="en-US" w:eastAsia="zh-CN" w:bidi="ar-SA"/>
          <w14:textFill>
            <w14:solidFill>
              <w14:schemeClr w14:val="tx1"/>
            </w14:solidFill>
          </w14:textFill>
        </w:rPr>
        <w:sectPr>
          <w:pgSz w:w="11906" w:h="16838"/>
          <w:pgMar w:top="1015" w:right="1196" w:bottom="868" w:left="1259" w:header="851" w:footer="907" w:gutter="0"/>
          <w:pgNumType w:fmt="decimal"/>
          <w:cols w:space="720" w:num="1"/>
          <w:docGrid w:type="lines" w:linePitch="286" w:charSpace="0"/>
        </w:sectPr>
      </w:pPr>
    </w:p>
    <w:p w14:paraId="65B8B814">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ascii="黑体" w:eastAsia="黑体" w:cs="Arial"/>
          <w:bCs/>
          <w:color w:val="000000" w:themeColor="text1"/>
          <w:sz w:val="32"/>
          <w:szCs w:val="32"/>
          <w:highlight w:val="none"/>
          <w14:textFill>
            <w14:solidFill>
              <w14:schemeClr w14:val="tx1"/>
            </w14:solidFill>
          </w14:textFill>
        </w:rPr>
      </w:pPr>
      <w:r>
        <w:rPr>
          <w:rFonts w:hint="eastAsia" w:ascii="黑体" w:hAnsi="Arial" w:eastAsia="黑体" w:cs="Arial"/>
          <w:b/>
          <w:bCs/>
          <w:color w:val="000000" w:themeColor="text1"/>
          <w:kern w:val="2"/>
          <w:sz w:val="44"/>
          <w:szCs w:val="44"/>
          <w:lang w:val="en-US" w:eastAsia="zh-CN" w:bidi="ar-SA"/>
          <w14:textFill>
            <w14:solidFill>
              <w14:schemeClr w14:val="tx1"/>
            </w14:solidFill>
          </w14:textFill>
        </w:rPr>
        <w:t>第四章</w:t>
      </w:r>
      <w:r>
        <w:rPr>
          <w:rFonts w:hint="eastAsia" w:ascii="黑体" w:eastAsia="黑体" w:cs="Arial"/>
          <w:bCs/>
          <w:color w:val="000000" w:themeColor="text1"/>
          <w:sz w:val="44"/>
          <w:szCs w:val="44"/>
          <w:highlight w:val="none"/>
          <w14:textFill>
            <w14:solidFill>
              <w14:schemeClr w14:val="tx1"/>
            </w14:solidFill>
          </w14:textFill>
        </w:rPr>
        <w:t xml:space="preserve"> 项目需求</w:t>
      </w:r>
    </w:p>
    <w:p w14:paraId="1B8FD816">
      <w:pPr>
        <w:spacing w:line="440" w:lineRule="exact"/>
        <w:ind w:firstLine="480" w:firstLineChars="200"/>
        <w:jc w:val="left"/>
        <w:rPr>
          <w:rFonts w:hint="eastAsia" w:ascii="宋体" w:hAnsi="宋体" w:cs="宋体"/>
          <w:bCs/>
          <w:sz w:val="24"/>
        </w:rPr>
      </w:pPr>
      <w:bookmarkStart w:id="133" w:name="_Toc26554097"/>
      <w:bookmarkStart w:id="134" w:name="_Toc23828480"/>
      <w:bookmarkStart w:id="135" w:name="_Toc61149622"/>
      <w:r>
        <w:rPr>
          <w:rFonts w:hint="eastAsia" w:ascii="宋体" w:hAnsi="宋体" w:cs="宋体"/>
          <w:bCs/>
          <w:sz w:val="24"/>
        </w:rPr>
        <w:t>项目属性：工程类项目</w:t>
      </w:r>
    </w:p>
    <w:p w14:paraId="6283E667">
      <w:pPr>
        <w:pStyle w:val="100"/>
        <w:keepNext w:val="0"/>
        <w:keepLines w:val="0"/>
        <w:pageBreakBefore w:val="0"/>
        <w:kinsoku/>
        <w:wordWrap/>
        <w:overflowPunct/>
        <w:topLinePunct w:val="0"/>
        <w:autoSpaceDE/>
        <w:autoSpaceDN/>
        <w:bidi w:val="0"/>
        <w:adjustRightInd/>
        <w:snapToGrid/>
        <w:spacing w:line="460" w:lineRule="exact"/>
        <w:ind w:left="0" w:leftChars="0" w:firstLine="482" w:firstLineChars="200"/>
        <w:jc w:val="left"/>
        <w:textAlignment w:val="auto"/>
        <w:rPr>
          <w:rFonts w:ascii="宋体" w:hAnsi="宋体" w:cs="宋体"/>
          <w:b/>
          <w:color w:val="auto"/>
          <w:kern w:val="0"/>
          <w:sz w:val="24"/>
          <w:szCs w:val="24"/>
          <w:highlight w:val="none"/>
        </w:rPr>
      </w:pPr>
      <w:r>
        <w:rPr>
          <w:rFonts w:hint="eastAsia" w:ascii="宋体" w:hAnsi="宋体" w:cs="宋体"/>
          <w:b/>
          <w:color w:val="auto"/>
          <w:kern w:val="0"/>
          <w:sz w:val="24"/>
          <w:szCs w:val="24"/>
          <w:highlight w:val="none"/>
          <w:lang w:val="en-US" w:eastAsia="zh-CN"/>
        </w:rPr>
        <w:t>一、</w:t>
      </w:r>
      <w:r>
        <w:rPr>
          <w:rFonts w:hint="eastAsia" w:ascii="宋体" w:hAnsi="宋体" w:cs="宋体"/>
          <w:b/>
          <w:color w:val="auto"/>
          <w:kern w:val="0"/>
          <w:sz w:val="24"/>
          <w:szCs w:val="24"/>
          <w:highlight w:val="none"/>
        </w:rPr>
        <w:t>项目概况</w:t>
      </w:r>
    </w:p>
    <w:p w14:paraId="7DD93B87">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便仓镇恒泽源农产品加工项目配套污水压力管道建设工程</w:t>
      </w:r>
      <w:r>
        <w:rPr>
          <w:rFonts w:hint="eastAsia" w:ascii="宋体" w:hAnsi="宋体" w:cs="宋体"/>
          <w:color w:val="auto"/>
          <w:sz w:val="24"/>
          <w:szCs w:val="24"/>
          <w:highlight w:val="none"/>
        </w:rPr>
        <w:t>。</w:t>
      </w:r>
    </w:p>
    <w:p w14:paraId="47E6B747">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2、项目地点：位于便仓镇境内</w:t>
      </w:r>
      <w:r>
        <w:rPr>
          <w:rFonts w:hint="eastAsia" w:ascii="宋体" w:hAnsi="宋体" w:cs="宋体"/>
          <w:color w:val="auto"/>
          <w:sz w:val="24"/>
          <w:szCs w:val="24"/>
          <w:highlight w:val="none"/>
          <w:lang w:eastAsia="zh-CN"/>
        </w:rPr>
        <w:t>。</w:t>
      </w:r>
    </w:p>
    <w:p w14:paraId="3D6C5F73">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3、工期要求：30日历天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具体开工日期以采购人的书面通知为准。</w:t>
      </w:r>
    </w:p>
    <w:p w14:paraId="5C839BDC">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、质量标准：国家“合格”标准</w:t>
      </w:r>
    </w:p>
    <w:p w14:paraId="6B161F38">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、发包范围：详见工程量清单。招标人保留对工作量进行变更或增减的权利。</w:t>
      </w:r>
    </w:p>
    <w:p w14:paraId="6205E20E">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cs="宋体"/>
          <w:sz w:val="24"/>
        </w:rPr>
        <w:t>标段划分：本次招标为一个标段。</w:t>
      </w:r>
    </w:p>
    <w:p w14:paraId="6342055C">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7、</w:t>
      </w:r>
      <w:r>
        <w:rPr>
          <w:rFonts w:hint="eastAsia" w:ascii="宋体" w:hAnsi="宋体" w:cs="宋体"/>
          <w:sz w:val="24"/>
        </w:rPr>
        <w:t>采购范围：</w:t>
      </w:r>
      <w:r>
        <w:rPr>
          <w:rFonts w:hint="eastAsia" w:ascii="宋体" w:hAnsi="宋体" w:cs="宋体"/>
          <w:color w:val="auto"/>
          <w:sz w:val="24"/>
          <w:highlight w:val="none"/>
          <w:lang w:eastAsia="zh-CN"/>
        </w:rPr>
        <w:t>便仓镇恒泽源农产品加工项目配套污水压力管道建设工程</w:t>
      </w:r>
      <w:r>
        <w:rPr>
          <w:rFonts w:hint="eastAsia" w:ascii="宋体" w:hAnsi="宋体" w:cs="宋体"/>
          <w:color w:val="auto"/>
          <w:sz w:val="24"/>
          <w:highlight w:val="none"/>
        </w:rPr>
        <w:t>，具体详见</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文件项目需求。</w:t>
      </w:r>
    </w:p>
    <w:p w14:paraId="2FD5C421">
      <w:pPr>
        <w:pStyle w:val="100"/>
        <w:keepNext w:val="0"/>
        <w:keepLines w:val="0"/>
        <w:pageBreakBefore w:val="0"/>
        <w:kinsoku/>
        <w:wordWrap/>
        <w:overflowPunct/>
        <w:topLinePunct w:val="0"/>
        <w:autoSpaceDE/>
        <w:autoSpaceDN/>
        <w:bidi w:val="0"/>
        <w:adjustRightInd/>
        <w:snapToGrid/>
        <w:spacing w:line="460" w:lineRule="exact"/>
        <w:ind w:left="0" w:leftChars="0" w:firstLine="480" w:firstLineChars="200"/>
        <w:jc w:val="left"/>
        <w:textAlignment w:val="auto"/>
        <w:rPr>
          <w:rFonts w:hint="eastAsia" w:ascii="宋体" w:hAnsi="宋体" w:cs="宋体"/>
          <w:sz w:val="24"/>
        </w:rPr>
      </w:pPr>
      <w:r>
        <w:rPr>
          <w:rFonts w:hint="eastAsia" w:ascii="宋体" w:hAnsi="宋体" w:cs="宋体"/>
          <w:color w:val="auto"/>
          <w:sz w:val="24"/>
          <w:highlight w:val="none"/>
          <w:lang w:val="en-US" w:eastAsia="zh-CN"/>
        </w:rPr>
        <w:t>8、</w:t>
      </w:r>
      <w:r>
        <w:rPr>
          <w:rFonts w:hint="eastAsia" w:ascii="宋体" w:hAnsi="宋体" w:cs="宋体"/>
          <w:sz w:val="24"/>
        </w:rPr>
        <w:t>中标单位需协助招标人办理施工许可证及后续服务。</w:t>
      </w:r>
    </w:p>
    <w:p w14:paraId="39B38147">
      <w:pPr>
        <w:pStyle w:val="108"/>
        <w:widowControl/>
        <w:spacing w:line="500" w:lineRule="exact"/>
        <w:ind w:firstLine="482"/>
        <w:outlineLvl w:val="1"/>
        <w:rPr>
          <w:rFonts w:hint="eastAsia" w:ascii="宋体" w:hAnsi="宋体" w:cs="宋体"/>
          <w:b/>
          <w:sz w:val="24"/>
          <w:szCs w:val="24"/>
        </w:rPr>
      </w:pPr>
      <w:r>
        <w:rPr>
          <w:rFonts w:hint="eastAsia" w:ascii="宋体" w:hAnsi="宋体" w:cs="宋体"/>
          <w:b/>
          <w:sz w:val="24"/>
          <w:szCs w:val="24"/>
        </w:rPr>
        <w:t>二、踏勘现场</w:t>
      </w:r>
    </w:p>
    <w:p w14:paraId="36734235">
      <w:pPr>
        <w:spacing w:line="440" w:lineRule="exact"/>
        <w:ind w:firstLine="480"/>
        <w:rPr>
          <w:rFonts w:hint="eastAsia" w:ascii="宋体" w:hAnsi="宋体" w:cs="宋体"/>
          <w:sz w:val="24"/>
        </w:rPr>
      </w:pPr>
      <w:r>
        <w:rPr>
          <w:rFonts w:hint="eastAsia" w:ascii="宋体" w:hAnsi="宋体" w:cs="宋体"/>
          <w:sz w:val="24"/>
        </w:rPr>
        <w:t>1.各磋商供应商应在递交磋商响应文件截止日前至工程实施现场进行现场踏勘，如因未踏勘现场造成的一切后果自负。</w:t>
      </w:r>
    </w:p>
    <w:p w14:paraId="7EBFB4AE">
      <w:pPr>
        <w:spacing w:line="440" w:lineRule="exact"/>
        <w:ind w:firstLine="480"/>
        <w:rPr>
          <w:rFonts w:hint="eastAsia" w:ascii="宋体" w:hAnsi="宋体" w:cs="宋体"/>
          <w:sz w:val="24"/>
        </w:rPr>
      </w:pPr>
      <w:r>
        <w:rPr>
          <w:rFonts w:hint="eastAsia" w:ascii="宋体" w:hAnsi="宋体" w:cs="宋体"/>
          <w:sz w:val="24"/>
        </w:rPr>
        <w:t>2.磋商供应商踏勘现场发生的费用自理，自行承担在踏勘现场中所发生的人员伤亡和财产损失。</w:t>
      </w:r>
    </w:p>
    <w:p w14:paraId="1B8377B7">
      <w:pPr>
        <w:spacing w:line="440" w:lineRule="exact"/>
        <w:ind w:firstLine="480"/>
        <w:rPr>
          <w:rFonts w:hint="eastAsia" w:ascii="宋体" w:hAnsi="宋体" w:cs="宋体"/>
          <w:sz w:val="24"/>
        </w:rPr>
      </w:pPr>
      <w:r>
        <w:rPr>
          <w:rFonts w:hint="eastAsia" w:ascii="宋体" w:hAnsi="宋体" w:cs="宋体"/>
          <w:sz w:val="24"/>
        </w:rPr>
        <w:t>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p>
    <w:p w14:paraId="1D946EBD">
      <w:pPr>
        <w:pStyle w:val="108"/>
        <w:widowControl/>
        <w:spacing w:line="500" w:lineRule="exact"/>
        <w:ind w:firstLine="482"/>
        <w:outlineLvl w:val="1"/>
        <w:rPr>
          <w:rFonts w:hint="eastAsia" w:ascii="宋体" w:hAnsi="宋体" w:cs="宋体"/>
          <w:b/>
          <w:sz w:val="24"/>
          <w:szCs w:val="24"/>
        </w:rPr>
      </w:pPr>
      <w:r>
        <w:rPr>
          <w:rFonts w:hint="eastAsia" w:ascii="宋体" w:hAnsi="宋体" w:cs="宋体"/>
          <w:b/>
          <w:sz w:val="24"/>
          <w:szCs w:val="24"/>
        </w:rPr>
        <w:t>三、投标报价要求</w:t>
      </w:r>
    </w:p>
    <w:p w14:paraId="62691888">
      <w:pPr>
        <w:spacing w:line="440" w:lineRule="exact"/>
        <w:ind w:firstLine="480"/>
        <w:rPr>
          <w:rFonts w:hint="eastAsia" w:ascii="宋体" w:hAnsi="宋体" w:cs="宋体"/>
          <w:sz w:val="24"/>
        </w:rPr>
      </w:pPr>
      <w:r>
        <w:rPr>
          <w:rFonts w:hint="eastAsia" w:ascii="宋体" w:hAnsi="宋体" w:cs="宋体"/>
          <w:sz w:val="24"/>
        </w:rPr>
        <w:t>1.投标人应按招标人提供的“招标工程量清单”的要求填写价格清单。</w:t>
      </w:r>
    </w:p>
    <w:p w14:paraId="74DF0B5F">
      <w:pPr>
        <w:spacing w:line="440" w:lineRule="exact"/>
        <w:ind w:firstLine="480"/>
        <w:rPr>
          <w:rFonts w:hint="eastAsia" w:ascii="宋体" w:hAnsi="宋体" w:cs="宋体"/>
          <w:sz w:val="24"/>
        </w:rPr>
      </w:pPr>
      <w:r>
        <w:rPr>
          <w:rFonts w:hint="eastAsia" w:ascii="宋体" w:hAnsi="宋体" w:cs="宋体"/>
          <w:sz w:val="24"/>
        </w:rPr>
        <w:t>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2BC41FEB">
      <w:pPr>
        <w:spacing w:line="440" w:lineRule="exact"/>
        <w:ind w:firstLine="480"/>
        <w:rPr>
          <w:rFonts w:hint="eastAsia" w:ascii="宋体" w:hAnsi="宋体" w:cs="宋体"/>
          <w:sz w:val="24"/>
        </w:rPr>
      </w:pPr>
      <w:r>
        <w:rPr>
          <w:rFonts w:hint="eastAsia" w:ascii="宋体" w:hAnsi="宋体" w:cs="宋体"/>
          <w:sz w:val="24"/>
        </w:rPr>
        <w:t>3.投标人需自行勘察现场，结合招标人的施工工艺要求，以及现场施工难度，进行投标报价，投标报价需包含按照招标人工艺要求进行施工的所有费用。</w:t>
      </w:r>
    </w:p>
    <w:p w14:paraId="1E093D22">
      <w:pPr>
        <w:spacing w:line="440" w:lineRule="exact"/>
        <w:ind w:firstLine="480"/>
        <w:rPr>
          <w:rFonts w:hint="eastAsia" w:ascii="宋体" w:hAnsi="宋体" w:cs="宋体"/>
          <w:sz w:val="24"/>
        </w:rPr>
      </w:pPr>
      <w:r>
        <w:rPr>
          <w:rFonts w:hint="eastAsia" w:ascii="宋体" w:hAnsi="宋体" w:cs="宋体"/>
          <w:sz w:val="24"/>
        </w:rPr>
        <w:t>4.投标人须考虑现场情况，部分材料可能须要人工二次倒运，投标人须将此费用考虑在投标综合报价中。</w:t>
      </w:r>
    </w:p>
    <w:p w14:paraId="637B151F">
      <w:pPr>
        <w:spacing w:line="440" w:lineRule="exact"/>
        <w:ind w:firstLine="480"/>
        <w:rPr>
          <w:rFonts w:hint="eastAsia" w:ascii="宋体" w:hAnsi="宋体" w:cs="宋体"/>
          <w:sz w:val="24"/>
        </w:rPr>
      </w:pPr>
      <w:r>
        <w:rPr>
          <w:rFonts w:hint="eastAsia" w:ascii="宋体" w:hAnsi="宋体" w:cs="宋体"/>
          <w:sz w:val="24"/>
        </w:rPr>
        <w:t>5.投标人应充分考虑验收前所有可能产生的费用，招标人向投标人提供的有关现场的数据和资料，是招标人现有的能够被投标人利用的资料，招标人对投标人做出的任何推论、理解和结论均不负责任。</w:t>
      </w:r>
    </w:p>
    <w:p w14:paraId="03E622F4">
      <w:pPr>
        <w:spacing w:line="440" w:lineRule="exact"/>
        <w:ind w:firstLine="480"/>
        <w:rPr>
          <w:rFonts w:hint="eastAsia" w:ascii="宋体" w:hAnsi="宋体" w:cs="宋体"/>
          <w:sz w:val="24"/>
        </w:rPr>
      </w:pPr>
      <w:r>
        <w:rPr>
          <w:rFonts w:hint="eastAsia" w:ascii="宋体" w:hAnsi="宋体" w:cs="宋体"/>
          <w:sz w:val="24"/>
        </w:rPr>
        <w:t>6.成品保护按相关要求执行，工程施工不得随意破坏已完工的项目，如破坏需及时按原状修复，否则由招标人另行安排施工单位修复，费用由招标人安排的施工单位报价，在中标人结算总价中按2倍的价格扣减。</w:t>
      </w:r>
    </w:p>
    <w:p w14:paraId="2ED79234">
      <w:pPr>
        <w:spacing w:line="440" w:lineRule="exact"/>
        <w:ind w:firstLine="480"/>
        <w:rPr>
          <w:rFonts w:hint="eastAsia" w:ascii="宋体" w:hAnsi="宋体" w:cs="宋体"/>
          <w:sz w:val="24"/>
        </w:rPr>
      </w:pPr>
      <w:r>
        <w:rPr>
          <w:rFonts w:hint="eastAsia" w:ascii="宋体" w:hAnsi="宋体" w:cs="宋体"/>
          <w:sz w:val="24"/>
        </w:rPr>
        <w:t>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p>
    <w:p w14:paraId="1F10AB23">
      <w:pPr>
        <w:spacing w:line="440" w:lineRule="exact"/>
        <w:ind w:firstLine="480"/>
        <w:rPr>
          <w:rFonts w:hint="eastAsia" w:ascii="宋体" w:hAnsi="宋体" w:cs="宋体"/>
          <w:sz w:val="24"/>
        </w:rPr>
      </w:pPr>
      <w:r>
        <w:rPr>
          <w:rFonts w:hint="eastAsia" w:ascii="宋体" w:hAnsi="宋体" w:cs="宋体"/>
          <w:sz w:val="24"/>
        </w:rPr>
        <w:t>8.工程必须确保安全，投标人自行承担工程施工过程中的工程质量、任何状况下的安全责任。</w:t>
      </w:r>
    </w:p>
    <w:p w14:paraId="5D8213D0">
      <w:pPr>
        <w:spacing w:line="440" w:lineRule="exact"/>
        <w:ind w:firstLine="480"/>
        <w:rPr>
          <w:rFonts w:hint="eastAsia" w:ascii="宋体" w:hAnsi="宋体" w:cs="宋体"/>
          <w:sz w:val="24"/>
        </w:rPr>
      </w:pPr>
      <w:r>
        <w:rPr>
          <w:rFonts w:hint="eastAsia" w:ascii="宋体" w:hAnsi="宋体" w:cs="宋体"/>
          <w:sz w:val="24"/>
        </w:rPr>
        <w:t>9.本工程施工过程中遇到的地方矛盾、与其他施工单位的矛盾协调、环保，城管，环卫，附近居民等相关矛盾协调，均由投标人自行解决，并不支付任何额为费用。</w:t>
      </w:r>
    </w:p>
    <w:p w14:paraId="623EF1F2">
      <w:pPr>
        <w:spacing w:line="440" w:lineRule="exact"/>
        <w:ind w:firstLine="480"/>
        <w:rPr>
          <w:rFonts w:hint="eastAsia" w:ascii="宋体" w:hAnsi="宋体" w:cs="宋体"/>
          <w:sz w:val="24"/>
        </w:rPr>
      </w:pPr>
      <w:r>
        <w:rPr>
          <w:rFonts w:hint="eastAsia" w:ascii="宋体" w:hAnsi="宋体" w:cs="宋体"/>
          <w:sz w:val="24"/>
        </w:rPr>
        <w:t>10.本项目施工用水、用电由投标人自行解决，投标人投标报价时应将施工用水、用电充分考虑到投标报价的综合单价中，结算时，此部分费用不再另行计取。</w:t>
      </w:r>
    </w:p>
    <w:p w14:paraId="23D4B386">
      <w:pPr>
        <w:spacing w:line="440" w:lineRule="exact"/>
        <w:ind w:firstLine="480"/>
        <w:rPr>
          <w:rFonts w:hint="eastAsia" w:ascii="宋体" w:hAnsi="宋体" w:cs="宋体"/>
          <w:sz w:val="24"/>
        </w:rPr>
      </w:pPr>
      <w:r>
        <w:rPr>
          <w:rFonts w:hint="eastAsia" w:ascii="宋体" w:hAnsi="宋体" w:cs="宋体"/>
          <w:sz w:val="24"/>
        </w:rPr>
        <w:t>11.本项目具体开工时间以招标人通知为准，投标人不得以项目开始实施时间太迟为由要求招标人调整价格，投标人投标时应将此风险充分考虑到投标报价中。</w:t>
      </w:r>
    </w:p>
    <w:p w14:paraId="31F7D0A8">
      <w:pPr>
        <w:spacing w:line="440" w:lineRule="exact"/>
        <w:ind w:firstLine="480"/>
        <w:rPr>
          <w:rFonts w:hint="eastAsia" w:ascii="宋体" w:hAnsi="宋体" w:cs="宋体"/>
          <w:sz w:val="24"/>
        </w:rPr>
      </w:pPr>
      <w:r>
        <w:rPr>
          <w:rFonts w:hint="eastAsia" w:ascii="宋体" w:hAnsi="宋体" w:cs="宋体"/>
          <w:sz w:val="24"/>
        </w:rPr>
        <w:t>12.工程量现场实测计量，招标人保留增加或减少工作量的权利，合同价相应调整，但投标的综合单价不变。</w:t>
      </w:r>
    </w:p>
    <w:p w14:paraId="26960D31">
      <w:pPr>
        <w:pStyle w:val="104"/>
        <w:keepNext w:val="0"/>
        <w:keepLines w:val="0"/>
        <w:pageBreakBefore w:val="0"/>
        <w:kinsoku/>
        <w:wordWrap/>
        <w:overflowPunct/>
        <w:topLinePunct w:val="0"/>
        <w:autoSpaceDE/>
        <w:autoSpaceDN/>
        <w:bidi w:val="0"/>
        <w:adjustRightInd w:val="0"/>
        <w:snapToGrid w:val="0"/>
        <w:spacing w:line="460" w:lineRule="exact"/>
        <w:ind w:left="0" w:firstLine="480" w:firstLineChars="200"/>
        <w:textAlignment w:val="auto"/>
        <w:rPr>
          <w:rFonts w:hint="eastAsia" w:ascii="宋体" w:hAnsi="宋体"/>
          <w:sz w:val="24"/>
          <w:szCs w:val="24"/>
          <w:highlight w:val="none"/>
        </w:rPr>
      </w:pPr>
      <w:r>
        <w:rPr>
          <w:rFonts w:hint="eastAsia" w:ascii="宋体" w:hAnsi="宋体" w:cs="宋体"/>
          <w:sz w:val="24"/>
        </w:rPr>
        <w:t>13.材料进场前投标人必须送样品给招标人确认，经招标人确认后方可实施。如施工时提供的样品不能满足招标人要求，招标人有权要求更换。</w:t>
      </w:r>
    </w:p>
    <w:p w14:paraId="79AF0117">
      <w:pPr>
        <w:pStyle w:val="108"/>
        <w:widowControl/>
        <w:spacing w:line="500" w:lineRule="exact"/>
        <w:ind w:firstLine="482"/>
        <w:outlineLvl w:val="1"/>
        <w:rPr>
          <w:rFonts w:hint="eastAsia" w:ascii="宋体" w:hAnsi="宋体" w:cs="宋体"/>
          <w:b/>
          <w:sz w:val="24"/>
          <w:szCs w:val="24"/>
        </w:rPr>
      </w:pPr>
      <w:r>
        <w:rPr>
          <w:rFonts w:hint="eastAsia" w:ascii="宋体" w:hAnsi="宋体" w:cs="宋体"/>
          <w:b/>
          <w:sz w:val="24"/>
          <w:szCs w:val="24"/>
        </w:rPr>
        <w:t>四、投标报价的方式</w:t>
      </w:r>
    </w:p>
    <w:p w14:paraId="6D1E7393">
      <w:pPr>
        <w:pStyle w:val="104"/>
        <w:keepNext w:val="0"/>
        <w:keepLines w:val="0"/>
        <w:pageBreakBefore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cs="宋体"/>
          <w:sz w:val="24"/>
          <w:szCs w:val="24"/>
          <w:highlight w:val="none"/>
          <w:shd w:val="clear" w:color="auto" w:fill="FFFFFF"/>
          <w:lang w:val="en-US" w:eastAsia="zh-CN"/>
        </w:rPr>
        <w:t>1、</w:t>
      </w:r>
      <w:r>
        <w:rPr>
          <w:rFonts w:hint="eastAsia" w:ascii="宋体" w:hAnsi="宋体" w:cs="宋体"/>
          <w:sz w:val="24"/>
        </w:rPr>
        <w:t>固定单价报价</w:t>
      </w:r>
      <w:r>
        <w:rPr>
          <w:rFonts w:hint="eastAsia" w:ascii="宋体" w:hAnsi="宋体" w:cs="宋体"/>
          <w:sz w:val="24"/>
          <w:szCs w:val="24"/>
          <w:highlight w:val="none"/>
          <w:shd w:val="clear" w:color="auto" w:fill="FFFFFF"/>
        </w:rPr>
        <w:t>。本工程实行《建设工程工程量清单计价规范》（GB50500-2013）招标，建设工程合同采用</w:t>
      </w:r>
      <w:r>
        <w:rPr>
          <w:rFonts w:hint="eastAsia" w:ascii="宋体" w:hAnsi="宋体" w:cs="宋体"/>
          <w:sz w:val="24"/>
        </w:rPr>
        <w:t>“固定单价合同”</w:t>
      </w:r>
      <w:r>
        <w:rPr>
          <w:rFonts w:hint="eastAsia" w:ascii="宋体" w:hAnsi="宋体" w:cs="宋体"/>
          <w:sz w:val="24"/>
          <w:szCs w:val="24"/>
          <w:highlight w:val="none"/>
          <w:shd w:val="clear" w:color="auto" w:fill="FFFFFF"/>
        </w:rPr>
        <w:t>，以体现风险共担的原则。由采购人提供工程量清单，</w:t>
      </w:r>
      <w:r>
        <w:rPr>
          <w:rFonts w:hint="eastAsia" w:ascii="宋体" w:hAnsi="宋体"/>
          <w:sz w:val="24"/>
          <w:szCs w:val="24"/>
          <w:highlight w:val="none"/>
        </w:rPr>
        <w:t>磋商供应商</w:t>
      </w:r>
      <w:r>
        <w:rPr>
          <w:rFonts w:hint="eastAsia" w:ascii="宋体" w:hAnsi="宋体" w:cs="宋体"/>
          <w:sz w:val="24"/>
          <w:szCs w:val="24"/>
          <w:highlight w:val="none"/>
          <w:shd w:val="clear" w:color="auto" w:fill="FFFFFF"/>
        </w:rPr>
        <w:t>以工程量清单及图纸为基础填报相应的单价并计算合价。采购人要求</w:t>
      </w:r>
      <w:r>
        <w:rPr>
          <w:rFonts w:hint="eastAsia" w:ascii="宋体" w:hAnsi="宋体"/>
          <w:sz w:val="24"/>
          <w:szCs w:val="24"/>
          <w:highlight w:val="none"/>
        </w:rPr>
        <w:t>磋商供应商</w:t>
      </w:r>
      <w:r>
        <w:rPr>
          <w:rFonts w:hint="eastAsia" w:ascii="宋体" w:hAnsi="宋体" w:cs="宋体"/>
          <w:sz w:val="24"/>
          <w:szCs w:val="24"/>
          <w:highlight w:val="none"/>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5D8E59BC">
      <w:pPr>
        <w:spacing w:line="440" w:lineRule="exact"/>
        <w:ind w:firstLine="480"/>
        <w:rPr>
          <w:rFonts w:hint="eastAsia" w:ascii="宋体" w:hAnsi="宋体" w:cs="宋体"/>
          <w:sz w:val="24"/>
        </w:rPr>
      </w:pPr>
      <w:r>
        <w:rPr>
          <w:rFonts w:hint="eastAsia" w:ascii="宋体" w:hAnsi="宋体" w:cs="宋体"/>
          <w:sz w:val="24"/>
        </w:rPr>
        <w:t>2、投标报价的计价方法</w:t>
      </w:r>
    </w:p>
    <w:p w14:paraId="3915572A">
      <w:pPr>
        <w:spacing w:line="440" w:lineRule="exact"/>
        <w:ind w:firstLine="480"/>
        <w:rPr>
          <w:rFonts w:hint="eastAsia" w:ascii="宋体" w:hAnsi="宋体" w:cs="宋体"/>
          <w:sz w:val="24"/>
        </w:rPr>
      </w:pPr>
      <w:r>
        <w:rPr>
          <w:rFonts w:hint="eastAsia" w:ascii="宋体" w:hAnsi="宋体" w:cs="宋体"/>
          <w:sz w:val="24"/>
        </w:rPr>
        <w:t>本工程投标报价采用“工程量清单计价”法（工程量计算规则依据《建设工程量清单计价规范》（GB50500-2013）及其工程量计算规范）。投标人应根据采购人提供的招标工程量清单计算工程项目的综合单价和合价。</w:t>
      </w:r>
    </w:p>
    <w:p w14:paraId="02BDC63F">
      <w:pPr>
        <w:spacing w:line="440" w:lineRule="exact"/>
        <w:ind w:firstLine="480"/>
        <w:rPr>
          <w:rFonts w:hint="eastAsia" w:ascii="宋体" w:hAnsi="宋体" w:cs="宋体"/>
          <w:sz w:val="24"/>
        </w:rPr>
      </w:pPr>
      <w:r>
        <w:rPr>
          <w:rFonts w:hint="eastAsia" w:ascii="宋体" w:hAnsi="宋体" w:cs="宋体"/>
          <w:sz w:val="24"/>
        </w:rPr>
        <w:t>工程量清单中每一个清单项均需计算并填写综合单价、合价。对施工中发生的所有措施费及可预见费用等，由施工单位自行考虑，计入单价和总价。</w:t>
      </w:r>
    </w:p>
    <w:p w14:paraId="456B0626">
      <w:pPr>
        <w:spacing w:line="440" w:lineRule="exact"/>
        <w:ind w:firstLine="480"/>
        <w:rPr>
          <w:rFonts w:hint="eastAsia" w:ascii="宋体" w:hAnsi="宋体" w:cs="宋体"/>
          <w:sz w:val="24"/>
        </w:rPr>
      </w:pPr>
      <w:r>
        <w:rPr>
          <w:rFonts w:hint="eastAsia" w:ascii="宋体" w:hAnsi="宋体" w:cs="宋体"/>
          <w:sz w:val="24"/>
        </w:rPr>
        <w:t>3、投标报价文件编制的依据</w:t>
      </w:r>
    </w:p>
    <w:p w14:paraId="35D7C08A">
      <w:pPr>
        <w:spacing w:line="440" w:lineRule="exact"/>
        <w:ind w:firstLine="480"/>
        <w:rPr>
          <w:rFonts w:hint="eastAsia" w:ascii="宋体" w:hAnsi="宋体" w:cs="宋体"/>
          <w:sz w:val="24"/>
        </w:rPr>
      </w:pPr>
      <w:r>
        <w:rPr>
          <w:rFonts w:hint="eastAsia" w:ascii="宋体" w:hAnsi="宋体" w:cs="宋体"/>
          <w:sz w:val="24"/>
        </w:rPr>
        <w:t>3.1 招标人提供的招标文件、招标工程量清单及其补充通知；</w:t>
      </w:r>
    </w:p>
    <w:p w14:paraId="31024BB8">
      <w:pPr>
        <w:spacing w:line="440" w:lineRule="exact"/>
        <w:ind w:firstLine="480"/>
        <w:rPr>
          <w:rFonts w:hint="eastAsia" w:ascii="宋体" w:hAnsi="宋体" w:cs="宋体"/>
          <w:sz w:val="24"/>
        </w:rPr>
      </w:pPr>
      <w:r>
        <w:rPr>
          <w:rFonts w:hint="eastAsia" w:ascii="宋体" w:hAnsi="宋体" w:cs="宋体"/>
          <w:sz w:val="24"/>
        </w:rPr>
        <w:t>3.2 招标人设定的最高限价；</w:t>
      </w:r>
    </w:p>
    <w:p w14:paraId="401FA6AA">
      <w:pPr>
        <w:spacing w:line="440" w:lineRule="exact"/>
        <w:ind w:firstLine="480"/>
        <w:rPr>
          <w:rFonts w:hint="eastAsia" w:ascii="宋体" w:hAnsi="宋体" w:cs="宋体"/>
          <w:sz w:val="24"/>
        </w:rPr>
      </w:pPr>
      <w:r>
        <w:rPr>
          <w:rFonts w:hint="eastAsia" w:ascii="宋体" w:hAnsi="宋体" w:cs="宋体"/>
          <w:sz w:val="24"/>
        </w:rPr>
        <w:t xml:space="preserve">3.3《建设工程量清单计价规范》(GB50500-2013) 及其工程量计算规范； </w:t>
      </w:r>
    </w:p>
    <w:p w14:paraId="194992EA">
      <w:pPr>
        <w:spacing w:line="440" w:lineRule="exact"/>
        <w:ind w:firstLine="480"/>
        <w:rPr>
          <w:rFonts w:hint="eastAsia" w:ascii="宋体" w:hAnsi="宋体" w:cs="宋体"/>
          <w:sz w:val="24"/>
        </w:rPr>
      </w:pPr>
      <w:r>
        <w:rPr>
          <w:rFonts w:hint="eastAsia" w:ascii="宋体" w:hAnsi="宋体" w:cs="宋体"/>
          <w:sz w:val="24"/>
        </w:rPr>
        <w:t>3.4 有关的施工规范与工程验收规范；</w:t>
      </w:r>
    </w:p>
    <w:p w14:paraId="3695D59A">
      <w:pPr>
        <w:spacing w:line="440" w:lineRule="exact"/>
        <w:ind w:firstLine="480"/>
        <w:rPr>
          <w:rFonts w:hint="eastAsia" w:ascii="宋体" w:hAnsi="宋体" w:cs="宋体"/>
          <w:sz w:val="24"/>
        </w:rPr>
      </w:pPr>
      <w:r>
        <w:rPr>
          <w:rFonts w:hint="eastAsia" w:ascii="宋体" w:hAnsi="宋体" w:cs="宋体"/>
          <w:sz w:val="24"/>
        </w:rPr>
        <w:t>3.5 施工现场情况、工程特点及投标人拟采用的施工组织设计和施工方案；</w:t>
      </w:r>
    </w:p>
    <w:p w14:paraId="2D30506F">
      <w:pPr>
        <w:spacing w:line="440" w:lineRule="exact"/>
        <w:ind w:firstLine="480"/>
        <w:rPr>
          <w:rFonts w:hint="eastAsia" w:ascii="宋体" w:hAnsi="宋体" w:cs="宋体"/>
          <w:sz w:val="24"/>
        </w:rPr>
      </w:pPr>
      <w:r>
        <w:rPr>
          <w:rFonts w:hint="eastAsia" w:ascii="宋体" w:hAnsi="宋体" w:cs="宋体"/>
          <w:sz w:val="24"/>
        </w:rPr>
        <w:t>3.6 投标人的企业定额；</w:t>
      </w:r>
    </w:p>
    <w:p w14:paraId="318A83D9">
      <w:pPr>
        <w:spacing w:line="440" w:lineRule="exact"/>
        <w:ind w:firstLine="480"/>
        <w:rPr>
          <w:rFonts w:hint="eastAsia" w:ascii="宋体" w:hAnsi="宋体" w:cs="宋体"/>
          <w:sz w:val="24"/>
        </w:rPr>
      </w:pPr>
      <w:r>
        <w:rPr>
          <w:rFonts w:hint="eastAsia" w:ascii="宋体" w:hAnsi="宋体" w:cs="宋体"/>
          <w:sz w:val="24"/>
        </w:rPr>
        <w:t>3.7 投标人可同时参考2014年《江苏省建筑与装饰工程计价定额》、2014年《江苏省安装工程计价定额》、《江苏省建设工程费用定额（2014年）》及江苏省关于营改增的计价文件等最高限价（预算）的编制依据。</w:t>
      </w:r>
    </w:p>
    <w:p w14:paraId="29F0E749">
      <w:pPr>
        <w:spacing w:line="440" w:lineRule="exact"/>
        <w:ind w:firstLine="480"/>
        <w:rPr>
          <w:rFonts w:hint="eastAsia" w:ascii="宋体" w:hAnsi="宋体" w:cs="宋体"/>
          <w:sz w:val="24"/>
        </w:rPr>
      </w:pPr>
      <w:r>
        <w:rPr>
          <w:rFonts w:hint="eastAsia" w:ascii="宋体" w:hAnsi="宋体" w:cs="宋体"/>
          <w:sz w:val="24"/>
        </w:rPr>
        <w:t>4、投标报价文件编制的要求</w:t>
      </w:r>
    </w:p>
    <w:p w14:paraId="19E5B1FD">
      <w:pPr>
        <w:spacing w:line="440" w:lineRule="exact"/>
        <w:ind w:firstLine="480"/>
        <w:rPr>
          <w:rFonts w:hint="eastAsia" w:ascii="宋体" w:hAnsi="宋体" w:cs="宋体"/>
          <w:sz w:val="24"/>
        </w:rPr>
      </w:pPr>
      <w:r>
        <w:rPr>
          <w:rFonts w:hint="eastAsia" w:ascii="宋体" w:hAnsi="宋体" w:cs="宋体"/>
          <w:sz w:val="24"/>
        </w:rPr>
        <w:t>4.1招标人提供的施工图纸、招标工程量清单应与招标文件一起参照阅读；</w:t>
      </w:r>
    </w:p>
    <w:p w14:paraId="22C30D15">
      <w:pPr>
        <w:keepNext w:val="0"/>
        <w:keepLines w:val="0"/>
        <w:pageBreakBefore w:val="0"/>
        <w:widowControl/>
        <w:kinsoku/>
        <w:wordWrap/>
        <w:overflowPunct/>
        <w:topLinePunct w:val="0"/>
        <w:autoSpaceDE/>
        <w:bidi w:val="0"/>
        <w:spacing w:line="460" w:lineRule="exact"/>
        <w:ind w:left="0" w:leftChars="0" w:firstLine="482" w:firstLineChars="200"/>
        <w:jc w:val="left"/>
        <w:textAlignment w:val="auto"/>
        <w:rPr>
          <w:rFonts w:ascii="宋体" w:hAnsi="宋体"/>
          <w:b/>
          <w:sz w:val="24"/>
          <w:highlight w:val="none"/>
        </w:rPr>
      </w:pPr>
      <w:r>
        <w:rPr>
          <w:rFonts w:hint="eastAsia" w:ascii="宋体" w:hAnsi="宋体"/>
          <w:b/>
          <w:sz w:val="24"/>
          <w:highlight w:val="none"/>
          <w:lang w:val="en-US" w:eastAsia="zh-CN"/>
        </w:rPr>
        <w:t>五</w:t>
      </w:r>
      <w:r>
        <w:rPr>
          <w:rFonts w:hint="eastAsia" w:ascii="宋体" w:hAnsi="宋体"/>
          <w:b/>
          <w:sz w:val="24"/>
          <w:highlight w:val="none"/>
        </w:rPr>
        <w:t>、</w:t>
      </w:r>
      <w:r>
        <w:rPr>
          <w:rFonts w:hint="eastAsia" w:ascii="宋体" w:hAnsi="宋体" w:cs="宋体"/>
          <w:b/>
          <w:sz w:val="24"/>
          <w:szCs w:val="24"/>
        </w:rPr>
        <w:t>最高限价（预算）的编制</w:t>
      </w:r>
    </w:p>
    <w:p w14:paraId="3749E981">
      <w:pPr>
        <w:keepNext w:val="0"/>
        <w:keepLines w:val="0"/>
        <w:pageBreakBefore w:val="0"/>
        <w:kinsoku/>
        <w:wordWrap/>
        <w:overflowPunct/>
        <w:topLinePunct w:val="0"/>
        <w:autoSpaceDE/>
        <w:bidi w:val="0"/>
        <w:adjustRightInd w:val="0"/>
        <w:snapToGrid w:val="0"/>
        <w:spacing w:line="460" w:lineRule="exact"/>
        <w:ind w:left="0" w:leftChars="0" w:firstLine="480" w:firstLineChars="200"/>
        <w:textAlignment w:val="auto"/>
        <w:rPr>
          <w:rFonts w:hint="eastAsia" w:ascii="宋体" w:hAnsi="宋体" w:cs="宋体"/>
          <w:sz w:val="24"/>
        </w:rPr>
      </w:pPr>
      <w:r>
        <w:rPr>
          <w:rFonts w:hint="eastAsia" w:ascii="宋体" w:hAnsi="宋体"/>
          <w:sz w:val="24"/>
          <w:highlight w:val="none"/>
        </w:rPr>
        <w:t>1.</w:t>
      </w:r>
      <w:r>
        <w:rPr>
          <w:rFonts w:hint="eastAsia" w:ascii="宋体" w:hAnsi="宋体" w:cs="宋体"/>
          <w:sz w:val="24"/>
        </w:rPr>
        <w:t>最高限价：详见投标须知前附表，招标人拒绝高于最高限价的投标报价。</w:t>
      </w:r>
    </w:p>
    <w:p w14:paraId="6C50FCD6">
      <w:pPr>
        <w:keepNext w:val="0"/>
        <w:keepLines w:val="0"/>
        <w:pageBreakBefore w:val="0"/>
        <w:kinsoku/>
        <w:wordWrap/>
        <w:overflowPunct/>
        <w:topLinePunct w:val="0"/>
        <w:autoSpaceDE/>
        <w:bidi w:val="0"/>
        <w:adjustRightInd w:val="0"/>
        <w:snapToGrid w:val="0"/>
        <w:spacing w:line="460" w:lineRule="exact"/>
        <w:ind w:left="0" w:leftChars="0" w:firstLine="480" w:firstLineChars="200"/>
        <w:textAlignment w:val="auto"/>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rPr>
        <w:t>最高限价确定的依据：本项目</w:t>
      </w:r>
      <w:r>
        <w:rPr>
          <w:rFonts w:hint="eastAsia" w:ascii="宋体" w:hAnsi="宋体" w:cs="宋体"/>
          <w:sz w:val="24"/>
          <w:highlight w:val="none"/>
        </w:rPr>
        <w:t>按照招标文件（含工程量清单）、《建设工程工程量清单计价规范》（GB50500-2013）、《房屋建筑与装饰工程工程量计算规范》（GB50854-2013）及《市政工程工程量计算规范》（GB50857-2013）等工程量计算规范……（以下简称《工程量计算规范》）；《江苏省建筑与装饰工程计价定额（2014版）》《江苏省</w:t>
      </w:r>
      <w:r>
        <w:rPr>
          <w:rFonts w:hint="eastAsia" w:ascii="宋体" w:hAnsi="宋体" w:cs="宋体"/>
          <w:sz w:val="24"/>
          <w:highlight w:val="none"/>
          <w:lang w:val="en-US" w:eastAsia="zh-CN"/>
        </w:rPr>
        <w:t>市政与安装</w:t>
      </w:r>
      <w:r>
        <w:rPr>
          <w:rFonts w:hint="eastAsia" w:ascii="宋体" w:hAnsi="宋体" w:cs="宋体"/>
          <w:sz w:val="24"/>
          <w:highlight w:val="none"/>
        </w:rPr>
        <w:t>工程计价定额（2014版）》……（以下简称《计价定额》）、2014年《江苏省建设工程费用定额》（以下简称《费用定额》）、关于营改增后工程计价依据调整内容（苏建价[2016]154号）及省住房城乡建设厅关于调整建设工程计价增值税税率的通知（苏建函价〔2019〕178号）、盐市建价字[2018]29号文、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5</w:t>
      </w:r>
      <w:r>
        <w:rPr>
          <w:rFonts w:hint="eastAsia" w:ascii="宋体" w:hAnsi="宋体" w:cs="宋体"/>
          <w:sz w:val="24"/>
          <w:highlight w:val="none"/>
        </w:rPr>
        <w:t>月《盐城工程造价》、施工现场情况、工程特点及常规施工方案、相关计价文件的规定，计算出分部分项工程费、措施项目费、其他项目费、规费、税金等确定工程预算价，根据工程预算价确定最高限价。</w:t>
      </w:r>
    </w:p>
    <w:p w14:paraId="7B3D31D0">
      <w:pPr>
        <w:keepNext w:val="0"/>
        <w:keepLines w:val="0"/>
        <w:pageBreakBefore w:val="0"/>
        <w:tabs>
          <w:tab w:val="left" w:pos="790"/>
        </w:tabs>
        <w:kinsoku/>
        <w:wordWrap/>
        <w:overflowPunct/>
        <w:topLinePunct w:val="0"/>
        <w:autoSpaceDE/>
        <w:bidi w:val="0"/>
        <w:adjustRightInd w:val="0"/>
        <w:snapToGrid w:val="0"/>
        <w:spacing w:line="460" w:lineRule="exact"/>
        <w:ind w:left="0" w:leftChars="0" w:firstLine="480" w:firstLineChars="200"/>
        <w:textAlignment w:val="auto"/>
        <w:rPr>
          <w:rFonts w:ascii="宋体" w:hAnsi="宋体"/>
          <w:sz w:val="24"/>
          <w:highlight w:val="none"/>
        </w:rPr>
      </w:pPr>
      <w:r>
        <w:rPr>
          <w:rFonts w:hint="eastAsia" w:ascii="宋体" w:hAnsi="宋体"/>
          <w:sz w:val="24"/>
          <w:highlight w:val="none"/>
        </w:rPr>
        <w:t>一般计税方法单位工程费用计费程序如下：</w:t>
      </w:r>
    </w:p>
    <w:p w14:paraId="1F8D8E9A">
      <w:pPr>
        <w:keepNext w:val="0"/>
        <w:keepLines w:val="0"/>
        <w:pageBreakBefore w:val="0"/>
        <w:kinsoku/>
        <w:wordWrap/>
        <w:overflowPunct/>
        <w:topLinePunct w:val="0"/>
        <w:autoSpaceDE/>
        <w:autoSpaceDN w:val="0"/>
        <w:bidi w:val="0"/>
        <w:adjustRightInd w:val="0"/>
        <w:snapToGrid w:val="0"/>
        <w:spacing w:line="460" w:lineRule="exact"/>
        <w:ind w:left="0" w:leftChars="0" w:firstLine="480" w:firstLineChars="200"/>
        <w:textAlignment w:val="auto"/>
        <w:rPr>
          <w:rFonts w:ascii="宋体" w:hAnsi="宋体"/>
          <w:sz w:val="24"/>
          <w:highlight w:val="none"/>
        </w:rPr>
      </w:pPr>
      <w:r>
        <w:rPr>
          <w:rFonts w:hint="eastAsia" w:ascii="宋体" w:hAnsi="宋体"/>
          <w:sz w:val="24"/>
          <w:highlight w:val="none"/>
        </w:rPr>
        <w:t>（1）分部分项工程费    人工费+材料费+施工机具使用费+管理费+利润</w:t>
      </w:r>
    </w:p>
    <w:p w14:paraId="0B8ED3EC">
      <w:pPr>
        <w:tabs>
          <w:tab w:val="left" w:pos="790"/>
        </w:tabs>
        <w:adjustRightInd w:val="0"/>
        <w:snapToGrid w:val="0"/>
        <w:spacing w:line="480" w:lineRule="exact"/>
        <w:ind w:left="420" w:leftChars="200"/>
        <w:rPr>
          <w:rFonts w:ascii="宋体" w:hAnsi="宋体"/>
          <w:sz w:val="24"/>
          <w:highlight w:val="none"/>
        </w:rPr>
      </w:pPr>
      <w:r>
        <w:rPr>
          <w:rFonts w:hint="eastAsia" w:ascii="宋体" w:hAnsi="宋体"/>
          <w:sz w:val="24"/>
          <w:highlight w:val="none"/>
        </w:rPr>
        <w:t>其中：人工费            人工消耗量×人工单价</w:t>
      </w:r>
    </w:p>
    <w:p w14:paraId="55D63F38">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 xml:space="preserve">      材料费用          材料消耗量×除税材料单价</w:t>
      </w:r>
    </w:p>
    <w:p w14:paraId="662AE03D">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 xml:space="preserve">      施工机具使用费    机械消耗量×除税机械单价</w:t>
      </w:r>
    </w:p>
    <w:p w14:paraId="49BF0933">
      <w:pPr>
        <w:adjustRightInd w:val="0"/>
        <w:snapToGrid w:val="0"/>
        <w:spacing w:line="480" w:lineRule="exact"/>
        <w:ind w:firstLine="515"/>
        <w:rPr>
          <w:rFonts w:ascii="宋体" w:hAnsi="宋体"/>
          <w:spacing w:val="-3"/>
          <w:sz w:val="24"/>
          <w:highlight w:val="none"/>
        </w:rPr>
      </w:pPr>
      <w:r>
        <w:rPr>
          <w:rFonts w:hint="eastAsia" w:ascii="宋体" w:hAnsi="宋体"/>
          <w:sz w:val="24"/>
          <w:highlight w:val="none"/>
        </w:rPr>
        <w:t xml:space="preserve">      管理费            按《费用定额》及苏建价[2016]154号计取</w:t>
      </w:r>
    </w:p>
    <w:p w14:paraId="2720E992">
      <w:pPr>
        <w:adjustRightInd w:val="0"/>
        <w:snapToGrid w:val="0"/>
        <w:spacing w:line="480" w:lineRule="exact"/>
        <w:ind w:firstLine="515"/>
        <w:rPr>
          <w:rFonts w:ascii="宋体" w:hAnsi="宋体"/>
          <w:spacing w:val="-3"/>
          <w:sz w:val="24"/>
          <w:highlight w:val="none"/>
        </w:rPr>
      </w:pPr>
      <w:r>
        <w:rPr>
          <w:rFonts w:hint="eastAsia" w:ascii="宋体" w:hAnsi="宋体"/>
          <w:sz w:val="24"/>
          <w:highlight w:val="none"/>
        </w:rPr>
        <w:t xml:space="preserve">      利润              按《费用定额》及苏建价[2016]154号计取</w:t>
      </w:r>
    </w:p>
    <w:p w14:paraId="50395AEA">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（2）措施项目费         单价措施项目费+总价措施项目费</w:t>
      </w:r>
    </w:p>
    <w:p w14:paraId="271789D1">
      <w:pPr>
        <w:tabs>
          <w:tab w:val="left" w:pos="790"/>
        </w:tabs>
        <w:adjustRightInd w:val="0"/>
        <w:snapToGrid w:val="0"/>
        <w:spacing w:line="480" w:lineRule="exact"/>
        <w:ind w:firstLine="1200" w:firstLineChars="500"/>
        <w:rPr>
          <w:rFonts w:ascii="宋体" w:hAnsi="宋体"/>
          <w:sz w:val="24"/>
          <w:highlight w:val="none"/>
        </w:rPr>
      </w:pPr>
      <w:r>
        <w:rPr>
          <w:rFonts w:hint="eastAsia" w:ascii="宋体" w:hAnsi="宋体"/>
          <w:sz w:val="24"/>
          <w:highlight w:val="none"/>
        </w:rPr>
        <w:t>单价措施项目费    清单工程量×除税综合单价</w:t>
      </w:r>
    </w:p>
    <w:p w14:paraId="45CA3E39">
      <w:pPr>
        <w:tabs>
          <w:tab w:val="left" w:pos="790"/>
        </w:tabs>
        <w:adjustRightInd w:val="0"/>
        <w:snapToGrid w:val="0"/>
        <w:spacing w:line="480" w:lineRule="exact"/>
        <w:ind w:left="3597" w:leftChars="570" w:hanging="2400" w:hangingChars="1000"/>
        <w:rPr>
          <w:rFonts w:ascii="宋体" w:hAnsi="宋体"/>
          <w:sz w:val="24"/>
          <w:highlight w:val="none"/>
        </w:rPr>
      </w:pPr>
      <w:r>
        <w:rPr>
          <w:rFonts w:hint="eastAsia" w:ascii="宋体" w:hAnsi="宋体"/>
          <w:sz w:val="24"/>
          <w:highlight w:val="none"/>
        </w:rPr>
        <w:t>总价措施项目费   （分部分项工程费+单价措施项目费-除税工程设备费）×费率或以项计费</w:t>
      </w:r>
    </w:p>
    <w:p w14:paraId="75B214EF">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（3）其他项目费           详见工程量清单。</w:t>
      </w:r>
    </w:p>
    <w:p w14:paraId="7D14BA9A">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（4）规费   （分部分项工程费+措施项目费+其他项目费-除税工程设备费）×费率</w:t>
      </w:r>
    </w:p>
    <w:p w14:paraId="36CFBDB5">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其中：</w:t>
      </w:r>
    </w:p>
    <w:p w14:paraId="4DD470AD">
      <w:pPr>
        <w:tabs>
          <w:tab w:val="left" w:pos="790"/>
        </w:tabs>
        <w:adjustRightInd w:val="0"/>
        <w:snapToGrid w:val="0"/>
        <w:spacing w:line="480" w:lineRule="exact"/>
        <w:ind w:left="3313" w:leftChars="206" w:right="-105" w:rightChars="-50" w:hanging="2880" w:hangingChars="1200"/>
        <w:rPr>
          <w:rFonts w:ascii="宋体" w:hAnsi="宋体"/>
          <w:sz w:val="24"/>
          <w:highlight w:val="none"/>
        </w:rPr>
      </w:pPr>
      <w:r>
        <w:rPr>
          <w:rFonts w:hint="eastAsia" w:ascii="宋体" w:hAnsi="宋体"/>
          <w:sz w:val="24"/>
          <w:highlight w:val="none"/>
        </w:rPr>
        <w:t>环境保护税         （暂按0.1%标准计取，工程竣工结算时按税务部门规定的</w:t>
      </w:r>
    </w:p>
    <w:p w14:paraId="07986A7C">
      <w:pPr>
        <w:tabs>
          <w:tab w:val="left" w:pos="790"/>
        </w:tabs>
        <w:adjustRightInd w:val="0"/>
        <w:snapToGrid w:val="0"/>
        <w:spacing w:line="480" w:lineRule="exact"/>
        <w:ind w:left="2983" w:leftChars="1306" w:right="-105" w:rightChars="-50" w:hanging="240" w:hangingChars="100"/>
        <w:rPr>
          <w:rFonts w:ascii="宋体" w:hAnsi="宋体"/>
          <w:sz w:val="24"/>
          <w:highlight w:val="none"/>
        </w:rPr>
      </w:pPr>
      <w:r>
        <w:rPr>
          <w:rFonts w:hint="eastAsia" w:ascii="宋体" w:hAnsi="宋体"/>
          <w:sz w:val="24"/>
          <w:highlight w:val="none"/>
        </w:rPr>
        <w:t>缴纳标准，按实计取列入工程造价）。</w:t>
      </w:r>
    </w:p>
    <w:p w14:paraId="419329F1">
      <w:pPr>
        <w:tabs>
          <w:tab w:val="left" w:pos="790"/>
        </w:tabs>
        <w:adjustRightInd w:val="0"/>
        <w:snapToGrid w:val="0"/>
        <w:spacing w:line="480" w:lineRule="exact"/>
        <w:jc w:val="left"/>
        <w:rPr>
          <w:rFonts w:ascii="宋体" w:hAnsi="宋体"/>
          <w:spacing w:val="-20"/>
          <w:sz w:val="24"/>
          <w:highlight w:val="none"/>
        </w:rPr>
      </w:pPr>
      <w:r>
        <w:rPr>
          <w:rFonts w:hint="eastAsia" w:ascii="宋体" w:hAnsi="宋体"/>
          <w:sz w:val="24"/>
          <w:highlight w:val="none"/>
        </w:rPr>
        <w:t xml:space="preserve">    社会保险费          执行《费用定额》及苏建价[2016]154号规定的费率</w:t>
      </w:r>
    </w:p>
    <w:p w14:paraId="5CF16CE0">
      <w:pPr>
        <w:tabs>
          <w:tab w:val="left" w:pos="790"/>
        </w:tabs>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住房公积金          执行《费用定额》及苏建价[2016]154号规定的费率</w:t>
      </w:r>
    </w:p>
    <w:p w14:paraId="180F2485">
      <w:pPr>
        <w:tabs>
          <w:tab w:val="left" w:pos="790"/>
        </w:tabs>
        <w:adjustRightInd w:val="0"/>
        <w:snapToGrid w:val="0"/>
        <w:spacing w:line="480" w:lineRule="exact"/>
        <w:ind w:left="3300" w:leftChars="200" w:hanging="2880" w:hangingChars="1200"/>
        <w:rPr>
          <w:rFonts w:ascii="宋体" w:hAnsi="宋体"/>
          <w:sz w:val="24"/>
          <w:highlight w:val="none"/>
        </w:rPr>
      </w:pPr>
      <w:r>
        <w:rPr>
          <w:rFonts w:hint="eastAsia" w:ascii="宋体" w:hAnsi="宋体"/>
          <w:sz w:val="24"/>
          <w:highlight w:val="none"/>
        </w:rPr>
        <w:t>（5）税金             （分部分项工程费+措施项目费+其他项目费+规费-（除税甲供材料费+除税甲供设备费）/1.01）×税率</w:t>
      </w:r>
    </w:p>
    <w:p w14:paraId="7D231DD8">
      <w:pPr>
        <w:adjustRightInd w:val="0"/>
        <w:snapToGrid w:val="0"/>
        <w:spacing w:line="480" w:lineRule="exact"/>
        <w:ind w:firstLine="480" w:firstLineChars="200"/>
        <w:rPr>
          <w:rFonts w:ascii="宋体" w:hAnsi="宋体"/>
          <w:sz w:val="24"/>
          <w:highlight w:val="none"/>
        </w:rPr>
      </w:pPr>
      <w:r>
        <w:rPr>
          <w:rFonts w:hint="eastAsia" w:ascii="宋体" w:hAnsi="宋体"/>
          <w:sz w:val="24"/>
          <w:highlight w:val="none"/>
        </w:rPr>
        <w:t>（6）合 价             分部分项工程费+措施项目费+其他项目费+规费－</w:t>
      </w:r>
    </w:p>
    <w:p w14:paraId="4DDD26AC">
      <w:pPr>
        <w:adjustRightInd w:val="0"/>
        <w:snapToGrid w:val="0"/>
        <w:spacing w:line="480" w:lineRule="exact"/>
        <w:ind w:firstLine="3120" w:firstLineChars="1300"/>
        <w:rPr>
          <w:rFonts w:ascii="宋体" w:hAnsi="宋体"/>
          <w:sz w:val="24"/>
          <w:highlight w:val="none"/>
        </w:rPr>
      </w:pPr>
      <w:r>
        <w:rPr>
          <w:rFonts w:hint="eastAsia" w:ascii="宋体" w:hAnsi="宋体"/>
          <w:sz w:val="24"/>
          <w:highlight w:val="none"/>
        </w:rPr>
        <w:t>（除税甲供材料费+除税甲供设备费）/1.01+税金</w:t>
      </w:r>
    </w:p>
    <w:p w14:paraId="1C06843D">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ascii="宋体" w:hAnsi="宋体"/>
          <w:sz w:val="24"/>
          <w:highlight w:val="none"/>
        </w:rPr>
      </w:pPr>
      <w:r>
        <w:rPr>
          <w:rFonts w:hint="eastAsia" w:ascii="宋体" w:hAnsi="宋体"/>
          <w:b/>
          <w:sz w:val="24"/>
          <w:highlight w:val="none"/>
        </w:rPr>
        <w:t>说明：</w:t>
      </w:r>
    </w:p>
    <w:p w14:paraId="68D2000A">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（一）分部分项工程费部分</w:t>
      </w:r>
    </w:p>
    <w:p w14:paraId="6B0E7301">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1．工程类别：按《费用定额》中的“工程类别划分”执行。</w:t>
      </w:r>
    </w:p>
    <w:p w14:paraId="34D7918B">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jc w:val="left"/>
        <w:textAlignment w:val="auto"/>
        <w:rPr>
          <w:rFonts w:ascii="宋体" w:hAnsi="宋体"/>
          <w:sz w:val="24"/>
          <w:highlight w:val="none"/>
        </w:rPr>
      </w:pPr>
      <w:r>
        <w:rPr>
          <w:rFonts w:hint="eastAsia" w:ascii="宋体" w:hAnsi="宋体"/>
          <w:sz w:val="24"/>
          <w:highlight w:val="none"/>
        </w:rPr>
        <w:t>2．工程量按GB50500-2013《建设工程工程量清单计价规范》、《工程量计算规范》、《费用定额》、《计价定额》及施工图纸等计算。</w:t>
      </w:r>
    </w:p>
    <w:p w14:paraId="67D7AC5C">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3．人工工资单价执行苏建函价(202</w:t>
      </w:r>
      <w:r>
        <w:rPr>
          <w:rFonts w:hint="eastAsia" w:ascii="宋体" w:hAnsi="宋体"/>
          <w:sz w:val="24"/>
          <w:highlight w:val="none"/>
          <w:lang w:val="en-US" w:eastAsia="zh-CN"/>
        </w:rPr>
        <w:t>6</w:t>
      </w:r>
      <w:r>
        <w:rPr>
          <w:rFonts w:hint="eastAsia" w:ascii="宋体" w:hAnsi="宋体"/>
          <w:sz w:val="24"/>
          <w:highlight w:val="none"/>
        </w:rPr>
        <w:t>)</w:t>
      </w:r>
      <w:r>
        <w:rPr>
          <w:rFonts w:hint="eastAsia" w:ascii="宋体" w:hAnsi="宋体"/>
          <w:sz w:val="24"/>
          <w:highlight w:val="none"/>
          <w:lang w:val="en-US" w:eastAsia="zh-CN"/>
        </w:rPr>
        <w:t>27</w:t>
      </w:r>
      <w:r>
        <w:rPr>
          <w:rFonts w:hint="eastAsia" w:ascii="宋体" w:hAnsi="宋体"/>
          <w:sz w:val="24"/>
          <w:highlight w:val="none"/>
        </w:rPr>
        <w:t>号。</w:t>
      </w:r>
    </w:p>
    <w:p w14:paraId="4080B2A6">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4．材料和工程设备单价执行</w:t>
      </w:r>
      <w:r>
        <w:rPr>
          <w:rFonts w:hint="eastAsia" w:ascii="宋体" w:hAnsi="宋体"/>
          <w:sz w:val="24"/>
          <w:highlight w:val="none"/>
          <w:u w:val="single"/>
        </w:rPr>
        <w:t>202</w:t>
      </w:r>
      <w:r>
        <w:rPr>
          <w:rFonts w:hint="eastAsia" w:ascii="宋体" w:hAnsi="宋体"/>
          <w:sz w:val="24"/>
          <w:highlight w:val="none"/>
          <w:u w:val="single"/>
          <w:lang w:val="en-US" w:eastAsia="zh-CN"/>
        </w:rPr>
        <w:t>6</w:t>
      </w:r>
      <w:r>
        <w:rPr>
          <w:rFonts w:hint="eastAsia" w:ascii="宋体" w:hAnsi="宋体"/>
          <w:sz w:val="24"/>
          <w:highlight w:val="none"/>
          <w:u w:val="single"/>
        </w:rPr>
        <w:t>年</w:t>
      </w:r>
      <w:r>
        <w:rPr>
          <w:rFonts w:hint="eastAsia" w:ascii="宋体" w:hAnsi="宋体"/>
          <w:sz w:val="24"/>
          <w:highlight w:val="none"/>
          <w:u w:val="single"/>
          <w:lang w:val="en-US" w:eastAsia="zh-CN"/>
        </w:rPr>
        <w:t>5</w:t>
      </w:r>
      <w:r>
        <w:rPr>
          <w:rFonts w:hint="eastAsia" w:ascii="宋体" w:hAnsi="宋体"/>
          <w:sz w:val="24"/>
          <w:highlight w:val="none"/>
          <w:u w:val="single"/>
        </w:rPr>
        <w:t>月</w:t>
      </w:r>
      <w:r>
        <w:rPr>
          <w:rFonts w:hint="eastAsia" w:ascii="宋体" w:hAnsi="宋体"/>
          <w:sz w:val="24"/>
          <w:highlight w:val="none"/>
        </w:rPr>
        <w:t>《盐城工程造价》建材信息价和《材料（工程设备）暂估单价及调整表》中的暂定价格，无建材信息价和暂定价格的，参照《盐城工程造价》建材市场参考价和材料当前市场价格。</w:t>
      </w:r>
    </w:p>
    <w:p w14:paraId="200D7190">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5．机械单价中燃料费执行</w:t>
      </w:r>
      <w:r>
        <w:rPr>
          <w:rFonts w:hint="eastAsia" w:ascii="宋体" w:hAnsi="宋体"/>
          <w:sz w:val="24"/>
          <w:highlight w:val="none"/>
          <w:u w:val="single"/>
        </w:rPr>
        <w:t>202</w:t>
      </w:r>
      <w:r>
        <w:rPr>
          <w:rFonts w:hint="eastAsia" w:ascii="宋体" w:hAnsi="宋体"/>
          <w:sz w:val="24"/>
          <w:highlight w:val="none"/>
          <w:u w:val="single"/>
          <w:lang w:val="en-US" w:eastAsia="zh-CN"/>
        </w:rPr>
        <w:t>6</w:t>
      </w:r>
      <w:r>
        <w:rPr>
          <w:rFonts w:hint="eastAsia" w:ascii="宋体" w:hAnsi="宋体"/>
          <w:sz w:val="24"/>
          <w:highlight w:val="none"/>
          <w:u w:val="single"/>
        </w:rPr>
        <w:t>年</w:t>
      </w:r>
      <w:r>
        <w:rPr>
          <w:rFonts w:hint="eastAsia" w:ascii="宋体" w:hAnsi="宋体"/>
          <w:sz w:val="24"/>
          <w:highlight w:val="none"/>
          <w:u w:val="single"/>
          <w:lang w:val="en-US" w:eastAsia="zh-CN"/>
        </w:rPr>
        <w:t>5</w:t>
      </w:r>
      <w:r>
        <w:rPr>
          <w:rFonts w:hint="eastAsia" w:ascii="宋体" w:hAnsi="宋体"/>
          <w:sz w:val="24"/>
          <w:highlight w:val="none"/>
          <w:u w:val="single"/>
        </w:rPr>
        <w:t>月</w:t>
      </w:r>
      <w:r>
        <w:rPr>
          <w:rFonts w:hint="eastAsia" w:ascii="宋体" w:hAnsi="宋体"/>
          <w:sz w:val="24"/>
          <w:highlight w:val="none"/>
        </w:rPr>
        <w:t>《盐城工程造价》建材信息价。</w:t>
      </w:r>
    </w:p>
    <w:p w14:paraId="21836092">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6．企业管理费按《费用定额》及苏建价[2016]154号中的“企业管理费和利润取费标准表”中相应单位工程的标准计取。</w:t>
      </w:r>
    </w:p>
    <w:p w14:paraId="5F9DB182">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7．利润率：按《费用定额》及苏建价[2016]154号中的“企业管理费和利润取费标准表”中相应单位工程的标准计取。</w:t>
      </w:r>
    </w:p>
    <w:p w14:paraId="2112A685">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8．风险费率：采购人编制预算价时不予考虑，投标供应商可结合自身实力将风险费自行考虑进入报价。</w:t>
      </w:r>
    </w:p>
    <w:p w14:paraId="33F5F9F8">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（二）措施项目费</w:t>
      </w:r>
    </w:p>
    <w:p w14:paraId="6DF652DA">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（一）单价措施项目：</w:t>
      </w:r>
    </w:p>
    <w:p w14:paraId="1D281C72">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详见工程量清单。</w:t>
      </w:r>
    </w:p>
    <w:p w14:paraId="3D80F966">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（二）总价措施项目</w:t>
      </w:r>
    </w:p>
    <w:p w14:paraId="67EB4D3A">
      <w:pPr>
        <w:keepNext w:val="0"/>
        <w:keepLines w:val="0"/>
        <w:pageBreakBefore w:val="0"/>
        <w:widowControl w:val="0"/>
        <w:tabs>
          <w:tab w:val="left" w:pos="790"/>
        </w:tabs>
        <w:kinsoku/>
        <w:wordWrap/>
        <w:overflowPunct/>
        <w:topLinePunct w:val="0"/>
        <w:autoSpaceDE/>
        <w:autoSpaceDN/>
        <w:bidi w:val="0"/>
        <w:adjustRightInd w:val="0"/>
        <w:snapToGrid w:val="0"/>
        <w:spacing w:line="460" w:lineRule="exact"/>
        <w:ind w:firstLine="480" w:firstLineChars="200"/>
        <w:textAlignment w:val="auto"/>
        <w:rPr>
          <w:rFonts w:ascii="宋体" w:hAnsi="宋体"/>
          <w:sz w:val="24"/>
          <w:highlight w:val="none"/>
        </w:rPr>
      </w:pPr>
      <w:r>
        <w:rPr>
          <w:rFonts w:hint="eastAsia" w:ascii="宋体" w:hAnsi="宋体"/>
          <w:sz w:val="24"/>
          <w:highlight w:val="none"/>
        </w:rPr>
        <w:t>一）通用的总价措施项目费：</w:t>
      </w:r>
    </w:p>
    <w:p w14:paraId="20D9B86C">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ascii="宋体" w:hAnsi="宋体" w:cs="宋体"/>
          <w:sz w:val="24"/>
          <w:highlight w:val="none"/>
        </w:rPr>
      </w:pPr>
      <w:r>
        <w:rPr>
          <w:rFonts w:hint="eastAsia" w:ascii="宋体" w:hAnsi="宋体" w:cs="宋体"/>
          <w:sz w:val="24"/>
          <w:highlight w:val="none"/>
        </w:rPr>
        <w:t xml:space="preserve"> 1、安全文明施工措施费：该费用为不可竞争费，在最高限价编制和投标报价中应根据文件规定足额计取。</w:t>
      </w:r>
    </w:p>
    <w:p w14:paraId="586390D9">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ascii="宋体" w:hAnsi="宋体" w:cs="宋体"/>
          <w:sz w:val="24"/>
          <w:highlight w:val="none"/>
        </w:rPr>
      </w:pPr>
      <w:r>
        <w:rPr>
          <w:rFonts w:hint="eastAsia" w:ascii="宋体" w:hAnsi="宋体" w:cs="宋体"/>
          <w:sz w:val="24"/>
          <w:highlight w:val="none"/>
        </w:rPr>
        <w:t>根据《费用定额》内容的规定，本招标工程的现场安全文明施工措施费标准如下表（表中项目名称及省级标化增加费可选择使用）：</w:t>
      </w:r>
    </w:p>
    <w:tbl>
      <w:tblPr>
        <w:tblStyle w:val="40"/>
        <w:tblW w:w="4580" w:type="pct"/>
        <w:jc w:val="center"/>
        <w:tblLayout w:type="autofit"/>
        <w:tblCellMar>
          <w:top w:w="0" w:type="dxa"/>
          <w:left w:w="0" w:type="dxa"/>
          <w:bottom w:w="0" w:type="dxa"/>
          <w:right w:w="0" w:type="dxa"/>
        </w:tblCellMar>
      </w:tblPr>
      <w:tblGrid>
        <w:gridCol w:w="500"/>
        <w:gridCol w:w="1956"/>
        <w:gridCol w:w="1733"/>
        <w:gridCol w:w="1326"/>
        <w:gridCol w:w="1477"/>
        <w:gridCol w:w="1773"/>
      </w:tblGrid>
      <w:tr w14:paraId="46F4F9CE">
        <w:tblPrEx>
          <w:tblCellMar>
            <w:top w:w="0" w:type="dxa"/>
            <w:left w:w="0" w:type="dxa"/>
            <w:bottom w:w="0" w:type="dxa"/>
            <w:right w:w="0" w:type="dxa"/>
          </w:tblCellMar>
        </w:tblPrEx>
        <w:trPr>
          <w:trHeight w:val="559" w:hRule="atLeast"/>
          <w:jc w:val="center"/>
        </w:trPr>
        <w:tc>
          <w:tcPr>
            <w:tcW w:w="285"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C51386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序号</w:t>
            </w:r>
          </w:p>
        </w:tc>
        <w:tc>
          <w:tcPr>
            <w:tcW w:w="1115"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A6A45E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项目名称</w:t>
            </w:r>
          </w:p>
        </w:tc>
        <w:tc>
          <w:tcPr>
            <w:tcW w:w="988"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6557F0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计算基础</w:t>
            </w:r>
          </w:p>
        </w:tc>
        <w:tc>
          <w:tcPr>
            <w:tcW w:w="756"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AE9745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基本费率（%）</w:t>
            </w:r>
          </w:p>
        </w:tc>
        <w:tc>
          <w:tcPr>
            <w:tcW w:w="842"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404578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省级标化增加费（%）</w:t>
            </w:r>
          </w:p>
        </w:tc>
        <w:tc>
          <w:tcPr>
            <w:tcW w:w="1011" w:type="pct"/>
            <w:tcBorders>
              <w:top w:val="single" w:color="auto" w:sz="8" w:space="0"/>
              <w:left w:val="nil"/>
              <w:bottom w:val="single" w:color="auto" w:sz="8" w:space="0"/>
              <w:right w:val="single" w:color="auto" w:sz="8" w:space="0"/>
            </w:tcBorders>
            <w:vAlign w:val="center"/>
          </w:tcPr>
          <w:p w14:paraId="70ED6FC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扬尘污染防治增加费（%）</w:t>
            </w:r>
          </w:p>
        </w:tc>
      </w:tr>
      <w:tr w14:paraId="0B305786">
        <w:tblPrEx>
          <w:tblCellMar>
            <w:top w:w="0" w:type="dxa"/>
            <w:left w:w="0" w:type="dxa"/>
            <w:bottom w:w="0" w:type="dxa"/>
            <w:right w:w="0" w:type="dxa"/>
          </w:tblCellMar>
        </w:tblPrEx>
        <w:trPr>
          <w:trHeight w:val="559" w:hRule="atLeast"/>
          <w:jc w:val="center"/>
        </w:trPr>
        <w:tc>
          <w:tcPr>
            <w:tcW w:w="285" w:type="pct"/>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3B7D94CA">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1</w:t>
            </w:r>
          </w:p>
        </w:tc>
        <w:tc>
          <w:tcPr>
            <w:tcW w:w="1115"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7FD9A81">
            <w:pPr>
              <w:spacing w:line="480" w:lineRule="exact"/>
              <w:jc w:val="center"/>
              <w:rPr>
                <w:rFonts w:hint="default" w:ascii="宋体" w:hAnsi="宋体" w:eastAsia="宋体" w:cs="宋体"/>
                <w:kern w:val="0"/>
                <w:sz w:val="24"/>
                <w:highlight w:val="none"/>
                <w:lang w:val="en-US" w:eastAsia="zh-CN"/>
              </w:rPr>
            </w:pPr>
            <w:r>
              <w:rPr>
                <w:rFonts w:hint="default" w:ascii="宋体" w:hAnsi="宋体" w:eastAsia="宋体" w:cs="宋体"/>
                <w:kern w:val="0"/>
                <w:sz w:val="24"/>
                <w:highlight w:val="none"/>
                <w:lang w:val="en-US" w:eastAsia="zh-CN"/>
              </w:rPr>
              <w:t>便仓镇恒泽源农产品加工项目配套污水压力管道建设工程</w:t>
            </w:r>
          </w:p>
        </w:tc>
        <w:tc>
          <w:tcPr>
            <w:tcW w:w="988"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42AA732">
            <w:pPr>
              <w:widowControl/>
              <w:spacing w:line="480" w:lineRule="exact"/>
              <w:jc w:val="center"/>
              <w:rPr>
                <w:rFonts w:ascii="宋体" w:hAnsi="宋体" w:cs="宋体"/>
                <w:sz w:val="24"/>
                <w:highlight w:val="none"/>
              </w:rPr>
            </w:pPr>
            <w:r>
              <w:rPr>
                <w:rFonts w:hint="eastAsia" w:ascii="宋体" w:hAnsi="宋体" w:cs="宋体"/>
                <w:sz w:val="24"/>
                <w:highlight w:val="none"/>
              </w:rPr>
              <w:t>按分部分项工程费+单价措施项目费-除税工程设备费</w:t>
            </w:r>
          </w:p>
        </w:tc>
        <w:tc>
          <w:tcPr>
            <w:tcW w:w="756"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F9BD36A">
            <w:pPr>
              <w:widowControl/>
              <w:spacing w:line="48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1.5</w:t>
            </w:r>
          </w:p>
        </w:tc>
        <w:tc>
          <w:tcPr>
            <w:tcW w:w="842" w:type="pct"/>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81EB967">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w:t>
            </w:r>
          </w:p>
        </w:tc>
        <w:tc>
          <w:tcPr>
            <w:tcW w:w="1011" w:type="pct"/>
            <w:tcBorders>
              <w:top w:val="single" w:color="auto" w:sz="8" w:space="0"/>
              <w:left w:val="nil"/>
              <w:bottom w:val="single" w:color="auto" w:sz="8" w:space="0"/>
              <w:right w:val="single" w:color="auto" w:sz="8" w:space="0"/>
            </w:tcBorders>
            <w:vAlign w:val="center"/>
          </w:tcPr>
          <w:p w14:paraId="5FFF5505">
            <w:pPr>
              <w:widowControl/>
              <w:spacing w:line="480" w:lineRule="exact"/>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0.31</w:t>
            </w:r>
          </w:p>
        </w:tc>
      </w:tr>
    </w:tbl>
    <w:p w14:paraId="58842574">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 xml:space="preserve"> 2、夜间施工费：按分部分项工程费+单价措施项目费-除税工程设备费（工程费率为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）计算。</w:t>
      </w:r>
    </w:p>
    <w:p w14:paraId="34BBDFA5">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 xml:space="preserve"> 3、非夜间施工照明费：按分部分项工程费+单价措施项目费-除税工程设备费（工程费率为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）计算。</w:t>
      </w:r>
    </w:p>
    <w:p w14:paraId="63FD2D20">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 xml:space="preserve"> 4、二次搬运费：执行《计价定额》。</w:t>
      </w:r>
    </w:p>
    <w:p w14:paraId="099E747D">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 xml:space="preserve"> 5、冬雨季施工增加费：按分部分项工程费+单价措施费-除税工程设备费（工程费率为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）计算。</w:t>
      </w:r>
    </w:p>
    <w:p w14:paraId="36B28334">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 xml:space="preserve"> 6、地上地下设施、建筑物的临时保护设施费：执行《计价定额》。</w:t>
      </w:r>
    </w:p>
    <w:p w14:paraId="04586210">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 xml:space="preserve"> 7、已完工程及设备保护费：按分部分项工程费+单价措施项目费-除税工程设备费（</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）计算。</w:t>
      </w:r>
    </w:p>
    <w:p w14:paraId="26D294EC">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8、临时设施费：按分部分项工程费+单价措施项目费-除税工程设备费（</w:t>
      </w:r>
      <w:r>
        <w:rPr>
          <w:rFonts w:hint="eastAsia" w:ascii="宋体" w:hAnsi="宋体" w:cs="宋体"/>
          <w:kern w:val="0"/>
          <w:sz w:val="24"/>
          <w:szCs w:val="24"/>
          <w:highlight w:val="none"/>
          <w:u w:val="single"/>
          <w:lang w:val="en-US" w:eastAsia="zh-CN"/>
        </w:rPr>
        <w:t>便仓镇恒泽源农产品加工项目配套污水压力管道建设工程</w:t>
      </w:r>
      <w:r>
        <w:rPr>
          <w:rFonts w:hint="eastAsia" w:ascii="宋体" w:hAnsi="宋体" w:cs="宋体"/>
          <w:sz w:val="24"/>
          <w:szCs w:val="24"/>
          <w:highlight w:val="none"/>
          <w:u w:val="none"/>
        </w:rPr>
        <w:t>费率为</w:t>
      </w:r>
      <w:r>
        <w:rPr>
          <w:rFonts w:hint="eastAsia" w:ascii="宋体" w:hAnsi="宋体" w:cs="宋体"/>
          <w:sz w:val="24"/>
          <w:szCs w:val="24"/>
          <w:highlight w:val="none"/>
          <w:u w:val="single"/>
          <w:lang w:val="en-US" w:eastAsia="zh-CN"/>
        </w:rPr>
        <w:t>1.65%</w:t>
      </w:r>
      <w:r>
        <w:rPr>
          <w:rFonts w:hint="eastAsia" w:ascii="宋体" w:hAnsi="宋体" w:cs="宋体"/>
          <w:sz w:val="24"/>
          <w:szCs w:val="24"/>
          <w:highlight w:val="none"/>
        </w:rPr>
        <w:t>）计算。</w:t>
      </w:r>
    </w:p>
    <w:p w14:paraId="28A30EA7">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 xml:space="preserve"> 9、赶工措施费：按分部分项工程费+单价措施项目费-除税工程设备费（工程费率为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）计算。</w:t>
      </w:r>
    </w:p>
    <w:p w14:paraId="69CD9F96">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10、工程按质论价费：按分部分项工程费+单价措施项目费-除税工程设备费（工程费率为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）计算。</w:t>
      </w:r>
    </w:p>
    <w:p w14:paraId="0988F0D7">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11、特殊条件下施工增加费：执行《计价定额》。</w:t>
      </w:r>
    </w:p>
    <w:p w14:paraId="73A7DFF2">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12、建筑工人实名制费用：按分部分项工程费+单价措施项目费-除税工程设备费（</w:t>
      </w:r>
      <w:r>
        <w:rPr>
          <w:rFonts w:hint="eastAsia" w:ascii="宋体" w:hAnsi="宋体" w:cs="宋体"/>
          <w:kern w:val="0"/>
          <w:sz w:val="24"/>
          <w:szCs w:val="24"/>
          <w:highlight w:val="none"/>
          <w:u w:val="single"/>
          <w:lang w:val="en-US" w:eastAsia="zh-CN"/>
        </w:rPr>
        <w:t>便仓镇恒泽源农产品加工项目配套污水压力管道建设工程</w:t>
      </w:r>
      <w:r>
        <w:rPr>
          <w:rFonts w:hint="eastAsia" w:ascii="宋体" w:hAnsi="宋体" w:cs="宋体"/>
          <w:sz w:val="24"/>
          <w:szCs w:val="24"/>
          <w:highlight w:val="none"/>
          <w:u w:val="none"/>
        </w:rPr>
        <w:t>费率为</w:t>
      </w:r>
      <w:r>
        <w:rPr>
          <w:rFonts w:hint="eastAsia" w:ascii="宋体" w:hAnsi="宋体" w:cs="宋体"/>
          <w:sz w:val="24"/>
          <w:szCs w:val="24"/>
          <w:highlight w:val="none"/>
          <w:u w:val="single"/>
          <w:lang w:val="en-US" w:eastAsia="zh-CN"/>
        </w:rPr>
        <w:t>0.03%</w:t>
      </w:r>
      <w:r>
        <w:rPr>
          <w:rFonts w:hint="eastAsia" w:ascii="宋体" w:hAnsi="宋体" w:cs="宋体"/>
          <w:sz w:val="24"/>
          <w:szCs w:val="24"/>
          <w:highlight w:val="none"/>
        </w:rPr>
        <w:t>）计算。</w:t>
      </w:r>
    </w:p>
    <w:p w14:paraId="2B69CB36">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13、智慧工地费用：按分部分项工程费+单价措施项目费-除税工程设备费（工程费率为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）计算。</w:t>
      </w:r>
    </w:p>
    <w:p w14:paraId="7167A7DD">
      <w:pPr>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二）专业措施项目</w:t>
      </w:r>
    </w:p>
    <w:p w14:paraId="5E1BF098">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专业措施项目不单独立项，投标单位自行考虑各种专业措施费用到报价中。</w:t>
      </w:r>
    </w:p>
    <w:p w14:paraId="38E85AF4">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上述各项措施项目费用，采购人在确定最高限价时按计价文件的有关规定予以适当考虑或计取，同时要求各投标供应商须根据本企业自身实力和工程的实际情况，在投标报价的措施项目费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p>
    <w:p w14:paraId="0F0E7D76">
      <w:pPr>
        <w:keepNext w:val="0"/>
        <w:keepLines w:val="0"/>
        <w:pageBreakBefore w:val="0"/>
        <w:widowControl w:val="0"/>
        <w:kinsoku/>
        <w:wordWrap/>
        <w:overflowPunct/>
        <w:topLinePunct w:val="0"/>
        <w:autoSpaceDE/>
        <w:autoSpaceDN/>
        <w:bidi w:val="0"/>
        <w:spacing w:line="460" w:lineRule="exact"/>
        <w:ind w:lef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（三）其他项目费用：</w:t>
      </w:r>
    </w:p>
    <w:p w14:paraId="35696CE8">
      <w:pPr>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1．暂列金额、暂估价：按采购人《其他项目清单与计价汇总表》执行。</w:t>
      </w:r>
    </w:p>
    <w:p w14:paraId="0F0D8130">
      <w:pPr>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2．计日工：由承发包双方在施工合同中约定，招标时暂不考虑此项费用。</w:t>
      </w:r>
    </w:p>
    <w:p w14:paraId="2D7203C1">
      <w:pPr>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3．总承包服务费：本工程不计总承包服务费。</w:t>
      </w:r>
    </w:p>
    <w:p w14:paraId="6352CFA5">
      <w:pPr>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4．其余详见《其他项目清单与计价汇总表》。</w:t>
      </w:r>
    </w:p>
    <w:p w14:paraId="014144B1">
      <w:pPr>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（四）规 费：</w:t>
      </w:r>
    </w:p>
    <w:p w14:paraId="4609C62E">
      <w:pPr>
        <w:keepNext w:val="0"/>
        <w:keepLines w:val="0"/>
        <w:pageBreakBefore w:val="0"/>
        <w:widowControl w:val="0"/>
        <w:kinsoku/>
        <w:wordWrap/>
        <w:overflowPunct/>
        <w:topLinePunct w:val="0"/>
        <w:autoSpaceDE/>
        <w:autoSpaceDN/>
        <w:bidi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1．环境保护税：按盐市建价字[2018]29号文。</w:t>
      </w:r>
    </w:p>
    <w:p w14:paraId="5FF450CD">
      <w:pPr>
        <w:keepNext w:val="0"/>
        <w:keepLines w:val="0"/>
        <w:pageBreakBefore w:val="0"/>
        <w:widowControl w:val="0"/>
        <w:kinsoku/>
        <w:wordWrap/>
        <w:overflowPunct/>
        <w:topLinePunct w:val="0"/>
        <w:autoSpaceDE/>
        <w:autoSpaceDN/>
        <w:bidi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2．社会保险费和住房公积金：《费用定额》及苏建价[2016]154号中的标准执行。</w:t>
      </w:r>
    </w:p>
    <w:p w14:paraId="5DF490C6">
      <w:pPr>
        <w:keepNext w:val="0"/>
        <w:keepLines w:val="0"/>
        <w:pageBreakBefore w:val="0"/>
        <w:widowControl w:val="0"/>
        <w:kinsoku/>
        <w:wordWrap/>
        <w:overflowPunct/>
        <w:topLinePunct w:val="0"/>
        <w:autoSpaceDE/>
        <w:autoSpaceDN/>
        <w:bidi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（五）税 金：</w:t>
      </w:r>
    </w:p>
    <w:p w14:paraId="01CD7AC3">
      <w:pPr>
        <w:pStyle w:val="104"/>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税金是指根据建筑服务销售价格，按规定税率计算的增值税销项税额。并以除税工程造价为计取基础，费率为9%。</w:t>
      </w:r>
    </w:p>
    <w:p w14:paraId="57B157E1">
      <w:pPr>
        <w:pStyle w:val="104"/>
        <w:keepNext w:val="0"/>
        <w:keepLines w:val="0"/>
        <w:pageBreakBefore w:val="0"/>
        <w:widowControl w:val="0"/>
        <w:kinsoku/>
        <w:wordWrap/>
        <w:overflowPunct/>
        <w:topLinePunct w:val="0"/>
        <w:autoSpaceDE/>
        <w:autoSpaceDN/>
        <w:bidi w:val="0"/>
        <w:adjustRightInd w:val="0"/>
        <w:snapToGrid w:val="0"/>
        <w:spacing w:line="460" w:lineRule="exact"/>
        <w:ind w:left="0" w:firstLine="482" w:firstLineChars="200"/>
        <w:textAlignment w:val="auto"/>
        <w:outlineLvl w:val="2"/>
        <w:rPr>
          <w:rFonts w:ascii="宋体" w:hAnsi="宋体"/>
          <w:b/>
          <w:sz w:val="24"/>
          <w:szCs w:val="24"/>
          <w:highlight w:val="none"/>
        </w:rPr>
      </w:pPr>
      <w:r>
        <w:rPr>
          <w:rFonts w:hint="eastAsia" w:ascii="宋体" w:hAnsi="宋体"/>
          <w:b/>
          <w:sz w:val="24"/>
          <w:szCs w:val="24"/>
          <w:highlight w:val="none"/>
          <w:lang w:val="en-US" w:eastAsia="zh-CN"/>
        </w:rPr>
        <w:t>六</w:t>
      </w:r>
      <w:r>
        <w:rPr>
          <w:rFonts w:hint="eastAsia" w:ascii="宋体" w:hAnsi="宋体"/>
          <w:b/>
          <w:sz w:val="24"/>
          <w:szCs w:val="24"/>
          <w:highlight w:val="none"/>
        </w:rPr>
        <w:t>、报价、计价说明</w:t>
      </w:r>
    </w:p>
    <w:p w14:paraId="1616C17E">
      <w:pPr>
        <w:pStyle w:val="104"/>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1.投标报价应包含完成本竞争性磋商文件中的全部内容所需的所有费用。</w:t>
      </w:r>
    </w:p>
    <w:p w14:paraId="12D75753">
      <w:pPr>
        <w:pStyle w:val="104"/>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sz w:val="24"/>
          <w:szCs w:val="24"/>
          <w:highlight w:val="none"/>
        </w:rPr>
      </w:pPr>
      <w:r>
        <w:rPr>
          <w:rFonts w:hint="eastAsia" w:ascii="宋体" w:hAnsi="宋体"/>
          <w:sz w:val="24"/>
          <w:szCs w:val="24"/>
          <w:highlight w:val="none"/>
        </w:rPr>
        <w:t>2.磋商供应商应充分了解施工场地的位置、周边环境、道路、装卸、保管、安装限制以及影响投标报价的其他要素，结合市场情况进行投标报价。</w:t>
      </w:r>
    </w:p>
    <w:p w14:paraId="183C1C63">
      <w:pPr>
        <w:keepNext w:val="0"/>
        <w:keepLines w:val="0"/>
        <w:pageBreakBefore w:val="0"/>
        <w:widowControl w:val="0"/>
        <w:kinsoku/>
        <w:wordWrap/>
        <w:overflowPunct/>
        <w:topLinePunct w:val="0"/>
        <w:autoSpaceDE/>
        <w:autoSpaceDN/>
        <w:bidi w:val="0"/>
        <w:adjustRightInd w:val="0"/>
        <w:snapToGrid w:val="0"/>
        <w:spacing w:line="460" w:lineRule="exact"/>
        <w:ind w:left="0" w:firstLine="480" w:firstLineChars="200"/>
        <w:textAlignment w:val="auto"/>
        <w:rPr>
          <w:rFonts w:ascii="宋体" w:hAnsi="宋体" w:cs="宋体"/>
          <w:sz w:val="24"/>
          <w:szCs w:val="24"/>
          <w:highlight w:val="none"/>
        </w:rPr>
      </w:pPr>
      <w:r>
        <w:rPr>
          <w:rFonts w:hint="eastAsia" w:ascii="宋体" w:hAnsi="宋体"/>
          <w:sz w:val="24"/>
          <w:szCs w:val="24"/>
          <w:highlight w:val="none"/>
        </w:rPr>
        <w:t>3.</w:t>
      </w:r>
      <w:r>
        <w:rPr>
          <w:rFonts w:hint="eastAsia" w:ascii="宋体" w:hAnsi="宋体" w:cs="宋体"/>
          <w:sz w:val="24"/>
          <w:szCs w:val="24"/>
          <w:highlight w:val="none"/>
          <w:shd w:val="clear" w:color="auto" w:fill="FFFFFF"/>
        </w:rPr>
        <w:t>投标报价方式：本项目投标报价采用“工程量清单计价法”（工程量计算规则依据《建设工程工程量清单计价规范》（GB50500-2013））。</w:t>
      </w:r>
      <w:r>
        <w:rPr>
          <w:rFonts w:hint="eastAsia" w:ascii="宋体" w:hAnsi="宋体"/>
          <w:sz w:val="24"/>
          <w:szCs w:val="24"/>
          <w:highlight w:val="none"/>
        </w:rPr>
        <w:t>磋商供应商</w:t>
      </w:r>
      <w:r>
        <w:rPr>
          <w:rFonts w:hint="eastAsia" w:ascii="宋体" w:hAnsi="宋体" w:cs="宋体"/>
          <w:sz w:val="24"/>
          <w:szCs w:val="24"/>
          <w:highlight w:val="none"/>
          <w:shd w:val="clear" w:color="auto" w:fill="FFFFFF"/>
        </w:rPr>
        <w:t>应根据采购人提供的工程量清单和施工图纸计算工程项目的除税综合单价和合价。工程量清单中每一个子目的单项均需计算并填写除税综合单价、合价。</w:t>
      </w:r>
      <w:r>
        <w:rPr>
          <w:rFonts w:hint="eastAsia" w:ascii="宋体" w:hAnsi="宋体"/>
          <w:sz w:val="24"/>
          <w:szCs w:val="24"/>
          <w:highlight w:val="none"/>
        </w:rPr>
        <w:t>磋商供应商</w:t>
      </w:r>
      <w:r>
        <w:rPr>
          <w:rFonts w:hint="eastAsia" w:ascii="宋体" w:hAnsi="宋体" w:cs="宋体"/>
          <w:sz w:val="24"/>
          <w:szCs w:val="24"/>
          <w:highlight w:val="none"/>
          <w:shd w:val="clear" w:color="auto" w:fill="FFFFFF"/>
        </w:rPr>
        <w:t>对采购人提供的工程量清单如有异议（包括对工程量清单中漏项的疑问），应在</w:t>
      </w:r>
      <w:r>
        <w:rPr>
          <w:rFonts w:hint="eastAsia" w:ascii="宋体" w:hAnsi="宋体"/>
          <w:b/>
          <w:sz w:val="24"/>
          <w:szCs w:val="24"/>
          <w:highlight w:val="none"/>
        </w:rPr>
        <w:t>提交首次响应文件截止时间五日前</w:t>
      </w:r>
      <w:r>
        <w:rPr>
          <w:rFonts w:hint="eastAsia" w:ascii="宋体" w:hAnsi="宋体" w:cs="宋体"/>
          <w:sz w:val="24"/>
          <w:szCs w:val="24"/>
          <w:highlight w:val="none"/>
          <w:shd w:val="clear" w:color="auto" w:fill="FFFFFF"/>
        </w:rPr>
        <w:t>向</w:t>
      </w:r>
      <w:r>
        <w:rPr>
          <w:rFonts w:hint="eastAsia" w:ascii="宋体" w:hAnsi="宋体"/>
          <w:sz w:val="24"/>
          <w:szCs w:val="24"/>
          <w:highlight w:val="none"/>
        </w:rPr>
        <w:t>采购人或采购代理机构提出</w:t>
      </w:r>
      <w:r>
        <w:rPr>
          <w:rFonts w:hint="eastAsia" w:ascii="宋体" w:hAnsi="宋体" w:cs="宋体"/>
          <w:sz w:val="24"/>
          <w:szCs w:val="24"/>
          <w:highlight w:val="none"/>
          <w:shd w:val="clear" w:color="auto" w:fill="FFFFFF"/>
        </w:rPr>
        <w:t>。各</w:t>
      </w:r>
      <w:r>
        <w:rPr>
          <w:rFonts w:hint="eastAsia" w:ascii="宋体" w:hAnsi="宋体"/>
          <w:sz w:val="24"/>
          <w:szCs w:val="24"/>
          <w:highlight w:val="none"/>
        </w:rPr>
        <w:t>磋商供应商</w:t>
      </w:r>
      <w:r>
        <w:rPr>
          <w:rFonts w:hint="eastAsia" w:ascii="宋体" w:hAnsi="宋体" w:cs="宋体"/>
          <w:sz w:val="24"/>
          <w:szCs w:val="24"/>
          <w:highlight w:val="none"/>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673D0EFA">
      <w:pPr>
        <w:keepNext w:val="0"/>
        <w:keepLines w:val="0"/>
        <w:pageBreakBefore w:val="0"/>
        <w:widowControl w:val="0"/>
        <w:kinsoku/>
        <w:wordWrap/>
        <w:overflowPunct/>
        <w:topLinePunct w:val="0"/>
        <w:autoSpaceDE/>
        <w:autoSpaceDN/>
        <w:bidi w:val="0"/>
        <w:spacing w:line="460" w:lineRule="exact"/>
        <w:ind w:firstLine="480" w:firstLineChars="200"/>
        <w:jc w:val="left"/>
        <w:textAlignment w:val="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4.合同定价方式</w:t>
      </w:r>
    </w:p>
    <w:p w14:paraId="2C748994">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s="宋体"/>
          <w:color w:val="000000"/>
          <w:sz w:val="24"/>
          <w:szCs w:val="24"/>
          <w:shd w:val="clear" w:color="auto" w:fill="FFFFFF"/>
        </w:rPr>
        <w:t>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szCs w:val="24"/>
        </w:rPr>
        <w:t>磋商供应商</w:t>
      </w:r>
      <w:r>
        <w:rPr>
          <w:rFonts w:hint="eastAsia" w:ascii="宋体" w:hAnsi="宋体" w:cs="宋体"/>
          <w:color w:val="000000"/>
          <w:sz w:val="24"/>
          <w:szCs w:val="24"/>
          <w:shd w:val="clear" w:color="auto" w:fill="FFFFFF"/>
        </w:rPr>
        <w:t>以工程量清单及图纸为基础填报相应的单价并计算合价。采购人要求</w:t>
      </w:r>
      <w:r>
        <w:rPr>
          <w:rFonts w:hint="eastAsia" w:ascii="宋体" w:hAnsi="宋体"/>
          <w:color w:val="000000"/>
          <w:sz w:val="24"/>
          <w:szCs w:val="24"/>
        </w:rPr>
        <w:t>磋商供应商</w:t>
      </w:r>
      <w:r>
        <w:rPr>
          <w:rFonts w:hint="eastAsia" w:ascii="宋体" w:hAnsi="宋体" w:cs="宋体"/>
          <w:color w:val="000000"/>
          <w:sz w:val="24"/>
          <w:szCs w:val="24"/>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0DCEB6CE">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5.投标报价的要求</w:t>
      </w:r>
    </w:p>
    <w:p w14:paraId="4E47AD9D">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5.1采购人提供工程量清单应与</w:t>
      </w:r>
      <w:r>
        <w:rPr>
          <w:rFonts w:hint="eastAsia" w:ascii="宋体" w:hAnsi="宋体" w:cs="宋体"/>
          <w:color w:val="000000"/>
          <w:sz w:val="24"/>
          <w:szCs w:val="24"/>
          <w:shd w:val="clear" w:color="auto" w:fill="FFFFFF"/>
        </w:rPr>
        <w:t>竞争性磋商</w:t>
      </w:r>
      <w:r>
        <w:rPr>
          <w:rFonts w:hint="eastAsia" w:ascii="宋体" w:hAnsi="宋体"/>
          <w:color w:val="000000"/>
          <w:sz w:val="24"/>
          <w:szCs w:val="24"/>
        </w:rPr>
        <w:t>文件一起参照阅读；</w:t>
      </w:r>
    </w:p>
    <w:p w14:paraId="2EDC4364">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5312279F">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5.3 除不可竞争费用（现场安全文明施工措施费、规费项目费、税金项目费）、暂列金额、暂估价不得调整外，磋商供应商可根据自己的施工方案及企业自身经营管理水平情况不低于成本报价；</w:t>
      </w:r>
    </w:p>
    <w:p w14:paraId="7A86E5DC">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242D26BA">
      <w:pPr>
        <w:pStyle w:val="104"/>
        <w:keepNext w:val="0"/>
        <w:keepLines w:val="0"/>
        <w:pageBreakBefore w:val="0"/>
        <w:widowControl w:val="0"/>
        <w:kinsoku/>
        <w:wordWrap/>
        <w:overflowPunct/>
        <w:topLinePunct w:val="0"/>
        <w:autoSpaceDE/>
        <w:autoSpaceDN/>
        <w:bidi w:val="0"/>
        <w:spacing w:line="460" w:lineRule="exact"/>
        <w:ind w:firstLine="482" w:firstLineChars="200"/>
        <w:textAlignment w:val="auto"/>
        <w:rPr>
          <w:rFonts w:hint="eastAsia" w:ascii="宋体" w:hAnsi="宋体"/>
          <w:b/>
          <w:color w:val="000000"/>
          <w:sz w:val="24"/>
          <w:szCs w:val="24"/>
        </w:rPr>
      </w:pPr>
      <w:r>
        <w:rPr>
          <w:rFonts w:hint="eastAsia" w:ascii="宋体" w:hAnsi="宋体"/>
          <w:b/>
          <w:color w:val="000000"/>
          <w:sz w:val="24"/>
          <w:szCs w:val="24"/>
        </w:rPr>
        <w:t>5.5</w:t>
      </w:r>
      <w:r>
        <w:rPr>
          <w:rFonts w:ascii="宋体" w:hAnsi="宋体"/>
          <w:b/>
          <w:color w:val="000000"/>
          <w:sz w:val="24"/>
          <w:szCs w:val="24"/>
        </w:rPr>
        <w:t xml:space="preserve"> </w:t>
      </w:r>
      <w:r>
        <w:rPr>
          <w:rFonts w:hint="eastAsia" w:ascii="宋体" w:hAnsi="宋体"/>
          <w:b/>
          <w:color w:val="000000"/>
          <w:sz w:val="24"/>
          <w:szCs w:val="24"/>
        </w:rPr>
        <w:t>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p>
    <w:p w14:paraId="73338682">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5.6 如磋商供应商在投标时承诺质量标准达到合格以上等级的，应在投标报价时足额考虑创优所增加的施工成本，相关费用采购人不再另行支付；</w:t>
      </w:r>
    </w:p>
    <w:p w14:paraId="1ABC1A5F">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5.7 综合单价的组成：完成一个规定清单项目所需的人工费、材料费和工程设备费、施工机具使用费和企业管理费与利润，以及一定范围内的风险费用；</w:t>
      </w:r>
    </w:p>
    <w:p w14:paraId="3D4C6CC7">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p>
    <w:p w14:paraId="37F5E5F6">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5.9 规费和税金应按招标工程量清单中的规定标准执行；</w:t>
      </w:r>
    </w:p>
    <w:p w14:paraId="6F83D5C5">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p>
    <w:p w14:paraId="2FACEABE">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5.11投标总价应当与分部分项工程费、措施项目费、其他项目费和规费、税金的合计金额一致。</w:t>
      </w:r>
    </w:p>
    <w:p w14:paraId="17B63E63">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color w:val="000000"/>
          <w:sz w:val="24"/>
          <w:szCs w:val="24"/>
        </w:rPr>
      </w:pPr>
      <w:r>
        <w:rPr>
          <w:rFonts w:hint="eastAsia" w:ascii="宋体" w:hAnsi="宋体"/>
          <w:color w:val="000000"/>
          <w:sz w:val="24"/>
          <w:szCs w:val="24"/>
        </w:rPr>
        <w:t>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45841AC1">
      <w:pPr>
        <w:keepNext w:val="0"/>
        <w:keepLines w:val="0"/>
        <w:pageBreakBefore w:val="0"/>
        <w:widowControl w:val="0"/>
        <w:kinsoku/>
        <w:wordWrap/>
        <w:overflowPunct/>
        <w:topLinePunct w:val="0"/>
        <w:autoSpaceDE/>
        <w:autoSpaceDN/>
        <w:bidi w:val="0"/>
        <w:spacing w:line="460" w:lineRule="exact"/>
        <w:ind w:firstLine="482" w:firstLineChars="200"/>
        <w:textAlignment w:val="auto"/>
        <w:rPr>
          <w:rFonts w:hint="eastAsia" w:ascii="宋体" w:hAnsi="宋体" w:cs="宋体"/>
          <w:b/>
          <w:sz w:val="24"/>
          <w:szCs w:val="24"/>
        </w:rPr>
      </w:pPr>
      <w:r>
        <w:rPr>
          <w:rFonts w:hint="eastAsia" w:ascii="宋体" w:hAnsi="宋体"/>
          <w:b/>
          <w:color w:val="000000"/>
          <w:sz w:val="24"/>
          <w:szCs w:val="24"/>
        </w:rPr>
        <w:t>5.13</w:t>
      </w:r>
      <w:r>
        <w:rPr>
          <w:rFonts w:hint="eastAsia" w:ascii="宋体" w:hAnsi="宋体" w:cs="宋体"/>
          <w:b/>
          <w:sz w:val="24"/>
          <w:szCs w:val="24"/>
        </w:rPr>
        <w:t>特别提醒：</w:t>
      </w:r>
      <w:r>
        <w:rPr>
          <w:rFonts w:hint="eastAsia" w:ascii="宋体" w:hAnsi="宋体"/>
          <w:b/>
          <w:color w:val="000000"/>
          <w:sz w:val="24"/>
          <w:szCs w:val="24"/>
        </w:rPr>
        <w:t>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p>
    <w:p w14:paraId="78034031">
      <w:pPr>
        <w:keepNext w:val="0"/>
        <w:keepLines w:val="0"/>
        <w:pageBreakBefore w:val="0"/>
        <w:widowControl w:val="0"/>
        <w:kinsoku/>
        <w:wordWrap/>
        <w:overflowPunct/>
        <w:topLinePunct w:val="0"/>
        <w:autoSpaceDE/>
        <w:autoSpaceDN/>
        <w:bidi w:val="0"/>
        <w:spacing w:line="460" w:lineRule="exact"/>
        <w:ind w:firstLine="482" w:firstLineChars="200"/>
        <w:textAlignment w:val="auto"/>
        <w:rPr>
          <w:sz w:val="24"/>
          <w:szCs w:val="24"/>
        </w:rPr>
      </w:pPr>
      <w:r>
        <w:rPr>
          <w:rFonts w:hint="eastAsia" w:ascii="宋体" w:hAnsi="宋体"/>
          <w:b/>
          <w:color w:val="000000"/>
          <w:sz w:val="24"/>
          <w:szCs w:val="24"/>
        </w:rPr>
        <w:t>5.14供应商最后报价为响应文件中已标价工程量清单总价下浮后得到（各清单项的数量不变，单价同比例下浮，其中暂列金额、暂估价、甲供材及其规费和税金不下浮）。</w:t>
      </w:r>
    </w:p>
    <w:p w14:paraId="4C65DCB2">
      <w:pPr>
        <w:pStyle w:val="10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firstLine="482" w:firstLineChars="200"/>
        <w:jc w:val="left"/>
        <w:textAlignment w:val="auto"/>
        <w:rPr>
          <w:rFonts w:hint="eastAsia" w:ascii="宋体" w:hAnsi="宋体" w:cs="宋体"/>
          <w:b/>
          <w:color w:val="auto"/>
          <w:kern w:val="0"/>
          <w:sz w:val="24"/>
          <w:szCs w:val="24"/>
          <w:highlight w:val="none"/>
          <w:lang w:val="en-US" w:eastAsia="zh-CN"/>
        </w:rPr>
      </w:pPr>
      <w:r>
        <w:rPr>
          <w:rFonts w:hint="eastAsia" w:ascii="宋体" w:hAnsi="宋体" w:cs="宋体"/>
          <w:b/>
          <w:color w:val="auto"/>
          <w:kern w:val="0"/>
          <w:sz w:val="24"/>
          <w:szCs w:val="24"/>
          <w:highlight w:val="none"/>
          <w:lang w:val="en-US" w:eastAsia="zh-CN"/>
        </w:rPr>
        <w:t>七、招标工程量清单及图纸</w:t>
      </w:r>
    </w:p>
    <w:p w14:paraId="2DDEEED4">
      <w:pPr>
        <w:pStyle w:val="10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firstLine="480" w:firstLineChars="200"/>
        <w:jc w:val="left"/>
        <w:textAlignment w:val="auto"/>
        <w:rPr>
          <w:rFonts w:hint="eastAsia" w:ascii="宋体" w:hAnsi="宋体" w:cs="宋体"/>
          <w:b w:val="0"/>
          <w:bCs/>
          <w:color w:val="auto"/>
          <w:kern w:val="0"/>
          <w:sz w:val="24"/>
          <w:szCs w:val="24"/>
          <w:highlight w:val="none"/>
          <w:lang w:val="en-US" w:eastAsia="zh-CN"/>
        </w:rPr>
      </w:pPr>
      <w:r>
        <w:rPr>
          <w:rFonts w:hint="eastAsia" w:ascii="宋体" w:hAnsi="宋体" w:cs="宋体"/>
          <w:b w:val="0"/>
          <w:bCs/>
          <w:color w:val="auto"/>
          <w:kern w:val="0"/>
          <w:sz w:val="24"/>
          <w:szCs w:val="24"/>
          <w:highlight w:val="none"/>
          <w:lang w:val="en-US" w:eastAsia="zh-CN"/>
        </w:rPr>
        <w:t xml:space="preserve">招标清单及图纸下载链接： </w:t>
      </w:r>
    </w:p>
    <w:p w14:paraId="36C75596">
      <w:pPr>
        <w:pStyle w:val="10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firstLine="480" w:firstLineChars="200"/>
        <w:jc w:val="left"/>
        <w:textAlignment w:val="auto"/>
        <w:rPr>
          <w:rFonts w:hint="eastAsia" w:ascii="宋体" w:hAnsi="宋体" w:cs="宋体"/>
          <w:b w:val="0"/>
          <w:bCs/>
          <w:color w:val="auto"/>
          <w:kern w:val="0"/>
          <w:sz w:val="24"/>
          <w:szCs w:val="24"/>
          <w:highlight w:val="none"/>
          <w:lang w:val="en-US" w:eastAsia="zh-CN"/>
        </w:rPr>
      </w:pPr>
      <w:r>
        <w:rPr>
          <w:rFonts w:hint="eastAsia" w:ascii="宋体" w:hAnsi="宋体" w:cs="宋体"/>
          <w:b w:val="0"/>
          <w:bCs/>
          <w:color w:val="auto"/>
          <w:kern w:val="0"/>
          <w:sz w:val="24"/>
          <w:szCs w:val="24"/>
          <w:highlight w:val="none"/>
          <w:lang w:val="en-US" w:eastAsia="zh-CN"/>
        </w:rPr>
        <w:t xml:space="preserve">链接：https://pan.baidu.com/s/1bpesAx1CaPcWc0JM1sZPPw?pwd=w974 </w:t>
      </w:r>
    </w:p>
    <w:p w14:paraId="1692BE12">
      <w:pPr>
        <w:pStyle w:val="10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firstLine="480" w:firstLineChars="200"/>
        <w:jc w:val="left"/>
        <w:textAlignment w:val="auto"/>
        <w:rPr>
          <w:rFonts w:hint="eastAsia" w:ascii="宋体" w:hAnsi="宋体" w:cs="宋体"/>
          <w:b w:val="0"/>
          <w:bCs/>
          <w:color w:val="auto"/>
          <w:kern w:val="0"/>
          <w:sz w:val="24"/>
          <w:szCs w:val="24"/>
          <w:highlight w:val="none"/>
          <w:lang w:val="en-US" w:eastAsia="zh-CN"/>
        </w:rPr>
      </w:pPr>
      <w:r>
        <w:rPr>
          <w:rFonts w:hint="eastAsia" w:ascii="宋体" w:hAnsi="宋体" w:cs="宋体"/>
          <w:b w:val="0"/>
          <w:bCs/>
          <w:color w:val="auto"/>
          <w:kern w:val="0"/>
          <w:sz w:val="24"/>
          <w:szCs w:val="24"/>
          <w:highlight w:val="none"/>
          <w:lang w:val="en-US" w:eastAsia="zh-CN"/>
        </w:rPr>
        <w:t>提取码：w974</w:t>
      </w:r>
    </w:p>
    <w:p w14:paraId="353ACDD7">
      <w:pPr>
        <w:pStyle w:val="100"/>
        <w:keepNext w:val="0"/>
        <w:keepLines w:val="0"/>
        <w:pageBreakBefore w:val="0"/>
        <w:widowControl w:val="0"/>
        <w:numPr>
          <w:ilvl w:val="0"/>
          <w:numId w:val="9"/>
        </w:numPr>
        <w:kinsoku/>
        <w:wordWrap/>
        <w:overflowPunct/>
        <w:topLinePunct w:val="0"/>
        <w:autoSpaceDE/>
        <w:autoSpaceDN/>
        <w:bidi w:val="0"/>
        <w:adjustRightInd/>
        <w:snapToGrid/>
        <w:spacing w:line="460" w:lineRule="exact"/>
        <w:ind w:left="0" w:firstLine="482" w:firstLineChars="200"/>
        <w:jc w:val="left"/>
        <w:textAlignment w:val="auto"/>
        <w:rPr>
          <w:rFonts w:hint="eastAsia" w:ascii="宋体" w:hAnsi="宋体" w:cs="宋体"/>
          <w:b/>
          <w:color w:val="auto"/>
          <w:kern w:val="0"/>
          <w:sz w:val="24"/>
          <w:szCs w:val="24"/>
          <w:highlight w:val="none"/>
          <w:lang w:val="en-US" w:eastAsia="zh-CN"/>
        </w:rPr>
      </w:pPr>
      <w:r>
        <w:rPr>
          <w:rFonts w:hint="eastAsia" w:ascii="宋体" w:hAnsi="宋体" w:cs="宋体"/>
          <w:b/>
          <w:color w:val="auto"/>
          <w:kern w:val="0"/>
          <w:sz w:val="24"/>
          <w:szCs w:val="24"/>
          <w:highlight w:val="none"/>
          <w:lang w:val="en-US" w:eastAsia="zh-CN"/>
        </w:rPr>
        <w:t>工程及材料技术要求</w:t>
      </w:r>
    </w:p>
    <w:p w14:paraId="66485010">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sz w:val="24"/>
          <w:szCs w:val="24"/>
        </w:rPr>
      </w:pPr>
      <w:r>
        <w:rPr>
          <w:rFonts w:hint="eastAsia" w:ascii="宋体" w:hAnsi="宋体"/>
          <w:sz w:val="24"/>
          <w:szCs w:val="24"/>
        </w:rPr>
        <w:t>1、工程质量应达到的等级：达到国标验收规范合格要求。</w:t>
      </w:r>
    </w:p>
    <w:p w14:paraId="7F345E09">
      <w:pPr>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sz w:val="24"/>
          <w:szCs w:val="24"/>
        </w:rPr>
      </w:pPr>
      <w:r>
        <w:rPr>
          <w:rFonts w:ascii="宋体" w:hAnsi="宋体"/>
          <w:sz w:val="24"/>
          <w:szCs w:val="24"/>
        </w:rPr>
        <w:t>2</w:t>
      </w:r>
      <w:r>
        <w:rPr>
          <w:rFonts w:hint="eastAsia" w:ascii="宋体" w:hAnsi="宋体"/>
          <w:sz w:val="24"/>
          <w:szCs w:val="24"/>
        </w:rPr>
        <w:t>、材料进场、垃圾外运时需注意对业主方道路、道板及绿化的保护，如有损坏，成交人应恢复原样，相关维修费由成交人自理。</w:t>
      </w:r>
    </w:p>
    <w:p w14:paraId="17087283">
      <w:pPr>
        <w:pStyle w:val="108"/>
        <w:keepNext w:val="0"/>
        <w:keepLines w:val="0"/>
        <w:pageBreakBefore w:val="0"/>
        <w:widowControl w:val="0"/>
        <w:kinsoku/>
        <w:wordWrap/>
        <w:overflowPunct/>
        <w:topLinePunct w:val="0"/>
        <w:autoSpaceDE/>
        <w:autoSpaceDN/>
        <w:bidi w:val="0"/>
        <w:spacing w:line="460" w:lineRule="exact"/>
        <w:ind w:firstLine="482" w:firstLineChars="200"/>
        <w:textAlignment w:val="auto"/>
        <w:outlineLvl w:val="1"/>
        <w:rPr>
          <w:rFonts w:hint="eastAsia" w:ascii="宋体" w:hAnsi="宋体"/>
          <w:b/>
          <w:sz w:val="24"/>
          <w:szCs w:val="24"/>
        </w:rPr>
      </w:pPr>
      <w:r>
        <w:rPr>
          <w:rFonts w:hint="eastAsia" w:ascii="宋体" w:hAnsi="宋体"/>
          <w:b/>
          <w:sz w:val="24"/>
          <w:szCs w:val="24"/>
        </w:rPr>
        <w:t>九、业绩</w:t>
      </w:r>
    </w:p>
    <w:p w14:paraId="7D996753">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eastAsia="宋体" w:cs="宋体"/>
          <w:sz w:val="24"/>
          <w:szCs w:val="24"/>
        </w:rPr>
      </w:pPr>
      <w:r>
        <w:rPr>
          <w:rFonts w:hint="eastAsia" w:ascii="宋体" w:hAnsi="宋体"/>
          <w:sz w:val="24"/>
          <w:szCs w:val="24"/>
        </w:rPr>
        <w:t>为确保本项目的顺利实施，</w:t>
      </w:r>
      <w:r>
        <w:rPr>
          <w:rFonts w:hint="eastAsia" w:ascii="宋体" w:hAnsi="宋体" w:eastAsia="宋体" w:cs="宋体"/>
          <w:sz w:val="24"/>
          <w:szCs w:val="24"/>
        </w:rPr>
        <w:t>供应商自2023年1月1日以来（以合同签订日期为准）承接过类似业绩的优先。</w:t>
      </w:r>
    </w:p>
    <w:p w14:paraId="24542889">
      <w:pPr>
        <w:pStyle w:val="108"/>
        <w:keepNext w:val="0"/>
        <w:keepLines w:val="0"/>
        <w:pageBreakBefore w:val="0"/>
        <w:widowControl w:val="0"/>
        <w:kinsoku/>
        <w:wordWrap/>
        <w:overflowPunct/>
        <w:topLinePunct w:val="0"/>
        <w:autoSpaceDE/>
        <w:autoSpaceDN/>
        <w:bidi w:val="0"/>
        <w:spacing w:line="460" w:lineRule="exact"/>
        <w:ind w:firstLine="482" w:firstLineChars="200"/>
        <w:textAlignment w:val="auto"/>
        <w:outlineLvl w:val="1"/>
        <w:rPr>
          <w:rFonts w:hint="eastAsia" w:ascii="宋体" w:hAnsi="宋体"/>
          <w:b/>
          <w:sz w:val="24"/>
          <w:szCs w:val="24"/>
        </w:rPr>
      </w:pPr>
      <w:r>
        <w:rPr>
          <w:rFonts w:hint="eastAsia" w:ascii="宋体" w:hAnsi="宋体"/>
          <w:b/>
          <w:sz w:val="24"/>
          <w:szCs w:val="24"/>
        </w:rPr>
        <w:t>十、管理体系</w:t>
      </w:r>
    </w:p>
    <w:p w14:paraId="4BA3E1AA">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eastAsia="宋体" w:cs="宋体"/>
          <w:sz w:val="24"/>
          <w:szCs w:val="24"/>
        </w:rPr>
      </w:pPr>
      <w:bookmarkStart w:id="136" w:name="_Hlk203033226"/>
      <w:r>
        <w:rPr>
          <w:rFonts w:hint="eastAsia" w:ascii="宋体" w:hAnsi="宋体" w:eastAsia="宋体" w:cs="宋体"/>
          <w:sz w:val="24"/>
          <w:szCs w:val="24"/>
        </w:rPr>
        <w:t>为了择优选择成交单位，体现企业实力，本项目供应商取得有效的质量管理体系认证证书、有效的环境管理体系认证证书、有效的职业安全健康管理体系认证证书的优先，有效的是指开标当日有效的证书。</w:t>
      </w:r>
      <w:bookmarkEnd w:id="136"/>
    </w:p>
    <w:p w14:paraId="6915250D">
      <w:pPr>
        <w:pStyle w:val="108"/>
        <w:keepNext w:val="0"/>
        <w:keepLines w:val="0"/>
        <w:pageBreakBefore w:val="0"/>
        <w:widowControl w:val="0"/>
        <w:kinsoku/>
        <w:wordWrap/>
        <w:overflowPunct/>
        <w:topLinePunct w:val="0"/>
        <w:autoSpaceDE/>
        <w:autoSpaceDN/>
        <w:bidi w:val="0"/>
        <w:spacing w:line="460" w:lineRule="exact"/>
        <w:ind w:firstLine="482" w:firstLineChars="200"/>
        <w:textAlignment w:val="auto"/>
        <w:outlineLvl w:val="1"/>
        <w:rPr>
          <w:rFonts w:hint="eastAsia" w:ascii="宋体" w:hAnsi="宋体"/>
          <w:b/>
          <w:sz w:val="24"/>
          <w:szCs w:val="24"/>
        </w:rPr>
      </w:pPr>
      <w:r>
        <w:rPr>
          <w:rFonts w:hint="eastAsia" w:ascii="宋体" w:hAnsi="宋体"/>
          <w:b/>
          <w:sz w:val="24"/>
          <w:szCs w:val="24"/>
        </w:rPr>
        <w:t>十一、人员配备</w:t>
      </w:r>
    </w:p>
    <w:p w14:paraId="6ABAD1D1">
      <w:pPr>
        <w:pStyle w:val="104"/>
        <w:keepNext w:val="0"/>
        <w:keepLines w:val="0"/>
        <w:pageBreakBefore w:val="0"/>
        <w:widowControl w:val="0"/>
        <w:kinsoku/>
        <w:wordWrap/>
        <w:overflowPunct/>
        <w:topLinePunct w:val="0"/>
        <w:autoSpaceDE/>
        <w:autoSpaceDN/>
        <w:bidi w:val="0"/>
        <w:spacing w:line="460" w:lineRule="exact"/>
        <w:ind w:firstLine="480" w:firstLineChars="200"/>
        <w:textAlignment w:val="auto"/>
        <w:rPr>
          <w:rFonts w:hint="eastAsia" w:ascii="宋体" w:hAnsi="宋体" w:eastAsia="宋体" w:cs="宋体"/>
          <w:sz w:val="24"/>
          <w:szCs w:val="24"/>
          <w:lang w:eastAsia="zh-CN"/>
        </w:rPr>
      </w:pPr>
      <w:r>
        <w:rPr>
          <w:rFonts w:hint="eastAsia" w:ascii="宋体" w:hAnsi="宋体"/>
          <w:sz w:val="24"/>
          <w:szCs w:val="24"/>
        </w:rPr>
        <w:t>为确保本项目的顺利实施，</w:t>
      </w:r>
      <w:r>
        <w:rPr>
          <w:rFonts w:hint="eastAsia" w:ascii="宋体" w:hAnsi="宋体" w:eastAsia="宋体" w:cs="宋体"/>
          <w:sz w:val="24"/>
          <w:szCs w:val="24"/>
        </w:rPr>
        <w:t>供应商拟投入本项目的项目经理</w:t>
      </w:r>
      <w:r>
        <w:rPr>
          <w:rFonts w:hint="eastAsia" w:ascii="宋体" w:hAnsi="宋体" w:eastAsia="宋体" w:cs="宋体"/>
          <w:sz w:val="24"/>
          <w:szCs w:val="24"/>
          <w:lang w:eastAsia="zh-CN"/>
        </w:rPr>
        <w:t>、</w:t>
      </w:r>
      <w:r>
        <w:rPr>
          <w:rFonts w:hint="eastAsia" w:ascii="宋体" w:hAnsi="宋体" w:eastAsia="宋体" w:cs="宋体"/>
          <w:sz w:val="24"/>
          <w:szCs w:val="24"/>
        </w:rPr>
        <w:t>技术负责人具备建设工程类高级及以上职称的</w:t>
      </w:r>
      <w:r>
        <w:rPr>
          <w:rFonts w:hint="eastAsia" w:ascii="宋体" w:hAnsi="宋体" w:eastAsia="宋体" w:cs="宋体"/>
          <w:sz w:val="24"/>
          <w:szCs w:val="24"/>
          <w:lang w:eastAsia="zh-CN"/>
        </w:rPr>
        <w:t>，</w:t>
      </w:r>
      <w:r>
        <w:rPr>
          <w:rFonts w:hint="eastAsia" w:ascii="宋体" w:hAnsi="宋体" w:eastAsia="宋体" w:cs="宋体"/>
          <w:sz w:val="24"/>
          <w:szCs w:val="24"/>
        </w:rPr>
        <w:t>项目组成员（不含项目经理及技术负责人）具备建设工程类中级及以上职称的优先</w:t>
      </w:r>
      <w:r>
        <w:rPr>
          <w:rFonts w:hint="eastAsia" w:ascii="宋体" w:hAnsi="宋体" w:eastAsia="宋体" w:cs="宋体"/>
          <w:sz w:val="24"/>
          <w:szCs w:val="24"/>
          <w:lang w:eastAsia="zh-CN"/>
        </w:rPr>
        <w:t>。</w:t>
      </w:r>
    </w:p>
    <w:p w14:paraId="05B588FD">
      <w:pPr>
        <w:pStyle w:val="10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firstLine="482" w:firstLineChars="200"/>
        <w:jc w:val="left"/>
        <w:textAlignment w:val="auto"/>
        <w:rPr>
          <w:rFonts w:hint="eastAsia" w:cs="宋体"/>
          <w:sz w:val="24"/>
          <w:szCs w:val="24"/>
          <w:highlight w:val="none"/>
        </w:rPr>
      </w:pPr>
      <w:r>
        <w:rPr>
          <w:rFonts w:hint="eastAsia" w:ascii="宋体" w:hAnsi="宋体"/>
          <w:b/>
          <w:bCs w:val="0"/>
          <w:color w:val="auto"/>
          <w:sz w:val="24"/>
          <w:szCs w:val="24"/>
        </w:rPr>
        <w:t>十</w:t>
      </w:r>
      <w:r>
        <w:rPr>
          <w:rFonts w:hint="eastAsia" w:ascii="宋体" w:hAnsi="宋体"/>
          <w:b/>
          <w:bCs w:val="0"/>
          <w:color w:val="auto"/>
          <w:sz w:val="24"/>
          <w:szCs w:val="24"/>
          <w:lang w:val="en-US" w:eastAsia="zh-CN"/>
        </w:rPr>
        <w:t>二</w:t>
      </w:r>
      <w:r>
        <w:rPr>
          <w:rFonts w:hint="eastAsia" w:ascii="宋体" w:hAnsi="宋体" w:cs="宋体"/>
          <w:b/>
          <w:color w:val="auto"/>
          <w:kern w:val="0"/>
          <w:sz w:val="24"/>
          <w:szCs w:val="24"/>
          <w:highlight w:val="none"/>
          <w:lang w:val="en-US" w:eastAsia="zh-CN"/>
        </w:rPr>
        <w:t>、采购标的对应的中小企业划分标准所属行业一览表</w:t>
      </w:r>
    </w:p>
    <w:tbl>
      <w:tblPr>
        <w:tblStyle w:val="40"/>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141"/>
        <w:gridCol w:w="3589"/>
      </w:tblGrid>
      <w:tr w14:paraId="34DC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066" w:type="dxa"/>
            <w:noWrap w:val="0"/>
            <w:vAlign w:val="center"/>
          </w:tcPr>
          <w:p w14:paraId="311830FA">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序号</w:t>
            </w:r>
          </w:p>
        </w:tc>
        <w:tc>
          <w:tcPr>
            <w:tcW w:w="3291" w:type="dxa"/>
            <w:noWrap w:val="0"/>
            <w:vAlign w:val="center"/>
          </w:tcPr>
          <w:p w14:paraId="721EB958">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采购标的</w:t>
            </w:r>
          </w:p>
        </w:tc>
        <w:tc>
          <w:tcPr>
            <w:tcW w:w="2852" w:type="dxa"/>
            <w:noWrap w:val="0"/>
            <w:vAlign w:val="center"/>
          </w:tcPr>
          <w:p w14:paraId="3ACF5572">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对应中小企业划分标准所属行业</w:t>
            </w:r>
          </w:p>
        </w:tc>
      </w:tr>
      <w:tr w14:paraId="332D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066" w:type="dxa"/>
            <w:noWrap w:val="0"/>
            <w:vAlign w:val="center"/>
          </w:tcPr>
          <w:p w14:paraId="5F50654C">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color w:val="auto"/>
                <w:sz w:val="24"/>
                <w:szCs w:val="24"/>
                <w:highlight w:val="none"/>
              </w:rPr>
              <w:t>1</w:t>
            </w:r>
          </w:p>
        </w:tc>
        <w:tc>
          <w:tcPr>
            <w:tcW w:w="3291" w:type="dxa"/>
            <w:noWrap w:val="0"/>
            <w:vAlign w:val="center"/>
          </w:tcPr>
          <w:p w14:paraId="0A190517">
            <w:pPr>
              <w:pStyle w:val="107"/>
              <w:keepNext w:val="0"/>
              <w:keepLines w:val="0"/>
              <w:pageBreakBefore w:val="0"/>
              <w:spacing w:before="0" w:beforeAutospacing="0" w:afterAutospacing="0" w:line="480" w:lineRule="exact"/>
              <w:ind w:left="0" w:firstLine="0"/>
              <w:jc w:val="center"/>
              <w:rPr>
                <w:rFonts w:hint="eastAsia" w:eastAsia="宋体"/>
                <w:color w:val="auto"/>
                <w:sz w:val="24"/>
                <w:szCs w:val="24"/>
                <w:highlight w:val="none"/>
                <w:lang w:eastAsia="zh-CN"/>
              </w:rPr>
            </w:pPr>
            <w:r>
              <w:rPr>
                <w:rFonts w:hint="eastAsia" w:cs="宋体"/>
                <w:color w:val="auto"/>
                <w:sz w:val="24"/>
                <w:szCs w:val="24"/>
                <w:highlight w:val="none"/>
                <w:lang w:eastAsia="zh-CN"/>
              </w:rPr>
              <w:t>便仓镇恒泽源农产品加工项目配套污水压力管道建设工程</w:t>
            </w:r>
          </w:p>
        </w:tc>
        <w:tc>
          <w:tcPr>
            <w:tcW w:w="2852" w:type="dxa"/>
            <w:noWrap w:val="0"/>
            <w:vAlign w:val="center"/>
          </w:tcPr>
          <w:p w14:paraId="7E7518BC">
            <w:pPr>
              <w:pStyle w:val="107"/>
              <w:keepNext w:val="0"/>
              <w:keepLines w:val="0"/>
              <w:pageBreakBefore w:val="0"/>
              <w:spacing w:before="0" w:beforeAutospacing="0" w:afterAutospacing="0" w:line="480" w:lineRule="exact"/>
              <w:ind w:left="0" w:firstLine="0"/>
              <w:jc w:val="center"/>
              <w:rPr>
                <w:color w:val="auto"/>
                <w:sz w:val="24"/>
                <w:szCs w:val="24"/>
                <w:highlight w:val="none"/>
              </w:rPr>
            </w:pPr>
            <w:r>
              <w:rPr>
                <w:rFonts w:hint="eastAsia" w:ascii="宋体" w:hAnsi="宋体" w:eastAsia="宋体" w:cs="宋体"/>
                <w:b w:val="0"/>
                <w:bCs w:val="0"/>
                <w:color w:val="auto"/>
                <w:sz w:val="24"/>
                <w:szCs w:val="24"/>
                <w:highlight w:val="none"/>
                <w:u w:val="none"/>
              </w:rPr>
              <w:t>建筑业</w:t>
            </w:r>
          </w:p>
        </w:tc>
      </w:tr>
    </w:tbl>
    <w:p w14:paraId="423C1AF5">
      <w:pPr>
        <w:jc w:val="both"/>
        <w:rPr>
          <w:rFonts w:hint="eastAsia" w:ascii="黑体" w:hAnsi="Arial" w:eastAsia="黑体" w:cs="Arial"/>
          <w:b/>
          <w:bCs/>
          <w:color w:val="000000" w:themeColor="text1"/>
          <w:sz w:val="44"/>
          <w:szCs w:val="44"/>
          <w:highlight w:val="none"/>
          <w14:textFill>
            <w14:solidFill>
              <w14:schemeClr w14:val="tx1"/>
            </w14:solidFill>
          </w14:textFill>
        </w:rPr>
      </w:pPr>
    </w:p>
    <w:p w14:paraId="7292C80D">
      <w:pPr>
        <w:jc w:val="both"/>
        <w:rPr>
          <w:rFonts w:hint="eastAsia" w:ascii="黑体" w:hAnsi="Arial" w:eastAsia="黑体" w:cs="Arial"/>
          <w:b/>
          <w:bCs/>
          <w:color w:val="000000" w:themeColor="text1"/>
          <w:sz w:val="44"/>
          <w:szCs w:val="44"/>
          <w:highlight w:val="none"/>
          <w14:textFill>
            <w14:solidFill>
              <w14:schemeClr w14:val="tx1"/>
            </w14:solidFill>
          </w14:textFill>
        </w:rPr>
      </w:pPr>
    </w:p>
    <w:p w14:paraId="559FC1DE">
      <w:pPr>
        <w:jc w:val="center"/>
        <w:rPr>
          <w:rFonts w:hint="eastAsia" w:ascii="黑体" w:hAnsi="Arial" w:eastAsia="黑体" w:cs="Arial"/>
          <w:b/>
          <w:bCs/>
          <w:color w:val="000000" w:themeColor="text1"/>
          <w:sz w:val="44"/>
          <w:szCs w:val="44"/>
          <w:highlight w:val="none"/>
          <w14:textFill>
            <w14:solidFill>
              <w14:schemeClr w14:val="tx1"/>
            </w14:solidFill>
          </w14:textFill>
        </w:rPr>
      </w:pPr>
    </w:p>
    <w:p w14:paraId="78863440">
      <w:pPr>
        <w:jc w:val="center"/>
        <w:rPr>
          <w:rFonts w:hint="eastAsia" w:ascii="黑体" w:hAnsi="Arial" w:eastAsia="黑体" w:cs="Arial"/>
          <w:b/>
          <w:bCs/>
          <w:color w:val="000000" w:themeColor="text1"/>
          <w:sz w:val="44"/>
          <w:szCs w:val="44"/>
          <w:highlight w:val="none"/>
          <w14:textFill>
            <w14:solidFill>
              <w14:schemeClr w14:val="tx1"/>
            </w14:solidFill>
          </w14:textFill>
        </w:rPr>
      </w:pPr>
    </w:p>
    <w:p w14:paraId="1A5F1F0B">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60FCAAA7">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41C619C1">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37949DBD">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3A6260BD">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263313B8">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39523970">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06B89238">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5D49012C">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Arial" w:eastAsia="黑体" w:cs="Arial"/>
          <w:b/>
          <w:bCs/>
          <w:color w:val="000000" w:themeColor="text1"/>
          <w:sz w:val="44"/>
          <w:szCs w:val="44"/>
          <w:highlight w:val="none"/>
          <w14:textFill>
            <w14:solidFill>
              <w14:schemeClr w14:val="tx1"/>
            </w14:solidFill>
          </w14:textFill>
        </w:rPr>
      </w:pPr>
    </w:p>
    <w:p w14:paraId="03540347">
      <w:pPr>
        <w:keepNext w:val="0"/>
        <w:keepLines w:val="0"/>
        <w:pageBreakBefore w:val="0"/>
        <w:widowControl w:val="0"/>
        <w:kinsoku/>
        <w:wordWrap/>
        <w:overflowPunct/>
        <w:topLinePunct w:val="0"/>
        <w:autoSpaceDE/>
        <w:autoSpaceDN/>
        <w:bidi w:val="0"/>
        <w:adjustRightInd/>
        <w:snapToGrid/>
        <w:jc w:val="center"/>
        <w:textAlignment w:val="auto"/>
        <w:rPr>
          <w:rFonts w:ascii="黑体" w:hAnsi="Arial" w:eastAsia="黑体" w:cs="Arial"/>
          <w:b/>
          <w:bCs/>
          <w:color w:val="000000" w:themeColor="text1"/>
          <w:sz w:val="44"/>
          <w:szCs w:val="44"/>
          <w:highlight w:val="none"/>
          <w14:textFill>
            <w14:solidFill>
              <w14:schemeClr w14:val="tx1"/>
            </w14:solidFill>
          </w14:textFill>
        </w:rPr>
      </w:pPr>
      <w:r>
        <w:rPr>
          <w:rFonts w:hint="eastAsia" w:ascii="黑体" w:hAnsi="Arial" w:eastAsia="黑体" w:cs="Arial"/>
          <w:b/>
          <w:bCs/>
          <w:color w:val="000000" w:themeColor="text1"/>
          <w:sz w:val="44"/>
          <w:szCs w:val="44"/>
          <w:highlight w:val="none"/>
          <w14:textFill>
            <w14:solidFill>
              <w14:schemeClr w14:val="tx1"/>
            </w14:solidFill>
          </w14:textFill>
        </w:rPr>
        <w:t>第五章  定标原则和评审标准</w:t>
      </w:r>
    </w:p>
    <w:p w14:paraId="13FF93C4">
      <w:pPr>
        <w:pStyle w:val="48"/>
        <w:keepNext w:val="0"/>
        <w:keepLines w:val="0"/>
        <w:pageBreakBefore w:val="0"/>
        <w:kinsoku/>
        <w:wordWrap/>
        <w:overflowPunct/>
        <w:topLinePunct w:val="0"/>
        <w:autoSpaceDE/>
        <w:autoSpaceDN/>
        <w:bidi w:val="0"/>
        <w:snapToGrid/>
        <w:spacing w:before="0" w:beforeAutospacing="0" w:after="0" w:line="460" w:lineRule="exact"/>
        <w:ind w:firstLine="480" w:firstLineChars="200"/>
        <w:rPr>
          <w:rFonts w:hint="eastAsia" w:ascii="宋体" w:hAnsi="宋体"/>
          <w:bCs/>
          <w:color w:val="000000" w:themeColor="text1"/>
          <w:kern w:val="2"/>
          <w:sz w:val="24"/>
          <w:szCs w:val="24"/>
          <w:highlight w:val="none"/>
          <w14:textFill>
            <w14:solidFill>
              <w14:schemeClr w14:val="tx1"/>
            </w14:solidFill>
          </w14:textFill>
        </w:rPr>
      </w:pPr>
      <w:r>
        <w:rPr>
          <w:rFonts w:hint="eastAsia" w:ascii="宋体" w:hAnsi="宋体"/>
          <w:bCs/>
          <w:color w:val="000000" w:themeColor="text1"/>
          <w:kern w:val="2"/>
          <w:sz w:val="24"/>
          <w:szCs w:val="24"/>
          <w:highlight w:val="none"/>
          <w14:textFill>
            <w14:solidFill>
              <w14:schemeClr w14:val="tx1"/>
            </w14:solidFill>
          </w14:textFill>
        </w:rPr>
        <w:t>一、</w:t>
      </w:r>
      <w:r>
        <w:rPr>
          <w:rFonts w:hint="eastAsia" w:ascii="宋体" w:hAnsi="宋体"/>
          <w:color w:val="000000" w:themeColor="text1"/>
          <w:kern w:val="2"/>
          <w:sz w:val="24"/>
          <w:szCs w:val="24"/>
          <w:highlight w:val="none"/>
          <w14:textFill>
            <w14:solidFill>
              <w14:schemeClr w14:val="tx1"/>
            </w14:solidFill>
          </w14:textFill>
        </w:rPr>
        <w:t>磋商小组</w:t>
      </w:r>
    </w:p>
    <w:p w14:paraId="71D67902">
      <w:pPr>
        <w:pStyle w:val="48"/>
        <w:keepNext w:val="0"/>
        <w:keepLines w:val="0"/>
        <w:pageBreakBefore w:val="0"/>
        <w:kinsoku/>
        <w:wordWrap/>
        <w:overflowPunct/>
        <w:topLinePunct w:val="0"/>
        <w:autoSpaceDE/>
        <w:autoSpaceDN/>
        <w:bidi w:val="0"/>
        <w:snapToGrid/>
        <w:spacing w:before="0" w:beforeAutospacing="0" w:after="0" w:line="460" w:lineRule="exact"/>
        <w:ind w:firstLine="480" w:firstLineChars="200"/>
        <w:rPr>
          <w:rFonts w:hint="eastAsia" w:ascii="宋体" w:hAnsi="宋体"/>
          <w:bCs/>
          <w:color w:val="000000" w:themeColor="text1"/>
          <w:kern w:val="2"/>
          <w:sz w:val="24"/>
          <w:szCs w:val="24"/>
          <w:highlight w:val="none"/>
          <w14:textFill>
            <w14:solidFill>
              <w14:schemeClr w14:val="tx1"/>
            </w14:solidFill>
          </w14:textFill>
        </w:rPr>
      </w:pPr>
      <w:r>
        <w:rPr>
          <w:rFonts w:hint="eastAsia" w:ascii="宋体" w:hAnsi="宋体"/>
          <w:bCs/>
          <w:color w:val="000000" w:themeColor="text1"/>
          <w:kern w:val="2"/>
          <w:sz w:val="24"/>
          <w:szCs w:val="24"/>
          <w:highlight w:val="none"/>
          <w14:textFill>
            <w14:solidFill>
              <w14:schemeClr w14:val="tx1"/>
            </w14:solidFill>
          </w14:textFill>
        </w:rPr>
        <w:t>本采购项目磋商小组的评委由相关的专家、采购人代表等有关人员构成。</w:t>
      </w:r>
    </w:p>
    <w:p w14:paraId="7DE4F151">
      <w:pPr>
        <w:pStyle w:val="48"/>
        <w:keepNext w:val="0"/>
        <w:keepLines w:val="0"/>
        <w:pageBreakBefore w:val="0"/>
        <w:kinsoku/>
        <w:wordWrap/>
        <w:overflowPunct/>
        <w:topLinePunct w:val="0"/>
        <w:autoSpaceDE/>
        <w:autoSpaceDN/>
        <w:bidi w:val="0"/>
        <w:snapToGrid/>
        <w:spacing w:before="0" w:beforeAutospacing="0" w:after="0" w:line="460" w:lineRule="exact"/>
        <w:ind w:firstLine="480" w:firstLineChars="200"/>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bCs/>
          <w:color w:val="000000" w:themeColor="text1"/>
          <w:kern w:val="2"/>
          <w:sz w:val="24"/>
          <w:szCs w:val="24"/>
          <w:highlight w:val="none"/>
          <w14:textFill>
            <w14:solidFill>
              <w14:schemeClr w14:val="tx1"/>
            </w14:solidFill>
          </w14:textFill>
        </w:rPr>
        <w:t>二</w:t>
      </w:r>
      <w:r>
        <w:rPr>
          <w:rFonts w:hint="eastAsia" w:ascii="宋体" w:hAnsi="宋体"/>
          <w:color w:val="000000" w:themeColor="text1"/>
          <w:kern w:val="2"/>
          <w:sz w:val="24"/>
          <w:szCs w:val="24"/>
          <w:highlight w:val="none"/>
          <w14:textFill>
            <w14:solidFill>
              <w14:schemeClr w14:val="tx1"/>
            </w14:solidFill>
          </w14:textFill>
        </w:rPr>
        <w:t>、定标原则</w:t>
      </w:r>
    </w:p>
    <w:p w14:paraId="1C73FD1E">
      <w:pPr>
        <w:pStyle w:val="48"/>
        <w:keepNext w:val="0"/>
        <w:keepLines w:val="0"/>
        <w:pageBreakBefore w:val="0"/>
        <w:kinsoku/>
        <w:wordWrap/>
        <w:overflowPunct/>
        <w:topLinePunct w:val="0"/>
        <w:autoSpaceDE/>
        <w:autoSpaceDN/>
        <w:bidi w:val="0"/>
        <w:snapToGrid/>
        <w:spacing w:before="0" w:beforeAutospacing="0" w:after="0" w:line="460" w:lineRule="exact"/>
        <w:ind w:firstLine="480" w:firstLineChars="200"/>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3EB740B3">
      <w:pPr>
        <w:keepNext w:val="0"/>
        <w:keepLines w:val="0"/>
        <w:pageBreakBefore w:val="0"/>
        <w:tabs>
          <w:tab w:val="left" w:pos="900"/>
        </w:tabs>
        <w:kinsoku/>
        <w:wordWrap/>
        <w:overflowPunct/>
        <w:topLinePunct w:val="0"/>
        <w:autoSpaceDE/>
        <w:autoSpaceDN/>
        <w:bidi w:val="0"/>
        <w:snapToGrid/>
        <w:spacing w:beforeAutospacing="0" w:line="460" w:lineRule="exact"/>
        <w:ind w:firstLine="480" w:firstLineChars="200"/>
        <w:rPr>
          <w:rFonts w:hint="eastAsia" w:ascii="宋体" w:hAnsi="宋体" w:cs="Arial"/>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rPr>
          <w:rFonts w:hint="eastAsia" w:ascii="宋体" w:hAnsi="宋体" w:cs="Arial"/>
          <w:color w:val="000000" w:themeColor="text1"/>
          <w:kern w:val="0"/>
          <w:sz w:val="24"/>
          <w:szCs w:val="24"/>
          <w:highlight w:val="none"/>
          <w14:textFill>
            <w14:solidFill>
              <w14:schemeClr w14:val="tx1"/>
            </w14:solidFill>
          </w14:textFill>
        </w:rPr>
        <w:t>本项目选取1名成交候选人。</w:t>
      </w:r>
    </w:p>
    <w:p w14:paraId="5EBE67A6">
      <w:pPr>
        <w:pStyle w:val="38"/>
        <w:pageBreakBefore w:val="0"/>
        <w:kinsoku/>
        <w:wordWrap/>
        <w:overflowPunct/>
        <w:topLinePunct w:val="0"/>
        <w:autoSpaceDE/>
        <w:autoSpaceDN/>
        <w:bidi w:val="0"/>
        <w:snapToGrid/>
        <w:spacing w:beforeAutospacing="0" w:after="0" w:line="460" w:lineRule="exact"/>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政府采购政策功能落实</w:t>
      </w:r>
    </w:p>
    <w:p w14:paraId="15F3B84B">
      <w:pPr>
        <w:pStyle w:val="38"/>
        <w:pageBreakBefore w:val="0"/>
        <w:kinsoku/>
        <w:wordWrap/>
        <w:overflowPunct/>
        <w:topLinePunct w:val="0"/>
        <w:autoSpaceDE/>
        <w:autoSpaceDN/>
        <w:bidi w:val="0"/>
        <w:snapToGrid/>
        <w:spacing w:beforeAutospacing="0" w:after="0" w:line="460" w:lineRule="exact"/>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1、小微型企业</w:t>
      </w:r>
    </w:p>
    <w:p w14:paraId="58E723D1">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（1）本项目专门面向中小企业采购，不再对小型和微型企业服务给予价格扣除。</w:t>
      </w:r>
    </w:p>
    <w:p w14:paraId="1D0301F1">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（2）供应商需按照采购文件的要求提供相应的《中小企业声明函》。</w:t>
      </w:r>
    </w:p>
    <w:p w14:paraId="21ACB7A6">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（3）企业标准请参照《关于印发中小企业划型标准规定的通知》（工信部联企业〔2011〕300号）文件规定自行填写。</w:t>
      </w:r>
    </w:p>
    <w:p w14:paraId="2C1FE8F8">
      <w:pPr>
        <w:pStyle w:val="38"/>
        <w:pageBreakBefore w:val="0"/>
        <w:kinsoku/>
        <w:wordWrap/>
        <w:overflowPunct/>
        <w:topLinePunct w:val="0"/>
        <w:autoSpaceDE/>
        <w:autoSpaceDN/>
        <w:bidi w:val="0"/>
        <w:snapToGrid/>
        <w:spacing w:beforeAutospacing="0" w:after="0" w:line="460" w:lineRule="exact"/>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2、残疾人福利单位</w:t>
      </w:r>
    </w:p>
    <w:p w14:paraId="45967EE0">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（1）本项目对残疾人福利性单位视同小型、微型企业。</w:t>
      </w:r>
    </w:p>
    <w:p w14:paraId="7682D63E">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（2）残疾人福利单位需按照采购文件的要求提供《残疾人福利性单位声明函》。</w:t>
      </w:r>
    </w:p>
    <w:p w14:paraId="18068480">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（3）残疾人福利单位标准请参照《关于促进残疾人就业政府采购政策的通知》（财库〔2017〕141号）。</w:t>
      </w:r>
    </w:p>
    <w:p w14:paraId="499A154B">
      <w:pPr>
        <w:pStyle w:val="38"/>
        <w:pageBreakBefore w:val="0"/>
        <w:kinsoku/>
        <w:wordWrap/>
        <w:overflowPunct/>
        <w:topLinePunct w:val="0"/>
        <w:autoSpaceDE/>
        <w:autoSpaceDN/>
        <w:bidi w:val="0"/>
        <w:snapToGrid/>
        <w:spacing w:beforeAutospacing="0" w:after="0" w:line="460" w:lineRule="exact"/>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3、监狱和戒毒企业</w:t>
      </w:r>
    </w:p>
    <w:p w14:paraId="43B91535">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（1）本项目对监狱和戒毒企业（简称监狱企业）视同小型、微型企业。</w:t>
      </w:r>
    </w:p>
    <w:p w14:paraId="6FFBE2CD">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49CF3413">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（3）监狱企业标准请参照《关于政府采购支持监狱企业发展有关问题的通知》（财库〔2014〕68号）。</w:t>
      </w:r>
    </w:p>
    <w:p w14:paraId="36B37524">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4、残疾人福利单位、监狱企业属于小型、微型企业的，不重复享受政策。</w:t>
      </w:r>
    </w:p>
    <w:p w14:paraId="04F7A993">
      <w:pPr>
        <w:pStyle w:val="38"/>
        <w:pageBreakBefore w:val="0"/>
        <w:kinsoku/>
        <w:wordWrap/>
        <w:overflowPunct/>
        <w:topLinePunct w:val="0"/>
        <w:autoSpaceDE/>
        <w:autoSpaceDN/>
        <w:bidi w:val="0"/>
        <w:snapToGrid/>
        <w:spacing w:beforeAutospacing="0" w:after="0"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889DDDA">
      <w:pPr>
        <w:pageBreakBefore w:val="0"/>
        <w:kinsoku/>
        <w:wordWrap/>
        <w:overflowPunct/>
        <w:topLinePunct w:val="0"/>
        <w:autoSpaceDE/>
        <w:autoSpaceDN/>
        <w:bidi w:val="0"/>
        <w:snapToGrid/>
        <w:spacing w:beforeAutospacing="0" w:line="460" w:lineRule="exact"/>
        <w:ind w:firstLine="480" w:firstLineChars="20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E3AD1C0">
      <w:pPr>
        <w:pStyle w:val="5"/>
        <w:pageBreakBefore w:val="0"/>
        <w:kinsoku/>
        <w:wordWrap/>
        <w:overflowPunct/>
        <w:topLinePunct w:val="0"/>
        <w:autoSpaceDE/>
        <w:autoSpaceDN/>
        <w:bidi w:val="0"/>
        <w:snapToGrid/>
        <w:spacing w:before="0" w:beforeAutospacing="0" w:after="0" w:line="460" w:lineRule="exact"/>
        <w:ind w:firstLine="482" w:firstLineChars="200"/>
        <w:rPr>
          <w:rFonts w:ascii="宋体" w:hAnsi="宋体" w:eastAsia="宋体"/>
          <w:sz w:val="24"/>
          <w:szCs w:val="24"/>
          <w:highlight w:val="none"/>
        </w:rPr>
      </w:pPr>
      <w:r>
        <w:rPr>
          <w:rFonts w:hint="eastAsia" w:ascii="宋体" w:hAnsi="宋体" w:eastAsia="宋体"/>
          <w:sz w:val="24"/>
          <w:szCs w:val="24"/>
          <w:highlight w:val="none"/>
        </w:rPr>
        <w:t>二、对投标文件的初审</w:t>
      </w:r>
    </w:p>
    <w:p w14:paraId="468DDA60">
      <w:pPr>
        <w:pageBreakBefore w:val="0"/>
        <w:kinsoku/>
        <w:wordWrap/>
        <w:overflowPunct/>
        <w:topLinePunct w:val="0"/>
        <w:autoSpaceDE/>
        <w:autoSpaceDN/>
        <w:bidi w:val="0"/>
        <w:snapToGrid/>
        <w:spacing w:beforeAutospacing="0" w:line="460" w:lineRule="exact"/>
        <w:ind w:firstLine="480" w:firstLineChars="200"/>
        <w:rPr>
          <w:rFonts w:ascii="宋体" w:hAnsi="宋体"/>
          <w:bCs/>
          <w:sz w:val="24"/>
          <w:szCs w:val="24"/>
          <w:highlight w:val="none"/>
        </w:rPr>
      </w:pPr>
      <w:r>
        <w:rPr>
          <w:rFonts w:hint="eastAsia" w:ascii="宋体" w:hAnsi="宋体"/>
          <w:bCs/>
          <w:sz w:val="24"/>
          <w:szCs w:val="24"/>
          <w:highlight w:val="none"/>
        </w:rPr>
        <w:t>投标文件初审分为资格审查和符合性审查。</w:t>
      </w:r>
    </w:p>
    <w:p w14:paraId="62ABE623">
      <w:pPr>
        <w:pageBreakBefore w:val="0"/>
        <w:kinsoku/>
        <w:wordWrap/>
        <w:overflowPunct/>
        <w:topLinePunct w:val="0"/>
        <w:autoSpaceDE/>
        <w:autoSpaceDN/>
        <w:bidi w:val="0"/>
        <w:snapToGrid/>
        <w:spacing w:beforeAutospacing="0" w:line="460" w:lineRule="exact"/>
        <w:ind w:firstLine="480" w:firstLineChars="200"/>
        <w:rPr>
          <w:rFonts w:ascii="宋体" w:hAnsi="宋体"/>
          <w:b/>
          <w:bCs/>
          <w:sz w:val="24"/>
          <w:szCs w:val="24"/>
          <w:highlight w:val="none"/>
        </w:rPr>
      </w:pPr>
      <w:r>
        <w:rPr>
          <w:rFonts w:hint="eastAsia" w:ascii="宋体" w:hAnsi="宋体" w:cs="Courier New"/>
          <w:bCs/>
          <w:sz w:val="24"/>
          <w:szCs w:val="24"/>
          <w:highlight w:val="none"/>
        </w:rPr>
        <w:t>（一）</w:t>
      </w:r>
      <w:r>
        <w:rPr>
          <w:rFonts w:hint="eastAsia" w:ascii="宋体" w:hAnsi="宋体"/>
          <w:b/>
          <w:bCs/>
          <w:sz w:val="24"/>
          <w:szCs w:val="24"/>
          <w:highlight w:val="none"/>
        </w:rPr>
        <w:t>资格审查</w:t>
      </w:r>
    </w:p>
    <w:p w14:paraId="3C27BBF8">
      <w:pPr>
        <w:pageBreakBefore w:val="0"/>
        <w:kinsoku/>
        <w:wordWrap/>
        <w:overflowPunct/>
        <w:topLinePunct w:val="0"/>
        <w:autoSpaceDE/>
        <w:autoSpaceDN/>
        <w:bidi w:val="0"/>
        <w:snapToGrid/>
        <w:spacing w:beforeAutospacing="0" w:line="460" w:lineRule="exact"/>
        <w:ind w:firstLine="482" w:firstLineChars="200"/>
        <w:rPr>
          <w:rFonts w:ascii="宋体" w:hAnsi="宋体"/>
          <w:b/>
          <w:bCs/>
          <w:sz w:val="24"/>
          <w:szCs w:val="24"/>
          <w:highlight w:val="none"/>
        </w:rPr>
      </w:pPr>
      <w:r>
        <w:rPr>
          <w:rFonts w:hint="eastAsia" w:ascii="宋体" w:hAnsi="宋体"/>
          <w:b/>
          <w:bCs/>
          <w:sz w:val="24"/>
          <w:szCs w:val="24"/>
          <w:highlight w:val="none"/>
        </w:rPr>
        <w:t>开标结束后，采购人或者采购代理机构依法对投标人的资格进行审查。</w:t>
      </w:r>
    </w:p>
    <w:p w14:paraId="26721269">
      <w:pPr>
        <w:pageBreakBefore w:val="0"/>
        <w:kinsoku/>
        <w:wordWrap/>
        <w:overflowPunct/>
        <w:topLinePunct w:val="0"/>
        <w:autoSpaceDE/>
        <w:autoSpaceDN/>
        <w:bidi w:val="0"/>
        <w:snapToGrid/>
        <w:spacing w:beforeAutospacing="0" w:line="460" w:lineRule="exact"/>
        <w:ind w:firstLine="480" w:firstLineChars="200"/>
        <w:rPr>
          <w:rFonts w:ascii="宋体"/>
          <w:bCs/>
          <w:color w:val="000000"/>
          <w:sz w:val="24"/>
          <w:szCs w:val="24"/>
          <w:highlight w:val="none"/>
        </w:rPr>
      </w:pPr>
      <w:r>
        <w:rPr>
          <w:rFonts w:hint="eastAsia" w:ascii="宋体" w:hAnsi="宋体"/>
          <w:bCs/>
          <w:color w:val="000000"/>
          <w:sz w:val="24"/>
          <w:szCs w:val="24"/>
          <w:highlight w:val="none"/>
        </w:rPr>
        <w:t>审查投标文件中的资格、资信证明文件等，以确定投标人是否具备投标资格。</w:t>
      </w:r>
    </w:p>
    <w:p w14:paraId="3BE39E17">
      <w:pPr>
        <w:pageBreakBefore w:val="0"/>
        <w:kinsoku/>
        <w:wordWrap/>
        <w:overflowPunct/>
        <w:topLinePunct w:val="0"/>
        <w:autoSpaceDE/>
        <w:autoSpaceDN/>
        <w:bidi w:val="0"/>
        <w:snapToGrid/>
        <w:spacing w:beforeAutospacing="0" w:line="460" w:lineRule="exact"/>
        <w:ind w:firstLine="480" w:firstLineChars="200"/>
        <w:rPr>
          <w:rFonts w:ascii="宋体" w:hAnsi="宋体"/>
          <w:b/>
          <w:bCs/>
          <w:sz w:val="24"/>
          <w:szCs w:val="24"/>
          <w:highlight w:val="none"/>
        </w:rPr>
      </w:pPr>
      <w:r>
        <w:rPr>
          <w:rFonts w:hint="eastAsia" w:ascii="宋体" w:hAnsi="宋体" w:cs="Courier New"/>
          <w:bCs/>
          <w:sz w:val="24"/>
          <w:szCs w:val="24"/>
          <w:highlight w:val="none"/>
        </w:rPr>
        <w:t>（二）</w:t>
      </w:r>
      <w:r>
        <w:rPr>
          <w:rFonts w:hint="eastAsia" w:ascii="宋体" w:hAnsi="宋体"/>
          <w:b/>
          <w:bCs/>
          <w:sz w:val="24"/>
          <w:szCs w:val="24"/>
          <w:highlight w:val="none"/>
        </w:rPr>
        <w:t>符合性审查</w:t>
      </w:r>
    </w:p>
    <w:p w14:paraId="13F96F45">
      <w:pPr>
        <w:pageBreakBefore w:val="0"/>
        <w:kinsoku/>
        <w:wordWrap/>
        <w:overflowPunct/>
        <w:topLinePunct w:val="0"/>
        <w:autoSpaceDE/>
        <w:autoSpaceDN/>
        <w:bidi w:val="0"/>
        <w:snapToGrid/>
        <w:spacing w:beforeAutospacing="0" w:line="460" w:lineRule="exact"/>
        <w:ind w:firstLine="482" w:firstLineChars="200"/>
        <w:rPr>
          <w:rFonts w:ascii="宋体" w:hAnsi="宋体"/>
          <w:b/>
          <w:bCs/>
          <w:sz w:val="24"/>
          <w:szCs w:val="24"/>
          <w:highlight w:val="none"/>
        </w:rPr>
      </w:pPr>
      <w:r>
        <w:rPr>
          <w:rFonts w:hint="eastAsia" w:ascii="宋体" w:hAnsi="宋体"/>
          <w:b/>
          <w:bCs/>
          <w:sz w:val="24"/>
          <w:szCs w:val="24"/>
          <w:highlight w:val="none"/>
        </w:rPr>
        <w:t>评标委员会对符合资格的投标人的投标文件进行符合性审查。</w:t>
      </w:r>
    </w:p>
    <w:p w14:paraId="4F34E818">
      <w:pPr>
        <w:pageBreakBefore w:val="0"/>
        <w:kinsoku/>
        <w:wordWrap/>
        <w:overflowPunct/>
        <w:topLinePunct w:val="0"/>
        <w:autoSpaceDE/>
        <w:autoSpaceDN/>
        <w:bidi w:val="0"/>
        <w:snapToGrid/>
        <w:spacing w:beforeAutospacing="0" w:line="460" w:lineRule="exact"/>
        <w:ind w:firstLine="480" w:firstLineChars="200"/>
        <w:rPr>
          <w:rFonts w:ascii="宋体" w:hAnsi="宋体"/>
          <w:bCs/>
          <w:sz w:val="24"/>
          <w:szCs w:val="24"/>
          <w:highlight w:val="none"/>
        </w:rPr>
      </w:pPr>
      <w:r>
        <w:rPr>
          <w:rFonts w:hint="eastAsia" w:ascii="宋体" w:hAnsi="宋体"/>
          <w:bCs/>
          <w:sz w:val="24"/>
          <w:szCs w:val="24"/>
          <w:highlight w:val="none"/>
        </w:rPr>
        <w:t>依据招标文件的规定，从投标文件的有效性、完整性和对招标文件的响应程度进行审查，以确定其是否满足招标文件的实质性要求。</w:t>
      </w:r>
    </w:p>
    <w:p w14:paraId="418B19A0">
      <w:pPr>
        <w:pageBreakBefore w:val="0"/>
        <w:kinsoku/>
        <w:wordWrap/>
        <w:overflowPunct/>
        <w:topLinePunct w:val="0"/>
        <w:autoSpaceDE/>
        <w:autoSpaceDN/>
        <w:bidi w:val="0"/>
        <w:snapToGrid/>
        <w:spacing w:beforeAutospacing="0" w:line="460" w:lineRule="exact"/>
        <w:ind w:firstLine="480" w:firstLineChars="200"/>
        <w:rPr>
          <w:rFonts w:ascii="宋体" w:hAnsi="宋体"/>
          <w:sz w:val="24"/>
          <w:szCs w:val="24"/>
          <w:highlight w:val="none"/>
        </w:rPr>
      </w:pPr>
      <w:r>
        <w:rPr>
          <w:rFonts w:hint="eastAsia" w:ascii="宋体" w:hAnsi="宋体"/>
          <w:sz w:val="24"/>
          <w:szCs w:val="24"/>
          <w:highlight w:val="none"/>
        </w:rPr>
        <w:t>明确响应的投标应该是与招标文件要求的全部条款、条件和规格相符，没有重大偏离或保留的投标。</w:t>
      </w:r>
    </w:p>
    <w:p w14:paraId="1EAD3916">
      <w:pPr>
        <w:pageBreakBefore w:val="0"/>
        <w:kinsoku/>
        <w:wordWrap/>
        <w:overflowPunct/>
        <w:topLinePunct w:val="0"/>
        <w:autoSpaceDE/>
        <w:autoSpaceDN/>
        <w:bidi w:val="0"/>
        <w:snapToGrid/>
        <w:spacing w:beforeAutospacing="0" w:line="460" w:lineRule="exact"/>
        <w:ind w:firstLine="480" w:firstLineChars="200"/>
        <w:rPr>
          <w:rFonts w:ascii="宋体" w:hAnsi="宋体"/>
          <w:bCs/>
          <w:sz w:val="24"/>
          <w:szCs w:val="24"/>
          <w:highlight w:val="none"/>
        </w:rPr>
      </w:pPr>
      <w:r>
        <w:rPr>
          <w:rFonts w:hint="eastAsia" w:ascii="宋体" w:hAnsi="宋体"/>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szCs w:val="24"/>
          <w:highlight w:val="none"/>
        </w:rPr>
        <w:t>评委决定投标文件的响应性只根据投标文件本身的内容，而不寻求外部的证据。</w:t>
      </w:r>
    </w:p>
    <w:p w14:paraId="624689F5">
      <w:pPr>
        <w:pageBreakBefore w:val="0"/>
        <w:kinsoku/>
        <w:wordWrap/>
        <w:overflowPunct/>
        <w:topLinePunct w:val="0"/>
        <w:autoSpaceDE/>
        <w:autoSpaceDN/>
        <w:bidi w:val="0"/>
        <w:snapToGrid/>
        <w:spacing w:beforeAutospacing="0" w:line="460" w:lineRule="exact"/>
        <w:ind w:firstLine="480" w:firstLineChars="200"/>
        <w:rPr>
          <w:rFonts w:ascii="宋体" w:hAnsi="宋体"/>
          <w:bCs/>
          <w:sz w:val="24"/>
          <w:szCs w:val="24"/>
          <w:highlight w:val="none"/>
        </w:rPr>
      </w:pPr>
      <w:r>
        <w:rPr>
          <w:rFonts w:hint="eastAsia" w:ascii="宋体" w:hAnsi="宋体"/>
          <w:bCs/>
          <w:sz w:val="24"/>
          <w:szCs w:val="24"/>
          <w:highlight w:val="none"/>
        </w:rPr>
        <w:t>如果投标文件没有明确响应招标文件的要求，评标委员会将按无效投标处理，投标人不得通过修改或撤销不合要求的偏离或保留而使其投标成为明确响应的投标。</w:t>
      </w:r>
    </w:p>
    <w:p w14:paraId="1BA1FEFF">
      <w:pPr>
        <w:pageBreakBefore w:val="0"/>
        <w:kinsoku/>
        <w:wordWrap/>
        <w:overflowPunct/>
        <w:topLinePunct w:val="0"/>
        <w:autoSpaceDE/>
        <w:autoSpaceDN/>
        <w:bidi w:val="0"/>
        <w:snapToGrid/>
        <w:spacing w:beforeAutospacing="0" w:line="460" w:lineRule="exact"/>
        <w:ind w:firstLine="480" w:firstLineChars="200"/>
        <w:rPr>
          <w:rFonts w:ascii="宋体" w:hAnsi="宋体"/>
          <w:bCs/>
          <w:sz w:val="24"/>
          <w:szCs w:val="24"/>
          <w:highlight w:val="none"/>
        </w:rPr>
      </w:pPr>
      <w:r>
        <w:rPr>
          <w:rFonts w:hint="eastAsia" w:ascii="宋体" w:hAnsi="宋体"/>
          <w:bCs/>
          <w:sz w:val="24"/>
          <w:szCs w:val="24"/>
          <w:highlight w:val="none"/>
        </w:rPr>
        <w:t>评标委员会将对确定为明确响应的投标进行进一步审核，</w:t>
      </w:r>
      <w:r>
        <w:rPr>
          <w:rFonts w:hint="eastAsia" w:ascii="宋体" w:hAnsi="宋体" w:cs="Arial"/>
          <w:sz w:val="24"/>
          <w:szCs w:val="24"/>
          <w:highlight w:val="none"/>
        </w:rPr>
        <w:t>投标文件报价出现前后不一致的，除招标文件另有规定外，按照下列规定修正：</w:t>
      </w:r>
    </w:p>
    <w:p w14:paraId="5B1A2051">
      <w:pPr>
        <w:pageBreakBefore w:val="0"/>
        <w:kinsoku/>
        <w:wordWrap/>
        <w:overflowPunct/>
        <w:topLinePunct w:val="0"/>
        <w:autoSpaceDE/>
        <w:autoSpaceDN/>
        <w:bidi w:val="0"/>
        <w:snapToGrid/>
        <w:spacing w:beforeAutospacing="0" w:line="460" w:lineRule="exact"/>
        <w:ind w:firstLine="480" w:firstLineChars="200"/>
        <w:rPr>
          <w:rFonts w:ascii="宋体" w:hAnsi="宋体"/>
          <w:bCs/>
          <w:sz w:val="24"/>
          <w:szCs w:val="24"/>
          <w:highlight w:val="none"/>
        </w:rPr>
      </w:pPr>
      <w:r>
        <w:rPr>
          <w:rFonts w:ascii="宋体" w:hAnsi="宋体"/>
          <w:bCs/>
          <w:sz w:val="24"/>
          <w:szCs w:val="24"/>
          <w:highlight w:val="none"/>
        </w:rPr>
        <w:t>1.</w:t>
      </w:r>
      <w:r>
        <w:rPr>
          <w:rFonts w:hint="eastAsia" w:ascii="宋体" w:hAnsi="宋体" w:cs="Arial"/>
          <w:sz w:val="24"/>
          <w:szCs w:val="24"/>
          <w:highlight w:val="none"/>
        </w:rPr>
        <w:t>投标文件中开标一览表内容与投标文件中相应内容不一致的，以开标一览表为准；</w:t>
      </w:r>
    </w:p>
    <w:p w14:paraId="77BE0B40">
      <w:pPr>
        <w:pageBreakBefore w:val="0"/>
        <w:widowControl/>
        <w:kinsoku/>
        <w:wordWrap/>
        <w:overflowPunct/>
        <w:topLinePunct w:val="0"/>
        <w:autoSpaceDE/>
        <w:autoSpaceDN/>
        <w:bidi w:val="0"/>
        <w:snapToGrid/>
        <w:spacing w:beforeAutospacing="0" w:line="460" w:lineRule="exact"/>
        <w:ind w:firstLine="480" w:firstLineChars="200"/>
        <w:contextualSpacing/>
        <w:jc w:val="left"/>
        <w:rPr>
          <w:rFonts w:ascii="宋体" w:hAnsi="宋体" w:cs="Arial"/>
          <w:sz w:val="24"/>
          <w:szCs w:val="24"/>
          <w:highlight w:val="none"/>
        </w:rPr>
      </w:pPr>
      <w:r>
        <w:rPr>
          <w:rFonts w:ascii="宋体" w:hAnsi="宋体"/>
          <w:bCs/>
          <w:sz w:val="24"/>
          <w:szCs w:val="24"/>
          <w:highlight w:val="none"/>
        </w:rPr>
        <w:t>2.</w:t>
      </w:r>
      <w:r>
        <w:rPr>
          <w:rFonts w:hint="eastAsia" w:ascii="宋体" w:hAnsi="宋体" w:cs="Arial"/>
          <w:sz w:val="24"/>
          <w:szCs w:val="24"/>
          <w:highlight w:val="none"/>
        </w:rPr>
        <w:t>大写金额和小写金额不一致的，以大写金额为准；</w:t>
      </w:r>
    </w:p>
    <w:p w14:paraId="0EC9AB62">
      <w:pPr>
        <w:pageBreakBefore w:val="0"/>
        <w:widowControl/>
        <w:kinsoku/>
        <w:wordWrap/>
        <w:overflowPunct/>
        <w:topLinePunct w:val="0"/>
        <w:autoSpaceDE/>
        <w:autoSpaceDN/>
        <w:bidi w:val="0"/>
        <w:snapToGrid/>
        <w:spacing w:beforeAutospacing="0" w:line="460" w:lineRule="exact"/>
        <w:ind w:firstLine="480" w:firstLineChars="200"/>
        <w:contextualSpacing/>
        <w:jc w:val="left"/>
        <w:rPr>
          <w:rFonts w:ascii="宋体" w:hAnsi="宋体" w:cs="Arial"/>
          <w:sz w:val="24"/>
          <w:szCs w:val="24"/>
          <w:highlight w:val="none"/>
        </w:rPr>
      </w:pPr>
      <w:r>
        <w:rPr>
          <w:rFonts w:ascii="宋体" w:hAnsi="宋体"/>
          <w:bCs/>
          <w:sz w:val="24"/>
          <w:szCs w:val="24"/>
          <w:highlight w:val="none"/>
        </w:rPr>
        <w:t>3.</w:t>
      </w:r>
      <w:r>
        <w:rPr>
          <w:rFonts w:hint="eastAsia" w:ascii="宋体" w:hAnsi="宋体" w:cs="Arial"/>
          <w:sz w:val="24"/>
          <w:szCs w:val="24"/>
          <w:highlight w:val="none"/>
        </w:rPr>
        <w:t>单价金额小数点或者百分比有明显错位的，以开标一览表的总价为准，并修改单价；</w:t>
      </w:r>
    </w:p>
    <w:p w14:paraId="35ED2F7D">
      <w:pPr>
        <w:pageBreakBefore w:val="0"/>
        <w:widowControl/>
        <w:kinsoku/>
        <w:wordWrap/>
        <w:overflowPunct/>
        <w:topLinePunct w:val="0"/>
        <w:autoSpaceDE/>
        <w:autoSpaceDN/>
        <w:bidi w:val="0"/>
        <w:snapToGrid/>
        <w:spacing w:beforeAutospacing="0" w:line="460" w:lineRule="exact"/>
        <w:ind w:firstLine="480" w:firstLineChars="200"/>
        <w:contextualSpacing/>
        <w:jc w:val="left"/>
        <w:rPr>
          <w:rFonts w:ascii="宋体" w:hAnsi="宋体" w:cs="Arial"/>
          <w:sz w:val="24"/>
          <w:szCs w:val="24"/>
          <w:highlight w:val="none"/>
        </w:rPr>
      </w:pPr>
      <w:r>
        <w:rPr>
          <w:rFonts w:ascii="宋体" w:hAnsi="宋体"/>
          <w:bCs/>
          <w:sz w:val="24"/>
          <w:szCs w:val="24"/>
          <w:highlight w:val="none"/>
        </w:rPr>
        <w:t>4.</w:t>
      </w:r>
      <w:r>
        <w:rPr>
          <w:rFonts w:hint="eastAsia" w:ascii="宋体" w:hAnsi="宋体" w:cs="Arial"/>
          <w:sz w:val="24"/>
          <w:szCs w:val="24"/>
          <w:highlight w:val="none"/>
        </w:rPr>
        <w:t>总价金额与按单价汇总金额不一致的，以单价金额计算结果为准。</w:t>
      </w:r>
    </w:p>
    <w:p w14:paraId="25942EC4">
      <w:pPr>
        <w:pageBreakBefore w:val="0"/>
        <w:kinsoku/>
        <w:wordWrap/>
        <w:overflowPunct/>
        <w:topLinePunct w:val="0"/>
        <w:autoSpaceDE/>
        <w:autoSpaceDN/>
        <w:bidi w:val="0"/>
        <w:snapToGrid/>
        <w:spacing w:beforeAutospacing="0" w:line="460" w:lineRule="exact"/>
        <w:ind w:firstLine="480" w:firstLineChars="200"/>
        <w:rPr>
          <w:rFonts w:ascii="宋体" w:hAnsi="宋体" w:cs="Arial"/>
          <w:sz w:val="24"/>
          <w:szCs w:val="24"/>
          <w:highlight w:val="none"/>
        </w:rPr>
      </w:pPr>
      <w:r>
        <w:rPr>
          <w:rFonts w:hint="eastAsia" w:ascii="宋体" w:hAnsi="宋体"/>
          <w:bCs/>
          <w:sz w:val="24"/>
          <w:szCs w:val="24"/>
          <w:highlight w:val="none"/>
        </w:rPr>
        <w:t>评标委员会将按上述修正错误的方法调整投标文件中的投标报价，</w:t>
      </w:r>
      <w:r>
        <w:rPr>
          <w:rFonts w:hint="eastAsia" w:ascii="宋体" w:hAnsi="宋体" w:cs="Arial"/>
          <w:sz w:val="24"/>
          <w:szCs w:val="24"/>
          <w:highlight w:val="none"/>
        </w:rPr>
        <w:t>修正后的报价应当采用书面形式，并加盖公章，或者由法定代表人或其授权的代表签字，经投标人确认后产生约束力，投标人不确认的，其投标无效。</w:t>
      </w:r>
    </w:p>
    <w:p w14:paraId="4B3A73DE">
      <w:pPr>
        <w:pageBreakBefore w:val="0"/>
        <w:kinsoku/>
        <w:wordWrap/>
        <w:overflowPunct/>
        <w:topLinePunct w:val="0"/>
        <w:autoSpaceDE/>
        <w:autoSpaceDN/>
        <w:bidi w:val="0"/>
        <w:snapToGrid/>
        <w:spacing w:beforeAutospacing="0" w:line="460" w:lineRule="exact"/>
        <w:ind w:firstLine="480" w:firstLineChars="200"/>
        <w:rPr>
          <w:rFonts w:ascii="宋体" w:hAnsi="宋体" w:cs="Arial"/>
          <w:sz w:val="24"/>
          <w:szCs w:val="24"/>
          <w:highlight w:val="none"/>
        </w:rPr>
      </w:pPr>
      <w:r>
        <w:rPr>
          <w:rFonts w:hint="eastAsia" w:ascii="宋体" w:hAnsi="宋体" w:cs="Arial"/>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896231">
      <w:pPr>
        <w:pStyle w:val="48"/>
        <w:pageBreakBefore w:val="0"/>
        <w:kinsoku/>
        <w:wordWrap/>
        <w:overflowPunct/>
        <w:topLinePunct w:val="0"/>
        <w:autoSpaceDE/>
        <w:autoSpaceDN/>
        <w:bidi w:val="0"/>
        <w:snapToGrid/>
        <w:spacing w:before="0" w:beforeAutospacing="0" w:after="0" w:line="460" w:lineRule="exact"/>
        <w:ind w:firstLine="480" w:firstLineChars="200"/>
        <w:rPr>
          <w:rFonts w:hint="eastAsia" w:ascii="宋体" w:hAnsi="宋体"/>
          <w:color w:val="000000" w:themeColor="text1"/>
          <w:kern w:val="2"/>
          <w:sz w:val="24"/>
          <w:szCs w:val="24"/>
          <w:highlight w:val="none"/>
          <w14:textFill>
            <w14:solidFill>
              <w14:schemeClr w14:val="tx1"/>
            </w14:solidFill>
          </w14:textFill>
        </w:rPr>
      </w:pPr>
      <w:r>
        <w:rPr>
          <w:rFonts w:hint="eastAsia" w:ascii="宋体" w:hAnsi="宋体"/>
          <w:color w:val="000000" w:themeColor="text1"/>
          <w:kern w:val="2"/>
          <w:sz w:val="24"/>
          <w:szCs w:val="24"/>
          <w:highlight w:val="none"/>
          <w14:textFill>
            <w14:solidFill>
              <w14:schemeClr w14:val="tx1"/>
            </w14:solidFill>
          </w14:textFill>
        </w:rPr>
        <w:t>三、评标标准</w:t>
      </w:r>
    </w:p>
    <w:bookmarkEnd w:id="133"/>
    <w:bookmarkEnd w:id="134"/>
    <w:bookmarkEnd w:id="135"/>
    <w:tbl>
      <w:tblPr>
        <w:tblStyle w:val="4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8"/>
        <w:gridCol w:w="1139"/>
        <w:gridCol w:w="7408"/>
      </w:tblGrid>
      <w:tr w14:paraId="07CC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8" w:type="pct"/>
            <w:vAlign w:val="center"/>
          </w:tcPr>
          <w:p w14:paraId="649DB6AD">
            <w:pPr>
              <w:pStyle w:val="38"/>
              <w:spacing w:line="380" w:lineRule="exact"/>
              <w:ind w:firstLine="0" w:firstLineChars="0"/>
              <w:jc w:val="center"/>
              <w:rPr>
                <w:rFonts w:hint="eastAsia" w:ascii="宋体" w:hAnsi="宋体" w:eastAsia="宋体" w:cs="宋体"/>
                <w:sz w:val="22"/>
                <w:szCs w:val="22"/>
                <w:highlight w:val="none"/>
                <w:lang w:val="en-US" w:eastAsia="zh-CN"/>
              </w:rPr>
            </w:pPr>
            <w:r>
              <w:rPr>
                <w:rFonts w:hint="eastAsia" w:ascii="宋体" w:hAnsi="宋体" w:eastAsia="宋体" w:cs="宋体"/>
                <w:b/>
                <w:sz w:val="22"/>
                <w:szCs w:val="22"/>
                <w:highlight w:val="none"/>
                <w:lang w:val="en-US" w:eastAsia="zh-CN"/>
              </w:rPr>
              <w:t>评分项目</w:t>
            </w:r>
          </w:p>
        </w:tc>
        <w:tc>
          <w:tcPr>
            <w:tcW w:w="589" w:type="pct"/>
            <w:vAlign w:val="center"/>
          </w:tcPr>
          <w:p w14:paraId="7AFAA5A3">
            <w:pPr>
              <w:spacing w:line="380" w:lineRule="exact"/>
              <w:jc w:val="center"/>
              <w:rPr>
                <w:rFonts w:hint="eastAsia" w:ascii="宋体" w:hAnsi="宋体" w:cs="宋体"/>
                <w:b/>
                <w:sz w:val="22"/>
                <w:szCs w:val="22"/>
                <w:highlight w:val="none"/>
              </w:rPr>
            </w:pPr>
            <w:r>
              <w:rPr>
                <w:rFonts w:hint="eastAsia" w:ascii="宋体" w:hAnsi="宋体" w:cs="宋体"/>
                <w:b/>
                <w:sz w:val="22"/>
                <w:szCs w:val="22"/>
                <w:highlight w:val="none"/>
              </w:rPr>
              <w:t>满分分值</w:t>
            </w:r>
          </w:p>
        </w:tc>
        <w:tc>
          <w:tcPr>
            <w:tcW w:w="3831" w:type="pct"/>
            <w:vAlign w:val="center"/>
          </w:tcPr>
          <w:p w14:paraId="3241D63A">
            <w:pPr>
              <w:spacing w:line="380" w:lineRule="exact"/>
              <w:jc w:val="center"/>
              <w:rPr>
                <w:rFonts w:hint="eastAsia" w:ascii="宋体" w:hAnsi="宋体" w:cs="宋体"/>
                <w:b/>
                <w:sz w:val="22"/>
                <w:szCs w:val="22"/>
                <w:highlight w:val="none"/>
              </w:rPr>
            </w:pPr>
            <w:r>
              <w:rPr>
                <w:rFonts w:hint="eastAsia" w:ascii="宋体" w:hAnsi="宋体" w:cs="宋体"/>
                <w:b/>
                <w:sz w:val="22"/>
                <w:szCs w:val="22"/>
                <w:highlight w:val="none"/>
              </w:rPr>
              <w:t>评 分 细 则</w:t>
            </w:r>
          </w:p>
        </w:tc>
      </w:tr>
      <w:tr w14:paraId="6274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578" w:type="pct"/>
            <w:vAlign w:val="center"/>
          </w:tcPr>
          <w:p w14:paraId="34041247">
            <w:pPr>
              <w:spacing w:line="380" w:lineRule="exact"/>
              <w:jc w:val="center"/>
              <w:rPr>
                <w:rFonts w:hint="eastAsia" w:ascii="宋体" w:hAnsi="宋体" w:cs="宋体"/>
                <w:sz w:val="24"/>
                <w:highlight w:val="none"/>
              </w:rPr>
            </w:pPr>
            <w:r>
              <w:rPr>
                <w:rFonts w:hint="eastAsia" w:ascii="宋体" w:hAnsi="宋体" w:cs="宋体"/>
                <w:sz w:val="24"/>
                <w:highlight w:val="none"/>
              </w:rPr>
              <w:t>价格</w:t>
            </w:r>
          </w:p>
        </w:tc>
        <w:tc>
          <w:tcPr>
            <w:tcW w:w="589" w:type="pct"/>
            <w:vAlign w:val="center"/>
          </w:tcPr>
          <w:p w14:paraId="7CBA3BE7">
            <w:pPr>
              <w:spacing w:line="380" w:lineRule="exact"/>
              <w:jc w:val="center"/>
              <w:rPr>
                <w:rFonts w:hint="eastAsia" w:ascii="宋体" w:hAnsi="宋体" w:cs="宋体"/>
                <w:sz w:val="24"/>
                <w:highlight w:val="none"/>
              </w:rPr>
            </w:pPr>
            <w:r>
              <w:rPr>
                <w:rFonts w:hint="eastAsia" w:ascii="宋体" w:hAnsi="宋体" w:cs="宋体"/>
                <w:sz w:val="24"/>
                <w:highlight w:val="none"/>
                <w:lang w:val="en-US" w:eastAsia="zh-CN"/>
              </w:rPr>
              <w:t>50</w:t>
            </w:r>
            <w:r>
              <w:rPr>
                <w:rFonts w:hint="eastAsia" w:ascii="宋体" w:hAnsi="宋体" w:cs="宋体"/>
                <w:sz w:val="24"/>
                <w:highlight w:val="none"/>
              </w:rPr>
              <w:t>分</w:t>
            </w:r>
          </w:p>
        </w:tc>
        <w:tc>
          <w:tcPr>
            <w:tcW w:w="3831" w:type="pct"/>
            <w:vAlign w:val="center"/>
          </w:tcPr>
          <w:p w14:paraId="553F4398">
            <w:pPr>
              <w:spacing w:line="380" w:lineRule="exact"/>
              <w:rPr>
                <w:rFonts w:hint="eastAsia" w:ascii="宋体" w:hAnsi="宋体" w:eastAsia="宋体" w:cs="Times New Roman"/>
                <w:sz w:val="24"/>
                <w:highlight w:val="none"/>
              </w:rPr>
            </w:pPr>
            <w:r>
              <w:rPr>
                <w:rFonts w:hint="eastAsia" w:ascii="宋体" w:hAnsi="宋体" w:eastAsia="宋体" w:cs="Times New Roman"/>
                <w:sz w:val="24"/>
                <w:highlight w:val="none"/>
              </w:rPr>
              <w:t>价格分统一采用低价优先法计算，即满足招标文件要求且投标价格最低的投标报价为评标基准价，其价格分为满分。其他投标人的价格分统一按照下列公式计算：</w:t>
            </w:r>
          </w:p>
          <w:p w14:paraId="6F883702">
            <w:pPr>
              <w:spacing w:line="380" w:lineRule="exact"/>
              <w:rPr>
                <w:rFonts w:hint="eastAsia" w:ascii="宋体" w:hAnsi="宋体" w:eastAsia="宋体" w:cs="Times New Roman"/>
                <w:sz w:val="24"/>
                <w:highlight w:val="none"/>
              </w:rPr>
            </w:pPr>
            <w:r>
              <w:rPr>
                <w:rFonts w:hint="eastAsia" w:ascii="宋体" w:hAnsi="宋体" w:eastAsia="宋体" w:cs="Times New Roman"/>
                <w:sz w:val="24"/>
                <w:highlight w:val="none"/>
              </w:rPr>
              <w:t>投标报价得分=(评标基准价/投标报价)×</w:t>
            </w:r>
            <w:r>
              <w:rPr>
                <w:rFonts w:hint="eastAsia" w:ascii="宋体" w:hAnsi="宋体" w:cs="Times New Roman"/>
                <w:sz w:val="24"/>
                <w:highlight w:val="none"/>
                <w:lang w:val="en-US" w:eastAsia="zh-CN"/>
              </w:rPr>
              <w:t>50</w:t>
            </w:r>
            <w:r>
              <w:rPr>
                <w:rFonts w:hint="eastAsia" w:ascii="宋体" w:hAnsi="宋体" w:eastAsia="宋体" w:cs="Times New Roman"/>
                <w:sz w:val="24"/>
                <w:highlight w:val="none"/>
              </w:rPr>
              <w:t>，小数点后保留2位。</w:t>
            </w:r>
          </w:p>
        </w:tc>
      </w:tr>
      <w:tr w14:paraId="14D3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0" w:hRule="atLeast"/>
          <w:jc w:val="center"/>
        </w:trPr>
        <w:tc>
          <w:tcPr>
            <w:tcW w:w="578" w:type="pct"/>
            <w:vAlign w:val="center"/>
          </w:tcPr>
          <w:p w14:paraId="07F33F38">
            <w:pPr>
              <w:spacing w:line="380" w:lineRule="exact"/>
              <w:jc w:val="center"/>
              <w:rPr>
                <w:rFonts w:hint="eastAsia" w:ascii="宋体" w:hAnsi="宋体" w:cs="宋体"/>
                <w:sz w:val="24"/>
                <w:highlight w:val="none"/>
              </w:rPr>
            </w:pPr>
            <w:r>
              <w:rPr>
                <w:rFonts w:hint="eastAsia" w:ascii="宋体" w:hAnsi="宋体" w:cs="宋体"/>
                <w:sz w:val="24"/>
                <w:highlight w:val="none"/>
              </w:rPr>
              <w:t>类似业绩</w:t>
            </w:r>
          </w:p>
        </w:tc>
        <w:tc>
          <w:tcPr>
            <w:tcW w:w="589" w:type="pct"/>
            <w:vAlign w:val="center"/>
          </w:tcPr>
          <w:p w14:paraId="46BBF8B6">
            <w:pPr>
              <w:spacing w:line="380" w:lineRule="exact"/>
              <w:jc w:val="center"/>
              <w:rPr>
                <w:rFonts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分</w:t>
            </w:r>
          </w:p>
        </w:tc>
        <w:tc>
          <w:tcPr>
            <w:tcW w:w="3831" w:type="pct"/>
            <w:vAlign w:val="top"/>
          </w:tcPr>
          <w:p w14:paraId="16B5B804">
            <w:pPr>
              <w:spacing w:line="380" w:lineRule="exact"/>
              <w:rPr>
                <w:rFonts w:ascii="宋体" w:hAnsi="宋体" w:cs="宋体"/>
                <w:kern w:val="0"/>
                <w:sz w:val="24"/>
                <w:szCs w:val="24"/>
                <w:highlight w:val="none"/>
              </w:rPr>
            </w:pPr>
            <w:r>
              <w:rPr>
                <w:rFonts w:hint="eastAsia" w:ascii="宋体" w:hAnsi="宋体" w:cs="宋体"/>
                <w:kern w:val="0"/>
                <w:sz w:val="24"/>
                <w:szCs w:val="24"/>
                <w:highlight w:val="none"/>
              </w:rPr>
              <w:t>投标人自202</w:t>
            </w:r>
            <w:r>
              <w:rPr>
                <w:rFonts w:hint="eastAsia" w:ascii="宋体" w:hAnsi="宋体" w:cs="宋体"/>
                <w:kern w:val="0"/>
                <w:sz w:val="24"/>
                <w:szCs w:val="24"/>
                <w:highlight w:val="none"/>
                <w:lang w:val="en-US" w:eastAsia="zh-CN"/>
              </w:rPr>
              <w:t>3</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rPr>
              <w:t>月1日以来（以合同签订日期为准）承</w:t>
            </w:r>
            <w:r>
              <w:rPr>
                <w:rFonts w:hint="eastAsia" w:ascii="宋体" w:hAnsi="宋体" w:cs="宋体"/>
                <w:kern w:val="0"/>
                <w:sz w:val="24"/>
                <w:szCs w:val="24"/>
                <w:highlight w:val="none"/>
                <w:lang w:val="en-US" w:eastAsia="zh-CN"/>
              </w:rPr>
              <w:t>接</w:t>
            </w:r>
            <w:r>
              <w:rPr>
                <w:rFonts w:hint="eastAsia" w:ascii="宋体" w:hAnsi="宋体" w:cs="宋体"/>
                <w:kern w:val="0"/>
                <w:sz w:val="24"/>
                <w:szCs w:val="24"/>
                <w:highlight w:val="none"/>
              </w:rPr>
              <w:t>过类似</w:t>
            </w:r>
            <w:r>
              <w:rPr>
                <w:rFonts w:hint="eastAsia" w:ascii="宋体" w:hAnsi="宋体" w:cs="宋体"/>
                <w:kern w:val="0"/>
                <w:sz w:val="24"/>
                <w:szCs w:val="24"/>
                <w:highlight w:val="none"/>
                <w:lang w:val="en-US" w:eastAsia="zh-CN"/>
              </w:rPr>
              <w:t>项目</w:t>
            </w:r>
            <w:r>
              <w:rPr>
                <w:rFonts w:hint="eastAsia" w:ascii="宋体" w:hAnsi="宋体" w:cs="宋体"/>
                <w:kern w:val="0"/>
                <w:sz w:val="24"/>
                <w:szCs w:val="24"/>
                <w:highlight w:val="none"/>
              </w:rPr>
              <w:t>业绩的，提供1个得</w:t>
            </w:r>
            <w:r>
              <w:rPr>
                <w:rFonts w:hint="eastAsia" w:ascii="宋体" w:hAnsi="宋体" w:cs="宋体"/>
                <w:kern w:val="0"/>
                <w:sz w:val="24"/>
                <w:szCs w:val="24"/>
                <w:highlight w:val="none"/>
                <w:lang w:val="en-US" w:eastAsia="zh-CN"/>
              </w:rPr>
              <w:t>2</w:t>
            </w:r>
            <w:r>
              <w:rPr>
                <w:rFonts w:hint="eastAsia" w:ascii="宋体" w:hAnsi="宋体" w:cs="宋体"/>
                <w:kern w:val="0"/>
                <w:sz w:val="24"/>
                <w:szCs w:val="24"/>
                <w:highlight w:val="none"/>
              </w:rPr>
              <w:t>分，最高</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rPr>
              <w:t>分。</w:t>
            </w:r>
          </w:p>
          <w:p w14:paraId="58BB1A01">
            <w:pPr>
              <w:spacing w:line="380" w:lineRule="exact"/>
              <w:rPr>
                <w:rFonts w:hint="eastAsia" w:ascii="宋体" w:hAnsi="宋体" w:eastAsia="宋体" w:cs="宋体"/>
                <w:sz w:val="24"/>
                <w:highlight w:val="none"/>
                <w:lang w:eastAsia="zh-CN"/>
              </w:rPr>
            </w:pPr>
            <w:r>
              <w:rPr>
                <w:rFonts w:hint="eastAsia" w:ascii="宋体" w:hAnsi="宋体" w:cs="宋体"/>
                <w:kern w:val="0"/>
                <w:sz w:val="24"/>
                <w:szCs w:val="24"/>
                <w:highlight w:val="none"/>
              </w:rPr>
              <w:t>注</w:t>
            </w:r>
            <w:r>
              <w:rPr>
                <w:rFonts w:hint="eastAsia" w:ascii="宋体" w:hAnsi="宋体" w:cs="宋体"/>
                <w:kern w:val="0"/>
                <w:sz w:val="24"/>
                <w:szCs w:val="24"/>
                <w:highlight w:val="none"/>
                <w:lang w:eastAsia="zh-CN"/>
              </w:rPr>
              <w:t>：</w:t>
            </w:r>
            <w:r>
              <w:rPr>
                <w:rFonts w:hint="eastAsia" w:asciiTheme="minorEastAsia" w:hAnsiTheme="minorEastAsia" w:eastAsiaTheme="minorEastAsia" w:cstheme="minorEastAsia"/>
                <w:bCs/>
                <w:color w:val="auto"/>
                <w:kern w:val="2"/>
                <w:sz w:val="24"/>
                <w:szCs w:val="24"/>
                <w:highlight w:val="none"/>
                <w:lang w:bidi="zh-CN"/>
              </w:rPr>
              <w:t>提供合同原件扫描件</w:t>
            </w:r>
            <w:r>
              <w:rPr>
                <w:rFonts w:hint="eastAsia" w:asciiTheme="minorEastAsia" w:hAnsiTheme="minorEastAsia" w:eastAsiaTheme="minorEastAsia" w:cstheme="minorEastAsia"/>
                <w:bCs/>
                <w:color w:val="auto"/>
                <w:kern w:val="2"/>
                <w:sz w:val="24"/>
                <w:szCs w:val="24"/>
                <w:highlight w:val="none"/>
                <w:lang w:val="en-US" w:bidi="zh-CN"/>
              </w:rPr>
              <w:t>和工程竣工验收相关证明材料原件扫描件</w:t>
            </w:r>
            <w:r>
              <w:rPr>
                <w:rFonts w:hint="eastAsia" w:asciiTheme="minorEastAsia" w:hAnsiTheme="minorEastAsia" w:eastAsiaTheme="minorEastAsia" w:cstheme="minorEastAsia"/>
                <w:bCs/>
                <w:color w:val="auto"/>
                <w:kern w:val="2"/>
                <w:sz w:val="24"/>
                <w:szCs w:val="24"/>
                <w:highlight w:val="none"/>
                <w:lang w:bidi="zh-CN"/>
              </w:rPr>
              <w:t>，合同须能反映项目名称、主要标的物、签订时间、单位公章或专用合同章,如不能反映的，另须提供盖有原委托单位公章的证明，否则不予认可。</w:t>
            </w:r>
          </w:p>
        </w:tc>
      </w:tr>
      <w:tr w14:paraId="2207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578" w:type="pct"/>
            <w:vAlign w:val="center"/>
          </w:tcPr>
          <w:p w14:paraId="3A3A28B4">
            <w:pPr>
              <w:spacing w:line="380" w:lineRule="exact"/>
              <w:jc w:val="center"/>
              <w:rPr>
                <w:rFonts w:hint="eastAsia" w:ascii="宋体" w:hAnsi="宋体" w:cs="宋体"/>
                <w:sz w:val="24"/>
                <w:highlight w:val="none"/>
              </w:rPr>
            </w:pPr>
            <w:r>
              <w:rPr>
                <w:rFonts w:hint="eastAsia" w:ascii="宋体" w:hAnsi="宋体" w:cs="宋体"/>
                <w:sz w:val="24"/>
                <w:highlight w:val="none"/>
              </w:rPr>
              <w:t>企业</w:t>
            </w:r>
            <w:r>
              <w:rPr>
                <w:rFonts w:hint="eastAsia" w:ascii="宋体" w:hAnsi="宋体" w:cs="宋体"/>
                <w:sz w:val="24"/>
                <w:highlight w:val="none"/>
                <w:lang w:val="en-US" w:eastAsia="zh-CN"/>
              </w:rPr>
              <w:t>综合实力</w:t>
            </w:r>
          </w:p>
        </w:tc>
        <w:tc>
          <w:tcPr>
            <w:tcW w:w="589" w:type="pct"/>
            <w:vAlign w:val="center"/>
          </w:tcPr>
          <w:p w14:paraId="15902427">
            <w:pPr>
              <w:spacing w:line="380" w:lineRule="exact"/>
              <w:jc w:val="center"/>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分</w:t>
            </w:r>
          </w:p>
        </w:tc>
        <w:tc>
          <w:tcPr>
            <w:tcW w:w="3831" w:type="pct"/>
            <w:vAlign w:val="center"/>
          </w:tcPr>
          <w:p w14:paraId="7435CC1C">
            <w:pPr>
              <w:numPr>
                <w:ilvl w:val="0"/>
                <w:numId w:val="0"/>
              </w:numPr>
              <w:spacing w:line="380" w:lineRule="exact"/>
              <w:jc w:val="both"/>
              <w:rPr>
                <w:rFonts w:hint="eastAsia" w:ascii="宋体" w:hAnsi="宋体" w:cs="宋体"/>
                <w:color w:val="auto"/>
                <w:sz w:val="24"/>
                <w:highlight w:val="none"/>
              </w:rPr>
            </w:pPr>
            <w:r>
              <w:rPr>
                <w:rFonts w:hint="eastAsia" w:ascii="宋体" w:hAnsi="宋体" w:cs="宋体"/>
                <w:color w:val="auto"/>
                <w:sz w:val="24"/>
                <w:highlight w:val="none"/>
              </w:rPr>
              <w:t>投标人具有有效的质量管理体系认证证书、环境管理体系认证证书、职业健康安全管理体系认证证书，每提供1个得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分，最高得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分。 </w:t>
            </w:r>
          </w:p>
          <w:p w14:paraId="67B277FF">
            <w:pPr>
              <w:numPr>
                <w:ilvl w:val="0"/>
                <w:numId w:val="0"/>
              </w:numPr>
              <w:spacing w:line="380" w:lineRule="exact"/>
              <w:jc w:val="both"/>
              <w:rPr>
                <w:rFonts w:hint="default" w:ascii="宋体" w:hAnsi="宋体" w:cs="宋体"/>
                <w:color w:val="000000"/>
                <w:sz w:val="24"/>
                <w:highlight w:val="none"/>
                <w:lang w:val="en-US" w:eastAsia="zh-CN"/>
              </w:rPr>
            </w:pPr>
            <w:r>
              <w:rPr>
                <w:rFonts w:hint="eastAsia" w:ascii="宋体" w:hAnsi="宋体" w:cs="宋体"/>
                <w:color w:val="auto"/>
                <w:sz w:val="24"/>
                <w:highlight w:val="none"/>
              </w:rPr>
              <w:t>注：投标时提供上述证书的</w:t>
            </w:r>
            <w:r>
              <w:rPr>
                <w:rFonts w:hint="eastAsia" w:ascii="宋体" w:hAnsi="宋体" w:cs="宋体"/>
                <w:color w:val="auto"/>
                <w:sz w:val="24"/>
                <w:highlight w:val="none"/>
                <w:lang w:val="en-US" w:eastAsia="zh-CN"/>
              </w:rPr>
              <w:t>原件</w:t>
            </w:r>
            <w:r>
              <w:rPr>
                <w:rFonts w:hint="eastAsia" w:ascii="宋体" w:hAnsi="宋体" w:cs="宋体"/>
                <w:color w:val="auto"/>
                <w:sz w:val="24"/>
                <w:highlight w:val="none"/>
              </w:rPr>
              <w:t>扫描件，同时须提供上述证书在中国国家认证认可监督管理委员会网站http://www.cnca.gov.cn/查询页面完整截图，投标人应当确保证书开标当天处于有效期内，否则不予认可。不提供不得分。</w:t>
            </w:r>
          </w:p>
        </w:tc>
      </w:tr>
      <w:tr w14:paraId="4FB2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578" w:type="pct"/>
            <w:vAlign w:val="center"/>
          </w:tcPr>
          <w:p w14:paraId="09DBBD87">
            <w:pPr>
              <w:spacing w:line="380" w:lineRule="exact"/>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人员配备</w:t>
            </w:r>
          </w:p>
        </w:tc>
        <w:tc>
          <w:tcPr>
            <w:tcW w:w="589" w:type="pct"/>
            <w:vAlign w:val="center"/>
          </w:tcPr>
          <w:p w14:paraId="1BE01993">
            <w:pPr>
              <w:spacing w:line="380" w:lineRule="exact"/>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5分</w:t>
            </w:r>
          </w:p>
        </w:tc>
        <w:tc>
          <w:tcPr>
            <w:tcW w:w="3831" w:type="pct"/>
            <w:vAlign w:val="center"/>
          </w:tcPr>
          <w:p w14:paraId="4AB3C03E">
            <w:pPr>
              <w:numPr>
                <w:ilvl w:val="0"/>
                <w:numId w:val="0"/>
              </w:numPr>
              <w:spacing w:line="380" w:lineRule="exact"/>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1、拟派施工项目经理具备建设工程类高级及以上职称的得1分，具备建设工程类中级职称的得0.5分，本项最高得1分。                2、技术负责人具备建设工程类高级及以上职称的得1分，具备建设工程类中级职称的得0.5分，本项最高得1分。</w:t>
            </w:r>
          </w:p>
          <w:p w14:paraId="5DBBBA61">
            <w:pPr>
              <w:numPr>
                <w:ilvl w:val="0"/>
                <w:numId w:val="0"/>
              </w:numPr>
              <w:spacing w:line="380" w:lineRule="exact"/>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3、拟派项目组成员（不含项目经理及技术负责人）具备建设工程类中级及以上职称的有一人得1分，本项最高得3分。</w:t>
            </w:r>
          </w:p>
          <w:p w14:paraId="712F7A0F">
            <w:pPr>
              <w:numPr>
                <w:ilvl w:val="0"/>
                <w:numId w:val="0"/>
              </w:numPr>
              <w:spacing w:line="380" w:lineRule="exact"/>
              <w:jc w:val="both"/>
              <w:rPr>
                <w:rFonts w:hint="default" w:ascii="宋体" w:hAnsi="宋体" w:eastAsia="宋体" w:cs="宋体"/>
                <w:color w:val="000000"/>
                <w:sz w:val="24"/>
                <w:highlight w:val="none"/>
                <w:lang w:val="en-US" w:eastAsia="zh-CN"/>
              </w:rPr>
            </w:pPr>
            <w:r>
              <w:rPr>
                <w:rFonts w:hint="eastAsia" w:eastAsia="宋体"/>
                <w:sz w:val="24"/>
                <w:szCs w:val="24"/>
                <w:highlight w:val="none"/>
              </w:rPr>
              <w:t>注：须提供</w:t>
            </w:r>
            <w:r>
              <w:rPr>
                <w:rFonts w:hint="eastAsia" w:eastAsia="宋体"/>
                <w:sz w:val="24"/>
                <w:szCs w:val="24"/>
                <w:highlight w:val="none"/>
                <w:lang w:val="zh-CN"/>
              </w:rPr>
              <w:t>人员职称证书</w:t>
            </w:r>
            <w:r>
              <w:rPr>
                <w:rFonts w:hint="eastAsia" w:eastAsia="宋体"/>
                <w:sz w:val="24"/>
                <w:szCs w:val="24"/>
                <w:highlight w:val="none"/>
              </w:rPr>
              <w:t>原件扫描件</w:t>
            </w:r>
            <w:r>
              <w:rPr>
                <w:rFonts w:hint="eastAsia"/>
                <w:sz w:val="24"/>
                <w:szCs w:val="24"/>
                <w:highlight w:val="none"/>
                <w:lang w:eastAsia="zh-CN"/>
              </w:rPr>
              <w:t>，</w:t>
            </w:r>
            <w:r>
              <w:rPr>
                <w:rFonts w:hint="eastAsia" w:eastAsia="宋体"/>
                <w:sz w:val="24"/>
                <w:szCs w:val="24"/>
                <w:highlight w:val="none"/>
              </w:rPr>
              <w:t>拟投入项目组成员须为供应商</w:t>
            </w:r>
            <w:r>
              <w:rPr>
                <w:rFonts w:hint="eastAsia"/>
                <w:sz w:val="24"/>
                <w:szCs w:val="24"/>
                <w:highlight w:val="none"/>
                <w:lang w:val="en-US" w:eastAsia="zh-CN"/>
              </w:rPr>
              <w:t>正式职工</w:t>
            </w:r>
            <w:r>
              <w:rPr>
                <w:rFonts w:hint="eastAsia" w:eastAsia="宋体"/>
                <w:sz w:val="24"/>
                <w:szCs w:val="24"/>
                <w:highlight w:val="none"/>
              </w:rPr>
              <w:t>，提供以上人员近3个月（不含投标当月）任意一个月社保缴纳证明附在响应文件中。</w:t>
            </w:r>
          </w:p>
        </w:tc>
      </w:tr>
      <w:tr w14:paraId="6D54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2" w:hRule="atLeast"/>
          <w:jc w:val="center"/>
        </w:trPr>
        <w:tc>
          <w:tcPr>
            <w:tcW w:w="578" w:type="pct"/>
            <w:shd w:val="clear" w:color="auto" w:fill="auto"/>
            <w:vAlign w:val="center"/>
          </w:tcPr>
          <w:p w14:paraId="53955574">
            <w:pPr>
              <w:spacing w:line="380" w:lineRule="exact"/>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rPr>
              <w:t>施工组织设计</w:t>
            </w:r>
          </w:p>
        </w:tc>
        <w:tc>
          <w:tcPr>
            <w:tcW w:w="589" w:type="pct"/>
            <w:shd w:val="clear" w:color="auto" w:fill="auto"/>
            <w:vAlign w:val="center"/>
          </w:tcPr>
          <w:p w14:paraId="3E14DE4C">
            <w:pPr>
              <w:spacing w:line="380" w:lineRule="exact"/>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38</w:t>
            </w:r>
            <w:r>
              <w:rPr>
                <w:rFonts w:hint="eastAsia" w:ascii="宋体" w:hAnsi="宋体" w:cs="宋体"/>
                <w:sz w:val="24"/>
                <w:highlight w:val="none"/>
              </w:rPr>
              <w:t>分</w:t>
            </w:r>
          </w:p>
        </w:tc>
        <w:tc>
          <w:tcPr>
            <w:tcW w:w="3831" w:type="pct"/>
            <w:shd w:val="clear" w:color="auto" w:fill="auto"/>
            <w:vAlign w:val="top"/>
          </w:tcPr>
          <w:p w14:paraId="2854C9EE">
            <w:pPr>
              <w:keepNext w:val="0"/>
              <w:keepLines w:val="0"/>
              <w:pageBreakBefore w:val="0"/>
              <w:numPr>
                <w:ilvl w:val="0"/>
                <w:numId w:val="0"/>
              </w:numPr>
              <w:spacing w:line="420" w:lineRule="exact"/>
              <w:jc w:val="left"/>
              <w:rPr>
                <w:rFonts w:hint="eastAsia" w:ascii="宋体" w:hAnsi="宋体" w:eastAsia="宋体" w:cs="宋体"/>
                <w:color w:val="auto"/>
                <w:sz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b/>
                <w:bCs/>
                <w:color w:val="auto"/>
                <w:sz w:val="24"/>
                <w:highlight w:val="none"/>
              </w:rPr>
              <w:t>施工方案与技术措施（</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：根据投标供应商提供的施工方案与技术措施进行评审，包括但不限于：①施工准备；②施工项目目标控制；③技术措施；④项目安全措施等方面内容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799D58BD">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优于满足项目需求的得7分</w:t>
            </w:r>
            <w:r>
              <w:rPr>
                <w:rFonts w:hint="eastAsia" w:ascii="宋体" w:hAnsi="宋体" w:cs="宋体"/>
                <w:color w:val="auto"/>
                <w:sz w:val="24"/>
                <w:highlight w:val="none"/>
                <w:lang w:val="en-US" w:eastAsia="zh-CN"/>
              </w:rPr>
              <w:t>；</w:t>
            </w:r>
          </w:p>
          <w:p w14:paraId="15C066CF">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基本满足项目需求的得6分</w:t>
            </w:r>
            <w:r>
              <w:rPr>
                <w:rFonts w:hint="eastAsia" w:ascii="宋体" w:hAnsi="宋体" w:cs="宋体"/>
                <w:color w:val="auto"/>
                <w:sz w:val="24"/>
                <w:highlight w:val="none"/>
                <w:lang w:val="en-US" w:eastAsia="zh-CN"/>
              </w:rPr>
              <w:t>；</w:t>
            </w:r>
          </w:p>
          <w:p w14:paraId="4015A61B">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sz w:val="24"/>
              </w:rPr>
              <w:t>不满足或无此项内容的本项不得分。</w:t>
            </w:r>
          </w:p>
          <w:p w14:paraId="4A90A153">
            <w:pPr>
              <w:keepNext w:val="0"/>
              <w:keepLines w:val="0"/>
              <w:pageBreakBefore w:val="0"/>
              <w:numPr>
                <w:ilvl w:val="0"/>
                <w:numId w:val="0"/>
              </w:numPr>
              <w:spacing w:line="420" w:lineRule="exact"/>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2、工程进度计划与保证措施（</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：根据投标供应商提供工程进度计划与保证措施进行评审，包括但不限于：①对施工进度的关键因素分析；②保证措施和人员分工的合理性；③实施计划、工期进度安排；④机械设备和材料投入等方面内容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036BABC4">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优于满足项目需求的得7分</w:t>
            </w:r>
            <w:r>
              <w:rPr>
                <w:rFonts w:hint="eastAsia" w:ascii="宋体" w:hAnsi="宋体" w:cs="宋体"/>
                <w:color w:val="auto"/>
                <w:sz w:val="24"/>
                <w:highlight w:val="none"/>
                <w:lang w:val="en-US" w:eastAsia="zh-CN"/>
              </w:rPr>
              <w:t>；</w:t>
            </w:r>
          </w:p>
          <w:p w14:paraId="40D5063D">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基本满足项目需求的得6分</w:t>
            </w:r>
            <w:r>
              <w:rPr>
                <w:rFonts w:hint="eastAsia" w:ascii="宋体" w:hAnsi="宋体" w:cs="宋体"/>
                <w:color w:val="auto"/>
                <w:sz w:val="24"/>
                <w:highlight w:val="none"/>
                <w:lang w:val="en-US" w:eastAsia="zh-CN"/>
              </w:rPr>
              <w:t>；</w:t>
            </w:r>
          </w:p>
          <w:p w14:paraId="23BAF99F">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sz w:val="24"/>
              </w:rPr>
              <w:t>不满足或无此项内容的本项不得分。</w:t>
            </w:r>
          </w:p>
          <w:p w14:paraId="0EBBE12E">
            <w:pPr>
              <w:keepNext w:val="0"/>
              <w:keepLines w:val="0"/>
              <w:pageBreakBefore w:val="0"/>
              <w:numPr>
                <w:ilvl w:val="0"/>
                <w:numId w:val="0"/>
              </w:numPr>
              <w:spacing w:line="420" w:lineRule="exact"/>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3、安全管理体系和措施（</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：根据投标供应商提供的安全管理体系和措施进行评审，包括但不限于：①安全管理体系；②安全管理制度；③岗位职责的健全；④安全保证措施等方面内容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2AF4C7D3">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优于满足项目需求的得6分</w:t>
            </w:r>
            <w:r>
              <w:rPr>
                <w:rFonts w:hint="eastAsia" w:ascii="宋体" w:hAnsi="宋体" w:cs="宋体"/>
                <w:color w:val="auto"/>
                <w:sz w:val="24"/>
                <w:highlight w:val="none"/>
                <w:lang w:val="en-US" w:eastAsia="zh-CN"/>
              </w:rPr>
              <w:t>；</w:t>
            </w:r>
          </w:p>
          <w:p w14:paraId="4D809DC6">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基本满足项目需求的得5分</w:t>
            </w:r>
            <w:r>
              <w:rPr>
                <w:rFonts w:hint="eastAsia" w:ascii="宋体" w:hAnsi="宋体" w:cs="宋体"/>
                <w:color w:val="auto"/>
                <w:sz w:val="24"/>
                <w:highlight w:val="none"/>
                <w:lang w:val="en-US" w:eastAsia="zh-CN"/>
              </w:rPr>
              <w:t>；</w:t>
            </w:r>
          </w:p>
          <w:p w14:paraId="7958B525">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sz w:val="24"/>
              </w:rPr>
              <w:t>不满足或无此项内容的本项不得分。</w:t>
            </w:r>
          </w:p>
          <w:p w14:paraId="5AE89674">
            <w:pPr>
              <w:keepNext w:val="0"/>
              <w:keepLines w:val="0"/>
              <w:pageBreakBefore w:val="0"/>
              <w:numPr>
                <w:ilvl w:val="0"/>
                <w:numId w:val="0"/>
              </w:numPr>
              <w:spacing w:line="420" w:lineRule="exact"/>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4、项目组织结构（</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：根据投标供应商提供的项目组织结构进行评审，包括但不限于：①合理安排项目部组织结构；②项目组人员专业齐全，执业资格齐全等方面内容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08CB577A">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优于满足项目需求的得6分</w:t>
            </w:r>
            <w:r>
              <w:rPr>
                <w:rFonts w:hint="eastAsia" w:ascii="宋体" w:hAnsi="宋体" w:cs="宋体"/>
                <w:color w:val="auto"/>
                <w:sz w:val="24"/>
                <w:highlight w:val="none"/>
                <w:lang w:val="en-US" w:eastAsia="zh-CN"/>
              </w:rPr>
              <w:t>；</w:t>
            </w:r>
          </w:p>
          <w:p w14:paraId="5CF93D02">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基本满足项目需求的得5分</w:t>
            </w:r>
            <w:r>
              <w:rPr>
                <w:rFonts w:hint="eastAsia" w:ascii="宋体" w:hAnsi="宋体" w:cs="宋体"/>
                <w:color w:val="auto"/>
                <w:sz w:val="24"/>
                <w:highlight w:val="none"/>
                <w:lang w:val="en-US" w:eastAsia="zh-CN"/>
              </w:rPr>
              <w:t>；</w:t>
            </w:r>
          </w:p>
          <w:p w14:paraId="5C877BEE">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sz w:val="24"/>
              </w:rPr>
              <w:t>不满足或无此项内容的本项不得分。</w:t>
            </w:r>
          </w:p>
          <w:p w14:paraId="19BEFB6E">
            <w:pPr>
              <w:keepNext w:val="0"/>
              <w:keepLines w:val="0"/>
              <w:pageBreakBefore w:val="0"/>
              <w:numPr>
                <w:ilvl w:val="0"/>
                <w:numId w:val="0"/>
              </w:numPr>
              <w:spacing w:line="420" w:lineRule="exact"/>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5、质量管理体系和措施（</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：根据供应商提供的质量管理体系和措施进行评审，包括但不限于：①确定质量方针和目标；②质量管理体系；③质量保证措施；④制度、岗位职责的健全等方面内容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20C910F8">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优于满足项目需求的得6分</w:t>
            </w:r>
            <w:r>
              <w:rPr>
                <w:rFonts w:hint="eastAsia" w:ascii="宋体" w:hAnsi="宋体" w:cs="宋体"/>
                <w:color w:val="auto"/>
                <w:sz w:val="24"/>
                <w:highlight w:val="none"/>
                <w:lang w:val="en-US" w:eastAsia="zh-CN"/>
              </w:rPr>
              <w:t>；</w:t>
            </w:r>
          </w:p>
          <w:p w14:paraId="4184C862">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基本满足项目需求的得5分</w:t>
            </w:r>
            <w:r>
              <w:rPr>
                <w:rFonts w:hint="eastAsia" w:ascii="宋体" w:hAnsi="宋体" w:cs="宋体"/>
                <w:color w:val="auto"/>
                <w:sz w:val="24"/>
                <w:highlight w:val="none"/>
                <w:lang w:val="en-US" w:eastAsia="zh-CN"/>
              </w:rPr>
              <w:t>；</w:t>
            </w:r>
          </w:p>
          <w:p w14:paraId="3B264072">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sz w:val="24"/>
              </w:rPr>
              <w:t>不满足或无此项内容的本项不得分。</w:t>
            </w:r>
          </w:p>
          <w:p w14:paraId="4499CA82">
            <w:pPr>
              <w:keepNext w:val="0"/>
              <w:keepLines w:val="0"/>
              <w:pageBreakBefore w:val="0"/>
              <w:numPr>
                <w:ilvl w:val="0"/>
                <w:numId w:val="0"/>
              </w:numPr>
              <w:spacing w:line="420" w:lineRule="exact"/>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6、文明施工及环境保护方案（</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r>
              <w:rPr>
                <w:rFonts w:hint="eastAsia" w:ascii="宋体" w:hAnsi="宋体" w:eastAsia="宋体" w:cs="宋体"/>
                <w:color w:val="auto"/>
                <w:sz w:val="24"/>
                <w:highlight w:val="none"/>
              </w:rPr>
              <w:t>：根据投标供应商提供的文明施工及环境保护方案进行评审，包括但不限于：①文明施工措施；②安全管理规定；③现场用电安全措施、噪声治理方案、施工固体废弃物的处置措施等；④事故与火灾预防等方面内容</w:t>
            </w:r>
            <w:r>
              <w:rPr>
                <w:rFonts w:hint="eastAsia" w:ascii="宋体" w:hAnsi="宋体" w:eastAsia="宋体" w:cs="宋体"/>
                <w:color w:val="auto"/>
                <w:sz w:val="24"/>
                <w:highlight w:val="none"/>
                <w:lang w:val="en-US" w:eastAsia="zh-CN"/>
              </w:rPr>
              <w:t>进行综合评审</w:t>
            </w:r>
            <w:r>
              <w:rPr>
                <w:rFonts w:hint="eastAsia" w:ascii="宋体" w:hAnsi="宋体" w:eastAsia="宋体" w:cs="宋体"/>
                <w:color w:val="auto"/>
                <w:sz w:val="24"/>
                <w:highlight w:val="none"/>
              </w:rPr>
              <w:t>。</w:t>
            </w:r>
          </w:p>
          <w:p w14:paraId="7B66FE48">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优于满足项目需求的得6分</w:t>
            </w:r>
            <w:r>
              <w:rPr>
                <w:rFonts w:hint="eastAsia" w:ascii="宋体" w:hAnsi="宋体" w:cs="宋体"/>
                <w:color w:val="auto"/>
                <w:sz w:val="24"/>
                <w:highlight w:val="none"/>
                <w:lang w:val="en-US" w:eastAsia="zh-CN"/>
              </w:rPr>
              <w:t>；</w:t>
            </w:r>
          </w:p>
          <w:p w14:paraId="7E9E69D2">
            <w:pPr>
              <w:keepNext w:val="0"/>
              <w:keepLines w:val="0"/>
              <w:pageBreakBefore w:val="0"/>
              <w:numPr>
                <w:ilvl w:val="0"/>
                <w:numId w:val="0"/>
              </w:numPr>
              <w:spacing w:line="42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基本满足项目需求的得5分</w:t>
            </w:r>
            <w:r>
              <w:rPr>
                <w:rFonts w:hint="eastAsia" w:ascii="宋体" w:hAnsi="宋体" w:cs="宋体"/>
                <w:color w:val="auto"/>
                <w:sz w:val="24"/>
                <w:highlight w:val="none"/>
                <w:lang w:val="en-US" w:eastAsia="zh-CN"/>
              </w:rPr>
              <w:t>；</w:t>
            </w:r>
          </w:p>
          <w:p w14:paraId="555737D4">
            <w:pPr>
              <w:keepNext w:val="0"/>
              <w:keepLines w:val="0"/>
              <w:pageBreakBefore w:val="0"/>
              <w:numPr>
                <w:ilvl w:val="0"/>
                <w:numId w:val="0"/>
              </w:numPr>
              <w:spacing w:line="420" w:lineRule="exact"/>
              <w:jc w:val="left"/>
              <w:rPr>
                <w:rFonts w:hint="eastAsia" w:ascii="宋体" w:hAnsi="宋体" w:eastAsia="宋体" w:cs="宋体"/>
                <w:sz w:val="24"/>
              </w:rPr>
            </w:pPr>
            <w:r>
              <w:rPr>
                <w:rFonts w:hint="eastAsia" w:ascii="宋体" w:hAnsi="宋体" w:eastAsia="宋体" w:cs="宋体"/>
                <w:sz w:val="24"/>
              </w:rPr>
              <w:t>不满足或无此项内容的本项不得分。</w:t>
            </w:r>
          </w:p>
          <w:p w14:paraId="600AA2FA">
            <w:pPr>
              <w:keepNext w:val="0"/>
              <w:keepLines w:val="0"/>
              <w:pageBreakBefore w:val="0"/>
              <w:numPr>
                <w:ilvl w:val="0"/>
                <w:numId w:val="0"/>
              </w:numPr>
              <w:spacing w:line="420" w:lineRule="exact"/>
              <w:jc w:val="left"/>
              <w:rPr>
                <w:rFonts w:hint="eastAsia"/>
                <w:lang w:val="en-US" w:eastAsia="zh-CN"/>
              </w:rPr>
            </w:pPr>
            <w:r>
              <w:rPr>
                <w:rFonts w:hint="eastAsia" w:ascii="宋体" w:hAnsi="宋体" w:eastAsia="宋体" w:cs="宋体"/>
                <w:b/>
                <w:bCs/>
                <w:color w:val="auto"/>
                <w:sz w:val="24"/>
                <w:highlight w:val="none"/>
                <w:lang w:val="en-US" w:eastAsia="zh-CN"/>
              </w:rPr>
              <w:t>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75E46DFD">
      <w:pPr>
        <w:pStyle w:val="35"/>
        <w:spacing w:beforeAutospacing="0" w:afterAutospacing="0"/>
        <w:jc w:val="center"/>
        <w:rPr>
          <w:color w:val="000000" w:themeColor="text1"/>
          <w:highlight w:val="none"/>
          <w14:textFill>
            <w14:solidFill>
              <w14:schemeClr w14:val="tx1"/>
            </w14:solidFill>
          </w14:textFill>
        </w:rPr>
      </w:pPr>
      <w:bookmarkStart w:id="137" w:name="_Hlt26671244"/>
      <w:bookmarkStart w:id="138" w:name="_Toc26554094"/>
      <w:bookmarkStart w:id="139" w:name="_Hlt26955039"/>
    </w:p>
    <w:p w14:paraId="377BDC77">
      <w:pPr>
        <w:pStyle w:val="35"/>
        <w:spacing w:beforeAutospacing="0" w:afterAutospacing="0"/>
        <w:jc w:val="center"/>
        <w:rPr>
          <w:rFonts w:hint="eastAsia"/>
          <w:color w:val="000000" w:themeColor="text1"/>
          <w:highlight w:val="none"/>
          <w14:textFill>
            <w14:solidFill>
              <w14:schemeClr w14:val="tx1"/>
            </w14:solidFill>
          </w14:textFill>
        </w:rPr>
      </w:pPr>
    </w:p>
    <w:p w14:paraId="277EF8D8">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61B95631">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148D532E">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68685126">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3C295C1B">
      <w:pPr>
        <w:pStyle w:val="35"/>
        <w:keepNext/>
        <w:spacing w:beforeAutospacing="0" w:afterAutospacing="0"/>
        <w:jc w:val="both"/>
        <w:rPr>
          <w:rFonts w:hint="eastAsia" w:ascii="黑体" w:eastAsia="黑体" w:cs="黑体"/>
          <w:color w:val="000000" w:themeColor="text1"/>
          <w:sz w:val="44"/>
          <w:szCs w:val="44"/>
          <w:highlight w:val="none"/>
          <w14:textFill>
            <w14:solidFill>
              <w14:schemeClr w14:val="tx1"/>
            </w14:solidFill>
          </w14:textFill>
        </w:rPr>
      </w:pPr>
    </w:p>
    <w:p w14:paraId="06FE6DAF">
      <w:pPr>
        <w:pStyle w:val="35"/>
        <w:keepNext/>
        <w:spacing w:beforeAutospacing="0" w:afterAutospacing="0"/>
        <w:jc w:val="both"/>
        <w:rPr>
          <w:rFonts w:hint="eastAsia" w:ascii="黑体" w:eastAsia="黑体" w:cs="黑体"/>
          <w:color w:val="000000" w:themeColor="text1"/>
          <w:sz w:val="44"/>
          <w:szCs w:val="44"/>
          <w:highlight w:val="none"/>
          <w14:textFill>
            <w14:solidFill>
              <w14:schemeClr w14:val="tx1"/>
            </w14:solidFill>
          </w14:textFill>
        </w:rPr>
      </w:pPr>
    </w:p>
    <w:p w14:paraId="62EBF9B4">
      <w:pPr>
        <w:pStyle w:val="35"/>
        <w:keepNext/>
        <w:spacing w:beforeAutospacing="0" w:afterAutospacing="0"/>
        <w:jc w:val="both"/>
        <w:rPr>
          <w:rFonts w:hint="eastAsia" w:ascii="黑体" w:eastAsia="黑体" w:cs="黑体"/>
          <w:color w:val="000000" w:themeColor="text1"/>
          <w:sz w:val="44"/>
          <w:szCs w:val="44"/>
          <w:highlight w:val="none"/>
          <w14:textFill>
            <w14:solidFill>
              <w14:schemeClr w14:val="tx1"/>
            </w14:solidFill>
          </w14:textFill>
        </w:rPr>
      </w:pPr>
    </w:p>
    <w:p w14:paraId="33E71A3A">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6B99FE82">
      <w:pPr>
        <w:pStyle w:val="35"/>
        <w:spacing w:beforeAutospacing="0" w:afterAutospacing="0" w:line="0" w:lineRule="atLeast"/>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801690C">
      <w:pPr>
        <w:pStyle w:val="35"/>
        <w:spacing w:beforeAutospacing="0" w:afterAutospacing="0" w:line="0" w:lineRule="atLeast"/>
        <w:jc w:val="center"/>
        <w:rPr>
          <w:rFonts w:hint="eastAsia"/>
          <w:b/>
          <w:color w:val="000000" w:themeColor="text1"/>
          <w:sz w:val="32"/>
          <w:szCs w:val="32"/>
          <w:highlight w:val="none"/>
          <w14:textFill>
            <w14:solidFill>
              <w14:schemeClr w14:val="tx1"/>
            </w14:solidFill>
          </w14:textFill>
        </w:rPr>
      </w:pPr>
    </w:p>
    <w:bookmarkEnd w:id="137"/>
    <w:bookmarkEnd w:id="138"/>
    <w:bookmarkEnd w:id="139"/>
    <w:p w14:paraId="5EA7CA34">
      <w:pPr>
        <w:pStyle w:val="35"/>
        <w:keepNext/>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ascii="黑体" w:eastAsia="黑体" w:cs="黑体"/>
          <w:b/>
          <w:bCs/>
          <w:color w:val="000000" w:themeColor="text1"/>
          <w:sz w:val="44"/>
          <w:szCs w:val="44"/>
          <w:highlight w:val="none"/>
          <w14:textFill>
            <w14:solidFill>
              <w14:schemeClr w14:val="tx1"/>
            </w14:solidFill>
          </w14:textFill>
        </w:rPr>
      </w:pPr>
    </w:p>
    <w:p w14:paraId="04D7270F">
      <w:pPr>
        <w:pStyle w:val="35"/>
        <w:keepNext/>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ascii="黑体" w:eastAsia="黑体" w:cs="黑体"/>
          <w:b/>
          <w:bCs/>
          <w:color w:val="000000" w:themeColor="text1"/>
          <w:sz w:val="44"/>
          <w:szCs w:val="44"/>
          <w:highlight w:val="none"/>
          <w14:textFill>
            <w14:solidFill>
              <w14:schemeClr w14:val="tx1"/>
            </w14:solidFill>
          </w14:textFill>
        </w:rPr>
      </w:pPr>
      <w:r>
        <w:rPr>
          <w:rFonts w:hint="eastAsia" w:ascii="黑体" w:eastAsia="黑体" w:cs="黑体"/>
          <w:b/>
          <w:bCs/>
          <w:color w:val="000000" w:themeColor="text1"/>
          <w:sz w:val="44"/>
          <w:szCs w:val="44"/>
          <w:highlight w:val="none"/>
          <w14:textFill>
            <w14:solidFill>
              <w14:schemeClr w14:val="tx1"/>
            </w14:solidFill>
          </w14:textFill>
        </w:rPr>
        <w:t>第六章  响应文件格式</w:t>
      </w:r>
    </w:p>
    <w:p w14:paraId="449AA8FB">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1BF0B405">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2106E9BD">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34502D1D">
      <w:pPr>
        <w:pStyle w:val="35"/>
        <w:keepNext/>
        <w:spacing w:beforeAutospacing="0" w:afterAutospacing="0"/>
        <w:jc w:val="center"/>
        <w:rPr>
          <w:rFonts w:hint="eastAsia" w:ascii="黑体" w:eastAsia="黑体" w:cs="黑体"/>
          <w:color w:val="000000" w:themeColor="text1"/>
          <w:sz w:val="44"/>
          <w:szCs w:val="44"/>
          <w:highlight w:val="none"/>
          <w14:textFill>
            <w14:solidFill>
              <w14:schemeClr w14:val="tx1"/>
            </w14:solidFill>
          </w14:textFill>
        </w:rPr>
      </w:pPr>
    </w:p>
    <w:p w14:paraId="73908033">
      <w:pPr>
        <w:pStyle w:val="35"/>
        <w:spacing w:beforeAutospacing="0" w:afterAutospacing="0"/>
        <w:jc w:val="center"/>
        <w:rPr>
          <w:rFonts w:hint="eastAsia"/>
          <w:color w:val="000000" w:themeColor="text1"/>
          <w:highlight w:val="none"/>
          <w14:textFill>
            <w14:solidFill>
              <w14:schemeClr w14:val="tx1"/>
            </w14:solidFill>
          </w14:textFill>
        </w:rPr>
      </w:pPr>
      <w:bookmarkStart w:id="140" w:name="_Toc120614282"/>
      <w:bookmarkEnd w:id="140"/>
      <w:bookmarkStart w:id="141" w:name="_Toc49090576"/>
      <w:bookmarkEnd w:id="141"/>
      <w:r>
        <w:rPr>
          <w:rFonts w:hint="eastAsia"/>
          <w:b/>
          <w:color w:val="000000" w:themeColor="text1"/>
          <w:sz w:val="72"/>
          <w:szCs w:val="72"/>
          <w:highlight w:val="none"/>
          <w14:textFill>
            <w14:solidFill>
              <w14:schemeClr w14:val="tx1"/>
            </w14:solidFill>
          </w14:textFill>
        </w:rPr>
        <w:t>响  应  文  件</w:t>
      </w:r>
    </w:p>
    <w:p w14:paraId="188BC92A">
      <w:pPr>
        <w:pStyle w:val="35"/>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ECD7DAB">
      <w:pPr>
        <w:pStyle w:val="35"/>
        <w:spacing w:beforeAutospacing="0" w:afterAutospacing="0"/>
        <w:jc w:val="center"/>
        <w:rPr>
          <w:color w:val="000000" w:themeColor="text1"/>
          <w:highlight w:val="none"/>
          <w14:textFill>
            <w14:solidFill>
              <w14:schemeClr w14:val="tx1"/>
            </w14:solidFill>
          </w14:textFill>
        </w:rPr>
      </w:pPr>
    </w:p>
    <w:p w14:paraId="40F24285">
      <w:pPr>
        <w:pStyle w:val="35"/>
        <w:spacing w:beforeAutospacing="0" w:afterAutospacing="0"/>
        <w:jc w:val="center"/>
        <w:rPr>
          <w:color w:val="000000" w:themeColor="text1"/>
          <w:highlight w:val="none"/>
          <w14:textFill>
            <w14:solidFill>
              <w14:schemeClr w14:val="tx1"/>
            </w14:solidFill>
          </w14:textFill>
        </w:rPr>
      </w:pPr>
    </w:p>
    <w:p w14:paraId="68CE905B">
      <w:pPr>
        <w:pStyle w:val="35"/>
        <w:spacing w:beforeAutospacing="0" w:afterAutospacing="0"/>
        <w:jc w:val="center"/>
        <w:rPr>
          <w:rFonts w:hint="eastAsia"/>
          <w:color w:val="000000" w:themeColor="text1"/>
          <w:highlight w:val="none"/>
          <w14:textFill>
            <w14:solidFill>
              <w14:schemeClr w14:val="tx1"/>
            </w14:solidFill>
          </w14:textFill>
        </w:rPr>
      </w:pPr>
    </w:p>
    <w:p w14:paraId="4C2B3C21">
      <w:pPr>
        <w:pStyle w:val="35"/>
        <w:spacing w:beforeAutospacing="0" w:afterAutospacing="0"/>
        <w:ind w:firstLine="1084"/>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 目名 称：</w:t>
      </w:r>
      <w:r>
        <w:rPr>
          <w:rFonts w:hint="eastAsia"/>
          <w:b/>
          <w:color w:val="000000" w:themeColor="text1"/>
          <w:sz w:val="36"/>
          <w:szCs w:val="36"/>
          <w:highlight w:val="none"/>
          <w:u w:val="single"/>
          <w14:textFill>
            <w14:solidFill>
              <w14:schemeClr w14:val="tx1"/>
            </w14:solidFill>
          </w14:textFill>
        </w:rPr>
        <w:t xml:space="preserve">               </w:t>
      </w:r>
    </w:p>
    <w:p w14:paraId="473FFBDE">
      <w:pPr>
        <w:pStyle w:val="35"/>
        <w:spacing w:beforeAutospacing="0" w:afterAutospacing="0"/>
        <w:ind w:firstLine="1084"/>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 目编 号：</w:t>
      </w:r>
      <w:r>
        <w:rPr>
          <w:rFonts w:hint="eastAsia"/>
          <w:b/>
          <w:color w:val="000000" w:themeColor="text1"/>
          <w:sz w:val="36"/>
          <w:szCs w:val="36"/>
          <w:highlight w:val="none"/>
          <w:u w:val="single"/>
          <w14:textFill>
            <w14:solidFill>
              <w14:schemeClr w14:val="tx1"/>
            </w14:solidFill>
          </w14:textFill>
        </w:rPr>
        <w:t xml:space="preserve">               </w:t>
      </w:r>
    </w:p>
    <w:p w14:paraId="20CC45BA">
      <w:pPr>
        <w:pStyle w:val="35"/>
        <w:spacing w:beforeAutospacing="0" w:afterAutospacing="0"/>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供应商名称 ：</w:t>
      </w:r>
      <w:r>
        <w:rPr>
          <w:rFonts w:hint="eastAsia"/>
          <w:b/>
          <w:color w:val="000000" w:themeColor="text1"/>
          <w:sz w:val="36"/>
          <w:szCs w:val="36"/>
          <w:highlight w:val="none"/>
          <w:u w:val="single"/>
          <w14:textFill>
            <w14:solidFill>
              <w14:schemeClr w14:val="tx1"/>
            </w14:solidFill>
          </w14:textFill>
        </w:rPr>
        <w:t>（加盖CA电子公章）</w:t>
      </w:r>
    </w:p>
    <w:p w14:paraId="60FB0C59">
      <w:pPr>
        <w:pStyle w:val="35"/>
        <w:spacing w:beforeAutospacing="0" w:afterAutospacing="0"/>
        <w:jc w:val="both"/>
        <w:rPr>
          <w:rFonts w:hint="eastAsia"/>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日   期 ：</w:t>
      </w:r>
      <w:r>
        <w:rPr>
          <w:rFonts w:hint="eastAsia"/>
          <w:b/>
          <w:color w:val="000000" w:themeColor="text1"/>
          <w:sz w:val="36"/>
          <w:szCs w:val="36"/>
          <w:highlight w:val="none"/>
          <w:u w:val="single"/>
          <w14:textFill>
            <w14:solidFill>
              <w14:schemeClr w14:val="tx1"/>
            </w14:solidFill>
          </w14:textFill>
        </w:rPr>
        <w:t>           </w:t>
      </w:r>
    </w:p>
    <w:p w14:paraId="11925881">
      <w:pPr>
        <w:pStyle w:val="35"/>
        <w:widowControl w:val="0"/>
        <w:spacing w:before="0" w:beforeAutospacing="0" w:after="0" w:afterAutospacing="0" w:line="0" w:lineRule="atLeast"/>
        <w:jc w:val="center"/>
        <w:rPr>
          <w:rFonts w:hint="eastAsia"/>
          <w:b/>
          <w:color w:val="000000"/>
          <w:sz w:val="32"/>
          <w:szCs w:val="32"/>
          <w:highlight w:val="none"/>
        </w:rPr>
      </w:pPr>
    </w:p>
    <w:p w14:paraId="02207D19">
      <w:pPr>
        <w:pStyle w:val="35"/>
        <w:widowControl w:val="0"/>
        <w:spacing w:before="0" w:beforeAutospacing="0" w:after="0" w:afterAutospacing="0" w:line="0" w:lineRule="atLeast"/>
        <w:jc w:val="center"/>
        <w:rPr>
          <w:rFonts w:hint="eastAsia"/>
          <w:b/>
          <w:color w:val="000000"/>
          <w:sz w:val="32"/>
          <w:szCs w:val="32"/>
          <w:highlight w:val="none"/>
        </w:rPr>
      </w:pPr>
    </w:p>
    <w:p w14:paraId="6657259B">
      <w:pPr>
        <w:pStyle w:val="35"/>
        <w:widowControl w:val="0"/>
        <w:spacing w:before="0" w:beforeAutospacing="0" w:after="0" w:afterAutospacing="0" w:line="0" w:lineRule="atLeast"/>
        <w:jc w:val="center"/>
        <w:rPr>
          <w:rFonts w:hint="eastAsia"/>
          <w:b/>
          <w:color w:val="000000"/>
          <w:sz w:val="32"/>
          <w:szCs w:val="32"/>
          <w:highlight w:val="none"/>
        </w:rPr>
      </w:pPr>
    </w:p>
    <w:p w14:paraId="38336A9C">
      <w:pPr>
        <w:pStyle w:val="35"/>
        <w:widowControl w:val="0"/>
        <w:spacing w:before="0" w:beforeAutospacing="0" w:after="0" w:afterAutospacing="0" w:line="0" w:lineRule="atLeast"/>
        <w:jc w:val="center"/>
        <w:rPr>
          <w:rFonts w:hint="eastAsia"/>
          <w:b/>
          <w:color w:val="000000"/>
          <w:sz w:val="32"/>
          <w:szCs w:val="32"/>
          <w:highlight w:val="none"/>
        </w:rPr>
      </w:pPr>
    </w:p>
    <w:p w14:paraId="160C9381">
      <w:pPr>
        <w:pStyle w:val="35"/>
        <w:widowControl w:val="0"/>
        <w:spacing w:before="0" w:beforeAutospacing="0" w:after="0" w:afterAutospacing="0" w:line="0" w:lineRule="atLeast"/>
        <w:jc w:val="center"/>
        <w:rPr>
          <w:rFonts w:hint="eastAsia"/>
          <w:b/>
          <w:color w:val="000000"/>
          <w:sz w:val="32"/>
          <w:szCs w:val="32"/>
          <w:highlight w:val="none"/>
        </w:rPr>
      </w:pPr>
    </w:p>
    <w:p w14:paraId="120F366F">
      <w:pPr>
        <w:pStyle w:val="35"/>
        <w:widowControl w:val="0"/>
        <w:spacing w:before="0" w:beforeAutospacing="0" w:after="0" w:afterAutospacing="0" w:line="0" w:lineRule="atLeast"/>
        <w:jc w:val="center"/>
        <w:rPr>
          <w:rFonts w:hint="eastAsia"/>
          <w:b/>
          <w:color w:val="000000"/>
          <w:sz w:val="32"/>
          <w:szCs w:val="32"/>
          <w:highlight w:val="none"/>
        </w:rPr>
      </w:pPr>
    </w:p>
    <w:p w14:paraId="7E86A39E">
      <w:pPr>
        <w:pStyle w:val="35"/>
        <w:widowControl w:val="0"/>
        <w:spacing w:before="0" w:beforeAutospacing="0" w:after="0" w:afterAutospacing="0" w:line="0" w:lineRule="atLeast"/>
        <w:jc w:val="center"/>
        <w:rPr>
          <w:rFonts w:hint="eastAsia"/>
          <w:b/>
          <w:color w:val="000000"/>
          <w:sz w:val="32"/>
          <w:szCs w:val="32"/>
          <w:highlight w:val="none"/>
        </w:rPr>
      </w:pPr>
    </w:p>
    <w:p w14:paraId="36E243D8">
      <w:pPr>
        <w:pStyle w:val="35"/>
        <w:widowControl w:val="0"/>
        <w:spacing w:before="0" w:beforeAutospacing="0" w:after="0" w:afterAutospacing="0" w:line="0" w:lineRule="atLeast"/>
        <w:jc w:val="center"/>
        <w:rPr>
          <w:rFonts w:hint="eastAsia"/>
          <w:b/>
          <w:color w:val="000000"/>
          <w:sz w:val="32"/>
          <w:szCs w:val="32"/>
          <w:highlight w:val="none"/>
        </w:rPr>
      </w:pPr>
    </w:p>
    <w:p w14:paraId="262EDEEA">
      <w:pPr>
        <w:pStyle w:val="35"/>
        <w:widowControl w:val="0"/>
        <w:spacing w:before="0" w:beforeAutospacing="0" w:after="0" w:afterAutospacing="0" w:line="0" w:lineRule="atLeast"/>
        <w:jc w:val="center"/>
        <w:rPr>
          <w:rFonts w:hint="eastAsia"/>
          <w:b/>
          <w:color w:val="000000"/>
          <w:sz w:val="32"/>
          <w:szCs w:val="32"/>
          <w:highlight w:val="none"/>
        </w:rPr>
      </w:pPr>
    </w:p>
    <w:p w14:paraId="6ED6B178">
      <w:pPr>
        <w:pStyle w:val="35"/>
        <w:widowControl w:val="0"/>
        <w:spacing w:before="0" w:beforeAutospacing="0" w:after="0" w:afterAutospacing="0" w:line="0" w:lineRule="atLeast"/>
        <w:jc w:val="center"/>
        <w:rPr>
          <w:rFonts w:hint="eastAsia"/>
          <w:highlight w:val="none"/>
        </w:rPr>
      </w:pPr>
      <w:r>
        <w:rPr>
          <w:rFonts w:hint="eastAsia"/>
          <w:b/>
          <w:color w:val="000000"/>
          <w:sz w:val="32"/>
          <w:szCs w:val="32"/>
          <w:highlight w:val="none"/>
        </w:rPr>
        <w:t>响应文件目录</w:t>
      </w:r>
    </w:p>
    <w:p w14:paraId="29B7C7B3">
      <w:pPr>
        <w:pStyle w:val="35"/>
        <w:widowControl w:val="0"/>
        <w:spacing w:before="0" w:beforeAutospacing="0" w:after="0" w:afterAutospacing="0" w:line="0" w:lineRule="atLeast"/>
        <w:jc w:val="center"/>
        <w:rPr>
          <w:rFonts w:hint="eastAsia"/>
          <w:highlight w:val="none"/>
        </w:rPr>
      </w:pPr>
    </w:p>
    <w:p w14:paraId="3C6F7E33">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i/>
          <w:color w:val="000000"/>
          <w:highlight w:val="none"/>
          <w:u w:val="single"/>
        </w:rPr>
        <w:t>一、法人或者其他组织的营业执照等证明文件，自然人的身份证明</w:t>
      </w:r>
    </w:p>
    <w:p w14:paraId="4A6FF559">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二、上一年度的财务状况报表</w:t>
      </w:r>
      <w:r>
        <w:rPr>
          <w:rFonts w:hint="eastAsia" w:eastAsia="宋体" w:cs="宋体"/>
          <w:i/>
          <w:u w:val="single"/>
        </w:rPr>
        <w:t>（至少提供资产负债表、利润表、现金流量表，磋商供应商成立不满一年无需提供）</w:t>
      </w:r>
      <w:r>
        <w:rPr>
          <w:rFonts w:hint="eastAsia" w:ascii="宋体" w:hAnsi="宋体" w:eastAsia="宋体" w:cs="宋体"/>
          <w:i/>
          <w:color w:val="000000"/>
          <w:highlight w:val="none"/>
          <w:u w:val="single"/>
        </w:rPr>
        <w:t>；</w:t>
      </w:r>
    </w:p>
    <w:p w14:paraId="62A8BAE3">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三、具备履行合同所必需的设备和专业技术能力的书面声明</w:t>
      </w:r>
    </w:p>
    <w:p w14:paraId="70EFE4FF">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i/>
          <w:color w:val="000000"/>
          <w:highlight w:val="none"/>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8411587">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i/>
          <w:color w:val="000000"/>
          <w:highlight w:val="none"/>
          <w:u w:val="single"/>
        </w:rPr>
        <w:t>五、参加政府采购活动前 3 年内在经营活动中没有重大违法记录的书面声明</w:t>
      </w:r>
    </w:p>
    <w:p w14:paraId="63CB48CC">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i/>
          <w:color w:val="000000"/>
          <w:highlight w:val="none"/>
          <w:u w:val="single"/>
        </w:rPr>
        <w:t>六、特定资格要求的证明文件（如果本项目设置特定资格要求，则需要提供）</w:t>
      </w:r>
    </w:p>
    <w:p w14:paraId="0DE81DF9">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i/>
          <w:color w:val="000000"/>
          <w:highlight w:val="none"/>
          <w:u w:val="single"/>
        </w:rPr>
        <w:t>七、法人授权书</w:t>
      </w:r>
    </w:p>
    <w:p w14:paraId="5D8E8BD2">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i/>
          <w:color w:val="000000"/>
          <w:highlight w:val="none"/>
          <w:u w:val="single"/>
        </w:rPr>
        <w:t>八、磋商响应函</w:t>
      </w:r>
    </w:p>
    <w:p w14:paraId="001B2590">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color w:val="000000"/>
          <w:highlight w:val="none"/>
        </w:rPr>
        <w:t>九、中小企业声明函</w:t>
      </w:r>
    </w:p>
    <w:p w14:paraId="678F7D6B">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highlight w:val="none"/>
        </w:rPr>
      </w:pPr>
      <w:r>
        <w:rPr>
          <w:rFonts w:hint="eastAsia" w:ascii="宋体" w:hAnsi="宋体" w:eastAsia="宋体" w:cs="宋体"/>
          <w:color w:val="000000"/>
          <w:highlight w:val="none"/>
        </w:rPr>
        <w:t>十、残疾人福利性单位声明函</w:t>
      </w:r>
    </w:p>
    <w:p w14:paraId="48766B3A">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highlight w:val="none"/>
        </w:rPr>
        <w:t>十</w:t>
      </w:r>
      <w:r>
        <w:rPr>
          <w:rFonts w:hint="eastAsia" w:ascii="宋体" w:hAnsi="宋体" w:eastAsia="宋体" w:cs="宋体"/>
          <w:highlight w:val="none"/>
          <w:lang w:val="en-US" w:eastAsia="zh-CN"/>
        </w:rPr>
        <w:t>一</w:t>
      </w:r>
      <w:r>
        <w:rPr>
          <w:rFonts w:hint="eastAsia" w:ascii="宋体" w:hAnsi="宋体" w:eastAsia="宋体" w:cs="宋体"/>
          <w:highlight w:val="none"/>
        </w:rPr>
        <w:t>、已标价工程量清单</w:t>
      </w:r>
    </w:p>
    <w:p w14:paraId="516C87DD">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val="en-US" w:eastAsia="zh-CN"/>
        </w:rPr>
        <w:t>二</w:t>
      </w:r>
      <w:r>
        <w:rPr>
          <w:rFonts w:hint="eastAsia" w:ascii="宋体" w:hAnsi="宋体" w:eastAsia="宋体" w:cs="宋体"/>
          <w:i w:val="0"/>
          <w:iCs/>
          <w:color w:val="auto"/>
          <w:sz w:val="24"/>
          <w:szCs w:val="24"/>
          <w:highlight w:val="none"/>
          <w:u w:val="none"/>
        </w:rPr>
        <w:t>、技术要求响应及偏离表</w:t>
      </w:r>
    </w:p>
    <w:p w14:paraId="7BAE78CE">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val="en-US" w:eastAsia="zh-CN"/>
        </w:rPr>
        <w:t>三</w:t>
      </w:r>
      <w:r>
        <w:rPr>
          <w:rFonts w:hint="eastAsia" w:ascii="宋体" w:hAnsi="宋体" w:eastAsia="宋体" w:cs="宋体"/>
          <w:i w:val="0"/>
          <w:iCs/>
          <w:color w:val="auto"/>
          <w:sz w:val="24"/>
          <w:szCs w:val="24"/>
          <w:highlight w:val="none"/>
          <w:u w:val="none"/>
        </w:rPr>
        <w:t>、商务要求响应及偏离表</w:t>
      </w:r>
    </w:p>
    <w:p w14:paraId="48EFFF5A">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rPr>
        <w:t>十</w:t>
      </w:r>
      <w:r>
        <w:rPr>
          <w:rFonts w:hint="eastAsia" w:ascii="宋体" w:hAnsi="宋体" w:eastAsia="宋体" w:cs="宋体"/>
          <w:i w:val="0"/>
          <w:iCs/>
          <w:color w:val="000000"/>
          <w:sz w:val="24"/>
          <w:szCs w:val="24"/>
          <w:highlight w:val="none"/>
          <w:u w:val="none"/>
          <w:lang w:val="en-US" w:eastAsia="zh-CN"/>
        </w:rPr>
        <w:t>四</w:t>
      </w:r>
      <w:r>
        <w:rPr>
          <w:rFonts w:hint="eastAsia" w:ascii="宋体" w:hAnsi="宋体" w:eastAsia="宋体" w:cs="宋体"/>
          <w:i w:val="0"/>
          <w:iCs/>
          <w:color w:val="000000"/>
          <w:sz w:val="24"/>
          <w:szCs w:val="24"/>
          <w:highlight w:val="none"/>
          <w:u w:val="none"/>
        </w:rPr>
        <w:t>、</w:t>
      </w:r>
      <w:r>
        <w:rPr>
          <w:rFonts w:hint="eastAsia" w:ascii="宋体" w:hAnsi="宋体" w:eastAsia="宋体" w:cs="宋体"/>
          <w:i w:val="0"/>
          <w:iCs/>
          <w:color w:val="000000"/>
          <w:sz w:val="24"/>
          <w:szCs w:val="24"/>
          <w:highlight w:val="none"/>
          <w:u w:val="none"/>
          <w:lang w:val="en-US" w:eastAsia="zh-CN"/>
        </w:rPr>
        <w:t>磋商报价表</w:t>
      </w:r>
    </w:p>
    <w:p w14:paraId="26065437">
      <w:pPr>
        <w:keepNext w:val="0"/>
        <w:keepLines w:val="0"/>
        <w:pageBreakBefore w:val="0"/>
        <w:widowControl/>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i w:val="0"/>
          <w:iCs/>
          <w:color w:val="auto"/>
          <w:kern w:val="0"/>
          <w:sz w:val="24"/>
          <w:szCs w:val="24"/>
          <w:highlight w:val="none"/>
          <w:u w:val="none"/>
        </w:rPr>
      </w:pPr>
      <w:r>
        <w:rPr>
          <w:rFonts w:hint="eastAsia" w:ascii="宋体" w:hAnsi="宋体" w:eastAsia="宋体" w:cs="宋体"/>
          <w:i w:val="0"/>
          <w:iCs/>
          <w:color w:val="auto"/>
          <w:kern w:val="0"/>
          <w:sz w:val="24"/>
          <w:szCs w:val="24"/>
          <w:highlight w:val="none"/>
          <w:u w:val="none"/>
        </w:rPr>
        <w:t>十</w:t>
      </w:r>
      <w:r>
        <w:rPr>
          <w:rFonts w:hint="eastAsia" w:ascii="宋体" w:hAnsi="宋体" w:eastAsia="宋体" w:cs="宋体"/>
          <w:i w:val="0"/>
          <w:iCs/>
          <w:color w:val="auto"/>
          <w:kern w:val="0"/>
          <w:sz w:val="24"/>
          <w:szCs w:val="24"/>
          <w:highlight w:val="none"/>
          <w:u w:val="none"/>
          <w:lang w:val="en-US" w:eastAsia="zh-CN"/>
        </w:rPr>
        <w:t>五</w:t>
      </w:r>
      <w:r>
        <w:rPr>
          <w:rFonts w:hint="eastAsia" w:ascii="宋体" w:hAnsi="宋体" w:eastAsia="宋体" w:cs="宋体"/>
          <w:i w:val="0"/>
          <w:iCs/>
          <w:color w:val="auto"/>
          <w:kern w:val="0"/>
          <w:sz w:val="24"/>
          <w:szCs w:val="24"/>
          <w:highlight w:val="none"/>
          <w:u w:val="none"/>
        </w:rPr>
        <w:t>、</w:t>
      </w:r>
      <w:r>
        <w:rPr>
          <w:rFonts w:hint="eastAsia" w:ascii="宋体" w:hAnsi="宋体" w:eastAsia="宋体" w:cs="宋体"/>
          <w:i w:val="0"/>
          <w:iCs/>
          <w:color w:val="auto"/>
          <w:kern w:val="0"/>
          <w:sz w:val="24"/>
          <w:szCs w:val="24"/>
          <w:highlight w:val="none"/>
          <w:u w:val="none"/>
          <w:lang w:val="en-US" w:eastAsia="zh-CN" w:bidi="ar-SA"/>
        </w:rPr>
        <w:t>施工方案</w:t>
      </w:r>
    </w:p>
    <w:p w14:paraId="660B8D16">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十</w:t>
      </w:r>
      <w:r>
        <w:rPr>
          <w:rFonts w:hint="eastAsia" w:ascii="宋体" w:hAnsi="宋体" w:eastAsia="宋体" w:cs="宋体"/>
          <w:i w:val="0"/>
          <w:iCs/>
          <w:color w:val="auto"/>
          <w:sz w:val="24"/>
          <w:szCs w:val="24"/>
          <w:highlight w:val="none"/>
          <w:u w:val="none"/>
          <w:lang w:val="en-US" w:eastAsia="zh-CN"/>
        </w:rPr>
        <w:t>六</w:t>
      </w:r>
      <w:r>
        <w:rPr>
          <w:rFonts w:hint="eastAsia" w:ascii="宋体" w:hAnsi="宋体" w:eastAsia="宋体" w:cs="宋体"/>
          <w:i w:val="0"/>
          <w:iCs/>
          <w:color w:val="auto"/>
          <w:sz w:val="24"/>
          <w:szCs w:val="24"/>
          <w:highlight w:val="none"/>
          <w:u w:val="none"/>
        </w:rPr>
        <w:t>、盐城市亭湖区政府采购事前信用承诺书</w:t>
      </w:r>
    </w:p>
    <w:p w14:paraId="718C176B">
      <w:pPr>
        <w:pStyle w:val="14"/>
        <w:rPr>
          <w:rFonts w:hint="eastAsia"/>
          <w:highlight w:val="none"/>
        </w:rPr>
      </w:pPr>
    </w:p>
    <w:p w14:paraId="784E98A8">
      <w:pPr>
        <w:pStyle w:val="14"/>
        <w:rPr>
          <w:rFonts w:hint="eastAsia"/>
          <w:highlight w:val="none"/>
        </w:rPr>
      </w:pPr>
    </w:p>
    <w:p w14:paraId="1135EA4A">
      <w:pPr>
        <w:pStyle w:val="14"/>
        <w:rPr>
          <w:rFonts w:hint="eastAsia"/>
          <w:highlight w:val="none"/>
        </w:rPr>
      </w:pPr>
    </w:p>
    <w:p w14:paraId="7F02A0A5">
      <w:pPr>
        <w:pStyle w:val="14"/>
        <w:rPr>
          <w:rFonts w:hint="eastAsia"/>
          <w:highlight w:val="none"/>
        </w:rPr>
      </w:pPr>
    </w:p>
    <w:p w14:paraId="0C5EF432">
      <w:pPr>
        <w:pStyle w:val="14"/>
        <w:rPr>
          <w:rFonts w:hint="eastAsia"/>
          <w:highlight w:val="none"/>
        </w:rPr>
      </w:pPr>
    </w:p>
    <w:p w14:paraId="0425CC94">
      <w:pPr>
        <w:pStyle w:val="35"/>
        <w:spacing w:beforeAutospacing="0" w:afterAutospacing="0" w:line="0" w:lineRule="atLeast"/>
        <w:jc w:val="both"/>
        <w:rPr>
          <w:rFonts w:hint="eastAsia"/>
          <w:color w:val="000000"/>
          <w:highlight w:val="none"/>
        </w:rPr>
      </w:pPr>
    </w:p>
    <w:p w14:paraId="0B6BDCDF">
      <w:pPr>
        <w:rPr>
          <w:highlight w:val="none"/>
        </w:rPr>
      </w:pPr>
      <w:r>
        <w:rPr>
          <w:highlight w:val="none"/>
        </w:rPr>
        <w:t> </w:t>
      </w:r>
    </w:p>
    <w:p w14:paraId="1567C0E6">
      <w:pPr>
        <w:rPr>
          <w:rFonts w:hint="eastAsia" w:ascii="黑体" w:eastAsia="黑体" w:cs="黑体"/>
          <w:i/>
          <w:color w:val="000000"/>
          <w:sz w:val="32"/>
          <w:szCs w:val="32"/>
          <w:highlight w:val="none"/>
          <w:u w:val="single"/>
        </w:rPr>
      </w:pPr>
    </w:p>
    <w:p w14:paraId="1256BD37">
      <w:pPr>
        <w:rPr>
          <w:rFonts w:hint="eastAsia" w:ascii="黑体" w:eastAsia="黑体" w:cs="黑体"/>
          <w:i/>
          <w:color w:val="000000"/>
          <w:sz w:val="32"/>
          <w:szCs w:val="32"/>
          <w:highlight w:val="none"/>
          <w:u w:val="single"/>
        </w:rPr>
      </w:pPr>
    </w:p>
    <w:p w14:paraId="50FE22B9">
      <w:pPr>
        <w:rPr>
          <w:highlight w:val="none"/>
        </w:rPr>
      </w:pPr>
      <w:r>
        <w:rPr>
          <w:rFonts w:hint="eastAsia" w:ascii="黑体" w:eastAsia="黑体" w:cs="黑体"/>
          <w:i/>
          <w:color w:val="000000"/>
          <w:sz w:val="32"/>
          <w:szCs w:val="32"/>
          <w:highlight w:val="none"/>
          <w:u w:val="single"/>
        </w:rPr>
        <w:t>一、法人或者其他组织的营业执照等证明文件，自然人的身份证明</w:t>
      </w:r>
    </w:p>
    <w:p w14:paraId="77EBAC4B">
      <w:pPr>
        <w:pStyle w:val="35"/>
        <w:widowControl w:val="0"/>
        <w:spacing w:before="0" w:beforeAutospacing="0" w:after="0" w:afterAutospacing="0" w:line="0" w:lineRule="atLeast"/>
        <w:ind w:firstLine="480"/>
        <w:jc w:val="both"/>
        <w:rPr>
          <w:rFonts w:hint="eastAsia"/>
          <w:highlight w:val="none"/>
        </w:rPr>
      </w:pPr>
      <w:r>
        <w:rPr>
          <w:highlight w:val="none"/>
        </w:rPr>
        <w:t> </w:t>
      </w:r>
    </w:p>
    <w:p w14:paraId="111A3B76">
      <w:pPr>
        <w:pStyle w:val="35"/>
        <w:widowControl w:val="0"/>
        <w:spacing w:before="0" w:beforeAutospacing="0" w:after="0" w:afterAutospacing="0"/>
        <w:jc w:val="both"/>
        <w:rPr>
          <w:rFonts w:hint="eastAsia" w:eastAsia="黑体"/>
          <w:highlight w:val="none"/>
        </w:rPr>
      </w:pPr>
      <w:r>
        <w:rPr>
          <w:rFonts w:hint="eastAsia" w:ascii="黑体" w:eastAsia="黑体" w:cs="黑体"/>
          <w:i/>
          <w:color w:val="000000"/>
          <w:sz w:val="32"/>
          <w:szCs w:val="32"/>
          <w:highlight w:val="none"/>
          <w:u w:val="single"/>
        </w:rPr>
        <w:t>二、上一年度的财务状况报表</w:t>
      </w:r>
    </w:p>
    <w:p w14:paraId="16C1DEC2">
      <w:pPr>
        <w:pStyle w:val="35"/>
        <w:widowControl w:val="0"/>
        <w:spacing w:before="0" w:beforeAutospacing="0" w:after="0" w:afterAutospacing="0" w:line="0" w:lineRule="atLeast"/>
        <w:ind w:firstLine="480"/>
        <w:jc w:val="both"/>
        <w:rPr>
          <w:rFonts w:hint="eastAsia"/>
          <w:highlight w:val="none"/>
        </w:rPr>
      </w:pPr>
      <w:r>
        <w:rPr>
          <w:rFonts w:hint="eastAsia"/>
          <w:color w:val="000000"/>
          <w:highlight w:val="none"/>
        </w:rPr>
        <w:t>供应商成立不满一年无需提供</w:t>
      </w:r>
    </w:p>
    <w:p w14:paraId="29491108">
      <w:pPr>
        <w:pStyle w:val="35"/>
        <w:widowControl w:val="0"/>
        <w:spacing w:before="0" w:beforeAutospacing="0" w:after="0" w:afterAutospacing="0"/>
        <w:jc w:val="both"/>
        <w:rPr>
          <w:rFonts w:hint="eastAsia"/>
          <w:highlight w:val="none"/>
        </w:rPr>
      </w:pPr>
      <w:r>
        <w:rPr>
          <w:highlight w:val="none"/>
        </w:rPr>
        <w:t> </w:t>
      </w:r>
    </w:p>
    <w:p w14:paraId="639972F9">
      <w:pPr>
        <w:pStyle w:val="35"/>
        <w:widowControl w:val="0"/>
        <w:spacing w:before="0" w:beforeAutospacing="0" w:after="0" w:afterAutospacing="0"/>
        <w:jc w:val="both"/>
        <w:rPr>
          <w:rFonts w:hint="eastAsia"/>
          <w:highlight w:val="none"/>
        </w:rPr>
      </w:pPr>
      <w:r>
        <w:rPr>
          <w:rFonts w:hint="eastAsia" w:ascii="黑体" w:eastAsia="黑体" w:cs="黑体"/>
          <w:i/>
          <w:color w:val="000000"/>
          <w:sz w:val="32"/>
          <w:szCs w:val="32"/>
          <w:highlight w:val="none"/>
          <w:u w:val="single"/>
        </w:rPr>
        <w:t>三、具备履行合同所必需的设备和专业技术能力的书面声明</w:t>
      </w:r>
    </w:p>
    <w:p w14:paraId="28B6A33E">
      <w:pPr>
        <w:pStyle w:val="35"/>
        <w:widowControl w:val="0"/>
        <w:spacing w:before="0" w:beforeAutospacing="0" w:after="0" w:afterAutospacing="0" w:line="0" w:lineRule="atLeast"/>
        <w:ind w:firstLine="492"/>
        <w:jc w:val="both"/>
        <w:rPr>
          <w:rFonts w:hint="eastAsia"/>
          <w:highlight w:val="none"/>
        </w:rPr>
      </w:pPr>
      <w:r>
        <w:rPr>
          <w:rFonts w:hint="eastAsia"/>
          <w:color w:val="000000"/>
          <w:highlight w:val="none"/>
        </w:rPr>
        <w:t>我单位郑重声明：我单位具备履行本项采购合同所必需的设备和专业技术能力，为履行本项采购合同我公司具备如下主要设备和主要专业技术能力：</w:t>
      </w:r>
    </w:p>
    <w:p w14:paraId="47293C4C">
      <w:pPr>
        <w:pStyle w:val="35"/>
        <w:widowControl w:val="0"/>
        <w:spacing w:before="0" w:beforeAutospacing="0" w:after="0" w:afterAutospacing="0" w:line="0" w:lineRule="atLeast"/>
        <w:ind w:firstLine="492"/>
        <w:jc w:val="both"/>
        <w:rPr>
          <w:rFonts w:hint="eastAsia"/>
          <w:highlight w:val="none"/>
        </w:rPr>
      </w:pPr>
      <w:r>
        <w:rPr>
          <w:rFonts w:hint="eastAsia"/>
          <w:color w:val="000000"/>
          <w:highlight w:val="none"/>
        </w:rPr>
        <w:t>主要设备有：</w:t>
      </w:r>
      <w:r>
        <w:rPr>
          <w:rFonts w:hint="eastAsia"/>
          <w:color w:val="000000"/>
          <w:highlight w:val="none"/>
          <w:u w:val="single"/>
        </w:rPr>
        <w:t xml:space="preserve">         </w:t>
      </w:r>
      <w:r>
        <w:rPr>
          <w:rFonts w:hint="eastAsia"/>
          <w:color w:val="000000"/>
          <w:highlight w:val="none"/>
        </w:rPr>
        <w:t>。</w:t>
      </w:r>
    </w:p>
    <w:p w14:paraId="5890DD2C">
      <w:pPr>
        <w:pStyle w:val="35"/>
        <w:widowControl w:val="0"/>
        <w:spacing w:before="0" w:beforeAutospacing="0" w:after="0" w:afterAutospacing="0"/>
        <w:ind w:firstLine="480"/>
        <w:jc w:val="both"/>
        <w:rPr>
          <w:rFonts w:hint="eastAsia"/>
          <w:color w:val="000000"/>
          <w:highlight w:val="none"/>
        </w:rPr>
      </w:pPr>
      <w:r>
        <w:rPr>
          <w:rFonts w:hint="eastAsia"/>
          <w:color w:val="000000"/>
          <w:highlight w:val="none"/>
        </w:rPr>
        <w:t>主要专业技术能力有：</w:t>
      </w:r>
      <w:r>
        <w:rPr>
          <w:rFonts w:hint="eastAsia"/>
          <w:color w:val="000000"/>
          <w:highlight w:val="none"/>
          <w:u w:val="single"/>
        </w:rPr>
        <w:t xml:space="preserve">           </w:t>
      </w:r>
      <w:r>
        <w:rPr>
          <w:rFonts w:hint="eastAsia"/>
          <w:color w:val="000000"/>
          <w:highlight w:val="none"/>
        </w:rPr>
        <w:t>。</w:t>
      </w:r>
    </w:p>
    <w:p w14:paraId="4AC62DE7">
      <w:pPr>
        <w:pStyle w:val="35"/>
        <w:widowControl w:val="0"/>
        <w:spacing w:before="0" w:beforeAutospacing="0" w:after="0" w:afterAutospacing="0"/>
        <w:jc w:val="both"/>
        <w:rPr>
          <w:rFonts w:hint="eastAsia"/>
          <w:highlight w:val="none"/>
        </w:rPr>
      </w:pPr>
      <w:r>
        <w:rPr>
          <w:rFonts w:hint="eastAsia" w:ascii="黑体" w:eastAsia="黑体" w:cs="黑体"/>
          <w:i/>
          <w:color w:val="000000"/>
          <w:sz w:val="32"/>
          <w:szCs w:val="32"/>
          <w:highlight w:val="none"/>
          <w:u w:val="single"/>
        </w:rPr>
        <w:t>四、依法缴纳税收和社会保障资金的相关材料</w:t>
      </w:r>
    </w:p>
    <w:p w14:paraId="5C840E23">
      <w:pPr>
        <w:pStyle w:val="35"/>
        <w:widowControl w:val="0"/>
        <w:spacing w:before="0" w:beforeAutospacing="0" w:after="0" w:afterAutospacing="0"/>
        <w:ind w:firstLine="480"/>
        <w:jc w:val="both"/>
        <w:rPr>
          <w:rFonts w:hint="eastAsia"/>
          <w:highlight w:val="none"/>
        </w:rPr>
      </w:pPr>
      <w:r>
        <w:rPr>
          <w:rFonts w:hint="eastAsia"/>
          <w:color w:val="000000"/>
          <w:highlight w:val="none"/>
        </w:rPr>
        <w:t>提供提交响应文件截止时间前一年内至少一个月依法缴纳税收及缴纳社会保障资金的证明材料。供应商依法享受缓缴、免缴税收、社会保障资金的提供证明材料。</w:t>
      </w:r>
    </w:p>
    <w:p w14:paraId="7562DD25">
      <w:pPr>
        <w:pStyle w:val="35"/>
        <w:widowControl w:val="0"/>
        <w:spacing w:before="0" w:beforeAutospacing="0" w:after="0" w:afterAutospacing="0" w:line="0" w:lineRule="atLeast"/>
        <w:jc w:val="both"/>
        <w:rPr>
          <w:rFonts w:hint="eastAsia"/>
          <w:highlight w:val="none"/>
        </w:rPr>
      </w:pPr>
      <w:r>
        <w:rPr>
          <w:rFonts w:hint="eastAsia" w:ascii="黑体" w:eastAsia="黑体" w:cs="黑体"/>
          <w:i/>
          <w:color w:val="000000"/>
          <w:sz w:val="32"/>
          <w:szCs w:val="32"/>
          <w:highlight w:val="none"/>
          <w:u w:val="single"/>
        </w:rPr>
        <w:t>五、参加政府采购活动前 3 年内在经营活动中没有重大违法记录的书面声明</w:t>
      </w:r>
    </w:p>
    <w:p w14:paraId="53DE3360">
      <w:pPr>
        <w:pStyle w:val="35"/>
        <w:widowControl w:val="0"/>
        <w:spacing w:before="0" w:beforeAutospacing="0" w:after="0" w:afterAutospacing="0" w:line="0" w:lineRule="atLeast"/>
        <w:jc w:val="center"/>
        <w:rPr>
          <w:rFonts w:hint="eastAsia"/>
          <w:highlight w:val="none"/>
        </w:rPr>
      </w:pPr>
      <w:r>
        <w:rPr>
          <w:rFonts w:hint="eastAsia"/>
          <w:b/>
          <w:color w:val="000000"/>
          <w:sz w:val="44"/>
          <w:szCs w:val="44"/>
          <w:highlight w:val="none"/>
        </w:rPr>
        <w:t>声  明</w:t>
      </w:r>
    </w:p>
    <w:p w14:paraId="5A9D4698">
      <w:pPr>
        <w:pStyle w:val="35"/>
        <w:widowControl w:val="0"/>
        <w:spacing w:before="0" w:beforeAutospacing="0" w:after="0" w:afterAutospacing="0" w:line="0" w:lineRule="atLeast"/>
        <w:jc w:val="both"/>
        <w:rPr>
          <w:rFonts w:hint="eastAsia"/>
          <w:highlight w:val="none"/>
        </w:rPr>
      </w:pPr>
      <w:r>
        <w:rPr>
          <w:rFonts w:hint="eastAsia"/>
          <w:b/>
          <w:color w:val="000000"/>
          <w:highlight w:val="none"/>
        </w:rPr>
        <w:t>  </w:t>
      </w:r>
      <w:r>
        <w:rPr>
          <w:rFonts w:hint="eastAsia"/>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EEDA76A">
      <w:pPr>
        <w:pStyle w:val="35"/>
        <w:widowControl w:val="0"/>
        <w:spacing w:before="0" w:beforeAutospacing="0" w:after="0" w:afterAutospacing="0"/>
        <w:jc w:val="both"/>
        <w:rPr>
          <w:rFonts w:hint="eastAsia"/>
          <w:highlight w:val="none"/>
        </w:rPr>
      </w:pPr>
      <w:r>
        <w:rPr>
          <w:highlight w:val="none"/>
        </w:rPr>
        <w:t> </w:t>
      </w:r>
    </w:p>
    <w:p w14:paraId="56EFBB3C">
      <w:pPr>
        <w:pStyle w:val="35"/>
        <w:widowControl w:val="0"/>
        <w:spacing w:before="0" w:beforeAutospacing="0" w:after="0" w:afterAutospacing="0"/>
        <w:jc w:val="both"/>
        <w:rPr>
          <w:rFonts w:hint="eastAsia"/>
          <w:highlight w:val="none"/>
        </w:rPr>
      </w:pPr>
      <w:r>
        <w:rPr>
          <w:rFonts w:hint="eastAsia" w:ascii="黑体" w:eastAsia="黑体" w:cs="黑体"/>
          <w:i/>
          <w:color w:val="000000"/>
          <w:sz w:val="32"/>
          <w:szCs w:val="32"/>
          <w:highlight w:val="none"/>
          <w:u w:val="single"/>
        </w:rPr>
        <w:t>六、特定资格要求的证明文件</w:t>
      </w:r>
    </w:p>
    <w:p w14:paraId="10988633">
      <w:pPr>
        <w:pStyle w:val="35"/>
        <w:widowControl w:val="0"/>
        <w:spacing w:before="0" w:beforeAutospacing="0" w:after="0" w:afterAutospacing="0" w:line="0" w:lineRule="atLeast"/>
        <w:jc w:val="both"/>
        <w:rPr>
          <w:rFonts w:hint="eastAsia" w:ascii="黑体" w:eastAsia="黑体" w:cs="黑体"/>
          <w:i/>
          <w:color w:val="000000"/>
          <w:sz w:val="32"/>
          <w:szCs w:val="32"/>
          <w:highlight w:val="none"/>
          <w:u w:val="single"/>
        </w:rPr>
      </w:pPr>
      <w:r>
        <w:rPr>
          <w:rFonts w:hint="eastAsia"/>
          <w:color w:val="000000"/>
          <w:highlight w:val="none"/>
        </w:rPr>
        <w:t>   如果本项目申请人的特定资格要求中要求提供的，必须提供。</w:t>
      </w:r>
    </w:p>
    <w:p w14:paraId="437DBAD8">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7F399229">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491143AC">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27CD3E77">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1D64B258">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576D4BBF">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3A9567E6">
      <w:pPr>
        <w:pStyle w:val="35"/>
        <w:widowControl w:val="0"/>
        <w:spacing w:before="0" w:beforeAutospacing="0" w:after="0" w:afterAutospacing="0"/>
        <w:jc w:val="center"/>
        <w:rPr>
          <w:rFonts w:hint="eastAsia" w:ascii="黑体" w:eastAsia="黑体" w:cs="黑体"/>
          <w:i/>
          <w:color w:val="000000"/>
          <w:sz w:val="32"/>
          <w:szCs w:val="32"/>
          <w:highlight w:val="none"/>
          <w:u w:val="single"/>
        </w:rPr>
      </w:pPr>
    </w:p>
    <w:p w14:paraId="390D1389">
      <w:pPr>
        <w:pStyle w:val="35"/>
        <w:widowControl w:val="0"/>
        <w:spacing w:before="0" w:beforeAutospacing="0" w:after="0" w:afterAutospacing="0"/>
        <w:jc w:val="both"/>
        <w:rPr>
          <w:rFonts w:hint="eastAsia" w:ascii="黑体" w:eastAsia="黑体" w:cs="黑体"/>
          <w:i/>
          <w:color w:val="000000"/>
          <w:sz w:val="32"/>
          <w:szCs w:val="32"/>
          <w:highlight w:val="none"/>
          <w:u w:val="single"/>
        </w:rPr>
      </w:pPr>
    </w:p>
    <w:p w14:paraId="27BFD4FB">
      <w:pPr>
        <w:pStyle w:val="35"/>
        <w:widowControl w:val="0"/>
        <w:spacing w:before="0" w:beforeAutospacing="0" w:after="0" w:afterAutospacing="0"/>
        <w:jc w:val="center"/>
        <w:rPr>
          <w:rFonts w:hint="eastAsia"/>
          <w:highlight w:val="none"/>
        </w:rPr>
      </w:pPr>
      <w:r>
        <w:rPr>
          <w:rFonts w:hint="eastAsia" w:ascii="黑体" w:eastAsia="黑体" w:cs="黑体"/>
          <w:i/>
          <w:color w:val="000000"/>
          <w:sz w:val="32"/>
          <w:szCs w:val="32"/>
          <w:highlight w:val="none"/>
          <w:u w:val="single"/>
        </w:rPr>
        <w:t>七、法人授权书</w:t>
      </w:r>
    </w:p>
    <w:p w14:paraId="31BEFB05">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本授权书声明：____________（供应商名称）授权________________（被授权人的姓名）为我方就JSZC-</w:t>
      </w:r>
      <w:r>
        <w:rPr>
          <w:rFonts w:cs="Times New Roman"/>
          <w:color w:val="000000"/>
          <w:highlight w:val="none"/>
          <w:u w:val="single"/>
        </w:rPr>
        <w:t xml:space="preserve">        </w:t>
      </w:r>
      <w:r>
        <w:rPr>
          <w:rFonts w:cs="Times New Roman"/>
          <w:color w:val="000000"/>
          <w:highlight w:val="none"/>
        </w:rPr>
        <w:t>号项目采购活动的合法代理人，以本单位名义全权处理一切与该项目采购有关的事务。</w:t>
      </w:r>
    </w:p>
    <w:p w14:paraId="4C877BEE">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本授权书于______年____月____日起生效，特此声明。</w:t>
      </w:r>
    </w:p>
    <w:p w14:paraId="22E8E928">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被授权人身份证号码：</w:t>
      </w:r>
      <w:r>
        <w:rPr>
          <w:rFonts w:cs="Times New Roman"/>
          <w:color w:val="000000"/>
          <w:highlight w:val="none"/>
          <w:u w:val="single"/>
        </w:rPr>
        <w:t>             </w:t>
      </w:r>
    </w:p>
    <w:p w14:paraId="47893042">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被授权人联系电话：（手机）</w:t>
      </w:r>
      <w:r>
        <w:rPr>
          <w:rFonts w:cs="Times New Roman"/>
          <w:color w:val="000000"/>
          <w:highlight w:val="none"/>
          <w:u w:val="single"/>
        </w:rPr>
        <w:t>     </w:t>
      </w:r>
      <w:r>
        <w:rPr>
          <w:rFonts w:hint="eastAsia" w:cs="Times New Roman"/>
          <w:color w:val="000000"/>
          <w:highlight w:val="none"/>
          <w:u w:val="single"/>
        </w:rPr>
        <w:t xml:space="preserve">  </w:t>
      </w:r>
      <w:r>
        <w:rPr>
          <w:rFonts w:cs="Times New Roman"/>
          <w:color w:val="000000"/>
          <w:highlight w:val="none"/>
          <w:u w:val="single"/>
        </w:rPr>
        <w:t>    </w:t>
      </w:r>
    </w:p>
    <w:p w14:paraId="51117C3F">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授权单位名称：</w:t>
      </w:r>
      <w:r>
        <w:rPr>
          <w:rFonts w:hint="eastAsia" w:cs="Times New Roman"/>
          <w:color w:val="000000"/>
          <w:highlight w:val="none"/>
          <w:u w:val="single"/>
        </w:rPr>
        <w:t xml:space="preserve">       </w:t>
      </w:r>
      <w:r>
        <w:rPr>
          <w:rFonts w:cs="Times New Roman"/>
          <w:color w:val="000000"/>
          <w:highlight w:val="none"/>
          <w:u w:val="single"/>
        </w:rPr>
        <w:t>（加盖公章）</w:t>
      </w:r>
      <w:r>
        <w:rPr>
          <w:rFonts w:hint="eastAsia" w:cs="Times New Roman"/>
          <w:color w:val="000000"/>
          <w:highlight w:val="none"/>
          <w:u w:val="single"/>
        </w:rPr>
        <w:t xml:space="preserve">             </w:t>
      </w:r>
    </w:p>
    <w:p w14:paraId="5FA95968">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单位地址：</w:t>
      </w:r>
      <w:r>
        <w:rPr>
          <w:rFonts w:cs="Times New Roman"/>
          <w:color w:val="000000"/>
          <w:highlight w:val="none"/>
          <w:u w:val="single"/>
        </w:rPr>
        <w:t>        </w:t>
      </w:r>
      <w:r>
        <w:rPr>
          <w:rFonts w:hint="eastAsia" w:cs="Times New Roman"/>
          <w:color w:val="000000"/>
          <w:highlight w:val="none"/>
          <w:u w:val="single"/>
        </w:rPr>
        <w:t xml:space="preserve"> </w:t>
      </w:r>
      <w:r>
        <w:rPr>
          <w:rFonts w:cs="Times New Roman"/>
          <w:color w:val="000000"/>
          <w:highlight w:val="none"/>
          <w:u w:val="single"/>
        </w:rPr>
        <w:t xml:space="preserve">          </w:t>
      </w:r>
    </w:p>
    <w:p w14:paraId="643561E7">
      <w:pPr>
        <w:pStyle w:val="35"/>
        <w:widowControl w:val="0"/>
        <w:tabs>
          <w:tab w:val="left" w:pos="360"/>
        </w:tabs>
        <w:spacing w:before="0" w:beforeAutospacing="0" w:after="0" w:afterAutospacing="0" w:line="480" w:lineRule="exact"/>
        <w:ind w:firstLine="480"/>
        <w:jc w:val="both"/>
        <w:rPr>
          <w:rFonts w:hint="eastAsia"/>
          <w:highlight w:val="none"/>
        </w:rPr>
      </w:pPr>
      <w:r>
        <w:rPr>
          <w:rFonts w:cs="Times New Roman"/>
          <w:color w:val="000000"/>
          <w:highlight w:val="none"/>
        </w:rPr>
        <w:t>日期：</w:t>
      </w:r>
      <w:bookmarkStart w:id="142" w:name="_格式3__银行出具的资信证明"/>
      <w:bookmarkStart w:id="143" w:name="_Hlt26955070"/>
      <w:bookmarkStart w:id="144" w:name="_Hlt26671380"/>
      <w:r>
        <w:rPr>
          <w:rFonts w:cs="Times New Roman"/>
          <w:color w:val="000000"/>
          <w:highlight w:val="none"/>
          <w:u w:val="single"/>
        </w:rPr>
        <w:t>        </w:t>
      </w:r>
      <w:r>
        <w:rPr>
          <w:rFonts w:hint="eastAsia" w:cs="Times New Roman"/>
          <w:color w:val="000000"/>
          <w:highlight w:val="none"/>
          <w:u w:val="single"/>
        </w:rPr>
        <w:t xml:space="preserve"> </w:t>
      </w:r>
      <w:r>
        <w:rPr>
          <w:rFonts w:cs="Times New Roman"/>
          <w:color w:val="000000"/>
          <w:highlight w:val="none"/>
          <w:u w:val="single"/>
        </w:rPr>
        <w:t xml:space="preserve">            </w:t>
      </w:r>
    </w:p>
    <w:p w14:paraId="1276EB08">
      <w:pPr>
        <w:spacing w:line="480" w:lineRule="exact"/>
        <w:rPr>
          <w:highlight w:val="none"/>
        </w:rPr>
      </w:pPr>
    </w:p>
    <w:p w14:paraId="07E40ED9">
      <w:pPr>
        <w:rPr>
          <w:highlight w:val="none"/>
        </w:rPr>
      </w:pPr>
    </w:p>
    <w:p w14:paraId="41AC1841">
      <w:pPr>
        <w:rPr>
          <w:highlight w:val="none"/>
        </w:rPr>
      </w:pPr>
    </w:p>
    <w:p w14:paraId="532E1D7B">
      <w:pPr>
        <w:rPr>
          <w:highlight w:val="none"/>
        </w:rPr>
      </w:pPr>
    </w:p>
    <w:p w14:paraId="3518D41E">
      <w:pPr>
        <w:rPr>
          <w:highlight w:val="none"/>
        </w:rPr>
      </w:pPr>
    </w:p>
    <w:p w14:paraId="2C21A58E">
      <w:pPr>
        <w:rPr>
          <w:highlight w:val="none"/>
        </w:rPr>
      </w:pPr>
    </w:p>
    <w:p w14:paraId="0B263D41">
      <w:pPr>
        <w:rPr>
          <w:highlight w:val="none"/>
        </w:rPr>
      </w:pPr>
    </w:p>
    <w:p w14:paraId="5A593E75">
      <w:pPr>
        <w:rPr>
          <w:highlight w:val="none"/>
        </w:rPr>
      </w:pPr>
    </w:p>
    <w:p w14:paraId="0721683E">
      <w:pPr>
        <w:rPr>
          <w:highlight w:val="none"/>
        </w:rPr>
      </w:pPr>
    </w:p>
    <w:p w14:paraId="27E6233A">
      <w:pPr>
        <w:rPr>
          <w:highlight w:val="none"/>
        </w:rPr>
      </w:pPr>
    </w:p>
    <w:p w14:paraId="6D83EF27">
      <w:pPr>
        <w:rPr>
          <w:highlight w:val="none"/>
        </w:rPr>
      </w:pPr>
    </w:p>
    <w:p w14:paraId="18ACBDE9">
      <w:pPr>
        <w:rPr>
          <w:highlight w:val="none"/>
        </w:rPr>
      </w:pPr>
    </w:p>
    <w:p w14:paraId="1D5258E0">
      <w:pPr>
        <w:rPr>
          <w:highlight w:val="none"/>
        </w:rPr>
      </w:pPr>
    </w:p>
    <w:p w14:paraId="2AAB2613">
      <w:pPr>
        <w:rPr>
          <w:highlight w:val="none"/>
        </w:rPr>
      </w:pPr>
    </w:p>
    <w:p w14:paraId="751E9D7D">
      <w:pPr>
        <w:rPr>
          <w:highlight w:val="none"/>
        </w:rPr>
      </w:pPr>
    </w:p>
    <w:p w14:paraId="28C420C5">
      <w:pPr>
        <w:rPr>
          <w:highlight w:val="none"/>
        </w:rPr>
      </w:pPr>
    </w:p>
    <w:p w14:paraId="2000AA86">
      <w:pPr>
        <w:rPr>
          <w:highlight w:val="none"/>
        </w:rPr>
      </w:pPr>
    </w:p>
    <w:p w14:paraId="7AB25255">
      <w:pPr>
        <w:rPr>
          <w:highlight w:val="none"/>
        </w:rPr>
      </w:pPr>
    </w:p>
    <w:p w14:paraId="559DF953">
      <w:pPr>
        <w:rPr>
          <w:highlight w:val="none"/>
        </w:rPr>
      </w:pPr>
    </w:p>
    <w:p w14:paraId="7DAC27D6">
      <w:pPr>
        <w:rPr>
          <w:highlight w:val="none"/>
        </w:rPr>
      </w:pPr>
    </w:p>
    <w:p w14:paraId="3B344AE7">
      <w:pPr>
        <w:rPr>
          <w:highlight w:val="none"/>
        </w:rPr>
      </w:pPr>
    </w:p>
    <w:p w14:paraId="217BFED8">
      <w:pPr>
        <w:rPr>
          <w:highlight w:val="none"/>
        </w:rPr>
      </w:pPr>
    </w:p>
    <w:p w14:paraId="043D7931">
      <w:pPr>
        <w:rPr>
          <w:highlight w:val="none"/>
        </w:rPr>
      </w:pPr>
    </w:p>
    <w:p w14:paraId="41447FEE">
      <w:pPr>
        <w:rPr>
          <w:highlight w:val="none"/>
        </w:rPr>
      </w:pPr>
    </w:p>
    <w:p w14:paraId="1C0F796F">
      <w:pPr>
        <w:rPr>
          <w:highlight w:val="none"/>
        </w:rPr>
      </w:pPr>
    </w:p>
    <w:p w14:paraId="1BC5EADE">
      <w:pPr>
        <w:rPr>
          <w:highlight w:val="none"/>
        </w:rPr>
      </w:pPr>
    </w:p>
    <w:p w14:paraId="245FC00C">
      <w:pPr>
        <w:rPr>
          <w:highlight w:val="none"/>
        </w:rPr>
      </w:pPr>
    </w:p>
    <w:p w14:paraId="1652B682">
      <w:pPr>
        <w:rPr>
          <w:highlight w:val="none"/>
        </w:rPr>
      </w:pPr>
    </w:p>
    <w:p w14:paraId="6305AEB5">
      <w:pPr>
        <w:rPr>
          <w:highlight w:val="none"/>
        </w:rPr>
      </w:pPr>
    </w:p>
    <w:p w14:paraId="49797AFE">
      <w:pPr>
        <w:pStyle w:val="35"/>
        <w:keepNext/>
        <w:keepLines/>
        <w:spacing w:before="260" w:beforeAutospacing="0" w:after="260" w:afterAutospacing="0" w:line="415" w:lineRule="auto"/>
        <w:ind w:firstLine="3390"/>
        <w:jc w:val="both"/>
        <w:rPr>
          <w:rFonts w:hint="eastAsia"/>
          <w:highlight w:val="none"/>
        </w:rPr>
      </w:pPr>
      <w:r>
        <w:rPr>
          <w:rFonts w:hint="eastAsia" w:ascii="黑体" w:eastAsia="黑体" w:cs="黑体"/>
          <w:b/>
          <w:i/>
          <w:color w:val="000000"/>
          <w:sz w:val="32"/>
          <w:szCs w:val="32"/>
          <w:highlight w:val="none"/>
          <w:u w:val="single"/>
        </w:rPr>
        <w:t>八、磋商响应函</w:t>
      </w:r>
    </w:p>
    <w:p w14:paraId="624DB079">
      <w:pPr>
        <w:pStyle w:val="35"/>
        <w:spacing w:before="0" w:beforeAutospacing="0" w:after="0" w:afterAutospacing="0" w:line="360" w:lineRule="exact"/>
        <w:rPr>
          <w:rFonts w:hint="eastAsia"/>
          <w:highlight w:val="none"/>
        </w:rPr>
      </w:pPr>
      <w:r>
        <w:rPr>
          <w:rFonts w:hint="eastAsia"/>
          <w:color w:val="000000"/>
          <w:highlight w:val="none"/>
        </w:rPr>
        <w:t>致：</w:t>
      </w:r>
      <w:r>
        <w:rPr>
          <w:rFonts w:hint="eastAsia"/>
          <w:color w:val="000000"/>
          <w:highlight w:val="none"/>
          <w:u w:val="single"/>
        </w:rPr>
        <w:t xml:space="preserve">                    </w:t>
      </w:r>
      <w:r>
        <w:rPr>
          <w:highlight w:val="none"/>
          <w:u w:val="single"/>
        </w:rPr>
        <w:t xml:space="preserve"> </w:t>
      </w:r>
    </w:p>
    <w:p w14:paraId="52BB257C">
      <w:pPr>
        <w:pStyle w:val="35"/>
        <w:spacing w:before="0" w:beforeAutospacing="0" w:after="0" w:afterAutospacing="0" w:line="360" w:lineRule="exact"/>
        <w:ind w:firstLine="480"/>
        <w:rPr>
          <w:rFonts w:hint="eastAsia"/>
          <w:highlight w:val="none"/>
        </w:rPr>
      </w:pPr>
      <w:r>
        <w:rPr>
          <w:rFonts w:hint="eastAsia"/>
          <w:color w:val="000000"/>
          <w:highlight w:val="none"/>
        </w:rPr>
        <w:t>根据贵方的JSZC-3209</w:t>
      </w:r>
      <w:r>
        <w:rPr>
          <w:rFonts w:hint="eastAsia"/>
          <w:b/>
          <w:color w:val="000000"/>
          <w:sz w:val="36"/>
          <w:szCs w:val="36"/>
          <w:highlight w:val="none"/>
          <w:u w:val="single"/>
        </w:rPr>
        <w:t xml:space="preserve">    </w:t>
      </w:r>
      <w:r>
        <w:rPr>
          <w:rFonts w:hint="eastAsia"/>
          <w:color w:val="000000"/>
          <w:highlight w:val="none"/>
        </w:rPr>
        <w:t>号磋商文件，正式授权下述签字人______(姓名（打字或手写）)代表我方______________（供应商的名称），全权处理本次项目磋商的有关事宜。</w:t>
      </w:r>
    </w:p>
    <w:p w14:paraId="6FCA330E">
      <w:pPr>
        <w:pStyle w:val="35"/>
        <w:spacing w:before="0" w:beforeAutospacing="0" w:after="0" w:afterAutospacing="0" w:line="360" w:lineRule="exact"/>
        <w:ind w:firstLine="480"/>
        <w:rPr>
          <w:rFonts w:hint="eastAsia"/>
          <w:highlight w:val="none"/>
        </w:rPr>
      </w:pPr>
      <w:r>
        <w:rPr>
          <w:rFonts w:hint="eastAsia"/>
          <w:color w:val="000000"/>
          <w:highlight w:val="none"/>
        </w:rPr>
        <w:t>据此函，__________签字人（打字或手写）兹宣布同意如下：</w:t>
      </w:r>
    </w:p>
    <w:p w14:paraId="578FEA3F">
      <w:pPr>
        <w:pStyle w:val="35"/>
        <w:spacing w:before="0" w:beforeAutospacing="0" w:after="0" w:afterAutospacing="0" w:line="360" w:lineRule="exact"/>
        <w:ind w:firstLine="480"/>
        <w:rPr>
          <w:rFonts w:hint="eastAsia"/>
          <w:highlight w:val="none"/>
        </w:rPr>
      </w:pPr>
      <w:r>
        <w:rPr>
          <w:rFonts w:hint="eastAsia"/>
          <w:color w:val="000000"/>
          <w:highlight w:val="none"/>
        </w:rPr>
        <w:t>1.按磋商文件规定的各项要求，向买方提供所需服务（包含与服务相关的货物）。</w:t>
      </w:r>
    </w:p>
    <w:p w14:paraId="32481E9E">
      <w:pPr>
        <w:pStyle w:val="35"/>
        <w:spacing w:before="0" w:beforeAutospacing="0" w:after="0" w:afterAutospacing="0" w:line="360" w:lineRule="exact"/>
        <w:ind w:firstLine="480"/>
        <w:rPr>
          <w:rFonts w:hint="eastAsia"/>
          <w:highlight w:val="none"/>
        </w:rPr>
      </w:pPr>
      <w:r>
        <w:rPr>
          <w:rFonts w:hint="eastAsia"/>
          <w:color w:val="000000"/>
          <w:highlight w:val="none"/>
        </w:rPr>
        <w:t>2.我们完全理解贵方不一定将合同授予最低报价的供应商。</w:t>
      </w:r>
    </w:p>
    <w:p w14:paraId="27960ABE">
      <w:pPr>
        <w:pStyle w:val="35"/>
        <w:spacing w:before="0" w:beforeAutospacing="0" w:after="0" w:afterAutospacing="0" w:line="360" w:lineRule="exact"/>
        <w:ind w:firstLine="480"/>
        <w:rPr>
          <w:rFonts w:hint="eastAsia"/>
          <w:highlight w:val="none"/>
        </w:rPr>
      </w:pPr>
      <w:r>
        <w:rPr>
          <w:rFonts w:hint="eastAsia"/>
          <w:color w:val="000000"/>
          <w:highlight w:val="none"/>
        </w:rPr>
        <w:t>3.我们已详细审核全部磋商文件及其有效补充文件，我们知道必须放弃提出含糊不清或误解问题的权利。</w:t>
      </w:r>
    </w:p>
    <w:p w14:paraId="20A2AC11">
      <w:pPr>
        <w:pStyle w:val="35"/>
        <w:spacing w:before="0" w:beforeAutospacing="0" w:after="0" w:afterAutospacing="0" w:line="360" w:lineRule="exact"/>
        <w:ind w:firstLine="480"/>
        <w:rPr>
          <w:rFonts w:hint="eastAsia"/>
          <w:highlight w:val="none"/>
        </w:rPr>
      </w:pPr>
      <w:r>
        <w:rPr>
          <w:rFonts w:hint="eastAsia"/>
          <w:color w:val="000000"/>
          <w:highlight w:val="none"/>
        </w:rPr>
        <w:t>4.我们同意从规定的开标日期起遵循本响应文件，并在规定的磋商有效期期满之前均具有约束力。</w:t>
      </w:r>
    </w:p>
    <w:p w14:paraId="591883FF">
      <w:pPr>
        <w:pStyle w:val="35"/>
        <w:spacing w:before="0" w:beforeAutospacing="0" w:after="0" w:afterAutospacing="0" w:line="360" w:lineRule="exact"/>
        <w:ind w:firstLine="480"/>
        <w:rPr>
          <w:rFonts w:hint="eastAsia"/>
          <w:highlight w:val="none"/>
        </w:rPr>
      </w:pPr>
      <w:r>
        <w:rPr>
          <w:rFonts w:hint="eastAsia"/>
          <w:color w:val="000000"/>
          <w:highlight w:val="none"/>
        </w:rPr>
        <w:t>5.同意向贵方提供贵方可能另外要求的与磋商有关的任何证据或资料，并保证我方已提供和将要提供的文件是真实的、准确的。</w:t>
      </w:r>
    </w:p>
    <w:p w14:paraId="1472F7A0">
      <w:pPr>
        <w:pStyle w:val="35"/>
        <w:spacing w:before="0" w:beforeAutospacing="0" w:after="0" w:afterAutospacing="0" w:line="360" w:lineRule="exact"/>
        <w:ind w:firstLine="480"/>
        <w:rPr>
          <w:rFonts w:hint="eastAsia"/>
          <w:highlight w:val="none"/>
        </w:rPr>
      </w:pPr>
      <w:r>
        <w:rPr>
          <w:rFonts w:hint="eastAsia"/>
          <w:color w:val="000000"/>
          <w:highlight w:val="none"/>
        </w:rPr>
        <w:t>6.一旦我方成交,我方将根据磋商文件的规定，严格履行合同的责任和义务,并保证在磋商文件规定的时间完成项目，交付买方验收、使用。</w:t>
      </w:r>
    </w:p>
    <w:p w14:paraId="5160BECB">
      <w:pPr>
        <w:pStyle w:val="35"/>
        <w:spacing w:before="0" w:beforeAutospacing="0" w:after="0" w:afterAutospacing="0" w:line="360" w:lineRule="exact"/>
        <w:ind w:firstLine="480"/>
        <w:rPr>
          <w:rFonts w:hint="eastAsia"/>
          <w:highlight w:val="none"/>
        </w:rPr>
      </w:pPr>
      <w:r>
        <w:rPr>
          <w:rFonts w:hint="eastAsia"/>
          <w:color w:val="000000"/>
          <w:highlight w:val="none"/>
        </w:rPr>
        <w:t>7.我方与本磋商有关的正式通讯地址为：</w:t>
      </w:r>
    </w:p>
    <w:p w14:paraId="25BD84CF">
      <w:pPr>
        <w:pStyle w:val="35"/>
        <w:spacing w:beforeAutospacing="0" w:afterAutospacing="0" w:line="0" w:lineRule="atLeast"/>
        <w:ind w:left="420" w:firstLine="480"/>
        <w:rPr>
          <w:rFonts w:hint="eastAsia"/>
          <w:highlight w:val="none"/>
        </w:rPr>
      </w:pPr>
      <w:r>
        <w:rPr>
          <w:rFonts w:hint="eastAsia"/>
          <w:color w:val="000000"/>
          <w:highlight w:val="none"/>
        </w:rPr>
        <w:t>地    址：</w:t>
      </w:r>
    </w:p>
    <w:p w14:paraId="6B0C699C">
      <w:pPr>
        <w:pStyle w:val="35"/>
        <w:spacing w:beforeAutospacing="0" w:afterAutospacing="0" w:line="0" w:lineRule="atLeast"/>
        <w:ind w:left="420" w:firstLine="480"/>
        <w:rPr>
          <w:rFonts w:hint="eastAsia"/>
          <w:highlight w:val="none"/>
        </w:rPr>
      </w:pPr>
      <w:r>
        <w:rPr>
          <w:rFonts w:hint="eastAsia"/>
          <w:color w:val="000000"/>
          <w:highlight w:val="none"/>
        </w:rPr>
        <w:t>邮    编：</w:t>
      </w:r>
    </w:p>
    <w:p w14:paraId="70BF81F8">
      <w:pPr>
        <w:pStyle w:val="35"/>
        <w:spacing w:beforeAutospacing="0" w:afterAutospacing="0" w:line="0" w:lineRule="atLeast"/>
        <w:ind w:left="420" w:firstLine="480"/>
        <w:rPr>
          <w:rFonts w:hint="eastAsia"/>
          <w:highlight w:val="none"/>
        </w:rPr>
      </w:pPr>
      <w:r>
        <w:rPr>
          <w:rFonts w:hint="eastAsia"/>
          <w:color w:val="000000"/>
          <w:highlight w:val="none"/>
        </w:rPr>
        <w:t>电    话：</w:t>
      </w:r>
    </w:p>
    <w:p w14:paraId="6519C148">
      <w:pPr>
        <w:pStyle w:val="35"/>
        <w:spacing w:beforeAutospacing="0" w:afterAutospacing="0" w:line="0" w:lineRule="atLeast"/>
        <w:ind w:left="420" w:firstLine="480"/>
        <w:rPr>
          <w:rFonts w:hint="eastAsia"/>
          <w:highlight w:val="none"/>
        </w:rPr>
      </w:pPr>
      <w:r>
        <w:rPr>
          <w:rFonts w:hint="eastAsia"/>
          <w:color w:val="000000"/>
          <w:highlight w:val="none"/>
        </w:rPr>
        <w:t>传    真：</w:t>
      </w:r>
    </w:p>
    <w:p w14:paraId="01CE1CC0">
      <w:pPr>
        <w:pStyle w:val="35"/>
        <w:spacing w:beforeAutospacing="0" w:afterAutospacing="0" w:line="0" w:lineRule="atLeast"/>
        <w:ind w:left="420" w:firstLine="480"/>
        <w:rPr>
          <w:rFonts w:hint="eastAsia"/>
          <w:highlight w:val="none"/>
        </w:rPr>
      </w:pPr>
      <w:r>
        <w:rPr>
          <w:rFonts w:hint="eastAsia"/>
          <w:color w:val="000000"/>
          <w:highlight w:val="none"/>
        </w:rPr>
        <w:t>供应商开户行：</w:t>
      </w:r>
    </w:p>
    <w:p w14:paraId="3A21FB17">
      <w:pPr>
        <w:pStyle w:val="35"/>
        <w:spacing w:beforeAutospacing="0" w:afterAutospacing="0" w:line="0" w:lineRule="atLeast"/>
        <w:ind w:left="420" w:firstLine="480"/>
        <w:rPr>
          <w:rFonts w:hint="eastAsia"/>
          <w:highlight w:val="none"/>
        </w:rPr>
      </w:pPr>
      <w:r>
        <w:rPr>
          <w:rFonts w:hint="eastAsia"/>
          <w:color w:val="000000"/>
          <w:highlight w:val="none"/>
        </w:rPr>
        <w:t>账    号：</w:t>
      </w:r>
    </w:p>
    <w:p w14:paraId="47000237">
      <w:pPr>
        <w:pStyle w:val="35"/>
        <w:spacing w:beforeAutospacing="0" w:afterAutospacing="0" w:line="0" w:lineRule="atLeast"/>
        <w:ind w:left="420" w:firstLine="480"/>
        <w:rPr>
          <w:rFonts w:hint="eastAsia"/>
          <w:highlight w:val="none"/>
        </w:rPr>
      </w:pPr>
      <w:r>
        <w:rPr>
          <w:rFonts w:hint="eastAsia"/>
          <w:color w:val="000000"/>
          <w:highlight w:val="none"/>
        </w:rPr>
        <w:t>日    期：________年____月____日</w:t>
      </w:r>
    </w:p>
    <w:p w14:paraId="797D80BC">
      <w:pPr>
        <w:pStyle w:val="35"/>
        <w:spacing w:beforeAutospacing="0" w:afterAutospacing="0" w:line="0" w:lineRule="atLeast"/>
        <w:ind w:firstLine="240"/>
        <w:jc w:val="center"/>
        <w:rPr>
          <w:rFonts w:hint="eastAsia"/>
          <w:highlight w:val="none"/>
        </w:rPr>
      </w:pPr>
    </w:p>
    <w:p w14:paraId="4038C3F9">
      <w:pPr>
        <w:pStyle w:val="35"/>
        <w:spacing w:beforeAutospacing="0" w:afterAutospacing="0" w:line="0" w:lineRule="atLeast"/>
        <w:ind w:firstLine="240"/>
        <w:jc w:val="center"/>
        <w:rPr>
          <w:rFonts w:hint="eastAsia"/>
          <w:highlight w:val="none"/>
        </w:rPr>
      </w:pPr>
    </w:p>
    <w:p w14:paraId="6B102767">
      <w:pPr>
        <w:pStyle w:val="35"/>
        <w:spacing w:beforeAutospacing="0" w:afterAutospacing="0" w:line="0" w:lineRule="atLeast"/>
        <w:ind w:firstLine="240"/>
        <w:jc w:val="center"/>
        <w:rPr>
          <w:rFonts w:hint="eastAsia"/>
          <w:highlight w:val="none"/>
        </w:rPr>
      </w:pPr>
    </w:p>
    <w:p w14:paraId="31B70720">
      <w:pPr>
        <w:pStyle w:val="35"/>
        <w:spacing w:beforeAutospacing="0" w:afterAutospacing="0" w:line="0" w:lineRule="atLeast"/>
        <w:ind w:firstLine="240"/>
        <w:jc w:val="center"/>
        <w:rPr>
          <w:rFonts w:hint="eastAsia"/>
          <w:highlight w:val="none"/>
        </w:rPr>
      </w:pPr>
    </w:p>
    <w:p w14:paraId="48B170FC">
      <w:pPr>
        <w:pStyle w:val="35"/>
        <w:spacing w:beforeAutospacing="0" w:afterAutospacing="0" w:line="0" w:lineRule="atLeast"/>
        <w:ind w:firstLine="240"/>
        <w:jc w:val="center"/>
        <w:rPr>
          <w:rFonts w:hint="eastAsia"/>
          <w:highlight w:val="none"/>
        </w:rPr>
      </w:pPr>
    </w:p>
    <w:p w14:paraId="4D979C40">
      <w:pPr>
        <w:pStyle w:val="35"/>
        <w:spacing w:beforeAutospacing="0" w:afterAutospacing="0" w:line="0" w:lineRule="atLeast"/>
        <w:ind w:firstLine="240"/>
        <w:jc w:val="center"/>
        <w:rPr>
          <w:rFonts w:hint="eastAsia"/>
          <w:highlight w:val="none"/>
        </w:rPr>
      </w:pPr>
    </w:p>
    <w:p w14:paraId="41364A90">
      <w:pPr>
        <w:pStyle w:val="35"/>
        <w:keepNext/>
        <w:keepLines/>
        <w:spacing w:before="260" w:after="260" w:line="415" w:lineRule="auto"/>
        <w:jc w:val="center"/>
        <w:rPr>
          <w:rFonts w:hint="eastAsia" w:ascii="黑体" w:hAnsi="宋体" w:eastAsia="黑体" w:cs="黑体"/>
          <w:b/>
          <w:bCs w:val="0"/>
          <w:i/>
          <w:color w:val="000000"/>
          <w:sz w:val="32"/>
          <w:szCs w:val="32"/>
          <w:highlight w:val="none"/>
          <w:u w:val="single"/>
        </w:rPr>
      </w:pPr>
      <w:r>
        <w:rPr>
          <w:rFonts w:hint="eastAsia" w:ascii="黑体" w:eastAsia="黑体" w:cs="黑体"/>
          <w:b/>
          <w:color w:val="000000"/>
          <w:sz w:val="32"/>
          <w:szCs w:val="32"/>
          <w:highlight w:val="none"/>
        </w:rPr>
        <w:br w:type="page" w:clear="all"/>
      </w:r>
      <w:r>
        <w:rPr>
          <w:rFonts w:hint="eastAsia" w:ascii="黑体" w:hAnsi="宋体" w:eastAsia="黑体" w:cs="黑体"/>
          <w:b/>
          <w:bCs w:val="0"/>
          <w:i/>
          <w:color w:val="000000"/>
          <w:sz w:val="32"/>
          <w:szCs w:val="32"/>
          <w:highlight w:val="none"/>
          <w:u w:val="single"/>
        </w:rPr>
        <w:t>九、中小企业声明函（工程）</w:t>
      </w:r>
    </w:p>
    <w:p w14:paraId="45D3458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郑重声明，根据《政府采购促进中小企业发展管理办法》（财库﹝2020﹞46 号）的规定，本公司</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参加</w:t>
      </w:r>
      <w:r>
        <w:rPr>
          <w:rFonts w:hint="eastAsia" w:ascii="宋体" w:hAnsi="宋体" w:cs="宋体"/>
          <w:color w:val="000000" w:themeColor="text1"/>
          <w:sz w:val="24"/>
          <w:highlight w:val="none"/>
          <w:u w:val="single"/>
          <w:lang w:eastAsia="zh-CN"/>
          <w14:textFill>
            <w14:solidFill>
              <w14:schemeClr w14:val="tx1"/>
            </w14:solidFill>
          </w14:textFill>
        </w:rPr>
        <w:t>盐城市亭湖区便仓镇人民政府</w:t>
      </w:r>
      <w:r>
        <w:rPr>
          <w:rFonts w:hint="eastAsia" w:ascii="宋体" w:hAnsi="宋体" w:cs="宋体"/>
          <w:color w:val="000000" w:themeColor="text1"/>
          <w:sz w:val="24"/>
          <w:highlight w:val="none"/>
          <w14:textFill>
            <w14:solidFill>
              <w14:schemeClr w14:val="tx1"/>
            </w14:solidFill>
          </w14:textFill>
        </w:rPr>
        <w:t>的采购编号为的</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采购活动，工程的施工单位全部为符合政策要求的中小企业。相关企业（含联合体中的中小企业、签订分包意向协议的中小企业）的具体情况如下：</w:t>
      </w:r>
    </w:p>
    <w:p w14:paraId="1687B04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i/>
          <w:iCs/>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i/>
          <w:iCs/>
          <w:color w:val="000000" w:themeColor="text1"/>
          <w:sz w:val="24"/>
          <w:highlight w:val="none"/>
          <w:u w:val="single"/>
          <w14:textFill>
            <w14:solidFill>
              <w14:schemeClr w14:val="tx1"/>
            </w14:solidFill>
          </w14:textFill>
        </w:rPr>
        <w:t>（</w:t>
      </w:r>
      <w:r>
        <w:rPr>
          <w:rFonts w:hint="eastAsia" w:ascii="宋体" w:hAnsi="宋体" w:cs="宋体"/>
          <w:i/>
          <w:iCs/>
          <w:color w:val="000000" w:themeColor="text1"/>
          <w:sz w:val="24"/>
          <w:highlight w:val="none"/>
          <w:u w:val="single"/>
          <w:lang w:eastAsia="zh-CN"/>
          <w14:textFill>
            <w14:solidFill>
              <w14:schemeClr w14:val="tx1"/>
            </w14:solidFill>
          </w14:textFill>
        </w:rPr>
        <w:t>磋商文件</w:t>
      </w:r>
      <w:r>
        <w:rPr>
          <w:rFonts w:hint="eastAsia" w:ascii="宋体" w:hAnsi="宋体" w:cs="宋体"/>
          <w:i/>
          <w:iCs/>
          <w:color w:val="000000" w:themeColor="text1"/>
          <w:sz w:val="24"/>
          <w:highlight w:val="none"/>
          <w:u w:val="single"/>
          <w14:textFill>
            <w14:solidFill>
              <w14:schemeClr w14:val="tx1"/>
            </w14:solidFill>
          </w14:textFill>
        </w:rPr>
        <w:t>中明确的所属行业）</w:t>
      </w:r>
      <w:r>
        <w:rPr>
          <w:rFonts w:hint="eastAsia" w:ascii="宋体" w:hAnsi="宋体" w:cs="宋体"/>
          <w:color w:val="000000" w:themeColor="text1"/>
          <w:sz w:val="24"/>
          <w:highlight w:val="none"/>
          <w14:textFill>
            <w14:solidFill>
              <w14:schemeClr w14:val="tx1"/>
            </w14:solidFill>
          </w14:textFill>
        </w:rPr>
        <w:t>行业；承接企业为</w:t>
      </w:r>
      <w:r>
        <w:rPr>
          <w:rFonts w:hint="eastAsia" w:ascii="宋体" w:hAnsi="宋体" w:cs="宋体"/>
          <w:i/>
          <w:iCs/>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，从业人员人，营业收入为万元，资产总额为万元，属于</w:t>
      </w:r>
      <w:r>
        <w:rPr>
          <w:rFonts w:hint="eastAsia" w:ascii="宋体" w:hAnsi="宋体" w:cs="宋体"/>
          <w:i/>
          <w:iCs/>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w:t>
      </w:r>
    </w:p>
    <w:p w14:paraId="3418386D">
      <w:pPr>
        <w:keepNext w:val="0"/>
        <w:keepLines w:val="0"/>
        <w:pageBreakBefore w:val="0"/>
        <w:widowControl w:val="0"/>
        <w:numPr>
          <w:ilvl w:val="0"/>
          <w:numId w:val="10"/>
        </w:numPr>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（标的名称） </w:t>
      </w:r>
      <w:r>
        <w:rPr>
          <w:rFonts w:hint="eastAsia" w:ascii="宋体" w:hAnsi="宋体" w:cs="宋体"/>
          <w:color w:val="000000" w:themeColor="text1"/>
          <w:sz w:val="24"/>
          <w:highlight w:val="none"/>
          <w14:textFill>
            <w14:solidFill>
              <w14:schemeClr w14:val="tx1"/>
            </w14:solidFill>
          </w14:textFill>
        </w:rPr>
        <w:t>，属于</w:t>
      </w:r>
      <w:r>
        <w:rPr>
          <w:rFonts w:hint="eastAsia" w:ascii="宋体" w:hAnsi="宋体" w:cs="宋体"/>
          <w:i/>
          <w:iCs/>
          <w:color w:val="000000" w:themeColor="text1"/>
          <w:sz w:val="24"/>
          <w:highlight w:val="none"/>
          <w:u w:val="single"/>
          <w14:textFill>
            <w14:solidFill>
              <w14:schemeClr w14:val="tx1"/>
            </w14:solidFill>
          </w14:textFill>
        </w:rPr>
        <w:t>（</w:t>
      </w:r>
      <w:r>
        <w:rPr>
          <w:rFonts w:hint="eastAsia" w:ascii="宋体" w:hAnsi="宋体" w:cs="宋体"/>
          <w:i/>
          <w:iCs/>
          <w:color w:val="000000" w:themeColor="text1"/>
          <w:sz w:val="24"/>
          <w:highlight w:val="none"/>
          <w:u w:val="single"/>
          <w:lang w:eastAsia="zh-CN"/>
          <w14:textFill>
            <w14:solidFill>
              <w14:schemeClr w14:val="tx1"/>
            </w14:solidFill>
          </w14:textFill>
        </w:rPr>
        <w:t>磋商文件</w:t>
      </w:r>
      <w:r>
        <w:rPr>
          <w:rFonts w:hint="eastAsia" w:ascii="宋体" w:hAnsi="宋体" w:cs="宋体"/>
          <w:i/>
          <w:iCs/>
          <w:color w:val="000000" w:themeColor="text1"/>
          <w:sz w:val="24"/>
          <w:highlight w:val="none"/>
          <w:u w:val="single"/>
          <w14:textFill>
            <w14:solidFill>
              <w14:schemeClr w14:val="tx1"/>
            </w14:solidFill>
          </w14:textFill>
        </w:rPr>
        <w:t>中明确的所属行业）</w:t>
      </w:r>
      <w:r>
        <w:rPr>
          <w:rFonts w:hint="eastAsia" w:ascii="宋体" w:hAnsi="宋体" w:cs="宋体"/>
          <w:color w:val="000000" w:themeColor="text1"/>
          <w:sz w:val="24"/>
          <w:highlight w:val="none"/>
          <w14:textFill>
            <w14:solidFill>
              <w14:schemeClr w14:val="tx1"/>
            </w14:solidFill>
          </w14:textFill>
        </w:rPr>
        <w:t>行业；承接企业为</w:t>
      </w:r>
      <w:r>
        <w:rPr>
          <w:rFonts w:hint="eastAsia" w:ascii="宋体" w:hAnsi="宋体" w:cs="宋体"/>
          <w:i/>
          <w:iCs/>
          <w:color w:val="000000" w:themeColor="text1"/>
          <w:sz w:val="24"/>
          <w:highlight w:val="none"/>
          <w:u w:val="single"/>
          <w14:textFill>
            <w14:solidFill>
              <w14:schemeClr w14:val="tx1"/>
            </w14:solidFill>
          </w14:textFill>
        </w:rPr>
        <w:t>（企业名称）</w:t>
      </w:r>
      <w:r>
        <w:rPr>
          <w:rFonts w:hint="eastAsia" w:ascii="宋体" w:hAnsi="宋体" w:cs="宋体"/>
          <w:color w:val="000000" w:themeColor="text1"/>
          <w:sz w:val="24"/>
          <w:highlight w:val="none"/>
          <w14:textFill>
            <w14:solidFill>
              <w14:schemeClr w14:val="tx1"/>
            </w14:solidFill>
          </w14:textFill>
        </w:rPr>
        <w:t>，从业人员人，营业收入为万元，资产总额为万元，属于</w:t>
      </w:r>
      <w:r>
        <w:rPr>
          <w:rFonts w:hint="eastAsia" w:ascii="宋体" w:hAnsi="宋体" w:cs="宋体"/>
          <w:i/>
          <w:iCs/>
          <w:color w:val="000000" w:themeColor="text1"/>
          <w:sz w:val="24"/>
          <w:highlight w:val="none"/>
          <w:u w:val="single"/>
          <w14:textFill>
            <w14:solidFill>
              <w14:schemeClr w14:val="tx1"/>
            </w14:solidFill>
          </w14:textFill>
        </w:rPr>
        <w:t>（中型企业、小型企业、微型企业）</w:t>
      </w:r>
      <w:r>
        <w:rPr>
          <w:rFonts w:hint="eastAsia" w:ascii="宋体" w:hAnsi="宋体" w:cs="宋体"/>
          <w:color w:val="000000" w:themeColor="text1"/>
          <w:sz w:val="24"/>
          <w:highlight w:val="none"/>
          <w14:textFill>
            <w14:solidFill>
              <w14:schemeClr w14:val="tx1"/>
            </w14:solidFill>
          </w14:textFill>
        </w:rPr>
        <w:t>；</w:t>
      </w:r>
    </w:p>
    <w:p w14:paraId="6E3426E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p w14:paraId="12BA6D5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30AE17C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本企业对上述声明内容的真实性负责。如有虚假，将依法承担相应责任。</w:t>
      </w:r>
    </w:p>
    <w:p w14:paraId="0DBEE164">
      <w:pPr>
        <w:spacing w:line="600" w:lineRule="exact"/>
        <w:ind w:firstLine="40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企业名称（</w:t>
      </w:r>
      <w:r>
        <w:rPr>
          <w:rFonts w:hint="eastAsia" w:ascii="宋体" w:hAnsi="宋体" w:cs="宋体"/>
          <w:color w:val="000000" w:themeColor="text1"/>
          <w:highlight w:val="none"/>
          <w14:textFill>
            <w14:solidFill>
              <w14:schemeClr w14:val="tx1"/>
            </w14:solidFill>
          </w14:textFill>
        </w:rPr>
        <w:t>加盖CA电子公章</w:t>
      </w:r>
      <w:r>
        <w:rPr>
          <w:rFonts w:hint="eastAsia" w:ascii="宋体" w:hAnsi="宋体" w:cs="宋体"/>
          <w:color w:val="000000" w:themeColor="text1"/>
          <w:sz w:val="24"/>
          <w:highlight w:val="none"/>
          <w14:textFill>
            <w14:solidFill>
              <w14:schemeClr w14:val="tx1"/>
            </w14:solidFill>
          </w14:textFill>
        </w:rPr>
        <w:t>）：</w:t>
      </w:r>
    </w:p>
    <w:p w14:paraId="098B59C0">
      <w:pPr>
        <w:spacing w:line="600" w:lineRule="exact"/>
        <w:ind w:firstLine="40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p>
    <w:p w14:paraId="113892EC">
      <w:pPr>
        <w:spacing w:line="0" w:lineRule="atLeast"/>
        <w:ind w:firstLine="480"/>
        <w:rPr>
          <w:rFonts w:ascii="Calibri" w:hAnsi="Calibri"/>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备注</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从业人员、营业收入、资产总额填报上一年度数据，无上一年度数据的新成立企业可不填报。</w:t>
      </w:r>
    </w:p>
    <w:p w14:paraId="29487072">
      <w:pPr>
        <w:spacing w:line="560" w:lineRule="exact"/>
        <w:jc w:val="center"/>
        <w:rPr>
          <w:rFonts w:ascii="宋体" w:hAnsi="宋体" w:cs="宋体"/>
          <w:b/>
          <w:bCs/>
          <w:color w:val="000000" w:themeColor="text1"/>
          <w:sz w:val="24"/>
          <w:highlight w:val="none"/>
          <w14:textFill>
            <w14:solidFill>
              <w14:schemeClr w14:val="tx1"/>
            </w14:solidFill>
          </w14:textFill>
        </w:rPr>
      </w:pPr>
    </w:p>
    <w:p w14:paraId="578E2647">
      <w:pPr>
        <w:pStyle w:val="35"/>
        <w:spacing w:beforeAutospacing="0" w:afterAutospacing="0"/>
        <w:jc w:val="left"/>
        <w:rPr>
          <w:rFonts w:hint="eastAsia" w:ascii="黑体" w:eastAsia="黑体" w:cs="黑体"/>
          <w:b/>
          <w:color w:val="000000"/>
          <w:sz w:val="32"/>
          <w:szCs w:val="32"/>
          <w:highlight w:val="none"/>
        </w:rPr>
      </w:pPr>
    </w:p>
    <w:p w14:paraId="224C55F1">
      <w:pPr>
        <w:pStyle w:val="35"/>
        <w:spacing w:beforeAutospacing="0" w:afterAutospacing="0"/>
        <w:jc w:val="center"/>
        <w:rPr>
          <w:rFonts w:hint="eastAsia" w:ascii="黑体" w:eastAsia="黑体" w:cs="黑体"/>
          <w:b/>
          <w:color w:val="000000"/>
          <w:sz w:val="32"/>
          <w:szCs w:val="32"/>
          <w:highlight w:val="none"/>
        </w:rPr>
      </w:pPr>
    </w:p>
    <w:p w14:paraId="27C9CA3A">
      <w:pPr>
        <w:pStyle w:val="35"/>
        <w:spacing w:beforeAutospacing="0" w:afterAutospacing="0"/>
        <w:jc w:val="both"/>
        <w:rPr>
          <w:rFonts w:hint="eastAsia" w:ascii="黑体" w:eastAsia="黑体" w:cs="黑体"/>
          <w:b/>
          <w:color w:val="000000"/>
          <w:sz w:val="32"/>
          <w:szCs w:val="32"/>
          <w:highlight w:val="none"/>
        </w:rPr>
      </w:pPr>
    </w:p>
    <w:p w14:paraId="29525B3F">
      <w:pPr>
        <w:pStyle w:val="35"/>
        <w:spacing w:beforeAutospacing="0" w:afterAutospacing="0"/>
        <w:jc w:val="both"/>
        <w:rPr>
          <w:rFonts w:hint="eastAsia" w:ascii="黑体" w:eastAsia="黑体" w:cs="黑体"/>
          <w:b/>
          <w:color w:val="000000"/>
          <w:sz w:val="32"/>
          <w:szCs w:val="32"/>
          <w:highlight w:val="none"/>
        </w:rPr>
      </w:pPr>
    </w:p>
    <w:p w14:paraId="05B8C76F">
      <w:pPr>
        <w:pStyle w:val="35"/>
        <w:spacing w:beforeAutospacing="0" w:afterAutospacing="0"/>
        <w:jc w:val="both"/>
        <w:rPr>
          <w:rFonts w:hint="eastAsia" w:ascii="黑体" w:eastAsia="黑体" w:cs="黑体"/>
          <w:b/>
          <w:color w:val="000000"/>
          <w:sz w:val="32"/>
          <w:szCs w:val="32"/>
          <w:highlight w:val="none"/>
        </w:rPr>
      </w:pPr>
    </w:p>
    <w:p w14:paraId="634D83A9">
      <w:pPr>
        <w:pStyle w:val="35"/>
        <w:spacing w:beforeAutospacing="0" w:afterAutospacing="0"/>
        <w:jc w:val="both"/>
        <w:rPr>
          <w:rFonts w:hint="eastAsia" w:ascii="黑体" w:eastAsia="黑体" w:cs="黑体"/>
          <w:b/>
          <w:color w:val="000000"/>
          <w:sz w:val="32"/>
          <w:szCs w:val="32"/>
          <w:highlight w:val="none"/>
        </w:rPr>
      </w:pPr>
    </w:p>
    <w:p w14:paraId="0DC61386">
      <w:pPr>
        <w:pStyle w:val="35"/>
        <w:spacing w:beforeAutospacing="0" w:afterAutospacing="0"/>
        <w:jc w:val="both"/>
        <w:rPr>
          <w:rFonts w:hint="eastAsia" w:ascii="黑体" w:eastAsia="黑体" w:cs="黑体"/>
          <w:b/>
          <w:color w:val="000000"/>
          <w:sz w:val="32"/>
          <w:szCs w:val="32"/>
          <w:highlight w:val="none"/>
        </w:rPr>
      </w:pPr>
    </w:p>
    <w:p w14:paraId="1D5D5A81">
      <w:pPr>
        <w:pStyle w:val="35"/>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highlight w:val="none"/>
        </w:rPr>
      </w:pPr>
      <w:r>
        <w:rPr>
          <w:rFonts w:hint="eastAsia" w:ascii="黑体" w:eastAsia="黑体" w:cs="黑体"/>
          <w:b/>
          <w:color w:val="000000"/>
          <w:sz w:val="32"/>
          <w:szCs w:val="32"/>
          <w:highlight w:val="none"/>
        </w:rPr>
        <w:t>十、残疾人福利性单位声明函</w:t>
      </w:r>
    </w:p>
    <w:p w14:paraId="31153F22">
      <w:pPr>
        <w:pStyle w:val="35"/>
        <w:widowControl w:val="0"/>
        <w:spacing w:before="0" w:beforeAutospacing="0" w:after="0" w:afterAutospacing="0" w:line="440" w:lineRule="exact"/>
        <w:ind w:firstLine="480"/>
        <w:jc w:val="both"/>
        <w:rPr>
          <w:rFonts w:hint="eastAsia"/>
          <w:highlight w:val="none"/>
        </w:rPr>
      </w:pPr>
      <w:r>
        <w:rPr>
          <w:rFonts w:hint="eastAsia"/>
          <w:color w:val="00000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olor w:val="000000"/>
          <w:highlight w:val="none"/>
          <w:u w:val="single"/>
        </w:rPr>
        <w:t>（采购人名称）</w:t>
      </w:r>
      <w:r>
        <w:rPr>
          <w:rFonts w:hint="eastAsia"/>
          <w:color w:val="000000"/>
          <w:highlight w:val="none"/>
        </w:rPr>
        <w:t>单位的采购文件编号为______的</w:t>
      </w:r>
      <w:r>
        <w:rPr>
          <w:rFonts w:hint="eastAsia"/>
          <w:color w:val="000000"/>
          <w:highlight w:val="none"/>
          <w:u w:val="single"/>
        </w:rPr>
        <w:t xml:space="preserve">       </w:t>
      </w:r>
      <w:r>
        <w:rPr>
          <w:rFonts w:hint="eastAsia"/>
          <w:color w:val="000000"/>
          <w:highlight w:val="none"/>
        </w:rPr>
        <w:t>项目采购活动提供本单位制造的货物，或者提供其他残疾人福利性单位制造的货物（不包括使用非残疾人福利性单位注册商标的货物）。</w:t>
      </w:r>
    </w:p>
    <w:p w14:paraId="23B76633">
      <w:pPr>
        <w:pStyle w:val="35"/>
        <w:widowControl w:val="0"/>
        <w:spacing w:before="0" w:beforeAutospacing="0" w:after="0" w:afterAutospacing="0" w:line="440" w:lineRule="exact"/>
        <w:ind w:firstLine="480"/>
        <w:jc w:val="both"/>
        <w:rPr>
          <w:rFonts w:hint="eastAsia"/>
          <w:highlight w:val="none"/>
        </w:rPr>
      </w:pPr>
      <w:r>
        <w:rPr>
          <w:rFonts w:hint="eastAsia"/>
          <w:color w:val="000000"/>
          <w:highlight w:val="none"/>
        </w:rPr>
        <w:t>本单位对上述声明的真实性负责。如有虚假，将依法承担相应责任。</w:t>
      </w:r>
    </w:p>
    <w:p w14:paraId="141B6584">
      <w:pPr>
        <w:pStyle w:val="35"/>
        <w:widowControl w:val="0"/>
        <w:spacing w:before="0" w:beforeAutospacing="0" w:after="0" w:afterAutospacing="0" w:line="440" w:lineRule="exact"/>
        <w:ind w:firstLine="480"/>
        <w:jc w:val="both"/>
        <w:rPr>
          <w:rFonts w:hint="eastAsia"/>
          <w:highlight w:val="none"/>
        </w:rPr>
      </w:pPr>
    </w:p>
    <w:p w14:paraId="347DD4B3">
      <w:pPr>
        <w:pStyle w:val="35"/>
        <w:widowControl w:val="0"/>
        <w:spacing w:before="0" w:beforeAutospacing="0" w:after="0" w:afterAutospacing="0" w:line="440" w:lineRule="exact"/>
        <w:ind w:firstLine="480"/>
        <w:jc w:val="both"/>
        <w:rPr>
          <w:rFonts w:hint="eastAsia"/>
          <w:color w:val="000000"/>
          <w:highlight w:val="none"/>
        </w:rPr>
      </w:pPr>
      <w:r>
        <w:rPr>
          <w:rFonts w:hint="eastAsia"/>
          <w:color w:val="000000"/>
          <w:highlight w:val="none"/>
        </w:rPr>
        <w:t>备注：1、供应商如不提供此声明函，价格将不做相应扣除（如项目全面面向中小企业，则资格审查不通过）。</w:t>
      </w:r>
    </w:p>
    <w:p w14:paraId="117A1FD4">
      <w:pPr>
        <w:pStyle w:val="35"/>
        <w:widowControl w:val="0"/>
        <w:spacing w:before="0" w:beforeAutospacing="0" w:after="0" w:afterAutospacing="0" w:line="440" w:lineRule="exact"/>
        <w:ind w:firstLine="480"/>
        <w:jc w:val="both"/>
        <w:rPr>
          <w:rFonts w:hint="eastAsia"/>
          <w:color w:val="000000"/>
          <w:highlight w:val="none"/>
        </w:rPr>
      </w:pPr>
      <w:r>
        <w:rPr>
          <w:rFonts w:hint="eastAsia"/>
          <w:color w:val="000000"/>
          <w:highlight w:val="none"/>
        </w:rPr>
        <w:t>2、成交供应商为残疾人福利单位的，此声明函将随成交结果同时公告，接受社会监督。</w:t>
      </w:r>
    </w:p>
    <w:p w14:paraId="54861EED">
      <w:pPr>
        <w:pStyle w:val="35"/>
        <w:widowControl w:val="0"/>
        <w:spacing w:before="0" w:beforeAutospacing="0" w:after="0" w:afterAutospacing="0" w:line="440" w:lineRule="exact"/>
        <w:ind w:firstLine="480"/>
        <w:jc w:val="both"/>
        <w:rPr>
          <w:rFonts w:hint="eastAsia"/>
          <w:highlight w:val="none"/>
        </w:rPr>
      </w:pPr>
      <w:r>
        <w:rPr>
          <w:rFonts w:hint="eastAsia"/>
          <w:color w:val="000000"/>
          <w:highlight w:val="none"/>
        </w:rPr>
        <w:t>3、如供应商不是残疾人福利性单位，不需要提供此表。</w:t>
      </w:r>
    </w:p>
    <w:p w14:paraId="6E5629E6">
      <w:pPr>
        <w:pStyle w:val="35"/>
        <w:widowControl w:val="0"/>
        <w:spacing w:before="0" w:beforeAutospacing="0" w:after="0" w:afterAutospacing="0" w:line="440" w:lineRule="exact"/>
        <w:jc w:val="both"/>
        <w:rPr>
          <w:rFonts w:hint="eastAsia"/>
          <w:highlight w:val="none"/>
        </w:rPr>
      </w:pPr>
    </w:p>
    <w:p w14:paraId="7564ABAA">
      <w:pPr>
        <w:pStyle w:val="35"/>
        <w:widowControl w:val="0"/>
        <w:tabs>
          <w:tab w:val="left" w:pos="4864"/>
        </w:tabs>
        <w:spacing w:before="0" w:beforeAutospacing="0" w:after="0" w:afterAutospacing="0" w:line="440" w:lineRule="exact"/>
        <w:ind w:right="1560" w:firstLine="4560" w:firstLineChars="1900"/>
        <w:rPr>
          <w:rFonts w:hint="eastAsia"/>
          <w:highlight w:val="none"/>
        </w:rPr>
      </w:pPr>
      <w:r>
        <w:rPr>
          <w:rFonts w:hint="eastAsia"/>
          <w:color w:val="000000"/>
          <w:highlight w:val="none"/>
        </w:rPr>
        <w:t>供应商全称（加盖公章）：</w:t>
      </w:r>
    </w:p>
    <w:p w14:paraId="702DAFB3">
      <w:pPr>
        <w:pStyle w:val="35"/>
        <w:widowControl w:val="0"/>
        <w:tabs>
          <w:tab w:val="left" w:pos="4864"/>
        </w:tabs>
        <w:spacing w:before="0" w:beforeAutospacing="0" w:after="0" w:afterAutospacing="0" w:line="440" w:lineRule="exact"/>
        <w:ind w:right="1560" w:firstLine="480"/>
        <w:jc w:val="center"/>
        <w:rPr>
          <w:rFonts w:hint="eastAsia"/>
          <w:highlight w:val="none"/>
        </w:rPr>
      </w:pPr>
      <w:r>
        <w:rPr>
          <w:rFonts w:hint="eastAsia"/>
          <w:color w:val="000000"/>
          <w:highlight w:val="none"/>
        </w:rPr>
        <w:t>        日  期：</w:t>
      </w:r>
    </w:p>
    <w:p w14:paraId="46221D23">
      <w:pPr>
        <w:pStyle w:val="35"/>
        <w:widowControl w:val="0"/>
        <w:spacing w:before="0" w:beforeAutospacing="0" w:after="0" w:afterAutospacing="0" w:line="440" w:lineRule="exact"/>
        <w:jc w:val="center"/>
        <w:rPr>
          <w:rFonts w:hint="eastAsia"/>
          <w:highlight w:val="none"/>
        </w:rPr>
      </w:pPr>
      <w:r>
        <w:rPr>
          <w:highlight w:val="none"/>
        </w:rPr>
        <w:t> </w:t>
      </w:r>
    </w:p>
    <w:p w14:paraId="399622E8">
      <w:pPr>
        <w:pStyle w:val="35"/>
        <w:widowControl w:val="0"/>
        <w:spacing w:before="0" w:beforeAutospacing="0" w:after="0" w:afterAutospacing="0" w:line="0" w:lineRule="atLeast"/>
        <w:jc w:val="center"/>
        <w:rPr>
          <w:rFonts w:hint="eastAsia"/>
          <w:highlight w:val="none"/>
        </w:rPr>
      </w:pPr>
      <w:r>
        <w:rPr>
          <w:highlight w:val="none"/>
        </w:rPr>
        <w:t> </w:t>
      </w:r>
    </w:p>
    <w:p w14:paraId="493F211B">
      <w:pPr>
        <w:pStyle w:val="35"/>
        <w:widowControl w:val="0"/>
        <w:spacing w:before="0" w:beforeAutospacing="0" w:after="0" w:afterAutospacing="0" w:line="0" w:lineRule="atLeast"/>
        <w:jc w:val="center"/>
        <w:rPr>
          <w:rFonts w:hint="eastAsia"/>
          <w:highlight w:val="none"/>
        </w:rPr>
      </w:pPr>
      <w:r>
        <w:rPr>
          <w:highlight w:val="none"/>
        </w:rPr>
        <w:t> </w:t>
      </w:r>
    </w:p>
    <w:p w14:paraId="6B8D60E8">
      <w:pPr>
        <w:pStyle w:val="35"/>
        <w:widowControl w:val="0"/>
        <w:spacing w:before="0" w:beforeAutospacing="0" w:after="0" w:afterAutospacing="0" w:line="0" w:lineRule="atLeast"/>
        <w:jc w:val="center"/>
        <w:rPr>
          <w:rFonts w:hint="eastAsia"/>
          <w:highlight w:val="none"/>
        </w:rPr>
      </w:pPr>
      <w:r>
        <w:rPr>
          <w:highlight w:val="none"/>
        </w:rPr>
        <w:t> </w:t>
      </w:r>
    </w:p>
    <w:p w14:paraId="1AB652E4">
      <w:pPr>
        <w:pStyle w:val="35"/>
        <w:widowControl w:val="0"/>
        <w:spacing w:before="0" w:beforeAutospacing="0" w:after="0" w:afterAutospacing="0" w:line="0" w:lineRule="atLeast"/>
        <w:jc w:val="center"/>
        <w:rPr>
          <w:rFonts w:hint="eastAsia"/>
          <w:highlight w:val="none"/>
        </w:rPr>
      </w:pPr>
      <w:r>
        <w:rPr>
          <w:highlight w:val="none"/>
        </w:rPr>
        <w:t> </w:t>
      </w:r>
    </w:p>
    <w:p w14:paraId="5D36B14F">
      <w:pPr>
        <w:pStyle w:val="35"/>
        <w:widowControl w:val="0"/>
        <w:spacing w:before="0" w:beforeAutospacing="0" w:after="0" w:afterAutospacing="0" w:line="0" w:lineRule="atLeast"/>
        <w:jc w:val="center"/>
        <w:rPr>
          <w:rFonts w:hint="eastAsia"/>
          <w:highlight w:val="none"/>
        </w:rPr>
      </w:pPr>
      <w:r>
        <w:rPr>
          <w:highlight w:val="none"/>
        </w:rPr>
        <w:t> </w:t>
      </w:r>
    </w:p>
    <w:p w14:paraId="204B5936">
      <w:pPr>
        <w:pStyle w:val="35"/>
        <w:widowControl w:val="0"/>
        <w:spacing w:before="0" w:beforeAutospacing="0" w:after="0" w:afterAutospacing="0" w:line="0" w:lineRule="atLeast"/>
        <w:jc w:val="center"/>
        <w:rPr>
          <w:rFonts w:hint="eastAsia"/>
          <w:highlight w:val="none"/>
        </w:rPr>
      </w:pPr>
      <w:r>
        <w:rPr>
          <w:highlight w:val="none"/>
        </w:rPr>
        <w:t> </w:t>
      </w:r>
    </w:p>
    <w:p w14:paraId="181884D1">
      <w:pPr>
        <w:pStyle w:val="35"/>
        <w:widowControl w:val="0"/>
        <w:spacing w:before="0" w:beforeAutospacing="0" w:after="0" w:afterAutospacing="0" w:line="0" w:lineRule="atLeast"/>
        <w:jc w:val="center"/>
        <w:rPr>
          <w:rFonts w:hint="eastAsia"/>
          <w:highlight w:val="none"/>
        </w:rPr>
      </w:pPr>
      <w:r>
        <w:rPr>
          <w:highlight w:val="none"/>
        </w:rPr>
        <w:t> </w:t>
      </w:r>
    </w:p>
    <w:p w14:paraId="0E704B9B">
      <w:pPr>
        <w:pStyle w:val="35"/>
        <w:widowControl w:val="0"/>
        <w:spacing w:before="0" w:beforeAutospacing="0" w:after="0" w:afterAutospacing="0" w:line="0" w:lineRule="atLeast"/>
        <w:jc w:val="center"/>
        <w:rPr>
          <w:rFonts w:hint="eastAsia"/>
          <w:highlight w:val="none"/>
        </w:rPr>
      </w:pPr>
      <w:r>
        <w:rPr>
          <w:highlight w:val="none"/>
        </w:rPr>
        <w:t> </w:t>
      </w:r>
    </w:p>
    <w:p w14:paraId="0DB0359D">
      <w:pPr>
        <w:pStyle w:val="35"/>
        <w:widowControl w:val="0"/>
        <w:spacing w:before="0" w:beforeAutospacing="0" w:after="0" w:afterAutospacing="0" w:line="0" w:lineRule="atLeast"/>
        <w:jc w:val="center"/>
        <w:rPr>
          <w:rFonts w:hint="eastAsia"/>
          <w:highlight w:val="none"/>
        </w:rPr>
      </w:pPr>
      <w:r>
        <w:rPr>
          <w:highlight w:val="none"/>
        </w:rPr>
        <w:t> </w:t>
      </w:r>
    </w:p>
    <w:p w14:paraId="0C9D8340">
      <w:pPr>
        <w:pStyle w:val="35"/>
        <w:widowControl w:val="0"/>
        <w:spacing w:before="0" w:beforeAutospacing="0" w:after="0" w:afterAutospacing="0" w:line="0" w:lineRule="atLeast"/>
        <w:jc w:val="center"/>
        <w:rPr>
          <w:rFonts w:hint="eastAsia"/>
          <w:highlight w:val="none"/>
        </w:rPr>
      </w:pPr>
      <w:r>
        <w:rPr>
          <w:highlight w:val="none"/>
        </w:rPr>
        <w:t> </w:t>
      </w:r>
    </w:p>
    <w:p w14:paraId="62A926F9">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7A578852">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018C935B">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2F0555CD">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17D7FA63">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7BFEFA1F">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03320537">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07DF8298">
      <w:pPr>
        <w:pStyle w:val="35"/>
        <w:widowControl w:val="0"/>
        <w:spacing w:before="0" w:beforeAutospacing="0" w:after="0" w:afterAutospacing="0" w:line="0" w:lineRule="atLeast"/>
        <w:jc w:val="center"/>
        <w:rPr>
          <w:rFonts w:hint="eastAsia" w:ascii="黑体" w:eastAsia="黑体" w:cs="黑体"/>
          <w:b/>
          <w:color w:val="000000"/>
          <w:sz w:val="32"/>
          <w:szCs w:val="32"/>
          <w:highlight w:val="none"/>
        </w:rPr>
      </w:pPr>
    </w:p>
    <w:p w14:paraId="1817200B">
      <w:pPr>
        <w:pStyle w:val="35"/>
        <w:widowControl w:val="0"/>
        <w:spacing w:before="0" w:beforeAutospacing="0" w:after="0" w:afterAutospacing="0" w:line="0" w:lineRule="atLeast"/>
        <w:jc w:val="center"/>
        <w:rPr>
          <w:rFonts w:hint="eastAsia" w:ascii="黑体" w:eastAsia="黑体" w:cs="黑体"/>
          <w:b/>
          <w:color w:val="FF0000"/>
          <w:sz w:val="32"/>
          <w:szCs w:val="32"/>
          <w:highlight w:val="none"/>
        </w:rPr>
      </w:pPr>
      <w:r>
        <w:rPr>
          <w:rFonts w:hint="eastAsia" w:ascii="黑体" w:eastAsia="黑体" w:cs="黑体"/>
          <w:b/>
          <w:color w:val="000000"/>
          <w:sz w:val="32"/>
          <w:szCs w:val="32"/>
          <w:highlight w:val="none"/>
        </w:rPr>
        <w:br w:type="page" w:clear="all"/>
      </w:r>
    </w:p>
    <w:p w14:paraId="5286ECE1">
      <w:pPr>
        <w:pStyle w:val="35"/>
        <w:spacing w:beforeAutospacing="0" w:afterAutospacing="0"/>
        <w:jc w:val="center"/>
        <w:rPr>
          <w:rFonts w:hint="eastAsia" w:eastAsia="宋体" w:cs="宋体"/>
          <w:highlight w:val="none"/>
        </w:rPr>
      </w:pPr>
      <w:r>
        <w:rPr>
          <w:rFonts w:hint="eastAsia" w:eastAsia="宋体" w:cs="宋体"/>
          <w:b/>
          <w:sz w:val="32"/>
          <w:szCs w:val="32"/>
          <w:highlight w:val="none"/>
        </w:rPr>
        <w:t>十</w:t>
      </w:r>
      <w:r>
        <w:rPr>
          <w:rFonts w:hint="eastAsia" w:cs="宋体"/>
          <w:b/>
          <w:sz w:val="32"/>
          <w:szCs w:val="32"/>
          <w:highlight w:val="none"/>
          <w:lang w:val="en-US" w:eastAsia="zh-CN"/>
        </w:rPr>
        <w:t>一</w:t>
      </w:r>
      <w:r>
        <w:rPr>
          <w:rFonts w:hint="eastAsia" w:eastAsia="宋体" w:cs="宋体"/>
          <w:b/>
          <w:sz w:val="32"/>
          <w:szCs w:val="32"/>
          <w:highlight w:val="none"/>
        </w:rPr>
        <w:t>、已标价工程量清单</w:t>
      </w:r>
    </w:p>
    <w:p w14:paraId="78B2E8DE">
      <w:pPr>
        <w:pStyle w:val="14"/>
        <w:ind w:firstLine="551"/>
        <w:rPr>
          <w:rFonts w:hint="eastAsia" w:ascii="宋体" w:eastAsia="宋体" w:cs="宋体"/>
          <w:b/>
          <w:color w:val="auto"/>
          <w:sz w:val="28"/>
          <w:szCs w:val="28"/>
          <w:highlight w:val="none"/>
        </w:rPr>
      </w:pPr>
    </w:p>
    <w:p w14:paraId="020113C7">
      <w:pPr>
        <w:pStyle w:val="14"/>
        <w:ind w:firstLine="551"/>
        <w:rPr>
          <w:rFonts w:hint="eastAsia" w:ascii="宋体" w:eastAsia="宋体" w:cs="宋体"/>
          <w:color w:val="auto"/>
          <w:highlight w:val="none"/>
        </w:rPr>
      </w:pPr>
      <w:r>
        <w:rPr>
          <w:rFonts w:hint="eastAsia" w:ascii="宋体" w:eastAsia="宋体" w:cs="宋体"/>
          <w:b/>
          <w:color w:val="auto"/>
          <w:sz w:val="28"/>
          <w:szCs w:val="28"/>
          <w:highlight w:val="none"/>
        </w:rPr>
        <w:t>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p>
    <w:p w14:paraId="1500EB1C">
      <w:pPr>
        <w:spacing w:line="320" w:lineRule="exact"/>
        <w:ind w:firstLine="420"/>
        <w:rPr>
          <w:rFonts w:ascii="黑体" w:eastAsia="黑体" w:cs="黑体"/>
          <w:b/>
          <w:color w:val="FF0000"/>
          <w:sz w:val="32"/>
          <w:szCs w:val="32"/>
          <w:highlight w:val="none"/>
        </w:rPr>
      </w:pPr>
    </w:p>
    <w:p w14:paraId="3FAB5686">
      <w:pPr>
        <w:pStyle w:val="35"/>
        <w:widowControl w:val="0"/>
        <w:spacing w:before="0" w:beforeAutospacing="0" w:after="0" w:afterAutospacing="0"/>
        <w:jc w:val="both"/>
        <w:rPr>
          <w:rFonts w:hint="eastAsia" w:ascii="黑体" w:eastAsia="黑体" w:cs="黑体"/>
          <w:b/>
          <w:color w:val="FF0000"/>
          <w:sz w:val="32"/>
          <w:szCs w:val="32"/>
          <w:highlight w:val="none"/>
        </w:rPr>
      </w:pPr>
    </w:p>
    <w:p w14:paraId="25AC0550">
      <w:pPr>
        <w:pStyle w:val="35"/>
        <w:widowControl w:val="0"/>
        <w:spacing w:before="0" w:beforeAutospacing="0" w:after="0" w:afterAutospacing="0"/>
        <w:jc w:val="both"/>
        <w:rPr>
          <w:rFonts w:hint="eastAsia" w:ascii="黑体" w:eastAsia="黑体" w:cs="黑体"/>
          <w:b/>
          <w:color w:val="FF0000"/>
          <w:sz w:val="32"/>
          <w:szCs w:val="32"/>
          <w:highlight w:val="none"/>
        </w:rPr>
      </w:pPr>
    </w:p>
    <w:p w14:paraId="232598DE">
      <w:pPr>
        <w:pStyle w:val="35"/>
        <w:widowControl w:val="0"/>
        <w:spacing w:before="0" w:beforeAutospacing="0" w:after="0" w:afterAutospacing="0"/>
        <w:jc w:val="both"/>
        <w:rPr>
          <w:rFonts w:hint="eastAsia" w:ascii="黑体" w:eastAsia="黑体" w:cs="黑体"/>
          <w:b/>
          <w:color w:val="FF0000"/>
          <w:sz w:val="32"/>
          <w:szCs w:val="32"/>
          <w:highlight w:val="none"/>
        </w:rPr>
      </w:pPr>
    </w:p>
    <w:p w14:paraId="65D03E53">
      <w:pPr>
        <w:pStyle w:val="35"/>
        <w:widowControl w:val="0"/>
        <w:spacing w:before="0" w:beforeAutospacing="0" w:after="0" w:afterAutospacing="0"/>
        <w:jc w:val="both"/>
        <w:rPr>
          <w:rFonts w:hint="eastAsia" w:ascii="黑体" w:eastAsia="黑体" w:cs="黑体"/>
          <w:b/>
          <w:color w:val="FF0000"/>
          <w:sz w:val="32"/>
          <w:szCs w:val="32"/>
          <w:highlight w:val="none"/>
        </w:rPr>
      </w:pPr>
    </w:p>
    <w:p w14:paraId="5AFC35C3">
      <w:pPr>
        <w:pStyle w:val="35"/>
        <w:widowControl w:val="0"/>
        <w:spacing w:before="0" w:beforeAutospacing="0" w:after="0" w:afterAutospacing="0"/>
        <w:jc w:val="both"/>
        <w:rPr>
          <w:rFonts w:hint="eastAsia" w:ascii="黑体" w:eastAsia="黑体" w:cs="黑体"/>
          <w:b/>
          <w:color w:val="FF0000"/>
          <w:sz w:val="32"/>
          <w:szCs w:val="32"/>
          <w:highlight w:val="none"/>
        </w:rPr>
      </w:pPr>
    </w:p>
    <w:p w14:paraId="2A5E9577">
      <w:pPr>
        <w:pStyle w:val="35"/>
        <w:widowControl w:val="0"/>
        <w:spacing w:before="0" w:beforeAutospacing="0" w:after="0" w:afterAutospacing="0"/>
        <w:jc w:val="both"/>
        <w:rPr>
          <w:rFonts w:hint="eastAsia" w:ascii="黑体" w:eastAsia="黑体" w:cs="黑体"/>
          <w:b/>
          <w:color w:val="FF0000"/>
          <w:sz w:val="32"/>
          <w:szCs w:val="32"/>
          <w:highlight w:val="none"/>
        </w:rPr>
      </w:pPr>
    </w:p>
    <w:p w14:paraId="3AA10E8A">
      <w:pPr>
        <w:pStyle w:val="35"/>
        <w:widowControl w:val="0"/>
        <w:spacing w:before="0" w:beforeAutospacing="0" w:after="0" w:afterAutospacing="0"/>
        <w:jc w:val="both"/>
        <w:rPr>
          <w:rFonts w:hint="eastAsia" w:ascii="黑体" w:eastAsia="黑体" w:cs="黑体"/>
          <w:b/>
          <w:color w:val="FF0000"/>
          <w:sz w:val="32"/>
          <w:szCs w:val="32"/>
          <w:highlight w:val="none"/>
        </w:rPr>
      </w:pPr>
    </w:p>
    <w:p w14:paraId="320DA5B3">
      <w:pPr>
        <w:pStyle w:val="35"/>
        <w:widowControl w:val="0"/>
        <w:spacing w:before="0" w:beforeAutospacing="0" w:after="0" w:afterAutospacing="0"/>
        <w:jc w:val="both"/>
        <w:rPr>
          <w:rFonts w:hint="eastAsia" w:ascii="黑体" w:eastAsia="黑体" w:cs="黑体"/>
          <w:b/>
          <w:color w:val="FF0000"/>
          <w:sz w:val="32"/>
          <w:szCs w:val="32"/>
          <w:highlight w:val="none"/>
        </w:rPr>
      </w:pPr>
    </w:p>
    <w:p w14:paraId="79855BA3">
      <w:pPr>
        <w:pStyle w:val="35"/>
        <w:widowControl w:val="0"/>
        <w:spacing w:before="0" w:beforeAutospacing="0" w:after="0" w:afterAutospacing="0"/>
        <w:jc w:val="both"/>
        <w:rPr>
          <w:rFonts w:hint="eastAsia" w:ascii="黑体" w:eastAsia="黑体" w:cs="黑体"/>
          <w:b/>
          <w:color w:val="FF0000"/>
          <w:sz w:val="32"/>
          <w:szCs w:val="32"/>
          <w:highlight w:val="none"/>
        </w:rPr>
      </w:pPr>
    </w:p>
    <w:p w14:paraId="08B1ED75">
      <w:pPr>
        <w:pStyle w:val="35"/>
        <w:widowControl w:val="0"/>
        <w:spacing w:before="0" w:beforeAutospacing="0" w:after="0" w:afterAutospacing="0"/>
        <w:jc w:val="both"/>
        <w:rPr>
          <w:rFonts w:hint="eastAsia" w:ascii="黑体" w:eastAsia="黑体" w:cs="黑体"/>
          <w:b/>
          <w:color w:val="FF0000"/>
          <w:sz w:val="32"/>
          <w:szCs w:val="32"/>
          <w:highlight w:val="none"/>
        </w:rPr>
      </w:pPr>
    </w:p>
    <w:p w14:paraId="646FAA3B">
      <w:pPr>
        <w:pStyle w:val="35"/>
        <w:widowControl w:val="0"/>
        <w:spacing w:before="0" w:beforeAutospacing="0" w:after="0" w:afterAutospacing="0"/>
        <w:jc w:val="both"/>
        <w:rPr>
          <w:rFonts w:hint="eastAsia" w:ascii="黑体" w:eastAsia="黑体" w:cs="黑体"/>
          <w:b/>
          <w:color w:val="FF0000"/>
          <w:sz w:val="32"/>
          <w:szCs w:val="32"/>
          <w:highlight w:val="none"/>
        </w:rPr>
      </w:pPr>
    </w:p>
    <w:p w14:paraId="2971E856">
      <w:pPr>
        <w:pStyle w:val="35"/>
        <w:widowControl w:val="0"/>
        <w:spacing w:before="0" w:beforeAutospacing="0" w:after="0" w:afterAutospacing="0"/>
        <w:jc w:val="both"/>
        <w:rPr>
          <w:rFonts w:hint="eastAsia" w:ascii="黑体" w:eastAsia="黑体" w:cs="黑体"/>
          <w:b/>
          <w:color w:val="FF0000"/>
          <w:sz w:val="32"/>
          <w:szCs w:val="32"/>
          <w:highlight w:val="none"/>
        </w:rPr>
      </w:pPr>
    </w:p>
    <w:p w14:paraId="3074FBAC">
      <w:pPr>
        <w:pStyle w:val="35"/>
        <w:widowControl w:val="0"/>
        <w:spacing w:before="0" w:beforeAutospacing="0" w:after="0" w:afterAutospacing="0"/>
        <w:jc w:val="both"/>
        <w:rPr>
          <w:rFonts w:hint="eastAsia" w:ascii="黑体" w:eastAsia="黑体" w:cs="黑体"/>
          <w:b/>
          <w:color w:val="FF0000"/>
          <w:sz w:val="32"/>
          <w:szCs w:val="32"/>
          <w:highlight w:val="none"/>
        </w:rPr>
      </w:pPr>
    </w:p>
    <w:p w14:paraId="5E115BF1">
      <w:pPr>
        <w:pStyle w:val="35"/>
        <w:widowControl w:val="0"/>
        <w:spacing w:before="0" w:beforeAutospacing="0" w:after="0" w:afterAutospacing="0"/>
        <w:jc w:val="both"/>
        <w:rPr>
          <w:rFonts w:hint="eastAsia" w:ascii="黑体" w:eastAsia="黑体" w:cs="黑体"/>
          <w:b/>
          <w:color w:val="FF0000"/>
          <w:sz w:val="32"/>
          <w:szCs w:val="32"/>
          <w:highlight w:val="none"/>
        </w:rPr>
      </w:pPr>
    </w:p>
    <w:p w14:paraId="11660755">
      <w:pPr>
        <w:pStyle w:val="35"/>
        <w:widowControl w:val="0"/>
        <w:spacing w:before="0" w:beforeAutospacing="0" w:after="0" w:afterAutospacing="0"/>
        <w:jc w:val="both"/>
        <w:rPr>
          <w:rFonts w:hint="eastAsia" w:ascii="黑体" w:eastAsia="黑体" w:cs="黑体"/>
          <w:b/>
          <w:color w:val="FF0000"/>
          <w:sz w:val="32"/>
          <w:szCs w:val="32"/>
          <w:highlight w:val="none"/>
        </w:rPr>
      </w:pPr>
    </w:p>
    <w:p w14:paraId="37F39E0C">
      <w:pPr>
        <w:pStyle w:val="35"/>
        <w:widowControl w:val="0"/>
        <w:spacing w:before="0" w:beforeAutospacing="0" w:after="0" w:afterAutospacing="0"/>
        <w:jc w:val="both"/>
        <w:rPr>
          <w:rFonts w:hint="eastAsia" w:ascii="黑体" w:eastAsia="黑体" w:cs="黑体"/>
          <w:b/>
          <w:color w:val="FF0000"/>
          <w:sz w:val="32"/>
          <w:szCs w:val="32"/>
          <w:highlight w:val="none"/>
        </w:rPr>
      </w:pPr>
    </w:p>
    <w:p w14:paraId="7321937F">
      <w:pPr>
        <w:pStyle w:val="35"/>
        <w:widowControl w:val="0"/>
        <w:spacing w:before="0" w:beforeAutospacing="0" w:after="0" w:afterAutospacing="0"/>
        <w:jc w:val="both"/>
        <w:rPr>
          <w:rFonts w:hint="eastAsia" w:ascii="黑体" w:eastAsia="黑体" w:cs="黑体"/>
          <w:b/>
          <w:color w:val="FF0000"/>
          <w:sz w:val="32"/>
          <w:szCs w:val="32"/>
          <w:highlight w:val="none"/>
        </w:rPr>
      </w:pPr>
    </w:p>
    <w:p w14:paraId="72591126">
      <w:pPr>
        <w:pStyle w:val="35"/>
        <w:widowControl w:val="0"/>
        <w:spacing w:before="0" w:beforeAutospacing="0" w:after="0" w:afterAutospacing="0"/>
        <w:jc w:val="both"/>
        <w:rPr>
          <w:rFonts w:hint="eastAsia" w:ascii="黑体" w:eastAsia="黑体" w:cs="黑体"/>
          <w:b/>
          <w:color w:val="FF0000"/>
          <w:sz w:val="32"/>
          <w:szCs w:val="32"/>
          <w:highlight w:val="none"/>
        </w:rPr>
      </w:pPr>
    </w:p>
    <w:p w14:paraId="4E24FAEC">
      <w:pPr>
        <w:pStyle w:val="35"/>
        <w:widowControl w:val="0"/>
        <w:spacing w:before="0" w:beforeAutospacing="0" w:after="0" w:afterAutospacing="0"/>
        <w:jc w:val="center"/>
        <w:rPr>
          <w:rFonts w:hint="eastAsia" w:ascii="黑体" w:eastAsia="黑体" w:cs="黑体"/>
          <w:b/>
          <w:color w:val="000000"/>
          <w:sz w:val="32"/>
          <w:szCs w:val="32"/>
          <w:highlight w:val="none"/>
        </w:rPr>
      </w:pPr>
    </w:p>
    <w:p w14:paraId="55E6A19A">
      <w:pPr>
        <w:pStyle w:val="35"/>
        <w:widowControl w:val="0"/>
        <w:spacing w:before="0" w:beforeAutospacing="0" w:after="0" w:afterAutospacing="0"/>
        <w:jc w:val="center"/>
        <w:rPr>
          <w:rFonts w:hint="eastAsia"/>
          <w:highlight w:val="none"/>
        </w:rPr>
      </w:pPr>
      <w:r>
        <w:rPr>
          <w:rFonts w:hint="eastAsia" w:ascii="黑体" w:eastAsia="黑体" w:cs="黑体"/>
          <w:b/>
          <w:color w:val="000000"/>
          <w:sz w:val="32"/>
          <w:szCs w:val="32"/>
          <w:highlight w:val="none"/>
        </w:rPr>
        <w:t>十</w:t>
      </w:r>
      <w:r>
        <w:rPr>
          <w:rFonts w:hint="eastAsia" w:ascii="黑体" w:eastAsia="黑体" w:cs="黑体"/>
          <w:b/>
          <w:color w:val="000000"/>
          <w:sz w:val="32"/>
          <w:szCs w:val="32"/>
          <w:highlight w:val="none"/>
          <w:lang w:val="en-US" w:eastAsia="zh-CN"/>
        </w:rPr>
        <w:t>二</w:t>
      </w:r>
      <w:r>
        <w:rPr>
          <w:rFonts w:hint="eastAsia" w:ascii="黑体" w:eastAsia="黑体" w:cs="黑体"/>
          <w:b/>
          <w:color w:val="000000"/>
          <w:sz w:val="32"/>
          <w:szCs w:val="32"/>
          <w:highlight w:val="none"/>
        </w:rPr>
        <w:t>、技术要求响应及偏离表</w:t>
      </w:r>
    </w:p>
    <w:tbl>
      <w:tblPr>
        <w:tblStyle w:val="40"/>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6D5F54B0">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0BA5188">
            <w:pPr>
              <w:pStyle w:val="35"/>
              <w:widowControl w:val="0"/>
              <w:spacing w:before="0" w:beforeAutospacing="0" w:after="0" w:afterAutospacing="0"/>
              <w:jc w:val="center"/>
              <w:rPr>
                <w:rFonts w:hint="eastAsia"/>
                <w:highlight w:val="none"/>
              </w:rPr>
            </w:pPr>
            <w:r>
              <w:rPr>
                <w:rFonts w:hint="eastAsia"/>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2FADDAA8">
            <w:pPr>
              <w:pStyle w:val="35"/>
              <w:widowControl w:val="0"/>
              <w:spacing w:before="0" w:beforeAutospacing="0" w:after="0" w:afterAutospacing="0"/>
              <w:jc w:val="center"/>
              <w:rPr>
                <w:rFonts w:hint="eastAsia"/>
                <w:highlight w:val="none"/>
              </w:rPr>
            </w:pPr>
            <w:r>
              <w:rPr>
                <w:rFonts w:hint="eastAsia"/>
                <w:color w:val="000000"/>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7169E05E">
            <w:pPr>
              <w:pStyle w:val="35"/>
              <w:widowControl w:val="0"/>
              <w:spacing w:before="0" w:beforeAutospacing="0" w:after="0" w:afterAutospacing="0"/>
              <w:jc w:val="center"/>
              <w:rPr>
                <w:rFonts w:hint="eastAsia"/>
                <w:highlight w:val="none"/>
              </w:rPr>
            </w:pPr>
            <w:r>
              <w:rPr>
                <w:rFonts w:hint="eastAsia"/>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31C92756">
            <w:pPr>
              <w:pStyle w:val="35"/>
              <w:widowControl w:val="0"/>
              <w:spacing w:before="0" w:beforeAutospacing="0" w:after="0" w:afterAutospacing="0"/>
              <w:jc w:val="center"/>
              <w:rPr>
                <w:rFonts w:hint="eastAsia"/>
                <w:highlight w:val="none"/>
              </w:rPr>
            </w:pPr>
            <w:r>
              <w:rPr>
                <w:rFonts w:hint="eastAsia"/>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540E1C3">
            <w:pPr>
              <w:pStyle w:val="35"/>
              <w:widowControl w:val="0"/>
              <w:spacing w:before="0" w:beforeAutospacing="0" w:after="0" w:afterAutospacing="0"/>
              <w:jc w:val="center"/>
              <w:rPr>
                <w:rFonts w:hint="eastAsia"/>
                <w:highlight w:val="none"/>
              </w:rPr>
            </w:pPr>
            <w:r>
              <w:rPr>
                <w:rFonts w:hint="eastAsia"/>
                <w:color w:val="000000"/>
                <w:highlight w:val="none"/>
              </w:rPr>
              <w:t>证明</w:t>
            </w:r>
          </w:p>
          <w:p w14:paraId="35F702D5">
            <w:pPr>
              <w:pStyle w:val="35"/>
              <w:widowControl w:val="0"/>
              <w:spacing w:before="0" w:beforeAutospacing="0" w:after="0" w:afterAutospacing="0"/>
              <w:jc w:val="center"/>
              <w:rPr>
                <w:rFonts w:hint="eastAsia"/>
                <w:highlight w:val="none"/>
              </w:rPr>
            </w:pPr>
            <w:r>
              <w:rPr>
                <w:rFonts w:hint="eastAsia"/>
                <w:color w:val="000000"/>
                <w:highlight w:val="none"/>
              </w:rPr>
              <w:t>材料</w:t>
            </w:r>
          </w:p>
        </w:tc>
      </w:tr>
      <w:tr w14:paraId="087323A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84C9348">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6E0DD4F">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DD9157">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2C6BDA5">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6838EDA">
            <w:pPr>
              <w:pStyle w:val="35"/>
              <w:widowControl w:val="0"/>
              <w:spacing w:before="0" w:beforeAutospacing="0" w:after="0" w:afterAutospacing="0"/>
              <w:jc w:val="center"/>
              <w:rPr>
                <w:rFonts w:hint="eastAsia"/>
                <w:highlight w:val="none"/>
              </w:rPr>
            </w:pPr>
            <w:r>
              <w:rPr>
                <w:highlight w:val="none"/>
              </w:rPr>
              <w:t> </w:t>
            </w:r>
          </w:p>
        </w:tc>
      </w:tr>
      <w:tr w14:paraId="7BBD3A08">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96FA8A9">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746FCA4">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4D1713D">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2E40694">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EF9A26F">
            <w:pPr>
              <w:pStyle w:val="35"/>
              <w:widowControl w:val="0"/>
              <w:spacing w:before="0" w:beforeAutospacing="0" w:after="0" w:afterAutospacing="0"/>
              <w:jc w:val="center"/>
              <w:rPr>
                <w:rFonts w:hint="eastAsia"/>
                <w:highlight w:val="none"/>
              </w:rPr>
            </w:pPr>
            <w:r>
              <w:rPr>
                <w:highlight w:val="none"/>
              </w:rPr>
              <w:t> </w:t>
            </w:r>
          </w:p>
        </w:tc>
      </w:tr>
      <w:tr w14:paraId="02CFAE7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EE42DF1">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340519C">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9EBE514">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1134F75">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3576142">
            <w:pPr>
              <w:pStyle w:val="35"/>
              <w:widowControl w:val="0"/>
              <w:spacing w:before="0" w:beforeAutospacing="0" w:after="0" w:afterAutospacing="0"/>
              <w:jc w:val="center"/>
              <w:rPr>
                <w:rFonts w:hint="eastAsia"/>
                <w:highlight w:val="none"/>
              </w:rPr>
            </w:pPr>
            <w:r>
              <w:rPr>
                <w:highlight w:val="none"/>
              </w:rPr>
              <w:t> </w:t>
            </w:r>
          </w:p>
        </w:tc>
      </w:tr>
      <w:tr w14:paraId="2DEAAB7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8BDD68F">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79D936B">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557912B">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FB71EC4">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CCD196">
            <w:pPr>
              <w:pStyle w:val="35"/>
              <w:widowControl w:val="0"/>
              <w:spacing w:before="0" w:beforeAutospacing="0" w:after="0" w:afterAutospacing="0"/>
              <w:jc w:val="center"/>
              <w:rPr>
                <w:rFonts w:hint="eastAsia"/>
                <w:highlight w:val="none"/>
              </w:rPr>
            </w:pPr>
            <w:r>
              <w:rPr>
                <w:highlight w:val="none"/>
              </w:rPr>
              <w:t> </w:t>
            </w:r>
          </w:p>
        </w:tc>
      </w:tr>
      <w:tr w14:paraId="17B03A1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5886821C">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A8C28C9">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1D94685">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995E29">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3DAF766">
            <w:pPr>
              <w:pStyle w:val="35"/>
              <w:widowControl w:val="0"/>
              <w:spacing w:before="0" w:beforeAutospacing="0" w:after="0" w:afterAutospacing="0"/>
              <w:jc w:val="center"/>
              <w:rPr>
                <w:rFonts w:hint="eastAsia"/>
                <w:highlight w:val="none"/>
              </w:rPr>
            </w:pPr>
            <w:r>
              <w:rPr>
                <w:highlight w:val="none"/>
              </w:rPr>
              <w:t> </w:t>
            </w:r>
          </w:p>
        </w:tc>
      </w:tr>
      <w:tr w14:paraId="584C9E01">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240E2A91">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D99678E">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1622271">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D70963D">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7EC96E5">
            <w:pPr>
              <w:pStyle w:val="35"/>
              <w:widowControl w:val="0"/>
              <w:spacing w:before="0" w:beforeAutospacing="0" w:after="0" w:afterAutospacing="0"/>
              <w:jc w:val="center"/>
              <w:rPr>
                <w:rFonts w:hint="eastAsia"/>
                <w:highlight w:val="none"/>
              </w:rPr>
            </w:pPr>
            <w:r>
              <w:rPr>
                <w:highlight w:val="none"/>
              </w:rPr>
              <w:t> </w:t>
            </w:r>
          </w:p>
        </w:tc>
      </w:tr>
      <w:tr w14:paraId="0FFA5856">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42CA4DA">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8BBC01C">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D661954">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55CD93">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F6DE0C6">
            <w:pPr>
              <w:pStyle w:val="35"/>
              <w:widowControl w:val="0"/>
              <w:spacing w:before="0" w:beforeAutospacing="0" w:after="0" w:afterAutospacing="0"/>
              <w:jc w:val="center"/>
              <w:rPr>
                <w:rFonts w:hint="eastAsia"/>
                <w:highlight w:val="none"/>
              </w:rPr>
            </w:pPr>
            <w:r>
              <w:rPr>
                <w:highlight w:val="none"/>
              </w:rPr>
              <w:t> </w:t>
            </w:r>
          </w:p>
        </w:tc>
      </w:tr>
      <w:tr w14:paraId="3988767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C2B53C2">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948A6B3">
            <w:pPr>
              <w:pStyle w:val="35"/>
              <w:widowControl w:val="0"/>
              <w:spacing w:before="0" w:beforeAutospacing="0" w:after="0" w:afterAutospacing="0"/>
              <w:jc w:val="center"/>
              <w:rPr>
                <w:rFonts w:hint="eastAsia"/>
                <w:highlight w:val="none"/>
              </w:rPr>
            </w:pPr>
            <w:r>
              <w:rPr>
                <w:rFonts w:hint="eastAsia"/>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7CA852C7">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E607000">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B4DD7F9">
            <w:pPr>
              <w:pStyle w:val="35"/>
              <w:widowControl w:val="0"/>
              <w:spacing w:before="0" w:beforeAutospacing="0" w:after="0" w:afterAutospacing="0"/>
              <w:jc w:val="center"/>
              <w:rPr>
                <w:rFonts w:hint="eastAsia"/>
                <w:highlight w:val="none"/>
              </w:rPr>
            </w:pPr>
            <w:r>
              <w:rPr>
                <w:highlight w:val="none"/>
              </w:rPr>
              <w:t> </w:t>
            </w:r>
          </w:p>
        </w:tc>
      </w:tr>
    </w:tbl>
    <w:p w14:paraId="28F631AF">
      <w:pPr>
        <w:pStyle w:val="35"/>
        <w:widowControl w:val="0"/>
        <w:spacing w:before="0" w:beforeAutospacing="0" w:after="0" w:afterAutospacing="0"/>
        <w:jc w:val="both"/>
        <w:rPr>
          <w:rFonts w:hint="eastAsia"/>
          <w:highlight w:val="none"/>
        </w:rPr>
      </w:pPr>
      <w:r>
        <w:rPr>
          <w:rFonts w:hint="eastAsia"/>
          <w:color w:val="000000"/>
          <w:highlight w:val="none"/>
        </w:rPr>
        <w:t>注： 行数不够，可自行添加。</w:t>
      </w:r>
    </w:p>
    <w:p w14:paraId="022246FB">
      <w:pPr>
        <w:jc w:val="center"/>
        <w:rPr>
          <w:highlight w:val="none"/>
        </w:rPr>
      </w:pPr>
      <w:bookmarkStart w:id="145" w:name="_Hlt26955054"/>
      <w:r>
        <w:rPr>
          <w:rFonts w:hint="eastAsia"/>
          <w:highlight w:val="none"/>
        </w:rPr>
        <w:br w:type="page" w:clear="all"/>
      </w:r>
      <w:r>
        <w:rPr>
          <w:rFonts w:hint="eastAsia" w:ascii="黑体" w:eastAsia="黑体" w:cs="黑体"/>
          <w:b/>
          <w:color w:val="000000"/>
          <w:sz w:val="32"/>
          <w:szCs w:val="32"/>
          <w:highlight w:val="none"/>
        </w:rPr>
        <w:t>十</w:t>
      </w:r>
      <w:r>
        <w:rPr>
          <w:rFonts w:hint="eastAsia" w:ascii="黑体" w:eastAsia="黑体" w:cs="黑体"/>
          <w:b/>
          <w:color w:val="000000"/>
          <w:sz w:val="32"/>
          <w:szCs w:val="32"/>
          <w:highlight w:val="none"/>
          <w:lang w:eastAsia="zh-CN"/>
        </w:rPr>
        <w:t>三</w:t>
      </w:r>
      <w:r>
        <w:rPr>
          <w:rFonts w:hint="eastAsia" w:ascii="黑体" w:eastAsia="黑体" w:cs="黑体"/>
          <w:b/>
          <w:color w:val="000000"/>
          <w:sz w:val="32"/>
          <w:szCs w:val="32"/>
          <w:highlight w:val="none"/>
        </w:rPr>
        <w:t>、商务要求响应及偏离表</w:t>
      </w:r>
    </w:p>
    <w:tbl>
      <w:tblPr>
        <w:tblStyle w:val="40"/>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246CC3D5">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99A6989">
            <w:pPr>
              <w:pStyle w:val="35"/>
              <w:widowControl w:val="0"/>
              <w:spacing w:before="0" w:beforeAutospacing="0" w:after="0" w:afterAutospacing="0"/>
              <w:jc w:val="center"/>
              <w:rPr>
                <w:rFonts w:hint="eastAsia"/>
                <w:highlight w:val="none"/>
              </w:rPr>
            </w:pPr>
            <w:r>
              <w:rPr>
                <w:rFonts w:hint="eastAsia"/>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1752D7A3">
            <w:pPr>
              <w:pStyle w:val="35"/>
              <w:widowControl w:val="0"/>
              <w:spacing w:before="0" w:beforeAutospacing="0" w:after="0" w:afterAutospacing="0"/>
              <w:jc w:val="center"/>
              <w:rPr>
                <w:rFonts w:hint="eastAsia"/>
                <w:highlight w:val="none"/>
              </w:rPr>
            </w:pPr>
            <w:r>
              <w:rPr>
                <w:rFonts w:hint="eastAsia"/>
                <w:color w:val="000000"/>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7F86F9DD">
            <w:pPr>
              <w:pStyle w:val="35"/>
              <w:widowControl w:val="0"/>
              <w:spacing w:before="0" w:beforeAutospacing="0" w:after="0" w:afterAutospacing="0"/>
              <w:jc w:val="center"/>
              <w:rPr>
                <w:rFonts w:hint="eastAsia"/>
                <w:highlight w:val="none"/>
              </w:rPr>
            </w:pPr>
            <w:r>
              <w:rPr>
                <w:rFonts w:hint="eastAsia"/>
                <w:color w:val="000000"/>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61ADD24">
            <w:pPr>
              <w:pStyle w:val="35"/>
              <w:widowControl w:val="0"/>
              <w:spacing w:before="0" w:beforeAutospacing="0" w:after="0" w:afterAutospacing="0"/>
              <w:jc w:val="center"/>
              <w:rPr>
                <w:rFonts w:hint="eastAsia"/>
                <w:highlight w:val="none"/>
              </w:rPr>
            </w:pPr>
            <w:r>
              <w:rPr>
                <w:rFonts w:hint="eastAsia"/>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29AC5C9">
            <w:pPr>
              <w:pStyle w:val="35"/>
              <w:widowControl w:val="0"/>
              <w:spacing w:before="0" w:beforeAutospacing="0" w:after="0" w:afterAutospacing="0"/>
              <w:jc w:val="center"/>
              <w:rPr>
                <w:rFonts w:hint="eastAsia"/>
                <w:highlight w:val="none"/>
              </w:rPr>
            </w:pPr>
            <w:r>
              <w:rPr>
                <w:rFonts w:hint="eastAsia"/>
                <w:color w:val="000000"/>
                <w:highlight w:val="none"/>
              </w:rPr>
              <w:t>证明</w:t>
            </w:r>
          </w:p>
          <w:p w14:paraId="618B4952">
            <w:pPr>
              <w:pStyle w:val="35"/>
              <w:widowControl w:val="0"/>
              <w:spacing w:before="0" w:beforeAutospacing="0" w:after="0" w:afterAutospacing="0"/>
              <w:jc w:val="center"/>
              <w:rPr>
                <w:rFonts w:hint="eastAsia"/>
                <w:highlight w:val="none"/>
              </w:rPr>
            </w:pPr>
            <w:r>
              <w:rPr>
                <w:rFonts w:hint="eastAsia"/>
                <w:color w:val="000000"/>
                <w:highlight w:val="none"/>
              </w:rPr>
              <w:t>材料</w:t>
            </w:r>
          </w:p>
        </w:tc>
      </w:tr>
      <w:tr w14:paraId="1829F29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656C1ABA">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4FCCAA8">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30A4374">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446045C">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8BAE9D">
            <w:pPr>
              <w:pStyle w:val="35"/>
              <w:widowControl w:val="0"/>
              <w:spacing w:before="0" w:beforeAutospacing="0" w:after="0" w:afterAutospacing="0"/>
              <w:jc w:val="center"/>
              <w:rPr>
                <w:rFonts w:hint="eastAsia"/>
                <w:highlight w:val="none"/>
              </w:rPr>
            </w:pPr>
            <w:r>
              <w:rPr>
                <w:highlight w:val="none"/>
              </w:rPr>
              <w:t> </w:t>
            </w:r>
          </w:p>
        </w:tc>
      </w:tr>
      <w:tr w14:paraId="04816CF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A9DC6A9">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693FD23">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58500DD">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3432747">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B151ECC">
            <w:pPr>
              <w:pStyle w:val="35"/>
              <w:widowControl w:val="0"/>
              <w:spacing w:before="0" w:beforeAutospacing="0" w:after="0" w:afterAutospacing="0"/>
              <w:jc w:val="center"/>
              <w:rPr>
                <w:rFonts w:hint="eastAsia"/>
                <w:highlight w:val="none"/>
              </w:rPr>
            </w:pPr>
            <w:r>
              <w:rPr>
                <w:highlight w:val="none"/>
              </w:rPr>
              <w:t> </w:t>
            </w:r>
          </w:p>
        </w:tc>
      </w:tr>
      <w:tr w14:paraId="7AE2BE4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B788494">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08DBB5B">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00ADD8B">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6BF887F">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BADB483">
            <w:pPr>
              <w:pStyle w:val="35"/>
              <w:widowControl w:val="0"/>
              <w:spacing w:before="0" w:beforeAutospacing="0" w:after="0" w:afterAutospacing="0"/>
              <w:jc w:val="center"/>
              <w:rPr>
                <w:rFonts w:hint="eastAsia"/>
                <w:highlight w:val="none"/>
              </w:rPr>
            </w:pPr>
            <w:r>
              <w:rPr>
                <w:highlight w:val="none"/>
              </w:rPr>
              <w:t> </w:t>
            </w:r>
          </w:p>
        </w:tc>
      </w:tr>
      <w:tr w14:paraId="3CDDD3B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6C76BC5E">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6780DFC">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0BD0628">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9A28790">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692A366">
            <w:pPr>
              <w:pStyle w:val="35"/>
              <w:widowControl w:val="0"/>
              <w:spacing w:before="0" w:beforeAutospacing="0" w:after="0" w:afterAutospacing="0"/>
              <w:jc w:val="center"/>
              <w:rPr>
                <w:rFonts w:hint="eastAsia"/>
                <w:highlight w:val="none"/>
              </w:rPr>
            </w:pPr>
            <w:r>
              <w:rPr>
                <w:highlight w:val="none"/>
              </w:rPr>
              <w:t> </w:t>
            </w:r>
          </w:p>
        </w:tc>
      </w:tr>
      <w:tr w14:paraId="067D856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49A1368A">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93DB9C4">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53B36F8">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3681D18">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EC7A9BF">
            <w:pPr>
              <w:pStyle w:val="35"/>
              <w:widowControl w:val="0"/>
              <w:spacing w:before="0" w:beforeAutospacing="0" w:after="0" w:afterAutospacing="0"/>
              <w:jc w:val="center"/>
              <w:rPr>
                <w:rFonts w:hint="eastAsia"/>
                <w:highlight w:val="none"/>
              </w:rPr>
            </w:pPr>
            <w:r>
              <w:rPr>
                <w:highlight w:val="none"/>
              </w:rPr>
              <w:t> </w:t>
            </w:r>
          </w:p>
        </w:tc>
      </w:tr>
      <w:tr w14:paraId="2FE7414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5D0C6A91">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0C37F87">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EF01AA">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4B405B0">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AB5C383">
            <w:pPr>
              <w:pStyle w:val="35"/>
              <w:widowControl w:val="0"/>
              <w:spacing w:before="0" w:beforeAutospacing="0" w:after="0" w:afterAutospacing="0"/>
              <w:jc w:val="center"/>
              <w:rPr>
                <w:rFonts w:hint="eastAsia"/>
                <w:highlight w:val="none"/>
              </w:rPr>
            </w:pPr>
            <w:r>
              <w:rPr>
                <w:highlight w:val="none"/>
              </w:rPr>
              <w:t> </w:t>
            </w:r>
          </w:p>
        </w:tc>
      </w:tr>
      <w:tr w14:paraId="5880D94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5CDE9B7">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DF5FED3">
            <w:pPr>
              <w:pStyle w:val="35"/>
              <w:widowControl w:val="0"/>
              <w:spacing w:before="0" w:beforeAutospacing="0" w:after="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75BE72B">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A39687">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FBB33B7">
            <w:pPr>
              <w:pStyle w:val="35"/>
              <w:widowControl w:val="0"/>
              <w:spacing w:before="0" w:beforeAutospacing="0" w:after="0" w:afterAutospacing="0"/>
              <w:jc w:val="center"/>
              <w:rPr>
                <w:rFonts w:hint="eastAsia"/>
                <w:highlight w:val="none"/>
              </w:rPr>
            </w:pPr>
            <w:r>
              <w:rPr>
                <w:highlight w:val="none"/>
              </w:rPr>
              <w:t> </w:t>
            </w:r>
          </w:p>
        </w:tc>
      </w:tr>
      <w:tr w14:paraId="5BA015E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057BC9C0">
            <w:pPr>
              <w:pStyle w:val="35"/>
              <w:widowControl w:val="0"/>
              <w:spacing w:before="0" w:beforeAutospacing="0" w:after="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F22BCE0">
            <w:pPr>
              <w:pStyle w:val="35"/>
              <w:widowControl w:val="0"/>
              <w:spacing w:before="0" w:beforeAutospacing="0" w:after="0" w:afterAutospacing="0"/>
              <w:jc w:val="center"/>
              <w:rPr>
                <w:rFonts w:hint="eastAsia"/>
                <w:highlight w:val="none"/>
              </w:rPr>
            </w:pPr>
            <w:r>
              <w:rPr>
                <w:rFonts w:hint="eastAsia"/>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669E6152">
            <w:pPr>
              <w:pStyle w:val="35"/>
              <w:widowControl w:val="0"/>
              <w:spacing w:before="0" w:beforeAutospacing="0" w:after="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A29A22D">
            <w:pPr>
              <w:pStyle w:val="35"/>
              <w:widowControl w:val="0"/>
              <w:spacing w:before="0" w:beforeAutospacing="0" w:after="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B649C1">
            <w:pPr>
              <w:pStyle w:val="35"/>
              <w:widowControl w:val="0"/>
              <w:spacing w:before="0" w:beforeAutospacing="0" w:after="0" w:afterAutospacing="0"/>
              <w:jc w:val="center"/>
              <w:rPr>
                <w:rFonts w:hint="eastAsia"/>
                <w:highlight w:val="none"/>
              </w:rPr>
            </w:pPr>
            <w:r>
              <w:rPr>
                <w:highlight w:val="none"/>
              </w:rPr>
              <w:t> </w:t>
            </w:r>
          </w:p>
        </w:tc>
      </w:tr>
    </w:tbl>
    <w:p w14:paraId="4605FDC4">
      <w:pPr>
        <w:pStyle w:val="35"/>
        <w:widowControl w:val="0"/>
        <w:spacing w:before="0" w:beforeAutospacing="0" w:after="0" w:afterAutospacing="0"/>
        <w:jc w:val="both"/>
        <w:rPr>
          <w:rFonts w:hint="eastAsia"/>
          <w:highlight w:val="none"/>
        </w:rPr>
      </w:pPr>
      <w:r>
        <w:rPr>
          <w:rFonts w:hint="eastAsia"/>
          <w:color w:val="000000"/>
          <w:highlight w:val="none"/>
        </w:rPr>
        <w:t>注：行数不够，可自行添加。</w:t>
      </w:r>
    </w:p>
    <w:p w14:paraId="3C9D0F49">
      <w:pPr>
        <w:pStyle w:val="35"/>
        <w:widowControl w:val="0"/>
        <w:spacing w:before="0" w:beforeAutospacing="0" w:after="0" w:afterAutospacing="0" w:line="480" w:lineRule="auto"/>
        <w:jc w:val="both"/>
        <w:rPr>
          <w:rFonts w:hint="eastAsia"/>
          <w:highlight w:val="none"/>
        </w:rPr>
      </w:pPr>
      <w:r>
        <w:rPr>
          <w:highlight w:val="none"/>
        </w:rPr>
        <w:t> </w:t>
      </w:r>
    </w:p>
    <w:p w14:paraId="3A75CC4A">
      <w:pPr>
        <w:pStyle w:val="35"/>
        <w:widowControl w:val="0"/>
        <w:spacing w:before="0" w:beforeAutospacing="0" w:after="0" w:afterAutospacing="0" w:line="480" w:lineRule="auto"/>
        <w:jc w:val="both"/>
        <w:rPr>
          <w:rFonts w:hint="eastAsia"/>
          <w:highlight w:val="none"/>
        </w:rPr>
      </w:pPr>
      <w:r>
        <w:rPr>
          <w:highlight w:val="none"/>
        </w:rPr>
        <w:t> </w:t>
      </w:r>
    </w:p>
    <w:p w14:paraId="38915D59">
      <w:pPr>
        <w:pStyle w:val="35"/>
        <w:widowControl w:val="0"/>
        <w:spacing w:before="0" w:beforeAutospacing="0" w:after="0" w:afterAutospacing="0"/>
        <w:jc w:val="center"/>
        <w:rPr>
          <w:rFonts w:hint="eastAsia"/>
          <w:highlight w:val="none"/>
        </w:rPr>
      </w:pPr>
      <w:bookmarkStart w:id="146" w:name="_Hlt26955066"/>
      <w:bookmarkStart w:id="147" w:name="_Toc462564146"/>
      <w:bookmarkStart w:id="148" w:name="_Hlt26609389"/>
      <w:bookmarkStart w:id="149" w:name="_Hlt26671374"/>
      <w:bookmarkStart w:id="150" w:name="_格式2__法定代表人授权书"/>
      <w:r>
        <w:rPr>
          <w:highlight w:val="none"/>
        </w:rPr>
        <w:t> </w:t>
      </w:r>
    </w:p>
    <w:p w14:paraId="59A9D3A8">
      <w:pPr>
        <w:pStyle w:val="35"/>
        <w:widowControl w:val="0"/>
        <w:spacing w:before="0" w:beforeAutospacing="0" w:after="0" w:afterAutospacing="0"/>
        <w:jc w:val="center"/>
        <w:rPr>
          <w:rFonts w:hint="eastAsia"/>
          <w:highlight w:val="none"/>
        </w:rPr>
      </w:pPr>
      <w:r>
        <w:rPr>
          <w:highlight w:val="none"/>
        </w:rPr>
        <w:t> </w:t>
      </w:r>
    </w:p>
    <w:p w14:paraId="6F4B5576">
      <w:pPr>
        <w:pStyle w:val="35"/>
        <w:widowControl w:val="0"/>
        <w:spacing w:before="0" w:beforeAutospacing="0" w:after="0" w:afterAutospacing="0"/>
        <w:jc w:val="center"/>
        <w:rPr>
          <w:rFonts w:hint="eastAsia"/>
          <w:highlight w:val="none"/>
        </w:rPr>
      </w:pPr>
      <w:r>
        <w:rPr>
          <w:highlight w:val="none"/>
        </w:rPr>
        <w:t> </w:t>
      </w:r>
    </w:p>
    <w:p w14:paraId="5092CB20">
      <w:pPr>
        <w:pStyle w:val="35"/>
        <w:widowControl w:val="0"/>
        <w:spacing w:before="0" w:beforeAutospacing="0" w:after="0" w:afterAutospacing="0"/>
        <w:jc w:val="center"/>
        <w:rPr>
          <w:rFonts w:hint="eastAsia"/>
          <w:highlight w:val="none"/>
        </w:rPr>
      </w:pPr>
      <w:r>
        <w:rPr>
          <w:highlight w:val="none"/>
        </w:rPr>
        <w:t> </w:t>
      </w:r>
    </w:p>
    <w:p w14:paraId="79D074C2">
      <w:pPr>
        <w:pStyle w:val="35"/>
        <w:widowControl w:val="0"/>
        <w:spacing w:before="0" w:beforeAutospacing="0" w:after="0" w:afterAutospacing="0"/>
        <w:jc w:val="center"/>
        <w:rPr>
          <w:rFonts w:hint="eastAsia"/>
          <w:highlight w:val="none"/>
        </w:rPr>
      </w:pPr>
      <w:r>
        <w:rPr>
          <w:highlight w:val="none"/>
        </w:rPr>
        <w:t> </w:t>
      </w:r>
    </w:p>
    <w:p w14:paraId="56F90B99">
      <w:pPr>
        <w:pStyle w:val="35"/>
        <w:widowControl w:val="0"/>
        <w:spacing w:before="0" w:beforeAutospacing="0" w:after="0" w:afterAutospacing="0"/>
        <w:jc w:val="center"/>
        <w:rPr>
          <w:rFonts w:hint="eastAsia"/>
          <w:highlight w:val="none"/>
        </w:rPr>
      </w:pPr>
      <w:r>
        <w:rPr>
          <w:highlight w:val="none"/>
        </w:rPr>
        <w:t> </w:t>
      </w:r>
    </w:p>
    <w:p w14:paraId="685997EE">
      <w:pPr>
        <w:pStyle w:val="35"/>
        <w:widowControl w:val="0"/>
        <w:spacing w:before="0" w:beforeAutospacing="0" w:after="0" w:afterAutospacing="0"/>
        <w:jc w:val="center"/>
        <w:rPr>
          <w:highlight w:val="none"/>
        </w:rPr>
      </w:pPr>
    </w:p>
    <w:p w14:paraId="786B271F">
      <w:pPr>
        <w:pStyle w:val="35"/>
        <w:widowControl w:val="0"/>
        <w:spacing w:before="0" w:beforeAutospacing="0" w:after="0" w:afterAutospacing="0"/>
        <w:jc w:val="center"/>
        <w:rPr>
          <w:highlight w:val="none"/>
        </w:rPr>
      </w:pPr>
    </w:p>
    <w:p w14:paraId="49373843">
      <w:pPr>
        <w:pStyle w:val="35"/>
        <w:widowControl w:val="0"/>
        <w:spacing w:before="0" w:beforeAutospacing="0" w:after="0" w:afterAutospacing="0"/>
        <w:jc w:val="center"/>
        <w:rPr>
          <w:highlight w:val="none"/>
        </w:rPr>
      </w:pPr>
    </w:p>
    <w:p w14:paraId="70CD0C5F">
      <w:pPr>
        <w:pStyle w:val="35"/>
        <w:widowControl w:val="0"/>
        <w:spacing w:before="0" w:beforeAutospacing="0" w:after="0" w:afterAutospacing="0"/>
        <w:jc w:val="center"/>
        <w:rPr>
          <w:highlight w:val="none"/>
        </w:rPr>
      </w:pPr>
    </w:p>
    <w:p w14:paraId="294F9203">
      <w:pPr>
        <w:pStyle w:val="3"/>
        <w:keepNext w:val="0"/>
        <w:keepLines w:val="0"/>
        <w:widowControl/>
        <w:suppressLineNumbers w:val="0"/>
        <w:jc w:val="center"/>
        <w:rPr>
          <w:rFonts w:hint="eastAsia" w:ascii="黑体" w:eastAsia="黑体" w:cs="黑体"/>
          <w:i/>
          <w:color w:val="auto"/>
          <w:sz w:val="32"/>
          <w:szCs w:val="32"/>
          <w:highlight w:val="none"/>
          <w:u w:val="single"/>
        </w:rPr>
      </w:pPr>
      <w:r>
        <w:rPr>
          <w:rFonts w:hint="eastAsia" w:ascii="黑体" w:hAnsi="宋体" w:eastAsia="黑体" w:cs="黑体"/>
          <w:b/>
          <w:i/>
          <w:color w:val="auto"/>
          <w:sz w:val="32"/>
          <w:szCs w:val="32"/>
          <w:highlight w:val="none"/>
          <w:u w:val="single"/>
        </w:rPr>
        <w:t>十</w:t>
      </w:r>
      <w:r>
        <w:rPr>
          <w:rFonts w:hint="eastAsia" w:ascii="黑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w:t>
      </w:r>
      <w:r>
        <w:rPr>
          <w:rFonts w:hint="eastAsia" w:ascii="黑体" w:eastAsia="黑体" w:cs="黑体"/>
          <w:i/>
          <w:color w:val="auto"/>
          <w:sz w:val="32"/>
          <w:szCs w:val="32"/>
          <w:highlight w:val="none"/>
          <w:u w:val="single"/>
        </w:rPr>
        <w:t>磋商报价表</w:t>
      </w:r>
    </w:p>
    <w:p w14:paraId="4B072FEA">
      <w:pPr>
        <w:pStyle w:val="35"/>
        <w:keepNext w:val="0"/>
        <w:keepLines w:val="0"/>
        <w:widowControl/>
        <w:suppressLineNumbers w:val="0"/>
        <w:rPr>
          <w:highlight w:val="none"/>
        </w:rPr>
      </w:pPr>
      <w:r>
        <w:rPr>
          <w:highlight w:val="none"/>
        </w:rPr>
        <w:t>货币单位：人民币元</w:t>
      </w:r>
    </w:p>
    <w:p w14:paraId="2F070BD6">
      <w:pPr>
        <w:pStyle w:val="35"/>
        <w:keepNext w:val="0"/>
        <w:keepLines w:val="0"/>
        <w:widowControl/>
        <w:suppressLineNumbers w:val="0"/>
        <w:rPr>
          <w:highlight w:val="none"/>
        </w:rPr>
      </w:pPr>
      <w:r>
        <w:rPr>
          <w:highlight w:val="none"/>
        </w:rPr>
        <w:t>项目编号：  </w:t>
      </w:r>
    </w:p>
    <w:tbl>
      <w:tblPr>
        <w:tblStyle w:val="40"/>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709"/>
        <w:gridCol w:w="2706"/>
        <w:gridCol w:w="4029"/>
      </w:tblGrid>
      <w:tr w14:paraId="08E22D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664" w:type="dxa"/>
            <w:shd w:val="clear" w:color="auto" w:fill="auto"/>
            <w:vAlign w:val="center"/>
          </w:tcPr>
          <w:p w14:paraId="10D0BD77">
            <w:pPr>
              <w:pStyle w:val="35"/>
              <w:keepNext w:val="0"/>
              <w:keepLines w:val="0"/>
              <w:widowControl/>
              <w:suppressLineNumbers w:val="0"/>
              <w:rPr>
                <w:highlight w:val="none"/>
              </w:rPr>
            </w:pPr>
            <w:r>
              <w:rPr>
                <w:highlight w:val="none"/>
              </w:rPr>
              <w:t>项目名称</w:t>
            </w:r>
          </w:p>
        </w:tc>
        <w:tc>
          <w:tcPr>
            <w:tcW w:w="2676" w:type="dxa"/>
            <w:shd w:val="clear" w:color="auto" w:fill="auto"/>
            <w:vAlign w:val="center"/>
          </w:tcPr>
          <w:p w14:paraId="7326BEF5">
            <w:pPr>
              <w:pStyle w:val="35"/>
              <w:keepNext w:val="0"/>
              <w:keepLines w:val="0"/>
              <w:widowControl/>
              <w:suppressLineNumbers w:val="0"/>
              <w:rPr>
                <w:highlight w:val="none"/>
              </w:rPr>
            </w:pPr>
            <w:r>
              <w:rPr>
                <w:highlight w:val="none"/>
              </w:rPr>
              <w:t>项目内容</w:t>
            </w:r>
          </w:p>
        </w:tc>
        <w:tc>
          <w:tcPr>
            <w:tcW w:w="3984" w:type="dxa"/>
            <w:shd w:val="clear" w:color="auto" w:fill="auto"/>
            <w:vAlign w:val="center"/>
          </w:tcPr>
          <w:p w14:paraId="2BE9C0F9">
            <w:pPr>
              <w:pStyle w:val="35"/>
              <w:keepNext w:val="0"/>
              <w:keepLines w:val="0"/>
              <w:widowControl/>
              <w:suppressLineNumbers w:val="0"/>
              <w:rPr>
                <w:highlight w:val="none"/>
              </w:rPr>
            </w:pPr>
            <w:r>
              <w:rPr>
                <w:highlight w:val="none"/>
              </w:rPr>
              <w:t>总价（小写）</w:t>
            </w:r>
          </w:p>
        </w:tc>
      </w:tr>
      <w:tr w14:paraId="0FE807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2664" w:type="dxa"/>
            <w:shd w:val="clear" w:color="auto" w:fill="auto"/>
            <w:vAlign w:val="center"/>
          </w:tcPr>
          <w:p w14:paraId="763E6774">
            <w:pPr>
              <w:pStyle w:val="35"/>
              <w:keepNext w:val="0"/>
              <w:keepLines w:val="0"/>
              <w:widowControl/>
              <w:suppressLineNumbers w:val="0"/>
              <w:rPr>
                <w:highlight w:val="none"/>
              </w:rPr>
            </w:pPr>
            <w:r>
              <w:rPr>
                <w:rFonts w:hint="eastAsia"/>
                <w:highlight w:val="none"/>
                <w:lang w:eastAsia="zh-CN"/>
              </w:rPr>
              <w:t>便仓镇恒泽源农产品加工项目配套污水压力管道建设工程</w:t>
            </w:r>
            <w:r>
              <w:rPr>
                <w:highlight w:val="none"/>
              </w:rPr>
              <w:t> </w:t>
            </w:r>
          </w:p>
        </w:tc>
        <w:tc>
          <w:tcPr>
            <w:tcW w:w="2676" w:type="dxa"/>
            <w:shd w:val="clear" w:color="auto" w:fill="auto"/>
            <w:vAlign w:val="center"/>
          </w:tcPr>
          <w:p w14:paraId="0FF12C6C">
            <w:pPr>
              <w:pStyle w:val="35"/>
              <w:keepNext w:val="0"/>
              <w:keepLines w:val="0"/>
              <w:widowControl/>
              <w:suppressLineNumbers w:val="0"/>
              <w:rPr>
                <w:highlight w:val="none"/>
              </w:rPr>
            </w:pPr>
            <w:r>
              <w:rPr>
                <w:highlight w:val="none"/>
              </w:rPr>
              <w:t>详见响应文件</w:t>
            </w:r>
          </w:p>
        </w:tc>
        <w:tc>
          <w:tcPr>
            <w:tcW w:w="3984" w:type="dxa"/>
            <w:shd w:val="clear" w:color="auto" w:fill="auto"/>
            <w:vAlign w:val="center"/>
          </w:tcPr>
          <w:p w14:paraId="548208EC">
            <w:pPr>
              <w:pStyle w:val="35"/>
              <w:keepNext w:val="0"/>
              <w:keepLines w:val="0"/>
              <w:widowControl/>
              <w:suppressLineNumbers w:val="0"/>
              <w:rPr>
                <w:highlight w:val="none"/>
              </w:rPr>
            </w:pPr>
            <w:r>
              <w:rPr>
                <w:highlight w:val="none"/>
              </w:rPr>
              <w:t> </w:t>
            </w:r>
            <w:r>
              <w:rPr>
                <w:highlight w:val="none"/>
              </w:rPr>
              <w:pict>
                <v:shape id="_x0000_i1025" o:spt="201" type="#_x0000_t201" style="height:0pt;width:0.05pt;" filled="f" coordsize="21600,21600">
                  <v:path/>
                  <v:fill on="f" focussize="0,0"/>
                  <v:stroke/>
                  <v:imagedata o:title=""/>
                  <o:lock v:ext="edit" aspectratio="t"/>
                  <w10:wrap type="none"/>
                  <w10:anchorlock/>
                </v:shape>
              </w:pict>
            </w:r>
            <w:r>
              <w:rPr>
                <w:highlight w:val="none"/>
              </w:rPr>
              <w:t> 元</w:t>
            </w:r>
          </w:p>
        </w:tc>
      </w:tr>
      <w:tr w14:paraId="1B968D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2664" w:type="dxa"/>
            <w:shd w:val="clear" w:color="auto" w:fill="auto"/>
            <w:vAlign w:val="center"/>
          </w:tcPr>
          <w:p w14:paraId="1C827A7C">
            <w:pPr>
              <w:pStyle w:val="35"/>
              <w:keepNext w:val="0"/>
              <w:keepLines w:val="0"/>
              <w:widowControl/>
              <w:suppressLineNumbers w:val="0"/>
              <w:rPr>
                <w:highlight w:val="none"/>
              </w:rPr>
            </w:pPr>
            <w:r>
              <w:rPr>
                <w:highlight w:val="none"/>
              </w:rPr>
              <w:t>总价（大写）：</w:t>
            </w:r>
          </w:p>
        </w:tc>
        <w:tc>
          <w:tcPr>
            <w:tcW w:w="6672" w:type="dxa"/>
            <w:gridSpan w:val="2"/>
            <w:shd w:val="clear" w:color="auto" w:fill="auto"/>
            <w:vAlign w:val="center"/>
          </w:tcPr>
          <w:p w14:paraId="1C43776C">
            <w:pPr>
              <w:pStyle w:val="35"/>
              <w:keepNext w:val="0"/>
              <w:keepLines w:val="0"/>
              <w:widowControl/>
              <w:suppressLineNumbers w:val="0"/>
              <w:rPr>
                <w:highlight w:val="none"/>
              </w:rPr>
            </w:pPr>
            <w:r>
              <w:rPr>
                <w:highlight w:val="none"/>
              </w:rPr>
              <w:t> 金额大写 </w:t>
            </w:r>
          </w:p>
        </w:tc>
      </w:tr>
    </w:tbl>
    <w:p w14:paraId="471BA912">
      <w:pPr>
        <w:pStyle w:val="35"/>
        <w:keepNext w:val="0"/>
        <w:keepLines w:val="0"/>
        <w:widowControl/>
        <w:suppressLineNumbers w:val="0"/>
        <w:rPr>
          <w:highlight w:val="none"/>
        </w:rPr>
      </w:pPr>
      <w:r>
        <w:rPr>
          <w:highlight w:val="none"/>
        </w:rPr>
        <w:t> </w:t>
      </w:r>
    </w:p>
    <w:p w14:paraId="19D1AADA">
      <w:pPr>
        <w:pStyle w:val="35"/>
        <w:keepNext w:val="0"/>
        <w:keepLines w:val="0"/>
        <w:widowControl/>
        <w:suppressLineNumbers w:val="0"/>
        <w:rPr>
          <w:highlight w:val="none"/>
        </w:rPr>
      </w:pPr>
      <w:r>
        <w:rPr>
          <w:highlight w:val="none"/>
        </w:rPr>
        <w:t>供应商（电子签章）：</w:t>
      </w:r>
    </w:p>
    <w:p w14:paraId="5409449E">
      <w:pPr>
        <w:pStyle w:val="35"/>
        <w:keepNext w:val="0"/>
        <w:keepLines w:val="0"/>
        <w:widowControl/>
        <w:suppressLineNumbers w:val="0"/>
        <w:jc w:val="right"/>
        <w:rPr>
          <w:highlight w:val="none"/>
        </w:rPr>
      </w:pPr>
      <w:r>
        <w:rPr>
          <w:highlight w:val="none"/>
        </w:rPr>
        <w:t>日期：</w:t>
      </w:r>
      <w:r>
        <w:rPr>
          <w:highlight w:val="none"/>
        </w:rPr>
        <w:pict>
          <v:shape id="_x0000_i1026" o:spt="201" type="#_x0000_t201" style="height:0pt;width:0.05pt;" filled="f" coordsize="21600,21600">
            <v:path/>
            <v:fill on="f" focussize="0,0"/>
            <v:stroke/>
            <v:imagedata o:title=""/>
            <o:lock v:ext="edit" aspectratio="t"/>
            <w10:wrap type="none"/>
            <w10:anchorlock/>
          </v:shape>
        </w:pict>
      </w:r>
      <w:r>
        <w:rPr>
          <w:highlight w:val="none"/>
        </w:rPr>
        <w:t> 年</w:t>
      </w:r>
      <w:r>
        <w:rPr>
          <w:highlight w:val="none"/>
        </w:rPr>
        <w:pict>
          <v:shape id="_x0000_i1027" o:spt="201" type="#_x0000_t201" style="height:0pt;width:0.05pt;" filled="f" coordsize="21600,21600">
            <v:path/>
            <v:fill on="f" focussize="0,0"/>
            <v:stroke/>
            <v:imagedata o:title=""/>
            <o:lock v:ext="edit" aspectratio="t"/>
            <w10:wrap type="none"/>
            <w10:anchorlock/>
          </v:shape>
        </w:pict>
      </w:r>
      <w:r>
        <w:rPr>
          <w:highlight w:val="none"/>
        </w:rPr>
        <w:t> 月</w:t>
      </w:r>
      <w:r>
        <w:rPr>
          <w:highlight w:val="none"/>
        </w:rPr>
        <w:pict>
          <v:shape id="_x0000_i1028" o:spt="201" type="#_x0000_t201" style="height:0pt;width:0.05pt;" filled="f" coordsize="21600,21600">
            <v:path/>
            <v:fill on="f" focussize="0,0"/>
            <v:stroke/>
            <v:imagedata o:title=""/>
            <o:lock v:ext="edit" aspectratio="t"/>
            <w10:wrap type="none"/>
            <w10:anchorlock/>
          </v:shape>
        </w:pict>
      </w:r>
      <w:r>
        <w:rPr>
          <w:highlight w:val="none"/>
        </w:rPr>
        <w:t> 日</w:t>
      </w:r>
    </w:p>
    <w:p w14:paraId="38D9CF56">
      <w:pPr>
        <w:pStyle w:val="35"/>
        <w:keepNext w:val="0"/>
        <w:keepLines w:val="0"/>
        <w:widowControl/>
        <w:suppressLineNumbers w:val="0"/>
        <w:rPr>
          <w:highlight w:val="none"/>
        </w:rPr>
      </w:pPr>
      <w:r>
        <w:rPr>
          <w:highlight w:val="none"/>
        </w:rPr>
        <w:t> </w:t>
      </w:r>
    </w:p>
    <w:p w14:paraId="15F53820">
      <w:pPr>
        <w:pStyle w:val="35"/>
        <w:spacing w:beforeAutospacing="0" w:afterAutospacing="0"/>
        <w:ind w:firstLine="480"/>
        <w:jc w:val="both"/>
        <w:rPr>
          <w:color w:val="auto"/>
          <w:highlight w:val="none"/>
        </w:rPr>
      </w:pPr>
    </w:p>
    <w:p w14:paraId="5AB03C6A">
      <w:pPr>
        <w:pStyle w:val="35"/>
        <w:widowControl w:val="0"/>
        <w:spacing w:before="0" w:beforeAutospacing="0" w:after="0" w:afterAutospacing="0"/>
        <w:jc w:val="center"/>
        <w:rPr>
          <w:rFonts w:hint="eastAsia"/>
          <w:highlight w:val="none"/>
        </w:rPr>
      </w:pPr>
      <w:r>
        <w:rPr>
          <w:highlight w:val="none"/>
        </w:rPr>
        <w:t> </w:t>
      </w:r>
    </w:p>
    <w:p w14:paraId="1E51AA63">
      <w:pPr>
        <w:pStyle w:val="35"/>
        <w:widowControl w:val="0"/>
        <w:spacing w:before="0" w:beforeAutospacing="0" w:after="0" w:afterAutospacing="0"/>
        <w:jc w:val="both"/>
        <w:rPr>
          <w:rFonts w:hint="eastAsia"/>
          <w:highlight w:val="none"/>
        </w:rPr>
      </w:pPr>
      <w:r>
        <w:rPr>
          <w:highlight w:val="none"/>
        </w:rPr>
        <w:t> </w:t>
      </w:r>
    </w:p>
    <w:p w14:paraId="3DF4769D">
      <w:pPr>
        <w:pStyle w:val="14"/>
        <w:ind w:firstLine="551"/>
        <w:rPr>
          <w:rFonts w:hint="eastAsia" w:ascii="黑体" w:hAnsi="宋体" w:eastAsia="黑体" w:cs="黑体"/>
          <w:b/>
          <w:color w:val="000000"/>
          <w:sz w:val="32"/>
          <w:szCs w:val="32"/>
          <w:highlight w:val="none"/>
        </w:rPr>
      </w:pPr>
      <w:r>
        <w:rPr>
          <w:rFonts w:hint="eastAsia" w:ascii="宋体" w:hAnsi="宋体" w:cs="宋体"/>
          <w:b/>
          <w:color w:val="000000"/>
          <w:sz w:val="32"/>
          <w:szCs w:val="32"/>
          <w:highlight w:val="none"/>
        </w:rPr>
        <w:br w:type="page" w:clear="all"/>
      </w:r>
    </w:p>
    <w:p w14:paraId="5CD32EF6">
      <w:pPr>
        <w:widowControl/>
        <w:spacing w:before="50" w:after="50"/>
        <w:jc w:val="center"/>
        <w:rPr>
          <w:rFonts w:hint="eastAsia" w:ascii="宋体" w:hAnsi="宋体" w:cs="宋体"/>
          <w:sz w:val="24"/>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五</w:t>
      </w:r>
      <w:r>
        <w:rPr>
          <w:rFonts w:hint="eastAsia" w:ascii="黑体" w:hAnsi="宋体" w:eastAsia="黑体" w:cs="黑体"/>
          <w:b/>
          <w:color w:val="000000"/>
          <w:sz w:val="32"/>
          <w:szCs w:val="32"/>
          <w:highlight w:val="none"/>
        </w:rPr>
        <w:t>、</w:t>
      </w:r>
      <w:r>
        <w:rPr>
          <w:rFonts w:hint="eastAsia" w:ascii="黑体" w:hAnsi="宋体" w:eastAsia="黑体" w:cs="黑体"/>
          <w:b/>
          <w:color w:val="000000"/>
          <w:sz w:val="32"/>
          <w:szCs w:val="32"/>
          <w:highlight w:val="none"/>
          <w:lang w:val="en-US" w:eastAsia="zh-CN"/>
        </w:rPr>
        <w:t>施工</w:t>
      </w:r>
      <w:r>
        <w:rPr>
          <w:rFonts w:hint="eastAsia" w:ascii="黑体" w:hAnsi="宋体" w:eastAsia="黑体" w:cs="黑体"/>
          <w:b/>
          <w:color w:val="000000"/>
          <w:sz w:val="32"/>
          <w:szCs w:val="32"/>
          <w:highlight w:val="none"/>
        </w:rPr>
        <w:t>方案</w:t>
      </w:r>
    </w:p>
    <w:p w14:paraId="3EB9F765">
      <w:pPr>
        <w:pStyle w:val="35"/>
        <w:tabs>
          <w:tab w:val="left" w:pos="2160"/>
        </w:tabs>
        <w:spacing w:beforeAutospacing="0" w:afterAutospacing="0"/>
        <w:jc w:val="both"/>
        <w:rPr>
          <w:rFonts w:hint="eastAsia"/>
          <w:highlight w:val="none"/>
        </w:rPr>
      </w:pPr>
    </w:p>
    <w:p w14:paraId="5C4B658B">
      <w:pPr>
        <w:widowControl/>
        <w:spacing w:line="499" w:lineRule="atLeast"/>
        <w:ind w:firstLine="1600"/>
        <w:rPr>
          <w:rFonts w:hint="eastAsia" w:ascii="宋体" w:hAnsi="宋体" w:cs="宋体"/>
          <w:color w:val="000000"/>
          <w:sz w:val="32"/>
          <w:szCs w:val="32"/>
          <w:highlight w:val="none"/>
        </w:rPr>
      </w:pPr>
    </w:p>
    <w:p w14:paraId="686810A9">
      <w:pPr>
        <w:widowControl/>
        <w:spacing w:line="499" w:lineRule="atLeast"/>
        <w:ind w:firstLine="1600"/>
        <w:rPr>
          <w:rFonts w:hint="eastAsia" w:ascii="宋体" w:hAnsi="宋体" w:cs="宋体"/>
          <w:color w:val="000000"/>
          <w:sz w:val="32"/>
          <w:szCs w:val="32"/>
          <w:highlight w:val="none"/>
        </w:rPr>
      </w:pPr>
    </w:p>
    <w:p w14:paraId="1D5100FF">
      <w:pPr>
        <w:widowControl/>
        <w:spacing w:line="499" w:lineRule="atLeast"/>
        <w:ind w:firstLine="1600"/>
        <w:rPr>
          <w:rFonts w:hint="eastAsia" w:ascii="宋体" w:hAnsi="宋体" w:cs="宋体"/>
          <w:color w:val="000000"/>
          <w:sz w:val="32"/>
          <w:szCs w:val="32"/>
          <w:highlight w:val="none"/>
        </w:rPr>
      </w:pPr>
    </w:p>
    <w:p w14:paraId="569EC1A2">
      <w:pPr>
        <w:widowControl/>
        <w:spacing w:line="499" w:lineRule="atLeast"/>
        <w:ind w:firstLine="1600"/>
        <w:rPr>
          <w:rFonts w:hint="eastAsia" w:ascii="宋体" w:hAnsi="宋体" w:cs="宋体"/>
          <w:color w:val="000000"/>
          <w:sz w:val="32"/>
          <w:szCs w:val="32"/>
          <w:highlight w:val="none"/>
        </w:rPr>
      </w:pPr>
    </w:p>
    <w:p w14:paraId="3CF272A6">
      <w:pPr>
        <w:widowControl/>
        <w:spacing w:line="499" w:lineRule="atLeast"/>
        <w:ind w:firstLine="1600"/>
        <w:rPr>
          <w:rFonts w:hint="eastAsia" w:ascii="宋体" w:hAnsi="宋体" w:cs="宋体"/>
          <w:color w:val="000000"/>
          <w:sz w:val="32"/>
          <w:szCs w:val="32"/>
          <w:highlight w:val="none"/>
        </w:rPr>
      </w:pPr>
    </w:p>
    <w:p w14:paraId="28F2399A">
      <w:pPr>
        <w:widowControl/>
        <w:spacing w:line="499" w:lineRule="atLeast"/>
        <w:ind w:firstLine="1600"/>
        <w:rPr>
          <w:rFonts w:hint="eastAsia" w:ascii="宋体" w:hAnsi="宋体" w:cs="宋体"/>
          <w:color w:val="000000"/>
          <w:sz w:val="32"/>
          <w:szCs w:val="32"/>
          <w:highlight w:val="none"/>
        </w:rPr>
      </w:pPr>
    </w:p>
    <w:p w14:paraId="466D7B15">
      <w:pPr>
        <w:widowControl/>
        <w:spacing w:line="499" w:lineRule="atLeast"/>
        <w:ind w:firstLine="1600"/>
        <w:rPr>
          <w:rFonts w:hint="eastAsia" w:ascii="宋体" w:hAnsi="宋体" w:cs="宋体"/>
          <w:color w:val="000000"/>
          <w:sz w:val="32"/>
          <w:szCs w:val="32"/>
          <w:highlight w:val="none"/>
        </w:rPr>
      </w:pPr>
    </w:p>
    <w:p w14:paraId="67D5743C">
      <w:pPr>
        <w:widowControl/>
        <w:spacing w:line="499" w:lineRule="atLeast"/>
        <w:ind w:firstLine="1600"/>
        <w:rPr>
          <w:rFonts w:hint="eastAsia" w:ascii="宋体" w:hAnsi="宋体" w:cs="宋体"/>
          <w:color w:val="000000"/>
          <w:sz w:val="32"/>
          <w:szCs w:val="32"/>
          <w:highlight w:val="none"/>
        </w:rPr>
      </w:pPr>
    </w:p>
    <w:p w14:paraId="2D8C0662">
      <w:pPr>
        <w:widowControl/>
        <w:spacing w:line="499" w:lineRule="atLeast"/>
        <w:ind w:firstLine="1600"/>
        <w:rPr>
          <w:rFonts w:hint="eastAsia" w:ascii="宋体" w:hAnsi="宋体" w:cs="宋体"/>
          <w:color w:val="000000"/>
          <w:sz w:val="32"/>
          <w:szCs w:val="32"/>
          <w:highlight w:val="none"/>
        </w:rPr>
      </w:pPr>
    </w:p>
    <w:p w14:paraId="358A1387">
      <w:pPr>
        <w:widowControl/>
        <w:spacing w:line="499" w:lineRule="atLeast"/>
        <w:ind w:firstLine="1600"/>
        <w:rPr>
          <w:rFonts w:hint="eastAsia" w:ascii="宋体" w:hAnsi="宋体" w:cs="宋体"/>
          <w:color w:val="000000"/>
          <w:sz w:val="32"/>
          <w:szCs w:val="32"/>
          <w:highlight w:val="none"/>
        </w:rPr>
      </w:pPr>
    </w:p>
    <w:p w14:paraId="7CEDD5AB">
      <w:pPr>
        <w:widowControl/>
        <w:spacing w:line="499" w:lineRule="atLeast"/>
        <w:ind w:firstLine="1600"/>
        <w:rPr>
          <w:rFonts w:hint="eastAsia" w:ascii="宋体" w:hAnsi="宋体" w:cs="宋体"/>
          <w:color w:val="000000"/>
          <w:sz w:val="32"/>
          <w:szCs w:val="32"/>
          <w:highlight w:val="none"/>
        </w:rPr>
      </w:pPr>
    </w:p>
    <w:p w14:paraId="1848B9C5">
      <w:pPr>
        <w:widowControl/>
        <w:spacing w:line="499" w:lineRule="atLeast"/>
        <w:ind w:firstLine="1600"/>
        <w:rPr>
          <w:rFonts w:hint="eastAsia" w:ascii="宋体" w:hAnsi="宋体" w:cs="宋体"/>
          <w:color w:val="000000"/>
          <w:sz w:val="32"/>
          <w:szCs w:val="32"/>
          <w:highlight w:val="none"/>
        </w:rPr>
      </w:pPr>
    </w:p>
    <w:p w14:paraId="05909496">
      <w:pPr>
        <w:widowControl/>
        <w:spacing w:line="499" w:lineRule="atLeast"/>
        <w:ind w:firstLine="1600"/>
        <w:rPr>
          <w:rFonts w:hint="eastAsia" w:ascii="宋体" w:hAnsi="宋体" w:cs="宋体"/>
          <w:color w:val="000000"/>
          <w:sz w:val="32"/>
          <w:szCs w:val="32"/>
          <w:highlight w:val="none"/>
        </w:rPr>
      </w:pPr>
    </w:p>
    <w:p w14:paraId="345AEF7A">
      <w:pPr>
        <w:widowControl/>
        <w:spacing w:line="499" w:lineRule="atLeast"/>
        <w:ind w:firstLine="1600"/>
        <w:rPr>
          <w:rFonts w:hint="eastAsia" w:ascii="宋体" w:hAnsi="宋体" w:cs="宋体"/>
          <w:color w:val="000000"/>
          <w:sz w:val="32"/>
          <w:szCs w:val="32"/>
          <w:highlight w:val="none"/>
        </w:rPr>
      </w:pPr>
    </w:p>
    <w:p w14:paraId="7983C80B">
      <w:pPr>
        <w:widowControl/>
        <w:spacing w:line="499" w:lineRule="atLeast"/>
        <w:ind w:firstLine="1600"/>
        <w:rPr>
          <w:rFonts w:hint="eastAsia" w:ascii="宋体" w:hAnsi="宋体" w:cs="宋体"/>
          <w:color w:val="000000"/>
          <w:sz w:val="32"/>
          <w:szCs w:val="32"/>
          <w:highlight w:val="none"/>
        </w:rPr>
      </w:pPr>
    </w:p>
    <w:p w14:paraId="599A0C15">
      <w:pPr>
        <w:widowControl/>
        <w:spacing w:line="499" w:lineRule="atLeast"/>
        <w:ind w:firstLine="1600"/>
        <w:rPr>
          <w:rFonts w:hint="eastAsia" w:ascii="宋体" w:hAnsi="宋体" w:cs="宋体"/>
          <w:color w:val="000000"/>
          <w:sz w:val="32"/>
          <w:szCs w:val="32"/>
          <w:highlight w:val="none"/>
        </w:rPr>
      </w:pPr>
    </w:p>
    <w:p w14:paraId="4ABC068C">
      <w:pPr>
        <w:widowControl/>
        <w:spacing w:line="499" w:lineRule="atLeast"/>
        <w:ind w:firstLine="1600"/>
        <w:rPr>
          <w:rFonts w:hint="eastAsia" w:ascii="宋体" w:hAnsi="宋体" w:cs="宋体"/>
          <w:color w:val="000000"/>
          <w:sz w:val="32"/>
          <w:szCs w:val="32"/>
          <w:highlight w:val="none"/>
        </w:rPr>
      </w:pPr>
    </w:p>
    <w:p w14:paraId="2B81B6DD">
      <w:pPr>
        <w:widowControl/>
        <w:spacing w:line="499" w:lineRule="atLeast"/>
        <w:ind w:firstLine="1600"/>
        <w:rPr>
          <w:rFonts w:hint="eastAsia" w:ascii="宋体" w:hAnsi="宋体" w:cs="宋体"/>
          <w:color w:val="000000"/>
          <w:sz w:val="32"/>
          <w:szCs w:val="32"/>
          <w:highlight w:val="none"/>
        </w:rPr>
      </w:pPr>
    </w:p>
    <w:p w14:paraId="5CDC91F6">
      <w:pPr>
        <w:widowControl/>
        <w:spacing w:line="499" w:lineRule="atLeast"/>
        <w:ind w:firstLine="1600"/>
        <w:rPr>
          <w:rFonts w:hint="eastAsia" w:ascii="宋体" w:hAnsi="宋体" w:cs="宋体"/>
          <w:color w:val="000000"/>
          <w:sz w:val="32"/>
          <w:szCs w:val="32"/>
          <w:highlight w:val="none"/>
        </w:rPr>
      </w:pPr>
    </w:p>
    <w:p w14:paraId="09A3C37C">
      <w:pPr>
        <w:widowControl/>
        <w:spacing w:line="499" w:lineRule="atLeast"/>
        <w:ind w:firstLine="1600"/>
        <w:rPr>
          <w:rFonts w:hint="eastAsia" w:ascii="宋体" w:hAnsi="宋体" w:cs="宋体"/>
          <w:color w:val="000000"/>
          <w:sz w:val="32"/>
          <w:szCs w:val="32"/>
          <w:highlight w:val="none"/>
        </w:rPr>
      </w:pPr>
    </w:p>
    <w:p w14:paraId="77E5DE5F">
      <w:pPr>
        <w:widowControl/>
        <w:spacing w:line="499" w:lineRule="atLeast"/>
        <w:ind w:firstLine="1600"/>
        <w:rPr>
          <w:rFonts w:hint="eastAsia" w:ascii="宋体" w:hAnsi="宋体" w:cs="宋体"/>
          <w:color w:val="000000"/>
          <w:sz w:val="32"/>
          <w:szCs w:val="32"/>
          <w:highlight w:val="none"/>
        </w:rPr>
      </w:pPr>
    </w:p>
    <w:p w14:paraId="08932772">
      <w:pPr>
        <w:widowControl/>
        <w:spacing w:line="499" w:lineRule="atLeast"/>
        <w:rPr>
          <w:rFonts w:hint="eastAsia" w:ascii="宋体" w:hAnsi="宋体" w:cs="宋体"/>
          <w:color w:val="000000"/>
          <w:sz w:val="32"/>
          <w:szCs w:val="32"/>
          <w:highlight w:val="none"/>
        </w:rPr>
      </w:pPr>
    </w:p>
    <w:p w14:paraId="2C037A70">
      <w:pPr>
        <w:widowControl/>
        <w:spacing w:line="499" w:lineRule="atLeast"/>
        <w:ind w:firstLine="1600"/>
        <w:rPr>
          <w:rFonts w:hint="eastAsia" w:ascii="宋体" w:hAnsi="宋体" w:cs="宋体"/>
          <w:color w:val="000000"/>
          <w:sz w:val="32"/>
          <w:szCs w:val="32"/>
          <w:highlight w:val="none"/>
        </w:rPr>
      </w:pPr>
    </w:p>
    <w:p w14:paraId="455ECC8E">
      <w:pPr>
        <w:widowControl/>
        <w:spacing w:line="499" w:lineRule="atLeast"/>
        <w:ind w:firstLine="1600"/>
        <w:rPr>
          <w:rFonts w:hint="eastAsia" w:ascii="黑体" w:hAnsi="宋体" w:eastAsia="黑体" w:cs="黑体"/>
          <w:b/>
          <w:color w:val="000000"/>
          <w:sz w:val="32"/>
          <w:szCs w:val="32"/>
          <w:highlight w:val="none"/>
        </w:rPr>
        <w:sectPr>
          <w:pgSz w:w="11906" w:h="16838"/>
          <w:pgMar w:top="1015" w:right="1196" w:bottom="868" w:left="1259" w:header="851" w:footer="907" w:gutter="0"/>
          <w:pgNumType w:fmt="decimal"/>
          <w:cols w:space="720" w:num="1"/>
          <w:docGrid w:type="lines" w:linePitch="286" w:charSpace="0"/>
        </w:sectPr>
      </w:pPr>
    </w:p>
    <w:bookmarkEnd w:id="142"/>
    <w:bookmarkEnd w:id="143"/>
    <w:bookmarkEnd w:id="144"/>
    <w:bookmarkEnd w:id="145"/>
    <w:bookmarkEnd w:id="146"/>
    <w:bookmarkEnd w:id="147"/>
    <w:bookmarkEnd w:id="148"/>
    <w:bookmarkEnd w:id="149"/>
    <w:bookmarkEnd w:id="150"/>
    <w:p w14:paraId="637C0B94">
      <w:pPr>
        <w:spacing w:line="64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六</w:t>
      </w:r>
      <w:r>
        <w:rPr>
          <w:rFonts w:hint="eastAsia" w:ascii="黑体" w:hAnsi="黑体" w:eastAsia="黑体" w:cs="黑体"/>
          <w:i/>
          <w:sz w:val="32"/>
          <w:szCs w:val="32"/>
          <w:u w:val="single"/>
        </w:rPr>
        <w:t>、盐城市亭湖区政府采购事前信用承诺书</w:t>
      </w:r>
    </w:p>
    <w:p w14:paraId="56374222">
      <w:pPr>
        <w:widowControl/>
        <w:spacing w:line="400" w:lineRule="exact"/>
        <w:ind w:firstLine="720" w:firstLineChars="200"/>
        <w:jc w:val="left"/>
        <w:rPr>
          <w:sz w:val="36"/>
          <w:szCs w:val="36"/>
        </w:rPr>
      </w:pPr>
    </w:p>
    <w:p w14:paraId="0C22B361">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为营造我区公开、公平、公正、诚实守信的政府采购交易环境，树立诚信守法的投标人形象，本人代表本单位作出以下承诺：</w:t>
      </w:r>
    </w:p>
    <w:p w14:paraId="2C2EF675">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CCE0603">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A3CA4FD">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p>
    <w:p w14:paraId="00DB57E6">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（四）严格遵守即时信息公示规定，及时维护和更新盐城市政府采购网中与本单位相关的信息；</w:t>
      </w:r>
    </w:p>
    <w:p w14:paraId="0CA7C150">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2A53C862">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（六）自觉接受政府、行业组织、社会公众、新闻舆论的监督；</w:t>
      </w:r>
    </w:p>
    <w:p w14:paraId="112CD6B9">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670552C">
      <w:pPr>
        <w:pStyle w:val="3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（八）本人已认真阅读上述承诺，并向本单位员工做了宣传教育。</w:t>
      </w:r>
    </w:p>
    <w:p w14:paraId="38106D4B">
      <w:pPr>
        <w:pStyle w:val="35"/>
        <w:widowControl/>
        <w:spacing w:beforeAutospacing="0" w:afterAutospacing="0" w:line="500" w:lineRule="exact"/>
        <w:ind w:firstLine="5102" w:firstLineChars="2126"/>
        <w:rPr>
          <w:rFonts w:hint="eastAsia" w:ascii="宋体" w:hAnsi="宋体" w:eastAsia="宋体" w:cs="宋体"/>
        </w:rPr>
      </w:pPr>
    </w:p>
    <w:p w14:paraId="7B0839DE">
      <w:pPr>
        <w:pStyle w:val="35"/>
        <w:widowControl/>
        <w:spacing w:beforeAutospacing="0" w:afterAutospacing="0" w:line="500" w:lineRule="exact"/>
        <w:ind w:firstLine="5102" w:firstLineChars="2126"/>
        <w:rPr>
          <w:rFonts w:hint="eastAsia" w:ascii="宋体" w:hAnsi="宋体" w:eastAsia="宋体" w:cs="宋体"/>
        </w:rPr>
      </w:pPr>
      <w:r>
        <w:rPr>
          <w:rFonts w:hint="eastAsia" w:ascii="宋体" w:hAnsi="宋体" w:eastAsia="宋体" w:cs="宋体"/>
        </w:rPr>
        <w:t>法定代表人（签名）：</w:t>
      </w:r>
    </w:p>
    <w:p w14:paraId="31878121">
      <w:pPr>
        <w:pStyle w:val="35"/>
        <w:widowControl/>
        <w:spacing w:beforeAutospacing="0" w:afterAutospacing="0" w:line="500" w:lineRule="exact"/>
        <w:ind w:firstLine="5102" w:firstLineChars="2126"/>
        <w:rPr>
          <w:rFonts w:hint="eastAsia" w:ascii="宋体" w:hAnsi="宋体" w:eastAsia="宋体" w:cs="宋体"/>
        </w:rPr>
      </w:pPr>
      <w:r>
        <w:rPr>
          <w:rFonts w:hint="eastAsia" w:ascii="宋体" w:hAnsi="宋体" w:eastAsia="宋体" w:cs="宋体"/>
        </w:rPr>
        <w:t xml:space="preserve">单位名称（盖章）：          </w:t>
      </w:r>
    </w:p>
    <w:p w14:paraId="67BB92F9">
      <w:pPr>
        <w:pStyle w:val="35"/>
        <w:spacing w:beforeAutospacing="0" w:afterAutospacing="0"/>
        <w:jc w:val="center"/>
        <w:rPr>
          <w:rFonts w:hint="eastAsia"/>
          <w:b/>
          <w:color w:val="000000"/>
          <w:sz w:val="32"/>
          <w:szCs w:val="32"/>
          <w:highlight w:val="none"/>
        </w:rPr>
        <w:sectPr>
          <w:footerReference r:id="rId12" w:type="default"/>
          <w:pgSz w:w="11906" w:h="16838"/>
          <w:pgMar w:top="1015" w:right="1196" w:bottom="868" w:left="1259" w:header="851" w:footer="907" w:gutter="0"/>
          <w:pgNumType w:fmt="decimal"/>
          <w:cols w:space="720" w:num="1"/>
          <w:docGrid w:type="lines" w:linePitch="286" w:charSpace="0"/>
        </w:sect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p>
    <w:p w14:paraId="02A7E224">
      <w:pPr>
        <w:pStyle w:val="35"/>
        <w:spacing w:beforeAutospacing="0" w:afterAutospacing="0"/>
        <w:jc w:val="center"/>
        <w:rPr>
          <w:rFonts w:hint="eastAsia"/>
          <w:b/>
          <w:color w:val="000000"/>
          <w:sz w:val="32"/>
          <w:szCs w:val="32"/>
          <w:highlight w:val="none"/>
        </w:rPr>
      </w:pPr>
      <w:r>
        <w:rPr>
          <w:rFonts w:hint="eastAsia"/>
          <w:b/>
          <w:color w:val="000000"/>
          <w:sz w:val="32"/>
          <w:szCs w:val="32"/>
          <w:highlight w:val="none"/>
        </w:rPr>
        <w:t>质疑函范本</w:t>
      </w:r>
    </w:p>
    <w:p w14:paraId="75136689">
      <w:pPr>
        <w:pStyle w:val="35"/>
        <w:spacing w:before="290" w:beforeAutospacing="0" w:afterAutospacing="0" w:line="360" w:lineRule="auto"/>
        <w:jc w:val="both"/>
        <w:rPr>
          <w:rFonts w:hint="eastAsia"/>
          <w:highlight w:val="none"/>
        </w:rPr>
      </w:pPr>
      <w:r>
        <w:rPr>
          <w:rFonts w:hint="eastAsia"/>
          <w:color w:val="000000"/>
          <w:highlight w:val="none"/>
        </w:rPr>
        <w:t>一、质疑供应商基本信息</w:t>
      </w:r>
    </w:p>
    <w:p w14:paraId="01322A24">
      <w:pPr>
        <w:pStyle w:val="35"/>
        <w:spacing w:beforeAutospacing="0" w:afterAutospacing="0" w:line="360" w:lineRule="auto"/>
        <w:jc w:val="both"/>
        <w:rPr>
          <w:rFonts w:hint="eastAsia"/>
          <w:highlight w:val="none"/>
        </w:rPr>
      </w:pPr>
      <w:r>
        <w:rPr>
          <w:rFonts w:hint="eastAsia"/>
          <w:color w:val="000000"/>
          <w:highlight w:val="none"/>
        </w:rPr>
        <w:t>质疑供应商：</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xml:space="preserve">       </w:t>
      </w:r>
    </w:p>
    <w:p w14:paraId="7868E675">
      <w:pPr>
        <w:pStyle w:val="35"/>
        <w:spacing w:beforeAutospacing="0" w:afterAutospacing="0" w:line="360" w:lineRule="auto"/>
        <w:jc w:val="both"/>
        <w:rPr>
          <w:rFonts w:hint="eastAsia"/>
          <w:color w:val="000000"/>
          <w:highlight w:val="none"/>
          <w:u w:val="single"/>
        </w:rPr>
      </w:pPr>
      <w:r>
        <w:rPr>
          <w:rFonts w:hint="eastAsia"/>
          <w:color w:val="000000"/>
          <w:highlight w:val="none"/>
        </w:rPr>
        <w:t>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w:t>
      </w:r>
    </w:p>
    <w:p w14:paraId="49A0A3EE">
      <w:pPr>
        <w:pStyle w:val="35"/>
        <w:spacing w:beforeAutospacing="0" w:afterAutospacing="0" w:line="360" w:lineRule="auto"/>
        <w:jc w:val="both"/>
        <w:rPr>
          <w:rFonts w:hint="eastAsia"/>
          <w:highlight w:val="none"/>
        </w:rPr>
      </w:pPr>
      <w:r>
        <w:rPr>
          <w:rFonts w:hint="eastAsia"/>
          <w:color w:val="000000"/>
          <w:highlight w:val="none"/>
        </w:rPr>
        <w:t>邮编：</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76408CB4">
      <w:pPr>
        <w:pStyle w:val="35"/>
        <w:spacing w:beforeAutospacing="0" w:afterAutospacing="0" w:line="360" w:lineRule="auto"/>
        <w:jc w:val="both"/>
        <w:rPr>
          <w:rFonts w:hint="eastAsia"/>
          <w:color w:val="000000"/>
          <w:highlight w:val="none"/>
          <w:u w:val="single"/>
        </w:rPr>
      </w:pPr>
      <w:r>
        <w:rPr>
          <w:rFonts w:hint="eastAsia"/>
          <w:color w:val="000000"/>
          <w:highlight w:val="none"/>
        </w:rPr>
        <w:t>联系人：</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7B34D70F">
      <w:pPr>
        <w:pStyle w:val="35"/>
        <w:spacing w:beforeAutospacing="0" w:afterAutospacing="0" w:line="360" w:lineRule="auto"/>
        <w:jc w:val="both"/>
        <w:rPr>
          <w:rFonts w:hint="eastAsia"/>
          <w:highlight w:val="none"/>
        </w:rPr>
      </w:pPr>
      <w:r>
        <w:rPr>
          <w:rFonts w:hint="eastAsia"/>
          <w:color w:val="000000"/>
          <w:highlight w:val="none"/>
        </w:rPr>
        <w:t>联系电话：</w:t>
      </w:r>
      <w:r>
        <w:rPr>
          <w:rFonts w:hint="eastAsia"/>
          <w:color w:val="000000"/>
          <w:highlight w:val="none"/>
          <w:u w:val="single"/>
        </w:rPr>
        <w:t xml:space="preserve">                                           </w:t>
      </w:r>
    </w:p>
    <w:p w14:paraId="212C59BC">
      <w:pPr>
        <w:pStyle w:val="35"/>
        <w:spacing w:beforeAutospacing="0" w:afterAutospacing="0" w:line="360" w:lineRule="auto"/>
        <w:jc w:val="both"/>
        <w:rPr>
          <w:rFonts w:hint="eastAsia"/>
          <w:highlight w:val="none"/>
        </w:rPr>
      </w:pPr>
      <w:r>
        <w:rPr>
          <w:rFonts w:hint="eastAsia"/>
          <w:color w:val="000000"/>
          <w:highlight w:val="none"/>
        </w:rPr>
        <w:t>授权代表：</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0B28576C">
      <w:pPr>
        <w:pStyle w:val="35"/>
        <w:spacing w:beforeAutospacing="0" w:afterAutospacing="0" w:line="360" w:lineRule="auto"/>
        <w:jc w:val="both"/>
        <w:rPr>
          <w:rFonts w:hint="eastAsia"/>
          <w:highlight w:val="none"/>
        </w:rPr>
      </w:pPr>
      <w:r>
        <w:rPr>
          <w:rFonts w:hint="eastAsia"/>
          <w:color w:val="000000"/>
          <w:highlight w:val="none"/>
        </w:rPr>
        <w:t>联系电话：</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697A65CC">
      <w:pPr>
        <w:pStyle w:val="35"/>
        <w:spacing w:beforeAutospacing="0" w:afterAutospacing="0" w:line="360" w:lineRule="auto"/>
        <w:jc w:val="both"/>
        <w:rPr>
          <w:rFonts w:hint="eastAsia"/>
          <w:color w:val="000000"/>
          <w:highlight w:val="none"/>
          <w:u w:val="single"/>
        </w:rPr>
      </w:pPr>
      <w:r>
        <w:rPr>
          <w:rFonts w:hint="eastAsia"/>
          <w:color w:val="000000"/>
          <w:highlight w:val="none"/>
        </w:rPr>
        <w:t>地址： </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2DF9E163">
      <w:pPr>
        <w:pStyle w:val="35"/>
        <w:spacing w:beforeAutospacing="0" w:afterAutospacing="0" w:line="360" w:lineRule="auto"/>
        <w:jc w:val="both"/>
        <w:rPr>
          <w:rFonts w:hint="eastAsia"/>
          <w:highlight w:val="none"/>
        </w:rPr>
      </w:pPr>
      <w:r>
        <w:rPr>
          <w:rFonts w:hint="eastAsia"/>
          <w:color w:val="000000"/>
          <w:highlight w:val="none"/>
        </w:rPr>
        <w:t>邮编：</w:t>
      </w:r>
      <w:r>
        <w:rPr>
          <w:rFonts w:hint="eastAsia"/>
          <w:color w:val="000000"/>
          <w:highlight w:val="none"/>
          <w:u w:val="single"/>
        </w:rPr>
        <w:t xml:space="preserve">                                </w:t>
      </w:r>
    </w:p>
    <w:p w14:paraId="62B9BDEB">
      <w:pPr>
        <w:pStyle w:val="35"/>
        <w:spacing w:beforeAutospacing="0" w:afterAutospacing="0" w:line="360" w:lineRule="auto"/>
        <w:jc w:val="both"/>
        <w:rPr>
          <w:rFonts w:hint="eastAsia"/>
          <w:highlight w:val="none"/>
        </w:rPr>
      </w:pPr>
      <w:r>
        <w:rPr>
          <w:rFonts w:hint="eastAsia"/>
          <w:color w:val="000000"/>
          <w:highlight w:val="none"/>
        </w:rPr>
        <w:t>二、质疑项目基本情况</w:t>
      </w:r>
    </w:p>
    <w:p w14:paraId="0EAB5293">
      <w:pPr>
        <w:pStyle w:val="35"/>
        <w:spacing w:beforeAutospacing="0" w:afterAutospacing="0" w:line="360" w:lineRule="auto"/>
        <w:jc w:val="both"/>
        <w:rPr>
          <w:rFonts w:hint="eastAsia"/>
          <w:highlight w:val="none"/>
        </w:rPr>
      </w:pPr>
      <w:r>
        <w:rPr>
          <w:rFonts w:hint="eastAsia"/>
          <w:color w:val="000000"/>
          <w:highlight w:val="none"/>
        </w:rPr>
        <w:t>质疑项目的名称：</w:t>
      </w:r>
      <w:r>
        <w:rPr>
          <w:rFonts w:hint="eastAsia"/>
          <w:color w:val="000000"/>
          <w:highlight w:val="none"/>
          <w:u w:val="single"/>
        </w:rPr>
        <w:t xml:space="preserve">                            </w:t>
      </w:r>
    </w:p>
    <w:p w14:paraId="7908F867">
      <w:pPr>
        <w:pStyle w:val="35"/>
        <w:spacing w:beforeAutospacing="0" w:afterAutospacing="0" w:line="360" w:lineRule="auto"/>
        <w:jc w:val="both"/>
        <w:rPr>
          <w:rFonts w:hint="eastAsia"/>
          <w:color w:val="000000"/>
          <w:highlight w:val="none"/>
          <w:u w:val="single"/>
        </w:rPr>
      </w:pPr>
      <w:r>
        <w:rPr>
          <w:rFonts w:hint="eastAsia"/>
          <w:color w:val="000000"/>
          <w:highlight w:val="none"/>
        </w:rPr>
        <w:t>质疑项目的编号：</w:t>
      </w:r>
      <w:r>
        <w:rPr>
          <w:rFonts w:hint="eastAsia"/>
          <w:color w:val="000000"/>
          <w:highlight w:val="none"/>
          <w:u w:val="single"/>
        </w:rPr>
        <w:t xml:space="preserve">                          </w:t>
      </w:r>
    </w:p>
    <w:p w14:paraId="1F02E1ED">
      <w:pPr>
        <w:pStyle w:val="35"/>
        <w:spacing w:beforeAutospacing="0" w:afterAutospacing="0" w:line="360" w:lineRule="auto"/>
        <w:jc w:val="both"/>
        <w:rPr>
          <w:rFonts w:hint="eastAsia"/>
          <w:highlight w:val="none"/>
        </w:rPr>
      </w:pPr>
      <w:r>
        <w:rPr>
          <w:rFonts w:hint="eastAsia"/>
          <w:color w:val="000000"/>
          <w:highlight w:val="none"/>
        </w:rPr>
        <w:t>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27AA0321">
      <w:pPr>
        <w:pStyle w:val="35"/>
        <w:spacing w:beforeAutospacing="0" w:afterAutospacing="0" w:line="360" w:lineRule="auto"/>
        <w:jc w:val="both"/>
        <w:rPr>
          <w:rFonts w:hint="eastAsia"/>
          <w:highlight w:val="none"/>
        </w:rPr>
      </w:pPr>
      <w:r>
        <w:rPr>
          <w:rFonts w:hint="eastAsia"/>
          <w:color w:val="000000"/>
          <w:highlight w:val="none"/>
        </w:rPr>
        <w:t>采购人名称：</w:t>
      </w:r>
      <w:r>
        <w:rPr>
          <w:rFonts w:hint="eastAsia"/>
          <w:color w:val="000000"/>
          <w:highlight w:val="none"/>
          <w:u w:val="single"/>
        </w:rPr>
        <w:t xml:space="preserve">                            </w:t>
      </w:r>
    </w:p>
    <w:p w14:paraId="56806F50">
      <w:pPr>
        <w:pStyle w:val="35"/>
        <w:spacing w:beforeAutospacing="0" w:afterAutospacing="0" w:line="360" w:lineRule="auto"/>
        <w:jc w:val="both"/>
        <w:rPr>
          <w:rFonts w:hint="eastAsia"/>
          <w:highlight w:val="none"/>
        </w:rPr>
      </w:pPr>
      <w:r>
        <w:rPr>
          <w:rFonts w:hint="eastAsia"/>
          <w:color w:val="000000"/>
          <w:highlight w:val="none"/>
        </w:rPr>
        <w:t>采购文件获取日期：</w:t>
      </w:r>
      <w:r>
        <w:rPr>
          <w:rFonts w:hint="eastAsia"/>
          <w:color w:val="000000"/>
          <w:highlight w:val="none"/>
          <w:u w:val="single"/>
        </w:rPr>
        <w:t xml:space="preserve">                             </w:t>
      </w:r>
    </w:p>
    <w:p w14:paraId="45A73484">
      <w:pPr>
        <w:pStyle w:val="35"/>
        <w:spacing w:beforeAutospacing="0" w:afterAutospacing="0" w:line="360" w:lineRule="auto"/>
        <w:jc w:val="both"/>
        <w:rPr>
          <w:rFonts w:hint="eastAsia"/>
          <w:highlight w:val="none"/>
        </w:rPr>
      </w:pPr>
      <w:r>
        <w:rPr>
          <w:rFonts w:hint="eastAsia"/>
          <w:color w:val="000000"/>
          <w:highlight w:val="none"/>
        </w:rPr>
        <w:t>三、质疑事项具体内容</w:t>
      </w:r>
    </w:p>
    <w:p w14:paraId="0954AF42">
      <w:pPr>
        <w:pStyle w:val="35"/>
        <w:spacing w:beforeAutospacing="0" w:afterAutospacing="0" w:line="360" w:lineRule="auto"/>
        <w:jc w:val="both"/>
        <w:rPr>
          <w:rFonts w:hint="eastAsia"/>
          <w:highlight w:val="none"/>
        </w:rPr>
      </w:pPr>
      <w:r>
        <w:rPr>
          <w:rFonts w:hint="eastAsia"/>
          <w:color w:val="000000"/>
          <w:highlight w:val="none"/>
        </w:rPr>
        <w:t>质疑事项1：</w:t>
      </w:r>
      <w:r>
        <w:rPr>
          <w:rFonts w:hint="eastAsia"/>
          <w:color w:val="000000"/>
          <w:highlight w:val="none"/>
          <w:u w:val="single"/>
        </w:rPr>
        <w:t xml:space="preserve">                             </w:t>
      </w:r>
    </w:p>
    <w:p w14:paraId="669A4A08">
      <w:pPr>
        <w:pStyle w:val="35"/>
        <w:spacing w:beforeAutospacing="0" w:afterAutospacing="0" w:line="360" w:lineRule="auto"/>
        <w:rPr>
          <w:rFonts w:hint="eastAsia"/>
          <w:highlight w:val="none"/>
        </w:rPr>
      </w:pPr>
      <w:r>
        <w:rPr>
          <w:rFonts w:hint="eastAsia"/>
          <w:color w:val="000000"/>
          <w:highlight w:val="none"/>
        </w:rPr>
        <w:t>事实依据：</w:t>
      </w:r>
      <w:r>
        <w:rPr>
          <w:rFonts w:hint="eastAsia"/>
          <w:color w:val="000000"/>
          <w:highlight w:val="none"/>
          <w:u w:val="single"/>
        </w:rPr>
        <w:t xml:space="preserve">                                                   </w:t>
      </w:r>
    </w:p>
    <w:p w14:paraId="6EFE8855">
      <w:pPr>
        <w:pStyle w:val="35"/>
        <w:spacing w:beforeAutospacing="0" w:afterAutospacing="0" w:line="360" w:lineRule="auto"/>
        <w:jc w:val="both"/>
        <w:rPr>
          <w:rFonts w:hint="eastAsia"/>
          <w:highlight w:val="none"/>
        </w:rPr>
      </w:pPr>
      <w:r>
        <w:rPr>
          <w:rFonts w:hint="eastAsia"/>
          <w:color w:val="000000"/>
          <w:highlight w:val="none"/>
        </w:rPr>
        <w:t>法律依据：</w:t>
      </w:r>
      <w:r>
        <w:rPr>
          <w:rFonts w:hint="eastAsia"/>
          <w:color w:val="000000"/>
          <w:highlight w:val="none"/>
          <w:u w:val="single"/>
        </w:rPr>
        <w:t xml:space="preserve">                                                    </w:t>
      </w:r>
    </w:p>
    <w:p w14:paraId="0810C7F3">
      <w:pPr>
        <w:pStyle w:val="35"/>
        <w:spacing w:beforeAutospacing="0" w:afterAutospacing="0" w:line="360" w:lineRule="auto"/>
        <w:jc w:val="both"/>
        <w:rPr>
          <w:rFonts w:hint="eastAsia"/>
          <w:color w:val="000000"/>
          <w:highlight w:val="none"/>
        </w:rPr>
        <w:sectPr>
          <w:footerReference r:id="rId13" w:type="default"/>
          <w:pgSz w:w="11906" w:h="16838"/>
          <w:pgMar w:top="1015" w:right="1196" w:bottom="868" w:left="1259" w:header="851" w:footer="907" w:gutter="0"/>
          <w:pgNumType w:fmt="decimal"/>
          <w:cols w:space="720" w:num="1"/>
          <w:docGrid w:type="lines" w:linePitch="286" w:charSpace="0"/>
        </w:sectPr>
      </w:pPr>
    </w:p>
    <w:p w14:paraId="09F2057A">
      <w:pPr>
        <w:pStyle w:val="35"/>
        <w:spacing w:beforeAutospacing="0" w:afterAutospacing="0" w:line="360" w:lineRule="auto"/>
        <w:jc w:val="both"/>
        <w:rPr>
          <w:rFonts w:hint="eastAsia"/>
          <w:highlight w:val="none"/>
        </w:rPr>
      </w:pPr>
      <w:r>
        <w:rPr>
          <w:rFonts w:hint="eastAsia"/>
          <w:color w:val="000000"/>
          <w:highlight w:val="none"/>
        </w:rPr>
        <w:t>质疑事项2</w:t>
      </w:r>
    </w:p>
    <w:p w14:paraId="70D681AD">
      <w:pPr>
        <w:pStyle w:val="35"/>
        <w:spacing w:beforeAutospacing="0" w:afterAutospacing="0" w:line="360" w:lineRule="auto"/>
        <w:jc w:val="both"/>
        <w:rPr>
          <w:rFonts w:hint="eastAsia"/>
          <w:highlight w:val="none"/>
        </w:rPr>
      </w:pPr>
      <w:r>
        <w:rPr>
          <w:rFonts w:hint="eastAsia"/>
          <w:color w:val="000000"/>
          <w:highlight w:val="none"/>
        </w:rPr>
        <w:t>……</w:t>
      </w:r>
    </w:p>
    <w:p w14:paraId="19B09247">
      <w:pPr>
        <w:pStyle w:val="35"/>
        <w:spacing w:beforeAutospacing="0" w:afterAutospacing="0" w:line="360" w:lineRule="auto"/>
        <w:jc w:val="both"/>
        <w:rPr>
          <w:rFonts w:hint="eastAsia"/>
          <w:highlight w:val="none"/>
        </w:rPr>
      </w:pPr>
      <w:r>
        <w:rPr>
          <w:rFonts w:hint="eastAsia"/>
          <w:color w:val="000000"/>
          <w:highlight w:val="none"/>
        </w:rPr>
        <w:t>四、与质疑事项相关的质疑请求</w:t>
      </w:r>
    </w:p>
    <w:p w14:paraId="1495F284">
      <w:pPr>
        <w:pStyle w:val="35"/>
        <w:spacing w:beforeAutospacing="0" w:afterAutospacing="0" w:line="360" w:lineRule="auto"/>
        <w:jc w:val="both"/>
        <w:rPr>
          <w:rFonts w:hint="eastAsia"/>
          <w:highlight w:val="none"/>
        </w:rPr>
      </w:pPr>
      <w:r>
        <w:rPr>
          <w:rFonts w:hint="eastAsia"/>
          <w:color w:val="000000"/>
          <w:highlight w:val="none"/>
        </w:rPr>
        <w:t>请求：</w:t>
      </w:r>
      <w:r>
        <w:rPr>
          <w:rFonts w:hint="eastAsia"/>
          <w:color w:val="000000"/>
          <w:highlight w:val="none"/>
          <w:u w:val="single"/>
        </w:rPr>
        <w:t xml:space="preserve">                                                          </w:t>
      </w:r>
    </w:p>
    <w:p w14:paraId="183448AB">
      <w:pPr>
        <w:pStyle w:val="35"/>
        <w:spacing w:beforeAutospacing="0" w:afterAutospacing="0"/>
        <w:jc w:val="both"/>
        <w:rPr>
          <w:rFonts w:hint="eastAsia"/>
          <w:highlight w:val="none"/>
        </w:rPr>
      </w:pPr>
      <w:r>
        <w:rPr>
          <w:rFonts w:hint="eastAsia"/>
          <w:color w:val="000000"/>
          <w:highlight w:val="none"/>
        </w:rPr>
        <w:t xml:space="preserve">签字(签章)：                 公章：               日期：    </w:t>
      </w:r>
    </w:p>
    <w:p w14:paraId="53F8CF60">
      <w:pPr>
        <w:pStyle w:val="35"/>
        <w:spacing w:beforeAutospacing="0" w:afterAutospacing="0" w:line="0" w:lineRule="atLeast"/>
        <w:jc w:val="both"/>
        <w:rPr>
          <w:rFonts w:hint="eastAsia"/>
          <w:highlight w:val="none"/>
        </w:rPr>
      </w:pPr>
      <w:r>
        <w:rPr>
          <w:rFonts w:hint="eastAsia"/>
          <w:b/>
          <w:color w:val="000000"/>
          <w:highlight w:val="none"/>
        </w:rPr>
        <w:t>质疑函制作说明：</w:t>
      </w:r>
    </w:p>
    <w:p w14:paraId="106E569C">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80" w:firstLineChars="200"/>
        <w:textAlignment w:val="auto"/>
        <w:rPr>
          <w:rFonts w:hint="eastAsia"/>
          <w:highlight w:val="none"/>
        </w:rPr>
      </w:pPr>
      <w:r>
        <w:rPr>
          <w:rFonts w:hint="eastAsia"/>
          <w:color w:val="000000"/>
          <w:highlight w:val="none"/>
        </w:rPr>
        <w:t>1.供应商提出质疑时，应提交质疑函和必要的证明材料。</w:t>
      </w:r>
    </w:p>
    <w:p w14:paraId="6CE4E8F9">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80" w:firstLineChars="200"/>
        <w:textAlignment w:val="auto"/>
        <w:rPr>
          <w:rFonts w:hint="eastAsia"/>
          <w:highlight w:val="none"/>
        </w:rPr>
      </w:pPr>
      <w:r>
        <w:rPr>
          <w:rFonts w:hint="eastAsia"/>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3AE84E">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80" w:firstLineChars="200"/>
        <w:textAlignment w:val="auto"/>
        <w:rPr>
          <w:rFonts w:hint="eastAsia"/>
          <w:highlight w:val="none"/>
        </w:rPr>
      </w:pPr>
      <w:r>
        <w:rPr>
          <w:rFonts w:hint="eastAsia"/>
          <w:color w:val="000000"/>
          <w:highlight w:val="none"/>
        </w:rPr>
        <w:t>3.质疑供应商若对项目的某一分包进行质疑，质疑函中应列明具体分包号。</w:t>
      </w:r>
    </w:p>
    <w:p w14:paraId="0BB39C02">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80" w:firstLineChars="200"/>
        <w:textAlignment w:val="auto"/>
        <w:rPr>
          <w:rFonts w:hint="eastAsia"/>
          <w:highlight w:val="none"/>
        </w:rPr>
      </w:pPr>
      <w:r>
        <w:rPr>
          <w:rFonts w:hint="eastAsia"/>
          <w:color w:val="000000"/>
          <w:highlight w:val="none"/>
        </w:rPr>
        <w:t>4.质疑函的质疑事项应具体、明确，并有必要的事实依据和法律依据。</w:t>
      </w:r>
    </w:p>
    <w:p w14:paraId="1D9135F5">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80" w:firstLineChars="200"/>
        <w:textAlignment w:val="auto"/>
        <w:rPr>
          <w:rFonts w:hint="eastAsia"/>
          <w:highlight w:val="none"/>
        </w:rPr>
      </w:pPr>
      <w:r>
        <w:rPr>
          <w:rFonts w:hint="eastAsia"/>
          <w:color w:val="000000"/>
          <w:highlight w:val="none"/>
        </w:rPr>
        <w:t>5.质疑函的质疑请求应与质疑事项相关。</w:t>
      </w:r>
    </w:p>
    <w:p w14:paraId="1DDAD3D8">
      <w:pPr>
        <w:pStyle w:val="35"/>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480" w:firstLineChars="200"/>
        <w:textAlignment w:val="auto"/>
        <w:rPr>
          <w:rFonts w:hint="eastAsia"/>
          <w:highlight w:val="none"/>
        </w:rPr>
      </w:pPr>
      <w:r>
        <w:rPr>
          <w:rFonts w:hint="eastAsia"/>
          <w:color w:val="000000"/>
          <w:highlight w:val="none"/>
        </w:rPr>
        <w:t>6.质疑供应商为自然人的，质疑函应由本人签字；质疑供应商为法人或者其他组织的，质疑函应由法定代表人、主要负责人，或者其授权代表签字或者盖章，并加盖公章。</w:t>
      </w:r>
    </w:p>
    <w:p w14:paraId="71E80EEA">
      <w:pPr>
        <w:pStyle w:val="35"/>
        <w:spacing w:beforeAutospacing="0" w:afterAutospacing="0"/>
        <w:rPr>
          <w:rFonts w:hint="eastAsia"/>
          <w:highlight w:val="none"/>
        </w:rPr>
      </w:pPr>
    </w:p>
    <w:p w14:paraId="0ADA187D">
      <w:pPr>
        <w:widowControl/>
        <w:spacing w:before="100" w:after="100" w:line="500" w:lineRule="exact"/>
        <w:jc w:val="center"/>
        <w:outlineLvl w:val="1"/>
        <w:rPr>
          <w:rFonts w:hint="eastAsia" w:ascii="黑体" w:hAnsi="黑体" w:eastAsia="黑体" w:cs="黑体"/>
          <w:i/>
          <w:color w:val="000000"/>
          <w:sz w:val="32"/>
          <w:szCs w:val="32"/>
          <w:highlight w:val="none"/>
          <w:u w:val="single"/>
        </w:rPr>
      </w:pPr>
    </w:p>
    <w:p w14:paraId="005C3881">
      <w:pPr>
        <w:ind w:left="420"/>
        <w:rPr>
          <w:highlight w:val="none"/>
        </w:rPr>
      </w:pPr>
    </w:p>
    <w:p w14:paraId="3EC5B7CB">
      <w:pPr>
        <w:ind w:left="420"/>
        <w:rPr>
          <w:highlight w:val="none"/>
        </w:rPr>
      </w:pPr>
    </w:p>
    <w:p w14:paraId="463F0846">
      <w:pPr>
        <w:rPr>
          <w:highlight w:val="none"/>
        </w:rPr>
      </w:pPr>
    </w:p>
    <w:p w14:paraId="05C9DA45">
      <w:pPr>
        <w:widowControl/>
        <w:spacing w:line="500" w:lineRule="exact"/>
        <w:jc w:val="center"/>
        <w:rPr>
          <w:rFonts w:hint="eastAsia" w:ascii="宋体" w:hAnsi="宋体"/>
          <w:color w:val="000000" w:themeColor="text1"/>
          <w:sz w:val="24"/>
          <w:highlight w:val="none"/>
          <w14:textFill>
            <w14:solidFill>
              <w14:schemeClr w14:val="tx1"/>
            </w14:solidFill>
          </w14:textFill>
        </w:rPr>
      </w:pPr>
    </w:p>
    <w:sectPr>
      <w:footerReference r:id="rId14" w:type="default"/>
      <w:pgSz w:w="11906" w:h="16838"/>
      <w:pgMar w:top="1015" w:right="1196" w:bottom="868" w:left="1259" w:header="851" w:footer="907" w:gutter="0"/>
      <w:pgNumType w:fmt="decimal"/>
      <w:cols w:space="720" w:num="1"/>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1060001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方正楷体_GBK">
    <w:altName w:val="微软雅黑"/>
    <w:panose1 w:val="02000000000000000000"/>
    <w:charset w:val="86"/>
    <w:family w:val="script"/>
    <w:pitch w:val="default"/>
    <w:sig w:usb0="00000000" w:usb1="00000000" w:usb2="00000016" w:usb3="00000000" w:csb0="00040000" w:csb1="00000000"/>
  </w:font>
  <w:font w:name="Book Antiqua">
    <w:panose1 w:val="02040602050305030304"/>
    <w:charset w:val="00"/>
    <w:family w:val="roman"/>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S PGothic">
    <w:panose1 w:val="020B0600070205080204"/>
    <w:charset w:val="80"/>
    <w:family w:val="swiss"/>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31895">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32C7B">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4D9B77">
                          <w:pPr>
                            <w:pStyle w:val="25"/>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rIxsIBAACOAwAADgAAAGRycy9lMm9Eb2MueG1srVPNjtMwEL4j8Q6W&#10;79RppUV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A0ljlsc+OXH98vP35df38jy&#10;JuvTB6gx7T5gYhre+gG3ZvYDOjPtQUWbv0iIYBzVPV/VlUMiIj9ar9brCkMCY/MF8dnD8xAhvZPe&#10;kmw0NOL4iqr89AHSmDqn5GrO32ljygiN+8uBmNnDcu9jj9lKw36YCO19e0Y+PU6+oQ4XnRLz3qGw&#10;eUlmI87GfjJyDQhvjgkLl34y6gg1FcMxFUbTSuU9eHwvWQ+/0fY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lKyMbCAQAAjgMAAA4AAAAAAAAAAQAgAAAAHgEAAGRycy9lMm9Eb2MueG1sUEsF&#10;BgAAAAAGAAYAWQEAAFIFAAAAAA==&#10;">
              <v:fill on="f" focussize="0,0"/>
              <v:stroke on="f"/>
              <v:imagedata o:title=""/>
              <o:lock v:ext="edit" aspectratio="f"/>
              <v:textbox inset="0mm,0mm,0mm,0mm" style="mso-fit-shape-to-text:t;">
                <w:txbxContent>
                  <w:p w14:paraId="214D9B77">
                    <w:pPr>
                      <w:pStyle w:val="25"/>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73E0B3">
                          <w:pPr>
                            <w:pStyle w:val="25"/>
                          </w:pP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Pdt5MIBAACO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bz&#10;rE8XsKK0x0CJqf8Afc6d/EjOTLvX0eUvEWIUJ3WPF3VVn5jMj5aL5bKkkKTY+UI4xdPzEDF9VOBY&#10;NmoeaXyDquJwj2lMPafkah7ujLXkF5X1/zgIM3uK3PvYY7ZSv+2nxrfQHIlPR5OvuadF58x+8iRs&#10;XpKzEc/GdjJyDQy3+0SFh34y6gg1FaMxDYymlcp78Pw+ZD39Ru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T3beTCAQAAjgMAAA4AAAAAAAAAAQAgAAAAHgEAAGRycy9lMm9Eb2MueG1sUEsF&#10;BgAAAAAGAAYAWQEAAFIFAAAAAA==&#10;">
              <v:fill on="f" focussize="0,0"/>
              <v:stroke on="f"/>
              <v:imagedata o:title=""/>
              <o:lock v:ext="edit" aspectratio="f"/>
              <v:textbox inset="0mm,0mm,0mm,0mm" style="mso-fit-shape-to-text:t;">
                <w:txbxContent>
                  <w:p w14:paraId="6773E0B3">
                    <w:pPr>
                      <w:pStyle w:val="25"/>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F3276">
    <w:pPr>
      <w:pStyle w:val="2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AC311">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CEAC311">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4949A">
    <w:pPr>
      <w:pStyle w:val="2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EA451">
                          <w:pPr>
                            <w:pStyle w:val="25"/>
                          </w:pPr>
                          <w:r>
                            <w:fldChar w:fldCharType="begin"/>
                          </w:r>
                          <w:r>
                            <w:instrText xml:space="preserve"> PAGE  \* MERGEFORMAT </w:instrText>
                          </w:r>
                          <w:r>
                            <w:fldChar w:fldCharType="separate"/>
                          </w:r>
                          <w:r>
                            <w:t>27</w:t>
                          </w:r>
                          <w:r>
                            <w:fldChar w:fldCharType="end"/>
                          </w:r>
                        </w:p>
                      </w:txbxContent>
                    </wps:txbx>
                    <wps:bodyPr wrap="none" lIns="0" tIns="0" rIns="0" bIns="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C/wl8IBAACP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UBJHLc48cvPH5dffy6/v5PV&#10;MgvUB6gx7z5gZhre+QGTZz+gM/MeVLT5i4wIxhHrfJVXDomI/Gi9Wq8rDAmMzRfEZw/PQ4T0XnpL&#10;stHQiPMrsvLTR0hj6pySqzl/p40pMzTuHwdiZg/LvY89ZisN+2EitPftGfn0OPqGOtx0SswHh8pi&#10;f2k24mzsJyPXgHB7TFi49JNRR6ipGM6pMJp2Ki/C43vJeviPt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DAv8JfCAQAAjwMAAA4AAAAAAAAAAQAgAAAAHgEAAGRycy9lMm9Eb2MueG1sUEsF&#10;BgAAAAAGAAYAWQEAAFIFAAAAAA==&#10;">
              <v:fill on="f" focussize="0,0"/>
              <v:stroke on="f"/>
              <v:imagedata o:title=""/>
              <o:lock v:ext="edit" aspectratio="f"/>
              <v:textbox inset="0mm,0mm,0mm,0mm" style="mso-fit-shape-to-text:t;">
                <w:txbxContent>
                  <w:p w14:paraId="147EA451">
                    <w:pPr>
                      <w:pStyle w:val="25"/>
                    </w:pPr>
                    <w:r>
                      <w:fldChar w:fldCharType="begin"/>
                    </w:r>
                    <w:r>
                      <w:instrText xml:space="preserve"> PAGE  \* MERGEFORMAT </w:instrText>
                    </w:r>
                    <w:r>
                      <w:fldChar w:fldCharType="separate"/>
                    </w:r>
                    <w:r>
                      <w:t>27</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2279015</wp:posOffset>
              </wp:positionH>
              <wp:positionV relativeFrom="paragraph">
                <wp:posOffset>3187065</wp:posOffset>
              </wp:positionV>
              <wp:extent cx="2939415" cy="180340"/>
              <wp:effectExtent l="0" t="0" r="0" b="0"/>
              <wp:wrapNone/>
              <wp:docPr id="11" name="文本框 19"/>
              <wp:cNvGraphicFramePr/>
              <a:graphic xmlns:a="http://schemas.openxmlformats.org/drawingml/2006/main">
                <a:graphicData uri="http://schemas.microsoft.com/office/word/2010/wordprocessingShape">
                  <wps:wsp>
                    <wps:cNvSpPr txBox="1"/>
                    <wps:spPr>
                      <a:xfrm>
                        <a:off x="0" y="0"/>
                        <a:ext cx="2939415" cy="180340"/>
                      </a:xfrm>
                      <a:prstGeom prst="rect">
                        <a:avLst/>
                      </a:prstGeom>
                      <a:noFill/>
                      <a:ln>
                        <a:noFill/>
                      </a:ln>
                    </wps:spPr>
                    <wps:txbx>
                      <w:txbxContent>
                        <w:p w14:paraId="1F776D75">
                          <w:pPr>
                            <w:pStyle w:val="25"/>
                          </w:pPr>
                          <w:r>
                            <w:rPr>
                              <w:rFonts w:hint="eastAsia"/>
                            </w:rPr>
                            <w:t>28</w:t>
                          </w:r>
                        </w:p>
                      </w:txbxContent>
                    </wps:txbx>
                    <wps:bodyPr wrap="square" lIns="0" tIns="0" rIns="0" bIns="0"/>
                  </wps:wsp>
                </a:graphicData>
              </a:graphic>
            </wp:anchor>
          </w:drawing>
        </mc:Choice>
        <mc:Fallback>
          <w:pict>
            <v:shape id="文本框 19" o:spid="_x0000_s1026" o:spt="202" type="#_x0000_t202" style="position:absolute;left:0pt;margin-left:179.45pt;margin-top:250.95pt;height:14.2pt;width:231.45pt;mso-position-horizontal-relative:margin;z-index:251663360;mso-width-relative:page;mso-height-relative:page;" filled="f" stroked="f" coordsize="21600,21600" o:gfxdata="UEsDBAoAAAAAAIdO4kAAAAAAAAAAAAAAAAAEAAAAZHJzL1BLAwQUAAAACACHTuJAZtMYAtoAAAAL&#10;AQAADwAAAGRycy9kb3ducmV2LnhtbE2PzU7DMBCE70i8g7VI3KidRq3SEKdCCE5IiDQcODrJNrEa&#10;r0Ps/vD2LCd6290ZzX5TbC9uFCecg/WkIVkoEEit7yz1Gj7r14cMRIiGOjN6Qg0/GGBb3t4UJu/8&#10;mSo87WIvOIRCbjQMMU65lKEd0Jmw8BMSa3s/OxN5nXvZzebM4W6US6XW0hlL/GEwEz4P2B52R6fh&#10;6YuqF/v93nxU+8rW9UbR2/qg9f1doh5BRLzEfzP84TM6lMzU+CN1QYwa0lW2YauGlUp4YEe2TLhM&#10;w5dUpSDLQl53KH8BUEsDBBQAAAAIAIdO4kD+5obLwAEAAHYDAAAOAAAAZHJzL2Uyb0RvYy54bWyt&#10;U0uOEzEQ3SNxB8t74u7MgCatdEZC0SAkBEgDB3DcdtqSf7icdOcCcANWbNhzrpyDstPJwLCZBRt3&#10;uar6+b1X9vJ2tIbsZQTtXUvrWUWJdMJ32m1b+vnT3YsbSiBx13HjnWzpQQK9XT1/thxCI+e+96aT&#10;kSCIg2YILe1TCg1jIHppOcx8kA6LykfLE27jlnWRD4huDZtX1Ss2+NiF6IUEwOz6VKQTYnwKoFdK&#10;C7n2YmelSyfUKA1PKAl6HYCuClulpEgflAKZiGkpKk1lxUMw3uSVrZa82UYeei0mCvwpFB5pslw7&#10;PPQCteaJk13U/0BZLaIHr9JMeMtOQoojqKKuHnlz3/Mgixa0GsLFdPh/sOL9/mMkusObUFPiuMWJ&#10;H79/O/74dfz5ldSLbNAQoMG++4CdaXztR2w+5wGTWfeoos1fVESwjvYeLvbKMRGByfnianFdv6RE&#10;YK2+qa6ui//s4e8QIb2R3pIctDTi+IqrfP8OEjLB1nNLPsz5O21MGaFxfyWwMWdYpn6imKM0bsZJ&#10;z8Z3B5Qz4ORbCl92PEpKzFuH1uZrcg7iOdhMQSaRoXAchc50dfK8/9yXrofnsvo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tMYAtoAAAALAQAADwAAAAAAAAABACAAAAAiAAAAZHJzL2Rvd25yZXYu&#10;eG1sUEsBAhQAFAAAAAgAh07iQP7mhsvAAQAAdgMAAA4AAAAAAAAAAQAgAAAAKQEAAGRycy9lMm9E&#10;b2MueG1sUEsFBgAAAAAGAAYAWQEAAFsFAAAAAA==&#10;">
              <v:fill on="f" focussize="0,0"/>
              <v:stroke on="f"/>
              <v:imagedata o:title=""/>
              <o:lock v:ext="edit" aspectratio="f"/>
              <v:textbox inset="0mm,0mm,0mm,0mm">
                <w:txbxContent>
                  <w:p w14:paraId="1F776D75">
                    <w:pPr>
                      <w:pStyle w:val="25"/>
                    </w:pPr>
                    <w:r>
                      <w:rPr>
                        <w:rFonts w:hint="eastAsia"/>
                      </w:rPr>
                      <w:t>28</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3191510</wp:posOffset>
              </wp:positionH>
              <wp:positionV relativeFrom="paragraph">
                <wp:posOffset>3138170</wp:posOffset>
              </wp:positionV>
              <wp:extent cx="162560" cy="125095"/>
              <wp:effectExtent l="0" t="0" r="0" b="0"/>
              <wp:wrapNone/>
              <wp:docPr id="9" name="文本框 11"/>
              <wp:cNvGraphicFramePr/>
              <a:graphic xmlns:a="http://schemas.openxmlformats.org/drawingml/2006/main">
                <a:graphicData uri="http://schemas.microsoft.com/office/word/2010/wordprocessingShape">
                  <wps:wsp>
                    <wps:cNvSpPr txBox="1"/>
                    <wps:spPr>
                      <a:xfrm>
                        <a:off x="0" y="0"/>
                        <a:ext cx="162560" cy="125095"/>
                      </a:xfrm>
                      <a:prstGeom prst="rect">
                        <a:avLst/>
                      </a:prstGeom>
                      <a:noFill/>
                      <a:ln>
                        <a:noFill/>
                      </a:ln>
                    </wps:spPr>
                    <wps:txbx>
                      <w:txbxContent>
                        <w:p w14:paraId="7044343F">
                          <w:pPr>
                            <w:pStyle w:val="25"/>
                          </w:pPr>
                          <w:r>
                            <w:rPr>
                              <w:rFonts w:hint="eastAsia"/>
                            </w:rPr>
                            <w:t>27</w:t>
                          </w:r>
                        </w:p>
                      </w:txbxContent>
                    </wps:txbx>
                    <wps:bodyPr wrap="square" lIns="0" tIns="0" rIns="0" bIns="0"/>
                  </wps:wsp>
                </a:graphicData>
              </a:graphic>
            </wp:anchor>
          </w:drawing>
        </mc:Choice>
        <mc:Fallback>
          <w:pict>
            <v:shape id="文本框 11" o:spid="_x0000_s1026" o:spt="202" type="#_x0000_t202" style="position:absolute;left:0pt;margin-left:251.3pt;margin-top:247.1pt;height:9.85pt;width:12.8pt;mso-position-horizontal-relative:margin;z-index:251661312;mso-width-relative:page;mso-height-relative:page;" filled="f" stroked="f" coordsize="21600,21600" o:gfxdata="UEsDBAoAAAAAAIdO4kAAAAAAAAAAAAAAAAAEAAAAZHJzL1BLAwQUAAAACACHTuJAuD/ugNoAAAAL&#10;AQAADwAAAGRycy9kb3ducmV2LnhtbE2Py07DMBBF90j8gzWV2FE7oY2aNE6FEKyQEGlYsHRiN7Ea&#10;j0PsPvh7hhXs7miO7pwpd1c3srOZg/UoIVkKYAY7ry32Ej6al/sNsBAVajV6NBK+TYBddXtTqkL7&#10;C9bmvI89oxIMhZIwxDgVnIduME6FpZ8M0u7gZ6cijXPP9awuVO5GngqRcacs0oVBTeZpMN1xf3IS&#10;Hj+xfrZfb+17faht0+QCX7OjlHeLRGyBRXONfzD86pM6VOTU+hPqwEYJa5FmhEpY5asUGBHrdEOh&#10;pZA85MCrkv//ofoBUEsDBBQAAAAIAIdO4kCT9v+jvQEAAHQDAAAOAAAAZHJzL2Uyb0RvYy54bWyt&#10;U0tu2zAQ3RfIHQjuY0oGbDSC5QCFkSJA0BZIewCaIi0C/JVDW/IF2ht01U33PZfP0aEkO2m6yaIb&#10;ajgzfHzvDbW67a0hBxlBe1fTclZQIp3wjXa7mn75fHf9lhJI3DXceCdrepRAb9dXb1ZdqOTct940&#10;MhIEcVB1oaZtSqFiDEQrLYeZD9JhUfloecJt3LEm8g7RrWHzoliyzscmRC8kAGY3Y5FOiPE1gF4p&#10;LeTGi72VLo2oURqeUBK0OgBdD2yVkiJ9VApkIqamqDQNK16C8TavbL3i1S7y0GoxUeCvofBCk+Xa&#10;4aUXqA1PnOyj/gfKahE9eJVmwls2ChkcQRVl8cKbx5YHOWhBqyFcTIf/Bys+HD5Fopua3lDiuMWB&#10;n358P/38ffr1jZRl9qcLUGHbY8DG1L/zPb6acx4wmWX3Ktr8RUEE6+ju8eKu7BMR+dByvlhiRWCp&#10;nC+Km0VGYU+HQ4T0XnpLclDTiMMbPOWHB0hj67kl3+X8nTZmGKBxfyUQM2dYZj4yzFHqt/0kZ+ub&#10;I6rpcO41ha97HiUl5t6hsfmRnIN4DrZTkElkKBzGwHx6OHnaz/dD19PPsv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D/ugNoAAAALAQAADwAAAAAAAAABACAAAAAiAAAAZHJzL2Rvd25yZXYueG1s&#10;UEsBAhQAFAAAAAgAh07iQJP2/6O9AQAAdAMAAA4AAAAAAAAAAQAgAAAAKQEAAGRycy9lMm9Eb2Mu&#10;eG1sUEsFBgAAAAAGAAYAWQEAAFgFAAAAAA==&#10;">
              <v:fill on="f" focussize="0,0"/>
              <v:stroke on="f"/>
              <v:imagedata o:title=""/>
              <o:lock v:ext="edit" aspectratio="f"/>
              <v:textbox inset="0mm,0mm,0mm,0mm">
                <w:txbxContent>
                  <w:p w14:paraId="7044343F">
                    <w:pPr>
                      <w:pStyle w:val="25"/>
                    </w:pPr>
                    <w:r>
                      <w:rPr>
                        <w:rFonts w:hint="eastAsia"/>
                      </w:rPr>
                      <w:t>27</w:t>
                    </w:r>
                  </w:p>
                </w:txbxContent>
              </v:textbox>
            </v:shape>
          </w:pict>
        </mc:Fallback>
      </mc:AlternateContent>
    </w:r>
    <w:r>
      <w:rPr>
        <w:rFonts w:hint="eastAsia"/>
      </w:rPr>
      <w:t>28</w:t>
    </w:r>
  </w:p>
  <w:p w14:paraId="5AA7DF79">
    <w:pPr>
      <w:pStyle w:val="25"/>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E0906">
    <w:pPr>
      <w:pStyle w:val="25"/>
      <w:jc w:val="center"/>
      <w:rPr>
        <w:rFonts w:hint="default"/>
        <w:lang w:val="en-US"/>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483F19">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B483F19">
                    <w:pPr>
                      <w:pStyle w:val="25"/>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6" name="文本框 18"/>
              <wp:cNvGraphicFramePr/>
              <a:graphic xmlns:a="http://schemas.openxmlformats.org/drawingml/2006/main">
                <a:graphicData uri="http://schemas.microsoft.com/office/word/2010/wordprocessingShape">
                  <wps:wsp>
                    <wps:cNvSpPr txBox="1"/>
                    <wps:spPr>
                      <a:xfrm>
                        <a:off x="0" y="0"/>
                        <a:ext cx="123825" cy="1828800"/>
                      </a:xfrm>
                      <a:prstGeom prst="rect">
                        <a:avLst/>
                      </a:prstGeom>
                      <a:noFill/>
                      <a:ln>
                        <a:noFill/>
                      </a:ln>
                    </wps:spPr>
                    <wps:txbx>
                      <w:txbxContent>
                        <w:p w14:paraId="09437CC9">
                          <w:pPr>
                            <w:pStyle w:val="25"/>
                          </w:pPr>
                        </w:p>
                        <w:p w14:paraId="7809273B">
                          <w:pPr>
                            <w:pStyle w:val="25"/>
                            <w:rPr>
                              <w:rFonts w:hint="default" w:eastAsia="宋体"/>
                              <w:lang w:val="en-US" w:eastAsia="zh-CN"/>
                            </w:rPr>
                          </w:pPr>
                        </w:p>
                      </w:txbxContent>
                    </wps:txbx>
                    <wps:bodyPr wrap="square" lIns="0" tIns="0" rIns="0" bIns="0">
                      <a:spAutoFit/>
                    </wps:bodyPr>
                  </wps:wsp>
                </a:graphicData>
              </a:graphic>
            </wp:anchor>
          </w:drawing>
        </mc:Choice>
        <mc:Fallback>
          <w:pict>
            <v:shape id="文本框 18" o:spid="_x0000_s1026" o:spt="202" type="#_x0000_t202" style="position:absolute;left:0pt;margin-left:234.05pt;margin-top:-0.2pt;height:144pt;width:9.75pt;mso-position-horizontal-relative:margin;z-index:251664384;mso-width-relative:page;mso-height-relative:page;" filled="f" stroked="f" coordsize="21600,21600" o:gfxdata="UEsDBAoAAAAAAIdO4kAAAAAAAAAAAAAAAAAEAAAAZHJzL1BLAwQUAAAACACHTuJAvp4lZNYAAAAJ&#10;AQAADwAAAGRycy9kb3ducmV2LnhtbE2PMU/DMBCFdyT+g3VILKh1HEUhpLl0QLCwUVjY3PiaRMTn&#10;KHaT0F+PO8H2Tu/pve+q/WoHMdPke8cIapuAIG6c6blF+Px43RQgfNBs9OCYEH7Iw76+val0adzC&#10;7zQfQitiCftSI3QhjKWUvunIar91I3H0Tm6yOsRzaqWZ9BLL7SDTJMml1T3HhU6P9NxR8304W4R8&#10;fRkf3p4oXS7NMPPXRalACvH+TiU7EIHW8BeGK35EhzoyHd2ZjRcDQpYXKkYRNhmI6GfFYw7iiJBe&#10;hawr+f+D+hdQSwMEFAAAAAgAh07iQMFri8nKAQAAjwMAAA4AAABkcnMvZTJvRG9jLnhtbK1TzY7T&#10;MBC+I/EOlu/UaRCrKGq6AlWLkBAgLfsAruM0lvyHx23SF4A34MSFO8/V52DspF3YvexhL854ZvzN&#10;fN9MVtej0eQgAyhnG7pcFJRIK1yr7K6hd19vXlWUQOS25dpZ2dCjBHq9fvliNfhalq53upWBIIiF&#10;evAN7WP0NWMgemk4LJyXFoOdC4ZHvIYdawMfEN1oVhbFFRtcaH1wQgKgdzMF6YwYngLouk4JuXFi&#10;b6SNE2qQmkekBL3yQNe5266TIn7uOpCR6IYi05hPLIL2Np1sveL1LnDfKzG3wJ/SwgNOhiuLRS9Q&#10;Gx452Qf1CMooERy4Li6EM2wikhVBFsvigTa3Pfcyc0GpwV9Eh+eDFZ8OXwJRbUOvKLHc4MBPP3+c&#10;fv05/f5OllXSZ/BQY9qtx8Q4vnMjbs3ZD+hMtMcumPRFQgTjqO7xoq4cIxHpUfm6Kt9QIjC0rMqq&#10;KrL87P61DxDfS2dIMhoacHpZVH74CBE7wdRzSipm3Y3SOk9Q2/8cmJg8LLU+tZisOG7Hmc/WtUek&#10;M+DgGwrf9jxISvQHi8qmLTkb4WxsZyNVAf92H7F07ijhTmBzOZxTbnTeqbQI/95z1v1/tP4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p4lZNYAAAAJAQAADwAAAAAAAAABACAAAAAiAAAAZHJzL2Rv&#10;d25yZXYueG1sUEsBAhQAFAAAAAgAh07iQMFri8nKAQAAjwMAAA4AAAAAAAAAAQAgAAAAJQEAAGRy&#10;cy9lMm9Eb2MueG1sUEsFBgAAAAAGAAYAWQEAAGEFAAAAAA==&#10;">
              <v:fill on="f" focussize="0,0"/>
              <v:stroke on="f"/>
              <v:imagedata o:title=""/>
              <o:lock v:ext="edit" aspectratio="f"/>
              <v:textbox inset="0mm,0mm,0mm,0mm" style="mso-fit-shape-to-text:t;">
                <w:txbxContent>
                  <w:p w14:paraId="09437CC9">
                    <w:pPr>
                      <w:pStyle w:val="25"/>
                    </w:pPr>
                  </w:p>
                  <w:p w14:paraId="7809273B">
                    <w:pPr>
                      <w:pStyle w:val="25"/>
                      <w:rPr>
                        <w:rFonts w:hint="default" w:eastAsia="宋体"/>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DD434">
    <w:pPr>
      <w:pStyle w:val="25"/>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62AF64">
                          <w:pPr>
                            <w:pStyle w:val="2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C62AF64">
                    <w:pPr>
                      <w:pStyle w:val="25"/>
                    </w:pPr>
                    <w:r>
                      <w:fldChar w:fldCharType="begin"/>
                    </w:r>
                    <w:r>
                      <w:instrText xml:space="preserve"> PAGE  \* MERGEFORMAT </w:instrText>
                    </w:r>
                    <w:r>
                      <w:fldChar w:fldCharType="separate"/>
                    </w:r>
                    <w:r>
                      <w:t>52</w:t>
                    </w:r>
                    <w:r>
                      <w:fldChar w:fldCharType="end"/>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9D823">
                          <w:pPr>
                            <w:pStyle w:val="25"/>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109D823">
                    <w:pPr>
                      <w:pStyle w:val="25"/>
                      <w:rPr>
                        <w:rFonts w:hint="default" w:eastAsia="宋体"/>
                        <w:lang w:val="en-US" w:eastAsia="zh-CN"/>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2972435</wp:posOffset>
              </wp:positionH>
              <wp:positionV relativeFrom="paragraph">
                <wp:posOffset>-2540</wp:posOffset>
              </wp:positionV>
              <wp:extent cx="123825" cy="1828800"/>
              <wp:effectExtent l="0" t="0" r="0" b="0"/>
              <wp:wrapNone/>
              <wp:docPr id="13" name="文本框 18"/>
              <wp:cNvGraphicFramePr/>
              <a:graphic xmlns:a="http://schemas.openxmlformats.org/drawingml/2006/main">
                <a:graphicData uri="http://schemas.microsoft.com/office/word/2010/wordprocessingShape">
                  <wps:wsp>
                    <wps:cNvSpPr txBox="1"/>
                    <wps:spPr>
                      <a:xfrm>
                        <a:off x="0" y="0"/>
                        <a:ext cx="123825" cy="1828800"/>
                      </a:xfrm>
                      <a:prstGeom prst="rect">
                        <a:avLst/>
                      </a:prstGeom>
                      <a:noFill/>
                      <a:ln>
                        <a:noFill/>
                      </a:ln>
                    </wps:spPr>
                    <wps:txbx>
                      <w:txbxContent>
                        <w:p w14:paraId="3FFD9744">
                          <w:pPr>
                            <w:pStyle w:val="25"/>
                          </w:pPr>
                        </w:p>
                        <w:p w14:paraId="7444B2F0">
                          <w:pPr>
                            <w:pStyle w:val="25"/>
                            <w:rPr>
                              <w:rFonts w:hint="default" w:eastAsia="宋体"/>
                              <w:lang w:val="en-US" w:eastAsia="zh-CN"/>
                            </w:rPr>
                          </w:pPr>
                        </w:p>
                      </w:txbxContent>
                    </wps:txbx>
                    <wps:bodyPr wrap="square" lIns="0" tIns="0" rIns="0" bIns="0">
                      <a:spAutoFit/>
                    </wps:bodyPr>
                  </wps:wsp>
                </a:graphicData>
              </a:graphic>
            </wp:anchor>
          </w:drawing>
        </mc:Choice>
        <mc:Fallback>
          <w:pict>
            <v:shape id="文本框 18" o:spid="_x0000_s1026" o:spt="202" type="#_x0000_t202" style="position:absolute;left:0pt;margin-left:234.05pt;margin-top:-0.2pt;height:144pt;width:9.75pt;mso-position-horizontal-relative:margin;z-index:251665408;mso-width-relative:page;mso-height-relative:page;" filled="f" stroked="f" coordsize="21600,21600" o:gfxdata="UEsDBAoAAAAAAIdO4kAAAAAAAAAAAAAAAAAEAAAAZHJzL1BLAwQUAAAACACHTuJAvp4lZNYAAAAJ&#10;AQAADwAAAGRycy9kb3ducmV2LnhtbE2PMU/DMBCFdyT+g3VILKh1HEUhpLl0QLCwUVjY3PiaRMTn&#10;KHaT0F+PO8H2Tu/pve+q/WoHMdPke8cIapuAIG6c6blF+Px43RQgfNBs9OCYEH7Iw76+val0adzC&#10;7zQfQitiCftSI3QhjKWUvunIar91I3H0Tm6yOsRzaqWZ9BLL7SDTJMml1T3HhU6P9NxR8304W4R8&#10;fRkf3p4oXS7NMPPXRalACvH+TiU7EIHW8BeGK35EhzoyHd2ZjRcDQpYXKkYRNhmI6GfFYw7iiJBe&#10;hawr+f+D+hdQSwMEFAAAAAgAh07iQIM0w9bKAQAAkAMAAA4AAABkcnMvZTJvRG9jLnhtbK1TzY7T&#10;MBC+I/EOlu/UaVagKGq6AlWLkBAgLfsAruM0lvyHx23SF4A34MSFO8/V52DspF3YvexhL854ZvzN&#10;fN9MVtej0eQgAyhnG7pcFJRIK1yr7K6hd19vXlWUQOS25dpZ2dCjBHq9fvliNfhalq53upWBIIiF&#10;evAN7WP0NWMgemk4LJyXFoOdC4ZHvIYdawMfEN1oVhbFGza40PrghARA72YK0hkxPAXQdZ0ScuPE&#10;3kgbJ9QgNY9ICXrlga5zt10nRfzcdSAj0Q1FpjGfWATtbTrZesXrXeC+V2JugT+lhQecDFcWi16g&#10;Njxysg/qEZRRIjhwXVwIZ9hEJCuCLJbFA21ue+5l5oJSg7+IDs8HKz4dvgSiWtyEK0osNzjx088f&#10;p19/Tr+/k2WVBBo81Jh36zEzju/ciMlnP6Az8R67YNIXGRGMo7zHi7xyjESkR+VVVb6mRGBoWZVV&#10;VWT92f1rHyC+l86QZDQ04PiyqvzwESJ2gqnnlFTMuhuldR6htv85MDF5WGp9ajFZcdyOM5+ta49I&#10;Z8DJNxS+7XmQlOgPFqVNa3I2wtnYzkaqAv7tPmLp3FHCncDmcjio3Oi8VGkT/r3nrPsfaf0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vp4lZNYAAAAJAQAADwAAAAAAAAABACAAAAAiAAAAZHJzL2Rv&#10;d25yZXYueG1sUEsBAhQAFAAAAAgAh07iQIM0w9bKAQAAkAMAAA4AAAAAAAAAAQAgAAAAJQEAAGRy&#10;cy9lMm9Eb2MueG1sUEsFBgAAAAAGAAYAWQEAAGEFAAAAAA==&#10;">
              <v:fill on="f" focussize="0,0"/>
              <v:stroke on="f"/>
              <v:imagedata o:title=""/>
              <o:lock v:ext="edit" aspectratio="f"/>
              <v:textbox inset="0mm,0mm,0mm,0mm" style="mso-fit-shape-to-text:t;">
                <w:txbxContent>
                  <w:p w14:paraId="3FFD9744">
                    <w:pPr>
                      <w:pStyle w:val="25"/>
                    </w:pPr>
                  </w:p>
                  <w:p w14:paraId="7444B2F0">
                    <w:pPr>
                      <w:pStyle w:val="25"/>
                      <w:rPr>
                        <w:rFonts w:hint="default" w:eastAsia="宋体"/>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0FA5C">
    <w:pPr>
      <w:pStyle w:val="25"/>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DD0FC">
                          <w:pPr>
                            <w:pStyle w:val="25"/>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ECDD0FC">
                    <w:pPr>
                      <w:pStyle w:val="25"/>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E9FA8">
    <w:pPr>
      <w:pStyle w:val="25"/>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F8869A">
                          <w:pPr>
                            <w:pStyle w:val="25"/>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AF8869A">
                    <w:pPr>
                      <w:pStyle w:val="25"/>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F1C07">
    <w:pPr>
      <w:pStyle w:val="25"/>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68C1A5">
                          <w:pPr>
                            <w:pStyle w:val="25"/>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168C1A5">
                    <w:pPr>
                      <w:pStyle w:val="25"/>
                    </w:pPr>
                    <w:r>
                      <w:fldChar w:fldCharType="begin"/>
                    </w:r>
                    <w:r>
                      <w:instrText xml:space="preserve"> PAGE  \* MERGEFORMAT </w:instrText>
                    </w:r>
                    <w:r>
                      <w:fldChar w:fldCharType="separate"/>
                    </w:r>
                    <w:r>
                      <w:t>88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99D94">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91A45">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805F3">
    <w:pPr>
      <w:pStyle w:val="26"/>
      <w:pBdr>
        <w:bottom w:val="none" w:color="auto" w:sz="0" w:space="1"/>
      </w:pBdr>
      <w:tabs>
        <w:tab w:val="left" w:pos="3565"/>
        <w:tab w:val="clear" w:pos="4153"/>
        <w:tab w:val="clear" w:pos="8306"/>
      </w:tabs>
      <w:jc w:val="both"/>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2FD51F"/>
    <w:multiLevelType w:val="singleLevel"/>
    <w:tmpl w:val="9B2FD51F"/>
    <w:lvl w:ilvl="0" w:tentative="0">
      <w:start w:val="1"/>
      <w:numFmt w:val="decimal"/>
      <w:suff w:val="nothing"/>
      <w:lvlText w:val="（%1）"/>
      <w:lvlJc w:val="left"/>
    </w:lvl>
  </w:abstractNum>
  <w:abstractNum w:abstractNumId="1">
    <w:nsid w:val="B117AB00"/>
    <w:multiLevelType w:val="singleLevel"/>
    <w:tmpl w:val="B117AB00"/>
    <w:lvl w:ilvl="0" w:tentative="0">
      <w:start w:val="8"/>
      <w:numFmt w:val="chineseCounting"/>
      <w:suff w:val="nothing"/>
      <w:lvlText w:val="%1、"/>
      <w:lvlJc w:val="left"/>
      <w:rPr>
        <w:rFonts w:hint="eastAsia"/>
      </w:rPr>
    </w:lvl>
  </w:abstractNum>
  <w:abstractNum w:abstractNumId="2">
    <w:nsid w:val="B324B362"/>
    <w:multiLevelType w:val="singleLevel"/>
    <w:tmpl w:val="B324B362"/>
    <w:lvl w:ilvl="0" w:tentative="0">
      <w:start w:val="1"/>
      <w:numFmt w:val="decimal"/>
      <w:suff w:val="nothing"/>
      <w:lvlText w:val="（%1）"/>
      <w:lvlJc w:val="left"/>
    </w:lvl>
  </w:abstractNum>
  <w:abstractNum w:abstractNumId="3">
    <w:nsid w:val="CF95C3D8"/>
    <w:multiLevelType w:val="singleLevel"/>
    <w:tmpl w:val="CF95C3D8"/>
    <w:lvl w:ilvl="0" w:tentative="0">
      <w:start w:val="1"/>
      <w:numFmt w:val="decimal"/>
      <w:suff w:val="nothing"/>
      <w:lvlText w:val="（%1）"/>
      <w:lvlJc w:val="left"/>
    </w:lvl>
  </w:abstractNum>
  <w:abstractNum w:abstractNumId="4">
    <w:nsid w:val="DA50A26A"/>
    <w:multiLevelType w:val="singleLevel"/>
    <w:tmpl w:val="DA50A26A"/>
    <w:lvl w:ilvl="0" w:tentative="0">
      <w:start w:val="4"/>
      <w:numFmt w:val="chineseCounting"/>
      <w:suff w:val="nothing"/>
      <w:lvlText w:val="%1、"/>
      <w:lvlJc w:val="left"/>
      <w:rPr>
        <w:rFonts w:hint="eastAsia"/>
      </w:rPr>
    </w:lvl>
  </w:abstractNum>
  <w:abstractNum w:abstractNumId="5">
    <w:nsid w:val="0248C179"/>
    <w:multiLevelType w:val="multilevel"/>
    <w:tmpl w:val="0248C179"/>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6784D56"/>
    <w:multiLevelType w:val="singleLevel"/>
    <w:tmpl w:val="06784D56"/>
    <w:lvl w:ilvl="0" w:tentative="0">
      <w:start w:val="1"/>
      <w:numFmt w:val="upperLetter"/>
      <w:pStyle w:val="51"/>
      <w:lvlText w:val="附录%1."/>
      <w:lvlJc w:val="left"/>
      <w:pPr>
        <w:tabs>
          <w:tab w:val="left" w:pos="907"/>
        </w:tabs>
        <w:ind w:left="907" w:hanging="907"/>
      </w:pPr>
      <w:rPr>
        <w:rFonts w:hint="eastAsia"/>
      </w:rPr>
    </w:lvl>
  </w:abstractNum>
  <w:abstractNum w:abstractNumId="7">
    <w:nsid w:val="237E4D61"/>
    <w:multiLevelType w:val="multilevel"/>
    <w:tmpl w:val="237E4D61"/>
    <w:lvl w:ilvl="0" w:tentative="0">
      <w:start w:val="1"/>
      <w:numFmt w:val="japaneseCounting"/>
      <w:pStyle w:val="65"/>
      <w:lvlText w:val="第%1章"/>
      <w:lvlJc w:val="left"/>
      <w:pPr>
        <w:ind w:left="9351" w:hanging="420"/>
      </w:pPr>
      <w:rPr>
        <w:rFonts w:hint="eastAsia" w:ascii="黑体" w:eastAsia="黑体"/>
        <w:b w:val="0"/>
        <w:sz w:val="36"/>
        <w:lang w:val="en-US"/>
      </w:rPr>
    </w:lvl>
    <w:lvl w:ilvl="1" w:tentative="0">
      <w:start w:val="1"/>
      <w:numFmt w:val="decimal"/>
      <w:pStyle w:val="54"/>
      <w:isLgl/>
      <w:lvlText w:val="%1.%2"/>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2" w:tentative="0">
      <w:start w:val="1"/>
      <w:numFmt w:val="decimal"/>
      <w:pStyle w:val="55"/>
      <w:isLgl/>
      <w:lvlText w:val="%1.%2.%3"/>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pStyle w:val="66"/>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8">
    <w:nsid w:val="2B6671FF"/>
    <w:multiLevelType w:val="singleLevel"/>
    <w:tmpl w:val="2B6671FF"/>
    <w:lvl w:ilvl="0" w:tentative="0">
      <w:start w:val="2"/>
      <w:numFmt w:val="chineseCounting"/>
      <w:suff w:val="space"/>
      <w:lvlText w:val="第%1章"/>
      <w:lvlJc w:val="left"/>
      <w:rPr>
        <w:rFonts w:hint="eastAsia"/>
      </w:rPr>
    </w:lvl>
  </w:abstractNum>
  <w:abstractNum w:abstractNumId="9">
    <w:nsid w:val="3E1DE46A"/>
    <w:multiLevelType w:val="singleLevel"/>
    <w:tmpl w:val="3E1DE46A"/>
    <w:lvl w:ilvl="0" w:tentative="0">
      <w:start w:val="1"/>
      <w:numFmt w:val="decimal"/>
      <w:suff w:val="nothing"/>
      <w:lvlText w:val="（%1）"/>
      <w:lvlJc w:val="left"/>
    </w:lvl>
  </w:abstractNum>
  <w:num w:numId="1">
    <w:abstractNumId w:val="6"/>
  </w:num>
  <w:num w:numId="2">
    <w:abstractNumId w:val="7"/>
  </w:num>
  <w:num w:numId="3">
    <w:abstractNumId w:val="8"/>
  </w:num>
  <w:num w:numId="4">
    <w:abstractNumId w:val="2"/>
  </w:num>
  <w:num w:numId="5">
    <w:abstractNumId w:val="4"/>
  </w:num>
  <w:num w:numId="6">
    <w:abstractNumId w:val="0"/>
  </w:num>
  <w:num w:numId="7">
    <w:abstractNumId w:val="3"/>
  </w:num>
  <w:num w:numId="8">
    <w:abstractNumId w:val="9"/>
  </w:num>
  <w:num w:numId="9">
    <w:abstractNumId w:val="1"/>
  </w:num>
  <w:num w:numId="10">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4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xZjRiMzBjNGY2MTYzY2MxMjM1NzI4ODg2ZDg5MzMifQ=="/>
    <w:docVar w:name="KGWebUrl" w:val="http://112.24.96.62:8084/yczfcg/OfficeServer"/>
  </w:docVars>
  <w:rsids>
    <w:rsidRoot w:val="00C26726"/>
    <w:rsid w:val="00002209"/>
    <w:rsid w:val="0000240C"/>
    <w:rsid w:val="00002995"/>
    <w:rsid w:val="00003B42"/>
    <w:rsid w:val="00004021"/>
    <w:rsid w:val="000042B8"/>
    <w:rsid w:val="00005A19"/>
    <w:rsid w:val="00006652"/>
    <w:rsid w:val="00006DD7"/>
    <w:rsid w:val="00010AD8"/>
    <w:rsid w:val="000125B7"/>
    <w:rsid w:val="000136F0"/>
    <w:rsid w:val="00014318"/>
    <w:rsid w:val="00017387"/>
    <w:rsid w:val="00020761"/>
    <w:rsid w:val="000217AF"/>
    <w:rsid w:val="00021F81"/>
    <w:rsid w:val="00022538"/>
    <w:rsid w:val="0002258C"/>
    <w:rsid w:val="000240E9"/>
    <w:rsid w:val="000247C1"/>
    <w:rsid w:val="00027330"/>
    <w:rsid w:val="000301F8"/>
    <w:rsid w:val="00030231"/>
    <w:rsid w:val="00030A86"/>
    <w:rsid w:val="00030F2C"/>
    <w:rsid w:val="00031E66"/>
    <w:rsid w:val="00031F03"/>
    <w:rsid w:val="0003271B"/>
    <w:rsid w:val="000336E2"/>
    <w:rsid w:val="00033A5F"/>
    <w:rsid w:val="00035773"/>
    <w:rsid w:val="00035E23"/>
    <w:rsid w:val="00037092"/>
    <w:rsid w:val="00040D8B"/>
    <w:rsid w:val="00042D59"/>
    <w:rsid w:val="00044140"/>
    <w:rsid w:val="0004532E"/>
    <w:rsid w:val="00050D3E"/>
    <w:rsid w:val="0005265C"/>
    <w:rsid w:val="00052ABC"/>
    <w:rsid w:val="00053C3A"/>
    <w:rsid w:val="00053FCF"/>
    <w:rsid w:val="000549F6"/>
    <w:rsid w:val="00054CF4"/>
    <w:rsid w:val="00054DE8"/>
    <w:rsid w:val="00055173"/>
    <w:rsid w:val="000562C0"/>
    <w:rsid w:val="000600DE"/>
    <w:rsid w:val="0006058F"/>
    <w:rsid w:val="000621DD"/>
    <w:rsid w:val="0006240C"/>
    <w:rsid w:val="00062CD4"/>
    <w:rsid w:val="00063EEB"/>
    <w:rsid w:val="0006479E"/>
    <w:rsid w:val="00065787"/>
    <w:rsid w:val="000673B6"/>
    <w:rsid w:val="00067530"/>
    <w:rsid w:val="00070030"/>
    <w:rsid w:val="000719A1"/>
    <w:rsid w:val="00072F55"/>
    <w:rsid w:val="0007539D"/>
    <w:rsid w:val="00075883"/>
    <w:rsid w:val="00076EDC"/>
    <w:rsid w:val="000775B1"/>
    <w:rsid w:val="00080BF6"/>
    <w:rsid w:val="00080E3B"/>
    <w:rsid w:val="00082676"/>
    <w:rsid w:val="00082802"/>
    <w:rsid w:val="0008297B"/>
    <w:rsid w:val="00083537"/>
    <w:rsid w:val="000842C8"/>
    <w:rsid w:val="00084C1B"/>
    <w:rsid w:val="00084C20"/>
    <w:rsid w:val="000853EF"/>
    <w:rsid w:val="00086583"/>
    <w:rsid w:val="00086FE6"/>
    <w:rsid w:val="00087456"/>
    <w:rsid w:val="000874DF"/>
    <w:rsid w:val="00087E39"/>
    <w:rsid w:val="000917FE"/>
    <w:rsid w:val="0009200E"/>
    <w:rsid w:val="00092321"/>
    <w:rsid w:val="00092AC7"/>
    <w:rsid w:val="00093560"/>
    <w:rsid w:val="00094791"/>
    <w:rsid w:val="0009545E"/>
    <w:rsid w:val="0009779B"/>
    <w:rsid w:val="00097AFA"/>
    <w:rsid w:val="000A04F8"/>
    <w:rsid w:val="000A0C03"/>
    <w:rsid w:val="000A31DB"/>
    <w:rsid w:val="000A3A58"/>
    <w:rsid w:val="000A4069"/>
    <w:rsid w:val="000A4C95"/>
    <w:rsid w:val="000B40D4"/>
    <w:rsid w:val="000B40EA"/>
    <w:rsid w:val="000B57ED"/>
    <w:rsid w:val="000B5FD6"/>
    <w:rsid w:val="000B6B84"/>
    <w:rsid w:val="000B7353"/>
    <w:rsid w:val="000B7DBA"/>
    <w:rsid w:val="000C0811"/>
    <w:rsid w:val="000C13CC"/>
    <w:rsid w:val="000C165D"/>
    <w:rsid w:val="000C1E90"/>
    <w:rsid w:val="000C2F4F"/>
    <w:rsid w:val="000C2F64"/>
    <w:rsid w:val="000C399B"/>
    <w:rsid w:val="000C3E60"/>
    <w:rsid w:val="000C480A"/>
    <w:rsid w:val="000C4878"/>
    <w:rsid w:val="000C52A6"/>
    <w:rsid w:val="000C61E3"/>
    <w:rsid w:val="000C6A2B"/>
    <w:rsid w:val="000D0069"/>
    <w:rsid w:val="000D1919"/>
    <w:rsid w:val="000D3F30"/>
    <w:rsid w:val="000D58C3"/>
    <w:rsid w:val="000D5D52"/>
    <w:rsid w:val="000D5EA8"/>
    <w:rsid w:val="000D60FB"/>
    <w:rsid w:val="000D62DE"/>
    <w:rsid w:val="000D6AA5"/>
    <w:rsid w:val="000D7F34"/>
    <w:rsid w:val="000D7F45"/>
    <w:rsid w:val="000E20A6"/>
    <w:rsid w:val="000E2C12"/>
    <w:rsid w:val="000E3510"/>
    <w:rsid w:val="000E5E96"/>
    <w:rsid w:val="000E7BF1"/>
    <w:rsid w:val="000F00A8"/>
    <w:rsid w:val="000F0AD5"/>
    <w:rsid w:val="000F10CA"/>
    <w:rsid w:val="000F1672"/>
    <w:rsid w:val="000F5062"/>
    <w:rsid w:val="001000CA"/>
    <w:rsid w:val="001003CB"/>
    <w:rsid w:val="00100B0C"/>
    <w:rsid w:val="00100E3A"/>
    <w:rsid w:val="0010183D"/>
    <w:rsid w:val="00101D75"/>
    <w:rsid w:val="001023D0"/>
    <w:rsid w:val="0010281D"/>
    <w:rsid w:val="00103735"/>
    <w:rsid w:val="00103B24"/>
    <w:rsid w:val="00103CE1"/>
    <w:rsid w:val="00103DAD"/>
    <w:rsid w:val="00105F91"/>
    <w:rsid w:val="00106AFE"/>
    <w:rsid w:val="00106C25"/>
    <w:rsid w:val="00106C7F"/>
    <w:rsid w:val="00107350"/>
    <w:rsid w:val="0011098B"/>
    <w:rsid w:val="00111474"/>
    <w:rsid w:val="001139D0"/>
    <w:rsid w:val="00113EC0"/>
    <w:rsid w:val="00115DA9"/>
    <w:rsid w:val="00115F64"/>
    <w:rsid w:val="00116855"/>
    <w:rsid w:val="001168FD"/>
    <w:rsid w:val="00117A85"/>
    <w:rsid w:val="00117FE8"/>
    <w:rsid w:val="001224B9"/>
    <w:rsid w:val="00123645"/>
    <w:rsid w:val="0012411B"/>
    <w:rsid w:val="00124509"/>
    <w:rsid w:val="00124D8B"/>
    <w:rsid w:val="00124E53"/>
    <w:rsid w:val="00124EDB"/>
    <w:rsid w:val="00130006"/>
    <w:rsid w:val="00130023"/>
    <w:rsid w:val="00131DF8"/>
    <w:rsid w:val="00131FC6"/>
    <w:rsid w:val="00132253"/>
    <w:rsid w:val="00133AD0"/>
    <w:rsid w:val="00133E40"/>
    <w:rsid w:val="001342F9"/>
    <w:rsid w:val="00134B3F"/>
    <w:rsid w:val="00136534"/>
    <w:rsid w:val="00136C63"/>
    <w:rsid w:val="0013758C"/>
    <w:rsid w:val="00137AC7"/>
    <w:rsid w:val="00140183"/>
    <w:rsid w:val="00140C88"/>
    <w:rsid w:val="001413E8"/>
    <w:rsid w:val="00141ED2"/>
    <w:rsid w:val="001423BE"/>
    <w:rsid w:val="001441D9"/>
    <w:rsid w:val="001453C1"/>
    <w:rsid w:val="001477B4"/>
    <w:rsid w:val="00147FFE"/>
    <w:rsid w:val="001500FD"/>
    <w:rsid w:val="001508B4"/>
    <w:rsid w:val="00152FE2"/>
    <w:rsid w:val="0015352F"/>
    <w:rsid w:val="0015365B"/>
    <w:rsid w:val="0015380C"/>
    <w:rsid w:val="00154766"/>
    <w:rsid w:val="00157F58"/>
    <w:rsid w:val="001603BA"/>
    <w:rsid w:val="001619DB"/>
    <w:rsid w:val="00161A22"/>
    <w:rsid w:val="00162B8F"/>
    <w:rsid w:val="001638D7"/>
    <w:rsid w:val="001652AF"/>
    <w:rsid w:val="001661CD"/>
    <w:rsid w:val="001666A1"/>
    <w:rsid w:val="00166C1A"/>
    <w:rsid w:val="00166D37"/>
    <w:rsid w:val="00167437"/>
    <w:rsid w:val="001704C1"/>
    <w:rsid w:val="0017168F"/>
    <w:rsid w:val="001738E5"/>
    <w:rsid w:val="0017441D"/>
    <w:rsid w:val="0017456D"/>
    <w:rsid w:val="001752B9"/>
    <w:rsid w:val="00175616"/>
    <w:rsid w:val="00176CE3"/>
    <w:rsid w:val="00177459"/>
    <w:rsid w:val="001809CA"/>
    <w:rsid w:val="00180F36"/>
    <w:rsid w:val="001811A2"/>
    <w:rsid w:val="001814E8"/>
    <w:rsid w:val="00181C74"/>
    <w:rsid w:val="001852E0"/>
    <w:rsid w:val="001857FA"/>
    <w:rsid w:val="00185E93"/>
    <w:rsid w:val="00185EBC"/>
    <w:rsid w:val="00185F96"/>
    <w:rsid w:val="0018783C"/>
    <w:rsid w:val="00190AC6"/>
    <w:rsid w:val="00190DC9"/>
    <w:rsid w:val="0019158C"/>
    <w:rsid w:val="001927E4"/>
    <w:rsid w:val="00192C00"/>
    <w:rsid w:val="001944F2"/>
    <w:rsid w:val="001945E2"/>
    <w:rsid w:val="001969F0"/>
    <w:rsid w:val="00196A9A"/>
    <w:rsid w:val="00196AC7"/>
    <w:rsid w:val="001A152B"/>
    <w:rsid w:val="001A271D"/>
    <w:rsid w:val="001A2A85"/>
    <w:rsid w:val="001A2E80"/>
    <w:rsid w:val="001A3F34"/>
    <w:rsid w:val="001A65E7"/>
    <w:rsid w:val="001A7923"/>
    <w:rsid w:val="001A7D50"/>
    <w:rsid w:val="001A7E8C"/>
    <w:rsid w:val="001B01DD"/>
    <w:rsid w:val="001B0963"/>
    <w:rsid w:val="001B0DA4"/>
    <w:rsid w:val="001B0E12"/>
    <w:rsid w:val="001B2341"/>
    <w:rsid w:val="001B2D0A"/>
    <w:rsid w:val="001B2DD2"/>
    <w:rsid w:val="001B2E95"/>
    <w:rsid w:val="001B4656"/>
    <w:rsid w:val="001B5888"/>
    <w:rsid w:val="001B66DD"/>
    <w:rsid w:val="001B68A6"/>
    <w:rsid w:val="001B72D1"/>
    <w:rsid w:val="001B7F6B"/>
    <w:rsid w:val="001C0759"/>
    <w:rsid w:val="001C0E6D"/>
    <w:rsid w:val="001C19F1"/>
    <w:rsid w:val="001C28C7"/>
    <w:rsid w:val="001C2902"/>
    <w:rsid w:val="001C305E"/>
    <w:rsid w:val="001C3582"/>
    <w:rsid w:val="001C367B"/>
    <w:rsid w:val="001C5AA7"/>
    <w:rsid w:val="001C6640"/>
    <w:rsid w:val="001D26F9"/>
    <w:rsid w:val="001D3245"/>
    <w:rsid w:val="001D4376"/>
    <w:rsid w:val="001D4DAD"/>
    <w:rsid w:val="001D5B9A"/>
    <w:rsid w:val="001E0272"/>
    <w:rsid w:val="001E02FF"/>
    <w:rsid w:val="001E0B1C"/>
    <w:rsid w:val="001E2C89"/>
    <w:rsid w:val="001E5368"/>
    <w:rsid w:val="001E7558"/>
    <w:rsid w:val="001F03F9"/>
    <w:rsid w:val="001F076C"/>
    <w:rsid w:val="001F2FC3"/>
    <w:rsid w:val="00201353"/>
    <w:rsid w:val="00203C51"/>
    <w:rsid w:val="0020428A"/>
    <w:rsid w:val="002043FB"/>
    <w:rsid w:val="0020498C"/>
    <w:rsid w:val="00205770"/>
    <w:rsid w:val="00207423"/>
    <w:rsid w:val="00210843"/>
    <w:rsid w:val="00210DB7"/>
    <w:rsid w:val="0021163B"/>
    <w:rsid w:val="00212174"/>
    <w:rsid w:val="002131CD"/>
    <w:rsid w:val="00213993"/>
    <w:rsid w:val="00214AA2"/>
    <w:rsid w:val="00214DDA"/>
    <w:rsid w:val="002168D2"/>
    <w:rsid w:val="00216A78"/>
    <w:rsid w:val="00216A99"/>
    <w:rsid w:val="002200CD"/>
    <w:rsid w:val="00222A1C"/>
    <w:rsid w:val="00222AA0"/>
    <w:rsid w:val="00222B72"/>
    <w:rsid w:val="0022451B"/>
    <w:rsid w:val="00224F03"/>
    <w:rsid w:val="002260D7"/>
    <w:rsid w:val="00226599"/>
    <w:rsid w:val="00226EA1"/>
    <w:rsid w:val="0022700E"/>
    <w:rsid w:val="00227061"/>
    <w:rsid w:val="00227367"/>
    <w:rsid w:val="0022736B"/>
    <w:rsid w:val="002279DE"/>
    <w:rsid w:val="00230732"/>
    <w:rsid w:val="00233E73"/>
    <w:rsid w:val="00235204"/>
    <w:rsid w:val="002358C3"/>
    <w:rsid w:val="002368DC"/>
    <w:rsid w:val="00237847"/>
    <w:rsid w:val="00237EDB"/>
    <w:rsid w:val="002408B3"/>
    <w:rsid w:val="0024513B"/>
    <w:rsid w:val="002452F7"/>
    <w:rsid w:val="00246231"/>
    <w:rsid w:val="00246334"/>
    <w:rsid w:val="00246D0D"/>
    <w:rsid w:val="002500BE"/>
    <w:rsid w:val="00250C6F"/>
    <w:rsid w:val="00250E9F"/>
    <w:rsid w:val="0025186C"/>
    <w:rsid w:val="002525E2"/>
    <w:rsid w:val="002527BE"/>
    <w:rsid w:val="00253AB8"/>
    <w:rsid w:val="00254113"/>
    <w:rsid w:val="00255236"/>
    <w:rsid w:val="00255FD0"/>
    <w:rsid w:val="00256074"/>
    <w:rsid w:val="002564F2"/>
    <w:rsid w:val="0025720B"/>
    <w:rsid w:val="002575BE"/>
    <w:rsid w:val="00261DAA"/>
    <w:rsid w:val="0026504C"/>
    <w:rsid w:val="00265D26"/>
    <w:rsid w:val="00266291"/>
    <w:rsid w:val="0026630F"/>
    <w:rsid w:val="002678B4"/>
    <w:rsid w:val="002679E8"/>
    <w:rsid w:val="00267BA7"/>
    <w:rsid w:val="00267FA8"/>
    <w:rsid w:val="00271284"/>
    <w:rsid w:val="00272DB9"/>
    <w:rsid w:val="00274DB6"/>
    <w:rsid w:val="00274EFA"/>
    <w:rsid w:val="00275AC8"/>
    <w:rsid w:val="00275F57"/>
    <w:rsid w:val="002766DF"/>
    <w:rsid w:val="00276FD6"/>
    <w:rsid w:val="00280B0D"/>
    <w:rsid w:val="002843CC"/>
    <w:rsid w:val="00284779"/>
    <w:rsid w:val="0028541C"/>
    <w:rsid w:val="00286B9E"/>
    <w:rsid w:val="00292891"/>
    <w:rsid w:val="002962EF"/>
    <w:rsid w:val="002973EE"/>
    <w:rsid w:val="002978B9"/>
    <w:rsid w:val="002A0105"/>
    <w:rsid w:val="002A26D0"/>
    <w:rsid w:val="002A30A1"/>
    <w:rsid w:val="002A3247"/>
    <w:rsid w:val="002A48CE"/>
    <w:rsid w:val="002A5190"/>
    <w:rsid w:val="002A52BB"/>
    <w:rsid w:val="002A53E9"/>
    <w:rsid w:val="002A557E"/>
    <w:rsid w:val="002A5D51"/>
    <w:rsid w:val="002A6A34"/>
    <w:rsid w:val="002A77D2"/>
    <w:rsid w:val="002B0FCA"/>
    <w:rsid w:val="002B1A08"/>
    <w:rsid w:val="002B3275"/>
    <w:rsid w:val="002B3FEF"/>
    <w:rsid w:val="002B452D"/>
    <w:rsid w:val="002B557E"/>
    <w:rsid w:val="002B635B"/>
    <w:rsid w:val="002B67A8"/>
    <w:rsid w:val="002C103E"/>
    <w:rsid w:val="002C1DA2"/>
    <w:rsid w:val="002C2DDF"/>
    <w:rsid w:val="002C3301"/>
    <w:rsid w:val="002C384A"/>
    <w:rsid w:val="002C45C5"/>
    <w:rsid w:val="002C481F"/>
    <w:rsid w:val="002C5DF1"/>
    <w:rsid w:val="002C6641"/>
    <w:rsid w:val="002C6F8F"/>
    <w:rsid w:val="002C7E15"/>
    <w:rsid w:val="002D0FDC"/>
    <w:rsid w:val="002D1DAC"/>
    <w:rsid w:val="002D31C3"/>
    <w:rsid w:val="002D3E86"/>
    <w:rsid w:val="002D4757"/>
    <w:rsid w:val="002D4E37"/>
    <w:rsid w:val="002D5068"/>
    <w:rsid w:val="002D5241"/>
    <w:rsid w:val="002D63F4"/>
    <w:rsid w:val="002D6990"/>
    <w:rsid w:val="002D69A8"/>
    <w:rsid w:val="002D7108"/>
    <w:rsid w:val="002D74A9"/>
    <w:rsid w:val="002E0B4C"/>
    <w:rsid w:val="002E13FD"/>
    <w:rsid w:val="002E285D"/>
    <w:rsid w:val="002E29E8"/>
    <w:rsid w:val="002E50A3"/>
    <w:rsid w:val="002E5BA0"/>
    <w:rsid w:val="002E686F"/>
    <w:rsid w:val="002E7866"/>
    <w:rsid w:val="002F05A6"/>
    <w:rsid w:val="002F0BAB"/>
    <w:rsid w:val="002F1F9C"/>
    <w:rsid w:val="002F392A"/>
    <w:rsid w:val="002F5DD5"/>
    <w:rsid w:val="002F6156"/>
    <w:rsid w:val="002F6336"/>
    <w:rsid w:val="002F6648"/>
    <w:rsid w:val="00301989"/>
    <w:rsid w:val="00301D65"/>
    <w:rsid w:val="00302C61"/>
    <w:rsid w:val="003031A4"/>
    <w:rsid w:val="003043F6"/>
    <w:rsid w:val="00305121"/>
    <w:rsid w:val="00310118"/>
    <w:rsid w:val="00310266"/>
    <w:rsid w:val="00311D5B"/>
    <w:rsid w:val="00312F22"/>
    <w:rsid w:val="003178B9"/>
    <w:rsid w:val="00317AAC"/>
    <w:rsid w:val="00317EFA"/>
    <w:rsid w:val="00321423"/>
    <w:rsid w:val="00330BD2"/>
    <w:rsid w:val="003322B6"/>
    <w:rsid w:val="003324B2"/>
    <w:rsid w:val="00334194"/>
    <w:rsid w:val="003344E4"/>
    <w:rsid w:val="00334C5D"/>
    <w:rsid w:val="00336E84"/>
    <w:rsid w:val="003372C1"/>
    <w:rsid w:val="00337491"/>
    <w:rsid w:val="00337524"/>
    <w:rsid w:val="00341988"/>
    <w:rsid w:val="00342AA7"/>
    <w:rsid w:val="00342F43"/>
    <w:rsid w:val="003446E4"/>
    <w:rsid w:val="003447F1"/>
    <w:rsid w:val="00345CA1"/>
    <w:rsid w:val="0034654D"/>
    <w:rsid w:val="00347A82"/>
    <w:rsid w:val="0035029B"/>
    <w:rsid w:val="00351415"/>
    <w:rsid w:val="00351D59"/>
    <w:rsid w:val="003539A2"/>
    <w:rsid w:val="00353DBE"/>
    <w:rsid w:val="00356C1F"/>
    <w:rsid w:val="00356CF4"/>
    <w:rsid w:val="0035723A"/>
    <w:rsid w:val="0035740F"/>
    <w:rsid w:val="00357D8B"/>
    <w:rsid w:val="00360189"/>
    <w:rsid w:val="003607AE"/>
    <w:rsid w:val="00361B27"/>
    <w:rsid w:val="00361C51"/>
    <w:rsid w:val="00361EB0"/>
    <w:rsid w:val="00363078"/>
    <w:rsid w:val="003643AB"/>
    <w:rsid w:val="003672EA"/>
    <w:rsid w:val="0036745C"/>
    <w:rsid w:val="003678C6"/>
    <w:rsid w:val="00370FCD"/>
    <w:rsid w:val="00371D58"/>
    <w:rsid w:val="003724FB"/>
    <w:rsid w:val="003731E5"/>
    <w:rsid w:val="003734BA"/>
    <w:rsid w:val="003747AF"/>
    <w:rsid w:val="003753D4"/>
    <w:rsid w:val="003754BB"/>
    <w:rsid w:val="0037582C"/>
    <w:rsid w:val="00375A16"/>
    <w:rsid w:val="00377815"/>
    <w:rsid w:val="00380C17"/>
    <w:rsid w:val="00381624"/>
    <w:rsid w:val="00382D24"/>
    <w:rsid w:val="00383EA6"/>
    <w:rsid w:val="003853E7"/>
    <w:rsid w:val="00386F1E"/>
    <w:rsid w:val="00387155"/>
    <w:rsid w:val="00387560"/>
    <w:rsid w:val="003906FF"/>
    <w:rsid w:val="00393010"/>
    <w:rsid w:val="00393043"/>
    <w:rsid w:val="003939A5"/>
    <w:rsid w:val="00393FCC"/>
    <w:rsid w:val="003958F9"/>
    <w:rsid w:val="0039595F"/>
    <w:rsid w:val="00397E2C"/>
    <w:rsid w:val="003A14D3"/>
    <w:rsid w:val="003A1D61"/>
    <w:rsid w:val="003A2A23"/>
    <w:rsid w:val="003A3356"/>
    <w:rsid w:val="003A4589"/>
    <w:rsid w:val="003A535F"/>
    <w:rsid w:val="003A71AC"/>
    <w:rsid w:val="003A7C2A"/>
    <w:rsid w:val="003B17D9"/>
    <w:rsid w:val="003B1E62"/>
    <w:rsid w:val="003B2B29"/>
    <w:rsid w:val="003B3A2D"/>
    <w:rsid w:val="003B4336"/>
    <w:rsid w:val="003B4940"/>
    <w:rsid w:val="003B6367"/>
    <w:rsid w:val="003B688A"/>
    <w:rsid w:val="003C0EB3"/>
    <w:rsid w:val="003C18B0"/>
    <w:rsid w:val="003C2D7D"/>
    <w:rsid w:val="003C486C"/>
    <w:rsid w:val="003C4A2D"/>
    <w:rsid w:val="003C67AC"/>
    <w:rsid w:val="003C6E00"/>
    <w:rsid w:val="003C79A5"/>
    <w:rsid w:val="003D0AFD"/>
    <w:rsid w:val="003D1264"/>
    <w:rsid w:val="003D15B1"/>
    <w:rsid w:val="003D3EE4"/>
    <w:rsid w:val="003D5468"/>
    <w:rsid w:val="003D5538"/>
    <w:rsid w:val="003D5F26"/>
    <w:rsid w:val="003D631F"/>
    <w:rsid w:val="003D6B8D"/>
    <w:rsid w:val="003D743C"/>
    <w:rsid w:val="003D7B7E"/>
    <w:rsid w:val="003D7D80"/>
    <w:rsid w:val="003E0DD7"/>
    <w:rsid w:val="003E2035"/>
    <w:rsid w:val="003E33CB"/>
    <w:rsid w:val="003E3804"/>
    <w:rsid w:val="003E3E68"/>
    <w:rsid w:val="003E4184"/>
    <w:rsid w:val="003E6CAE"/>
    <w:rsid w:val="003E7019"/>
    <w:rsid w:val="003E7474"/>
    <w:rsid w:val="003E770F"/>
    <w:rsid w:val="003E7CC9"/>
    <w:rsid w:val="003F0A82"/>
    <w:rsid w:val="003F140F"/>
    <w:rsid w:val="003F15F8"/>
    <w:rsid w:val="003F27C9"/>
    <w:rsid w:val="003F2FAB"/>
    <w:rsid w:val="003F3990"/>
    <w:rsid w:val="003F56E6"/>
    <w:rsid w:val="003F6603"/>
    <w:rsid w:val="003F7A76"/>
    <w:rsid w:val="003F7BFE"/>
    <w:rsid w:val="0040049D"/>
    <w:rsid w:val="004008AB"/>
    <w:rsid w:val="004029C5"/>
    <w:rsid w:val="004058C3"/>
    <w:rsid w:val="004061FB"/>
    <w:rsid w:val="00406267"/>
    <w:rsid w:val="0040650C"/>
    <w:rsid w:val="004115C8"/>
    <w:rsid w:val="0041160A"/>
    <w:rsid w:val="004117E7"/>
    <w:rsid w:val="004128D2"/>
    <w:rsid w:val="00412F85"/>
    <w:rsid w:val="0041358B"/>
    <w:rsid w:val="004139F0"/>
    <w:rsid w:val="00413CAC"/>
    <w:rsid w:val="00413DD2"/>
    <w:rsid w:val="00415880"/>
    <w:rsid w:val="004161BE"/>
    <w:rsid w:val="00417779"/>
    <w:rsid w:val="00417A62"/>
    <w:rsid w:val="00417F65"/>
    <w:rsid w:val="004207B8"/>
    <w:rsid w:val="0042104C"/>
    <w:rsid w:val="00421524"/>
    <w:rsid w:val="004235A3"/>
    <w:rsid w:val="00423743"/>
    <w:rsid w:val="00423858"/>
    <w:rsid w:val="00424C84"/>
    <w:rsid w:val="00424EEA"/>
    <w:rsid w:val="00424F99"/>
    <w:rsid w:val="00425881"/>
    <w:rsid w:val="00427B03"/>
    <w:rsid w:val="00432E03"/>
    <w:rsid w:val="00434C21"/>
    <w:rsid w:val="00435A5D"/>
    <w:rsid w:val="00435CE6"/>
    <w:rsid w:val="0043683F"/>
    <w:rsid w:val="00436D24"/>
    <w:rsid w:val="004374D6"/>
    <w:rsid w:val="00440787"/>
    <w:rsid w:val="00440801"/>
    <w:rsid w:val="00442CF2"/>
    <w:rsid w:val="0044315C"/>
    <w:rsid w:val="00443690"/>
    <w:rsid w:val="004438D5"/>
    <w:rsid w:val="00443F9E"/>
    <w:rsid w:val="0044459F"/>
    <w:rsid w:val="00451F26"/>
    <w:rsid w:val="00452340"/>
    <w:rsid w:val="00452409"/>
    <w:rsid w:val="004526CC"/>
    <w:rsid w:val="00452FC0"/>
    <w:rsid w:val="00453710"/>
    <w:rsid w:val="00454283"/>
    <w:rsid w:val="00454915"/>
    <w:rsid w:val="00456D07"/>
    <w:rsid w:val="0045713F"/>
    <w:rsid w:val="0045728F"/>
    <w:rsid w:val="00462678"/>
    <w:rsid w:val="00462E5E"/>
    <w:rsid w:val="00462FEC"/>
    <w:rsid w:val="0046455A"/>
    <w:rsid w:val="00464631"/>
    <w:rsid w:val="00464CF7"/>
    <w:rsid w:val="00464EAB"/>
    <w:rsid w:val="0046501F"/>
    <w:rsid w:val="00465ADE"/>
    <w:rsid w:val="004710AB"/>
    <w:rsid w:val="00472F69"/>
    <w:rsid w:val="004742C1"/>
    <w:rsid w:val="00475495"/>
    <w:rsid w:val="004755B8"/>
    <w:rsid w:val="00475DCB"/>
    <w:rsid w:val="00476E90"/>
    <w:rsid w:val="004775DA"/>
    <w:rsid w:val="00480306"/>
    <w:rsid w:val="0048075D"/>
    <w:rsid w:val="004807F2"/>
    <w:rsid w:val="00482ACF"/>
    <w:rsid w:val="004841F9"/>
    <w:rsid w:val="00487461"/>
    <w:rsid w:val="00487571"/>
    <w:rsid w:val="00492D0F"/>
    <w:rsid w:val="004940FA"/>
    <w:rsid w:val="004946A2"/>
    <w:rsid w:val="00496FB5"/>
    <w:rsid w:val="004A01F0"/>
    <w:rsid w:val="004A11F7"/>
    <w:rsid w:val="004A1986"/>
    <w:rsid w:val="004A2522"/>
    <w:rsid w:val="004A2ABD"/>
    <w:rsid w:val="004A2F8E"/>
    <w:rsid w:val="004A447F"/>
    <w:rsid w:val="004A521D"/>
    <w:rsid w:val="004A522C"/>
    <w:rsid w:val="004A5DFF"/>
    <w:rsid w:val="004A66A0"/>
    <w:rsid w:val="004A7B06"/>
    <w:rsid w:val="004B055B"/>
    <w:rsid w:val="004B110F"/>
    <w:rsid w:val="004B1FC6"/>
    <w:rsid w:val="004B2EB1"/>
    <w:rsid w:val="004B4104"/>
    <w:rsid w:val="004B42E3"/>
    <w:rsid w:val="004B75B6"/>
    <w:rsid w:val="004C0FA6"/>
    <w:rsid w:val="004C1DBA"/>
    <w:rsid w:val="004C36D8"/>
    <w:rsid w:val="004C4B86"/>
    <w:rsid w:val="004C4C82"/>
    <w:rsid w:val="004C4F86"/>
    <w:rsid w:val="004C6721"/>
    <w:rsid w:val="004C6857"/>
    <w:rsid w:val="004D0CB4"/>
    <w:rsid w:val="004D15E0"/>
    <w:rsid w:val="004D4F43"/>
    <w:rsid w:val="004D55D1"/>
    <w:rsid w:val="004D61BC"/>
    <w:rsid w:val="004D6C82"/>
    <w:rsid w:val="004E02BC"/>
    <w:rsid w:val="004E02C5"/>
    <w:rsid w:val="004E07D8"/>
    <w:rsid w:val="004E0BA6"/>
    <w:rsid w:val="004E1AFB"/>
    <w:rsid w:val="004E2B59"/>
    <w:rsid w:val="004E2F24"/>
    <w:rsid w:val="004E3099"/>
    <w:rsid w:val="004E4AD0"/>
    <w:rsid w:val="004E5C0A"/>
    <w:rsid w:val="004E6500"/>
    <w:rsid w:val="004E68DE"/>
    <w:rsid w:val="004E6C32"/>
    <w:rsid w:val="004E755E"/>
    <w:rsid w:val="004F0A89"/>
    <w:rsid w:val="004F0FDE"/>
    <w:rsid w:val="004F165A"/>
    <w:rsid w:val="004F1872"/>
    <w:rsid w:val="004F578D"/>
    <w:rsid w:val="004F7488"/>
    <w:rsid w:val="00500594"/>
    <w:rsid w:val="00500B91"/>
    <w:rsid w:val="0050116E"/>
    <w:rsid w:val="00503A69"/>
    <w:rsid w:val="005044EC"/>
    <w:rsid w:val="0050648E"/>
    <w:rsid w:val="005118B6"/>
    <w:rsid w:val="00512823"/>
    <w:rsid w:val="005131C0"/>
    <w:rsid w:val="00520A23"/>
    <w:rsid w:val="00521689"/>
    <w:rsid w:val="0052203A"/>
    <w:rsid w:val="00522AB6"/>
    <w:rsid w:val="00523165"/>
    <w:rsid w:val="005243E3"/>
    <w:rsid w:val="00525672"/>
    <w:rsid w:val="00527ABD"/>
    <w:rsid w:val="00530403"/>
    <w:rsid w:val="00530849"/>
    <w:rsid w:val="00530EA1"/>
    <w:rsid w:val="005310DB"/>
    <w:rsid w:val="00531D06"/>
    <w:rsid w:val="00532668"/>
    <w:rsid w:val="005327FF"/>
    <w:rsid w:val="00537C06"/>
    <w:rsid w:val="00537CBD"/>
    <w:rsid w:val="00537DE1"/>
    <w:rsid w:val="0054049F"/>
    <w:rsid w:val="00540537"/>
    <w:rsid w:val="00541408"/>
    <w:rsid w:val="005429B5"/>
    <w:rsid w:val="00543E54"/>
    <w:rsid w:val="005465D7"/>
    <w:rsid w:val="0054760C"/>
    <w:rsid w:val="00547AE1"/>
    <w:rsid w:val="00551AE2"/>
    <w:rsid w:val="00551B11"/>
    <w:rsid w:val="00551DB9"/>
    <w:rsid w:val="0055248C"/>
    <w:rsid w:val="00553B13"/>
    <w:rsid w:val="0055409B"/>
    <w:rsid w:val="00554B99"/>
    <w:rsid w:val="00557959"/>
    <w:rsid w:val="00561878"/>
    <w:rsid w:val="00565E48"/>
    <w:rsid w:val="005663BE"/>
    <w:rsid w:val="005671FA"/>
    <w:rsid w:val="005718B4"/>
    <w:rsid w:val="00572214"/>
    <w:rsid w:val="00572E4A"/>
    <w:rsid w:val="005730E1"/>
    <w:rsid w:val="005753D7"/>
    <w:rsid w:val="0057691F"/>
    <w:rsid w:val="00577848"/>
    <w:rsid w:val="00580F02"/>
    <w:rsid w:val="00581B3E"/>
    <w:rsid w:val="00582E3A"/>
    <w:rsid w:val="00586E27"/>
    <w:rsid w:val="00587EDC"/>
    <w:rsid w:val="005901BA"/>
    <w:rsid w:val="005908A3"/>
    <w:rsid w:val="00592EFC"/>
    <w:rsid w:val="00594062"/>
    <w:rsid w:val="00594B30"/>
    <w:rsid w:val="00595080"/>
    <w:rsid w:val="0059576F"/>
    <w:rsid w:val="0059579B"/>
    <w:rsid w:val="00595A9E"/>
    <w:rsid w:val="005973BC"/>
    <w:rsid w:val="005A0910"/>
    <w:rsid w:val="005A187F"/>
    <w:rsid w:val="005A2568"/>
    <w:rsid w:val="005A283A"/>
    <w:rsid w:val="005A2BC0"/>
    <w:rsid w:val="005A3EBC"/>
    <w:rsid w:val="005A4860"/>
    <w:rsid w:val="005A4892"/>
    <w:rsid w:val="005A686E"/>
    <w:rsid w:val="005A7180"/>
    <w:rsid w:val="005A78AC"/>
    <w:rsid w:val="005B0DD9"/>
    <w:rsid w:val="005B18C2"/>
    <w:rsid w:val="005B2800"/>
    <w:rsid w:val="005B3F7D"/>
    <w:rsid w:val="005B4035"/>
    <w:rsid w:val="005B460A"/>
    <w:rsid w:val="005B73C6"/>
    <w:rsid w:val="005C09B7"/>
    <w:rsid w:val="005C1804"/>
    <w:rsid w:val="005C1A3F"/>
    <w:rsid w:val="005C1CDE"/>
    <w:rsid w:val="005C1E07"/>
    <w:rsid w:val="005C3AF5"/>
    <w:rsid w:val="005C58D5"/>
    <w:rsid w:val="005C7307"/>
    <w:rsid w:val="005D0522"/>
    <w:rsid w:val="005D07E7"/>
    <w:rsid w:val="005D0EF6"/>
    <w:rsid w:val="005D1493"/>
    <w:rsid w:val="005D1787"/>
    <w:rsid w:val="005D1DC3"/>
    <w:rsid w:val="005D3416"/>
    <w:rsid w:val="005D3F09"/>
    <w:rsid w:val="005D5EE3"/>
    <w:rsid w:val="005D60CC"/>
    <w:rsid w:val="005D631C"/>
    <w:rsid w:val="005D6806"/>
    <w:rsid w:val="005D6E94"/>
    <w:rsid w:val="005D7294"/>
    <w:rsid w:val="005D7BAA"/>
    <w:rsid w:val="005E1D74"/>
    <w:rsid w:val="005E2889"/>
    <w:rsid w:val="005E2C1E"/>
    <w:rsid w:val="005E2CF0"/>
    <w:rsid w:val="005E32AE"/>
    <w:rsid w:val="005E388F"/>
    <w:rsid w:val="005E4A61"/>
    <w:rsid w:val="005E5272"/>
    <w:rsid w:val="005E5697"/>
    <w:rsid w:val="005E61E4"/>
    <w:rsid w:val="005E6802"/>
    <w:rsid w:val="005F02A3"/>
    <w:rsid w:val="005F02DC"/>
    <w:rsid w:val="005F0EFA"/>
    <w:rsid w:val="005F2C79"/>
    <w:rsid w:val="005F32FC"/>
    <w:rsid w:val="005F376A"/>
    <w:rsid w:val="005F380B"/>
    <w:rsid w:val="005F423E"/>
    <w:rsid w:val="005F428B"/>
    <w:rsid w:val="005F4E68"/>
    <w:rsid w:val="005F5701"/>
    <w:rsid w:val="005F5CD3"/>
    <w:rsid w:val="005F632F"/>
    <w:rsid w:val="005F6927"/>
    <w:rsid w:val="005F6BF5"/>
    <w:rsid w:val="005F6DFE"/>
    <w:rsid w:val="005F7875"/>
    <w:rsid w:val="0060059F"/>
    <w:rsid w:val="00600662"/>
    <w:rsid w:val="00600678"/>
    <w:rsid w:val="006018BE"/>
    <w:rsid w:val="00603519"/>
    <w:rsid w:val="00603DD9"/>
    <w:rsid w:val="006047D8"/>
    <w:rsid w:val="006049D2"/>
    <w:rsid w:val="00604B73"/>
    <w:rsid w:val="006064D6"/>
    <w:rsid w:val="00606773"/>
    <w:rsid w:val="00607240"/>
    <w:rsid w:val="00607321"/>
    <w:rsid w:val="00607A07"/>
    <w:rsid w:val="0061003A"/>
    <w:rsid w:val="0061310A"/>
    <w:rsid w:val="0061322A"/>
    <w:rsid w:val="006151B9"/>
    <w:rsid w:val="00615E46"/>
    <w:rsid w:val="00616121"/>
    <w:rsid w:val="006165C5"/>
    <w:rsid w:val="00616C9A"/>
    <w:rsid w:val="00617ABA"/>
    <w:rsid w:val="00617E6A"/>
    <w:rsid w:val="006202FC"/>
    <w:rsid w:val="00621698"/>
    <w:rsid w:val="00621782"/>
    <w:rsid w:val="00622816"/>
    <w:rsid w:val="00624643"/>
    <w:rsid w:val="00626983"/>
    <w:rsid w:val="006278B1"/>
    <w:rsid w:val="00627C83"/>
    <w:rsid w:val="006304B1"/>
    <w:rsid w:val="006304FA"/>
    <w:rsid w:val="00631433"/>
    <w:rsid w:val="0063353D"/>
    <w:rsid w:val="00634D3B"/>
    <w:rsid w:val="00635CA1"/>
    <w:rsid w:val="00637A79"/>
    <w:rsid w:val="00640744"/>
    <w:rsid w:val="00640A64"/>
    <w:rsid w:val="00642254"/>
    <w:rsid w:val="00644341"/>
    <w:rsid w:val="00644499"/>
    <w:rsid w:val="00644B7F"/>
    <w:rsid w:val="00645C14"/>
    <w:rsid w:val="0064652C"/>
    <w:rsid w:val="0064679A"/>
    <w:rsid w:val="00651592"/>
    <w:rsid w:val="00652A30"/>
    <w:rsid w:val="0065540C"/>
    <w:rsid w:val="006571FF"/>
    <w:rsid w:val="006578D0"/>
    <w:rsid w:val="00657B66"/>
    <w:rsid w:val="00657FBE"/>
    <w:rsid w:val="00661637"/>
    <w:rsid w:val="00662D5B"/>
    <w:rsid w:val="00662E27"/>
    <w:rsid w:val="0066449B"/>
    <w:rsid w:val="006659F6"/>
    <w:rsid w:val="00666410"/>
    <w:rsid w:val="006701AE"/>
    <w:rsid w:val="00670790"/>
    <w:rsid w:val="00670EE6"/>
    <w:rsid w:val="006719B8"/>
    <w:rsid w:val="00673327"/>
    <w:rsid w:val="00673497"/>
    <w:rsid w:val="0067449D"/>
    <w:rsid w:val="00675AC8"/>
    <w:rsid w:val="00675FCD"/>
    <w:rsid w:val="006811BF"/>
    <w:rsid w:val="006818F8"/>
    <w:rsid w:val="00682104"/>
    <w:rsid w:val="00683484"/>
    <w:rsid w:val="006842B7"/>
    <w:rsid w:val="00684431"/>
    <w:rsid w:val="00685DE1"/>
    <w:rsid w:val="006863B4"/>
    <w:rsid w:val="00690494"/>
    <w:rsid w:val="006908E7"/>
    <w:rsid w:val="00691F34"/>
    <w:rsid w:val="0069271A"/>
    <w:rsid w:val="00692774"/>
    <w:rsid w:val="00693DFF"/>
    <w:rsid w:val="00695541"/>
    <w:rsid w:val="0069623B"/>
    <w:rsid w:val="00697C15"/>
    <w:rsid w:val="006A0D6B"/>
    <w:rsid w:val="006A2DCE"/>
    <w:rsid w:val="006A4309"/>
    <w:rsid w:val="006A62F9"/>
    <w:rsid w:val="006B25A6"/>
    <w:rsid w:val="006B25A8"/>
    <w:rsid w:val="006B2E2C"/>
    <w:rsid w:val="006B32F5"/>
    <w:rsid w:val="006B3D0D"/>
    <w:rsid w:val="006B3F34"/>
    <w:rsid w:val="006B5846"/>
    <w:rsid w:val="006B7F2D"/>
    <w:rsid w:val="006C14E1"/>
    <w:rsid w:val="006C198C"/>
    <w:rsid w:val="006C227F"/>
    <w:rsid w:val="006C3412"/>
    <w:rsid w:val="006C3C1A"/>
    <w:rsid w:val="006C432F"/>
    <w:rsid w:val="006C4A0E"/>
    <w:rsid w:val="006C511D"/>
    <w:rsid w:val="006C51C4"/>
    <w:rsid w:val="006C6860"/>
    <w:rsid w:val="006C690E"/>
    <w:rsid w:val="006C7255"/>
    <w:rsid w:val="006C77EC"/>
    <w:rsid w:val="006D1619"/>
    <w:rsid w:val="006D306D"/>
    <w:rsid w:val="006D450A"/>
    <w:rsid w:val="006D56F2"/>
    <w:rsid w:val="006D5F00"/>
    <w:rsid w:val="006D7E2E"/>
    <w:rsid w:val="006E0A1E"/>
    <w:rsid w:val="006E0BA3"/>
    <w:rsid w:val="006E0C81"/>
    <w:rsid w:val="006E0D0C"/>
    <w:rsid w:val="006E1684"/>
    <w:rsid w:val="006E201C"/>
    <w:rsid w:val="006E359E"/>
    <w:rsid w:val="006E7097"/>
    <w:rsid w:val="006E75B6"/>
    <w:rsid w:val="006F043A"/>
    <w:rsid w:val="006F092D"/>
    <w:rsid w:val="006F1CAC"/>
    <w:rsid w:val="006F435B"/>
    <w:rsid w:val="006F67AA"/>
    <w:rsid w:val="006F72E8"/>
    <w:rsid w:val="00700731"/>
    <w:rsid w:val="00700E71"/>
    <w:rsid w:val="007018C5"/>
    <w:rsid w:val="00702720"/>
    <w:rsid w:val="0070528A"/>
    <w:rsid w:val="00705662"/>
    <w:rsid w:val="00707621"/>
    <w:rsid w:val="00707A8C"/>
    <w:rsid w:val="00707CDF"/>
    <w:rsid w:val="007111CF"/>
    <w:rsid w:val="00712109"/>
    <w:rsid w:val="00712CED"/>
    <w:rsid w:val="007130D6"/>
    <w:rsid w:val="007131EA"/>
    <w:rsid w:val="0071502D"/>
    <w:rsid w:val="00715549"/>
    <w:rsid w:val="00716661"/>
    <w:rsid w:val="007166A2"/>
    <w:rsid w:val="00716F21"/>
    <w:rsid w:val="007204ED"/>
    <w:rsid w:val="00720E76"/>
    <w:rsid w:val="00721264"/>
    <w:rsid w:val="00721974"/>
    <w:rsid w:val="00723086"/>
    <w:rsid w:val="00723489"/>
    <w:rsid w:val="00723D15"/>
    <w:rsid w:val="00725473"/>
    <w:rsid w:val="00726332"/>
    <w:rsid w:val="00726721"/>
    <w:rsid w:val="007318A5"/>
    <w:rsid w:val="00733340"/>
    <w:rsid w:val="0073470B"/>
    <w:rsid w:val="00734A79"/>
    <w:rsid w:val="00735E53"/>
    <w:rsid w:val="007360BE"/>
    <w:rsid w:val="00736287"/>
    <w:rsid w:val="007368D7"/>
    <w:rsid w:val="00736F3C"/>
    <w:rsid w:val="007403B2"/>
    <w:rsid w:val="00740FC5"/>
    <w:rsid w:val="007410F2"/>
    <w:rsid w:val="00741FAA"/>
    <w:rsid w:val="007423F3"/>
    <w:rsid w:val="00743402"/>
    <w:rsid w:val="007439D1"/>
    <w:rsid w:val="00743C72"/>
    <w:rsid w:val="007441C0"/>
    <w:rsid w:val="00744BDA"/>
    <w:rsid w:val="00744F0F"/>
    <w:rsid w:val="00745106"/>
    <w:rsid w:val="007467D3"/>
    <w:rsid w:val="00747688"/>
    <w:rsid w:val="0075082A"/>
    <w:rsid w:val="00750E14"/>
    <w:rsid w:val="007514A8"/>
    <w:rsid w:val="007519DD"/>
    <w:rsid w:val="007521AE"/>
    <w:rsid w:val="00752C93"/>
    <w:rsid w:val="0075425A"/>
    <w:rsid w:val="00760A21"/>
    <w:rsid w:val="00760D30"/>
    <w:rsid w:val="00762878"/>
    <w:rsid w:val="00762BA6"/>
    <w:rsid w:val="00763729"/>
    <w:rsid w:val="00763E8C"/>
    <w:rsid w:val="007640AE"/>
    <w:rsid w:val="00765FB9"/>
    <w:rsid w:val="00771807"/>
    <w:rsid w:val="00773E86"/>
    <w:rsid w:val="00774E80"/>
    <w:rsid w:val="007751D9"/>
    <w:rsid w:val="00775373"/>
    <w:rsid w:val="00775588"/>
    <w:rsid w:val="007763E2"/>
    <w:rsid w:val="00776D93"/>
    <w:rsid w:val="00780510"/>
    <w:rsid w:val="0078081C"/>
    <w:rsid w:val="007809E3"/>
    <w:rsid w:val="00780C2D"/>
    <w:rsid w:val="0078246A"/>
    <w:rsid w:val="0078344A"/>
    <w:rsid w:val="00784602"/>
    <w:rsid w:val="00784BB8"/>
    <w:rsid w:val="00791533"/>
    <w:rsid w:val="00791A8A"/>
    <w:rsid w:val="00791AFA"/>
    <w:rsid w:val="0079216E"/>
    <w:rsid w:val="007926D0"/>
    <w:rsid w:val="00792C08"/>
    <w:rsid w:val="00792C56"/>
    <w:rsid w:val="00793BFA"/>
    <w:rsid w:val="0079412E"/>
    <w:rsid w:val="007941D7"/>
    <w:rsid w:val="00795624"/>
    <w:rsid w:val="007957C8"/>
    <w:rsid w:val="00795E8C"/>
    <w:rsid w:val="007965C9"/>
    <w:rsid w:val="00796A8E"/>
    <w:rsid w:val="00797473"/>
    <w:rsid w:val="0079755C"/>
    <w:rsid w:val="00797A0A"/>
    <w:rsid w:val="007A040A"/>
    <w:rsid w:val="007A06E3"/>
    <w:rsid w:val="007A1D59"/>
    <w:rsid w:val="007A246F"/>
    <w:rsid w:val="007A3227"/>
    <w:rsid w:val="007A54D6"/>
    <w:rsid w:val="007A57E3"/>
    <w:rsid w:val="007A58E4"/>
    <w:rsid w:val="007A5B09"/>
    <w:rsid w:val="007A6E00"/>
    <w:rsid w:val="007B1E9D"/>
    <w:rsid w:val="007B27EE"/>
    <w:rsid w:val="007B39DD"/>
    <w:rsid w:val="007B5E8D"/>
    <w:rsid w:val="007C0543"/>
    <w:rsid w:val="007C102B"/>
    <w:rsid w:val="007C248F"/>
    <w:rsid w:val="007C3A19"/>
    <w:rsid w:val="007C4592"/>
    <w:rsid w:val="007C5FBC"/>
    <w:rsid w:val="007D059E"/>
    <w:rsid w:val="007D36A7"/>
    <w:rsid w:val="007D5061"/>
    <w:rsid w:val="007D5F6E"/>
    <w:rsid w:val="007E1412"/>
    <w:rsid w:val="007E1661"/>
    <w:rsid w:val="007E1B40"/>
    <w:rsid w:val="007E5487"/>
    <w:rsid w:val="007E58D2"/>
    <w:rsid w:val="007F38C9"/>
    <w:rsid w:val="007F4A9E"/>
    <w:rsid w:val="007F4AF1"/>
    <w:rsid w:val="007F4D11"/>
    <w:rsid w:val="007F4FE9"/>
    <w:rsid w:val="007F7822"/>
    <w:rsid w:val="00800F97"/>
    <w:rsid w:val="0080481D"/>
    <w:rsid w:val="00804969"/>
    <w:rsid w:val="00805E23"/>
    <w:rsid w:val="008069CF"/>
    <w:rsid w:val="00807E5F"/>
    <w:rsid w:val="008103C9"/>
    <w:rsid w:val="008106E5"/>
    <w:rsid w:val="00811F92"/>
    <w:rsid w:val="0081283A"/>
    <w:rsid w:val="008128E0"/>
    <w:rsid w:val="00812BC4"/>
    <w:rsid w:val="008134B2"/>
    <w:rsid w:val="00814339"/>
    <w:rsid w:val="00814635"/>
    <w:rsid w:val="008146C7"/>
    <w:rsid w:val="00814CF1"/>
    <w:rsid w:val="00815747"/>
    <w:rsid w:val="0081639F"/>
    <w:rsid w:val="00816E4D"/>
    <w:rsid w:val="008171F7"/>
    <w:rsid w:val="00820270"/>
    <w:rsid w:val="008202BD"/>
    <w:rsid w:val="00821F2B"/>
    <w:rsid w:val="00822155"/>
    <w:rsid w:val="008230FF"/>
    <w:rsid w:val="00824C50"/>
    <w:rsid w:val="008253D7"/>
    <w:rsid w:val="0083385D"/>
    <w:rsid w:val="008346FC"/>
    <w:rsid w:val="00834AC1"/>
    <w:rsid w:val="00835A29"/>
    <w:rsid w:val="008361D3"/>
    <w:rsid w:val="00836F40"/>
    <w:rsid w:val="00837022"/>
    <w:rsid w:val="00840B82"/>
    <w:rsid w:val="008413A2"/>
    <w:rsid w:val="008415CD"/>
    <w:rsid w:val="0084376B"/>
    <w:rsid w:val="00846669"/>
    <w:rsid w:val="00846874"/>
    <w:rsid w:val="00847467"/>
    <w:rsid w:val="00847F67"/>
    <w:rsid w:val="008518CD"/>
    <w:rsid w:val="008520B1"/>
    <w:rsid w:val="0085224B"/>
    <w:rsid w:val="0085311A"/>
    <w:rsid w:val="00853FBA"/>
    <w:rsid w:val="00855A96"/>
    <w:rsid w:val="00855C65"/>
    <w:rsid w:val="0085690F"/>
    <w:rsid w:val="00856FE5"/>
    <w:rsid w:val="0085710A"/>
    <w:rsid w:val="008577AA"/>
    <w:rsid w:val="00860D20"/>
    <w:rsid w:val="008636AF"/>
    <w:rsid w:val="0086393A"/>
    <w:rsid w:val="0086446C"/>
    <w:rsid w:val="00864CFE"/>
    <w:rsid w:val="0086559D"/>
    <w:rsid w:val="00866077"/>
    <w:rsid w:val="00866583"/>
    <w:rsid w:val="00866C27"/>
    <w:rsid w:val="00867DE6"/>
    <w:rsid w:val="00870021"/>
    <w:rsid w:val="0087083F"/>
    <w:rsid w:val="008729FC"/>
    <w:rsid w:val="00873257"/>
    <w:rsid w:val="00874388"/>
    <w:rsid w:val="008746E2"/>
    <w:rsid w:val="008750D9"/>
    <w:rsid w:val="00875B6C"/>
    <w:rsid w:val="00875CCC"/>
    <w:rsid w:val="0087639C"/>
    <w:rsid w:val="008763C7"/>
    <w:rsid w:val="00877816"/>
    <w:rsid w:val="00877B2B"/>
    <w:rsid w:val="008801EC"/>
    <w:rsid w:val="00882C3A"/>
    <w:rsid w:val="00883B67"/>
    <w:rsid w:val="00883B89"/>
    <w:rsid w:val="008847C0"/>
    <w:rsid w:val="00885B13"/>
    <w:rsid w:val="0088666B"/>
    <w:rsid w:val="00886767"/>
    <w:rsid w:val="00886877"/>
    <w:rsid w:val="00886A81"/>
    <w:rsid w:val="00887DB9"/>
    <w:rsid w:val="00890B93"/>
    <w:rsid w:val="00890E76"/>
    <w:rsid w:val="00894680"/>
    <w:rsid w:val="00894B8C"/>
    <w:rsid w:val="00894FA8"/>
    <w:rsid w:val="00896816"/>
    <w:rsid w:val="00896959"/>
    <w:rsid w:val="00897966"/>
    <w:rsid w:val="008A2157"/>
    <w:rsid w:val="008A35B2"/>
    <w:rsid w:val="008A375D"/>
    <w:rsid w:val="008A3CD1"/>
    <w:rsid w:val="008A5E29"/>
    <w:rsid w:val="008A6761"/>
    <w:rsid w:val="008A6BAC"/>
    <w:rsid w:val="008A6C97"/>
    <w:rsid w:val="008A712F"/>
    <w:rsid w:val="008A72C1"/>
    <w:rsid w:val="008A74EF"/>
    <w:rsid w:val="008B29D9"/>
    <w:rsid w:val="008B2E6E"/>
    <w:rsid w:val="008B61B4"/>
    <w:rsid w:val="008B6A7C"/>
    <w:rsid w:val="008B79E8"/>
    <w:rsid w:val="008C063F"/>
    <w:rsid w:val="008C0A66"/>
    <w:rsid w:val="008C0C52"/>
    <w:rsid w:val="008C10B9"/>
    <w:rsid w:val="008C12B5"/>
    <w:rsid w:val="008C1398"/>
    <w:rsid w:val="008C1FDB"/>
    <w:rsid w:val="008C2AE6"/>
    <w:rsid w:val="008C3196"/>
    <w:rsid w:val="008C7161"/>
    <w:rsid w:val="008C738E"/>
    <w:rsid w:val="008D0162"/>
    <w:rsid w:val="008D12C0"/>
    <w:rsid w:val="008D1ABD"/>
    <w:rsid w:val="008D2B74"/>
    <w:rsid w:val="008D4433"/>
    <w:rsid w:val="008D4AC9"/>
    <w:rsid w:val="008D60B6"/>
    <w:rsid w:val="008E00AA"/>
    <w:rsid w:val="008E0175"/>
    <w:rsid w:val="008E05C9"/>
    <w:rsid w:val="008E2815"/>
    <w:rsid w:val="008E38B1"/>
    <w:rsid w:val="008E49F0"/>
    <w:rsid w:val="008E5C59"/>
    <w:rsid w:val="008E674E"/>
    <w:rsid w:val="008E7BC5"/>
    <w:rsid w:val="008E7D85"/>
    <w:rsid w:val="008F0497"/>
    <w:rsid w:val="008F0A20"/>
    <w:rsid w:val="008F0A5A"/>
    <w:rsid w:val="008F0D12"/>
    <w:rsid w:val="008F11D7"/>
    <w:rsid w:val="008F32E1"/>
    <w:rsid w:val="008F3443"/>
    <w:rsid w:val="008F3874"/>
    <w:rsid w:val="008F4F2B"/>
    <w:rsid w:val="008F63AE"/>
    <w:rsid w:val="008F6AFF"/>
    <w:rsid w:val="008F70CB"/>
    <w:rsid w:val="009030DE"/>
    <w:rsid w:val="00903A23"/>
    <w:rsid w:val="00904537"/>
    <w:rsid w:val="0090496F"/>
    <w:rsid w:val="009053C4"/>
    <w:rsid w:val="009060B0"/>
    <w:rsid w:val="00906F4F"/>
    <w:rsid w:val="00907865"/>
    <w:rsid w:val="00910404"/>
    <w:rsid w:val="0091157A"/>
    <w:rsid w:val="00911609"/>
    <w:rsid w:val="00911ACC"/>
    <w:rsid w:val="00912B57"/>
    <w:rsid w:val="00913AEC"/>
    <w:rsid w:val="00914037"/>
    <w:rsid w:val="0091454B"/>
    <w:rsid w:val="009171B3"/>
    <w:rsid w:val="009178AD"/>
    <w:rsid w:val="00920908"/>
    <w:rsid w:val="009217BE"/>
    <w:rsid w:val="009239BA"/>
    <w:rsid w:val="00924044"/>
    <w:rsid w:val="00925940"/>
    <w:rsid w:val="009260F3"/>
    <w:rsid w:val="00926350"/>
    <w:rsid w:val="009270BF"/>
    <w:rsid w:val="0093192C"/>
    <w:rsid w:val="00931DAB"/>
    <w:rsid w:val="00931FC4"/>
    <w:rsid w:val="00932C8F"/>
    <w:rsid w:val="0093375A"/>
    <w:rsid w:val="00935457"/>
    <w:rsid w:val="009357D8"/>
    <w:rsid w:val="009366D6"/>
    <w:rsid w:val="00936953"/>
    <w:rsid w:val="00937F5B"/>
    <w:rsid w:val="00940E72"/>
    <w:rsid w:val="00942662"/>
    <w:rsid w:val="0094336E"/>
    <w:rsid w:val="00943C36"/>
    <w:rsid w:val="00943F97"/>
    <w:rsid w:val="00944BCF"/>
    <w:rsid w:val="00944CC7"/>
    <w:rsid w:val="0094501A"/>
    <w:rsid w:val="00945396"/>
    <w:rsid w:val="00945997"/>
    <w:rsid w:val="0094679D"/>
    <w:rsid w:val="00947613"/>
    <w:rsid w:val="00950313"/>
    <w:rsid w:val="00950505"/>
    <w:rsid w:val="00950A1B"/>
    <w:rsid w:val="00950F35"/>
    <w:rsid w:val="0095178F"/>
    <w:rsid w:val="009524F8"/>
    <w:rsid w:val="00954A6D"/>
    <w:rsid w:val="00954C41"/>
    <w:rsid w:val="00955C8A"/>
    <w:rsid w:val="00955E00"/>
    <w:rsid w:val="00956043"/>
    <w:rsid w:val="009564D1"/>
    <w:rsid w:val="00961003"/>
    <w:rsid w:val="0096110C"/>
    <w:rsid w:val="00963615"/>
    <w:rsid w:val="00964AF7"/>
    <w:rsid w:val="00964CE8"/>
    <w:rsid w:val="00965270"/>
    <w:rsid w:val="009653D5"/>
    <w:rsid w:val="0096553B"/>
    <w:rsid w:val="00967E56"/>
    <w:rsid w:val="00967EDA"/>
    <w:rsid w:val="00970579"/>
    <w:rsid w:val="00970DC7"/>
    <w:rsid w:val="00971356"/>
    <w:rsid w:val="0097137A"/>
    <w:rsid w:val="0097157B"/>
    <w:rsid w:val="0097288A"/>
    <w:rsid w:val="00972C35"/>
    <w:rsid w:val="00973E5E"/>
    <w:rsid w:val="009746DA"/>
    <w:rsid w:val="00974CCC"/>
    <w:rsid w:val="00974FE8"/>
    <w:rsid w:val="0097533B"/>
    <w:rsid w:val="00976A82"/>
    <w:rsid w:val="00976C10"/>
    <w:rsid w:val="00977A1C"/>
    <w:rsid w:val="00981AB9"/>
    <w:rsid w:val="00981F25"/>
    <w:rsid w:val="00983309"/>
    <w:rsid w:val="009836FD"/>
    <w:rsid w:val="00983D4F"/>
    <w:rsid w:val="00985109"/>
    <w:rsid w:val="009866F4"/>
    <w:rsid w:val="0098724E"/>
    <w:rsid w:val="00991EA0"/>
    <w:rsid w:val="00992445"/>
    <w:rsid w:val="009929DD"/>
    <w:rsid w:val="009954BA"/>
    <w:rsid w:val="00995CA5"/>
    <w:rsid w:val="009966D3"/>
    <w:rsid w:val="00997DDD"/>
    <w:rsid w:val="009A01C1"/>
    <w:rsid w:val="009A1BF2"/>
    <w:rsid w:val="009A2098"/>
    <w:rsid w:val="009A2419"/>
    <w:rsid w:val="009A2FAC"/>
    <w:rsid w:val="009A3639"/>
    <w:rsid w:val="009A3A8A"/>
    <w:rsid w:val="009A4146"/>
    <w:rsid w:val="009A48E6"/>
    <w:rsid w:val="009A7522"/>
    <w:rsid w:val="009A76D0"/>
    <w:rsid w:val="009B005B"/>
    <w:rsid w:val="009B0752"/>
    <w:rsid w:val="009B1153"/>
    <w:rsid w:val="009B1EA0"/>
    <w:rsid w:val="009B241F"/>
    <w:rsid w:val="009B29C2"/>
    <w:rsid w:val="009B2FDC"/>
    <w:rsid w:val="009B6B0B"/>
    <w:rsid w:val="009B6BEA"/>
    <w:rsid w:val="009B6C7C"/>
    <w:rsid w:val="009B79B6"/>
    <w:rsid w:val="009B7D7C"/>
    <w:rsid w:val="009C1E6B"/>
    <w:rsid w:val="009C20F6"/>
    <w:rsid w:val="009C2BCF"/>
    <w:rsid w:val="009C39EF"/>
    <w:rsid w:val="009C5A6B"/>
    <w:rsid w:val="009C62EA"/>
    <w:rsid w:val="009C68DA"/>
    <w:rsid w:val="009C704F"/>
    <w:rsid w:val="009D045B"/>
    <w:rsid w:val="009D0DFB"/>
    <w:rsid w:val="009D2B21"/>
    <w:rsid w:val="009D3078"/>
    <w:rsid w:val="009D3E98"/>
    <w:rsid w:val="009D4031"/>
    <w:rsid w:val="009E0D01"/>
    <w:rsid w:val="009E14FB"/>
    <w:rsid w:val="009E2247"/>
    <w:rsid w:val="009E28D5"/>
    <w:rsid w:val="009E38C1"/>
    <w:rsid w:val="009F280B"/>
    <w:rsid w:val="009F28A3"/>
    <w:rsid w:val="009F2A9E"/>
    <w:rsid w:val="009F386B"/>
    <w:rsid w:val="009F408C"/>
    <w:rsid w:val="009F497A"/>
    <w:rsid w:val="009F51AC"/>
    <w:rsid w:val="009F5E08"/>
    <w:rsid w:val="009F75B1"/>
    <w:rsid w:val="009F79A5"/>
    <w:rsid w:val="00A001C4"/>
    <w:rsid w:val="00A007C4"/>
    <w:rsid w:val="00A0443E"/>
    <w:rsid w:val="00A05E25"/>
    <w:rsid w:val="00A05E55"/>
    <w:rsid w:val="00A0752F"/>
    <w:rsid w:val="00A07863"/>
    <w:rsid w:val="00A11426"/>
    <w:rsid w:val="00A11554"/>
    <w:rsid w:val="00A12A91"/>
    <w:rsid w:val="00A138AE"/>
    <w:rsid w:val="00A1407A"/>
    <w:rsid w:val="00A14351"/>
    <w:rsid w:val="00A14C2C"/>
    <w:rsid w:val="00A15177"/>
    <w:rsid w:val="00A16028"/>
    <w:rsid w:val="00A17153"/>
    <w:rsid w:val="00A17D06"/>
    <w:rsid w:val="00A17FFE"/>
    <w:rsid w:val="00A20A9E"/>
    <w:rsid w:val="00A210B4"/>
    <w:rsid w:val="00A215F6"/>
    <w:rsid w:val="00A21934"/>
    <w:rsid w:val="00A254DB"/>
    <w:rsid w:val="00A26F91"/>
    <w:rsid w:val="00A30620"/>
    <w:rsid w:val="00A3248E"/>
    <w:rsid w:val="00A33394"/>
    <w:rsid w:val="00A33F62"/>
    <w:rsid w:val="00A34805"/>
    <w:rsid w:val="00A3624E"/>
    <w:rsid w:val="00A369FF"/>
    <w:rsid w:val="00A36BED"/>
    <w:rsid w:val="00A36CD1"/>
    <w:rsid w:val="00A40828"/>
    <w:rsid w:val="00A41045"/>
    <w:rsid w:val="00A41EAA"/>
    <w:rsid w:val="00A439E2"/>
    <w:rsid w:val="00A43F55"/>
    <w:rsid w:val="00A44256"/>
    <w:rsid w:val="00A45C01"/>
    <w:rsid w:val="00A465D7"/>
    <w:rsid w:val="00A479A8"/>
    <w:rsid w:val="00A52533"/>
    <w:rsid w:val="00A530A7"/>
    <w:rsid w:val="00A54F6D"/>
    <w:rsid w:val="00A5564D"/>
    <w:rsid w:val="00A557D2"/>
    <w:rsid w:val="00A56A90"/>
    <w:rsid w:val="00A57360"/>
    <w:rsid w:val="00A60E9B"/>
    <w:rsid w:val="00A612AB"/>
    <w:rsid w:val="00A61902"/>
    <w:rsid w:val="00A63D70"/>
    <w:rsid w:val="00A646DB"/>
    <w:rsid w:val="00A64BC8"/>
    <w:rsid w:val="00A6638D"/>
    <w:rsid w:val="00A669B8"/>
    <w:rsid w:val="00A67390"/>
    <w:rsid w:val="00A67965"/>
    <w:rsid w:val="00A71702"/>
    <w:rsid w:val="00A72903"/>
    <w:rsid w:val="00A734E6"/>
    <w:rsid w:val="00A74521"/>
    <w:rsid w:val="00A74A43"/>
    <w:rsid w:val="00A75F07"/>
    <w:rsid w:val="00A762EC"/>
    <w:rsid w:val="00A816A4"/>
    <w:rsid w:val="00A819D0"/>
    <w:rsid w:val="00A819F3"/>
    <w:rsid w:val="00A83520"/>
    <w:rsid w:val="00A86303"/>
    <w:rsid w:val="00A867EB"/>
    <w:rsid w:val="00A874F5"/>
    <w:rsid w:val="00A90884"/>
    <w:rsid w:val="00A92638"/>
    <w:rsid w:val="00A9308D"/>
    <w:rsid w:val="00A9365D"/>
    <w:rsid w:val="00A93E6D"/>
    <w:rsid w:val="00A9431F"/>
    <w:rsid w:val="00A96C33"/>
    <w:rsid w:val="00AA5446"/>
    <w:rsid w:val="00AB015B"/>
    <w:rsid w:val="00AB10AD"/>
    <w:rsid w:val="00AB1CDD"/>
    <w:rsid w:val="00AB2E74"/>
    <w:rsid w:val="00AB350E"/>
    <w:rsid w:val="00AB4432"/>
    <w:rsid w:val="00AB5163"/>
    <w:rsid w:val="00AB5604"/>
    <w:rsid w:val="00AB5AA9"/>
    <w:rsid w:val="00AB5DAA"/>
    <w:rsid w:val="00AB6A6A"/>
    <w:rsid w:val="00AB7684"/>
    <w:rsid w:val="00AC0B83"/>
    <w:rsid w:val="00AC3CB6"/>
    <w:rsid w:val="00AC43B5"/>
    <w:rsid w:val="00AC5D4F"/>
    <w:rsid w:val="00AC5E5D"/>
    <w:rsid w:val="00AD0EF9"/>
    <w:rsid w:val="00AD1211"/>
    <w:rsid w:val="00AD2E28"/>
    <w:rsid w:val="00AD3158"/>
    <w:rsid w:val="00AD3A72"/>
    <w:rsid w:val="00AD58F7"/>
    <w:rsid w:val="00AD7066"/>
    <w:rsid w:val="00AD763E"/>
    <w:rsid w:val="00AE03BE"/>
    <w:rsid w:val="00AE0DC6"/>
    <w:rsid w:val="00AE1913"/>
    <w:rsid w:val="00AE37A2"/>
    <w:rsid w:val="00AE3D40"/>
    <w:rsid w:val="00AE457E"/>
    <w:rsid w:val="00AE4CB1"/>
    <w:rsid w:val="00AE5820"/>
    <w:rsid w:val="00AE639A"/>
    <w:rsid w:val="00AF121D"/>
    <w:rsid w:val="00AF1754"/>
    <w:rsid w:val="00AF1C0F"/>
    <w:rsid w:val="00AF1C84"/>
    <w:rsid w:val="00AF2AB3"/>
    <w:rsid w:val="00AF5C9D"/>
    <w:rsid w:val="00AF6759"/>
    <w:rsid w:val="00AF7D58"/>
    <w:rsid w:val="00B002F0"/>
    <w:rsid w:val="00B006D6"/>
    <w:rsid w:val="00B01FD5"/>
    <w:rsid w:val="00B02C68"/>
    <w:rsid w:val="00B03096"/>
    <w:rsid w:val="00B03769"/>
    <w:rsid w:val="00B03AA8"/>
    <w:rsid w:val="00B04539"/>
    <w:rsid w:val="00B04BC6"/>
    <w:rsid w:val="00B06466"/>
    <w:rsid w:val="00B067AA"/>
    <w:rsid w:val="00B06B41"/>
    <w:rsid w:val="00B0762C"/>
    <w:rsid w:val="00B10570"/>
    <w:rsid w:val="00B10683"/>
    <w:rsid w:val="00B10765"/>
    <w:rsid w:val="00B108A9"/>
    <w:rsid w:val="00B10FCA"/>
    <w:rsid w:val="00B121C4"/>
    <w:rsid w:val="00B1392C"/>
    <w:rsid w:val="00B20661"/>
    <w:rsid w:val="00B21603"/>
    <w:rsid w:val="00B217FF"/>
    <w:rsid w:val="00B21F5B"/>
    <w:rsid w:val="00B22FF4"/>
    <w:rsid w:val="00B23047"/>
    <w:rsid w:val="00B23F07"/>
    <w:rsid w:val="00B24977"/>
    <w:rsid w:val="00B24CCF"/>
    <w:rsid w:val="00B251F9"/>
    <w:rsid w:val="00B25CA8"/>
    <w:rsid w:val="00B26229"/>
    <w:rsid w:val="00B3018E"/>
    <w:rsid w:val="00B307B5"/>
    <w:rsid w:val="00B30BDF"/>
    <w:rsid w:val="00B311C1"/>
    <w:rsid w:val="00B3152B"/>
    <w:rsid w:val="00B31916"/>
    <w:rsid w:val="00B31E51"/>
    <w:rsid w:val="00B32472"/>
    <w:rsid w:val="00B33C06"/>
    <w:rsid w:val="00B41051"/>
    <w:rsid w:val="00B424E0"/>
    <w:rsid w:val="00B432AB"/>
    <w:rsid w:val="00B4346C"/>
    <w:rsid w:val="00B439F1"/>
    <w:rsid w:val="00B44EFA"/>
    <w:rsid w:val="00B44FBE"/>
    <w:rsid w:val="00B4514C"/>
    <w:rsid w:val="00B45DC0"/>
    <w:rsid w:val="00B47003"/>
    <w:rsid w:val="00B4787F"/>
    <w:rsid w:val="00B478C5"/>
    <w:rsid w:val="00B504B8"/>
    <w:rsid w:val="00B50C32"/>
    <w:rsid w:val="00B53B25"/>
    <w:rsid w:val="00B53DD0"/>
    <w:rsid w:val="00B54043"/>
    <w:rsid w:val="00B54BC2"/>
    <w:rsid w:val="00B5558E"/>
    <w:rsid w:val="00B579C0"/>
    <w:rsid w:val="00B60359"/>
    <w:rsid w:val="00B60D8D"/>
    <w:rsid w:val="00B6128E"/>
    <w:rsid w:val="00B612BC"/>
    <w:rsid w:val="00B617D1"/>
    <w:rsid w:val="00B618D2"/>
    <w:rsid w:val="00B62369"/>
    <w:rsid w:val="00B65D2D"/>
    <w:rsid w:val="00B678F1"/>
    <w:rsid w:val="00B67F75"/>
    <w:rsid w:val="00B7142C"/>
    <w:rsid w:val="00B7326C"/>
    <w:rsid w:val="00B738B7"/>
    <w:rsid w:val="00B74F1D"/>
    <w:rsid w:val="00B75865"/>
    <w:rsid w:val="00B75CA7"/>
    <w:rsid w:val="00B767EF"/>
    <w:rsid w:val="00B768BF"/>
    <w:rsid w:val="00B77505"/>
    <w:rsid w:val="00B77BCB"/>
    <w:rsid w:val="00B805A0"/>
    <w:rsid w:val="00B80A9F"/>
    <w:rsid w:val="00B812E6"/>
    <w:rsid w:val="00B83F5B"/>
    <w:rsid w:val="00B8643B"/>
    <w:rsid w:val="00B86492"/>
    <w:rsid w:val="00B90A1A"/>
    <w:rsid w:val="00B90FDD"/>
    <w:rsid w:val="00B91185"/>
    <w:rsid w:val="00B925BD"/>
    <w:rsid w:val="00B92BF9"/>
    <w:rsid w:val="00B9380C"/>
    <w:rsid w:val="00B941B9"/>
    <w:rsid w:val="00B94FB5"/>
    <w:rsid w:val="00B957C4"/>
    <w:rsid w:val="00B95AC4"/>
    <w:rsid w:val="00B96755"/>
    <w:rsid w:val="00BA1007"/>
    <w:rsid w:val="00BA1B06"/>
    <w:rsid w:val="00BA2C11"/>
    <w:rsid w:val="00BA2D3A"/>
    <w:rsid w:val="00BA324F"/>
    <w:rsid w:val="00BA34C5"/>
    <w:rsid w:val="00BA394B"/>
    <w:rsid w:val="00BA4142"/>
    <w:rsid w:val="00BA4507"/>
    <w:rsid w:val="00BA4701"/>
    <w:rsid w:val="00BA7261"/>
    <w:rsid w:val="00BA73A9"/>
    <w:rsid w:val="00BB06A5"/>
    <w:rsid w:val="00BB0788"/>
    <w:rsid w:val="00BB0D9C"/>
    <w:rsid w:val="00BB146C"/>
    <w:rsid w:val="00BB38F1"/>
    <w:rsid w:val="00BB3B46"/>
    <w:rsid w:val="00BB4503"/>
    <w:rsid w:val="00BB5CEF"/>
    <w:rsid w:val="00BB6BFB"/>
    <w:rsid w:val="00BB6D61"/>
    <w:rsid w:val="00BB7491"/>
    <w:rsid w:val="00BB7A2A"/>
    <w:rsid w:val="00BB7C27"/>
    <w:rsid w:val="00BC17B1"/>
    <w:rsid w:val="00BC2282"/>
    <w:rsid w:val="00BC5A71"/>
    <w:rsid w:val="00BC606F"/>
    <w:rsid w:val="00BC60DE"/>
    <w:rsid w:val="00BD1B88"/>
    <w:rsid w:val="00BD2825"/>
    <w:rsid w:val="00BD2B14"/>
    <w:rsid w:val="00BD2EBB"/>
    <w:rsid w:val="00BD2F1A"/>
    <w:rsid w:val="00BD2F28"/>
    <w:rsid w:val="00BD5ACA"/>
    <w:rsid w:val="00BD636A"/>
    <w:rsid w:val="00BD6CCC"/>
    <w:rsid w:val="00BD7569"/>
    <w:rsid w:val="00BD7829"/>
    <w:rsid w:val="00BD7AC3"/>
    <w:rsid w:val="00BE05A3"/>
    <w:rsid w:val="00BE166C"/>
    <w:rsid w:val="00BE1B02"/>
    <w:rsid w:val="00BE2B34"/>
    <w:rsid w:val="00BE4CA4"/>
    <w:rsid w:val="00BE5F95"/>
    <w:rsid w:val="00BE671D"/>
    <w:rsid w:val="00BE73F8"/>
    <w:rsid w:val="00BE7D8D"/>
    <w:rsid w:val="00BF02D5"/>
    <w:rsid w:val="00BF083A"/>
    <w:rsid w:val="00BF0BC0"/>
    <w:rsid w:val="00BF1D38"/>
    <w:rsid w:val="00BF38A4"/>
    <w:rsid w:val="00BF3B60"/>
    <w:rsid w:val="00BF48C2"/>
    <w:rsid w:val="00BF51A0"/>
    <w:rsid w:val="00BF6361"/>
    <w:rsid w:val="00BF775B"/>
    <w:rsid w:val="00BF792B"/>
    <w:rsid w:val="00C00C49"/>
    <w:rsid w:val="00C01E3F"/>
    <w:rsid w:val="00C03A8F"/>
    <w:rsid w:val="00C04B05"/>
    <w:rsid w:val="00C058BB"/>
    <w:rsid w:val="00C05934"/>
    <w:rsid w:val="00C075D8"/>
    <w:rsid w:val="00C07850"/>
    <w:rsid w:val="00C10208"/>
    <w:rsid w:val="00C12893"/>
    <w:rsid w:val="00C12E86"/>
    <w:rsid w:val="00C136BA"/>
    <w:rsid w:val="00C13F54"/>
    <w:rsid w:val="00C14D38"/>
    <w:rsid w:val="00C15371"/>
    <w:rsid w:val="00C156BF"/>
    <w:rsid w:val="00C1589C"/>
    <w:rsid w:val="00C16861"/>
    <w:rsid w:val="00C173C7"/>
    <w:rsid w:val="00C2029B"/>
    <w:rsid w:val="00C2088D"/>
    <w:rsid w:val="00C20DD6"/>
    <w:rsid w:val="00C21DBE"/>
    <w:rsid w:val="00C2223D"/>
    <w:rsid w:val="00C25EA5"/>
    <w:rsid w:val="00C26419"/>
    <w:rsid w:val="00C26726"/>
    <w:rsid w:val="00C27373"/>
    <w:rsid w:val="00C301DB"/>
    <w:rsid w:val="00C30A7F"/>
    <w:rsid w:val="00C3211D"/>
    <w:rsid w:val="00C3257D"/>
    <w:rsid w:val="00C327CB"/>
    <w:rsid w:val="00C34C53"/>
    <w:rsid w:val="00C35156"/>
    <w:rsid w:val="00C3527C"/>
    <w:rsid w:val="00C35890"/>
    <w:rsid w:val="00C3589E"/>
    <w:rsid w:val="00C36494"/>
    <w:rsid w:val="00C43284"/>
    <w:rsid w:val="00C433D1"/>
    <w:rsid w:val="00C442A2"/>
    <w:rsid w:val="00C45ABC"/>
    <w:rsid w:val="00C45B02"/>
    <w:rsid w:val="00C45C85"/>
    <w:rsid w:val="00C45E5E"/>
    <w:rsid w:val="00C463C2"/>
    <w:rsid w:val="00C515B6"/>
    <w:rsid w:val="00C521F7"/>
    <w:rsid w:val="00C523C4"/>
    <w:rsid w:val="00C52741"/>
    <w:rsid w:val="00C540B2"/>
    <w:rsid w:val="00C5523A"/>
    <w:rsid w:val="00C557AD"/>
    <w:rsid w:val="00C566B0"/>
    <w:rsid w:val="00C56BBD"/>
    <w:rsid w:val="00C57572"/>
    <w:rsid w:val="00C60CD6"/>
    <w:rsid w:val="00C6133E"/>
    <w:rsid w:val="00C63B48"/>
    <w:rsid w:val="00C63CEB"/>
    <w:rsid w:val="00C6474F"/>
    <w:rsid w:val="00C64C80"/>
    <w:rsid w:val="00C65A25"/>
    <w:rsid w:val="00C661F8"/>
    <w:rsid w:val="00C663BE"/>
    <w:rsid w:val="00C665AF"/>
    <w:rsid w:val="00C66A7A"/>
    <w:rsid w:val="00C70B40"/>
    <w:rsid w:val="00C712D4"/>
    <w:rsid w:val="00C7231B"/>
    <w:rsid w:val="00C73C95"/>
    <w:rsid w:val="00C73FC4"/>
    <w:rsid w:val="00C74905"/>
    <w:rsid w:val="00C7565D"/>
    <w:rsid w:val="00C7585F"/>
    <w:rsid w:val="00C75BFD"/>
    <w:rsid w:val="00C760A8"/>
    <w:rsid w:val="00C7614D"/>
    <w:rsid w:val="00C776D0"/>
    <w:rsid w:val="00C80246"/>
    <w:rsid w:val="00C80259"/>
    <w:rsid w:val="00C803CD"/>
    <w:rsid w:val="00C81B89"/>
    <w:rsid w:val="00C83299"/>
    <w:rsid w:val="00C83C63"/>
    <w:rsid w:val="00C84357"/>
    <w:rsid w:val="00C84EF6"/>
    <w:rsid w:val="00C85384"/>
    <w:rsid w:val="00C8690F"/>
    <w:rsid w:val="00C871ED"/>
    <w:rsid w:val="00C9016E"/>
    <w:rsid w:val="00C901A3"/>
    <w:rsid w:val="00C91B7E"/>
    <w:rsid w:val="00C926AE"/>
    <w:rsid w:val="00C929CA"/>
    <w:rsid w:val="00C931DF"/>
    <w:rsid w:val="00C9589E"/>
    <w:rsid w:val="00C96648"/>
    <w:rsid w:val="00CA0ACC"/>
    <w:rsid w:val="00CA504C"/>
    <w:rsid w:val="00CA54DD"/>
    <w:rsid w:val="00CA5904"/>
    <w:rsid w:val="00CA6397"/>
    <w:rsid w:val="00CA65B1"/>
    <w:rsid w:val="00CA6876"/>
    <w:rsid w:val="00CA6F68"/>
    <w:rsid w:val="00CB078E"/>
    <w:rsid w:val="00CB158F"/>
    <w:rsid w:val="00CB1CA8"/>
    <w:rsid w:val="00CB28E1"/>
    <w:rsid w:val="00CB29F1"/>
    <w:rsid w:val="00CB363B"/>
    <w:rsid w:val="00CB3B77"/>
    <w:rsid w:val="00CB57CC"/>
    <w:rsid w:val="00CB5B02"/>
    <w:rsid w:val="00CB5F7F"/>
    <w:rsid w:val="00CB64E4"/>
    <w:rsid w:val="00CB6630"/>
    <w:rsid w:val="00CB6945"/>
    <w:rsid w:val="00CB72A1"/>
    <w:rsid w:val="00CB7610"/>
    <w:rsid w:val="00CB7C99"/>
    <w:rsid w:val="00CB7D3B"/>
    <w:rsid w:val="00CC077A"/>
    <w:rsid w:val="00CC1AE2"/>
    <w:rsid w:val="00CC4FCB"/>
    <w:rsid w:val="00CC627C"/>
    <w:rsid w:val="00CC6D4E"/>
    <w:rsid w:val="00CC7D20"/>
    <w:rsid w:val="00CC7F69"/>
    <w:rsid w:val="00CD18A1"/>
    <w:rsid w:val="00CD1B90"/>
    <w:rsid w:val="00CD27BE"/>
    <w:rsid w:val="00CD30C7"/>
    <w:rsid w:val="00CD3978"/>
    <w:rsid w:val="00CD3EC6"/>
    <w:rsid w:val="00CD3ED1"/>
    <w:rsid w:val="00CD4AB0"/>
    <w:rsid w:val="00CD4BFE"/>
    <w:rsid w:val="00CD619B"/>
    <w:rsid w:val="00CD6BEA"/>
    <w:rsid w:val="00CD7211"/>
    <w:rsid w:val="00CE020F"/>
    <w:rsid w:val="00CE0D22"/>
    <w:rsid w:val="00CE2EE8"/>
    <w:rsid w:val="00CE3A18"/>
    <w:rsid w:val="00CE3DA3"/>
    <w:rsid w:val="00CE3F59"/>
    <w:rsid w:val="00CE444A"/>
    <w:rsid w:val="00CE523D"/>
    <w:rsid w:val="00CE59AE"/>
    <w:rsid w:val="00CE63DA"/>
    <w:rsid w:val="00CE6844"/>
    <w:rsid w:val="00CE6E62"/>
    <w:rsid w:val="00CE7B5F"/>
    <w:rsid w:val="00CF0171"/>
    <w:rsid w:val="00CF2483"/>
    <w:rsid w:val="00CF2A88"/>
    <w:rsid w:val="00CF3367"/>
    <w:rsid w:val="00CF4F68"/>
    <w:rsid w:val="00CF5353"/>
    <w:rsid w:val="00CF53BC"/>
    <w:rsid w:val="00CF5E10"/>
    <w:rsid w:val="00D00591"/>
    <w:rsid w:val="00D00E4D"/>
    <w:rsid w:val="00D022D6"/>
    <w:rsid w:val="00D02D0A"/>
    <w:rsid w:val="00D03128"/>
    <w:rsid w:val="00D037F4"/>
    <w:rsid w:val="00D038CA"/>
    <w:rsid w:val="00D03996"/>
    <w:rsid w:val="00D0474A"/>
    <w:rsid w:val="00D052E3"/>
    <w:rsid w:val="00D07305"/>
    <w:rsid w:val="00D11EFC"/>
    <w:rsid w:val="00D1273B"/>
    <w:rsid w:val="00D14E2E"/>
    <w:rsid w:val="00D1599C"/>
    <w:rsid w:val="00D16490"/>
    <w:rsid w:val="00D178CF"/>
    <w:rsid w:val="00D17F22"/>
    <w:rsid w:val="00D2006D"/>
    <w:rsid w:val="00D218D7"/>
    <w:rsid w:val="00D2193E"/>
    <w:rsid w:val="00D21CB9"/>
    <w:rsid w:val="00D21D21"/>
    <w:rsid w:val="00D22B58"/>
    <w:rsid w:val="00D2322E"/>
    <w:rsid w:val="00D24B15"/>
    <w:rsid w:val="00D24DBB"/>
    <w:rsid w:val="00D25CCD"/>
    <w:rsid w:val="00D264CF"/>
    <w:rsid w:val="00D26851"/>
    <w:rsid w:val="00D278AB"/>
    <w:rsid w:val="00D27C22"/>
    <w:rsid w:val="00D27D8A"/>
    <w:rsid w:val="00D30D9E"/>
    <w:rsid w:val="00D3176D"/>
    <w:rsid w:val="00D3445B"/>
    <w:rsid w:val="00D34C41"/>
    <w:rsid w:val="00D34D8F"/>
    <w:rsid w:val="00D36244"/>
    <w:rsid w:val="00D365BB"/>
    <w:rsid w:val="00D41375"/>
    <w:rsid w:val="00D42E7B"/>
    <w:rsid w:val="00D46EDD"/>
    <w:rsid w:val="00D474EF"/>
    <w:rsid w:val="00D47730"/>
    <w:rsid w:val="00D50BB3"/>
    <w:rsid w:val="00D51AFC"/>
    <w:rsid w:val="00D51B8D"/>
    <w:rsid w:val="00D51C00"/>
    <w:rsid w:val="00D5290C"/>
    <w:rsid w:val="00D529C5"/>
    <w:rsid w:val="00D52F70"/>
    <w:rsid w:val="00D537C5"/>
    <w:rsid w:val="00D53832"/>
    <w:rsid w:val="00D53AF1"/>
    <w:rsid w:val="00D54DF3"/>
    <w:rsid w:val="00D552D3"/>
    <w:rsid w:val="00D55759"/>
    <w:rsid w:val="00D5705C"/>
    <w:rsid w:val="00D61023"/>
    <w:rsid w:val="00D61581"/>
    <w:rsid w:val="00D61BB0"/>
    <w:rsid w:val="00D6212C"/>
    <w:rsid w:val="00D62657"/>
    <w:rsid w:val="00D639C2"/>
    <w:rsid w:val="00D63DC2"/>
    <w:rsid w:val="00D64F48"/>
    <w:rsid w:val="00D66E25"/>
    <w:rsid w:val="00D66E74"/>
    <w:rsid w:val="00D67EAE"/>
    <w:rsid w:val="00D72A80"/>
    <w:rsid w:val="00D73D67"/>
    <w:rsid w:val="00D744C3"/>
    <w:rsid w:val="00D745E3"/>
    <w:rsid w:val="00D747BE"/>
    <w:rsid w:val="00D76669"/>
    <w:rsid w:val="00D779D4"/>
    <w:rsid w:val="00D77B47"/>
    <w:rsid w:val="00D77E02"/>
    <w:rsid w:val="00D808AA"/>
    <w:rsid w:val="00D8142B"/>
    <w:rsid w:val="00D82C98"/>
    <w:rsid w:val="00D8357C"/>
    <w:rsid w:val="00D8392C"/>
    <w:rsid w:val="00D83958"/>
    <w:rsid w:val="00D84F70"/>
    <w:rsid w:val="00D8548E"/>
    <w:rsid w:val="00D859E4"/>
    <w:rsid w:val="00D85C19"/>
    <w:rsid w:val="00D90522"/>
    <w:rsid w:val="00D93656"/>
    <w:rsid w:val="00D94099"/>
    <w:rsid w:val="00D9470D"/>
    <w:rsid w:val="00D9482F"/>
    <w:rsid w:val="00D94E24"/>
    <w:rsid w:val="00D954C0"/>
    <w:rsid w:val="00D960A9"/>
    <w:rsid w:val="00D96B15"/>
    <w:rsid w:val="00D97604"/>
    <w:rsid w:val="00DA0BD5"/>
    <w:rsid w:val="00DA0D8A"/>
    <w:rsid w:val="00DA0EDC"/>
    <w:rsid w:val="00DA1DE5"/>
    <w:rsid w:val="00DA25A5"/>
    <w:rsid w:val="00DA32F6"/>
    <w:rsid w:val="00DA338F"/>
    <w:rsid w:val="00DA36EA"/>
    <w:rsid w:val="00DA3C3A"/>
    <w:rsid w:val="00DA46EE"/>
    <w:rsid w:val="00DA50E9"/>
    <w:rsid w:val="00DA65E3"/>
    <w:rsid w:val="00DA686F"/>
    <w:rsid w:val="00DA6FA6"/>
    <w:rsid w:val="00DA7398"/>
    <w:rsid w:val="00DA7C99"/>
    <w:rsid w:val="00DB1199"/>
    <w:rsid w:val="00DB1912"/>
    <w:rsid w:val="00DB20DE"/>
    <w:rsid w:val="00DB3B3B"/>
    <w:rsid w:val="00DB5E8F"/>
    <w:rsid w:val="00DB5F37"/>
    <w:rsid w:val="00DB69B6"/>
    <w:rsid w:val="00DB6BEF"/>
    <w:rsid w:val="00DC0F04"/>
    <w:rsid w:val="00DC1704"/>
    <w:rsid w:val="00DC256B"/>
    <w:rsid w:val="00DC42EB"/>
    <w:rsid w:val="00DC458B"/>
    <w:rsid w:val="00DC4CA6"/>
    <w:rsid w:val="00DC527A"/>
    <w:rsid w:val="00DD00E7"/>
    <w:rsid w:val="00DD0529"/>
    <w:rsid w:val="00DD0ACF"/>
    <w:rsid w:val="00DD1985"/>
    <w:rsid w:val="00DD25DA"/>
    <w:rsid w:val="00DD3211"/>
    <w:rsid w:val="00DD38FC"/>
    <w:rsid w:val="00DD3E64"/>
    <w:rsid w:val="00DD3E73"/>
    <w:rsid w:val="00DD3EEF"/>
    <w:rsid w:val="00DD4ABC"/>
    <w:rsid w:val="00DD5126"/>
    <w:rsid w:val="00DD789B"/>
    <w:rsid w:val="00DD78BF"/>
    <w:rsid w:val="00DE0750"/>
    <w:rsid w:val="00DE24B6"/>
    <w:rsid w:val="00DE2F70"/>
    <w:rsid w:val="00DE4D0F"/>
    <w:rsid w:val="00DE57E9"/>
    <w:rsid w:val="00DE65E5"/>
    <w:rsid w:val="00DF0AEC"/>
    <w:rsid w:val="00DF148C"/>
    <w:rsid w:val="00DF1ABF"/>
    <w:rsid w:val="00DF392D"/>
    <w:rsid w:val="00DF4593"/>
    <w:rsid w:val="00DF4A85"/>
    <w:rsid w:val="00DF4C75"/>
    <w:rsid w:val="00DF5783"/>
    <w:rsid w:val="00DF666C"/>
    <w:rsid w:val="00DF7128"/>
    <w:rsid w:val="00E01595"/>
    <w:rsid w:val="00E02FD1"/>
    <w:rsid w:val="00E036C8"/>
    <w:rsid w:val="00E052AE"/>
    <w:rsid w:val="00E05348"/>
    <w:rsid w:val="00E05E83"/>
    <w:rsid w:val="00E0695F"/>
    <w:rsid w:val="00E07029"/>
    <w:rsid w:val="00E10A09"/>
    <w:rsid w:val="00E10B87"/>
    <w:rsid w:val="00E12531"/>
    <w:rsid w:val="00E13649"/>
    <w:rsid w:val="00E14D35"/>
    <w:rsid w:val="00E154B6"/>
    <w:rsid w:val="00E15821"/>
    <w:rsid w:val="00E217C2"/>
    <w:rsid w:val="00E21EAD"/>
    <w:rsid w:val="00E228B7"/>
    <w:rsid w:val="00E23CF4"/>
    <w:rsid w:val="00E24062"/>
    <w:rsid w:val="00E24C05"/>
    <w:rsid w:val="00E2557F"/>
    <w:rsid w:val="00E25754"/>
    <w:rsid w:val="00E26EEE"/>
    <w:rsid w:val="00E274B0"/>
    <w:rsid w:val="00E27578"/>
    <w:rsid w:val="00E3263D"/>
    <w:rsid w:val="00E331BB"/>
    <w:rsid w:val="00E34295"/>
    <w:rsid w:val="00E343D9"/>
    <w:rsid w:val="00E35F27"/>
    <w:rsid w:val="00E3647F"/>
    <w:rsid w:val="00E419AD"/>
    <w:rsid w:val="00E41DF1"/>
    <w:rsid w:val="00E42C09"/>
    <w:rsid w:val="00E43162"/>
    <w:rsid w:val="00E43512"/>
    <w:rsid w:val="00E43DC4"/>
    <w:rsid w:val="00E4409E"/>
    <w:rsid w:val="00E44C16"/>
    <w:rsid w:val="00E47249"/>
    <w:rsid w:val="00E51492"/>
    <w:rsid w:val="00E535EE"/>
    <w:rsid w:val="00E543BF"/>
    <w:rsid w:val="00E54760"/>
    <w:rsid w:val="00E5530D"/>
    <w:rsid w:val="00E559A9"/>
    <w:rsid w:val="00E60AB4"/>
    <w:rsid w:val="00E60F5E"/>
    <w:rsid w:val="00E61F3F"/>
    <w:rsid w:val="00E655C7"/>
    <w:rsid w:val="00E65DE7"/>
    <w:rsid w:val="00E65EBA"/>
    <w:rsid w:val="00E6705C"/>
    <w:rsid w:val="00E67CBC"/>
    <w:rsid w:val="00E67EB5"/>
    <w:rsid w:val="00E70E49"/>
    <w:rsid w:val="00E739CE"/>
    <w:rsid w:val="00E74ED2"/>
    <w:rsid w:val="00E770AE"/>
    <w:rsid w:val="00E7793B"/>
    <w:rsid w:val="00E77B97"/>
    <w:rsid w:val="00E77FC8"/>
    <w:rsid w:val="00E8104C"/>
    <w:rsid w:val="00E82CC2"/>
    <w:rsid w:val="00E832C2"/>
    <w:rsid w:val="00E84A1C"/>
    <w:rsid w:val="00E850D1"/>
    <w:rsid w:val="00E8534E"/>
    <w:rsid w:val="00E85CB4"/>
    <w:rsid w:val="00E872C9"/>
    <w:rsid w:val="00E8786E"/>
    <w:rsid w:val="00E90359"/>
    <w:rsid w:val="00E90825"/>
    <w:rsid w:val="00E90B85"/>
    <w:rsid w:val="00E90E37"/>
    <w:rsid w:val="00E92B37"/>
    <w:rsid w:val="00E9475C"/>
    <w:rsid w:val="00EA1EA1"/>
    <w:rsid w:val="00EA26B4"/>
    <w:rsid w:val="00EA2B7D"/>
    <w:rsid w:val="00EA2E63"/>
    <w:rsid w:val="00EA2FF2"/>
    <w:rsid w:val="00EA30E4"/>
    <w:rsid w:val="00EA4571"/>
    <w:rsid w:val="00EA6038"/>
    <w:rsid w:val="00EA6F04"/>
    <w:rsid w:val="00EA7AA8"/>
    <w:rsid w:val="00EB102A"/>
    <w:rsid w:val="00EB19C6"/>
    <w:rsid w:val="00EB441A"/>
    <w:rsid w:val="00EB4CAE"/>
    <w:rsid w:val="00EB56AA"/>
    <w:rsid w:val="00EB60E8"/>
    <w:rsid w:val="00EB7CD1"/>
    <w:rsid w:val="00EC00F3"/>
    <w:rsid w:val="00EC0B91"/>
    <w:rsid w:val="00EC1AE5"/>
    <w:rsid w:val="00EC4642"/>
    <w:rsid w:val="00EC4C32"/>
    <w:rsid w:val="00EC6871"/>
    <w:rsid w:val="00EC7E96"/>
    <w:rsid w:val="00ED125E"/>
    <w:rsid w:val="00ED16F4"/>
    <w:rsid w:val="00ED3A98"/>
    <w:rsid w:val="00ED4AF0"/>
    <w:rsid w:val="00EE1624"/>
    <w:rsid w:val="00EE1DE8"/>
    <w:rsid w:val="00EE25A1"/>
    <w:rsid w:val="00EE3A04"/>
    <w:rsid w:val="00EE5D2B"/>
    <w:rsid w:val="00EE7652"/>
    <w:rsid w:val="00EF0EB4"/>
    <w:rsid w:val="00EF11F5"/>
    <w:rsid w:val="00EF1A4A"/>
    <w:rsid w:val="00EF1B52"/>
    <w:rsid w:val="00EF20DF"/>
    <w:rsid w:val="00EF30BB"/>
    <w:rsid w:val="00EF3192"/>
    <w:rsid w:val="00EF385C"/>
    <w:rsid w:val="00EF3B54"/>
    <w:rsid w:val="00EF4111"/>
    <w:rsid w:val="00EF41A2"/>
    <w:rsid w:val="00EF4CA2"/>
    <w:rsid w:val="00EF4EE7"/>
    <w:rsid w:val="00EF518B"/>
    <w:rsid w:val="00EF54CF"/>
    <w:rsid w:val="00EF576F"/>
    <w:rsid w:val="00EF6548"/>
    <w:rsid w:val="00EF6A43"/>
    <w:rsid w:val="00EF6B45"/>
    <w:rsid w:val="00EF6F13"/>
    <w:rsid w:val="00F000DF"/>
    <w:rsid w:val="00F00CC4"/>
    <w:rsid w:val="00F012EE"/>
    <w:rsid w:val="00F01637"/>
    <w:rsid w:val="00F0203E"/>
    <w:rsid w:val="00F029CF"/>
    <w:rsid w:val="00F04313"/>
    <w:rsid w:val="00F04749"/>
    <w:rsid w:val="00F04905"/>
    <w:rsid w:val="00F0503C"/>
    <w:rsid w:val="00F05189"/>
    <w:rsid w:val="00F054F2"/>
    <w:rsid w:val="00F07E38"/>
    <w:rsid w:val="00F110CE"/>
    <w:rsid w:val="00F122C7"/>
    <w:rsid w:val="00F126DC"/>
    <w:rsid w:val="00F1446D"/>
    <w:rsid w:val="00F14C54"/>
    <w:rsid w:val="00F1532B"/>
    <w:rsid w:val="00F15706"/>
    <w:rsid w:val="00F20160"/>
    <w:rsid w:val="00F21CAA"/>
    <w:rsid w:val="00F22BFC"/>
    <w:rsid w:val="00F22C2C"/>
    <w:rsid w:val="00F22C7D"/>
    <w:rsid w:val="00F232ED"/>
    <w:rsid w:val="00F240C8"/>
    <w:rsid w:val="00F24DE7"/>
    <w:rsid w:val="00F25CEB"/>
    <w:rsid w:val="00F27F65"/>
    <w:rsid w:val="00F30E8A"/>
    <w:rsid w:val="00F322A2"/>
    <w:rsid w:val="00F335AE"/>
    <w:rsid w:val="00F349DF"/>
    <w:rsid w:val="00F34C53"/>
    <w:rsid w:val="00F3597A"/>
    <w:rsid w:val="00F35B3C"/>
    <w:rsid w:val="00F36C4C"/>
    <w:rsid w:val="00F37730"/>
    <w:rsid w:val="00F40968"/>
    <w:rsid w:val="00F41495"/>
    <w:rsid w:val="00F41853"/>
    <w:rsid w:val="00F42115"/>
    <w:rsid w:val="00F42851"/>
    <w:rsid w:val="00F43705"/>
    <w:rsid w:val="00F454B7"/>
    <w:rsid w:val="00F45F14"/>
    <w:rsid w:val="00F46B27"/>
    <w:rsid w:val="00F46F38"/>
    <w:rsid w:val="00F5048E"/>
    <w:rsid w:val="00F50658"/>
    <w:rsid w:val="00F50C66"/>
    <w:rsid w:val="00F5118F"/>
    <w:rsid w:val="00F51437"/>
    <w:rsid w:val="00F5162A"/>
    <w:rsid w:val="00F51D42"/>
    <w:rsid w:val="00F53A58"/>
    <w:rsid w:val="00F54D2B"/>
    <w:rsid w:val="00F55CC3"/>
    <w:rsid w:val="00F560FC"/>
    <w:rsid w:val="00F57269"/>
    <w:rsid w:val="00F57750"/>
    <w:rsid w:val="00F57B99"/>
    <w:rsid w:val="00F60FD4"/>
    <w:rsid w:val="00F611FE"/>
    <w:rsid w:val="00F61780"/>
    <w:rsid w:val="00F6238D"/>
    <w:rsid w:val="00F62A39"/>
    <w:rsid w:val="00F64409"/>
    <w:rsid w:val="00F64FE9"/>
    <w:rsid w:val="00F659BD"/>
    <w:rsid w:val="00F65ADB"/>
    <w:rsid w:val="00F66C03"/>
    <w:rsid w:val="00F67714"/>
    <w:rsid w:val="00F71FD8"/>
    <w:rsid w:val="00F7287D"/>
    <w:rsid w:val="00F74482"/>
    <w:rsid w:val="00F74827"/>
    <w:rsid w:val="00F74CD9"/>
    <w:rsid w:val="00F7560E"/>
    <w:rsid w:val="00F76700"/>
    <w:rsid w:val="00F80470"/>
    <w:rsid w:val="00F810BF"/>
    <w:rsid w:val="00F84333"/>
    <w:rsid w:val="00F84AE3"/>
    <w:rsid w:val="00F84F73"/>
    <w:rsid w:val="00F8509F"/>
    <w:rsid w:val="00F85207"/>
    <w:rsid w:val="00F864F8"/>
    <w:rsid w:val="00F87269"/>
    <w:rsid w:val="00F917A6"/>
    <w:rsid w:val="00F9220F"/>
    <w:rsid w:val="00F94CA1"/>
    <w:rsid w:val="00F975FD"/>
    <w:rsid w:val="00FA2D75"/>
    <w:rsid w:val="00FA395E"/>
    <w:rsid w:val="00FA530A"/>
    <w:rsid w:val="00FA5CB0"/>
    <w:rsid w:val="00FA61C2"/>
    <w:rsid w:val="00FA6E59"/>
    <w:rsid w:val="00FB1CB1"/>
    <w:rsid w:val="00FB2F93"/>
    <w:rsid w:val="00FB4317"/>
    <w:rsid w:val="00FC0396"/>
    <w:rsid w:val="00FC0459"/>
    <w:rsid w:val="00FC0EC1"/>
    <w:rsid w:val="00FC148D"/>
    <w:rsid w:val="00FC2FCC"/>
    <w:rsid w:val="00FC3716"/>
    <w:rsid w:val="00FC39DF"/>
    <w:rsid w:val="00FC5106"/>
    <w:rsid w:val="00FC52F3"/>
    <w:rsid w:val="00FC536D"/>
    <w:rsid w:val="00FC75BD"/>
    <w:rsid w:val="00FC75CE"/>
    <w:rsid w:val="00FD04DB"/>
    <w:rsid w:val="00FD1E18"/>
    <w:rsid w:val="00FD310B"/>
    <w:rsid w:val="00FD34E1"/>
    <w:rsid w:val="00FD3643"/>
    <w:rsid w:val="00FD3C2F"/>
    <w:rsid w:val="00FD53E7"/>
    <w:rsid w:val="00FD609E"/>
    <w:rsid w:val="00FD70A6"/>
    <w:rsid w:val="00FE07B0"/>
    <w:rsid w:val="00FE0F26"/>
    <w:rsid w:val="00FE1709"/>
    <w:rsid w:val="00FE3417"/>
    <w:rsid w:val="00FE34EA"/>
    <w:rsid w:val="00FE3696"/>
    <w:rsid w:val="00FE401B"/>
    <w:rsid w:val="00FE6959"/>
    <w:rsid w:val="00FE6F0C"/>
    <w:rsid w:val="00FF0002"/>
    <w:rsid w:val="00FF0294"/>
    <w:rsid w:val="00FF2E2B"/>
    <w:rsid w:val="00FF3B77"/>
    <w:rsid w:val="00FF5ADC"/>
    <w:rsid w:val="01082B85"/>
    <w:rsid w:val="010E1785"/>
    <w:rsid w:val="01191EC9"/>
    <w:rsid w:val="012F1446"/>
    <w:rsid w:val="014C25AB"/>
    <w:rsid w:val="01787946"/>
    <w:rsid w:val="018C3E2B"/>
    <w:rsid w:val="01D32C89"/>
    <w:rsid w:val="01DD488B"/>
    <w:rsid w:val="020E652C"/>
    <w:rsid w:val="02156543"/>
    <w:rsid w:val="022E6257"/>
    <w:rsid w:val="02507017"/>
    <w:rsid w:val="02590AFD"/>
    <w:rsid w:val="027872C6"/>
    <w:rsid w:val="028C5218"/>
    <w:rsid w:val="029B0160"/>
    <w:rsid w:val="03427A5A"/>
    <w:rsid w:val="035825E3"/>
    <w:rsid w:val="03CE7479"/>
    <w:rsid w:val="04335B5F"/>
    <w:rsid w:val="044A4CF9"/>
    <w:rsid w:val="054118AA"/>
    <w:rsid w:val="05DD06B1"/>
    <w:rsid w:val="05EF03F3"/>
    <w:rsid w:val="06481D9F"/>
    <w:rsid w:val="06497B03"/>
    <w:rsid w:val="06726F19"/>
    <w:rsid w:val="06B11D77"/>
    <w:rsid w:val="07041C7C"/>
    <w:rsid w:val="07664143"/>
    <w:rsid w:val="076E379B"/>
    <w:rsid w:val="077274B4"/>
    <w:rsid w:val="07C87D4F"/>
    <w:rsid w:val="082A18D1"/>
    <w:rsid w:val="08912770"/>
    <w:rsid w:val="08EF0932"/>
    <w:rsid w:val="08FA7E97"/>
    <w:rsid w:val="095071FE"/>
    <w:rsid w:val="098A290C"/>
    <w:rsid w:val="0A261078"/>
    <w:rsid w:val="0A2C5771"/>
    <w:rsid w:val="0A7B46A7"/>
    <w:rsid w:val="0AA7129C"/>
    <w:rsid w:val="0AB175FE"/>
    <w:rsid w:val="0AEB45E0"/>
    <w:rsid w:val="0B3B3792"/>
    <w:rsid w:val="0B815649"/>
    <w:rsid w:val="0BB1452D"/>
    <w:rsid w:val="0C017795"/>
    <w:rsid w:val="0C083041"/>
    <w:rsid w:val="0C245803"/>
    <w:rsid w:val="0C3A61E2"/>
    <w:rsid w:val="0C4C174B"/>
    <w:rsid w:val="0C4C20FB"/>
    <w:rsid w:val="0C4D2126"/>
    <w:rsid w:val="0CA1396D"/>
    <w:rsid w:val="0CF67A23"/>
    <w:rsid w:val="0D49175C"/>
    <w:rsid w:val="0D507D1A"/>
    <w:rsid w:val="0D664453"/>
    <w:rsid w:val="0DA726A0"/>
    <w:rsid w:val="0DC46FCE"/>
    <w:rsid w:val="0E2246A2"/>
    <w:rsid w:val="0E362D17"/>
    <w:rsid w:val="0EA43128"/>
    <w:rsid w:val="0EBE779D"/>
    <w:rsid w:val="0EEE6DB5"/>
    <w:rsid w:val="0F706100"/>
    <w:rsid w:val="0F882908"/>
    <w:rsid w:val="0F9242C9"/>
    <w:rsid w:val="0FD00111"/>
    <w:rsid w:val="0FFA6CF7"/>
    <w:rsid w:val="10212EDE"/>
    <w:rsid w:val="118C1040"/>
    <w:rsid w:val="119C2691"/>
    <w:rsid w:val="119F4A7B"/>
    <w:rsid w:val="11DF695B"/>
    <w:rsid w:val="11EB763B"/>
    <w:rsid w:val="123C512D"/>
    <w:rsid w:val="12B94EB4"/>
    <w:rsid w:val="12CA1FCB"/>
    <w:rsid w:val="13051255"/>
    <w:rsid w:val="131E0A19"/>
    <w:rsid w:val="135F070C"/>
    <w:rsid w:val="13AB3BAB"/>
    <w:rsid w:val="14005A63"/>
    <w:rsid w:val="14025795"/>
    <w:rsid w:val="14720F4C"/>
    <w:rsid w:val="147A17CF"/>
    <w:rsid w:val="14B46A8F"/>
    <w:rsid w:val="14E03E84"/>
    <w:rsid w:val="155431DC"/>
    <w:rsid w:val="158F5F93"/>
    <w:rsid w:val="159C34F0"/>
    <w:rsid w:val="15D377B7"/>
    <w:rsid w:val="164B117D"/>
    <w:rsid w:val="16550BA5"/>
    <w:rsid w:val="16846935"/>
    <w:rsid w:val="16A501E7"/>
    <w:rsid w:val="17265EA2"/>
    <w:rsid w:val="17CB6065"/>
    <w:rsid w:val="17ED041F"/>
    <w:rsid w:val="1824217E"/>
    <w:rsid w:val="185E4830"/>
    <w:rsid w:val="189E1CCE"/>
    <w:rsid w:val="18AA14C9"/>
    <w:rsid w:val="18AA728B"/>
    <w:rsid w:val="18CC2AA3"/>
    <w:rsid w:val="18DE7D13"/>
    <w:rsid w:val="18EE71D3"/>
    <w:rsid w:val="190F3767"/>
    <w:rsid w:val="19371856"/>
    <w:rsid w:val="195C47F1"/>
    <w:rsid w:val="19CE0D2C"/>
    <w:rsid w:val="1A11228E"/>
    <w:rsid w:val="1A214C7E"/>
    <w:rsid w:val="1A3017BE"/>
    <w:rsid w:val="1A4026CF"/>
    <w:rsid w:val="1A750A6F"/>
    <w:rsid w:val="1AB62E35"/>
    <w:rsid w:val="1AE21E65"/>
    <w:rsid w:val="1AFC6B2B"/>
    <w:rsid w:val="1B3126E0"/>
    <w:rsid w:val="1B4950A4"/>
    <w:rsid w:val="1B684130"/>
    <w:rsid w:val="1B925BF7"/>
    <w:rsid w:val="1BB05833"/>
    <w:rsid w:val="1C3D38A1"/>
    <w:rsid w:val="1C8F72B0"/>
    <w:rsid w:val="1CBD1A4B"/>
    <w:rsid w:val="1CC63804"/>
    <w:rsid w:val="1D000C28"/>
    <w:rsid w:val="1D23280F"/>
    <w:rsid w:val="1D35201E"/>
    <w:rsid w:val="1DA4379F"/>
    <w:rsid w:val="1DE50DAA"/>
    <w:rsid w:val="1E216346"/>
    <w:rsid w:val="1E343F5F"/>
    <w:rsid w:val="1E552F6B"/>
    <w:rsid w:val="1E6D33C6"/>
    <w:rsid w:val="1E8C45D9"/>
    <w:rsid w:val="1EA43243"/>
    <w:rsid w:val="1EB5267B"/>
    <w:rsid w:val="1ED439CD"/>
    <w:rsid w:val="1F1C4FE3"/>
    <w:rsid w:val="1F1C595D"/>
    <w:rsid w:val="1F67414E"/>
    <w:rsid w:val="1F703EFB"/>
    <w:rsid w:val="1F9951FF"/>
    <w:rsid w:val="200D6C2C"/>
    <w:rsid w:val="20B52765"/>
    <w:rsid w:val="21690C01"/>
    <w:rsid w:val="21A458C1"/>
    <w:rsid w:val="21B97B88"/>
    <w:rsid w:val="228148ED"/>
    <w:rsid w:val="229323DA"/>
    <w:rsid w:val="22C73604"/>
    <w:rsid w:val="22CA5137"/>
    <w:rsid w:val="2395178B"/>
    <w:rsid w:val="23D8604B"/>
    <w:rsid w:val="23DC4AE4"/>
    <w:rsid w:val="24030E99"/>
    <w:rsid w:val="246D6CB0"/>
    <w:rsid w:val="247D0DF3"/>
    <w:rsid w:val="249545FF"/>
    <w:rsid w:val="24AF1021"/>
    <w:rsid w:val="252C35AC"/>
    <w:rsid w:val="25523A1F"/>
    <w:rsid w:val="25705AD8"/>
    <w:rsid w:val="25A55B5C"/>
    <w:rsid w:val="25B8074E"/>
    <w:rsid w:val="26083698"/>
    <w:rsid w:val="26C51673"/>
    <w:rsid w:val="27196BF2"/>
    <w:rsid w:val="271E71B5"/>
    <w:rsid w:val="274A2F0F"/>
    <w:rsid w:val="27675E8E"/>
    <w:rsid w:val="27DE1C22"/>
    <w:rsid w:val="281A16BA"/>
    <w:rsid w:val="282F5807"/>
    <w:rsid w:val="28534A42"/>
    <w:rsid w:val="289B5AC8"/>
    <w:rsid w:val="28A5278E"/>
    <w:rsid w:val="28B44E58"/>
    <w:rsid w:val="28D503BE"/>
    <w:rsid w:val="296F67BB"/>
    <w:rsid w:val="29BB5D72"/>
    <w:rsid w:val="29BD7D3C"/>
    <w:rsid w:val="29E7300B"/>
    <w:rsid w:val="2A44790D"/>
    <w:rsid w:val="2A974C69"/>
    <w:rsid w:val="2AE34323"/>
    <w:rsid w:val="2AEC2542"/>
    <w:rsid w:val="2B067FB3"/>
    <w:rsid w:val="2B2D711A"/>
    <w:rsid w:val="2B33194A"/>
    <w:rsid w:val="2B4C37B9"/>
    <w:rsid w:val="2BEC14FF"/>
    <w:rsid w:val="2C1B5102"/>
    <w:rsid w:val="2C416A03"/>
    <w:rsid w:val="2C901863"/>
    <w:rsid w:val="2CC517E0"/>
    <w:rsid w:val="2CD95E24"/>
    <w:rsid w:val="2CE83322"/>
    <w:rsid w:val="2D0E43AE"/>
    <w:rsid w:val="2D2237CA"/>
    <w:rsid w:val="2D872B3B"/>
    <w:rsid w:val="2D8C1152"/>
    <w:rsid w:val="2D8E417B"/>
    <w:rsid w:val="2D984DAB"/>
    <w:rsid w:val="2DC9792A"/>
    <w:rsid w:val="2DDF0DBB"/>
    <w:rsid w:val="2E29075F"/>
    <w:rsid w:val="2E5D1AEE"/>
    <w:rsid w:val="2EAA6832"/>
    <w:rsid w:val="2EEA5E85"/>
    <w:rsid w:val="2F010A9B"/>
    <w:rsid w:val="2FB819F0"/>
    <w:rsid w:val="2FE5268C"/>
    <w:rsid w:val="2FF06AC5"/>
    <w:rsid w:val="30E676FA"/>
    <w:rsid w:val="30EE68E5"/>
    <w:rsid w:val="31113BB9"/>
    <w:rsid w:val="31562CFE"/>
    <w:rsid w:val="317050E8"/>
    <w:rsid w:val="31B93423"/>
    <w:rsid w:val="327E0D92"/>
    <w:rsid w:val="32B06690"/>
    <w:rsid w:val="32CD6857"/>
    <w:rsid w:val="32E4633A"/>
    <w:rsid w:val="32ED3BB2"/>
    <w:rsid w:val="33067842"/>
    <w:rsid w:val="331560B7"/>
    <w:rsid w:val="33357C32"/>
    <w:rsid w:val="33514506"/>
    <w:rsid w:val="33596D28"/>
    <w:rsid w:val="338166ED"/>
    <w:rsid w:val="339617C7"/>
    <w:rsid w:val="339F2FEB"/>
    <w:rsid w:val="33BF6F50"/>
    <w:rsid w:val="3410307F"/>
    <w:rsid w:val="342235BE"/>
    <w:rsid w:val="346B032C"/>
    <w:rsid w:val="349E60B0"/>
    <w:rsid w:val="34D54E58"/>
    <w:rsid w:val="34E641A1"/>
    <w:rsid w:val="35363B2B"/>
    <w:rsid w:val="357D4754"/>
    <w:rsid w:val="35810D56"/>
    <w:rsid w:val="35A43692"/>
    <w:rsid w:val="363A3628"/>
    <w:rsid w:val="375331B7"/>
    <w:rsid w:val="3761337D"/>
    <w:rsid w:val="378400EB"/>
    <w:rsid w:val="37C74C24"/>
    <w:rsid w:val="37D05F7D"/>
    <w:rsid w:val="37FD0311"/>
    <w:rsid w:val="38224F55"/>
    <w:rsid w:val="38416397"/>
    <w:rsid w:val="38826EED"/>
    <w:rsid w:val="38A34B1E"/>
    <w:rsid w:val="390A2AC9"/>
    <w:rsid w:val="396522EA"/>
    <w:rsid w:val="39B7632F"/>
    <w:rsid w:val="39C47701"/>
    <w:rsid w:val="39F32D23"/>
    <w:rsid w:val="3A1357D6"/>
    <w:rsid w:val="3A4A561C"/>
    <w:rsid w:val="3ADB3881"/>
    <w:rsid w:val="3B422265"/>
    <w:rsid w:val="3B4262F3"/>
    <w:rsid w:val="3BBE7597"/>
    <w:rsid w:val="3BC92571"/>
    <w:rsid w:val="3BE410F4"/>
    <w:rsid w:val="3C2864D9"/>
    <w:rsid w:val="3C520DC5"/>
    <w:rsid w:val="3CA95CD6"/>
    <w:rsid w:val="3D534CEE"/>
    <w:rsid w:val="3D583B9B"/>
    <w:rsid w:val="3D6D517E"/>
    <w:rsid w:val="3D801355"/>
    <w:rsid w:val="3E3661D3"/>
    <w:rsid w:val="3E6A53A1"/>
    <w:rsid w:val="3F682F61"/>
    <w:rsid w:val="3FA255B3"/>
    <w:rsid w:val="3FD17C46"/>
    <w:rsid w:val="40027C7E"/>
    <w:rsid w:val="403461CA"/>
    <w:rsid w:val="4042426E"/>
    <w:rsid w:val="4073714C"/>
    <w:rsid w:val="40881367"/>
    <w:rsid w:val="413A7E5A"/>
    <w:rsid w:val="417B794A"/>
    <w:rsid w:val="41AF3581"/>
    <w:rsid w:val="41C0599B"/>
    <w:rsid w:val="420267DC"/>
    <w:rsid w:val="42A50B42"/>
    <w:rsid w:val="42DE34FB"/>
    <w:rsid w:val="42F33CBF"/>
    <w:rsid w:val="433230F1"/>
    <w:rsid w:val="43635059"/>
    <w:rsid w:val="43996CCD"/>
    <w:rsid w:val="43BC2BF1"/>
    <w:rsid w:val="43C34FE4"/>
    <w:rsid w:val="43CF770F"/>
    <w:rsid w:val="43EF2C32"/>
    <w:rsid w:val="44224F14"/>
    <w:rsid w:val="44291B7E"/>
    <w:rsid w:val="447515BF"/>
    <w:rsid w:val="44EB3DBC"/>
    <w:rsid w:val="44F10000"/>
    <w:rsid w:val="44F20D8A"/>
    <w:rsid w:val="4512417A"/>
    <w:rsid w:val="4529231C"/>
    <w:rsid w:val="4585589D"/>
    <w:rsid w:val="45C2075D"/>
    <w:rsid w:val="45FE1301"/>
    <w:rsid w:val="469A0CDE"/>
    <w:rsid w:val="46F93BF0"/>
    <w:rsid w:val="47083400"/>
    <w:rsid w:val="47D025B3"/>
    <w:rsid w:val="482D17E7"/>
    <w:rsid w:val="488B6EF9"/>
    <w:rsid w:val="48A56742"/>
    <w:rsid w:val="48A72607"/>
    <w:rsid w:val="48BA396D"/>
    <w:rsid w:val="48BF6BE8"/>
    <w:rsid w:val="48FA3658"/>
    <w:rsid w:val="4906181B"/>
    <w:rsid w:val="49086736"/>
    <w:rsid w:val="492815E9"/>
    <w:rsid w:val="49EC7F4C"/>
    <w:rsid w:val="4A2C7A26"/>
    <w:rsid w:val="4A494B09"/>
    <w:rsid w:val="4A496CB9"/>
    <w:rsid w:val="4A9626D0"/>
    <w:rsid w:val="4B4F4210"/>
    <w:rsid w:val="4B6776B0"/>
    <w:rsid w:val="4B7645F1"/>
    <w:rsid w:val="4BAB3E42"/>
    <w:rsid w:val="4BC36FCD"/>
    <w:rsid w:val="4C26756B"/>
    <w:rsid w:val="4C4B33AB"/>
    <w:rsid w:val="4CE81924"/>
    <w:rsid w:val="4CFD56FC"/>
    <w:rsid w:val="4D16313C"/>
    <w:rsid w:val="4D4E602E"/>
    <w:rsid w:val="4D8E0454"/>
    <w:rsid w:val="4E8B2F7D"/>
    <w:rsid w:val="4F3E697A"/>
    <w:rsid w:val="4FC34E81"/>
    <w:rsid w:val="4FE70DC0"/>
    <w:rsid w:val="502E071A"/>
    <w:rsid w:val="50BC746A"/>
    <w:rsid w:val="50CE66EB"/>
    <w:rsid w:val="50D21A70"/>
    <w:rsid w:val="50D87A2D"/>
    <w:rsid w:val="51045ED3"/>
    <w:rsid w:val="511B6F73"/>
    <w:rsid w:val="51FD2DC4"/>
    <w:rsid w:val="523D7E25"/>
    <w:rsid w:val="528A0579"/>
    <w:rsid w:val="5294522F"/>
    <w:rsid w:val="52B633F7"/>
    <w:rsid w:val="532011D7"/>
    <w:rsid w:val="5322283B"/>
    <w:rsid w:val="534A7FE3"/>
    <w:rsid w:val="534C5B09"/>
    <w:rsid w:val="53647CEC"/>
    <w:rsid w:val="536B7620"/>
    <w:rsid w:val="53C74089"/>
    <w:rsid w:val="53E05BD1"/>
    <w:rsid w:val="53E20D50"/>
    <w:rsid w:val="54035150"/>
    <w:rsid w:val="545544ED"/>
    <w:rsid w:val="545E3D46"/>
    <w:rsid w:val="547938A0"/>
    <w:rsid w:val="5483531A"/>
    <w:rsid w:val="549E7DA2"/>
    <w:rsid w:val="54A0435F"/>
    <w:rsid w:val="54E67946"/>
    <w:rsid w:val="55A1236E"/>
    <w:rsid w:val="55CA5266"/>
    <w:rsid w:val="55F97648"/>
    <w:rsid w:val="5632548A"/>
    <w:rsid w:val="56603F36"/>
    <w:rsid w:val="56BB5ABC"/>
    <w:rsid w:val="57186D99"/>
    <w:rsid w:val="573B5393"/>
    <w:rsid w:val="57645BC6"/>
    <w:rsid w:val="5768605A"/>
    <w:rsid w:val="577052FD"/>
    <w:rsid w:val="57D55826"/>
    <w:rsid w:val="582B03E3"/>
    <w:rsid w:val="582E11A1"/>
    <w:rsid w:val="5844123A"/>
    <w:rsid w:val="588B7AE0"/>
    <w:rsid w:val="58AA7CB9"/>
    <w:rsid w:val="595905EB"/>
    <w:rsid w:val="59C4508E"/>
    <w:rsid w:val="59DE1485"/>
    <w:rsid w:val="5A1A03D8"/>
    <w:rsid w:val="5A202C97"/>
    <w:rsid w:val="5A6A70E7"/>
    <w:rsid w:val="5A7616BE"/>
    <w:rsid w:val="5AC661A1"/>
    <w:rsid w:val="5AFC2727"/>
    <w:rsid w:val="5C260841"/>
    <w:rsid w:val="5C2B7226"/>
    <w:rsid w:val="5C2C60D6"/>
    <w:rsid w:val="5CB14268"/>
    <w:rsid w:val="5CEC6C64"/>
    <w:rsid w:val="5D01659C"/>
    <w:rsid w:val="5D6D16BF"/>
    <w:rsid w:val="5E0F4A0D"/>
    <w:rsid w:val="5E3359ED"/>
    <w:rsid w:val="5E4E500F"/>
    <w:rsid w:val="5E556D0B"/>
    <w:rsid w:val="5EFB574F"/>
    <w:rsid w:val="5EFE2E50"/>
    <w:rsid w:val="5F104897"/>
    <w:rsid w:val="5F2273CD"/>
    <w:rsid w:val="5F4B517B"/>
    <w:rsid w:val="5F797E13"/>
    <w:rsid w:val="5F9A7BFD"/>
    <w:rsid w:val="5FB032EC"/>
    <w:rsid w:val="60C03693"/>
    <w:rsid w:val="60C06560"/>
    <w:rsid w:val="60DE03F7"/>
    <w:rsid w:val="611C5F5F"/>
    <w:rsid w:val="613926CF"/>
    <w:rsid w:val="61410CB2"/>
    <w:rsid w:val="61B9391A"/>
    <w:rsid w:val="61D05DE7"/>
    <w:rsid w:val="61DA2AF1"/>
    <w:rsid w:val="61F10562"/>
    <w:rsid w:val="61FF070D"/>
    <w:rsid w:val="620011D7"/>
    <w:rsid w:val="621B5C4E"/>
    <w:rsid w:val="62243931"/>
    <w:rsid w:val="62326A29"/>
    <w:rsid w:val="62A274F4"/>
    <w:rsid w:val="62AF29E4"/>
    <w:rsid w:val="62B24547"/>
    <w:rsid w:val="62EF7FF6"/>
    <w:rsid w:val="630272DB"/>
    <w:rsid w:val="63AB76CB"/>
    <w:rsid w:val="63DF3D2E"/>
    <w:rsid w:val="63EB5302"/>
    <w:rsid w:val="6422701F"/>
    <w:rsid w:val="642440DA"/>
    <w:rsid w:val="642B3519"/>
    <w:rsid w:val="644E0E8F"/>
    <w:rsid w:val="64526CF8"/>
    <w:rsid w:val="64771F61"/>
    <w:rsid w:val="64A47AAA"/>
    <w:rsid w:val="64D75E82"/>
    <w:rsid w:val="64EC73DB"/>
    <w:rsid w:val="651C2E49"/>
    <w:rsid w:val="65733E15"/>
    <w:rsid w:val="65935FD1"/>
    <w:rsid w:val="659B647C"/>
    <w:rsid w:val="65ED4F2A"/>
    <w:rsid w:val="66076369"/>
    <w:rsid w:val="663A5D35"/>
    <w:rsid w:val="66852B41"/>
    <w:rsid w:val="66990C0E"/>
    <w:rsid w:val="66CB4B3F"/>
    <w:rsid w:val="67180834"/>
    <w:rsid w:val="6774602C"/>
    <w:rsid w:val="677D7439"/>
    <w:rsid w:val="67DA14DE"/>
    <w:rsid w:val="67F876A9"/>
    <w:rsid w:val="683235AB"/>
    <w:rsid w:val="68550B65"/>
    <w:rsid w:val="68CB0E27"/>
    <w:rsid w:val="6916585A"/>
    <w:rsid w:val="691A431E"/>
    <w:rsid w:val="6A2152D6"/>
    <w:rsid w:val="6A7F3C95"/>
    <w:rsid w:val="6B1E73CA"/>
    <w:rsid w:val="6B1F27FC"/>
    <w:rsid w:val="6B9D14F7"/>
    <w:rsid w:val="6BA85985"/>
    <w:rsid w:val="6BB96D77"/>
    <w:rsid w:val="6BE6550E"/>
    <w:rsid w:val="6C376EFF"/>
    <w:rsid w:val="6C4406FE"/>
    <w:rsid w:val="6C5C664E"/>
    <w:rsid w:val="6C8251EB"/>
    <w:rsid w:val="6C9205D9"/>
    <w:rsid w:val="6CBC11B2"/>
    <w:rsid w:val="6CE942A8"/>
    <w:rsid w:val="6D13119B"/>
    <w:rsid w:val="6DAF78CF"/>
    <w:rsid w:val="6DB871A6"/>
    <w:rsid w:val="6DD07B21"/>
    <w:rsid w:val="6DE06A16"/>
    <w:rsid w:val="6EA01A95"/>
    <w:rsid w:val="6EE12DF7"/>
    <w:rsid w:val="6F3516FC"/>
    <w:rsid w:val="6F6224EC"/>
    <w:rsid w:val="6FFA31F5"/>
    <w:rsid w:val="705604C3"/>
    <w:rsid w:val="707352C8"/>
    <w:rsid w:val="710F37FE"/>
    <w:rsid w:val="71964AD0"/>
    <w:rsid w:val="71D90A58"/>
    <w:rsid w:val="71E36211"/>
    <w:rsid w:val="71E52D31"/>
    <w:rsid w:val="72155D12"/>
    <w:rsid w:val="72231CD3"/>
    <w:rsid w:val="72A11576"/>
    <w:rsid w:val="72E16B1A"/>
    <w:rsid w:val="730809B3"/>
    <w:rsid w:val="73334AB7"/>
    <w:rsid w:val="73830C7C"/>
    <w:rsid w:val="74031DBD"/>
    <w:rsid w:val="741F62AC"/>
    <w:rsid w:val="747A406B"/>
    <w:rsid w:val="74EA47CA"/>
    <w:rsid w:val="74F33BDF"/>
    <w:rsid w:val="7507318D"/>
    <w:rsid w:val="75162830"/>
    <w:rsid w:val="758807CB"/>
    <w:rsid w:val="75AB60A8"/>
    <w:rsid w:val="76C016AE"/>
    <w:rsid w:val="76D47D13"/>
    <w:rsid w:val="7717608E"/>
    <w:rsid w:val="77702CAE"/>
    <w:rsid w:val="77AC36AA"/>
    <w:rsid w:val="77E77FA4"/>
    <w:rsid w:val="77E81B80"/>
    <w:rsid w:val="78686692"/>
    <w:rsid w:val="788D5C3A"/>
    <w:rsid w:val="790E0E19"/>
    <w:rsid w:val="79DC3B51"/>
    <w:rsid w:val="7A285A17"/>
    <w:rsid w:val="7B0F10E1"/>
    <w:rsid w:val="7B4B2B46"/>
    <w:rsid w:val="7B6D484F"/>
    <w:rsid w:val="7B7303D9"/>
    <w:rsid w:val="7B8B072D"/>
    <w:rsid w:val="7B91722C"/>
    <w:rsid w:val="7BB857F2"/>
    <w:rsid w:val="7C210D35"/>
    <w:rsid w:val="7C482A62"/>
    <w:rsid w:val="7C5727BC"/>
    <w:rsid w:val="7C5A65BF"/>
    <w:rsid w:val="7CD6678C"/>
    <w:rsid w:val="7CDE48B9"/>
    <w:rsid w:val="7D065DAE"/>
    <w:rsid w:val="7D164B51"/>
    <w:rsid w:val="7D1F3671"/>
    <w:rsid w:val="7D8472DF"/>
    <w:rsid w:val="7D8E0949"/>
    <w:rsid w:val="7D913775"/>
    <w:rsid w:val="7D9D0DFB"/>
    <w:rsid w:val="7DF62902"/>
    <w:rsid w:val="7E7318ED"/>
    <w:rsid w:val="7E8D4DC5"/>
    <w:rsid w:val="7E8F323B"/>
    <w:rsid w:val="7EE56A07"/>
    <w:rsid w:val="7F291EE7"/>
    <w:rsid w:val="7F3F4423"/>
    <w:rsid w:val="7F422A3A"/>
    <w:rsid w:val="7F6106E9"/>
    <w:rsid w:val="7F85746A"/>
    <w:rsid w:val="7FCA15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qFormat="1" w:unhideWhenUsed="0" w:uiPriority="0" w:semiHidden="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5"/>
    <w:qFormat/>
    <w:uiPriority w:val="0"/>
    <w:pPr>
      <w:keepNext/>
      <w:outlineLvl w:val="0"/>
    </w:pPr>
    <w:rPr>
      <w:rFonts w:ascii="楷体_GB2312" w:eastAsia="楷体_GB2312"/>
      <w:sz w:val="28"/>
      <w:szCs w:val="20"/>
    </w:rPr>
  </w:style>
  <w:style w:type="paragraph" w:styleId="3">
    <w:name w:val="heading 2"/>
    <w:basedOn w:val="1"/>
    <w:next w:val="1"/>
    <w:link w:val="76"/>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outlineLvl w:val="4"/>
    </w:pPr>
    <w:rPr>
      <w:rFonts w:ascii="宋体" w:hAnsi="宋体"/>
      <w:b/>
      <w:bCs/>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semiHidden/>
    <w:qFormat/>
    <w:uiPriority w:val="0"/>
    <w:pPr>
      <w:ind w:left="2520" w:leftChars="1200"/>
    </w:pPr>
  </w:style>
  <w:style w:type="paragraph" w:styleId="8">
    <w:name w:val="Normal Indent"/>
    <w:basedOn w:val="1"/>
    <w:link w:val="77"/>
    <w:qFormat/>
    <w:uiPriority w:val="0"/>
    <w:pPr>
      <w:ind w:firstLine="420"/>
    </w:pPr>
    <w:rPr>
      <w:szCs w:val="20"/>
    </w:rPr>
  </w:style>
  <w:style w:type="paragraph" w:styleId="9">
    <w:name w:val="Document Map"/>
    <w:basedOn w:val="1"/>
    <w:semiHidden/>
    <w:qFormat/>
    <w:uiPriority w:val="0"/>
    <w:pPr>
      <w:shd w:val="clear" w:color="auto" w:fill="000080"/>
    </w:pPr>
  </w:style>
  <w:style w:type="paragraph" w:styleId="10">
    <w:name w:val="toa heading"/>
    <w:basedOn w:val="1"/>
    <w:next w:val="1"/>
    <w:qFormat/>
    <w:uiPriority w:val="0"/>
    <w:pPr>
      <w:spacing w:before="120"/>
    </w:pPr>
    <w:rPr>
      <w:rFonts w:ascii="Arial" w:hAnsi="Arial" w:cs="Arial"/>
      <w:sz w:val="24"/>
    </w:rPr>
  </w:style>
  <w:style w:type="paragraph" w:styleId="11">
    <w:name w:val="annotation text"/>
    <w:basedOn w:val="1"/>
    <w:link w:val="78"/>
    <w:qFormat/>
    <w:uiPriority w:val="99"/>
    <w:pPr>
      <w:jc w:val="left"/>
    </w:pPr>
  </w:style>
  <w:style w:type="paragraph" w:styleId="12">
    <w:name w:val="Body Text 3"/>
    <w:basedOn w:val="1"/>
    <w:qFormat/>
    <w:uiPriority w:val="0"/>
    <w:rPr>
      <w:rFonts w:ascii="仿宋_GB2312" w:hAnsi="Arial" w:eastAsia="仿宋_GB2312"/>
      <w:sz w:val="32"/>
      <w:szCs w:val="20"/>
    </w:rPr>
  </w:style>
  <w:style w:type="paragraph" w:styleId="13">
    <w:name w:val="Body Text"/>
    <w:basedOn w:val="1"/>
    <w:next w:val="14"/>
    <w:link w:val="73"/>
    <w:qFormat/>
    <w:uiPriority w:val="0"/>
    <w:rPr>
      <w:rFonts w:ascii="楷体_GB2312" w:hAnsi="Arial" w:eastAsia="楷体_GB2312"/>
      <w:sz w:val="28"/>
      <w:szCs w:val="20"/>
    </w:rPr>
  </w:style>
  <w:style w:type="paragraph" w:customStyle="1" w:styleId="14">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styleId="15">
    <w:name w:val="Body Text Indent"/>
    <w:basedOn w:val="1"/>
    <w:next w:val="16"/>
    <w:link w:val="79"/>
    <w:qFormat/>
    <w:uiPriority w:val="0"/>
    <w:pPr>
      <w:ind w:firstLine="645"/>
    </w:pPr>
    <w:rPr>
      <w:rFonts w:ascii="楷体_GB2312" w:eastAsia="楷体_GB2312"/>
      <w:sz w:val="32"/>
      <w:szCs w:val="20"/>
    </w:rPr>
  </w:style>
  <w:style w:type="paragraph" w:styleId="16">
    <w:name w:val="envelope return"/>
    <w:basedOn w:val="1"/>
    <w:qFormat/>
    <w:uiPriority w:val="0"/>
    <w:pPr>
      <w:snapToGrid w:val="0"/>
    </w:pPr>
    <w:rPr>
      <w:rFonts w:ascii="Arial" w:hAnsi="Arial"/>
    </w:rPr>
  </w:style>
  <w:style w:type="paragraph" w:styleId="17">
    <w:name w:val="Block Text"/>
    <w:basedOn w:val="1"/>
    <w:unhideWhenUsed/>
    <w:qFormat/>
    <w:uiPriority w:val="99"/>
    <w:pPr>
      <w:spacing w:after="120"/>
      <w:ind w:left="1440" w:leftChars="700" w:right="1440" w:rightChars="700"/>
    </w:pPr>
  </w:style>
  <w:style w:type="paragraph" w:styleId="18">
    <w:name w:val="toc 5"/>
    <w:basedOn w:val="1"/>
    <w:next w:val="1"/>
    <w:semiHidden/>
    <w:qFormat/>
    <w:uiPriority w:val="0"/>
    <w:pPr>
      <w:ind w:left="1680" w:leftChars="800"/>
    </w:pPr>
  </w:style>
  <w:style w:type="paragraph" w:styleId="19">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0">
    <w:name w:val="Plain Text"/>
    <w:basedOn w:val="1"/>
    <w:qFormat/>
    <w:uiPriority w:val="0"/>
    <w:rPr>
      <w:rFonts w:hint="eastAsia" w:ascii="宋体" w:hAnsi="Courier New"/>
      <w:szCs w:val="20"/>
    </w:rPr>
  </w:style>
  <w:style w:type="paragraph" w:styleId="21">
    <w:name w:val="toc 8"/>
    <w:basedOn w:val="1"/>
    <w:next w:val="1"/>
    <w:semiHidden/>
    <w:qFormat/>
    <w:uiPriority w:val="0"/>
    <w:pPr>
      <w:ind w:left="2940" w:leftChars="1400"/>
    </w:pPr>
  </w:style>
  <w:style w:type="paragraph" w:styleId="22">
    <w:name w:val="Date"/>
    <w:basedOn w:val="1"/>
    <w:next w:val="1"/>
    <w:qFormat/>
    <w:uiPriority w:val="0"/>
    <w:rPr>
      <w:sz w:val="24"/>
      <w:szCs w:val="20"/>
    </w:rPr>
  </w:style>
  <w:style w:type="paragraph" w:styleId="23">
    <w:name w:val="Body Text Indent 2"/>
    <w:basedOn w:val="1"/>
    <w:qFormat/>
    <w:uiPriority w:val="0"/>
    <w:pPr>
      <w:ind w:firstLine="560" w:firstLineChars="200"/>
    </w:pPr>
    <w:rPr>
      <w:rFonts w:ascii="宋体" w:hAnsi="宋体"/>
      <w:sz w:val="28"/>
    </w:rPr>
  </w:style>
  <w:style w:type="paragraph" w:styleId="24">
    <w:name w:val="Balloon Text"/>
    <w:basedOn w:val="1"/>
    <w:semiHidden/>
    <w:qFormat/>
    <w:uiPriority w:val="0"/>
    <w:rPr>
      <w:sz w:val="18"/>
      <w:szCs w:val="18"/>
    </w:rPr>
  </w:style>
  <w:style w:type="paragraph" w:styleId="25">
    <w:name w:val="footer"/>
    <w:basedOn w:val="1"/>
    <w:qFormat/>
    <w:uiPriority w:val="0"/>
    <w:pPr>
      <w:tabs>
        <w:tab w:val="center" w:pos="4153"/>
        <w:tab w:val="right" w:pos="8306"/>
      </w:tabs>
      <w:snapToGrid w:val="0"/>
      <w:jc w:val="left"/>
    </w:pPr>
    <w:rPr>
      <w:sz w:val="18"/>
      <w:szCs w:val="20"/>
    </w:rPr>
  </w:style>
  <w:style w:type="paragraph" w:styleId="2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28">
    <w:name w:val="toc 4"/>
    <w:basedOn w:val="1"/>
    <w:next w:val="1"/>
    <w:semiHidden/>
    <w:qFormat/>
    <w:uiPriority w:val="0"/>
    <w:pPr>
      <w:ind w:left="1260" w:leftChars="600"/>
    </w:pPr>
  </w:style>
  <w:style w:type="paragraph" w:styleId="29">
    <w:name w:val="toc 6"/>
    <w:basedOn w:val="1"/>
    <w:next w:val="1"/>
    <w:semiHidden/>
    <w:qFormat/>
    <w:uiPriority w:val="0"/>
    <w:pPr>
      <w:ind w:left="2100" w:leftChars="1000"/>
    </w:pPr>
  </w:style>
  <w:style w:type="paragraph" w:styleId="30">
    <w:name w:val="Body Text Indent 3"/>
    <w:basedOn w:val="1"/>
    <w:qFormat/>
    <w:uiPriority w:val="0"/>
    <w:pPr>
      <w:ind w:firstLine="523"/>
    </w:pPr>
    <w:rPr>
      <w:rFonts w:ascii="仿宋_GB2312" w:hAnsi="宋体" w:eastAsia="仿宋_GB2312"/>
      <w:sz w:val="24"/>
    </w:rPr>
  </w:style>
  <w:style w:type="paragraph" w:styleId="31">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32">
    <w:name w:val="toc 9"/>
    <w:basedOn w:val="1"/>
    <w:next w:val="1"/>
    <w:semiHidden/>
    <w:qFormat/>
    <w:uiPriority w:val="0"/>
    <w:pPr>
      <w:ind w:left="3360" w:leftChars="1600"/>
    </w:pPr>
  </w:style>
  <w:style w:type="paragraph" w:styleId="33">
    <w:name w:val="Body Text 2"/>
    <w:basedOn w:val="1"/>
    <w:qFormat/>
    <w:uiPriority w:val="0"/>
    <w:pPr>
      <w:jc w:val="center"/>
    </w:pPr>
    <w:rPr>
      <w:rFonts w:ascii="仿宋_GB2312" w:eastAsia="仿宋_GB2312"/>
      <w:sz w:val="44"/>
    </w:rPr>
  </w:style>
  <w:style w:type="paragraph" w:styleId="34">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3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6">
    <w:name w:val="index 1"/>
    <w:basedOn w:val="1"/>
    <w:next w:val="1"/>
    <w:semiHidden/>
    <w:qFormat/>
    <w:uiPriority w:val="0"/>
    <w:rPr>
      <w:rFonts w:ascii="宋体" w:hAnsi="宋体"/>
      <w:szCs w:val="18"/>
    </w:rPr>
  </w:style>
  <w:style w:type="paragraph" w:styleId="37">
    <w:name w:val="annotation subject"/>
    <w:basedOn w:val="11"/>
    <w:next w:val="11"/>
    <w:link w:val="81"/>
    <w:qFormat/>
    <w:uiPriority w:val="0"/>
    <w:rPr>
      <w:b/>
      <w:bCs/>
    </w:rPr>
  </w:style>
  <w:style w:type="paragraph" w:styleId="38">
    <w:name w:val="Body Text First Indent"/>
    <w:basedOn w:val="13"/>
    <w:next w:val="29"/>
    <w:link w:val="74"/>
    <w:qFormat/>
    <w:uiPriority w:val="0"/>
    <w:pPr>
      <w:spacing w:after="120"/>
      <w:ind w:firstLine="420" w:firstLineChars="100"/>
    </w:pPr>
    <w:rPr>
      <w:sz w:val="21"/>
      <w:szCs w:val="24"/>
    </w:rPr>
  </w:style>
  <w:style w:type="paragraph" w:styleId="39">
    <w:name w:val="Body Text First Indent 2"/>
    <w:basedOn w:val="15"/>
    <w:next w:val="1"/>
    <w:link w:val="82"/>
    <w:qFormat/>
    <w:uiPriority w:val="0"/>
    <w:pPr>
      <w:spacing w:after="120"/>
      <w:ind w:left="420" w:leftChars="200" w:firstLine="420" w:firstLineChars="200"/>
    </w:pPr>
    <w:rPr>
      <w:sz w:val="21"/>
      <w:szCs w:val="24"/>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qFormat/>
    <w:uiPriority w:val="0"/>
  </w:style>
  <w:style w:type="character" w:styleId="45">
    <w:name w:val="FollowedHyperlink"/>
    <w:qFormat/>
    <w:uiPriority w:val="0"/>
    <w:rPr>
      <w:color w:val="800080"/>
      <w:u w:val="single"/>
    </w:rPr>
  </w:style>
  <w:style w:type="character" w:styleId="46">
    <w:name w:val="Hyperlink"/>
    <w:qFormat/>
    <w:uiPriority w:val="0"/>
    <w:rPr>
      <w:color w:val="0000FF"/>
      <w:u w:val="single"/>
    </w:rPr>
  </w:style>
  <w:style w:type="character" w:styleId="47">
    <w:name w:val="annotation reference"/>
    <w:qFormat/>
    <w:uiPriority w:val="99"/>
    <w:rPr>
      <w:sz w:val="21"/>
      <w:szCs w:val="21"/>
    </w:rPr>
  </w:style>
  <w:style w:type="paragraph" w:customStyle="1" w:styleId="48">
    <w:name w:val="普通正文"/>
    <w:basedOn w:val="1"/>
    <w:link w:val="83"/>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9">
    <w:name w:val="列出段落1"/>
    <w:basedOn w:val="1"/>
    <w:link w:val="84"/>
    <w:qFormat/>
    <w:uiPriority w:val="0"/>
    <w:pPr>
      <w:widowControl/>
      <w:ind w:left="720"/>
      <w:contextualSpacing/>
      <w:jc w:val="left"/>
    </w:pPr>
    <w:rPr>
      <w:kern w:val="0"/>
      <w:sz w:val="24"/>
      <w:lang w:eastAsia="en-US" w:bidi="en-US"/>
    </w:rPr>
  </w:style>
  <w:style w:type="paragraph" w:customStyle="1" w:styleId="50">
    <w:name w:val="标题3"/>
    <w:basedOn w:val="1"/>
    <w:next w:val="1"/>
    <w:qFormat/>
    <w:uiPriority w:val="0"/>
    <w:rPr>
      <w:rFonts w:eastAsia="方正黑体_GBK"/>
    </w:rPr>
  </w:style>
  <w:style w:type="paragraph" w:customStyle="1" w:styleId="51">
    <w:name w:val="附录1"/>
    <w:qFormat/>
    <w:uiPriority w:val="0"/>
    <w:pPr>
      <w:numPr>
        <w:ilvl w:val="0"/>
        <w:numId w:val="1"/>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52">
    <w:name w:val="Char Char Char Char1 Char Char"/>
    <w:basedOn w:val="1"/>
    <w:qFormat/>
    <w:uiPriority w:val="0"/>
    <w:pPr>
      <w:tabs>
        <w:tab w:val="left" w:pos="360"/>
      </w:tabs>
    </w:pPr>
    <w:rPr>
      <w:sz w:val="24"/>
    </w:rPr>
  </w:style>
  <w:style w:type="paragraph" w:customStyle="1" w:styleId="53">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54">
    <w:name w:val="正文 1.1"/>
    <w:basedOn w:val="1"/>
    <w:next w:val="55"/>
    <w:qFormat/>
    <w:uiPriority w:val="0"/>
    <w:pPr>
      <w:numPr>
        <w:ilvl w:val="1"/>
        <w:numId w:val="2"/>
      </w:numPr>
      <w:tabs>
        <w:tab w:val="clear" w:pos="851"/>
      </w:tabs>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55">
    <w:name w:val="正文 1.1.1"/>
    <w:basedOn w:val="1"/>
    <w:next w:val="1"/>
    <w:qFormat/>
    <w:uiPriority w:val="0"/>
    <w:pPr>
      <w:numPr>
        <w:ilvl w:val="2"/>
        <w:numId w:val="2"/>
      </w:numPr>
      <w:adjustRightInd w:val="0"/>
      <w:spacing w:line="360" w:lineRule="auto"/>
      <w:textAlignment w:val="baseline"/>
      <w:outlineLvl w:val="2"/>
    </w:pPr>
    <w:rPr>
      <w:rFonts w:ascii="宋体" w:hAnsi="宋体"/>
      <w:color w:val="000000"/>
      <w:kern w:val="0"/>
      <w:sz w:val="28"/>
      <w:szCs w:val="21"/>
    </w:rPr>
  </w:style>
  <w:style w:type="paragraph" w:customStyle="1" w:styleId="56">
    <w:name w:val="默认段落字体 Para Char Char Char Char Char Char Char Char Char1 Char Char Char Char Char Char Char"/>
    <w:basedOn w:val="9"/>
    <w:qFormat/>
    <w:uiPriority w:val="0"/>
    <w:rPr>
      <w:rFonts w:ascii="Tahoma" w:hAnsi="Tahoma"/>
      <w:sz w:val="24"/>
    </w:rPr>
  </w:style>
  <w:style w:type="paragraph" w:customStyle="1" w:styleId="57">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58">
    <w:name w:val="List Paragraph"/>
    <w:basedOn w:val="1"/>
    <w:qFormat/>
    <w:uiPriority w:val="0"/>
    <w:pPr>
      <w:ind w:firstLine="420" w:firstLineChars="200"/>
    </w:pPr>
    <w:rPr>
      <w:rFonts w:ascii="Calibri" w:hAnsi="Calibri"/>
      <w:szCs w:val="22"/>
    </w:rPr>
  </w:style>
  <w:style w:type="paragraph" w:customStyle="1" w:styleId="59">
    <w:name w:val="xl47"/>
    <w:basedOn w:val="1"/>
    <w:qFormat/>
    <w:uiPriority w:val="0"/>
    <w:pPr>
      <w:widowControl/>
      <w:spacing w:before="100" w:beforeAutospacing="1" w:after="100" w:afterAutospacing="1"/>
      <w:jc w:val="center"/>
    </w:pPr>
    <w:rPr>
      <w:rFonts w:hint="eastAsia" w:ascii="方正姚体" w:hAnsi="宋体" w:eastAsia="方正姚体"/>
      <w:b/>
      <w:bCs/>
      <w:kern w:val="0"/>
      <w:sz w:val="36"/>
      <w:szCs w:val="36"/>
    </w:rPr>
  </w:style>
  <w:style w:type="paragraph" w:customStyle="1" w:styleId="60">
    <w:name w:val="Table Text"/>
    <w:qFormat/>
    <w:uiPriority w:val="0"/>
    <w:pPr>
      <w:snapToGrid w:val="0"/>
      <w:spacing w:before="143" w:beforeLines="50" w:after="80"/>
      <w:jc w:val="center"/>
    </w:pPr>
    <w:rPr>
      <w:rFonts w:ascii="仿宋_GB2312" w:hAnsi="宋体" w:eastAsia="仿宋_GB2312" w:cs="Times New Roman"/>
      <w:sz w:val="24"/>
      <w:lang w:val="en-US" w:eastAsia="zh-CN" w:bidi="ar-SA"/>
    </w:rPr>
  </w:style>
  <w:style w:type="paragraph" w:customStyle="1" w:styleId="6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62">
    <w:name w:val="Coms Alinea"/>
    <w:qFormat/>
    <w:uiPriority w:val="0"/>
    <w:pPr>
      <w:widowControl w:val="0"/>
    </w:pPr>
    <w:rPr>
      <w:rFonts w:ascii="Arial" w:hAnsi="Arial" w:eastAsia="宋体" w:cs="Arial"/>
      <w:lang w:val="en-US" w:eastAsia="zh-CN" w:bidi="ar-SA"/>
    </w:rPr>
  </w:style>
  <w:style w:type="paragraph" w:customStyle="1" w:styleId="63">
    <w:name w:val="Char Char Char Char"/>
    <w:basedOn w:val="9"/>
    <w:qFormat/>
    <w:uiPriority w:val="0"/>
    <w:pPr>
      <w:adjustRightInd w:val="0"/>
      <w:snapToGrid w:val="0"/>
      <w:spacing w:line="360" w:lineRule="auto"/>
    </w:pPr>
    <w:rPr>
      <w:rFonts w:ascii="Tahoma" w:hAnsi="Tahoma"/>
      <w:sz w:val="24"/>
    </w:rPr>
  </w:style>
  <w:style w:type="paragraph" w:customStyle="1" w:styleId="64">
    <w:name w:val="Char"/>
    <w:basedOn w:val="1"/>
    <w:qFormat/>
    <w:uiPriority w:val="0"/>
    <w:pPr>
      <w:tabs>
        <w:tab w:val="left" w:pos="360"/>
      </w:tabs>
    </w:pPr>
    <w:rPr>
      <w:sz w:val="24"/>
    </w:rPr>
  </w:style>
  <w:style w:type="paragraph" w:customStyle="1" w:styleId="65">
    <w:name w:val="正文 第一章"/>
    <w:basedOn w:val="1"/>
    <w:next w:val="54"/>
    <w:qFormat/>
    <w:uiPriority w:val="0"/>
    <w:pPr>
      <w:pageBreakBefore/>
      <w:numPr>
        <w:ilvl w:val="0"/>
        <w:numId w:val="2"/>
      </w:numPr>
      <w:adjustRightInd w:val="0"/>
      <w:spacing w:before="240" w:after="240" w:line="480" w:lineRule="auto"/>
      <w:jc w:val="center"/>
      <w:textAlignment w:val="baseline"/>
      <w:outlineLvl w:val="0"/>
    </w:pPr>
    <w:rPr>
      <w:rFonts w:ascii="黑体" w:hAnsi="宋体" w:eastAsia="黑体"/>
      <w:kern w:val="0"/>
      <w:sz w:val="36"/>
      <w:szCs w:val="21"/>
    </w:rPr>
  </w:style>
  <w:style w:type="paragraph" w:customStyle="1" w:styleId="66">
    <w:name w:val="第四级"/>
    <w:basedOn w:val="1"/>
    <w:next w:val="1"/>
    <w:qFormat/>
    <w:uiPriority w:val="0"/>
    <w:pPr>
      <w:numPr>
        <w:ilvl w:val="3"/>
        <w:numId w:val="2"/>
      </w:numPr>
      <w:adjustRightInd w:val="0"/>
      <w:spacing w:line="360" w:lineRule="auto"/>
      <w:textAlignment w:val="baseline"/>
    </w:pPr>
    <w:rPr>
      <w:rFonts w:ascii="宋体" w:hAnsi="宋体" w:eastAsia="仿宋"/>
      <w:kern w:val="0"/>
      <w:sz w:val="28"/>
      <w:szCs w:val="21"/>
    </w:rPr>
  </w:style>
  <w:style w:type="paragraph" w:customStyle="1" w:styleId="67">
    <w:name w:val="Char Char Char Char1 Char Char Char"/>
    <w:basedOn w:val="9"/>
    <w:qFormat/>
    <w:uiPriority w:val="0"/>
    <w:pPr>
      <w:adjustRightInd w:val="0"/>
      <w:snapToGrid w:val="0"/>
      <w:spacing w:line="360" w:lineRule="auto"/>
    </w:pPr>
    <w:rPr>
      <w:rFonts w:ascii="Tahoma" w:hAnsi="Tahoma"/>
      <w:sz w:val="24"/>
    </w:rPr>
  </w:style>
  <w:style w:type="paragraph" w:customStyle="1" w:styleId="68">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69">
    <w:name w:val="BioQuote Tekst"/>
    <w:basedOn w:val="1"/>
    <w:qFormat/>
    <w:uiPriority w:val="0"/>
    <w:pPr>
      <w:ind w:right="-1"/>
    </w:pPr>
    <w:rPr>
      <w:rFonts w:ascii="Arial" w:hAnsi="Arial"/>
      <w:snapToGrid w:val="0"/>
      <w:kern w:val="0"/>
      <w:sz w:val="22"/>
      <w:szCs w:val="20"/>
      <w:lang w:eastAsia="en-US"/>
    </w:rPr>
  </w:style>
  <w:style w:type="paragraph" w:customStyle="1" w:styleId="70">
    <w:name w:val="_Style 66"/>
    <w:semiHidden/>
    <w:qFormat/>
    <w:uiPriority w:val="99"/>
    <w:rPr>
      <w:rFonts w:ascii="Times New Roman" w:hAnsi="Times New Roman" w:eastAsia="宋体" w:cs="Times New Roman"/>
      <w:kern w:val="2"/>
      <w:sz w:val="21"/>
      <w:szCs w:val="24"/>
      <w:lang w:val="en-US" w:eastAsia="zh-CN" w:bidi="ar-SA"/>
    </w:rPr>
  </w:style>
  <w:style w:type="paragraph" w:customStyle="1" w:styleId="71">
    <w:name w:val="标题2"/>
    <w:basedOn w:val="1"/>
    <w:next w:val="1"/>
    <w:qFormat/>
    <w:uiPriority w:val="0"/>
    <w:pPr>
      <w:jc w:val="center"/>
    </w:pPr>
    <w:rPr>
      <w:rFonts w:eastAsia="方正楷体_GBK"/>
    </w:rPr>
  </w:style>
  <w:style w:type="paragraph" w:customStyle="1" w:styleId="72">
    <w:name w:val="Char1"/>
    <w:basedOn w:val="1"/>
    <w:qFormat/>
    <w:uiPriority w:val="0"/>
    <w:rPr>
      <w:rFonts w:ascii="Tahoma" w:hAnsi="Tahoma"/>
      <w:snapToGrid w:val="0"/>
      <w:sz w:val="24"/>
      <w:szCs w:val="20"/>
    </w:rPr>
  </w:style>
  <w:style w:type="character" w:customStyle="1" w:styleId="73">
    <w:name w:val="正文文本 字符"/>
    <w:link w:val="13"/>
    <w:qFormat/>
    <w:uiPriority w:val="0"/>
    <w:rPr>
      <w:rFonts w:ascii="楷体_GB2312" w:hAnsi="Arial" w:eastAsia="楷体_GB2312"/>
      <w:kern w:val="2"/>
      <w:sz w:val="28"/>
    </w:rPr>
  </w:style>
  <w:style w:type="character" w:customStyle="1" w:styleId="74">
    <w:name w:val="正文文本首行缩进 字符"/>
    <w:link w:val="38"/>
    <w:qFormat/>
    <w:uiPriority w:val="0"/>
    <w:rPr>
      <w:rFonts w:ascii="楷体_GB2312" w:hAnsi="Arial" w:eastAsia="楷体_GB2312"/>
      <w:kern w:val="2"/>
      <w:sz w:val="21"/>
      <w:szCs w:val="24"/>
    </w:rPr>
  </w:style>
  <w:style w:type="character" w:customStyle="1" w:styleId="75">
    <w:name w:val="标题 1 字符"/>
    <w:link w:val="2"/>
    <w:qFormat/>
    <w:uiPriority w:val="0"/>
    <w:rPr>
      <w:rFonts w:ascii="楷体_GB2312" w:eastAsia="楷体_GB2312"/>
      <w:kern w:val="2"/>
      <w:sz w:val="28"/>
      <w:lang w:val="en-US" w:eastAsia="zh-CN" w:bidi="ar-SA"/>
    </w:rPr>
  </w:style>
  <w:style w:type="character" w:customStyle="1" w:styleId="76">
    <w:name w:val="标题 2 字符"/>
    <w:link w:val="3"/>
    <w:qFormat/>
    <w:uiPriority w:val="0"/>
    <w:rPr>
      <w:rFonts w:ascii="Arial" w:hAnsi="Arial" w:eastAsia="幼圆"/>
      <w:b/>
      <w:kern w:val="2"/>
      <w:sz w:val="44"/>
    </w:rPr>
  </w:style>
  <w:style w:type="character" w:customStyle="1" w:styleId="77">
    <w:name w:val="正文缩进 字符"/>
    <w:link w:val="8"/>
    <w:qFormat/>
    <w:uiPriority w:val="0"/>
    <w:rPr>
      <w:rFonts w:eastAsia="宋体"/>
      <w:kern w:val="2"/>
      <w:sz w:val="21"/>
      <w:lang w:val="en-US" w:eastAsia="zh-CN" w:bidi="ar-SA"/>
    </w:rPr>
  </w:style>
  <w:style w:type="character" w:customStyle="1" w:styleId="78">
    <w:name w:val="批注文字 字符"/>
    <w:link w:val="11"/>
    <w:qFormat/>
    <w:uiPriority w:val="99"/>
    <w:rPr>
      <w:kern w:val="2"/>
      <w:sz w:val="21"/>
      <w:szCs w:val="24"/>
    </w:rPr>
  </w:style>
  <w:style w:type="character" w:customStyle="1" w:styleId="79">
    <w:name w:val="正文文本缩进 字符"/>
    <w:link w:val="15"/>
    <w:qFormat/>
    <w:uiPriority w:val="0"/>
    <w:rPr>
      <w:rFonts w:ascii="楷体_GB2312" w:eastAsia="楷体_GB2312"/>
      <w:kern w:val="2"/>
      <w:sz w:val="32"/>
    </w:rPr>
  </w:style>
  <w:style w:type="character" w:customStyle="1" w:styleId="80">
    <w:name w:val="HTML 预设格式 字符"/>
    <w:link w:val="34"/>
    <w:qFormat/>
    <w:uiPriority w:val="0"/>
    <w:rPr>
      <w:rFonts w:ascii="黑体" w:hAnsi="Courier New" w:eastAsia="黑体" w:cs="Courier New"/>
    </w:rPr>
  </w:style>
  <w:style w:type="character" w:customStyle="1" w:styleId="81">
    <w:name w:val="批注主题 字符"/>
    <w:link w:val="37"/>
    <w:qFormat/>
    <w:uiPriority w:val="0"/>
    <w:rPr>
      <w:b/>
      <w:bCs/>
      <w:kern w:val="2"/>
      <w:sz w:val="21"/>
      <w:szCs w:val="24"/>
    </w:rPr>
  </w:style>
  <w:style w:type="character" w:customStyle="1" w:styleId="82">
    <w:name w:val="正文文本首行缩进 2 字符"/>
    <w:link w:val="39"/>
    <w:qFormat/>
    <w:uiPriority w:val="0"/>
    <w:rPr>
      <w:rFonts w:ascii="楷体_GB2312" w:eastAsia="楷体_GB2312"/>
      <w:kern w:val="2"/>
      <w:sz w:val="21"/>
      <w:szCs w:val="24"/>
    </w:rPr>
  </w:style>
  <w:style w:type="character" w:customStyle="1" w:styleId="83">
    <w:name w:val="普通正文 Char"/>
    <w:link w:val="48"/>
    <w:qFormat/>
    <w:uiPriority w:val="0"/>
    <w:rPr>
      <w:rFonts w:ascii="Arial" w:hAnsi="Arial"/>
      <w:sz w:val="24"/>
      <w:szCs w:val="24"/>
    </w:rPr>
  </w:style>
  <w:style w:type="character" w:customStyle="1" w:styleId="84">
    <w:name w:val="列出段落 Char"/>
    <w:link w:val="49"/>
    <w:qFormat/>
    <w:locked/>
    <w:uiPriority w:val="0"/>
    <w:rPr>
      <w:rFonts w:ascii="Calibri" w:hAnsi="Calibri"/>
      <w:sz w:val="24"/>
      <w:szCs w:val="24"/>
      <w:lang w:eastAsia="en-US" w:bidi="en-US"/>
    </w:rPr>
  </w:style>
  <w:style w:type="character" w:customStyle="1" w:styleId="85">
    <w:name w:val="apple-converted-space"/>
    <w:qFormat/>
    <w:uiPriority w:val="0"/>
  </w:style>
  <w:style w:type="character" w:customStyle="1" w:styleId="86">
    <w:name w:val="标题2 Char"/>
    <w:qFormat/>
    <w:uiPriority w:val="0"/>
    <w:rPr>
      <w:rFonts w:ascii="方正楷体_GBK" w:hAnsi="Book Antiqua" w:eastAsia="方正楷体_GBK"/>
      <w:snapToGrid w:val="0"/>
      <w:sz w:val="32"/>
      <w:lang w:val="en-US" w:eastAsia="zh-CN" w:bidi="ar-SA"/>
    </w:rPr>
  </w:style>
  <w:style w:type="character" w:customStyle="1" w:styleId="87">
    <w:name w:val="jj1"/>
    <w:qFormat/>
    <w:uiPriority w:val="0"/>
    <w:rPr>
      <w:sz w:val="20"/>
      <w:szCs w:val="20"/>
      <w:u w:val="none"/>
    </w:rPr>
  </w:style>
  <w:style w:type="paragraph" w:customStyle="1" w:styleId="88">
    <w:name w:val="正文1"/>
    <w:basedOn w:val="1"/>
    <w:qFormat/>
    <w:uiPriority w:val="0"/>
    <w:pPr>
      <w:widowControl/>
      <w:spacing w:line="440" w:lineRule="exact"/>
      <w:ind w:right="-167" w:rightChars="-167"/>
    </w:pPr>
    <w:rPr>
      <w:b/>
    </w:rPr>
  </w:style>
  <w:style w:type="character" w:customStyle="1" w:styleId="89">
    <w:name w:val="NormalCharacter"/>
    <w:qFormat/>
    <w:uiPriority w:val="0"/>
    <w:rPr>
      <w:rFonts w:ascii="Times New Roman" w:hAnsi="Times New Roman" w:eastAsia="宋体" w:cs="Times New Roman"/>
      <w:kern w:val="2"/>
      <w:sz w:val="21"/>
      <w:szCs w:val="24"/>
      <w:lang w:val="en-US" w:eastAsia="zh-CN" w:bidi="ar-SA"/>
    </w:rPr>
  </w:style>
  <w:style w:type="paragraph" w:customStyle="1" w:styleId="90">
    <w:name w:val="首行缩进"/>
    <w:basedOn w:val="1"/>
    <w:qFormat/>
    <w:uiPriority w:val="0"/>
    <w:pPr>
      <w:spacing w:line="360" w:lineRule="auto"/>
      <w:ind w:firstLine="480" w:firstLineChars="200"/>
    </w:pPr>
    <w:rPr>
      <w:rFonts w:ascii="宋体" w:hAnsi="宋体" w:cs="宋体"/>
      <w:kern w:val="0"/>
      <w:sz w:val="24"/>
    </w:rPr>
  </w:style>
  <w:style w:type="paragraph" w:customStyle="1" w:styleId="91">
    <w:name w:val="_Style 7"/>
    <w:basedOn w:val="1"/>
    <w:next w:val="58"/>
    <w:qFormat/>
    <w:uiPriority w:val="34"/>
    <w:pPr>
      <w:ind w:firstLine="420" w:firstLineChars="200"/>
    </w:pPr>
  </w:style>
  <w:style w:type="paragraph" w:customStyle="1" w:styleId="9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93">
    <w:name w:val="正文文本 21"/>
    <w:basedOn w:val="1"/>
    <w:qFormat/>
    <w:uiPriority w:val="0"/>
    <w:pPr>
      <w:widowControl/>
      <w:jc w:val="center"/>
    </w:pPr>
    <w:rPr>
      <w:rFonts w:ascii="楷体_GB2312" w:eastAsia="楷体_GB2312"/>
      <w:sz w:val="28"/>
      <w:szCs w:val="28"/>
    </w:rPr>
  </w:style>
  <w:style w:type="paragraph" w:customStyle="1" w:styleId="94">
    <w:name w:val="列表段落1"/>
    <w:basedOn w:val="1"/>
    <w:qFormat/>
    <w:uiPriority w:val="0"/>
    <w:pPr>
      <w:widowControl/>
      <w:ind w:left="720"/>
      <w:contextualSpacing/>
      <w:jc w:val="left"/>
    </w:pPr>
    <w:rPr>
      <w:rFonts w:ascii="Calibri" w:hAnsi="Calibri"/>
      <w:sz w:val="24"/>
      <w:lang w:eastAsia="en-US" w:bidi="en-US"/>
    </w:rPr>
  </w:style>
  <w:style w:type="character" w:customStyle="1" w:styleId="95">
    <w:name w:val="font11"/>
    <w:basedOn w:val="42"/>
    <w:qFormat/>
    <w:uiPriority w:val="0"/>
    <w:rPr>
      <w:rFonts w:hint="eastAsia" w:ascii="宋体" w:hAnsi="宋体" w:eastAsia="宋体" w:cs="宋体"/>
      <w:color w:val="000000"/>
      <w:sz w:val="16"/>
      <w:szCs w:val="16"/>
      <w:u w:val="none"/>
    </w:rPr>
  </w:style>
  <w:style w:type="paragraph" w:customStyle="1" w:styleId="96">
    <w:name w:val="正文首行缩进1"/>
    <w:basedOn w:val="1"/>
    <w:next w:val="97"/>
    <w:qFormat/>
    <w:uiPriority w:val="99"/>
    <w:pPr>
      <w:spacing w:line="360" w:lineRule="auto"/>
      <w:ind w:firstLine="200"/>
    </w:pPr>
    <w:rPr>
      <w:rFonts w:ascii="仿宋_GB2312" w:eastAsia="仿宋_GB2312"/>
      <w:sz w:val="30"/>
      <w:szCs w:val="30"/>
    </w:rPr>
  </w:style>
  <w:style w:type="paragraph" w:customStyle="1" w:styleId="97">
    <w:name w:val="目录 61"/>
    <w:basedOn w:val="1"/>
    <w:next w:val="1"/>
    <w:semiHidden/>
    <w:qFormat/>
    <w:uiPriority w:val="0"/>
    <w:pPr>
      <w:ind w:left="2100"/>
    </w:pPr>
  </w:style>
  <w:style w:type="paragraph" w:customStyle="1" w:styleId="98">
    <w:name w:val="Footer1"/>
    <w:basedOn w:val="1"/>
    <w:unhideWhenUsed/>
    <w:qFormat/>
    <w:uiPriority w:val="99"/>
    <w:pPr>
      <w:tabs>
        <w:tab w:val="center" w:pos="7143"/>
        <w:tab w:val="right" w:pos="14287"/>
      </w:tabs>
    </w:pPr>
  </w:style>
  <w:style w:type="paragraph" w:customStyle="1" w:styleId="99">
    <w:name w:val="纯文本1"/>
    <w:basedOn w:val="1"/>
    <w:autoRedefine/>
    <w:qFormat/>
    <w:uiPriority w:val="0"/>
    <w:rPr>
      <w:rFonts w:hint="eastAsia" w:ascii="宋体" w:hAnsi="Courier New"/>
      <w:szCs w:val="20"/>
    </w:rPr>
  </w:style>
  <w:style w:type="paragraph" w:customStyle="1" w:styleId="100">
    <w:name w:val="4"/>
    <w:basedOn w:val="1"/>
    <w:next w:val="30"/>
    <w:qFormat/>
    <w:uiPriority w:val="0"/>
    <w:pPr>
      <w:spacing w:line="360" w:lineRule="auto"/>
      <w:ind w:firstLine="420"/>
    </w:pPr>
    <w:rPr>
      <w:rFonts w:ascii="Calibri" w:hAnsi="Calibri"/>
      <w:color w:val="FF0000"/>
      <w:sz w:val="24"/>
    </w:rPr>
  </w:style>
  <w:style w:type="paragraph" w:customStyle="1" w:styleId="101">
    <w:name w:val="Fließtext"/>
    <w:basedOn w:val="1"/>
    <w:qFormat/>
    <w:uiPriority w:val="0"/>
    <w:rPr>
      <w:szCs w:val="20"/>
    </w:rPr>
  </w:style>
  <w:style w:type="paragraph" w:customStyle="1" w:styleId="102">
    <w:name w:val="_Style 2"/>
    <w:basedOn w:val="2"/>
    <w:next w:val="1"/>
    <w:qFormat/>
    <w:uiPriority w:val="0"/>
    <w:pPr>
      <w:keepLines/>
      <w:spacing w:before="340" w:after="330" w:line="578" w:lineRule="auto"/>
      <w:outlineLvl w:val="9"/>
    </w:pPr>
    <w:rPr>
      <w:rFonts w:ascii="Times New Roman" w:eastAsia="宋体"/>
      <w:b/>
      <w:bCs/>
      <w:sz w:val="44"/>
      <w:szCs w:val="44"/>
    </w:rPr>
  </w:style>
  <w:style w:type="paragraph" w:customStyle="1" w:styleId="103">
    <w:name w:val="1"/>
    <w:basedOn w:val="1"/>
    <w:qFormat/>
    <w:uiPriority w:val="0"/>
    <w:pPr>
      <w:spacing w:line="400" w:lineRule="exact"/>
      <w:jc w:val="left"/>
    </w:pPr>
    <w:rPr>
      <w:rFonts w:hint="eastAsia" w:ascii="宋体" w:hAnsi="宋体" w:eastAsia="宋体" w:cs="宋体"/>
      <w:kern w:val="0"/>
      <w:sz w:val="20"/>
      <w:szCs w:val="20"/>
      <w:u w:val="single"/>
    </w:rPr>
  </w:style>
  <w:style w:type="paragraph" w:customStyle="1" w:styleId="104">
    <w:name w:val="列出段落2"/>
    <w:basedOn w:val="1"/>
    <w:qFormat/>
    <w:uiPriority w:val="0"/>
    <w:pPr>
      <w:ind w:firstLine="420"/>
    </w:pPr>
    <w:rPr>
      <w:rFonts w:ascii="Calibri" w:hAnsi="Calibri" w:eastAsia="宋体" w:cs="Times New Roman"/>
      <w:kern w:val="0"/>
      <w:szCs w:val="22"/>
    </w:rPr>
  </w:style>
  <w:style w:type="paragraph" w:customStyle="1" w:styleId="105">
    <w:name w:val="正文首行缩进 21"/>
    <w:basedOn w:val="106"/>
    <w:qFormat/>
    <w:uiPriority w:val="0"/>
    <w:pPr>
      <w:ind w:firstLine="420"/>
    </w:pPr>
  </w:style>
  <w:style w:type="paragraph" w:customStyle="1" w:styleId="106">
    <w:name w:val="正文文本缩进1"/>
    <w:basedOn w:val="1"/>
    <w:qFormat/>
    <w:uiPriority w:val="0"/>
    <w:pPr>
      <w:spacing w:after="120"/>
      <w:ind w:left="420"/>
    </w:pPr>
  </w:style>
  <w:style w:type="paragraph" w:customStyle="1" w:styleId="107">
    <w:name w:val="普通(网站)1"/>
    <w:basedOn w:val="1"/>
    <w:qFormat/>
    <w:uiPriority w:val="99"/>
    <w:pPr>
      <w:widowControl/>
      <w:spacing w:before="100" w:beforeAutospacing="1" w:after="100" w:afterAutospacing="1"/>
    </w:pPr>
    <w:rPr>
      <w:sz w:val="24"/>
    </w:rPr>
  </w:style>
  <w:style w:type="paragraph" w:customStyle="1" w:styleId="108">
    <w:name w:val="列出段落3"/>
    <w:basedOn w:val="1"/>
    <w:qFormat/>
    <w:uiPriority w:val="34"/>
    <w:pPr>
      <w:ind w:firstLine="420"/>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SysCeo.com</Company>
  <Pages>88</Pages>
  <Words>3530</Words>
  <Characters>3851</Characters>
  <Lines>609</Lines>
  <Paragraphs>581</Paragraphs>
  <TotalTime>3</TotalTime>
  <ScaleCrop>false</ScaleCrop>
  <LinksUpToDate>false</LinksUpToDate>
  <CharactersWithSpaces>3967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2025-05-15T03:14:00Z</dcterms:created>
  <dc:creator>cgzx</dc:creator>
  <cp:lastModifiedBy>熊伟</cp:lastModifiedBy>
  <cp:lastPrinted>2026-07-08T07:15:00Z</cp:lastPrinted>
  <dcterms:modified xsi:type="dcterms:W3CDTF">2026-10-12T08:20:37Z</dcterms:modified>
  <dc:title>总  目  录</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A181B63B4C2A47868A9B188607917B06_13</vt:lpwstr>
  </property>
  <property fmtid="{D5CDD505-2E9C-101B-9397-08002B2CF9AE}" pid="4" name="KSOTemplateDocerSaveRecord">
    <vt:lpwstr>eyJoZGlkIjoiMWJkMGVkMTlhYTkwZTc4MWYxOGFkZDg5YjM5NzYyODAiLCJ1c2VySWQiOiIxNDYyMzk2OTEzIn0=</vt:lpwstr>
  </property>
</Properties>
</file>