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spacing w:before="120" w:beforeAutospacing="0" w:after="12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spacing w:before="120" w:beforeAutospacing="0" w:after="12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center"/>
        <w:spacing w:before="120" w:beforeAutospacing="0" w:after="120" w:afterAutospacing="0" w:line="360" w:lineRule="auto"/>
        <w:rPr>
          <w:rFonts w:hint="eastAsia" w:asciiTheme="majorEastAsia" w:hAnsiTheme="majorEastAsia" w:eastAsiaTheme="majorEastAsia" w:cstheme="majorEastAsia"/>
          <w:b/>
          <w:color w:val="000000"/>
          <w:sz w:val="84"/>
          <w:szCs w:val="84"/>
          <w:highlight w:val="none"/>
        </w:rPr>
      </w:pPr>
      <w:r>
        <w:rPr>
          <w:rFonts w:hint="eastAsia" w:asciiTheme="majorEastAsia" w:hAnsiTheme="majorEastAsia" w:eastAsiaTheme="majorEastAsia" w:cstheme="majorEastAsia"/>
          <w:b/>
          <w:color w:val="000000"/>
          <w:sz w:val="84"/>
          <w:szCs w:val="84"/>
          <w:highlight w:val="none"/>
        </w:rPr>
        <w:t xml:space="preserve">招 标 文 件</w:t>
      </w:r>
      <w:r/>
    </w:p>
    <w:p>
      <w:pPr>
        <w:pStyle w:val="823"/>
        <w:jc w:val="center"/>
        <w:spacing w:before="120" w:beforeAutospacing="0" w:after="120" w:afterAutospacing="0" w:line="360" w:lineRule="auto"/>
        <w:rPr>
          <w:rFonts w:hint="eastAsia" w:asciiTheme="majorEastAsia" w:hAnsiTheme="majorEastAsia" w:eastAsiaTheme="majorEastAsia" w:cstheme="majorEastAsia"/>
          <w:b/>
          <w:color w:val="000000"/>
          <w:sz w:val="84"/>
          <w:szCs w:val="84"/>
          <w:highlight w:val="none"/>
        </w:rPr>
      </w:pPr>
      <w:r>
        <w:rPr>
          <w:rFonts w:hint="eastAsia" w:asciiTheme="majorEastAsia" w:hAnsiTheme="majorEastAsia" w:eastAsiaTheme="majorEastAsia" w:cstheme="majorEastAsia"/>
          <w:b/>
          <w:color w:val="000000"/>
          <w:sz w:val="84"/>
          <w:szCs w:val="84"/>
          <w:highlight w:val="none"/>
        </w:rPr>
      </w:r>
      <w:r/>
    </w:p>
    <w:p>
      <w:pPr>
        <w:pStyle w:val="823"/>
        <w:jc w:val="center"/>
        <w:spacing w:before="120" w:beforeAutospacing="0" w:after="120" w:afterAutospacing="0" w:line="360" w:lineRule="auto"/>
        <w:rPr>
          <w:rFonts w:hint="eastAsia" w:asciiTheme="majorEastAsia" w:hAnsiTheme="majorEastAsia" w:eastAsiaTheme="majorEastAsia" w:cstheme="majorEastAsia"/>
          <w:b/>
          <w:color w:val="000000"/>
          <w:sz w:val="84"/>
          <w:szCs w:val="84"/>
          <w:highlight w:val="none"/>
        </w:rPr>
      </w:pPr>
      <w:r>
        <w:rPr>
          <w:rFonts w:hint="eastAsia" w:asciiTheme="majorEastAsia" w:hAnsiTheme="majorEastAsia" w:eastAsiaTheme="majorEastAsia" w:cstheme="majorEastAsia"/>
          <w:b/>
          <w:color w:val="000000"/>
          <w:sz w:val="84"/>
          <w:szCs w:val="84"/>
          <w:highlight w:val="none"/>
        </w:rPr>
      </w:r>
      <w:r/>
    </w:p>
    <w:p>
      <w:pPr>
        <w:pStyle w:val="823"/>
        <w:spacing w:before="120" w:beforeAutospacing="0" w:after="120" w:afterAutospacing="0" w:line="360" w:lineRule="auto"/>
        <w:rPr>
          <w:rFonts w:hint="eastAsia" w:asciiTheme="majorEastAsia" w:hAnsiTheme="majorEastAsia" w:eastAsiaTheme="majorEastAsia" w:cstheme="majorEastAsia"/>
          <w:b/>
          <w:color w:val="000000"/>
          <w:sz w:val="32"/>
          <w:szCs w:val="32"/>
          <w:highlight w:val="none"/>
          <w:lang w:eastAsia="zh-CN"/>
        </w:rPr>
      </w:pPr>
      <w:r>
        <w:rPr>
          <w:rFonts w:hint="eastAsia" w:asciiTheme="majorEastAsia" w:hAnsiTheme="majorEastAsia" w:eastAsiaTheme="majorEastAsia" w:cstheme="majorEastAsia"/>
          <w:b/>
          <w:color w:val="000000"/>
          <w:sz w:val="32"/>
          <w:szCs w:val="32"/>
          <w:highlight w:val="none"/>
        </w:rPr>
        <w:t xml:space="preserve">项目名称：</w:t>
      </w:r>
      <w:r>
        <w:rPr>
          <w:rFonts w:hint="eastAsia" w:asciiTheme="majorEastAsia" w:hAnsiTheme="majorEastAsia" w:eastAsiaTheme="majorEastAsia" w:cstheme="majorEastAsia"/>
          <w:b/>
          <w:color w:val="000000"/>
          <w:sz w:val="32"/>
          <w:szCs w:val="32"/>
          <w:highlight w:val="none"/>
          <w:lang w:eastAsia="zh-CN"/>
        </w:rPr>
        <w:t xml:space="preserve">滨海县2026年大比例尺地形图更新维护测绘项目</w:t>
      </w:r>
      <w:r/>
    </w:p>
    <w:p>
      <w:pPr>
        <w:pStyle w:val="823"/>
        <w:spacing w:before="120" w:beforeAutospacing="0" w:after="120" w:afterAutospacing="0" w:line="360" w:lineRule="auto"/>
        <w:rPr>
          <w:rFonts w:hint="eastAsia" w:asciiTheme="majorEastAsia" w:hAnsiTheme="majorEastAsia" w:eastAsiaTheme="majorEastAsia" w:cstheme="majorEastAsia"/>
          <w:b/>
          <w:color w:val="000000"/>
          <w:sz w:val="32"/>
          <w:szCs w:val="32"/>
          <w:highlight w:val="none"/>
          <w:lang w:val="en-US" w:eastAsia="zh-CN"/>
        </w:rPr>
      </w:pPr>
      <w:r>
        <w:rPr>
          <w:rFonts w:hint="eastAsia" w:asciiTheme="majorEastAsia" w:hAnsiTheme="majorEastAsia" w:eastAsiaTheme="majorEastAsia" w:cstheme="majorEastAsia"/>
          <w:b/>
          <w:color w:val="000000"/>
          <w:sz w:val="32"/>
          <w:szCs w:val="32"/>
          <w:highlight w:val="none"/>
        </w:rPr>
        <w:t xml:space="preserve"> </w:t>
      </w:r>
      <w:r>
        <w:rPr>
          <w:rFonts w:hint="eastAsia" w:asciiTheme="majorEastAsia" w:hAnsiTheme="majorEastAsia" w:eastAsiaTheme="majorEastAsia" w:cstheme="majorEastAsia"/>
          <w:b/>
          <w:color w:val="000000"/>
          <w:sz w:val="32"/>
          <w:szCs w:val="32"/>
          <w:highlight w:val="none"/>
          <w:lang w:val="en-US" w:eastAsia="zh-CN"/>
        </w:rPr>
        <w:t xml:space="preserve">  项目编号：JSZC-320922-YTGC-G2026-0029</w:t>
      </w:r>
      <w:r/>
    </w:p>
    <w:p>
      <w:pPr>
        <w:pStyle w:val="823"/>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120" w:beforeAutospacing="0" w:after="120" w:afterAutospacing="0" w:line="360" w:lineRule="auto"/>
        <w:rPr>
          <w:rFonts w:hint="eastAsia" w:asciiTheme="majorEastAsia" w:hAnsiTheme="majorEastAsia" w:eastAsiaTheme="majorEastAsia" w:cstheme="majorEastAsia"/>
          <w:b/>
          <w:color w:val="000000"/>
          <w:sz w:val="32"/>
          <w:szCs w:val="32"/>
          <w:highlight w:val="none"/>
          <w:lang w:val="en-US" w:eastAsia="zh-CN"/>
        </w:rPr>
      </w:pPr>
      <w:r>
        <w:rPr>
          <w:rFonts w:hint="eastAsia" w:asciiTheme="majorEastAsia" w:hAnsiTheme="majorEastAsia" w:eastAsiaTheme="majorEastAsia" w:cstheme="majorEastAsia"/>
          <w:b/>
          <w:color w:val="000000"/>
          <w:sz w:val="32"/>
          <w:szCs w:val="32"/>
          <w:highlight w:val="none"/>
          <w:lang w:val="en-US" w:eastAsia="zh-CN"/>
        </w:rPr>
        <w:t xml:space="preserve">滨海县自然资源和规划局</w:t>
      </w:r>
      <w:r/>
    </w:p>
    <w:p>
      <w:pPr>
        <w:pStyle w:val="823"/>
        <w:jc w:val="center"/>
        <w:spacing w:before="120" w:beforeAutospacing="0" w:after="12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2"/>
          <w:szCs w:val="32"/>
          <w:highlight w:val="none"/>
          <w:lang w:val="en-US" w:eastAsia="zh-CN"/>
        </w:rPr>
        <w:t xml:space="preserve">2026</w:t>
      </w:r>
      <w:r>
        <w:rPr>
          <w:rFonts w:hint="eastAsia" w:asciiTheme="majorEastAsia" w:hAnsiTheme="majorEastAsia" w:eastAsiaTheme="majorEastAsia" w:cstheme="majorEastAsia"/>
          <w:b/>
          <w:color w:val="000000"/>
          <w:sz w:val="32"/>
          <w:szCs w:val="32"/>
          <w:highlight w:val="none"/>
        </w:rPr>
        <w:t xml:space="preserve">年</w:t>
      </w:r>
      <w:r>
        <w:rPr>
          <w:rFonts w:hint="eastAsia" w:asciiTheme="majorEastAsia" w:hAnsiTheme="majorEastAsia" w:eastAsiaTheme="majorEastAsia" w:cstheme="majorEastAsia"/>
          <w:b/>
          <w:color w:val="000000"/>
          <w:sz w:val="32"/>
          <w:szCs w:val="32"/>
          <w:highlight w:val="none"/>
          <w:lang w:val="en-US" w:eastAsia="zh-CN"/>
        </w:rPr>
        <w:t xml:space="preserve">10</w:t>
      </w:r>
      <w:r>
        <w:rPr>
          <w:rFonts w:hint="eastAsia" w:asciiTheme="majorEastAsia" w:hAnsiTheme="majorEastAsia" w:eastAsiaTheme="majorEastAsia" w:cstheme="majorEastAsia"/>
          <w:b/>
          <w:color w:val="000000"/>
          <w:sz w:val="32"/>
          <w:szCs w:val="32"/>
          <w:highlight w:val="none"/>
        </w:rPr>
        <w:t xml:space="preserve">月</w:t>
      </w:r>
      <w:r/>
    </w:p>
    <w:p>
      <w:pPr>
        <w:pStyle w:val="823"/>
        <w:spacing w:before="120" w:beforeAutospacing="0" w:after="12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                        </w:t>
      </w:r>
      <w:r/>
    </w:p>
    <w:p>
      <w:pPr>
        <w:pStyle w:val="823"/>
        <w:jc w:val="center"/>
        <w:spacing w:before="120" w:beforeAutospacing="0" w:after="12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line="48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21"/>
          <w:szCs w:val="21"/>
          <w:highlight w:val="none"/>
        </w:rPr>
        <w:br w:type="page" w:clear="all"/>
      </w:r>
      <w:r>
        <w:rPr>
          <w:rFonts w:hint="eastAsia" w:asciiTheme="majorEastAsia" w:hAnsiTheme="majorEastAsia" w:eastAsiaTheme="majorEastAsia" w:cstheme="majorEastAsia"/>
          <w:color w:val="000000"/>
          <w:sz w:val="21"/>
          <w:szCs w:val="21"/>
          <w:highlight w:val="none"/>
        </w:rPr>
        <w:t xml:space="preserve"> </w:t>
      </w:r>
      <w:bookmarkStart w:id="0" w:name="_Toc120614210"/>
      <w:r/>
      <w:bookmarkStart w:id="1" w:name="_Toc20823272"/>
      <w:r/>
      <w:bookmarkStart w:id="2" w:name="_Toc479757206"/>
      <w:r/>
      <w:bookmarkStart w:id="3" w:name="_Toc16938516"/>
      <w:r/>
      <w:bookmarkStart w:id="4" w:name="_Toc523127445"/>
      <w:r/>
      <w:bookmarkStart w:id="5" w:name="_Toc513029200"/>
      <w:r>
        <w:rPr>
          <w:rFonts w:hint="eastAsia" w:asciiTheme="majorEastAsia" w:hAnsiTheme="majorEastAsia" w:eastAsiaTheme="majorEastAsia" w:cstheme="majorEastAsia"/>
          <w:color w:val="000000"/>
          <w:sz w:val="21"/>
          <w:szCs w:val="21"/>
          <w:highlight w:val="none"/>
        </w:rPr>
        <w:t xml:space="preserve"> </w:t>
      </w:r>
      <w:r>
        <w:rPr>
          <w:rFonts w:hint="eastAsia" w:asciiTheme="majorEastAsia" w:hAnsiTheme="majorEastAsia" w:eastAsiaTheme="majorEastAsia" w:cstheme="majorEastAsia"/>
          <w:b/>
          <w:color w:val="000000"/>
          <w:sz w:val="44"/>
          <w:szCs w:val="44"/>
          <w:highlight w:val="none"/>
        </w:rPr>
        <w:t xml:space="preserve">总  目  录</w:t>
      </w:r>
      <w:bookmarkEnd w:id="0"/>
      <w:r/>
      <w:bookmarkEnd w:id="1"/>
      <w:r/>
      <w:bookmarkEnd w:id="2"/>
      <w:r/>
      <w:bookmarkEnd w:id="3"/>
      <w:r/>
      <w:bookmarkEnd w:id="4"/>
      <w:r/>
      <w:bookmarkEnd w:id="5"/>
      <w:r/>
      <w:r/>
    </w:p>
    <w:p>
      <w:pPr>
        <w:pStyle w:val="823"/>
        <w:jc w:val="both"/>
        <w:spacing w:beforeAutospacing="0" w:afterAutospacing="0" w:line="48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第一章  招标公告</w:t>
      </w:r>
      <w:r/>
    </w:p>
    <w:p>
      <w:pPr>
        <w:pStyle w:val="823"/>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第二章  </w:t>
      </w:r>
      <w:r>
        <w:rPr>
          <w:rFonts w:hint="eastAsia" w:asciiTheme="majorEastAsia" w:hAnsiTheme="majorEastAsia" w:eastAsiaTheme="majorEastAsia" w:cstheme="majorEastAsia"/>
          <w:color w:val="000000"/>
          <w:sz w:val="36"/>
          <w:szCs w:val="36"/>
          <w:highlight w:val="none"/>
        </w:rPr>
        <w:t xml:space="preserve">投标人须知 </w:t>
      </w:r>
      <w:r/>
    </w:p>
    <w:p>
      <w:pPr>
        <w:pStyle w:val="823"/>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第三章  </w:t>
      </w:r>
      <w:r>
        <w:rPr>
          <w:rFonts w:hint="eastAsia" w:asciiTheme="majorEastAsia" w:hAnsiTheme="majorEastAsia" w:eastAsiaTheme="majorEastAsia" w:cstheme="majorEastAsia"/>
          <w:color w:val="000000"/>
          <w:sz w:val="36"/>
          <w:szCs w:val="36"/>
          <w:highlight w:val="none"/>
        </w:rPr>
        <w:t xml:space="preserve">合同文本</w:t>
      </w:r>
      <w:r/>
    </w:p>
    <w:p>
      <w:pPr>
        <w:pStyle w:val="823"/>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第四章  </w:t>
      </w:r>
      <w:r>
        <w:rPr>
          <w:rFonts w:hint="eastAsia" w:asciiTheme="majorEastAsia" w:hAnsiTheme="majorEastAsia" w:eastAsiaTheme="majorEastAsia" w:cstheme="majorEastAsia"/>
          <w:color w:val="000000"/>
          <w:sz w:val="36"/>
          <w:szCs w:val="36"/>
          <w:highlight w:val="none"/>
        </w:rPr>
        <w:t xml:space="preserve">采购需求</w:t>
      </w:r>
      <w:r/>
    </w:p>
    <w:p>
      <w:pPr>
        <w:pStyle w:val="823"/>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第五章  </w:t>
      </w:r>
      <w:r>
        <w:rPr>
          <w:rFonts w:hint="eastAsia" w:asciiTheme="majorEastAsia" w:hAnsiTheme="majorEastAsia" w:eastAsiaTheme="majorEastAsia" w:cstheme="majorEastAsia"/>
          <w:color w:val="000000"/>
          <w:sz w:val="36"/>
          <w:szCs w:val="36"/>
          <w:highlight w:val="none"/>
        </w:rPr>
        <w:t xml:space="preserve">评标方法与评标标准</w:t>
      </w:r>
      <w:r/>
    </w:p>
    <w:p>
      <w:pPr>
        <w:pStyle w:val="823"/>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6"/>
          <w:szCs w:val="36"/>
          <w:highlight w:val="none"/>
          <w:lang w:val="en-US" w:eastAsia="zh-CN"/>
        </w:rPr>
        <w:t xml:space="preserve">第六章  </w:t>
      </w:r>
      <w:r>
        <w:rPr>
          <w:rFonts w:hint="eastAsia" w:asciiTheme="majorEastAsia" w:hAnsiTheme="majorEastAsia" w:eastAsiaTheme="majorEastAsia" w:cstheme="majorEastAsia"/>
          <w:color w:val="000000"/>
          <w:sz w:val="36"/>
          <w:szCs w:val="36"/>
          <w:highlight w:val="none"/>
        </w:rPr>
        <w:t xml:space="preserve">投标文件格式</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highlight w:val="none"/>
        </w:rPr>
        <w:t xml:space="preserve"> </w:t>
      </w:r>
      <w:r>
        <w:rPr>
          <w:rFonts w:hint="eastAsia" w:asciiTheme="majorEastAsia" w:hAnsiTheme="majorEastAsia" w:eastAsiaTheme="majorEastAsia" w:cstheme="majorEastAsia"/>
          <w:highlight w:val="none"/>
          <w:lang w:val="en-US" w:eastAsia="zh-CN"/>
        </w:rPr>
        <w:t xml:space="preserve">       </w:t>
      </w:r>
      <w:r>
        <w:rPr>
          <w:rFonts w:hint="eastAsia" w:asciiTheme="majorEastAsia" w:hAnsiTheme="majorEastAsia" w:eastAsiaTheme="majorEastAsia" w:cstheme="majorEastAsia"/>
          <w:sz w:val="28"/>
          <w:szCs w:val="28"/>
          <w:highlight w:val="none"/>
          <w:lang w:val="en-US" w:eastAsia="zh-CN"/>
        </w:rPr>
        <w:t xml:space="preserve">     </w:t>
      </w:r>
      <w:r>
        <w:rPr>
          <w:rFonts w:hint="eastAsia" w:asciiTheme="majorEastAsia" w:hAnsiTheme="majorEastAsia" w:eastAsiaTheme="majorEastAsia" w:cstheme="majorEastAsia"/>
          <w:b/>
          <w:bCs/>
          <w:sz w:val="28"/>
          <w:szCs w:val="28"/>
          <w:highlight w:val="none"/>
          <w:lang w:val="en-US" w:eastAsia="zh-CN"/>
        </w:rPr>
        <w:t xml:space="preserve">      </w:t>
      </w:r>
      <w:r>
        <w:rPr>
          <w:rFonts w:hint="eastAsia" w:asciiTheme="majorEastAsia" w:hAnsiTheme="majorEastAsia" w:eastAsiaTheme="majorEastAsia" w:cstheme="majorEastAsia"/>
          <w:b/>
          <w:bCs/>
          <w:color w:val="000000"/>
          <w:sz w:val="48"/>
          <w:szCs w:val="48"/>
          <w:highlight w:val="none"/>
        </w:rPr>
        <w:t xml:space="preserve">第一章 </w:t>
      </w:r>
      <w:r>
        <w:rPr>
          <w:rFonts w:hint="eastAsia" w:asciiTheme="majorEastAsia" w:hAnsiTheme="majorEastAsia" w:eastAsiaTheme="majorEastAsia" w:cstheme="majorEastAsia"/>
          <w:b/>
          <w:bCs/>
          <w:color w:val="000000"/>
          <w:sz w:val="48"/>
          <w:szCs w:val="48"/>
          <w:highlight w:val="none"/>
          <w:lang w:val="en-US" w:eastAsia="zh-CN"/>
        </w:rPr>
        <w:t xml:space="preserve">招标公告</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ajorEastAsia" w:hAnsiTheme="majorEastAsia" w:eastAsiaTheme="majorEastAsia" w:cstheme="majorEastAsia"/>
          <w:color w:val="000000"/>
          <w:sz w:val="24"/>
          <w:szCs w:val="24"/>
          <w:highlight w:val="none"/>
        </w:rPr>
        <w:t xml:space="preserve">项目概况</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ajorEastAsia" w:hAnsiTheme="majorEastAsia" w:eastAsiaTheme="majorEastAsia" w:cstheme="majorEastAsia"/>
          <w:color w:val="000000"/>
          <w:sz w:val="24"/>
          <w:szCs w:val="24"/>
          <w:highlight w:val="none"/>
          <w:u w:val="single"/>
          <w:lang w:eastAsia="zh-CN"/>
        </w:rPr>
        <w:t xml:space="preserve">滨海县2026年大比例尺地形图更新维护测绘项目</w:t>
      </w:r>
      <w:r>
        <w:rPr>
          <w:rFonts w:hint="eastAsia" w:asciiTheme="majorEastAsia" w:hAnsiTheme="majorEastAsia" w:eastAsiaTheme="majorEastAsia" w:cstheme="majorEastAsia"/>
          <w:color w:val="000000"/>
          <w:sz w:val="24"/>
          <w:szCs w:val="24"/>
          <w:highlight w:val="none"/>
        </w:rPr>
        <w:t xml:space="preserve">招标项目的潜在投标人可在“苏采云”系统内免费下载（投标人必须在苏采云系统中获取采购文件，方能参与政府采购项目），并于</w:t>
      </w:r>
      <w:r>
        <w:rPr>
          <w:rFonts w:hint="eastAsia" w:asciiTheme="majorEastAsia" w:hAnsiTheme="majorEastAsia" w:eastAsiaTheme="majorEastAsia" w:cstheme="majorEastAsia"/>
          <w:color w:val="auto"/>
          <w:sz w:val="24"/>
          <w:szCs w:val="24"/>
          <w:highlight w:val="none"/>
          <w:u w:val="single"/>
          <w:lang w:val="en-US" w:eastAsia="zh-CN"/>
        </w:rPr>
        <w:t xml:space="preserve">2026</w:t>
      </w:r>
      <w:r>
        <w:rPr>
          <w:rFonts w:hint="eastAsia" w:asciiTheme="majorEastAsia" w:hAnsiTheme="majorEastAsia" w:eastAsiaTheme="majorEastAsia" w:cstheme="majorEastAsia"/>
          <w:color w:val="auto"/>
          <w:sz w:val="24"/>
          <w:szCs w:val="24"/>
          <w:highlight w:val="none"/>
          <w:u w:val="single"/>
        </w:rPr>
        <w:t xml:space="preserve">年</w:t>
      </w:r>
      <w:r>
        <w:rPr>
          <w:rFonts w:hint="eastAsia" w:asciiTheme="majorEastAsia" w:hAnsiTheme="majorEastAsia" w:eastAsiaTheme="majorEastAsia" w:cstheme="majorEastAsia"/>
          <w:color w:val="auto"/>
          <w:sz w:val="24"/>
          <w:szCs w:val="24"/>
          <w:highlight w:val="none"/>
          <w:u w:val="single"/>
          <w:lang w:val="en-US" w:eastAsia="zh-CN"/>
        </w:rPr>
        <w:t xml:space="preserve">11</w:t>
      </w:r>
      <w:r>
        <w:rPr>
          <w:rFonts w:hint="eastAsia" w:asciiTheme="majorEastAsia" w:hAnsiTheme="majorEastAsia" w:eastAsiaTheme="majorEastAsia" w:cstheme="majorEastAsia"/>
          <w:color w:val="auto"/>
          <w:sz w:val="24"/>
          <w:szCs w:val="24"/>
          <w:highlight w:val="none"/>
          <w:u w:val="single"/>
        </w:rPr>
        <w:t xml:space="preserve">月</w:t>
      </w:r>
      <w:r>
        <w:rPr>
          <w:rFonts w:hint="eastAsia" w:asciiTheme="majorEastAsia" w:hAnsiTheme="majorEastAsia" w:eastAsiaTheme="majorEastAsia" w:cstheme="majorEastAsia"/>
          <w:color w:val="auto"/>
          <w:sz w:val="24"/>
          <w:szCs w:val="24"/>
          <w:highlight w:val="none"/>
          <w:u w:val="single"/>
          <w:lang w:val="en-US" w:eastAsia="zh-CN"/>
        </w:rPr>
        <w:t xml:space="preserve">12</w:t>
      </w:r>
      <w:r>
        <w:rPr>
          <w:rFonts w:hint="eastAsia" w:asciiTheme="majorEastAsia" w:hAnsiTheme="majorEastAsia" w:eastAsiaTheme="majorEastAsia" w:cstheme="majorEastAsia"/>
          <w:color w:val="auto"/>
          <w:sz w:val="24"/>
          <w:szCs w:val="24"/>
          <w:highlight w:val="none"/>
          <w:u w:val="single"/>
        </w:rPr>
        <w:t xml:space="preserve">日</w:t>
      </w:r>
      <w:r>
        <w:rPr>
          <w:rFonts w:hint="eastAsia" w:asciiTheme="majorEastAsia" w:hAnsiTheme="majorEastAsia" w:eastAsiaTheme="majorEastAsia" w:cstheme="majorEastAsia"/>
          <w:color w:val="auto"/>
          <w:sz w:val="24"/>
          <w:szCs w:val="24"/>
          <w:highlight w:val="none"/>
          <w:u w:val="single"/>
          <w:lang w:val="en-US" w:eastAsia="zh-CN"/>
        </w:rPr>
        <w:t xml:space="preserve">09</w:t>
      </w:r>
      <w:r>
        <w:rPr>
          <w:rFonts w:hint="eastAsia" w:asciiTheme="majorEastAsia" w:hAnsiTheme="majorEastAsia" w:eastAsiaTheme="majorEastAsia" w:cstheme="majorEastAsia"/>
          <w:color w:val="auto"/>
          <w:sz w:val="24"/>
          <w:szCs w:val="24"/>
          <w:highlight w:val="none"/>
          <w:u w:val="single"/>
        </w:rPr>
        <w:t xml:space="preserve">点</w:t>
      </w:r>
      <w:r>
        <w:rPr>
          <w:rFonts w:hint="eastAsia" w:asciiTheme="majorEastAsia" w:hAnsiTheme="majorEastAsia" w:eastAsiaTheme="majorEastAsia" w:cstheme="majorEastAsia"/>
          <w:color w:val="auto"/>
          <w:sz w:val="24"/>
          <w:szCs w:val="24"/>
          <w:highlight w:val="none"/>
          <w:u w:val="single"/>
          <w:lang w:val="en-US" w:eastAsia="zh-CN"/>
        </w:rPr>
        <w:t xml:space="preserve">00</w:t>
      </w:r>
      <w:r>
        <w:rPr>
          <w:rFonts w:hint="eastAsia" w:asciiTheme="majorEastAsia" w:hAnsiTheme="majorEastAsia" w:eastAsiaTheme="majorEastAsia" w:cstheme="majorEastAsia"/>
          <w:color w:val="auto"/>
          <w:sz w:val="24"/>
          <w:szCs w:val="24"/>
          <w:highlight w:val="none"/>
          <w:u w:val="single"/>
        </w:rPr>
        <w:t xml:space="preserve">分</w:t>
      </w:r>
      <w:r>
        <w:rPr>
          <w:rFonts w:hint="eastAsia" w:asciiTheme="majorEastAsia" w:hAnsiTheme="majorEastAsia" w:eastAsiaTheme="majorEastAsia" w:cstheme="majorEastAsia"/>
          <w:color w:val="auto"/>
          <w:sz w:val="24"/>
          <w:szCs w:val="24"/>
          <w:highlight w:val="none"/>
          <w:u w:val="single"/>
          <w:lang w:val="en-US" w:eastAsia="zh-CN"/>
        </w:rPr>
        <w:t xml:space="preserve">00秒</w:t>
      </w:r>
      <w:r>
        <w:rPr>
          <w:rFonts w:hint="eastAsia" w:asciiTheme="majorEastAsia" w:hAnsiTheme="majorEastAsia" w:eastAsiaTheme="majorEastAsia" w:cstheme="majorEastAsia"/>
          <w:color w:val="000000"/>
          <w:sz w:val="24"/>
          <w:szCs w:val="24"/>
          <w:highlight w:val="none"/>
          <w:u w:val="single"/>
        </w:rPr>
        <w:t xml:space="preserve">（</w:t>
      </w:r>
      <w:r>
        <w:rPr>
          <w:rFonts w:hint="eastAsia" w:asciiTheme="majorEastAsia" w:hAnsiTheme="majorEastAsia" w:eastAsiaTheme="majorEastAsia" w:cstheme="majorEastAsia"/>
          <w:color w:val="000000"/>
          <w:sz w:val="24"/>
          <w:szCs w:val="24"/>
          <w:highlight w:val="none"/>
        </w:rPr>
        <w:t xml:space="preserve">北京时间）前递交投标文件。</w:t>
      </w:r>
      <w:r/>
    </w:p>
    <w:p>
      <w:pPr>
        <w:pStyle w:val="823"/>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sz w:val="24"/>
          <w:szCs w:val="24"/>
          <w:highlight w:val="none"/>
        </w:rPr>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asciiTheme="majorEastAsia" w:hAnsiTheme="majorEastAsia" w:eastAsiaTheme="majorEastAsia" w:cstheme="majorEastAsia"/>
          <w:b/>
          <w:color w:val="000000"/>
          <w:sz w:val="24"/>
          <w:szCs w:val="24"/>
          <w:highlight w:val="none"/>
        </w:rPr>
        <w:t xml:space="preserve">一、项目基本情况</w:t>
      </w:r>
      <w:bookmarkEnd w:id="6"/>
      <w:r/>
      <w:bookmarkEnd w:id="7"/>
      <w:r/>
      <w:bookmarkEnd w:id="8"/>
      <w:r/>
      <w:bookmarkEnd w:id="9"/>
      <w:r/>
      <w:bookmarkEnd w:id="10"/>
      <w:r/>
      <w:bookmarkEnd w:id="11"/>
      <w:r/>
      <w:r/>
    </w:p>
    <w:p>
      <w:pPr>
        <w:pStyle w:val="823"/>
        <w:ind w:firstLine="480"/>
        <w:jc w:val="both"/>
        <w:pageBreakBefore w:val="0"/>
        <w:spacing w:beforeAutospacing="0" w:afterAutospacing="0" w:line="360" w:lineRule="auto"/>
        <w:rPr>
          <w:rFonts w:hint="default"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eastAsia="zh-CN"/>
        </w:rPr>
        <w:t xml:space="preserve">1.项目编号：JSZC-320922-YTGC-G2026-0029</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eastAsia="zh-CN"/>
        </w:rPr>
      </w:pPr>
      <w:r>
        <w:rPr>
          <w:rFonts w:hint="eastAsia" w:asciiTheme="majorEastAsia" w:hAnsiTheme="majorEastAsia" w:eastAsiaTheme="majorEastAsia" w:cstheme="majorEastAsia"/>
          <w:color w:val="000000"/>
          <w:sz w:val="24"/>
          <w:szCs w:val="24"/>
          <w:highlight w:val="none"/>
        </w:rPr>
        <w:t xml:space="preserve">2.项目名称：</w:t>
      </w:r>
      <w:r>
        <w:rPr>
          <w:rFonts w:hint="eastAsia" w:asciiTheme="majorEastAsia" w:hAnsiTheme="majorEastAsia" w:eastAsiaTheme="majorEastAsia" w:cstheme="majorEastAsia"/>
          <w:color w:val="000000"/>
          <w:sz w:val="24"/>
          <w:szCs w:val="24"/>
          <w:highlight w:val="none"/>
          <w:lang w:eastAsia="zh-CN"/>
        </w:rPr>
        <w:t xml:space="preserve">滨海县2026年大比例尺地形图更新维护测绘项目</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w:t>
      </w:r>
      <w:r>
        <w:rPr>
          <w:rFonts w:hint="eastAsia" w:asciiTheme="majorEastAsia" w:hAnsiTheme="majorEastAsia" w:eastAsiaTheme="majorEastAsia" w:cstheme="majorEastAsia"/>
          <w:color w:val="000000"/>
          <w:sz w:val="24"/>
          <w:szCs w:val="24"/>
          <w:highlight w:val="none"/>
        </w:rPr>
        <w:t xml:space="preserve">采购方式：</w:t>
      </w:r>
      <w:r>
        <w:rPr>
          <w:rFonts w:hint="eastAsia" w:asciiTheme="majorEastAsia" w:hAnsiTheme="majorEastAsia" w:eastAsiaTheme="majorEastAsia" w:cstheme="majorEastAsia"/>
          <w:color w:val="000000"/>
          <w:sz w:val="24"/>
          <w:szCs w:val="24"/>
          <w:highlight w:val="none"/>
          <w:lang w:val="en-US" w:eastAsia="zh-CN"/>
        </w:rPr>
        <w:t xml:space="preserve">公开招标</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4</w:t>
      </w:r>
      <w:r>
        <w:rPr>
          <w:rFonts w:hint="eastAsia" w:asciiTheme="majorEastAsia" w:hAnsiTheme="majorEastAsia" w:eastAsiaTheme="majorEastAsia" w:cstheme="majorEastAsia"/>
          <w:color w:val="000000"/>
          <w:sz w:val="24"/>
          <w:szCs w:val="24"/>
          <w:highlight w:val="none"/>
        </w:rPr>
        <w:t xml:space="preserve">.预算金额：</w:t>
      </w:r>
      <w:r>
        <w:rPr>
          <w:rFonts w:hint="eastAsia" w:asciiTheme="majorEastAsia" w:hAnsiTheme="majorEastAsia" w:eastAsiaTheme="majorEastAsia" w:cstheme="majorEastAsia"/>
          <w:color w:val="000000"/>
          <w:sz w:val="24"/>
          <w:szCs w:val="24"/>
          <w:highlight w:val="none"/>
          <w:lang w:val="en-US" w:eastAsia="zh-CN"/>
        </w:rPr>
        <w:t xml:space="preserve">100万元（采购包一：70万元；采购包二：30万元）</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5.最高限价：100万元（采购包一：70万元；采购包二：30万元）</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6.采购需求：滨海县2026年大比例尺地形图更新维护测绘项目，详细内容见本招标文件第四章。</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7.每包件合同履行期限：</w:t>
      </w:r>
      <w:bookmarkStart w:id="12" w:name="_Toc35393622"/>
      <w:r/>
      <w:bookmarkStart w:id="13" w:name="_Toc35393791"/>
      <w:r/>
      <w:bookmarkStart w:id="14" w:name="_Toc28359080"/>
      <w:r/>
      <w:bookmarkStart w:id="15" w:name="_Toc28359003"/>
      <w:r/>
      <w:bookmarkStart w:id="16" w:name="_Toc38985264"/>
      <w:r>
        <w:rPr>
          <w:rFonts w:hint="eastAsia" w:asciiTheme="majorEastAsia" w:hAnsiTheme="majorEastAsia" w:eastAsiaTheme="majorEastAsia" w:cstheme="majorEastAsia"/>
          <w:color w:val="000000"/>
          <w:sz w:val="24"/>
          <w:szCs w:val="24"/>
          <w:highlight w:val="none"/>
          <w:lang w:val="en-US" w:eastAsia="zh-CN" w:bidi="ar-SA"/>
        </w:rPr>
        <w:t xml:space="preserve">自签订合同之日起2026年12月30日前完成全部工作。</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8.质量要求：项目全部成果满足甲方的要求，并通过省级测绘产品质量监督检验站的质量检验并取得质量检验报告。</w:t>
      </w:r>
      <w:r/>
    </w:p>
    <w:p>
      <w:pPr>
        <w:ind w:firstLine="480"/>
        <w:spacing w:line="460" w:lineRule="exact"/>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9.包件划分：本项目分为2个包件</w:t>
      </w:r>
      <w:r/>
    </w:p>
    <w:tbl>
      <w:tblPr>
        <w:tblStyle w:val="818"/>
        <w:tblW w:w="8500" w:type="dxa"/>
        <w:jc w:val="center"/>
        <w:tblLayout w:type="fixed"/>
        <w:tblCellMar>
          <w:left w:w="108" w:type="dxa"/>
          <w:top w:w="0" w:type="dxa"/>
          <w:right w:w="108" w:type="dxa"/>
          <w:bottom w:w="0" w:type="dxa"/>
        </w:tblCellMar>
        <w:tblLook w:val="04A0" w:firstRow="1" w:lastRow="0" w:firstColumn="1" w:lastColumn="0" w:noHBand="0" w:noVBand="1"/>
      </w:tblPr>
      <w:tblGrid>
        <w:gridCol w:w="1206"/>
        <w:gridCol w:w="5644"/>
        <w:gridCol w:w="1650"/>
      </w:tblGrid>
      <w:tr>
        <w:trPr>
          <w:jc w:val="center"/>
          <w:trHeight w:val="895"/>
        </w:trPr>
        <w:tc>
          <w:tcPr>
            <w:tcBorders>
              <w:top w:val="single" w:color="auto" w:sz="4" w:space="0"/>
              <w:left w:val="single" w:color="auto" w:sz="4" w:space="0"/>
              <w:bottom w:val="single" w:color="auto" w:sz="4" w:space="0"/>
              <w:right w:val="single" w:color="auto" w:sz="4" w:space="0"/>
            </w:tcBorders>
            <w:tcW w:w="1206" w:type="dxa"/>
            <w:vAlign w:val="center"/>
            <w:textDirection w:val="lrTb"/>
            <w:noWrap/>
          </w:tcPr>
          <w:p>
            <w:pPr>
              <w:jc w:val="center"/>
              <w:keepLines w:val="0"/>
              <w:keepNext w:val="0"/>
              <w:pageBreakBefore w:val="0"/>
              <w:spacing w:line="360" w:lineRule="auto"/>
              <w:widowControl/>
              <w:rPr>
                <w:rFonts w:ascii="宋体" w:hAnsi="宋体" w:cs="宋体"/>
                <w:b/>
                <w:sz w:val="24"/>
              </w:rPr>
            </w:pPr>
            <w:r>
              <w:rPr>
                <w:rFonts w:hint="eastAsia" w:ascii="宋体" w:hAnsi="宋体" w:cs="宋体"/>
                <w:b/>
                <w:sz w:val="24"/>
              </w:rPr>
              <w:t xml:space="preserve">包件</w:t>
            </w:r>
            <w:r/>
          </w:p>
        </w:tc>
        <w:tc>
          <w:tcPr>
            <w:tcBorders>
              <w:top w:val="single" w:color="auto" w:sz="4" w:space="0"/>
              <w:left w:val="single" w:color="auto" w:sz="4" w:space="0"/>
              <w:bottom w:val="single" w:color="auto" w:sz="4" w:space="0"/>
              <w:right w:val="single" w:color="auto" w:sz="4" w:space="0"/>
            </w:tcBorders>
            <w:tcW w:w="5644" w:type="dxa"/>
            <w:vAlign w:val="center"/>
            <w:textDirection w:val="lrTb"/>
            <w:noWrap/>
          </w:tcPr>
          <w:p>
            <w:pPr>
              <w:jc w:val="center"/>
              <w:keepLines w:val="0"/>
              <w:keepNext w:val="0"/>
              <w:pageBreakBefore w:val="0"/>
              <w:spacing w:line="360" w:lineRule="auto"/>
              <w:widowControl/>
              <w:rPr>
                <w:rFonts w:ascii="宋体" w:hAnsi="宋体" w:cs="宋体"/>
                <w:b/>
                <w:sz w:val="24"/>
              </w:rPr>
            </w:pPr>
            <w:r>
              <w:rPr>
                <w:rFonts w:hint="eastAsia" w:ascii="宋体" w:hAnsi="宋体" w:cs="宋体"/>
                <w:b/>
                <w:sz w:val="24"/>
              </w:rPr>
              <w:t xml:space="preserve">实施内容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tcPr>
          <w:p>
            <w:pPr>
              <w:jc w:val="center"/>
              <w:keepLines w:val="0"/>
              <w:keepNext w:val="0"/>
              <w:pageBreakBefore w:val="0"/>
              <w:spacing w:line="360" w:lineRule="auto"/>
              <w:widowControl/>
              <w:rPr>
                <w:rFonts w:ascii="宋体" w:hAnsi="宋体" w:cs="宋体"/>
                <w:b/>
                <w:sz w:val="24"/>
              </w:rPr>
            </w:pPr>
            <w:r>
              <w:rPr>
                <w:rFonts w:hint="eastAsia" w:ascii="宋体" w:hAnsi="宋体" w:cs="宋体"/>
                <w:b/>
                <w:sz w:val="24"/>
              </w:rPr>
              <w:t xml:space="preserve">包件限价</w:t>
            </w:r>
            <w:r/>
          </w:p>
          <w:p>
            <w:pPr>
              <w:jc w:val="center"/>
              <w:keepLines w:val="0"/>
              <w:keepNext w:val="0"/>
              <w:pageBreakBefore w:val="0"/>
              <w:spacing w:line="360" w:lineRule="auto"/>
              <w:widowControl/>
              <w:rPr>
                <w:rFonts w:ascii="宋体" w:hAnsi="宋体" w:cs="宋体"/>
                <w:b/>
                <w:sz w:val="24"/>
              </w:rPr>
            </w:pPr>
            <w:r>
              <w:rPr>
                <w:rFonts w:hint="eastAsia" w:ascii="宋体" w:hAnsi="宋体" w:cs="宋体"/>
                <w:b/>
                <w:sz w:val="24"/>
              </w:rPr>
              <w:t xml:space="preserve">（万元）</w:t>
            </w:r>
            <w:r/>
          </w:p>
        </w:tc>
      </w:tr>
      <w:tr>
        <w:trPr>
          <w:jc w:val="center"/>
          <w:trHeight w:val="1430"/>
        </w:trPr>
        <w:tc>
          <w:tcPr>
            <w:tcBorders>
              <w:top w:val="single" w:color="auto" w:sz="4" w:space="0"/>
              <w:left w:val="single" w:color="auto" w:sz="4" w:space="0"/>
              <w:bottom w:val="single" w:color="auto" w:sz="4" w:space="0"/>
              <w:right w:val="single" w:color="auto" w:sz="4" w:space="0"/>
            </w:tcBorders>
            <w:tcW w:w="1206" w:type="dxa"/>
            <w:vAlign w:val="center"/>
            <w:textDirection w:val="lrTb"/>
            <w:noWrap/>
          </w:tcPr>
          <w:p>
            <w:pPr>
              <w:jc w:val="center"/>
              <w:keepLines w:val="0"/>
              <w:keepNext w:val="0"/>
              <w:pageBreakBefore w:val="0"/>
              <w:spacing w:line="360" w:lineRule="auto"/>
              <w:widowControl/>
              <w:rPr>
                <w:rFonts w:ascii="宋体" w:hAnsi="宋体" w:cs="宋体"/>
                <w:sz w:val="24"/>
                <w:szCs w:val="24"/>
              </w:rPr>
            </w:pPr>
            <w:r>
              <w:rPr>
                <w:rFonts w:hint="eastAsia" w:ascii="宋体" w:hAnsi="宋体" w:cs="宋体"/>
                <w:sz w:val="24"/>
                <w:szCs w:val="24"/>
                <w:lang w:val="en-US" w:eastAsia="zh-CN"/>
              </w:rPr>
              <w:t xml:space="preserve">采购包</w:t>
            </w:r>
            <w:r>
              <w:rPr>
                <w:rFonts w:hint="eastAsia" w:ascii="宋体" w:hAnsi="宋体" w:cs="宋体"/>
                <w:sz w:val="24"/>
                <w:szCs w:val="24"/>
              </w:rPr>
              <w:t xml:space="preserve">一：</w:t>
            </w:r>
            <w:r/>
          </w:p>
        </w:tc>
        <w:tc>
          <w:tcPr>
            <w:tcBorders>
              <w:top w:val="single" w:color="auto" w:sz="4" w:space="0"/>
              <w:left w:val="single" w:color="auto" w:sz="4" w:space="0"/>
              <w:bottom w:val="single" w:color="auto" w:sz="4" w:space="0"/>
              <w:right w:val="single" w:color="auto" w:sz="4" w:space="0"/>
            </w:tcBorders>
            <w:tcW w:w="5644" w:type="dxa"/>
            <w:vAlign w:val="center"/>
            <w:textDirection w:val="lrTb"/>
            <w:noWrap/>
          </w:tcPr>
          <w:p>
            <w:pPr>
              <w:numPr>
                <w:ilvl w:val="0"/>
                <w:numId w:val="1"/>
              </w:numPr>
              <w:jc w:val="left"/>
              <w:keepLines w:val="0"/>
              <w:keepNext w:val="0"/>
              <w:pageBreakBefore w:val="0"/>
              <w:spacing w:line="360" w:lineRule="auto"/>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完成滨海县主城区、镇（区、街道）、</w:t>
            </w:r>
            <w:r>
              <w:rPr>
                <w:rFonts w:hint="eastAsia" w:ascii="宋体" w:hAnsi="宋体" w:eastAsia="宋体" w:cs="宋体"/>
                <w:color w:val="000000"/>
                <w:highlight w:val="none"/>
                <w:lang w:val="en-US" w:eastAsia="zh-CN"/>
              </w:rPr>
              <w:t xml:space="preserve">港城区</w:t>
            </w:r>
            <w:r>
              <w:rPr>
                <w:rFonts w:hint="eastAsia" w:ascii="宋体" w:hAnsi="宋体" w:eastAsia="宋体" w:cs="宋体"/>
                <w:color w:val="000000"/>
                <w:lang w:val="en-US" w:eastAsia="zh-CN"/>
              </w:rPr>
              <w:t xml:space="preserve">等约450平方公里范围内的1:1000大比例尺地形图更新测绘及数据建库。</w:t>
            </w:r>
            <w:r/>
          </w:p>
          <w:p>
            <w:pPr>
              <w:numPr>
                <w:ilvl w:val="0"/>
                <w:numId w:val="1"/>
              </w:numPr>
              <w:jc w:val="left"/>
              <w:keepLines w:val="0"/>
              <w:keepNext w:val="0"/>
              <w:pageBreakBefore w:val="0"/>
              <w:spacing w:line="360" w:lineRule="auto"/>
              <w:widowControl/>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完成</w:t>
            </w:r>
            <w:r>
              <w:rPr>
                <w:rFonts w:hint="default" w:ascii="宋体" w:hAnsi="宋体" w:eastAsia="宋体" w:cs="宋体"/>
                <w:color w:val="000000"/>
                <w:lang w:val="en-US" w:eastAsia="zh-CN"/>
              </w:rPr>
              <w:t xml:space="preserve">滨海县</w:t>
            </w:r>
            <w:r>
              <w:rPr>
                <w:rFonts w:hint="eastAsia" w:ascii="宋体" w:hAnsi="宋体" w:eastAsia="宋体" w:cs="宋体"/>
                <w:color w:val="000000"/>
                <w:lang w:val="en-US" w:eastAsia="zh-CN"/>
              </w:rPr>
              <w:t xml:space="preserve">主城区约56平方公里范围内的</w:t>
            </w:r>
            <w:r>
              <w:rPr>
                <w:rFonts w:hint="default" w:ascii="宋体" w:hAnsi="宋体" w:eastAsia="宋体" w:cs="宋体"/>
                <w:color w:val="000000"/>
                <w:lang w:val="en-US" w:eastAsia="zh-CN"/>
              </w:rPr>
              <w:t xml:space="preserve">基础地理实体成果生产及数据库更新工作</w:t>
            </w:r>
            <w:r>
              <w:rPr>
                <w:rFonts w:hint="eastAsia" w:ascii="宋体" w:hAnsi="宋体" w:eastAsia="宋体" w:cs="宋体"/>
                <w:color w:val="000000"/>
                <w:lang w:val="en-US" w:eastAsia="zh-CN"/>
              </w:rPr>
              <w:t xml:space="preserve">。</w:t>
            </w:r>
            <w:r>
              <w:rPr>
                <w:rFonts w:hint="eastAsia" w:ascii="宋体" w:hAnsi="宋体" w:eastAsia="宋体" w:cs="宋体"/>
                <w:color w:val="000000"/>
                <w:lang w:val="en-US" w:eastAsia="zh-CN"/>
              </w:rPr>
              <w:br/>
            </w:r>
            <w:r>
              <w:rPr>
                <w:rFonts w:hint="eastAsia" w:ascii="宋体" w:hAnsi="宋体" w:eastAsia="宋体" w:cs="宋体"/>
                <w:color w:val="000000"/>
                <w:lang w:val="en-US" w:eastAsia="zh-CN"/>
              </w:rPr>
              <w:t xml:space="preserve">3.对滨海县测量标志点进行实地踏勘核实。</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tcPr>
          <w:p>
            <w:pPr>
              <w:jc w:val="center"/>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70</w:t>
            </w:r>
            <w:r/>
          </w:p>
        </w:tc>
      </w:tr>
      <w:tr>
        <w:trPr>
          <w:jc w:val="center"/>
          <w:trHeight w:val="1170"/>
        </w:trPr>
        <w:tc>
          <w:tcPr>
            <w:tcBorders>
              <w:top w:val="single" w:color="auto" w:sz="4" w:space="0"/>
              <w:left w:val="single" w:color="auto" w:sz="4" w:space="0"/>
              <w:bottom w:val="single" w:color="auto" w:sz="4" w:space="0"/>
              <w:right w:val="single" w:color="auto" w:sz="4" w:space="0"/>
            </w:tcBorders>
            <w:tcW w:w="1206" w:type="dxa"/>
            <w:vAlign w:val="center"/>
            <w:textDirection w:val="lrTb"/>
            <w:noWrap/>
          </w:tcPr>
          <w:p>
            <w:pPr>
              <w:jc w:val="center"/>
              <w:keepLines w:val="0"/>
              <w:keepNext w:val="0"/>
              <w:pageBreakBefore w:val="0"/>
              <w:spacing w:line="360" w:lineRule="auto"/>
              <w:widowControl/>
              <w:rPr>
                <w:rFonts w:ascii="宋体" w:hAnsi="宋体" w:cs="宋体"/>
                <w:sz w:val="24"/>
                <w:szCs w:val="24"/>
              </w:rPr>
            </w:pPr>
            <w:r>
              <w:rPr>
                <w:rFonts w:hint="eastAsia" w:ascii="宋体" w:hAnsi="宋体" w:cs="宋体"/>
                <w:sz w:val="24"/>
                <w:szCs w:val="24"/>
                <w:lang w:val="en-US" w:eastAsia="zh-CN"/>
              </w:rPr>
              <w:t xml:space="preserve">采购包</w:t>
            </w:r>
            <w:r>
              <w:rPr>
                <w:rFonts w:hint="eastAsia" w:ascii="宋体" w:hAnsi="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5644" w:type="dxa"/>
            <w:vAlign w:val="center"/>
            <w:textDirection w:val="lrTb"/>
            <w:noWrap/>
          </w:tcPr>
          <w:p>
            <w:pPr>
              <w:numPr>
                <w:ilvl w:val="0"/>
                <w:numId w:val="2"/>
              </w:numPr>
              <w:jc w:val="left"/>
              <w:keepLines w:val="0"/>
              <w:keepNext w:val="0"/>
              <w:pageBreakBefore w:val="0"/>
              <w:spacing w:line="360" w:lineRule="auto"/>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对滨海县既有的实景三维工作边界范围内约30平方公里建设成果开展更新维护及数据建库，并根据甲方指定范围新增5平方公里开展实景三维建设。</w:t>
            </w:r>
            <w:r/>
          </w:p>
          <w:p>
            <w:pPr>
              <w:numPr>
                <w:ilvl w:val="0"/>
                <w:numId w:val="2"/>
              </w:numPr>
              <w:jc w:val="left"/>
              <w:keepLines w:val="0"/>
              <w:keepNext w:val="0"/>
              <w:pageBreakBefore w:val="0"/>
              <w:spacing w:line="360" w:lineRule="auto"/>
              <w:widowControl/>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对包件一开展</w:t>
            </w:r>
            <w:r>
              <w:rPr>
                <w:rFonts w:hint="eastAsia" w:ascii="宋体" w:hAnsi="宋体" w:cs="宋体"/>
                <w:color w:val="000000"/>
              </w:rPr>
              <w:t xml:space="preserve">成果质量检查、数据汇交及日常管理等工作</w:t>
            </w:r>
            <w:r>
              <w:rPr>
                <w:rFonts w:hint="eastAsia" w:ascii="宋体" w:hAnsi="宋体" w:cs="宋体"/>
                <w:color w:val="000000"/>
                <w:lang w:eastAsia="zh-CN"/>
              </w:rPr>
              <w:t xml:space="preserve">。</w:t>
            </w:r>
            <w:r/>
          </w:p>
        </w:tc>
        <w:tc>
          <w:tcPr>
            <w:tcBorders>
              <w:top w:val="single" w:color="auto" w:sz="4" w:space="0"/>
              <w:left w:val="none" w:color="000000" w:sz="4" w:space="0"/>
              <w:bottom w:val="single" w:color="auto" w:sz="4" w:space="0"/>
              <w:right w:val="single" w:color="auto" w:sz="4" w:space="0"/>
            </w:tcBorders>
            <w:tcW w:w="1650" w:type="dxa"/>
            <w:vAlign w:val="center"/>
            <w:textDirection w:val="lrTb"/>
            <w:noWrap/>
          </w:tcPr>
          <w:p>
            <w:pPr>
              <w:jc w:val="center"/>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30</w:t>
            </w:r>
            <w:r/>
          </w:p>
        </w:tc>
      </w:tr>
    </w:tbl>
    <w:p>
      <w:pPr>
        <w:ind w:firstLine="482"/>
        <w:spacing w:line="460" w:lineRule="exact"/>
        <w:rPr>
          <w:rFonts w:hint="eastAsia" w:asciiTheme="majorEastAsia" w:hAnsiTheme="majorEastAsia" w:eastAsiaTheme="majorEastAsia" w:cstheme="majorEastAsia"/>
          <w:b/>
          <w:bCs/>
          <w:i w:val="0"/>
          <w:iCs w:val="0"/>
          <w:color w:val="000000"/>
          <w:sz w:val="24"/>
          <w:szCs w:val="24"/>
          <w:highlight w:val="none"/>
          <w:u w:val="single"/>
          <w:lang w:val="en-US" w:eastAsia="zh-CN" w:bidi="ar-SA"/>
        </w:rPr>
      </w:pPr>
      <w:r>
        <w:rPr>
          <w:rFonts w:hint="eastAsia" w:asciiTheme="majorEastAsia" w:hAnsiTheme="majorEastAsia" w:eastAsiaTheme="majorEastAsia" w:cstheme="majorEastAsia"/>
          <w:b/>
          <w:bCs/>
          <w:i w:val="0"/>
          <w:iCs w:val="0"/>
          <w:color w:val="000000"/>
          <w:sz w:val="24"/>
          <w:szCs w:val="24"/>
          <w:highlight w:val="none"/>
          <w:u w:val="single"/>
          <w:lang w:val="en-US" w:eastAsia="zh-CN" w:bidi="ar-SA"/>
        </w:rPr>
        <w:t xml:space="preserve">注：本项目分2个包件，同一投标人可同时参加一个或多个包件的投标，但只能中一个包件。本项目采取先评先中原则（从一至二包件的顺序进行评审），投标人若已在先评审包件中被推荐为第一中标候选人，则在之后包件不作为中标候选人推荐。</w:t>
      </w:r>
      <w:r/>
    </w:p>
    <w:p>
      <w:pPr>
        <w:ind w:firstLine="480"/>
        <w:spacing w:line="460" w:lineRule="exact"/>
        <w:rPr>
          <w:rFonts w:hint="default"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10.本项目不接受联合体参与投标。</w:t>
      </w:r>
      <w:r/>
    </w:p>
    <w:p>
      <w:pPr>
        <w:pStyle w:val="823"/>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二、申请人的资格要求：</w:t>
      </w:r>
      <w:bookmarkEnd w:id="12"/>
      <w:r/>
      <w:bookmarkEnd w:id="13"/>
      <w:r/>
      <w:bookmarkEnd w:id="14"/>
      <w:r/>
      <w:bookmarkEnd w:id="15"/>
      <w:r/>
      <w:bookmarkEnd w:id="16"/>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1.满足《中华人民共和国政府采购法》第二十二条规定，并提供下列材料：</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1.1 法人或者其他组织的营业执照等证明文件，自然人的身份证明；</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1.2上一年度的财务状况报</w:t>
      </w:r>
      <w:r>
        <w:rPr>
          <w:rFonts w:hint="eastAsia" w:asciiTheme="majorEastAsia" w:hAnsiTheme="majorEastAsia" w:eastAsiaTheme="majorEastAsia" w:cstheme="majorEastAsia"/>
          <w:color w:val="000000"/>
          <w:sz w:val="24"/>
          <w:szCs w:val="24"/>
          <w:highlight w:val="none"/>
          <w:lang w:val="en-US" w:eastAsia="zh-CN"/>
        </w:rPr>
        <w:t xml:space="preserve">告</w:t>
      </w:r>
      <w:r>
        <w:rPr>
          <w:rFonts w:hint="eastAsia" w:asciiTheme="majorEastAsia" w:hAnsiTheme="majorEastAsia" w:eastAsiaTheme="majorEastAsia" w:cstheme="majorEastAsia"/>
          <w:color w:val="000000"/>
          <w:sz w:val="24"/>
          <w:szCs w:val="24"/>
          <w:highlight w:val="none"/>
        </w:rPr>
        <w:t xml:space="preserve">（</w:t>
      </w:r>
      <w:r>
        <w:rPr>
          <w:rFonts w:hint="eastAsia" w:asciiTheme="majorEastAsia" w:hAnsiTheme="majorEastAsia" w:eastAsiaTheme="majorEastAsia" w:cstheme="majorEastAsia"/>
          <w:color w:val="000000"/>
          <w:sz w:val="24"/>
          <w:szCs w:val="24"/>
          <w:highlight w:val="none"/>
          <w:lang w:val="en-US" w:eastAsia="zh-CN"/>
        </w:rPr>
        <w:t xml:space="preserve">投标人成立不满一年无需提供</w:t>
      </w:r>
      <w:r>
        <w:rPr>
          <w:rFonts w:hint="eastAsia" w:asciiTheme="majorEastAsia" w:hAnsiTheme="majorEastAsia" w:eastAsiaTheme="majorEastAsia" w:cstheme="majorEastAsia"/>
          <w:color w:val="000000"/>
          <w:sz w:val="24"/>
          <w:szCs w:val="24"/>
          <w:highlight w:val="none"/>
        </w:rPr>
        <w:t xml:space="preserve">）；</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1.3</w:t>
      </w:r>
      <w:r>
        <w:rPr>
          <w:rFonts w:hint="eastAsia" w:asciiTheme="majorEastAsia" w:hAnsiTheme="majorEastAsia" w:eastAsiaTheme="majorEastAsia" w:cstheme="majorEastAsia"/>
          <w:color w:val="000000"/>
          <w:sz w:val="24"/>
          <w:szCs w:val="24"/>
          <w:highlight w:val="none"/>
        </w:rPr>
        <w:t xml:space="preserve">具备履行合同所必需的设备和专业技术能力的书面声明；</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1.</w:t>
      </w:r>
      <w:r>
        <w:rPr>
          <w:rFonts w:hint="eastAsia" w:asciiTheme="majorEastAsia" w:hAnsiTheme="majorEastAsia" w:eastAsiaTheme="majorEastAsia" w:cstheme="majorEastAsia"/>
          <w:color w:val="000000"/>
          <w:sz w:val="24"/>
          <w:szCs w:val="24"/>
          <w:highlight w:val="none"/>
          <w:lang w:val="en-US" w:eastAsia="zh-CN"/>
        </w:rPr>
        <w:t xml:space="preserve">4</w:t>
      </w:r>
      <w:r>
        <w:rPr>
          <w:rFonts w:hint="eastAsia" w:asciiTheme="majorEastAsia" w:hAnsiTheme="majorEastAsia" w:eastAsiaTheme="majorEastAsia" w:cstheme="majorEastAsia"/>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.5参加政府采购活动前3年内在经营活动中没有重大违法记录的书面声明。</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1.6法律、行政法规规定的其他条件。</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1.7</w:t>
      </w:r>
      <w:r>
        <w:rPr>
          <w:rFonts w:hint="eastAsia" w:asciiTheme="majorEastAsia" w:hAnsiTheme="majorEastAsia" w:eastAsiaTheme="majorEastAsia" w:cstheme="majorEastAsia"/>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1.8</w:t>
      </w:r>
      <w:r>
        <w:rPr>
          <w:rFonts w:hint="eastAsia" w:asciiTheme="majorEastAsia" w:hAnsiTheme="majorEastAsia" w:eastAsiaTheme="majorEastAsia" w:cstheme="majorEastAsia"/>
          <w:color w:val="000000"/>
          <w:sz w:val="24"/>
          <w:szCs w:val="24"/>
          <w:highlight w:val="none"/>
        </w:rPr>
        <w:t xml:space="preserve">单位负责人为同一人或者存在直接控股、管理关系的不同供应商，不得参加同一合同项下的政府采购活动。</w:t>
      </w:r>
      <w:r/>
    </w:p>
    <w:p>
      <w:pPr>
        <w:pStyle w:val="823"/>
        <w:ind w:firstLine="480"/>
        <w:jc w:val="both"/>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w:t>
      </w:r>
      <w:r>
        <w:rPr>
          <w:rFonts w:hint="eastAsia" w:asciiTheme="majorEastAsia" w:hAnsiTheme="majorEastAsia" w:eastAsiaTheme="majorEastAsia" w:cstheme="majorEastAsia"/>
          <w:color w:val="000000"/>
          <w:sz w:val="24"/>
          <w:szCs w:val="24"/>
          <w:highlight w:val="none"/>
          <w:lang w:val="en-US" w:eastAsia="zh-CN"/>
        </w:rPr>
        <w:t xml:space="preserve">.</w:t>
      </w:r>
      <w:r>
        <w:rPr>
          <w:rFonts w:hint="eastAsia" w:asciiTheme="majorEastAsia" w:hAnsiTheme="majorEastAsia" w:eastAsiaTheme="majorEastAsia" w:cstheme="majorEastAsia"/>
          <w:color w:val="000000"/>
          <w:sz w:val="24"/>
          <w:szCs w:val="24"/>
          <w:highlight w:val="none"/>
        </w:rPr>
        <w:t xml:space="preserve">落实政府采购政策需满足的资格要求：无</w:t>
      </w:r>
      <w:r/>
    </w:p>
    <w:p>
      <w:pPr>
        <w:ind w:firstLine="480"/>
        <w:spacing w:line="540" w:lineRule="exact"/>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rPr>
        <w:t xml:space="preserve">3.</w:t>
      </w:r>
      <w:r>
        <w:rPr>
          <w:rFonts w:hint="eastAsia" w:asciiTheme="majorEastAsia" w:hAnsiTheme="majorEastAsia" w:eastAsiaTheme="majorEastAsia" w:cstheme="majorEastAsia"/>
          <w:color w:val="000000"/>
          <w:sz w:val="24"/>
          <w:szCs w:val="24"/>
          <w:highlight w:val="none"/>
        </w:rPr>
        <w:t xml:space="preserve">本项目的特定资格要求</w:t>
      </w:r>
      <w:r>
        <w:rPr>
          <w:rFonts w:hint="eastAsia" w:asciiTheme="majorEastAsia" w:hAnsiTheme="majorEastAsia" w:eastAsiaTheme="majorEastAsia" w:cstheme="majorEastAsia"/>
          <w:color w:val="000000"/>
          <w:sz w:val="24"/>
          <w:szCs w:val="24"/>
          <w:highlight w:val="none"/>
          <w:lang w:eastAsia="zh-CN"/>
        </w:rPr>
        <w:t xml:space="preserve">：</w:t>
      </w:r>
      <w:r>
        <w:rPr>
          <w:rFonts w:hint="eastAsia" w:asciiTheme="majorEastAsia" w:hAnsiTheme="majorEastAsia" w:eastAsiaTheme="majorEastAsia" w:cstheme="majorEastAsia"/>
          <w:color w:val="000000"/>
          <w:sz w:val="24"/>
          <w:szCs w:val="24"/>
          <w:highlight w:val="none"/>
          <w:lang w:val="en-US" w:eastAsia="zh-CN" w:bidi="ar-SA"/>
        </w:rPr>
        <w:t xml:space="preserve">投标人须具有乙级及以上测绘资质证书，其专业范围须同时包含乙级及以上摄影测量与遥感、地理信息系统工程。</w:t>
      </w:r>
      <w:r/>
    </w:p>
    <w:p>
      <w:pPr>
        <w:ind w:firstLine="480"/>
        <w:spacing w:line="440" w:lineRule="exact"/>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r>
      <w:r/>
    </w:p>
    <w:p>
      <w:pPr>
        <w:pStyle w:val="823"/>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三、获取招标文件</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17" w:name="_Toc28359082"/>
      <w:r/>
      <w:bookmarkStart w:id="18" w:name="_Toc38985266"/>
      <w:r/>
      <w:bookmarkStart w:id="19" w:name="_Toc28359005"/>
      <w:r/>
      <w:bookmarkStart w:id="20" w:name="_Toc35393624"/>
      <w:r/>
      <w:bookmarkStart w:id="21" w:name="_Toc35393793"/>
      <w:r>
        <w:rPr>
          <w:rFonts w:hint="eastAsia" w:asciiTheme="majorEastAsia" w:hAnsiTheme="majorEastAsia" w:eastAsiaTheme="majorEastAsia" w:cstheme="majorEastAsia"/>
          <w:color w:val="000000"/>
          <w:sz w:val="24"/>
          <w:szCs w:val="24"/>
          <w:highlight w:val="none"/>
        </w:rPr>
        <w:t xml:space="preserve">1.时间</w:t>
      </w:r>
      <w:r>
        <w:rPr>
          <w:rFonts w:hint="eastAsia" w:asciiTheme="majorEastAsia" w:hAnsiTheme="majorEastAsia" w:eastAsiaTheme="majorEastAsia" w:cstheme="majorEastAsia"/>
          <w:color w:val="000000"/>
          <w:sz w:val="24"/>
          <w:szCs w:val="24"/>
          <w:highlight w:val="none"/>
          <w:lang w:val="en-US" w:eastAsia="zh-CN" w:bidi="ar-SA"/>
        </w:rPr>
        <w:t xml:space="preserve">：</w:t>
      </w:r>
      <w:bookmarkEnd w:id="17"/>
      <w:r/>
      <w:bookmarkEnd w:id="18"/>
      <w:r/>
      <w:bookmarkEnd w:id="19"/>
      <w:r/>
      <w:bookmarkEnd w:id="20"/>
      <w:r/>
      <w:bookmarkEnd w:id="21"/>
      <w:r>
        <w:rPr>
          <w:rFonts w:hint="eastAsia" w:asciiTheme="majorEastAsia" w:hAnsiTheme="majorEastAsia" w:eastAsiaTheme="majorEastAsia" w:cstheme="majorEastAsia"/>
          <w:color w:val="000000"/>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3.方式：本项目采用网上注册登记方式。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4.售价：0元</w:t>
      </w:r>
      <w:r/>
    </w:p>
    <w:p>
      <w:pPr>
        <w:pStyle w:val="823"/>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四、提交投标文件截止时间、开标时间和地点</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rPr>
        <w:t xml:space="preserve">1.</w:t>
      </w:r>
      <w:r>
        <w:rPr>
          <w:rFonts w:hint="eastAsia" w:asciiTheme="majorEastAsia" w:hAnsiTheme="majorEastAsia" w:eastAsiaTheme="majorEastAsia" w:cstheme="majorEastAsia"/>
          <w:color w:val="000000"/>
          <w:sz w:val="24"/>
          <w:szCs w:val="24"/>
          <w:highlight w:val="none"/>
          <w:lang w:val="en-US" w:eastAsia="zh-CN" w:bidi="ar-SA"/>
        </w:rPr>
        <w:t xml:space="preserve">时间：</w:t>
      </w:r>
      <w:r>
        <w:rPr>
          <w:rFonts w:hint="eastAsia" w:asciiTheme="majorEastAsia" w:hAnsiTheme="majorEastAsia" w:eastAsiaTheme="majorEastAsia" w:cstheme="majorEastAsia"/>
          <w:color w:val="auto"/>
          <w:sz w:val="24"/>
          <w:szCs w:val="24"/>
          <w:highlight w:val="none"/>
          <w:u w:val="single"/>
          <w:lang w:val="en-US" w:eastAsia="zh-CN" w:bidi="ar-SA"/>
        </w:rPr>
        <w:t xml:space="preserve">2026年11月12日09点00分00秒</w:t>
      </w:r>
      <w:r>
        <w:rPr>
          <w:rFonts w:hint="eastAsia" w:asciiTheme="majorEastAsia" w:hAnsiTheme="majorEastAsia" w:eastAsiaTheme="majorEastAsia" w:cstheme="majorEastAsia"/>
          <w:color w:val="000000"/>
          <w:sz w:val="24"/>
          <w:szCs w:val="24"/>
          <w:highlight w:val="none"/>
          <w:lang w:val="en-US" w:eastAsia="zh-CN" w:bidi="ar-SA"/>
        </w:rPr>
        <w:t xml:space="preserve">（北京时间）</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2.地点：苏采云“不见面”开标大厅 。</w:t>
      </w:r>
      <w:r/>
    </w:p>
    <w:p>
      <w:pPr>
        <w:pStyle w:val="823"/>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sz w:val="24"/>
          <w:szCs w:val="24"/>
          <w:highlight w:val="none"/>
        </w:rPr>
      </w:pPr>
      <w:r/>
      <w:bookmarkStart w:id="22" w:name="_Toc28359084"/>
      <w:r/>
      <w:bookmarkStart w:id="23" w:name="_Toc35393794"/>
      <w:r/>
      <w:bookmarkStart w:id="24" w:name="_Toc35393625"/>
      <w:r/>
      <w:bookmarkStart w:id="25" w:name="_Toc38985267"/>
      <w:r/>
      <w:bookmarkStart w:id="26" w:name="_Toc28359007"/>
      <w:r>
        <w:rPr>
          <w:rFonts w:hint="eastAsia" w:asciiTheme="majorEastAsia" w:hAnsiTheme="majorEastAsia" w:eastAsiaTheme="majorEastAsia" w:cstheme="majorEastAsia"/>
          <w:b/>
          <w:color w:val="000000"/>
          <w:sz w:val="24"/>
          <w:szCs w:val="24"/>
          <w:highlight w:val="none"/>
        </w:rPr>
        <w:t xml:space="preserve">五、公告期限</w:t>
      </w:r>
      <w:bookmarkEnd w:id="22"/>
      <w:r/>
      <w:bookmarkEnd w:id="23"/>
      <w:r/>
      <w:bookmarkEnd w:id="24"/>
      <w:r/>
      <w:bookmarkEnd w:id="25"/>
      <w:r/>
      <w:bookmarkEnd w:id="26"/>
      <w:r/>
      <w:bookmarkStart w:id="201" w:name="_GoBack"/>
      <w:r/>
      <w:bookmarkEnd w:id="201"/>
      <w:r/>
      <w:r/>
    </w:p>
    <w:p>
      <w:pPr>
        <w:pStyle w:val="823"/>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26"/>
      <w:r/>
      <w:bookmarkStart w:id="28" w:name="_Toc35393795"/>
      <w:r/>
      <w:bookmarkStart w:id="29" w:name="_Toc38985268"/>
      <w:r>
        <w:rPr>
          <w:rFonts w:hint="eastAsia" w:asciiTheme="majorEastAsia" w:hAnsiTheme="majorEastAsia" w:eastAsiaTheme="majorEastAsia" w:cstheme="majorEastAsia"/>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23"/>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六、其他补充事宜</w:t>
      </w:r>
      <w:r/>
    </w:p>
    <w:p>
      <w:pPr>
        <w:pStyle w:val="823"/>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pageBreakBefore w:val="0"/>
        <w:spacing w:line="360" w:lineRule="auto"/>
        <w:rPr>
          <w:rFonts w:hint="eastAsia" w:asciiTheme="majorEastAsia" w:hAnsiTheme="majorEastAsia" w:eastAsiaTheme="majorEastAsia" w:cstheme="majorEastAsia"/>
          <w:i w:val="0"/>
          <w:iCs w:val="0"/>
          <w:caps w:val="0"/>
          <w:color w:val="333333"/>
          <w:spacing w:val="0"/>
          <w:sz w:val="24"/>
          <w:szCs w:val="24"/>
          <w:highlight w:val="none"/>
          <w:shd w:val="clear" w:color="auto" w:fill="ffffff"/>
          <w:lang w:val="en-US" w:eastAsia="zh-CN"/>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领取CA和办理电子签章（请至盐城市府西路1号盐城市公共资源交易中心四楼大</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厅10号、11号窗口</w:t>
      </w:r>
      <w:r>
        <w:rPr>
          <w:rFonts w:hint="eastAsia" w:asciiTheme="majorEastAsia" w:hAnsiTheme="majorEastAsia" w:eastAsiaTheme="majorEastAsia" w:cstheme="majorEastAsia"/>
          <w:i w:val="0"/>
          <w:iCs w:val="0"/>
          <w:caps w:val="0"/>
          <w:color w:val="auto"/>
          <w:spacing w:val="0"/>
          <w:sz w:val="24"/>
          <w:szCs w:val="24"/>
          <w:highlight w:val="none"/>
          <w:shd w:val="clear" w:color="auto" w:fill="ffffff"/>
          <w:lang w:val="en-US" w:eastAsia="zh-CN"/>
        </w:rPr>
        <w:t xml:space="preserve">办理</w:t>
      </w:r>
      <w:r>
        <w:rPr>
          <w:rFonts w:hint="eastAsia" w:asciiTheme="majorEastAsia" w:hAnsiTheme="majorEastAsia" w:eastAsiaTheme="majorEastAsia" w:cstheme="majorEastAsia"/>
          <w:i w:val="0"/>
          <w:iCs w:val="0"/>
          <w:caps w:val="0"/>
          <w:color w:val="333333"/>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3.有关本次招标的事项若存在变动或修改，敬请及时关注采购代理机构在“中国政府采购网”“江苏政府采购网”“盐城市政府采购网”发布的更正公告。</w:t>
      </w:r>
      <w:r/>
    </w:p>
    <w:p>
      <w:pPr>
        <w:pStyle w:val="823"/>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4.本次招标不收取投标保证金，不收取质量保证金。</w:t>
      </w:r>
      <w:r/>
    </w:p>
    <w:p>
      <w:pPr>
        <w:pStyle w:val="816"/>
        <w:ind w:left="0" w:right="0" w:firstLine="482"/>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00000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七、对本次招标提出询问，请按以下方式联系。</w:t>
      </w:r>
      <w:bookmarkEnd w:id="30"/>
      <w:r/>
      <w:r/>
    </w:p>
    <w:p>
      <w:pPr>
        <w:ind w:firstLine="480"/>
        <w:spacing w:line="460" w:lineRule="exact"/>
        <w:rPr>
          <w:rFonts w:hint="eastAsia" w:asciiTheme="majorEastAsia" w:hAnsiTheme="majorEastAsia" w:eastAsiaTheme="majorEastAsia" w:cstheme="majorEastAsia"/>
          <w:color w:val="000000"/>
          <w:sz w:val="24"/>
          <w:szCs w:val="24"/>
          <w:highlight w:val="none"/>
          <w:lang w:val="en-US" w:eastAsia="zh-CN" w:bidi="ar-SA"/>
        </w:rPr>
      </w:pPr>
      <w:r/>
      <w:bookmarkStart w:id="31" w:name="_Toc28359009"/>
      <w:r>
        <w:rPr>
          <w:rFonts w:hint="eastAsia" w:asciiTheme="majorEastAsia" w:hAnsiTheme="majorEastAsia" w:eastAsiaTheme="majorEastAsia" w:cstheme="majorEastAsia"/>
          <w:color w:val="000000"/>
          <w:sz w:val="24"/>
          <w:szCs w:val="24"/>
          <w:highlight w:val="none"/>
          <w:lang w:val="en-US" w:eastAsia="zh-CN" w:bidi="ar-SA"/>
        </w:rPr>
        <w:t xml:space="preserve">1.采购人信息</w:t>
      </w:r>
      <w:r/>
    </w:p>
    <w:p>
      <w:pPr>
        <w:ind w:firstLine="480"/>
        <w:spacing w:line="460" w:lineRule="exact"/>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名    称：滨海县自然资源和规划局</w:t>
      </w:r>
      <w:r/>
    </w:p>
    <w:p>
      <w:pPr>
        <w:ind w:firstLine="480"/>
        <w:spacing w:line="460" w:lineRule="exact"/>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地    址：滨海县育才西路586号</w:t>
      </w:r>
      <w:r/>
    </w:p>
    <w:p>
      <w:pPr>
        <w:ind w:firstLine="480"/>
        <w:spacing w:line="460" w:lineRule="exact"/>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联 系 人：张先生</w:t>
      </w:r>
      <w:r/>
    </w:p>
    <w:p>
      <w:pPr>
        <w:ind w:firstLine="480"/>
        <w:spacing w:line="460" w:lineRule="exact"/>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联系电话：13512591126 </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2.采购代理机构信息</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名    称：江苏雨田工程咨询集团有限公司</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地　　址：滨海县大学生创业园电谷A226室</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联 系 人：田女士</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联系电话：15751609431</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3.项目联系方式</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项目联系人：张先生、田女士</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电　　  话：13512591126、15751609431</w:t>
      </w:r>
      <w:r/>
    </w:p>
    <w:p>
      <w:pPr>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 </w:t>
      </w:r>
      <w:r/>
    </w:p>
    <w:p>
      <w:pPr>
        <w:pStyle w:val="823"/>
        <w:ind w:right="840"/>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24"/>
          <w:szCs w:val="24"/>
          <w:highlight w:val="none"/>
        </w:rPr>
        <w:br w:type="page" w:clear="all"/>
      </w:r>
      <w:r>
        <w:rPr>
          <w:rFonts w:hint="eastAsia" w:asciiTheme="majorEastAsia" w:hAnsiTheme="majorEastAsia" w:eastAsiaTheme="majorEastAsia" w:cstheme="majorEastAsia"/>
          <w:color w:val="000000"/>
          <w:highlight w:val="none"/>
        </w:rPr>
        <w:t xml:space="preserve"> </w:t>
      </w:r>
      <w:bookmarkStart w:id="32" w:name="_Toc120614211"/>
      <w:r>
        <w:rPr>
          <w:rFonts w:hint="eastAsia" w:asciiTheme="majorEastAsia" w:hAnsiTheme="majorEastAsia" w:eastAsiaTheme="majorEastAsia" w:cstheme="majorEastAsia"/>
          <w:color w:val="000000"/>
          <w:highlight w:val="none"/>
          <w:lang w:val="en-US" w:eastAsia="zh-CN"/>
        </w:rPr>
        <w:t xml:space="preserve">           </w:t>
      </w:r>
      <w:r>
        <w:rPr>
          <w:rFonts w:hint="eastAsia" w:asciiTheme="majorEastAsia" w:hAnsiTheme="majorEastAsia" w:eastAsiaTheme="majorEastAsia" w:cstheme="majorEastAsia"/>
          <w:b/>
          <w:bCs/>
          <w:color w:val="000000"/>
          <w:sz w:val="48"/>
          <w:szCs w:val="48"/>
          <w:highlight w:val="none"/>
        </w:rPr>
        <w:t xml:space="preserve">第二章  </w:t>
      </w:r>
      <w:bookmarkEnd w:id="32"/>
      <w:r/>
      <w:bookmarkStart w:id="33" w:name="_Toc120614213"/>
      <w:r/>
      <w:bookmarkStart w:id="34" w:name="_Toc20823274"/>
      <w:r/>
      <w:bookmarkStart w:id="35" w:name="_Toc16938518"/>
      <w:r/>
      <w:bookmarkStart w:id="36" w:name="_Toc513029202"/>
      <w:r>
        <w:rPr>
          <w:rFonts w:hint="eastAsia" w:asciiTheme="majorEastAsia" w:hAnsiTheme="majorEastAsia" w:eastAsiaTheme="majorEastAsia" w:cstheme="majorEastAsia"/>
          <w:b/>
          <w:bCs/>
          <w:color w:val="000000"/>
          <w:sz w:val="48"/>
          <w:szCs w:val="48"/>
          <w:highlight w:val="none"/>
        </w:rPr>
        <w:t xml:space="preserve">投标人须知</w:t>
      </w:r>
      <w:bookmarkEnd w:id="33"/>
      <w:r/>
      <w:bookmarkEnd w:id="34"/>
      <w:r/>
      <w:bookmarkEnd w:id="35"/>
      <w:r/>
      <w:bookmarkEnd w:id="36"/>
      <w:r/>
      <w:r/>
    </w:p>
    <w:p>
      <w:pPr>
        <w:pStyle w:val="823"/>
        <w:ind w:firstLine="498"/>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bookmarkStart w:id="37" w:name="_Toc20823275"/>
      <w:r/>
      <w:bookmarkStart w:id="38" w:name="_Toc120614214"/>
      <w:r/>
      <w:bookmarkStart w:id="39" w:name="_Toc16938519"/>
      <w:r/>
      <w:bookmarkStart w:id="40" w:name="_Toc513029203"/>
      <w:r>
        <w:rPr>
          <w:rFonts w:hint="eastAsia" w:asciiTheme="majorEastAsia" w:hAnsiTheme="majorEastAsia" w:eastAsiaTheme="majorEastAsia" w:cstheme="majorEastAsia"/>
          <w:b/>
          <w:color w:val="000000"/>
          <w:sz w:val="24"/>
          <w:szCs w:val="24"/>
          <w:highlight w:val="none"/>
        </w:rPr>
        <w:t xml:space="preserve">一、总则</w:t>
      </w:r>
      <w:bookmarkEnd w:id="37"/>
      <w:r/>
      <w:bookmarkEnd w:id="38"/>
      <w:r/>
      <w:bookmarkEnd w:id="39"/>
      <w:r/>
      <w:bookmarkEnd w:id="40"/>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41" w:name="_Toc16938520"/>
      <w:r/>
      <w:bookmarkStart w:id="42" w:name="_Toc513029204"/>
      <w:r/>
      <w:bookmarkStart w:id="43" w:name="_Toc458694821"/>
      <w:r/>
      <w:bookmarkStart w:id="44" w:name="_Toc20823276"/>
      <w:r/>
      <w:bookmarkStart w:id="45" w:name="_Hlt16619475"/>
      <w:r>
        <w:rPr>
          <w:rFonts w:hint="eastAsia" w:asciiTheme="majorEastAsia" w:hAnsiTheme="majorEastAsia" w:eastAsiaTheme="majorEastAsia" w:cstheme="majorEastAsia"/>
          <w:color w:val="000000"/>
          <w:sz w:val="24"/>
          <w:szCs w:val="24"/>
          <w:highlight w:val="none"/>
          <w:lang w:val="en-US" w:eastAsia="zh-CN" w:bidi="ar-SA"/>
        </w:rPr>
        <w:t xml:space="preserve">1</w:t>
      </w:r>
      <w:bookmarkEnd w:id="41"/>
      <w:r>
        <w:rPr>
          <w:rFonts w:hint="eastAsia" w:asciiTheme="majorEastAsia" w:hAnsiTheme="majorEastAsia" w:eastAsiaTheme="majorEastAsia" w:cstheme="majorEastAsia"/>
          <w:color w:val="000000"/>
          <w:sz w:val="24"/>
          <w:szCs w:val="24"/>
          <w:highlight w:val="none"/>
          <w:lang w:val="en-US" w:eastAsia="zh-CN" w:bidi="ar-SA"/>
        </w:rPr>
        <w:t xml:space="preserve">、招标方式</w:t>
      </w:r>
      <w:bookmarkEnd w:id="42"/>
      <w:r/>
      <w:bookmarkEnd w:id="43"/>
      <w:r/>
      <w:bookmarkEnd w:id="44"/>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1.1本次招标采取公开招标方式，本招标文件仅适用于招标公告中所述项目。</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46" w:name="_Toc16938521"/>
      <w:r/>
      <w:bookmarkStart w:id="47" w:name="_Toc513029205"/>
      <w:r/>
      <w:bookmarkStart w:id="48" w:name="_Toc20823277"/>
      <w:r>
        <w:rPr>
          <w:rFonts w:hint="eastAsia" w:asciiTheme="majorEastAsia" w:hAnsiTheme="majorEastAsia" w:eastAsiaTheme="majorEastAsia" w:cstheme="majorEastAsia"/>
          <w:color w:val="000000"/>
          <w:sz w:val="24"/>
          <w:szCs w:val="24"/>
          <w:highlight w:val="none"/>
          <w:lang w:val="en-US" w:eastAsia="zh-CN" w:bidi="ar-SA"/>
        </w:rPr>
        <w:t xml:space="preserve">2、合格的投标人</w:t>
      </w:r>
      <w:bookmarkEnd w:id="46"/>
      <w:r/>
      <w:bookmarkEnd w:id="47"/>
      <w:r/>
      <w:bookmarkEnd w:id="48"/>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2.1满足招标公告中供应商的资格要求的规定。</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2.2满足本文件实质性要求和条件的规定。</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49" w:name="_Toc513029206"/>
      <w:r/>
      <w:bookmarkStart w:id="50" w:name="_Toc20823278"/>
      <w:r/>
      <w:bookmarkStart w:id="51" w:name="_Toc16938522"/>
      <w:r/>
      <w:bookmarkStart w:id="52" w:name="_Toc513029207"/>
      <w:r/>
      <w:bookmarkStart w:id="53" w:name="_Toc20823279"/>
      <w:r/>
      <w:bookmarkStart w:id="54" w:name="_Toc16938523"/>
      <w:r/>
      <w:bookmarkStart w:id="55" w:name="_Toc462564067"/>
      <w:r>
        <w:rPr>
          <w:rFonts w:hint="eastAsia" w:asciiTheme="majorEastAsia" w:hAnsiTheme="majorEastAsia" w:eastAsiaTheme="majorEastAsia" w:cstheme="majorEastAsia"/>
          <w:color w:val="000000"/>
          <w:sz w:val="24"/>
          <w:szCs w:val="24"/>
          <w:highlight w:val="none"/>
          <w:lang w:val="en-US" w:eastAsia="zh-CN" w:bidi="ar-SA"/>
        </w:rPr>
        <w:t xml:space="preserve">3、适用法律</w:t>
      </w:r>
      <w:bookmarkEnd w:id="49"/>
      <w:r/>
      <w:bookmarkEnd w:id="50"/>
      <w:r/>
      <w:bookmarkEnd w:id="51"/>
      <w:r>
        <w:rPr>
          <w:rFonts w:hint="eastAsia" w:asciiTheme="majorEastAsia" w:hAnsiTheme="majorEastAsia" w:eastAsiaTheme="majorEastAsia" w:cstheme="majorEastAsia"/>
          <w:color w:val="000000"/>
          <w:sz w:val="24"/>
          <w:szCs w:val="24"/>
          <w:highlight w:val="none"/>
          <w:lang w:val="en-US" w:eastAsia="zh-CN" w:bidi="ar-SA"/>
        </w:rPr>
        <w:t xml:space="preserve">和标准</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3.1 本次招标及由此产生的合同受中华人民共和国有关的法律法规制约和保护。</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3.2 在本项目政府采购活动过程中，如果所执行的标准有更新的，按照最新标准执行。</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4、投标费用</w:t>
      </w:r>
      <w:bookmarkEnd w:id="52"/>
      <w:r/>
      <w:bookmarkEnd w:id="53"/>
      <w:r/>
      <w:bookmarkEnd w:id="54"/>
      <w:r/>
      <w:bookmarkEnd w:id="55"/>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4.1投标人应自行承担所有与参加投标有关的费用，无论投标过程中的做法和结果如何，采购代理机构在任何情况下均无义务和责任承担这些费用。</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4.2本次招标采购人及采购代理机构不收取标书工本费。</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5、招标文件的约束力</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5.1投标人一旦参加本项目采购活动，即被认为接受了本招标文件的规定和约束。</w:t>
      </w:r>
      <w:r/>
    </w:p>
    <w:p>
      <w:pPr>
        <w:pStyle w:val="823"/>
        <w:ind w:firstLine="321"/>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bookmarkStart w:id="56" w:name="_Toc16938525"/>
      <w:r/>
      <w:bookmarkStart w:id="57" w:name="_Toc20823281"/>
      <w:r/>
      <w:bookmarkStart w:id="58" w:name="_Toc120614215"/>
      <w:r/>
      <w:bookmarkStart w:id="59" w:name="_Toc513029209"/>
      <w:r>
        <w:rPr>
          <w:rFonts w:hint="eastAsia" w:asciiTheme="majorEastAsia" w:hAnsiTheme="majorEastAsia" w:eastAsiaTheme="majorEastAsia" w:cstheme="majorEastAsia"/>
          <w:b/>
          <w:color w:val="000000"/>
          <w:sz w:val="24"/>
          <w:szCs w:val="24"/>
          <w:highlight w:val="none"/>
        </w:rPr>
        <w:t xml:space="preserve">二、招标文件</w:t>
      </w:r>
      <w:bookmarkEnd w:id="56"/>
      <w:r/>
      <w:bookmarkEnd w:id="57"/>
      <w:r/>
      <w:bookmarkEnd w:id="58"/>
      <w:r/>
      <w:bookmarkEnd w:id="59"/>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60" w:name="_Toc20823282"/>
      <w:r/>
      <w:bookmarkStart w:id="61" w:name="_Toc16938526"/>
      <w:r/>
      <w:bookmarkStart w:id="62" w:name="_Toc513029210"/>
      <w:r>
        <w:rPr>
          <w:rFonts w:hint="eastAsia" w:asciiTheme="majorEastAsia" w:hAnsiTheme="majorEastAsia" w:eastAsiaTheme="majorEastAsia" w:cstheme="majorEastAsia"/>
          <w:color w:val="000000"/>
          <w:sz w:val="24"/>
          <w:szCs w:val="24"/>
          <w:highlight w:val="none"/>
          <w:lang w:val="en-US" w:eastAsia="zh-CN" w:bidi="ar-SA"/>
        </w:rPr>
        <w:t xml:space="preserve">6、招标文件构成</w:t>
      </w:r>
      <w:bookmarkEnd w:id="60"/>
      <w:r/>
      <w:bookmarkEnd w:id="61"/>
      <w:r/>
      <w:bookmarkEnd w:id="62"/>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6.1 招标文件由以下部分组成：</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（1）招标公告</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（2）投标人须知</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（3）合同文本</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（4）采购需求</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（5）评标方法与评标标准</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（6）投标文件格式</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请仔细检查招标文件是否齐全，如有缺漏请立即与采购代理机构联系解决。</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63" w:name="_Toc20823283"/>
      <w:r/>
      <w:bookmarkStart w:id="64" w:name="_Toc513029211"/>
      <w:r/>
      <w:bookmarkStart w:id="65" w:name="_Toc16938527"/>
      <w:r/>
      <w:bookmarkStart w:id="66" w:name="_Toc462564070"/>
      <w:r>
        <w:rPr>
          <w:rFonts w:hint="eastAsia" w:asciiTheme="majorEastAsia" w:hAnsiTheme="majorEastAsia" w:eastAsiaTheme="majorEastAsia" w:cstheme="majorEastAsia"/>
          <w:color w:val="000000"/>
          <w:sz w:val="24"/>
          <w:szCs w:val="24"/>
          <w:highlight w:val="none"/>
          <w:lang w:val="en-US" w:eastAsia="zh-CN" w:bidi="ar-SA"/>
        </w:rPr>
        <w:t xml:space="preserve">7、招标文件的澄清</w:t>
      </w:r>
      <w:bookmarkEnd w:id="63"/>
      <w:r/>
      <w:bookmarkEnd w:id="64"/>
      <w:r/>
      <w:bookmarkEnd w:id="65"/>
      <w:r/>
      <w:bookmarkEnd w:id="66"/>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7.1任何要求对招标文件进行澄清的投标人，应在投标截止期</w:t>
      </w:r>
      <w:r>
        <w:rPr>
          <w:rFonts w:hint="eastAsia" w:asciiTheme="majorEastAsia" w:hAnsiTheme="majorEastAsia" w:eastAsiaTheme="majorEastAsia" w:cstheme="majorEastAsia"/>
          <w:b/>
          <w:bCs/>
          <w:color w:val="000000"/>
          <w:sz w:val="24"/>
          <w:szCs w:val="24"/>
          <w:highlight w:val="none"/>
          <w:lang w:val="en-US" w:eastAsia="zh-CN" w:bidi="ar-SA"/>
        </w:rPr>
        <w:t xml:space="preserve">十日前</w:t>
      </w:r>
      <w:r>
        <w:rPr>
          <w:rFonts w:hint="eastAsia" w:asciiTheme="majorEastAsia" w:hAnsiTheme="majorEastAsia" w:eastAsiaTheme="majorEastAsia" w:cstheme="majorEastAsia"/>
          <w:color w:val="000000"/>
          <w:sz w:val="24"/>
          <w:szCs w:val="24"/>
          <w:highlight w:val="none"/>
          <w:lang w:val="en-US" w:eastAsia="zh-CN" w:bidi="ar-SA"/>
        </w:rPr>
        <w:t xml:space="preserve">按招标公告中的通讯地址，以书面形式通知采购代理机构。</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67" w:name="_Toc513029212"/>
      <w:r/>
      <w:bookmarkStart w:id="68" w:name="_Toc20823284"/>
      <w:r/>
      <w:bookmarkStart w:id="69" w:name="_Toc462564071"/>
      <w:r/>
      <w:bookmarkStart w:id="70" w:name="_Toc16938528"/>
      <w:r>
        <w:rPr>
          <w:rFonts w:hint="eastAsia" w:asciiTheme="majorEastAsia" w:hAnsiTheme="majorEastAsia" w:eastAsiaTheme="majorEastAsia" w:cstheme="majorEastAsia"/>
          <w:color w:val="000000"/>
          <w:sz w:val="24"/>
          <w:szCs w:val="24"/>
          <w:highlight w:val="none"/>
          <w:lang w:val="en-US" w:eastAsia="zh-CN" w:bidi="ar-SA"/>
        </w:rPr>
        <w:t xml:space="preserve">8、招标文件的修改</w:t>
      </w:r>
      <w:bookmarkEnd w:id="67"/>
      <w:r/>
      <w:bookmarkEnd w:id="68"/>
      <w:r/>
      <w:bookmarkEnd w:id="69"/>
      <w:r/>
      <w:bookmarkEnd w:id="70"/>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8.1在投标截止时间前，采购代理机构可以对招标文件进行修改。</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8.2采购代理机构有权按照法定的要求推迟投标截止日期和开标日期。</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8.3招标文件的修改将在中国政府采购网、江苏政府采购网、盐城市政府采购网公布，补充文件将作为招标文件的组成部分，并对投标人具有约束力。</w:t>
      </w:r>
      <w:r/>
    </w:p>
    <w:p>
      <w:pPr>
        <w:pStyle w:val="823"/>
        <w:ind w:firstLine="482"/>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bookmarkStart w:id="71" w:name="_Toc462564072"/>
      <w:r/>
      <w:bookmarkStart w:id="72" w:name="_Toc20823285"/>
      <w:r/>
      <w:bookmarkStart w:id="73" w:name="_Toc513029213"/>
      <w:r/>
      <w:bookmarkStart w:id="74" w:name="_Toc16938529"/>
      <w:r/>
      <w:bookmarkStart w:id="75" w:name="_Toc120614216"/>
      <w:r>
        <w:rPr>
          <w:rFonts w:hint="eastAsia" w:asciiTheme="majorEastAsia" w:hAnsiTheme="majorEastAsia" w:eastAsiaTheme="majorEastAsia" w:cstheme="majorEastAsia"/>
          <w:b/>
          <w:color w:val="000000"/>
          <w:sz w:val="24"/>
          <w:szCs w:val="24"/>
          <w:highlight w:val="none"/>
        </w:rPr>
        <w:t xml:space="preserve">三、投标文件的编制</w:t>
      </w:r>
      <w:bookmarkEnd w:id="71"/>
      <w:r/>
      <w:bookmarkEnd w:id="72"/>
      <w:r/>
      <w:bookmarkEnd w:id="73"/>
      <w:r/>
      <w:bookmarkEnd w:id="74"/>
      <w:r/>
      <w:bookmarkEnd w:id="75"/>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76" w:name="_Toc462564073"/>
      <w:r/>
      <w:bookmarkStart w:id="77" w:name="_Toc513029214"/>
      <w:r/>
      <w:bookmarkStart w:id="78" w:name="_Toc16938530"/>
      <w:r/>
      <w:bookmarkStart w:id="79" w:name="_Toc20823286"/>
      <w:r>
        <w:rPr>
          <w:rFonts w:hint="eastAsia" w:asciiTheme="majorEastAsia" w:hAnsiTheme="majorEastAsia" w:eastAsiaTheme="majorEastAsia" w:cstheme="majorEastAsia"/>
          <w:color w:val="000000"/>
          <w:sz w:val="24"/>
          <w:szCs w:val="24"/>
          <w:highlight w:val="none"/>
          <w:lang w:val="en-US" w:eastAsia="zh-CN" w:bidi="ar-SA"/>
        </w:rPr>
        <w:t xml:space="preserve">9、投标文件的语言及度量衡单位</w:t>
      </w:r>
      <w:bookmarkEnd w:id="76"/>
      <w:r/>
      <w:bookmarkEnd w:id="77"/>
      <w:r/>
      <w:bookmarkEnd w:id="78"/>
      <w:r/>
      <w:bookmarkEnd w:id="79"/>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9.1投标人提交的投标文件以及投标人与采购代理机构就有关投标的所有来往通知、函件和文件均应使用</w:t>
      </w:r>
      <w:r>
        <w:rPr>
          <w:rFonts w:hint="eastAsia" w:asciiTheme="majorEastAsia" w:hAnsiTheme="majorEastAsia" w:eastAsiaTheme="majorEastAsia" w:cstheme="majorEastAsia"/>
          <w:b/>
          <w:bCs/>
          <w:color w:val="auto"/>
          <w:sz w:val="24"/>
          <w:szCs w:val="24"/>
          <w:highlight w:val="none"/>
          <w:lang w:val="en-US" w:eastAsia="zh-CN" w:bidi="ar-SA"/>
        </w:rPr>
        <w:t xml:space="preserve">简体中文</w:t>
      </w:r>
      <w:r>
        <w:rPr>
          <w:rFonts w:hint="eastAsia" w:asciiTheme="majorEastAsia" w:hAnsiTheme="majorEastAsia" w:eastAsiaTheme="majorEastAsia" w:cstheme="majorEastAsia"/>
          <w:color w:val="000000"/>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9.2除技术性能另有规定外，投标文件所使用的度量衡单位，均须采用国家法定计量单位。</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80" w:name="_Toc20823287"/>
      <w:r/>
      <w:bookmarkStart w:id="81" w:name="_Toc513029215"/>
      <w:r/>
      <w:bookmarkStart w:id="82" w:name="_Toc462564074"/>
      <w:r/>
      <w:bookmarkStart w:id="83" w:name="_Toc16938531"/>
      <w:r>
        <w:rPr>
          <w:rFonts w:hint="eastAsia" w:asciiTheme="majorEastAsia" w:hAnsiTheme="majorEastAsia" w:eastAsiaTheme="majorEastAsia" w:cstheme="majorEastAsia"/>
          <w:color w:val="000000"/>
          <w:sz w:val="24"/>
          <w:szCs w:val="24"/>
          <w:highlight w:val="none"/>
          <w:lang w:val="en-US" w:eastAsia="zh-CN" w:bidi="ar-SA"/>
        </w:rPr>
        <w:t xml:space="preserve">10、投标文件构成</w:t>
      </w:r>
      <w:bookmarkEnd w:id="80"/>
      <w:r/>
      <w:bookmarkEnd w:id="81"/>
      <w:r/>
      <w:bookmarkEnd w:id="82"/>
      <w:r/>
      <w:bookmarkEnd w:id="83"/>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84" w:name="_Toc49090507"/>
      <w:r/>
      <w:bookmarkStart w:id="85" w:name="_Toc513029216"/>
      <w:r/>
      <w:bookmarkStart w:id="86" w:name="_Toc49090509"/>
      <w:r/>
      <w:bookmarkStart w:id="87" w:name="_Toc14577357"/>
      <w:r/>
      <w:bookmarkStart w:id="88" w:name="_Toc14577354"/>
      <w:r/>
      <w:bookmarkStart w:id="89" w:name="_Toc513029219"/>
      <w:r/>
      <w:bookmarkStart w:id="90" w:name="_Hlt26668975"/>
      <w:r/>
      <w:bookmarkStart w:id="91" w:name="_Hlt26670360"/>
      <w:r/>
      <w:bookmarkStart w:id="92" w:name="_Hlt26954838"/>
      <w:r>
        <w:rPr>
          <w:rFonts w:hint="eastAsia" w:asciiTheme="majorEastAsia" w:hAnsiTheme="majorEastAsia" w:eastAsiaTheme="majorEastAsia" w:cstheme="majorEastAsia"/>
          <w:color w:val="000000"/>
          <w:sz w:val="24"/>
          <w:szCs w:val="24"/>
          <w:highlight w:val="none"/>
          <w:lang w:val="en-US" w:eastAsia="zh-CN" w:bidi="ar-SA"/>
        </w:rPr>
        <w:t xml:space="preserve">11、证明投标人及投标标的符合招标文件规定的文件</w:t>
      </w:r>
      <w:bookmarkEnd w:id="84"/>
      <w:r/>
      <w:bookmarkEnd w:id="85"/>
      <w:r/>
      <w:bookmarkEnd w:id="86"/>
      <w:r/>
      <w:bookmarkEnd w:id="87"/>
      <w:r/>
      <w:bookmarkEnd w:id="88"/>
      <w:r/>
      <w:bookmarkEnd w:id="89"/>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93" w:name="_Toc14577355"/>
      <w:r/>
      <w:bookmarkStart w:id="94" w:name="_Toc49090508"/>
      <w:r>
        <w:rPr>
          <w:rFonts w:hint="eastAsia" w:asciiTheme="majorEastAsia" w:hAnsiTheme="majorEastAsia" w:eastAsiaTheme="majorEastAsia" w:cstheme="majorEastAsia"/>
          <w:color w:val="000000"/>
          <w:sz w:val="24"/>
          <w:szCs w:val="24"/>
          <w:highlight w:val="none"/>
          <w:lang w:val="en-US" w:eastAsia="zh-CN" w:bidi="ar-SA"/>
        </w:rPr>
        <w:t xml:space="preserve">11.1投标人应按照法律、法规、规章和规范性文件以及招标文件要求提交证明文件，证明其及投标标的符合招标文件规定。</w:t>
      </w:r>
      <w:bookmarkEnd w:id="93"/>
      <w:r/>
      <w:bookmarkEnd w:id="94"/>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11.2招标文件对证明文件无明确形式要求的，证明文件可以以文字资料、图纸和数据等形式提交。</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12、投标分项报价</w:t>
      </w:r>
      <w:bookmarkStart w:id="95" w:name="_Hlt26670373"/>
      <w:r>
        <w:rPr>
          <w:rFonts w:hint="eastAsia" w:asciiTheme="majorEastAsia" w:hAnsiTheme="majorEastAsia" w:eastAsiaTheme="majorEastAsia" w:cstheme="majorEastAsia"/>
          <w:color w:val="000000"/>
          <w:sz w:val="24"/>
          <w:szCs w:val="24"/>
          <w:highlight w:val="none"/>
          <w:lang w:val="en-US" w:eastAsia="zh-CN" w:bidi="ar-SA"/>
        </w:rPr>
        <w:t xml:space="preserve">表</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12.1投</w:t>
      </w:r>
      <w:bookmarkStart w:id="96" w:name="_Hlt26954840"/>
      <w:r>
        <w:rPr>
          <w:rFonts w:hint="eastAsia" w:asciiTheme="majorEastAsia" w:hAnsiTheme="majorEastAsia" w:eastAsiaTheme="majorEastAsia" w:cstheme="majorEastAsia"/>
          <w:color w:val="000000"/>
          <w:sz w:val="24"/>
          <w:szCs w:val="24"/>
          <w:highlight w:val="none"/>
          <w:lang w:val="en-US" w:eastAsia="zh-CN" w:bidi="ar-SA"/>
        </w:rPr>
        <w:t xml:space="preserve">标人应按照招标文件规定格式填报投标分项报价表</w:t>
      </w:r>
      <w:bookmarkStart w:id="97" w:name="_Hlt26670399"/>
      <w:r>
        <w:rPr>
          <w:rFonts w:hint="eastAsia" w:asciiTheme="majorEastAsia" w:hAnsiTheme="majorEastAsia" w:eastAsiaTheme="majorEastAsia" w:cstheme="majorEastAsia"/>
          <w:color w:val="000000"/>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12.2投标货币。投标文件中的单价和总价无特殊规定的采用人民币报价，以元为单位标注。招标文件中另有规定的按规定执行。</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98" w:name="_Hlt26670486"/>
      <w:r/>
      <w:bookmarkStart w:id="99" w:name="_Hlt26668983"/>
      <w:r/>
      <w:bookmarkStart w:id="100" w:name="_Hlt26954846"/>
      <w:r/>
      <w:bookmarkStart w:id="101" w:name="_Hlt26670425"/>
      <w:r/>
      <w:bookmarkStart w:id="102" w:name="_Hlt26670403"/>
      <w:r/>
      <w:bookmarkStart w:id="103" w:name="_Hlt26954731"/>
      <w:r/>
      <w:bookmarkStart w:id="104" w:name="_Hlt26954844"/>
      <w:r/>
      <w:bookmarkStart w:id="105" w:name="_Hlt26954848"/>
      <w:r/>
      <w:bookmarkStart w:id="106" w:name="_Hlt26954842"/>
      <w:r/>
      <w:bookmarkStart w:id="107" w:name="_Hlt26670482"/>
      <w:r>
        <w:rPr>
          <w:rFonts w:hint="eastAsia" w:asciiTheme="majorEastAsia" w:hAnsiTheme="majorEastAsia" w:eastAsiaTheme="majorEastAsia" w:cstheme="majorEastAsia"/>
          <w:color w:val="000000"/>
          <w:sz w:val="24"/>
          <w:szCs w:val="24"/>
          <w:highlight w:val="none"/>
          <w:lang w:val="en-US" w:eastAsia="zh-CN" w:bidi="ar-SA"/>
        </w:rPr>
        <w:t xml:space="preserve">13、技术要求响应及偏离表、商务要求响应及偏离表</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13.1投标人需对招标文件中的技术要求与商务要求逐项作出响应或偏离，并说明原因。</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13.2投标人可在投标文件中提供认为需要的其他技术文件或说明。</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108" w:name="_Toc49090510"/>
      <w:r/>
      <w:bookmarkStart w:id="109" w:name="_Toc14577359"/>
      <w:r>
        <w:rPr>
          <w:rFonts w:hint="eastAsia" w:asciiTheme="majorEastAsia" w:hAnsiTheme="majorEastAsia" w:eastAsiaTheme="majorEastAsia" w:cstheme="majorEastAsia"/>
          <w:color w:val="000000"/>
          <w:sz w:val="24"/>
          <w:szCs w:val="24"/>
          <w:highlight w:val="none"/>
          <w:lang w:val="en-US" w:eastAsia="zh-CN" w:bidi="ar-SA"/>
        </w:rPr>
        <w:t xml:space="preserve">14、投标函和开标一览表</w:t>
      </w:r>
      <w:bookmarkEnd w:id="108"/>
      <w:r/>
      <w:bookmarkEnd w:id="109"/>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14.1投标人应按照招标文件中提供的格式完整、正确填写投标函、开标一览表。</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bookmarkStart w:id="110" w:name="_Toc14577360"/>
      <w:r/>
      <w:bookmarkStart w:id="111" w:name="_Toc49090511"/>
      <w:r/>
      <w:bookmarkStart w:id="112" w:name="_Hlt26670489"/>
      <w:r/>
      <w:bookmarkStart w:id="113" w:name="_Hlt26954734"/>
      <w:r/>
      <w:bookmarkStart w:id="114" w:name="_Hlt26954850"/>
      <w:r>
        <w:rPr>
          <w:rFonts w:hint="eastAsia" w:asciiTheme="majorEastAsia" w:hAnsiTheme="majorEastAsia" w:eastAsiaTheme="majorEastAsia" w:cstheme="majorEastAsia"/>
          <w:color w:val="000000"/>
          <w:sz w:val="24"/>
          <w:szCs w:val="24"/>
          <w:highlight w:val="none"/>
          <w:lang w:val="en-US" w:eastAsia="zh-CN" w:bidi="ar-SA"/>
        </w:rPr>
        <w:t xml:space="preserve">15、投标有效期</w:t>
      </w:r>
      <w:bookmarkEnd w:id="110"/>
      <w:r/>
      <w:bookmarkEnd w:id="111"/>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15.1投标有效期为采购代理机构规定的开标之日后</w:t>
      </w:r>
      <w:r>
        <w:rPr>
          <w:rFonts w:hint="eastAsia" w:asciiTheme="majorEastAsia" w:hAnsiTheme="majorEastAsia" w:eastAsiaTheme="majorEastAsia" w:cstheme="majorEastAsia"/>
          <w:b/>
          <w:bCs/>
          <w:color w:val="000000"/>
          <w:sz w:val="24"/>
          <w:szCs w:val="24"/>
          <w:highlight w:val="none"/>
          <w:u w:val="single"/>
          <w:lang w:val="en-US" w:eastAsia="zh-CN" w:bidi="ar-SA"/>
        </w:rPr>
        <w:t xml:space="preserve">九十（90）天</w:t>
      </w:r>
      <w:r>
        <w:rPr>
          <w:rFonts w:hint="eastAsia" w:asciiTheme="majorEastAsia" w:hAnsiTheme="majorEastAsia" w:eastAsiaTheme="majorEastAsia" w:cstheme="majorEastAsia"/>
          <w:color w:val="000000"/>
          <w:sz w:val="24"/>
          <w:szCs w:val="24"/>
          <w:highlight w:val="none"/>
          <w:lang w:val="en-US" w:eastAsia="zh-CN" w:bidi="ar-SA"/>
        </w:rPr>
        <w:t xml:space="preserve">。投标有效期比规定短的将被视为未实质性响应招标文件而予以拒绝。</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000000"/>
          <w:sz w:val="24"/>
          <w:szCs w:val="24"/>
          <w:highlight w:val="none"/>
          <w:lang w:val="en-US" w:eastAsia="zh-CN" w:bidi="ar-SA"/>
        </w:rPr>
        <w:suppressLineNumbers w:val="0"/>
      </w:pPr>
      <w:r>
        <w:rPr>
          <w:rFonts w:hint="eastAsia" w:asciiTheme="majorEastAsia" w:hAnsiTheme="majorEastAsia" w:eastAsiaTheme="majorEastAsia" w:cstheme="majorEastAsia"/>
          <w:color w:val="000000"/>
          <w:sz w:val="24"/>
          <w:szCs w:val="24"/>
          <w:highlight w:val="none"/>
          <w:lang w:val="en-US" w:eastAsia="zh-CN" w:bidi="ar-SA"/>
        </w:rPr>
        <w:t xml:space="preserve">16、投标有效期的延长</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16.1在特殊情况下，</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于原投标有效期满之前，可向投标人提出延长投标有效期的要求。这种要求与答复均应采用书面形式。投标人可以拒绝</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23"/>
        <w:ind w:firstLine="482"/>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bookmarkStart w:id="115" w:name="_Toc20823296"/>
      <w:r/>
      <w:bookmarkStart w:id="116" w:name="_Toc120614217"/>
      <w:r/>
      <w:bookmarkStart w:id="117" w:name="_Toc513029224"/>
      <w:r/>
      <w:bookmarkStart w:id="118" w:name="_Toc16938540"/>
      <w:r/>
      <w:bookmarkStart w:id="119" w:name="_Hlt26954739"/>
      <w:r/>
      <w:bookmarkStart w:id="120" w:name="_Hlt26954852"/>
      <w:r>
        <w:rPr>
          <w:rFonts w:hint="eastAsia" w:asciiTheme="majorEastAsia" w:hAnsiTheme="majorEastAsia" w:eastAsiaTheme="majorEastAsia" w:cstheme="majorEastAsia"/>
          <w:b/>
          <w:color w:val="000000"/>
          <w:sz w:val="24"/>
          <w:szCs w:val="24"/>
          <w:highlight w:val="none"/>
        </w:rPr>
        <w:t xml:space="preserve">四、投标文件的递交</w:t>
      </w:r>
      <w:bookmarkEnd w:id="115"/>
      <w:r/>
      <w:bookmarkEnd w:id="116"/>
      <w:r/>
      <w:bookmarkEnd w:id="117"/>
      <w:r/>
      <w:bookmarkEnd w:id="118"/>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21" w:name="_Toc462564084"/>
      <w:r/>
      <w:bookmarkStart w:id="122" w:name="_Toc20823297"/>
      <w:r/>
      <w:bookmarkStart w:id="123" w:name="_Toc16938541"/>
      <w:r/>
      <w:bookmarkStart w:id="124" w:name="_Toc513029225"/>
      <w:r>
        <w:rPr>
          <w:rFonts w:hint="eastAsia" w:asciiTheme="majorEastAsia" w:hAnsiTheme="majorEastAsia" w:eastAsiaTheme="majorEastAsia" w:cstheme="majorEastAsia"/>
          <w:color w:val="000000"/>
          <w:sz w:val="24"/>
          <w:szCs w:val="24"/>
          <w:highlight w:val="none"/>
        </w:rPr>
        <w:t xml:space="preserve">17、投标文件</w:t>
      </w:r>
      <w:bookmarkEnd w:id="121"/>
      <w:r/>
      <w:bookmarkEnd w:id="122"/>
      <w:r/>
      <w:bookmarkEnd w:id="123"/>
      <w:r/>
      <w:bookmarkEnd w:id="124"/>
      <w:r>
        <w:rPr>
          <w:rFonts w:hint="eastAsia" w:asciiTheme="majorEastAsia" w:hAnsiTheme="majorEastAsia" w:eastAsiaTheme="majorEastAsia" w:cstheme="majorEastAsia"/>
          <w:color w:val="000000"/>
          <w:sz w:val="24"/>
          <w:szCs w:val="24"/>
          <w:highlight w:val="none"/>
        </w:rPr>
        <w:t xml:space="preserve">的递交</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17.1 电子投标文件的递交</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18、投标截止时间</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bCs/>
          <w:i/>
          <w:color w:val="000000"/>
          <w:sz w:val="24"/>
          <w:szCs w:val="24"/>
          <w:highlight w:val="none"/>
          <w:u w:val="single"/>
        </w:rPr>
        <w:t xml:space="preserve">18.1投标人上传电子投标文件的时间不得迟于招标公告中规定的投标截止时间。</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18.2</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28" w:name="_Toc20823299"/>
      <w:r/>
      <w:bookmarkStart w:id="129" w:name="_Toc16938543"/>
      <w:r/>
      <w:bookmarkStart w:id="130" w:name="_Toc513029227"/>
      <w:r>
        <w:rPr>
          <w:rFonts w:hint="eastAsia" w:asciiTheme="majorEastAsia" w:hAnsiTheme="majorEastAsia" w:eastAsiaTheme="majorEastAsia" w:cstheme="majorEastAsia"/>
          <w:color w:val="000000"/>
          <w:sz w:val="24"/>
          <w:szCs w:val="24"/>
          <w:highlight w:val="none"/>
        </w:rPr>
        <w:t xml:space="preserve">19、投标文件</w:t>
      </w:r>
      <w:bookmarkEnd w:id="128"/>
      <w:r/>
      <w:bookmarkEnd w:id="129"/>
      <w:r/>
      <w:bookmarkEnd w:id="130"/>
      <w:r>
        <w:rPr>
          <w:rFonts w:hint="eastAsia" w:asciiTheme="majorEastAsia" w:hAnsiTheme="majorEastAsia" w:eastAsiaTheme="majorEastAsia" w:cstheme="majorEastAsia"/>
          <w:color w:val="000000"/>
          <w:sz w:val="24"/>
          <w:szCs w:val="24"/>
          <w:highlight w:val="none"/>
        </w:rPr>
        <w:t xml:space="preserve">的拒收</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19.1</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拒绝接收在其规定的投标截止时间后上传的任何投标文件。</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31" w:name="_Toc20823300"/>
      <w:r/>
      <w:bookmarkStart w:id="132" w:name="_Toc16938544"/>
      <w:r/>
      <w:bookmarkStart w:id="133" w:name="_Toc513029228"/>
      <w:r>
        <w:rPr>
          <w:rFonts w:hint="eastAsia" w:asciiTheme="majorEastAsia" w:hAnsiTheme="majorEastAsia" w:eastAsiaTheme="majorEastAsia" w:cstheme="majorEastAsia"/>
          <w:color w:val="000000"/>
          <w:sz w:val="24"/>
          <w:szCs w:val="24"/>
          <w:highlight w:val="none"/>
        </w:rPr>
        <w:t xml:space="preserve">20、投标文件的撤回和修改</w:t>
      </w:r>
      <w:bookmarkEnd w:id="131"/>
      <w:r/>
      <w:bookmarkEnd w:id="132"/>
      <w:r/>
      <w:bookmarkEnd w:id="133"/>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20.1投标文件的撤回</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w:t>
      </w:r>
      <w:r>
        <w:rPr>
          <w:rFonts w:hint="eastAsia" w:asciiTheme="majorEastAsia" w:hAnsiTheme="majorEastAsia" w:eastAsiaTheme="majorEastAsia" w:cstheme="majorEastAsia"/>
          <w:color w:val="000000"/>
          <w:sz w:val="24"/>
          <w:szCs w:val="24"/>
          <w:highlight w:val="none"/>
          <w:lang w:val="en-US" w:eastAsia="zh-CN"/>
        </w:rPr>
        <w:t xml:space="preserve">0</w:t>
      </w:r>
      <w:r>
        <w:rPr>
          <w:rFonts w:hint="eastAsia" w:asciiTheme="majorEastAsia" w:hAnsiTheme="majorEastAsia" w:eastAsiaTheme="majorEastAsia" w:cstheme="majorEastAsia"/>
          <w:color w:val="000000"/>
          <w:sz w:val="24"/>
          <w:szCs w:val="24"/>
          <w:highlight w:val="none"/>
        </w:rPr>
        <w:t xml:space="preserve">.1.1电子投标文件的撤回</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投标人可在投标截止时间前，撤回其电子投标文件，具体操作方法见《操作手册》。</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w:t>
      </w:r>
      <w:r>
        <w:rPr>
          <w:rFonts w:hint="eastAsia" w:asciiTheme="majorEastAsia" w:hAnsiTheme="majorEastAsia" w:eastAsiaTheme="majorEastAsia" w:cstheme="majorEastAsia"/>
          <w:color w:val="000000"/>
          <w:sz w:val="24"/>
          <w:szCs w:val="24"/>
          <w:highlight w:val="none"/>
          <w:lang w:val="en-US" w:eastAsia="zh-CN"/>
        </w:rPr>
        <w:t xml:space="preserve">0</w:t>
      </w:r>
      <w:r>
        <w:rPr>
          <w:rFonts w:hint="eastAsia" w:asciiTheme="majorEastAsia" w:hAnsiTheme="majorEastAsia" w:eastAsiaTheme="majorEastAsia" w:cstheme="majorEastAsia"/>
          <w:color w:val="000000"/>
          <w:sz w:val="24"/>
          <w:szCs w:val="24"/>
          <w:highlight w:val="none"/>
        </w:rPr>
        <w:t xml:space="preserve">.1.2投标人撤回电子投标文件，则认为其不再参与本项目投标活动。</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20.2 投标文件的修改</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20.2.1投标人可在投标截止时间前，对其电子投标文件进行修改，具体操作方法见《操作手册》。</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20.2.2在投标截止时间之后，投标人不得对其电子投标文件作任何修改。</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20.3在投标截止时间至招标文件中规定的投标有效期满之间的这段时间内，投标人不得撤回其投标。</w:t>
      </w:r>
      <w:r/>
    </w:p>
    <w:p>
      <w:pPr>
        <w:pStyle w:val="823"/>
        <w:ind w:firstLine="482"/>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bookmarkStart w:id="134" w:name="_Toc513029229"/>
      <w:r/>
      <w:bookmarkStart w:id="135" w:name="_Toc16938545"/>
      <w:r/>
      <w:bookmarkStart w:id="136" w:name="_Toc20823301"/>
      <w:r/>
      <w:bookmarkStart w:id="137" w:name="_Toc120614218"/>
      <w:r>
        <w:rPr>
          <w:rFonts w:hint="eastAsia" w:asciiTheme="majorEastAsia" w:hAnsiTheme="majorEastAsia" w:eastAsiaTheme="majorEastAsia" w:cstheme="majorEastAsia"/>
          <w:b/>
          <w:color w:val="000000"/>
          <w:sz w:val="24"/>
          <w:szCs w:val="24"/>
          <w:highlight w:val="none"/>
        </w:rPr>
        <w:t xml:space="preserve">五、开标与评标</w:t>
      </w:r>
      <w:bookmarkEnd w:id="134"/>
      <w:r/>
      <w:bookmarkEnd w:id="135"/>
      <w:r/>
      <w:bookmarkEnd w:id="136"/>
      <w:r/>
      <w:bookmarkEnd w:id="137"/>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38" w:name="_Toc16938546"/>
      <w:r/>
      <w:bookmarkStart w:id="139" w:name="_Toc513029230"/>
      <w:r/>
      <w:bookmarkStart w:id="140" w:name="_Toc20823302"/>
      <w:r>
        <w:rPr>
          <w:rFonts w:hint="eastAsia" w:asciiTheme="majorEastAsia" w:hAnsiTheme="majorEastAsia" w:eastAsiaTheme="majorEastAsia" w:cstheme="majorEastAsia"/>
          <w:color w:val="000000"/>
          <w:sz w:val="24"/>
          <w:szCs w:val="24"/>
          <w:highlight w:val="none"/>
        </w:rPr>
        <w:t xml:space="preserve">21、开标</w:t>
      </w:r>
      <w:bookmarkEnd w:id="138"/>
      <w:r/>
      <w:bookmarkEnd w:id="139"/>
      <w:r/>
      <w:bookmarkEnd w:id="140"/>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21.1</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21.2开标仪式由</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组织。苏采云系统将自动对项目进行开标，并宣布各投标人名称和投标价格。</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21.3投标人在开标过程中涉及到的投标文件解密、开标结果确认等工作，应按照《操作手册》规定执行。</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41" w:name="_Toc513029231"/>
      <w:r/>
      <w:bookmarkStart w:id="142" w:name="_Toc20823303"/>
      <w:r/>
      <w:bookmarkStart w:id="143" w:name="_Toc16938547"/>
      <w:r>
        <w:rPr>
          <w:rFonts w:hint="eastAsia" w:asciiTheme="majorEastAsia" w:hAnsiTheme="majorEastAsia" w:eastAsiaTheme="majorEastAsia" w:cstheme="majorEastAsia"/>
          <w:color w:val="000000"/>
          <w:sz w:val="24"/>
          <w:szCs w:val="24"/>
          <w:highlight w:val="none"/>
        </w:rPr>
        <w:t xml:space="preserve">22、评标委员会</w:t>
      </w:r>
      <w:bookmarkEnd w:id="141"/>
      <w:r/>
      <w:bookmarkEnd w:id="142"/>
      <w:r/>
      <w:bookmarkEnd w:id="143"/>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22.1开标后，</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将立即组织评标委员会（以下简称评委会）进行评标。</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22.2评委会由采购人代表和有关技术、经济等方面的专家组成，且人员构成符合政府采购有关规定。</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22.3评委会独立工作，负责评审所有投标文件并确定中标</w:t>
      </w:r>
      <w:r>
        <w:rPr>
          <w:rFonts w:hint="eastAsia" w:asciiTheme="majorEastAsia" w:hAnsiTheme="majorEastAsia" w:eastAsiaTheme="majorEastAsia" w:cstheme="majorEastAsia"/>
          <w:color w:val="000000"/>
          <w:sz w:val="24"/>
          <w:szCs w:val="24"/>
          <w:highlight w:val="none"/>
          <w:lang w:eastAsia="zh-CN"/>
        </w:rPr>
        <w:t xml:space="preserve">候选人</w:t>
      </w:r>
      <w:r>
        <w:rPr>
          <w:rFonts w:hint="eastAsia" w:asciiTheme="majorEastAsia" w:hAnsiTheme="majorEastAsia" w:eastAsiaTheme="majorEastAsia" w:cstheme="majorEastAsia"/>
          <w:color w:val="000000"/>
          <w:sz w:val="24"/>
          <w:szCs w:val="24"/>
          <w:highlight w:val="none"/>
        </w:rPr>
        <w:t xml:space="preserve">。</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23、评标过程的保密与公正</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23.1凡是与审查、澄清、评价和比较投标的有关资料以及授标建议等，采购人、评委、</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均不得向投标人或与评标无关的其他人员透露。</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23.2在评标过程中，投标人不得以任何行为影响评标过程，否则其投标文件将被作为无效投标文件。</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23.3</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和评标委员会不向未中标的投标人解释未中标原因，也不公布评标过程中的相关细节。</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23.4采用综合评分法的项目，未中标的投标人可于中标结果公告期限届满之日起通过苏采云系统查看自己的评审得分及排序情况。</w:t>
      </w:r>
      <w:bookmarkStart w:id="144" w:name="_Toc16938548"/>
      <w:r/>
      <w:bookmarkStart w:id="145" w:name="_Toc513029232"/>
      <w:r/>
      <w:bookmarkStart w:id="146" w:name="_Toc20823304"/>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24、投标文件的澄清</w:t>
      </w:r>
      <w:bookmarkEnd w:id="144"/>
      <w:r/>
      <w:bookmarkEnd w:id="145"/>
      <w:r/>
      <w:bookmarkEnd w:id="146"/>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投标人的澄清、说明或者补正不得超出投标文件的范围或者改变投标文件的实质性内容。</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评标委员会并非对每个投标人都做澄清要求。</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24.3接到评委会澄清、说明和补正要求的投标人如未按规定</w:t>
      </w:r>
      <w:r>
        <w:rPr>
          <w:rFonts w:hint="eastAsia" w:asciiTheme="majorEastAsia" w:hAnsiTheme="majorEastAsia" w:eastAsiaTheme="majorEastAsia" w:cstheme="majorEastAsia"/>
          <w:color w:val="000000"/>
          <w:sz w:val="24"/>
          <w:szCs w:val="24"/>
          <w:highlight w:val="none"/>
          <w:lang w:eastAsia="zh-CN"/>
        </w:rPr>
        <w:t xml:space="preserve">作出</w:t>
      </w:r>
      <w:r>
        <w:rPr>
          <w:rFonts w:hint="eastAsia" w:asciiTheme="majorEastAsia" w:hAnsiTheme="majorEastAsia" w:eastAsiaTheme="majorEastAsia" w:cstheme="majorEastAsia"/>
          <w:color w:val="000000"/>
          <w:sz w:val="24"/>
          <w:szCs w:val="24"/>
          <w:highlight w:val="none"/>
        </w:rPr>
        <w:t xml:space="preserve">澄清、说明和补正，其风险由投标人自行承担。</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47" w:name="_Toc16938549"/>
      <w:r/>
      <w:bookmarkStart w:id="148" w:name="_Toc513029233"/>
      <w:r/>
      <w:bookmarkStart w:id="149" w:name="_Toc20823305"/>
      <w:r>
        <w:rPr>
          <w:rFonts w:hint="eastAsia" w:asciiTheme="majorEastAsia" w:hAnsiTheme="majorEastAsia" w:eastAsiaTheme="majorEastAsia" w:cstheme="majorEastAsia"/>
          <w:color w:val="000000"/>
          <w:sz w:val="24"/>
          <w:szCs w:val="24"/>
          <w:highlight w:val="none"/>
        </w:rPr>
        <w:t xml:space="preserve">25、对投标文件的初审</w:t>
      </w:r>
      <w:bookmarkEnd w:id="147"/>
      <w:r/>
      <w:bookmarkEnd w:id="148"/>
      <w:r/>
      <w:bookmarkEnd w:id="149"/>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25.1投标文件初审分为资格审查和符合性审查。</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25.1.3未通过资格审查或符合性审查的投标人，</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将在苏采云系统中告知未通过资格审查或符合性审查的原因，评标结束后，</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将不再告知未通过资格审查和符合性审查的原因。</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25.4评委会将对确定为实质性响应的投标进行进一步审核，确定其是否有计算上或累加上的算术错误，修正错误的原则如下：</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（1）投标文件中开标一览表内容与投标文件中相应内容不一致的，以开标一览表为准。</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（2）大写金额和小写金额不一致的，以大写金额为准。</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（3）单价金额小数点或者百分比有明显错位的，以开标一览表的总价为准，并修改单价。</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（4）总价金额与按单价汇总金额不一致的，以单价金额计算结果为准。</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同时出现两种以上错误的，按照前款规定的顺序修正。</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50" w:name="_Toc20823306"/>
      <w:r/>
      <w:bookmarkStart w:id="151" w:name="_Toc16938550"/>
      <w:r/>
      <w:bookmarkStart w:id="152" w:name="_Toc513029234"/>
      <w:r>
        <w:rPr>
          <w:rFonts w:hint="eastAsia" w:asciiTheme="majorEastAsia" w:hAnsiTheme="majorEastAsia" w:eastAsiaTheme="majorEastAsia" w:cstheme="majorEastAsia"/>
          <w:color w:val="000000"/>
          <w:sz w:val="24"/>
          <w:szCs w:val="24"/>
          <w:highlight w:val="none"/>
        </w:rPr>
        <w:t xml:space="preserve">25.6投标人在开、评标全过程中应</w:t>
      </w:r>
      <w:r>
        <w:rPr>
          <w:rFonts w:hint="eastAsia" w:asciiTheme="majorEastAsia" w:hAnsiTheme="majorEastAsia" w:eastAsiaTheme="majorEastAsia" w:cstheme="majorEastAsia"/>
          <w:color w:val="000000"/>
          <w:sz w:val="24"/>
          <w:szCs w:val="24"/>
          <w:highlight w:val="none"/>
          <w:lang w:eastAsia="zh-CN"/>
        </w:rPr>
        <w:t xml:space="preserve">保持通信畅通</w:t>
      </w:r>
      <w:r>
        <w:rPr>
          <w:rFonts w:hint="eastAsia" w:asciiTheme="majorEastAsia" w:hAnsiTheme="majorEastAsia" w:eastAsiaTheme="majorEastAsia" w:cstheme="majorEastAsia"/>
          <w:color w:val="000000"/>
          <w:sz w:val="24"/>
          <w:szCs w:val="24"/>
          <w:highlight w:val="none"/>
        </w:rPr>
        <w:t xml:space="preserve">，及时登录苏采云系统查阅、答复相关信息，并安排专人与</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及评标委员会联系。</w:t>
      </w:r>
      <w:bookmarkEnd w:id="150"/>
      <w:r/>
      <w:bookmarkEnd w:id="151"/>
      <w:r/>
      <w:bookmarkEnd w:id="152"/>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26、无效投标条款和废标条款</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53" w:name="_Toc20823307"/>
      <w:r/>
      <w:bookmarkStart w:id="154" w:name="_Toc513029235"/>
      <w:r/>
      <w:bookmarkStart w:id="155" w:name="_Toc16938551"/>
      <w:r>
        <w:rPr>
          <w:rFonts w:hint="eastAsia" w:asciiTheme="majorEastAsia" w:hAnsiTheme="majorEastAsia" w:eastAsiaTheme="majorEastAsia" w:cstheme="majorEastAsia"/>
          <w:color w:val="000000"/>
          <w:sz w:val="24"/>
          <w:szCs w:val="24"/>
          <w:highlight w:val="none"/>
        </w:rPr>
        <w:t xml:space="preserve">26.1无效投标条款</w:t>
      </w:r>
      <w:bookmarkEnd w:id="153"/>
      <w:r/>
      <w:bookmarkEnd w:id="154"/>
      <w:r/>
      <w:bookmarkEnd w:id="155"/>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26.1.1投标人在苏采云系统规定的时间内未成功解密电子投标文件的。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26.1.2投标人未按照招标文件要求上传电子投标文件的。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26.1.3同一投标人提交两个（含两个）以上不同的投标报价的。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26.1.4投标人不具备招标文件中规定资格要求的。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26.1.5投标人的报价超过了采购预算或最高限价的。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26.1.6未通过符合性审查的。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i/>
          <w:iCs/>
          <w:color w:val="000000"/>
          <w:sz w:val="24"/>
          <w:szCs w:val="24"/>
          <w:highlight w:val="none"/>
          <w:u w:val="single"/>
        </w:rPr>
      </w:pPr>
      <w:r>
        <w:rPr>
          <w:rFonts w:hint="eastAsia" w:asciiTheme="majorEastAsia" w:hAnsiTheme="majorEastAsia" w:eastAsiaTheme="majorEastAsia" w:cstheme="majorEastAsia"/>
          <w:color w:val="000000"/>
          <w:sz w:val="24"/>
          <w:szCs w:val="24"/>
          <w:highlight w:val="none"/>
        </w:rPr>
        <w:t xml:space="preserve">26.1.7不符合招标文件中规定的实质性要求和条件的</w:t>
      </w:r>
      <w:r>
        <w:rPr>
          <w:rFonts w:hint="eastAsia" w:asciiTheme="majorEastAsia" w:hAnsiTheme="majorEastAsia" w:eastAsiaTheme="majorEastAsia" w:cstheme="majorEastAsia"/>
          <w:b/>
          <w:bCs/>
          <w:i/>
          <w:iCs/>
          <w:color w:val="000000"/>
          <w:sz w:val="24"/>
          <w:szCs w:val="24"/>
          <w:highlight w:val="none"/>
          <w:u w:val="single"/>
        </w:rPr>
        <w:t xml:space="preserve">（本招标文件中斜体且有下划线部分为实质性要求和条件）。</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26.1.9投标文件含有采购人不能接受的附加条件的。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ff0000"/>
          <w:sz w:val="24"/>
          <w:szCs w:val="24"/>
          <w:highlight w:val="none"/>
        </w:rPr>
      </w:pPr>
      <w:r>
        <w:rPr>
          <w:rFonts w:hint="eastAsia" w:asciiTheme="majorEastAsia" w:hAnsiTheme="majorEastAsia" w:eastAsiaTheme="majorEastAsia" w:cstheme="majorEastAsia"/>
          <w:b/>
          <w:bCs/>
          <w:color w:val="ff0000"/>
          <w:sz w:val="24"/>
          <w:szCs w:val="24"/>
          <w:highlight w:val="none"/>
        </w:rPr>
        <w:t xml:space="preserve">26.1.10投标人不能证明其报价合理性的，评</w:t>
      </w:r>
      <w:r>
        <w:rPr>
          <w:rFonts w:hint="eastAsia" w:asciiTheme="majorEastAsia" w:hAnsiTheme="majorEastAsia" w:eastAsiaTheme="majorEastAsia" w:cstheme="majorEastAsia"/>
          <w:b/>
          <w:bCs/>
          <w:color w:val="ff0000"/>
          <w:sz w:val="24"/>
          <w:szCs w:val="24"/>
          <w:highlight w:val="none"/>
          <w:lang w:val="en-US" w:eastAsia="zh-CN"/>
        </w:rPr>
        <w:t xml:space="preserve">标</w:t>
      </w:r>
      <w:r>
        <w:rPr>
          <w:rFonts w:hint="eastAsia" w:asciiTheme="majorEastAsia" w:hAnsiTheme="majorEastAsia" w:eastAsiaTheme="majorEastAsia" w:cstheme="majorEastAsia"/>
          <w:b/>
          <w:bCs/>
          <w:color w:val="ff0000"/>
          <w:sz w:val="24"/>
          <w:szCs w:val="24"/>
          <w:highlight w:val="none"/>
        </w:rPr>
        <w:t xml:space="preserve">委员会应当将其作为无效投标处理。</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（一）评审过程中出现下列情形之一的，评标委员会应当启动异常低价投标审查程序：</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3.投标（响应）报价低于采购项目最高限价45%的，即投标（响应）报价&lt;采购项目最高限价×45%；</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4.评审委员会基于专业判断，认为供应商报价过低，有可能影响产品质量或者不能诚信履约的其他情形。</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采购人可以结合具体项目实际情况，提高上述第1项至第3项中启动异常低价投标（响应）审查的数值标准，但是最高不得超过65%。</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相关法律法规对供应商报价有规定的，从其规定。</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26.1.11投标文件未按照招标文件要求加盖CA电子公章的。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26.1.12其他法律、法规及本招标文件规定的属无效投标的情形。</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26.2废标条款</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26.2.1符合专业条件的供应商或者对招标文件作实质响应的供应商不足三家的。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26.2.2出现影响采购公正的违法、违规行为的。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26.2.3因重大变故，采购任务取消的。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26.2.4评标委员会认定招标文件存在歧义、重大缺陷导致评审工作无法进行。</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26.2.5因苏采云系统系统故障原因造成开标不成功的。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26.3 投标截止时间结束后参加投标的供应商不足三家的处理：</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23"/>
        <w:ind w:firstLine="482"/>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bookmarkStart w:id="156" w:name="_Toc120614219"/>
      <w:r>
        <w:rPr>
          <w:rFonts w:hint="eastAsia" w:asciiTheme="majorEastAsia" w:hAnsiTheme="majorEastAsia" w:eastAsiaTheme="majorEastAsia" w:cstheme="majorEastAsia"/>
          <w:b/>
          <w:color w:val="000000"/>
          <w:sz w:val="24"/>
          <w:szCs w:val="24"/>
          <w:highlight w:val="none"/>
        </w:rPr>
        <w:t xml:space="preserve">六、定标</w:t>
      </w:r>
      <w:bookmarkEnd w:id="156"/>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57" w:name="_Toc20823310"/>
      <w:r/>
      <w:bookmarkStart w:id="158" w:name="_Toc16938554"/>
      <w:r/>
      <w:bookmarkStart w:id="159" w:name="_Toc513029238"/>
      <w:r>
        <w:rPr>
          <w:rFonts w:hint="eastAsia" w:asciiTheme="majorEastAsia" w:hAnsiTheme="majorEastAsia" w:eastAsiaTheme="majorEastAsia" w:cstheme="majorEastAsia"/>
          <w:color w:val="000000"/>
          <w:sz w:val="24"/>
          <w:szCs w:val="24"/>
          <w:highlight w:val="none"/>
        </w:rPr>
        <w:t xml:space="preserve">27、</w:t>
      </w:r>
      <w:bookmarkEnd w:id="157"/>
      <w:r>
        <w:rPr>
          <w:rFonts w:hint="eastAsia" w:asciiTheme="majorEastAsia" w:hAnsiTheme="majorEastAsia" w:eastAsiaTheme="majorEastAsia" w:cstheme="majorEastAsia"/>
          <w:color w:val="000000"/>
          <w:sz w:val="24"/>
          <w:szCs w:val="24"/>
          <w:highlight w:val="none"/>
        </w:rPr>
        <w:t xml:space="preserve">确定</w:t>
      </w:r>
      <w:bookmarkEnd w:id="158"/>
      <w:r/>
      <w:bookmarkEnd w:id="159"/>
      <w:r>
        <w:rPr>
          <w:rFonts w:hint="eastAsia" w:asciiTheme="majorEastAsia" w:hAnsiTheme="majorEastAsia" w:eastAsiaTheme="majorEastAsia" w:cstheme="majorEastAsia"/>
          <w:color w:val="000000"/>
          <w:sz w:val="24"/>
          <w:szCs w:val="24"/>
          <w:highlight w:val="none"/>
        </w:rPr>
        <w:t xml:space="preserve">中标单位</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27.1中标候选人的选取原则和数量见招标文件第五章规定。 </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27.2采购人应根据评委会推荐的中标候选人确定中标人。</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27.3</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将在</w:t>
      </w:r>
      <w:r>
        <w:rPr>
          <w:rFonts w:hint="eastAsia" w:asciiTheme="majorEastAsia" w:hAnsiTheme="majorEastAsia" w:eastAsiaTheme="majorEastAsia" w:cstheme="majorEastAsia"/>
          <w:color w:val="000000"/>
          <w:sz w:val="24"/>
          <w:szCs w:val="24"/>
          <w:highlight w:val="none"/>
          <w:lang w:eastAsia="zh-CN"/>
        </w:rPr>
        <w:t xml:space="preserve">“</w:t>
      </w:r>
      <w:r>
        <w:rPr>
          <w:rFonts w:hint="eastAsia" w:asciiTheme="majorEastAsia" w:hAnsiTheme="majorEastAsia" w:eastAsiaTheme="majorEastAsia" w:cstheme="majorEastAsia"/>
          <w:color w:val="000000"/>
          <w:sz w:val="24"/>
          <w:szCs w:val="24"/>
          <w:highlight w:val="none"/>
          <w:lang w:val="en-US" w:eastAsia="zh-CN"/>
        </w:rPr>
        <w:t xml:space="preserve">中国政府采购网”“</w:t>
      </w:r>
      <w:r>
        <w:rPr>
          <w:rFonts w:hint="eastAsia" w:asciiTheme="majorEastAsia" w:hAnsiTheme="majorEastAsia" w:eastAsiaTheme="majorEastAsia" w:cstheme="majorEastAsia"/>
          <w:color w:val="000000"/>
          <w:sz w:val="24"/>
          <w:szCs w:val="24"/>
          <w:highlight w:val="none"/>
        </w:rPr>
        <w:t xml:space="preserve">江苏政府采购网</w:t>
      </w:r>
      <w:r>
        <w:rPr>
          <w:rFonts w:hint="eastAsia" w:asciiTheme="majorEastAsia" w:hAnsiTheme="majorEastAsia" w:eastAsiaTheme="majorEastAsia" w:cstheme="majorEastAsia"/>
          <w:color w:val="000000"/>
          <w:sz w:val="24"/>
          <w:szCs w:val="24"/>
          <w:highlight w:val="none"/>
          <w:lang w:eastAsia="zh-CN"/>
        </w:rPr>
        <w:t xml:space="preserve">”“</w:t>
      </w:r>
      <w:r>
        <w:rPr>
          <w:rFonts w:hint="eastAsia" w:asciiTheme="majorEastAsia" w:hAnsiTheme="majorEastAsia" w:eastAsiaTheme="majorEastAsia" w:cstheme="majorEastAsia"/>
          <w:color w:val="000000"/>
          <w:sz w:val="24"/>
          <w:szCs w:val="24"/>
          <w:highlight w:val="none"/>
        </w:rPr>
        <w:t xml:space="preserve">盐城市政府采购网”发布中标公告，公告期限为1个工作日。</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27.4若有充分证据证明，中标人出现下列情况之一的，一经查实，将被取消中标资格：</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27.4.1提供虚假材料谋取中标的。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27.4.2向采购人、</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行贿或者提供其他不正当利益的。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27.4.3属于本文件规定的无效条件，但在评标过程中又未被评委会发现的。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27.4.4与采购人或者其他供应商恶意串通的。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27.4.5采取不正当手段诋毁、排挤其他供应商的。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60" w:name="_Toc200451960"/>
      <w:r>
        <w:rPr>
          <w:rFonts w:hint="eastAsia" w:asciiTheme="majorEastAsia" w:hAnsiTheme="majorEastAsia" w:eastAsiaTheme="majorEastAsia" w:cstheme="majorEastAsia"/>
          <w:color w:val="000000"/>
          <w:sz w:val="24"/>
          <w:szCs w:val="24"/>
          <w:highlight w:val="none"/>
        </w:rPr>
        <w:t xml:space="preserve">27.5 有下列情形之一的，视为投标人串通投标，投标无效：</w:t>
      </w:r>
      <w:bookmarkEnd w:id="160"/>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27.5.1不同投标人的投标文件由同一单位或者个人编制。</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27.5.2不同投标人委托同一单位或者个人办理投标事宜。</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27.5.3不同投标人的投标文件载明的项目管理成员或者联系人员为同一人。</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27.5.4不同投标人的投标文件异常一致或者投标报价呈规律性差异。</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28、质疑处理</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或采购人提出质疑。上述应知其权益受到损害之日，是指：</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28.2.1对可以质疑的采购文件提出质疑的，为收到采购文件之日或者采购文件公告期限届满之日；</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28.2.2对采购过程提出质疑的，为各采购程序环节结束之日；</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28.2.3对中标或者成交结果提出质疑的，为中标或者成交结果公告期限届满之日。</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、采购人将只对供应商第一次质疑作出答复。</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提出，由</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负责答复。</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采购代理机构及采购人只接收以纸质原件形式送达的质疑,采购人和采购代理机构不接受未填写快递运单的快件。质疑接收部门为江苏雨田工程咨询集团有限公司，联系地址：滨海县大学生创业园电谷A226室，联系电话：15751609431。</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28.5 以下情形的质疑不予受理</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28.5.1内容不符合《政府采购质疑和投诉办法》第十二条规定的质疑。</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28.5.2超出政府采购法定期限的质疑。</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28.5.3以传真、电子邮件等方式递交的非原件形式的质疑。</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28.5.4未参加投标活动的供应商或在投标活动中自身权益未受到损害的供应商所提出的质疑。</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28.5.5供应商组成联合体参加投标，联合体中任何一方或多方未按要求签字、盖章、加盖公章的质疑。</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28.6供应商提出书面质疑必须有理、有据，不得捏造事实、提供虚假材料进行恶意质疑。否则，一经查实，</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有权依据政府采购的有关规定，报请政府采购监管部门对该供应商进行相应的行政处罚和记录该供应商的失信信息。</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29、中标通知书</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29.l中标结果确定后，</w:t>
      </w:r>
      <w:r>
        <w:rPr>
          <w:rFonts w:hint="eastAsia" w:asciiTheme="majorEastAsia" w:hAnsiTheme="majorEastAsia" w:eastAsiaTheme="majorEastAsia" w:cstheme="majorEastAsia"/>
          <w:color w:val="000000"/>
          <w:sz w:val="24"/>
          <w:szCs w:val="24"/>
          <w:highlight w:val="none"/>
          <w:lang w:eastAsia="zh-CN"/>
        </w:rPr>
        <w:t xml:space="preserve">采购代理机构</w:t>
      </w:r>
      <w:r>
        <w:rPr>
          <w:rFonts w:hint="eastAsia" w:asciiTheme="majorEastAsia" w:hAnsiTheme="majorEastAsia" w:eastAsiaTheme="majorEastAsia" w:cstheme="majorEastAsia"/>
          <w:color w:val="000000"/>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23"/>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bookmarkStart w:id="161" w:name="_Toc120614220"/>
      <w:r/>
      <w:bookmarkStart w:id="162" w:name="_Toc16938552"/>
      <w:r/>
      <w:bookmarkStart w:id="163" w:name="_Toc20823308"/>
      <w:r/>
      <w:bookmarkStart w:id="164" w:name="_Toc513029236"/>
      <w:r>
        <w:rPr>
          <w:rFonts w:hint="eastAsia" w:asciiTheme="majorEastAsia" w:hAnsiTheme="majorEastAsia" w:eastAsiaTheme="majorEastAsia" w:cstheme="majorEastAsia"/>
          <w:b/>
          <w:color w:val="000000"/>
          <w:sz w:val="24"/>
          <w:szCs w:val="24"/>
          <w:highlight w:val="none"/>
        </w:rPr>
        <w:t xml:space="preserve">七、授予合同</w:t>
      </w:r>
      <w:bookmarkEnd w:id="161"/>
      <w:r/>
      <w:bookmarkEnd w:id="162"/>
      <w:r/>
      <w:bookmarkEnd w:id="163"/>
      <w:r/>
      <w:bookmarkEnd w:id="164"/>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bookmarkStart w:id="165" w:name="_Toc20823309"/>
      <w:r/>
      <w:bookmarkStart w:id="166" w:name="_Toc513029237"/>
      <w:r/>
      <w:bookmarkStart w:id="167" w:name="_Toc16938553"/>
      <w:r>
        <w:rPr>
          <w:rFonts w:hint="eastAsia" w:asciiTheme="majorEastAsia" w:hAnsiTheme="majorEastAsia" w:eastAsiaTheme="majorEastAsia" w:cstheme="majorEastAsia"/>
          <w:color w:val="000000"/>
          <w:sz w:val="24"/>
          <w:szCs w:val="24"/>
          <w:highlight w:val="none"/>
        </w:rPr>
        <w:t xml:space="preserve">30.签订合同</w:t>
      </w:r>
      <w:bookmarkEnd w:id="165"/>
      <w:r/>
      <w:bookmarkEnd w:id="166"/>
      <w:r/>
      <w:bookmarkEnd w:id="167"/>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30.l中标人应当在中标通知书发出之日起三十日内，按照招标文件确定的事项与采购人签订政府采购合同。</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30.2招标文件、中标人的投标文件及招标过程中有关澄清、承诺文件均应作为合同附件。</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30.3签订合同后，</w:t>
      </w:r>
      <w:r>
        <w:rPr>
          <w:rFonts w:hint="eastAsia" w:asciiTheme="majorEastAsia" w:hAnsiTheme="majorEastAsia" w:eastAsiaTheme="majorEastAsia" w:cstheme="majorEastAsia"/>
          <w:b/>
          <w:bCs/>
          <w:i/>
          <w:iCs/>
          <w:color w:val="000000"/>
          <w:sz w:val="24"/>
          <w:szCs w:val="24"/>
          <w:highlight w:val="none"/>
          <w:u w:val="single"/>
        </w:rPr>
        <w:t xml:space="preserve">中标人不得将合同标的进行转包</w:t>
      </w:r>
      <w:r>
        <w:rPr>
          <w:rFonts w:hint="eastAsia" w:asciiTheme="majorEastAsia" w:hAnsiTheme="majorEastAsia" w:eastAsiaTheme="majorEastAsia" w:cstheme="majorEastAsia"/>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31、服务（包含与服务相关的货物）的追加</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32.政府采购政策功能落实</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32.1</w:t>
      </w:r>
      <w:r>
        <w:rPr>
          <w:rFonts w:hint="eastAsia" w:asciiTheme="majorEastAsia" w:hAnsiTheme="majorEastAsia" w:eastAsiaTheme="majorEastAsia" w:cstheme="majorEastAsia"/>
          <w:color w:val="000000"/>
          <w:sz w:val="24"/>
          <w:szCs w:val="24"/>
          <w:highlight w:val="none"/>
        </w:rPr>
        <w:t xml:space="preserve">政府采购</w:t>
      </w:r>
      <w:r>
        <w:rPr>
          <w:rFonts w:hint="eastAsia" w:asciiTheme="majorEastAsia" w:hAnsiTheme="majorEastAsia" w:eastAsiaTheme="majorEastAsia" w:cstheme="majorEastAsia"/>
          <w:color w:val="000000"/>
          <w:sz w:val="24"/>
          <w:szCs w:val="24"/>
          <w:highlight w:val="none"/>
          <w:lang w:eastAsia="zh-CN"/>
        </w:rPr>
        <w:t xml:space="preserve">线上合同信用融资</w:t>
      </w:r>
      <w:r>
        <w:rPr>
          <w:rFonts w:hint="eastAsia" w:asciiTheme="majorEastAsia" w:hAnsiTheme="majorEastAsia" w:eastAsiaTheme="majorEastAsia" w:cstheme="majorEastAsia"/>
          <w:color w:val="000000"/>
          <w:sz w:val="24"/>
          <w:szCs w:val="24"/>
          <w:highlight w:val="none"/>
        </w:rPr>
        <w:t xml:space="preserve">政策</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Theme="majorEastAsia" w:hAnsiTheme="majorEastAsia" w:eastAsiaTheme="majorEastAsia" w:cstheme="majorEastAsia"/>
          <w:color w:val="000000"/>
          <w:sz w:val="24"/>
          <w:szCs w:val="24"/>
          <w:highlight w:val="none"/>
          <w:lang w:val="en-US" w:eastAsia="zh-CN"/>
        </w:rPr>
        <w:t xml:space="preserve">江苏省</w:t>
      </w:r>
      <w:r>
        <w:rPr>
          <w:rFonts w:hint="eastAsia" w:asciiTheme="majorEastAsia" w:hAnsiTheme="majorEastAsia" w:eastAsiaTheme="majorEastAsia" w:cstheme="majorEastAsia"/>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32.2进口产品</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进口产品</w:t>
      </w:r>
      <w:r>
        <w:rPr>
          <w:rFonts w:hint="eastAsia" w:asciiTheme="majorEastAsia" w:hAnsiTheme="majorEastAsia" w:eastAsiaTheme="majorEastAsia" w:cstheme="majorEastAsia"/>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32.3中小企业、监狱企业及残疾人福利性单位</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32.3.1中小企业定义：</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中小企业是</w:t>
      </w:r>
      <w:r>
        <w:rPr>
          <w:rFonts w:hint="eastAsia" w:asciiTheme="majorEastAsia" w:hAnsiTheme="majorEastAsia" w:eastAsiaTheme="majorEastAsia" w:cstheme="majorEastAsia"/>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32.3.2供应商提供的货物、工程或者服务符合下列情形的，享受中小企业扶持政策：</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32.3.2.2在工程采购项目中，工程由中小企业承建，即工程施工单位为中小企业；</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32.3.6残疾人福利单位定义：享受政府采购支持政策的残疾人福利性单位应当同时满足以下条件：</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32.3.6.2依法与安置的每位残疾人签订了一年以上（含一年）的劳动合同或服务协议；</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32.3.7本项目是否专门面向中小企业预留采购份额见第一章《招标公告》。</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32.3.8采购标的对应的中小企业划分标准所属行业见第四章《采购需求》。</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32.3.9小微企业价格评审优惠的政策：见第五章《评标方法和评标标准》。</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32.4政府采购节能产品、环境标志产品</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32.4.1严格执行政府采购关于支持</w:t>
      </w:r>
      <w:r>
        <w:rPr>
          <w:rFonts w:hint="eastAsia" w:asciiTheme="majorEastAsia" w:hAnsiTheme="majorEastAsia" w:eastAsiaTheme="majorEastAsia" w:cstheme="majorEastAsia"/>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32.5绿色包装</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32.6政府采购创新产品</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采购人优先采购各级政府部门公开发布的有效期内的创新产品、创新服务、首台套、首购首用等《目录》的创新产品。</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32.7绿色数据中心政策 </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Theme="majorEastAsia" w:hAnsiTheme="majorEastAsia" w:eastAsiaTheme="majorEastAsia" w:cstheme="majorEastAsia"/>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32.8实施本国产品标准及相关政策</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1.本项目对采购本国产品给予政策支持，具体内容见招标文件“第五章 评标方法与评标标准”。</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32.9履约保证金政策</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确需收取履约保证金的，履约保证金的缴纳形式：</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33. 预付款制度</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本项目落实预付款制度，预付款比例为</w:t>
      </w:r>
      <w:r>
        <w:rPr>
          <w:rFonts w:hint="eastAsia" w:asciiTheme="majorEastAsia" w:hAnsiTheme="majorEastAsia" w:eastAsiaTheme="majorEastAsia" w:cstheme="majorEastAsia"/>
          <w:color w:val="auto"/>
          <w:sz w:val="24"/>
          <w:szCs w:val="24"/>
          <w:highlight w:val="none"/>
          <w:u w:val="single"/>
          <w:lang w:val="en-US" w:eastAsia="zh-CN"/>
        </w:rPr>
        <w:t xml:space="preserve">20%</w:t>
      </w:r>
      <w:r>
        <w:rPr>
          <w:rFonts w:hint="eastAsia" w:asciiTheme="majorEastAsia" w:hAnsiTheme="majorEastAsia" w:eastAsiaTheme="majorEastAsia" w:cstheme="majorEastAsia"/>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u w:val="none"/>
          <w:lang w:val="en-US" w:eastAsia="zh-CN"/>
        </w:rPr>
      </w:pPr>
      <w:r>
        <w:rPr>
          <w:rFonts w:hint="eastAsia" w:asciiTheme="majorEastAsia" w:hAnsiTheme="majorEastAsia" w:eastAsiaTheme="majorEastAsia" w:cstheme="majorEastAsia"/>
          <w:color w:val="auto"/>
          <w:sz w:val="24"/>
          <w:szCs w:val="24"/>
          <w:highlight w:val="none"/>
          <w:u w:val="none"/>
          <w:lang w:val="en-US" w:eastAsia="zh-CN"/>
        </w:rPr>
        <w:t xml:space="preserve">34.其他费用</w:t>
      </w:r>
      <w:r/>
    </w:p>
    <w:p>
      <w:pPr>
        <w:ind w:firstLine="480"/>
        <w:jc w:val="left"/>
        <w:spacing w:line="420" w:lineRule="exact"/>
        <w:rPr>
          <w:rFonts w:hint="eastAsia" w:asciiTheme="majorEastAsia" w:hAnsiTheme="majorEastAsia" w:eastAsiaTheme="majorEastAsia" w:cstheme="majorEastAsia"/>
          <w:color w:val="auto"/>
          <w:sz w:val="24"/>
          <w:szCs w:val="24"/>
          <w:highlight w:val="none"/>
          <w:u w:val="none"/>
          <w:lang w:val="en-US" w:eastAsia="zh-CN" w:bidi="ar-SA"/>
        </w:rPr>
      </w:pPr>
      <w:r>
        <w:rPr>
          <w:rFonts w:hint="eastAsia" w:asciiTheme="majorEastAsia" w:hAnsiTheme="majorEastAsia" w:eastAsiaTheme="majorEastAsia" w:cstheme="majorEastAsia"/>
          <w:color w:val="auto"/>
          <w:sz w:val="24"/>
          <w:szCs w:val="24"/>
          <w:highlight w:val="none"/>
          <w:u w:val="none"/>
          <w:lang w:val="en-US" w:eastAsia="zh-CN" w:bidi="ar-SA"/>
        </w:rPr>
        <w:t xml:space="preserve">招标文件未列明，而投标人认为必须的费用也须列入报价。</w:t>
      </w:r>
      <w:r/>
    </w:p>
    <w:p>
      <w:pPr>
        <w:ind w:firstLine="480"/>
        <w:spacing w:line="420" w:lineRule="exact"/>
        <w:rPr>
          <w:rFonts w:hint="eastAsia" w:asciiTheme="majorEastAsia" w:hAnsiTheme="majorEastAsia" w:eastAsiaTheme="majorEastAsia" w:cstheme="majorEastAsia"/>
          <w:color w:val="auto"/>
          <w:sz w:val="24"/>
          <w:szCs w:val="24"/>
          <w:highlight w:val="none"/>
          <w:u w:val="none"/>
          <w:lang w:val="en-US" w:eastAsia="zh-CN" w:bidi="ar-SA"/>
        </w:rPr>
      </w:pPr>
      <w:r>
        <w:rPr>
          <w:rFonts w:hint="eastAsia" w:asciiTheme="majorEastAsia" w:hAnsiTheme="majorEastAsia" w:eastAsiaTheme="majorEastAsia" w:cstheme="majorEastAsia"/>
          <w:color w:val="auto"/>
          <w:sz w:val="24"/>
          <w:szCs w:val="24"/>
          <w:highlight w:val="none"/>
          <w:u w:val="none"/>
          <w:lang w:val="en-US" w:eastAsia="zh-CN" w:bidi="ar-SA"/>
        </w:rPr>
        <w:t xml:space="preserve">本项目代理服务费按苏政采【2024】20号文件中服务招标取费标准折后执行，采购人约定由中标人在领取中标通知书前向采购代理单位一次性代为支付采购代理服务费人民币采购包1：7000元、采购包2：3500元。投标人须将此费用纳入投标报价中，采购人不另行支付。</w:t>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ff0000"/>
          <w:sz w:val="24"/>
          <w:szCs w:val="24"/>
          <w:highlight w:val="none"/>
          <w:lang w:val="en-US" w:eastAsia="zh-CN"/>
        </w:rPr>
      </w:pPr>
      <w:r>
        <w:rPr>
          <w:rFonts w:hint="eastAsia" w:asciiTheme="majorEastAsia" w:hAnsiTheme="majorEastAsia" w:eastAsiaTheme="majorEastAsia" w:cstheme="majorEastAsia"/>
          <w:color w:val="ff0000"/>
          <w:sz w:val="24"/>
          <w:szCs w:val="24"/>
          <w:highlight w:val="none"/>
          <w:lang w:val="en-US" w:eastAsia="zh-CN"/>
        </w:rPr>
      </w:r>
      <w:r/>
    </w:p>
    <w:p>
      <w:pPr>
        <w:pStyle w:val="823"/>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 </w:t>
      </w:r>
      <w:r/>
    </w:p>
    <w:p>
      <w:pPr>
        <w:pStyle w:val="82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 </w:t>
      </w:r>
      <w:r/>
    </w:p>
    <w:p>
      <w:pPr>
        <w:pStyle w:val="82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 </w:t>
      </w:r>
      <w:r/>
    </w:p>
    <w:p>
      <w:pPr>
        <w:pStyle w:val="82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 </w:t>
      </w:r>
      <w:r/>
    </w:p>
    <w:p>
      <w:pPr>
        <w:pStyle w:val="823"/>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p>
    <w:p>
      <w:pPr>
        <w:jc w:val="center"/>
        <w:keepLines w:val="0"/>
        <w:keepNext w:val="0"/>
        <w:pageBreakBefore w:val="0"/>
        <w:spacing w:line="500" w:lineRule="exact"/>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t xml:space="preserve">第三章  合同文本</w:t>
      </w:r>
      <w:r/>
    </w:p>
    <w:p>
      <w:pPr>
        <w:pStyle w:val="823"/>
        <w:jc w:val="center"/>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盐城市政府采购合同（服务）（合同编号）</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项目名称：</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项目编号：</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甲方：（买方）_________</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乙方：（卖方）_________</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   </w:t>
      </w:r>
      <w:r>
        <w:rPr>
          <w:rFonts w:hint="eastAsia" w:asciiTheme="majorEastAsia" w:hAnsiTheme="majorEastAsia" w:eastAsiaTheme="majorEastAsia" w:cstheme="majorEastAsia"/>
          <w:color w:val="000000"/>
          <w:sz w:val="24"/>
          <w:szCs w:val="24"/>
          <w:highlight w:val="none"/>
        </w:rPr>
        <w:t xml:space="preserve">甲、乙双方根据</w:t>
      </w:r>
      <w:r>
        <w:rPr>
          <w:rFonts w:hint="eastAsia" w:asciiTheme="majorEastAsia" w:hAnsiTheme="majorEastAsia" w:eastAsiaTheme="majorEastAsia" w:cstheme="majorEastAsia"/>
          <w:color w:val="000000"/>
          <w:sz w:val="24"/>
          <w:szCs w:val="24"/>
          <w:highlight w:val="none"/>
          <w:u w:val="single"/>
        </w:rPr>
        <w:t xml:space="preserve">         </w:t>
      </w:r>
      <w:r>
        <w:rPr>
          <w:rFonts w:hint="eastAsia" w:asciiTheme="majorEastAsia" w:hAnsiTheme="majorEastAsia" w:eastAsiaTheme="majorEastAsia" w:cstheme="majorEastAsia"/>
          <w:color w:val="000000"/>
          <w:sz w:val="24"/>
          <w:szCs w:val="24"/>
          <w:highlight w:val="none"/>
        </w:rPr>
        <w:t xml:space="preserve">项目公开招标的结果，签署本合同。</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一、合同内容</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标的名称：</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2.</w:t>
      </w:r>
      <w:r>
        <w:rPr>
          <w:rFonts w:hint="eastAsia" w:asciiTheme="majorEastAsia" w:hAnsiTheme="majorEastAsia" w:eastAsiaTheme="majorEastAsia" w:cstheme="majorEastAsia"/>
          <w:color w:val="000000"/>
          <w:sz w:val="24"/>
          <w:szCs w:val="24"/>
          <w:highlight w:val="none"/>
        </w:rPr>
        <w:t xml:space="preserve">标的质量：</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3.</w:t>
      </w:r>
      <w:r>
        <w:rPr>
          <w:rFonts w:hint="eastAsia" w:asciiTheme="majorEastAsia" w:hAnsiTheme="majorEastAsia" w:eastAsiaTheme="majorEastAsia" w:cstheme="majorEastAsia"/>
          <w:color w:val="000000"/>
          <w:sz w:val="24"/>
          <w:szCs w:val="24"/>
          <w:highlight w:val="none"/>
        </w:rPr>
        <w:t xml:space="preserve">标的数量（规模）：</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4.</w:t>
      </w:r>
      <w:r>
        <w:rPr>
          <w:rFonts w:hint="eastAsia" w:asciiTheme="majorEastAsia" w:hAnsiTheme="majorEastAsia" w:eastAsiaTheme="majorEastAsia" w:cstheme="majorEastAsia"/>
          <w:color w:val="000000"/>
          <w:sz w:val="24"/>
          <w:szCs w:val="24"/>
          <w:highlight w:val="none"/>
        </w:rPr>
        <w:t xml:space="preserve">履行时间（期限）：</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5.</w:t>
      </w:r>
      <w:r>
        <w:rPr>
          <w:rFonts w:hint="eastAsia" w:asciiTheme="majorEastAsia" w:hAnsiTheme="majorEastAsia" w:eastAsiaTheme="majorEastAsia" w:cstheme="majorEastAsia"/>
          <w:color w:val="000000"/>
          <w:sz w:val="24"/>
          <w:szCs w:val="24"/>
          <w:highlight w:val="none"/>
        </w:rPr>
        <w:t xml:space="preserve">履行地点：</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6.</w:t>
      </w:r>
      <w:r>
        <w:rPr>
          <w:rFonts w:hint="eastAsia" w:asciiTheme="majorEastAsia" w:hAnsiTheme="majorEastAsia" w:eastAsiaTheme="majorEastAsia" w:cstheme="majorEastAsia"/>
          <w:color w:val="000000"/>
          <w:sz w:val="24"/>
          <w:szCs w:val="24"/>
          <w:highlight w:val="none"/>
        </w:rPr>
        <w:t xml:space="preserve">履行方式：</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二、合同金额</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本合同金额为（大写）：______________圆（__________元）人民币。</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2.</w:t>
      </w:r>
      <w:r>
        <w:rPr>
          <w:rFonts w:hint="eastAsia" w:asciiTheme="majorEastAsia" w:hAnsiTheme="majorEastAsia" w:eastAsiaTheme="majorEastAsia" w:cstheme="majorEastAsia"/>
          <w:color w:val="000000"/>
          <w:sz w:val="24"/>
          <w:szCs w:val="24"/>
          <w:highlight w:val="none"/>
        </w:rPr>
        <w:t xml:space="preserve">合同价款包含所有乙方提供合同约定的服务报酬及乙方提供合同中服务所支出的所有费用（含税费），甲方在上述合同价款之外不再向乙方支付其他任何费用。</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三、技术资料</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乙方应按招标文件规定的时间向甲方提供服务（包含与服务相关的货物）的有关技术资料。</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2.</w:t>
      </w:r>
      <w:r>
        <w:rPr>
          <w:rFonts w:hint="eastAsia" w:asciiTheme="majorEastAsia" w:hAnsiTheme="majorEastAsia" w:eastAsiaTheme="majorEastAsia" w:cstheme="majorEastAsia"/>
          <w:color w:val="000000"/>
          <w:sz w:val="24"/>
          <w:szCs w:val="24"/>
          <w:highlight w:val="none"/>
        </w:rPr>
        <w:t xml:space="preserve">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3"/>
        <w:ind w:left="412" w:hanging="412"/>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四、知识产权</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乙方应保证甲方在使用、接受本合同服务（包含与服务相关的货物）或其任何一部分时不受第三方提出侵犯其专利权、版权、商标权和工业设计权等知</w:t>
      </w:r>
      <w:r>
        <w:rPr>
          <w:rFonts w:hint="eastAsia" w:asciiTheme="majorEastAsia" w:hAnsiTheme="majorEastAsia" w:eastAsiaTheme="majorEastAsia" w:cstheme="majorEastAsia"/>
          <w:color w:val="000000"/>
          <w:sz w:val="24"/>
          <w:szCs w:val="24"/>
          <w:highlight w:val="none"/>
          <w:lang w:val="en-US" w:eastAsia="zh-CN"/>
        </w:rPr>
        <w:t xml:space="preserve">识产权的起诉。一旦出现侵权，由乙方负全部责任。</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五、产权担保</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乙方保证所交付的服务（包含与服务相关的货物）的所有权完全属于乙方且无任何抵押、查封等产权瑕疵。</w:t>
      </w:r>
      <w:r/>
    </w:p>
    <w:p>
      <w:pPr>
        <w:pStyle w:val="823"/>
        <w:ind w:left="410" w:hanging="410"/>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六、履约保证金</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乙方交纳人民币_________元作为本合同的履约保证金。</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 xml:space="preserve">2.确需收取履约保证金的，</w:t>
      </w:r>
      <w:r>
        <w:rPr>
          <w:rFonts w:hint="eastAsia" w:asciiTheme="majorEastAsia" w:hAnsiTheme="majorEastAsia" w:eastAsiaTheme="majorEastAsia" w:cstheme="majorEastAsia"/>
          <w:color w:val="auto"/>
          <w:sz w:val="24"/>
          <w:szCs w:val="24"/>
          <w:highlight w:val="none"/>
          <w:lang w:eastAsia="zh-CN"/>
        </w:rPr>
        <w:t xml:space="preserve">履约保证金的缴纳形式：</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 xml:space="preserve">2.1</w:t>
      </w:r>
      <w:r>
        <w:rPr>
          <w:rFonts w:hint="eastAsia" w:asciiTheme="majorEastAsia" w:hAnsiTheme="majorEastAsia" w:eastAsiaTheme="majorEastAsia" w:cstheme="majorEastAsia"/>
          <w:color w:val="auto"/>
          <w:sz w:val="24"/>
          <w:szCs w:val="24"/>
          <w:highlight w:val="none"/>
        </w:rPr>
        <w:t xml:space="preserve">供应商应当以支票、汇票、本票或者金融机构、担保机构出具的保函等非现金形式提交</w:t>
      </w:r>
      <w:r>
        <w:rPr>
          <w:rFonts w:hint="eastAsia" w:asciiTheme="majorEastAsia" w:hAnsiTheme="majorEastAsia" w:eastAsiaTheme="majorEastAsia" w:cstheme="majorEastAsia"/>
          <w:color w:val="auto"/>
          <w:sz w:val="24"/>
          <w:szCs w:val="24"/>
          <w:highlight w:val="none"/>
          <w:lang w:eastAsia="zh-CN"/>
        </w:rPr>
        <w:t xml:space="preserve">履约保证金</w:t>
      </w:r>
      <w:r>
        <w:rPr>
          <w:rFonts w:hint="eastAsia" w:asciiTheme="majorEastAsia" w:hAnsiTheme="majorEastAsia" w:eastAsiaTheme="majorEastAsia" w:cstheme="majorEastAsia"/>
          <w:color w:val="auto"/>
          <w:sz w:val="24"/>
          <w:szCs w:val="24"/>
          <w:highlight w:val="none"/>
        </w:rPr>
        <w:t xml:space="preserve">。依据《关于在全省政府采购领域推行电子履约保函（保险）的通知》，鼓励供应商自愿使用</w:t>
      </w:r>
      <w:r>
        <w:rPr>
          <w:rFonts w:hint="eastAsia" w:asciiTheme="majorEastAsia" w:hAnsiTheme="majorEastAsia" w:eastAsiaTheme="majorEastAsia" w:cstheme="majorEastAsia"/>
          <w:color w:val="auto"/>
          <w:sz w:val="24"/>
          <w:szCs w:val="24"/>
          <w:highlight w:val="none"/>
          <w:lang w:eastAsia="zh-CN"/>
        </w:rPr>
        <w:t xml:space="preserve">电子</w:t>
      </w:r>
      <w:r>
        <w:rPr>
          <w:rFonts w:hint="eastAsia" w:asciiTheme="majorEastAsia" w:hAnsiTheme="majorEastAsia" w:eastAsiaTheme="majorEastAsia" w:cstheme="majorEastAsia"/>
          <w:color w:val="auto"/>
          <w:sz w:val="24"/>
          <w:szCs w:val="24"/>
          <w:highlight w:val="none"/>
        </w:rPr>
        <w:t xml:space="preserve">履约保函（保险）代替缴纳履约保证金</w:t>
      </w:r>
      <w:r>
        <w:rPr>
          <w:rFonts w:hint="eastAsia" w:asciiTheme="majorEastAsia" w:hAnsiTheme="majorEastAsia" w:eastAsiaTheme="majorEastAsia" w:cstheme="majorEastAsia"/>
          <w:color w:val="auto"/>
          <w:sz w:val="24"/>
          <w:szCs w:val="24"/>
          <w:highlight w:val="none"/>
          <w:lang w:eastAsia="zh-CN"/>
        </w:rPr>
        <w:t xml:space="preserve">。</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2.2 如以履约保函（保险）形式缴纳履约保证金，供应商可通过政府采购电子履约保函（保险）平台（www.jsdzbh.com）在线申请履约保函（保险）。</w:t>
      </w:r>
      <w:r/>
    </w:p>
    <w:p>
      <w:pPr>
        <w:pStyle w:val="823"/>
        <w:ind w:left="408" w:hanging="408"/>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3.</w:t>
      </w:r>
      <w:r>
        <w:rPr>
          <w:rFonts w:hint="eastAsia" w:asciiTheme="majorEastAsia" w:hAnsiTheme="majorEastAsia" w:eastAsiaTheme="majorEastAsia" w:cstheme="majorEastAsia"/>
          <w:color w:val="auto"/>
          <w:sz w:val="24"/>
          <w:szCs w:val="24"/>
          <w:highlight w:val="none"/>
        </w:rPr>
        <w:t xml:space="preserve">合同履行结束后，甲方应及时退还交纳的履约保证金。</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履约保证金的退还：</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.2时间：验收合格且采购人收到发票后30日内。</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.4不予退还情形：</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（2）中标人不履行与采购人订立的合同的；</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（3）中标人所供货物或服务不符合招标文件规定要求的；</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（5）中标人将合同内容转包、违法分包的；</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keepLines w:val="0"/>
        <w:keepNext w:val="0"/>
        <w:pageBreakBefore w:val="0"/>
        <w:spacing w:line="360" w:lineRule="auto"/>
        <w:widowControl w:val="off"/>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2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七、合同转包或分包</w:t>
      </w:r>
      <w:r/>
    </w:p>
    <w:p>
      <w:pPr>
        <w:pStyle w:val="82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乙方不得将合同标的转包给他人履行。</w:t>
      </w:r>
      <w:r/>
    </w:p>
    <w:p>
      <w:pPr>
        <w:pStyle w:val="82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2.</w:t>
      </w:r>
      <w:r>
        <w:rPr>
          <w:rFonts w:hint="eastAsia" w:asciiTheme="majorEastAsia" w:hAnsiTheme="majorEastAsia" w:eastAsiaTheme="majorEastAsia" w:cstheme="majorEastAsia"/>
          <w:color w:val="000000"/>
          <w:sz w:val="24"/>
          <w:szCs w:val="24"/>
          <w:highlight w:val="none"/>
        </w:rPr>
        <w:t xml:space="preserve">乙方不得将合同标的分包给他人履行。</w:t>
      </w:r>
      <w:r/>
    </w:p>
    <w:p>
      <w:pPr>
        <w:pStyle w:val="82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3.</w:t>
      </w:r>
      <w:r>
        <w:rPr>
          <w:rFonts w:hint="eastAsia" w:asciiTheme="majorEastAsia" w:hAnsiTheme="majorEastAsia" w:eastAsiaTheme="majorEastAsia" w:cstheme="majorEastAsia"/>
          <w:color w:val="000000"/>
          <w:sz w:val="24"/>
          <w:szCs w:val="24"/>
          <w:highlight w:val="none"/>
        </w:rPr>
        <w:t xml:space="preserve">乙方如有转包或未经甲方同意的分包行为，甲方有权解除合同。</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val="0"/>
          <w:color w:val="auto"/>
          <w:sz w:val="24"/>
          <w:szCs w:val="24"/>
          <w:highlight w:val="none"/>
        </w:rPr>
      </w:pPr>
      <w:r>
        <w:rPr>
          <w:rFonts w:hint="eastAsia" w:asciiTheme="majorEastAsia" w:hAnsiTheme="majorEastAsia" w:eastAsiaTheme="majorEastAsia" w:cstheme="majorEastAsia"/>
          <w:b/>
          <w:bCs w:val="0"/>
          <w:color w:val="auto"/>
          <w:sz w:val="24"/>
          <w:szCs w:val="24"/>
          <w:highlight w:val="none"/>
        </w:rPr>
        <w:t xml:space="preserve">八、合同款项支付</w:t>
      </w:r>
      <w:r/>
    </w:p>
    <w:p>
      <w:pPr>
        <w:pStyle w:val="82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b/>
          <w:bCs w:val="0"/>
          <w:color w:val="auto"/>
          <w:sz w:val="24"/>
          <w:szCs w:val="24"/>
          <w:highlight w:val="none"/>
          <w:lang w:eastAsia="zh-CN"/>
        </w:rPr>
      </w:pPr>
      <w:r>
        <w:rPr>
          <w:rFonts w:hint="eastAsia" w:asciiTheme="majorEastAsia" w:hAnsiTheme="majorEastAsia" w:eastAsiaTheme="majorEastAsia" w:cstheme="majorEastAsia"/>
          <w:b/>
          <w:bCs w:val="0"/>
          <w:color w:val="auto"/>
          <w:sz w:val="24"/>
          <w:szCs w:val="24"/>
          <w:highlight w:val="none"/>
          <w:lang w:val="en-US" w:eastAsia="zh-CN"/>
        </w:rPr>
        <w:t xml:space="preserve">1.</w:t>
      </w:r>
      <w:r>
        <w:rPr>
          <w:rFonts w:hint="eastAsia" w:asciiTheme="majorEastAsia" w:hAnsiTheme="majorEastAsia" w:eastAsiaTheme="majorEastAsia" w:cstheme="majorEastAsia"/>
          <w:b/>
          <w:bCs w:val="0"/>
          <w:color w:val="auto"/>
          <w:sz w:val="24"/>
          <w:szCs w:val="24"/>
          <w:highlight w:val="none"/>
        </w:rPr>
        <w:t xml:space="preserve">合同签定后7日内支付合同总价的</w:t>
      </w:r>
      <w:r>
        <w:rPr>
          <w:rFonts w:hint="eastAsia" w:asciiTheme="majorEastAsia" w:hAnsiTheme="majorEastAsia" w:eastAsiaTheme="majorEastAsia" w:cstheme="majorEastAsia"/>
          <w:b/>
          <w:bCs w:val="0"/>
          <w:color w:val="auto"/>
          <w:sz w:val="24"/>
          <w:szCs w:val="24"/>
          <w:highlight w:val="none"/>
          <w:lang w:val="en-US" w:eastAsia="zh-CN"/>
        </w:rPr>
        <w:t xml:space="preserve">20</w:t>
      </w:r>
      <w:r>
        <w:rPr>
          <w:rFonts w:hint="eastAsia" w:asciiTheme="majorEastAsia" w:hAnsiTheme="majorEastAsia" w:eastAsiaTheme="majorEastAsia" w:cstheme="majorEastAsia"/>
          <w:b/>
          <w:bCs w:val="0"/>
          <w:color w:val="auto"/>
          <w:sz w:val="24"/>
          <w:szCs w:val="24"/>
          <w:highlight w:val="none"/>
        </w:rPr>
        <w:t xml:space="preserve">%作为预付款(乙方须提供合同总价</w:t>
      </w:r>
      <w:r>
        <w:rPr>
          <w:rFonts w:hint="eastAsia" w:asciiTheme="majorEastAsia" w:hAnsiTheme="majorEastAsia" w:eastAsiaTheme="majorEastAsia" w:cstheme="majorEastAsia"/>
          <w:b/>
          <w:bCs w:val="0"/>
          <w:color w:val="auto"/>
          <w:sz w:val="24"/>
          <w:szCs w:val="24"/>
          <w:highlight w:val="none"/>
          <w:lang w:val="en-US" w:eastAsia="zh-CN"/>
        </w:rPr>
        <w:t xml:space="preserve">20</w:t>
      </w:r>
      <w:r>
        <w:rPr>
          <w:rFonts w:hint="eastAsia" w:asciiTheme="majorEastAsia" w:hAnsiTheme="majorEastAsia" w:eastAsiaTheme="majorEastAsia" w:cstheme="majorEastAsia"/>
          <w:b/>
          <w:bCs w:val="0"/>
          <w:color w:val="auto"/>
          <w:sz w:val="24"/>
          <w:szCs w:val="24"/>
          <w:highlight w:val="none"/>
        </w:rPr>
        <w:t xml:space="preserve">%的金融机构或担保机构出具的</w:t>
      </w:r>
      <w:r>
        <w:rPr>
          <w:rFonts w:hint="eastAsia" w:asciiTheme="majorEastAsia" w:hAnsiTheme="majorEastAsia" w:eastAsiaTheme="majorEastAsia" w:cstheme="majorEastAsia"/>
          <w:b/>
          <w:bCs w:val="0"/>
          <w:color w:val="auto"/>
          <w:sz w:val="24"/>
          <w:szCs w:val="24"/>
          <w:highlight w:val="none"/>
          <w:lang w:val="en-US" w:eastAsia="zh-CN"/>
        </w:rPr>
        <w:t xml:space="preserve">预付款</w:t>
      </w:r>
      <w:r>
        <w:rPr>
          <w:rFonts w:hint="eastAsia" w:asciiTheme="majorEastAsia" w:hAnsiTheme="majorEastAsia" w:eastAsiaTheme="majorEastAsia" w:cstheme="majorEastAsia"/>
          <w:b/>
          <w:bCs w:val="0"/>
          <w:color w:val="auto"/>
          <w:sz w:val="24"/>
          <w:szCs w:val="24"/>
          <w:highlight w:val="none"/>
        </w:rPr>
        <w:t xml:space="preserve">保函)</w:t>
      </w:r>
      <w:r>
        <w:rPr>
          <w:rFonts w:hint="eastAsia" w:asciiTheme="majorEastAsia" w:hAnsiTheme="majorEastAsia" w:eastAsiaTheme="majorEastAsia" w:cstheme="majorEastAsia"/>
          <w:b/>
          <w:bCs w:val="0"/>
          <w:color w:val="auto"/>
          <w:sz w:val="24"/>
          <w:szCs w:val="24"/>
          <w:highlight w:val="none"/>
          <w:lang w:eastAsia="zh-CN"/>
        </w:rPr>
        <w:t xml:space="preserve">；</w:t>
      </w:r>
      <w:r/>
    </w:p>
    <w:p>
      <w:pPr>
        <w:spacing w:line="460" w:lineRule="exact"/>
        <w:rPr>
          <w:rFonts w:hint="eastAsia" w:asciiTheme="majorEastAsia" w:hAnsiTheme="majorEastAsia" w:eastAsiaTheme="majorEastAsia" w:cstheme="majorEastAsia"/>
          <w:b/>
          <w:bCs w:val="0"/>
          <w:color w:val="auto"/>
          <w:sz w:val="24"/>
          <w:szCs w:val="24"/>
          <w:highlight w:val="none"/>
          <w:lang w:val="en-US" w:eastAsia="zh-CN" w:bidi="ar-SA"/>
        </w:rPr>
      </w:pPr>
      <w:r>
        <w:rPr>
          <w:rFonts w:hint="eastAsia" w:asciiTheme="majorEastAsia" w:hAnsiTheme="majorEastAsia" w:eastAsiaTheme="majorEastAsia" w:cstheme="majorEastAsia"/>
          <w:b/>
          <w:bCs w:val="0"/>
          <w:color w:val="auto"/>
          <w:sz w:val="24"/>
          <w:szCs w:val="24"/>
          <w:highlight w:val="none"/>
          <w:lang w:val="en-US" w:eastAsia="zh-CN" w:bidi="ar-SA"/>
        </w:rPr>
        <w:t xml:space="preserve">2.测绘成果经江苏省测绘产品质量监督检验站检查合格并经招标人组织验收通过后，招标人全部支付合同价款并退还中标人的履约保证金（不含利息）。</w:t>
      </w:r>
      <w:r/>
    </w:p>
    <w:p>
      <w:pPr>
        <w:pStyle w:val="82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b/>
          <w:bCs w:val="0"/>
          <w:color w:val="ff0000"/>
          <w:sz w:val="24"/>
          <w:szCs w:val="24"/>
          <w:highlight w:val="yellow"/>
          <w:lang w:val="en-US" w:eastAsia="zh-CN"/>
        </w:rPr>
      </w:pPr>
      <w:r>
        <w:rPr>
          <w:rFonts w:hint="eastAsia" w:asciiTheme="majorEastAsia" w:hAnsiTheme="majorEastAsia" w:eastAsiaTheme="majorEastAsia" w:cstheme="majorEastAsia"/>
          <w:b/>
          <w:bCs w:val="0"/>
          <w:color w:val="auto"/>
          <w:sz w:val="24"/>
          <w:szCs w:val="24"/>
          <w:highlight w:val="none"/>
          <w:lang w:val="en-US" w:eastAsia="zh-CN" w:bidi="ar-SA"/>
        </w:rPr>
        <w:t xml:space="preserve">注：在签订合同时，中标、成交供应商明确书面表示无需预付款或者主动要求降</w:t>
      </w:r>
      <w:r>
        <w:rPr>
          <w:rFonts w:hint="eastAsia" w:asciiTheme="majorEastAsia" w:hAnsiTheme="majorEastAsia" w:eastAsiaTheme="majorEastAsia" w:cstheme="majorEastAsia"/>
          <w:b/>
          <w:bCs w:val="0"/>
          <w:color w:val="auto"/>
          <w:sz w:val="24"/>
          <w:szCs w:val="24"/>
          <w:highlight w:val="none"/>
          <w:lang w:val="en-US" w:eastAsia="zh-CN"/>
        </w:rPr>
        <w:t xml:space="preserve">低预付款比例的，采购人可就预付款比例作相应调整。</w:t>
      </w:r>
      <w:r/>
    </w:p>
    <w:p>
      <w:pPr>
        <w:pStyle w:val="82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九、税费</w:t>
      </w:r>
      <w:r/>
    </w:p>
    <w:p>
      <w:pPr>
        <w:pStyle w:val="823"/>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本合同执行中相关的一切税费均由乙方负担。</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十、项目验收</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1.甲方依法组织履约验收工作。</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3.对于实际使用人和甲方分离的项目，甲方邀请实际使用人参与验收。</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4.如有必要，甲方邀请参加本项目的其他供应商或第三方专业机构及专家参与验收，相关意见将作为验收书的参考资料。</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十一、违约责任</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宋体" w:hAnsi="宋体" w:eastAsia="宋体" w:cs="宋体"/>
          <w:sz w:val="21"/>
          <w:szCs w:val="21"/>
          <w:lang w:val="en-US" w:eastAsia="zh-CN"/>
        </w:rPr>
        <w:t xml:space="preserve">合同一方不履行合同义务或者履行合同义务不符合约定的，应当承担继续履行、采取补</w:t>
      </w:r>
      <w:r>
        <w:rPr>
          <w:rFonts w:hint="eastAsia" w:asciiTheme="majorEastAsia" w:hAnsiTheme="majorEastAsia" w:eastAsiaTheme="majorEastAsia" w:cstheme="majorEastAsia"/>
          <w:color w:val="000000"/>
          <w:sz w:val="24"/>
          <w:szCs w:val="24"/>
          <w:highlight w:val="none"/>
          <w:lang w:val="en-US" w:eastAsia="zh-CN"/>
        </w:rPr>
        <w:t xml:space="preserve">救措施或者赔偿损失等违约责任。</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lang w:val="en-US" w:eastAsia="zh-CN"/>
        </w:rPr>
      </w:pPr>
      <w:r>
        <w:rPr>
          <w:rFonts w:hint="eastAsia" w:asciiTheme="majorEastAsia" w:hAnsiTheme="majorEastAsia" w:eastAsiaTheme="majorEastAsia" w:cstheme="majorEastAsia"/>
          <w:b/>
          <w:bCs/>
          <w:color w:val="000000"/>
          <w:sz w:val="24"/>
          <w:szCs w:val="24"/>
          <w:highlight w:val="none"/>
          <w:lang w:val="en-US" w:eastAsia="zh-CN"/>
        </w:rPr>
        <w:t xml:space="preserve">（一）甲方违约责任</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1.甲方无故逾期付款的，就无故逾期款项按同期全国银行间同业拆借中心授权公布贷款市场报价利率（LPR）支付逾期付款违约金，但违约金总额不超过无故逾期付款金额的5%。</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2.如因财政资金的下达、拨付问题导致付款延迟的，不视为甲方违约，乙方不能据此追究甲方的违约责任。</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lang w:val="en-US" w:eastAsia="zh-CN"/>
        </w:rPr>
      </w:pPr>
      <w:r>
        <w:rPr>
          <w:rFonts w:hint="eastAsia" w:asciiTheme="majorEastAsia" w:hAnsiTheme="majorEastAsia" w:eastAsiaTheme="majorEastAsia" w:cstheme="majorEastAsia"/>
          <w:b/>
          <w:bCs/>
          <w:color w:val="000000"/>
          <w:sz w:val="24"/>
          <w:szCs w:val="24"/>
          <w:highlight w:val="none"/>
          <w:lang w:val="en-US" w:eastAsia="zh-CN"/>
        </w:rPr>
        <w:t xml:space="preserve">（二）乙方违约责任</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乙方无法提供服务，或服务成果不合格且整改后仍无法满足合同约定，影响甲方项目推进及按期使用的，甲方有权解除合同。乙方须向甲方支付合同总价款20%的违约金；若违约金不足以弥补甲方损失的，甲方有权要求乙方补足（补足金额不超过合同总价款的100%）。</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2.乙方逾期提供服务或交付成果的，须提前征求甲方书面意见，经甲方同意后方可顺延工期。甲方仍需求的，乙方应立即加快推进工作，并按合同总金额的每日万分之四支付逾期违约金，同时承担甲方因此遭受的全部损失；甲方不再需求的，有权解除合同，乙方须退还已付款项并赔偿甲方损失。</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3.乙方泄露甲方工作秘密或敏感信息，或未按约定履行保密义务造成资料泄密的，须向甲方支付合同总金额20%的违约金，并赔偿甲方因此遭受的全部损失；构成犯罪的，依法追究刑事责任。</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4.项目实施期间，因乙方安全管理不善、自身疏忽导致的一切安全事故、人身伤害、财产损失、数据成果损坏等，均由乙方承担全部责任及费用；甲方因此承担赔偿责任的，有权向乙方全额追偿。</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5.未经甲方书面同意，乙方将本项目分包、转包、委托或挂靠给第三方的，视为严重违约。甲方有权立即解除合同，乙方须按合同总价款的20%支付违约金，退还甲方已支付的全部款项，并赔偿甲方因此造成的全部损失。</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6.乙方无合同或法律依据单方面解除合同，或因乙方违约导致甲方解除合同的，乙方须在合同解除后 10个工作日内退还甲方已支付的全部款项，并按合同总价款的30%支付违约金；若违约金不足以弥补甲方损失（如重新采购的差价、诉讼费、律师费等），乙方须补足差额。</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7.乙方未按约定配备项目人员，或擅自更换核心成员的，甲方有权要求乙方限期整改，整改期间暂停付款；逾期未整改或整改后仍不符合要求的，甲方有权扣除相应合同款项，情节严重的可解除合同，乙方承担相应违约责任。</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8.乙方应向甲方支付的违约金、赔偿款，甲方有权直接从未支付的合同款项中扣除；扣除后仍不足的，甲方有权要求乙方另行支付。</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9.本条款约定的“甲方损失”包括但不限于：直接损失、间接损失、诉讼费、保全费、鉴定费、评估费、公证费、执行费、律师费、交通费、差旅费，以及甲方为继续履行合同而重新聘请第三方提供服务的费用差额等。</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十二、不可抗力事件处理</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1.在合同有效期内，任何一方因不可抗力事件导致不能履行合同，则合同履行期可延长，其延长期与不可抗力影响期相同。</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2.不可抗力事件发生后，应立即通知对方，并寄送有关权威机构出具的证明。</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3.不可抗力事件延续120天以上，双方应通过友好协商，确定是否继续履行合同。</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十三、解决争议的方法</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双方在签订、履行合同中所发生的一切争议，应通过友好协商解决。如协商不成，由甲方住所地人民法院管辖。</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十四、合同生效及其</w:t>
      </w:r>
      <w:r>
        <w:rPr>
          <w:rFonts w:hint="eastAsia" w:asciiTheme="majorEastAsia" w:hAnsiTheme="majorEastAsia" w:eastAsiaTheme="majorEastAsia" w:cstheme="majorEastAsia"/>
          <w:b/>
          <w:color w:val="000000"/>
          <w:sz w:val="24"/>
          <w:szCs w:val="24"/>
          <w:highlight w:val="none"/>
          <w:lang w:eastAsia="zh-CN"/>
        </w:rPr>
        <w:t xml:space="preserve">他</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rPr>
        <w:t xml:space="preserve">合同经双方法定代表人或授权委托代表人签字并加盖单位公章后生效。</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2.</w:t>
      </w:r>
      <w:r>
        <w:rPr>
          <w:rFonts w:hint="eastAsia" w:asciiTheme="majorEastAsia" w:hAnsiTheme="majorEastAsia" w:eastAsiaTheme="majorEastAsia" w:cstheme="majorEastAsia"/>
          <w:color w:val="000000"/>
          <w:sz w:val="24"/>
          <w:szCs w:val="24"/>
          <w:highlight w:val="none"/>
        </w:rPr>
        <w:t xml:space="preserve">本合同未尽事宜，遵照《</w:t>
      </w:r>
      <w:r>
        <w:rPr>
          <w:rFonts w:hint="eastAsia" w:asciiTheme="majorEastAsia" w:hAnsiTheme="majorEastAsia" w:eastAsiaTheme="majorEastAsia" w:cstheme="majorEastAsia"/>
          <w:color w:val="000000"/>
          <w:sz w:val="24"/>
          <w:szCs w:val="24"/>
          <w:highlight w:val="none"/>
          <w:lang w:val="en-US" w:eastAsia="zh-CN"/>
        </w:rPr>
        <w:t xml:space="preserve">中华人民共和国</w:t>
      </w:r>
      <w:r>
        <w:rPr>
          <w:rFonts w:hint="eastAsia" w:asciiTheme="majorEastAsia" w:hAnsiTheme="majorEastAsia" w:eastAsiaTheme="majorEastAsia" w:cstheme="majorEastAsia"/>
          <w:color w:val="000000"/>
          <w:sz w:val="24"/>
          <w:szCs w:val="24"/>
          <w:highlight w:val="none"/>
        </w:rPr>
        <w:t xml:space="preserve">民法典》、《</w:t>
      </w:r>
      <w:r>
        <w:rPr>
          <w:rFonts w:hint="eastAsia" w:asciiTheme="majorEastAsia" w:hAnsiTheme="majorEastAsia" w:eastAsiaTheme="majorEastAsia" w:cstheme="majorEastAsia"/>
          <w:color w:val="000000"/>
          <w:sz w:val="24"/>
          <w:szCs w:val="24"/>
          <w:highlight w:val="none"/>
          <w:lang w:val="en-US" w:eastAsia="zh-CN"/>
        </w:rPr>
        <w:t xml:space="preserve">中华人民共和国</w:t>
      </w:r>
      <w:r>
        <w:rPr>
          <w:rFonts w:hint="eastAsia" w:asciiTheme="majorEastAsia" w:hAnsiTheme="majorEastAsia" w:eastAsiaTheme="majorEastAsia" w:cstheme="majorEastAsia"/>
          <w:color w:val="000000"/>
          <w:sz w:val="24"/>
          <w:szCs w:val="24"/>
          <w:highlight w:val="none"/>
        </w:rPr>
        <w:t xml:space="preserve">政府采购法》有关条文执行。</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lang w:val="en-US" w:eastAsia="zh-CN"/>
        </w:rPr>
        <w:t xml:space="preserve">3.</w:t>
      </w:r>
      <w:r>
        <w:rPr>
          <w:rFonts w:hint="eastAsia" w:asciiTheme="majorEastAsia" w:hAnsiTheme="majorEastAsia" w:eastAsiaTheme="majorEastAsia" w:cstheme="majorEastAsia"/>
          <w:color w:val="000000"/>
          <w:sz w:val="24"/>
          <w:szCs w:val="24"/>
          <w:highlight w:val="none"/>
        </w:rPr>
        <w:t xml:space="preserve">本合同正本一式</w:t>
      </w:r>
      <w:r>
        <w:rPr>
          <w:rFonts w:hint="eastAsia" w:asciiTheme="majorEastAsia" w:hAnsiTheme="majorEastAsia" w:eastAsiaTheme="majorEastAsia" w:cstheme="majorEastAsia"/>
          <w:color w:val="000000"/>
          <w:sz w:val="24"/>
          <w:szCs w:val="24"/>
          <w:highlight w:val="none"/>
          <w:lang w:val="en-US" w:eastAsia="zh-CN"/>
        </w:rPr>
        <w:t xml:space="preserve">肆</w:t>
      </w:r>
      <w:r>
        <w:rPr>
          <w:rFonts w:hint="eastAsia" w:asciiTheme="majorEastAsia" w:hAnsiTheme="majorEastAsia" w:eastAsiaTheme="majorEastAsia" w:cstheme="majorEastAsia"/>
          <w:color w:val="000000"/>
          <w:sz w:val="24"/>
          <w:szCs w:val="24"/>
          <w:highlight w:val="none"/>
        </w:rPr>
        <w:t xml:space="preserve">份，具有同等法律效力，甲方、乙方各执</w:t>
      </w:r>
      <w:r>
        <w:rPr>
          <w:rFonts w:hint="eastAsia" w:asciiTheme="majorEastAsia" w:hAnsiTheme="majorEastAsia" w:eastAsiaTheme="majorEastAsia" w:cstheme="majorEastAsia"/>
          <w:color w:val="000000"/>
          <w:sz w:val="24"/>
          <w:szCs w:val="24"/>
          <w:highlight w:val="none"/>
          <w:lang w:val="en-US" w:eastAsia="zh-CN"/>
        </w:rPr>
        <w:t xml:space="preserve">贰</w:t>
      </w:r>
      <w:r>
        <w:rPr>
          <w:rFonts w:hint="eastAsia" w:asciiTheme="majorEastAsia" w:hAnsiTheme="majorEastAsia" w:eastAsiaTheme="majorEastAsia" w:cstheme="majorEastAsia"/>
          <w:color w:val="000000"/>
          <w:sz w:val="24"/>
          <w:szCs w:val="24"/>
          <w:highlight w:val="none"/>
        </w:rPr>
        <w:t xml:space="preserve">份。</w:t>
      </w:r>
      <w:r/>
    </w:p>
    <w:p>
      <w:pPr>
        <w:pStyle w:val="823"/>
        <w:ind w:left="480" w:hanging="480"/>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 甲方：                乙方： </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 地址：               </w:t>
      </w:r>
      <w:r>
        <w:rPr>
          <w:rFonts w:hint="eastAsia" w:asciiTheme="majorEastAsia" w:hAnsiTheme="majorEastAsia" w:eastAsiaTheme="majorEastAsia" w:cstheme="majorEastAsia"/>
          <w:color w:val="000000"/>
          <w:sz w:val="24"/>
          <w:szCs w:val="24"/>
          <w:highlight w:val="none"/>
          <w:lang w:val="en-US" w:eastAsia="zh-CN"/>
        </w:rPr>
        <w:t xml:space="preserve"> </w:t>
      </w:r>
      <w:r>
        <w:rPr>
          <w:rFonts w:hint="eastAsia" w:asciiTheme="majorEastAsia" w:hAnsiTheme="majorEastAsia" w:eastAsiaTheme="majorEastAsia" w:cstheme="majorEastAsia"/>
          <w:color w:val="000000"/>
          <w:sz w:val="24"/>
          <w:szCs w:val="24"/>
          <w:highlight w:val="none"/>
        </w:rPr>
        <w:t xml:space="preserve">地址： </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 法定代表人或授权代表：        法定代表人或授权代表：</w:t>
      </w:r>
      <w:r/>
    </w:p>
    <w:p>
      <w:pPr>
        <w:pStyle w:val="823"/>
        <w:ind w:firstLine="240"/>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联系电话：              联系电话：          </w:t>
      </w:r>
      <w:r/>
    </w:p>
    <w:p>
      <w:pPr>
        <w:pStyle w:val="82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color w:val="000000"/>
          <w:sz w:val="24"/>
          <w:szCs w:val="24"/>
          <w:highlight w:val="none"/>
        </w:rPr>
        <w:t xml:space="preserve">                                          签订日期：      年    月   日</w:t>
      </w:r>
      <w:bookmarkStart w:id="168" w:name="_Toc479757211"/>
      <w:r/>
      <w:bookmarkStart w:id="169" w:name="_Hlt16619350"/>
      <w:r/>
      <w:bookmarkStart w:id="170" w:name="_Toc16938590"/>
      <w:r/>
      <w:bookmarkStart w:id="171" w:name="_Toc20823346"/>
      <w:r/>
      <w:bookmarkStart w:id="172" w:name="_Toc120614244"/>
      <w:r/>
      <w:bookmarkStart w:id="173" w:name="_Toc462564139"/>
      <w:r/>
      <w:bookmarkStart w:id="174" w:name="_Hlt16619369"/>
      <w:r>
        <w:rPr>
          <w:rFonts w:hint="eastAsia" w:asciiTheme="majorEastAsia" w:hAnsiTheme="majorEastAsia" w:eastAsiaTheme="majorEastAsia" w:cstheme="majorEastAsia"/>
          <w:color w:val="000000"/>
          <w:sz w:val="24"/>
          <w:szCs w:val="24"/>
          <w:highlight w:val="none"/>
        </w:rPr>
        <w:br w:type="page" w:clear="all"/>
      </w:r>
      <w:r>
        <w:rPr>
          <w:rFonts w:hint="eastAsia" w:asciiTheme="majorEastAsia" w:hAnsiTheme="majorEastAsia" w:eastAsiaTheme="majorEastAsia" w:cstheme="majorEastAsia"/>
          <w:b/>
          <w:bCs/>
          <w:color w:val="000000"/>
          <w:sz w:val="48"/>
          <w:szCs w:val="48"/>
          <w:highlight w:val="none"/>
          <w:lang w:val="en-US" w:eastAsia="zh-CN" w:bidi="ar-SA"/>
        </w:rPr>
        <w:t xml:space="preserve"> 第</w:t>
      </w:r>
      <w:bookmarkEnd w:id="168"/>
      <w:r>
        <w:rPr>
          <w:rFonts w:hint="eastAsia" w:asciiTheme="majorEastAsia" w:hAnsiTheme="majorEastAsia" w:eastAsiaTheme="majorEastAsia" w:cstheme="majorEastAsia"/>
          <w:b/>
          <w:bCs/>
          <w:color w:val="000000"/>
          <w:sz w:val="48"/>
          <w:szCs w:val="48"/>
          <w:highlight w:val="none"/>
          <w:lang w:val="en-US" w:eastAsia="zh-CN" w:bidi="ar-SA"/>
        </w:rPr>
        <w:t xml:space="preserve">四章  采购需求</w:t>
      </w:r>
      <w:bookmarkEnd w:id="169"/>
      <w:r/>
      <w:bookmarkEnd w:id="170"/>
      <w:r/>
      <w:bookmarkEnd w:id="171"/>
      <w:r/>
      <w:bookmarkEnd w:id="172"/>
      <w:r/>
      <w:bookmarkEnd w:id="173"/>
      <w:r/>
      <w:r/>
    </w:p>
    <w:p>
      <w:pPr>
        <w:ind w:firstLine="480"/>
        <w:jc w:val="left"/>
        <w:spacing w:line="480" w:lineRule="exact"/>
        <w:widowControl/>
        <w:tabs>
          <w:tab w:val="left" w:pos="1173" w:leader="none"/>
        </w:tabs>
        <w:rPr>
          <w:rFonts w:hint="eastAsia" w:asciiTheme="majorEastAsia" w:hAnsiTheme="majorEastAsia" w:eastAsiaTheme="majorEastAsia" w:cstheme="majorEastAsia"/>
          <w:color w:val="000000"/>
          <w:sz w:val="24"/>
          <w:szCs w:val="24"/>
          <w:highlight w:val="none"/>
        </w:rPr>
      </w:pPr>
      <w:r/>
      <w:bookmarkStart w:id="175" w:name="_Toc26554093"/>
      <w:r/>
      <w:bookmarkStart w:id="176" w:name="_Toc49090575"/>
      <w:r>
        <w:rPr>
          <w:rFonts w:hint="eastAsia" w:asciiTheme="majorEastAsia" w:hAnsiTheme="majorEastAsia" w:eastAsiaTheme="majorEastAsia" w:cstheme="majorEastAsia"/>
          <w:color w:val="000000"/>
          <w:sz w:val="24"/>
          <w:szCs w:val="24"/>
          <w:highlight w:val="none"/>
        </w:rPr>
        <w:t xml:space="preserve">项目属性:服务类项目。</w:t>
      </w:r>
      <w:bookmarkEnd w:id="175"/>
      <w:r/>
      <w:bookmarkEnd w:id="176"/>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8"/>
          <w:szCs w:val="28"/>
          <w:highlight w:val="none"/>
          <w:lang w:val="en-US" w:eastAsia="zh-CN"/>
        </w:rPr>
      </w:pPr>
      <w:r>
        <w:rPr>
          <w:rFonts w:hint="eastAsia" w:asciiTheme="majorEastAsia" w:hAnsiTheme="majorEastAsia" w:eastAsiaTheme="majorEastAsia" w:cstheme="majorEastAsia"/>
          <w:b/>
          <w:bCs/>
          <w:color w:val="000000"/>
          <w:sz w:val="28"/>
          <w:szCs w:val="28"/>
          <w:highlight w:val="none"/>
          <w:lang w:val="en-US" w:eastAsia="zh-CN"/>
        </w:rPr>
        <w:t xml:space="preserve">一、采购项目的内容及服务要求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lang w:val="en-US" w:eastAsia="zh-CN"/>
        </w:rPr>
      </w:pPr>
      <w:r>
        <w:rPr>
          <w:rFonts w:hint="eastAsia" w:asciiTheme="majorEastAsia" w:hAnsiTheme="majorEastAsia" w:eastAsiaTheme="majorEastAsia" w:cstheme="majorEastAsia"/>
          <w:b/>
          <w:bCs/>
          <w:color w:val="000000"/>
          <w:sz w:val="24"/>
          <w:szCs w:val="24"/>
          <w:highlight w:val="none"/>
          <w:lang w:val="en-US" w:eastAsia="zh-CN"/>
        </w:rPr>
        <w:t xml:space="preserve">（一）项目背景</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依据《关</w:t>
      </w:r>
      <w:r>
        <w:rPr>
          <w:rFonts w:hint="eastAsia" w:asciiTheme="majorEastAsia" w:hAnsiTheme="majorEastAsia" w:eastAsiaTheme="majorEastAsia" w:cstheme="majorEastAsia"/>
          <w:color w:val="000000"/>
          <w:sz w:val="24"/>
          <w:szCs w:val="24"/>
          <w:highlight w:val="none"/>
          <w:lang w:val="en-US" w:eastAsia="zh-CN"/>
        </w:rPr>
        <w:t xml:space="preserve">于全面推进实景三维中国建设的通知》《江苏省“十五五”基础测绘规划》《江苏省实景三维数据省市县协同更新实施方案（2026 版）》文件要求，紧扣盐城市“十五五”市级基础测绘规划部署，衔接“数字盐城”“智慧盐城”建设总体安排，结合滨海县国土空间治理现代化及智慧城市建设实际需求，夯实全县时空大数据基底，切实保障地理信息数据的现势性、精准性与权威性，组织开展滨海县大比例尺地形图更新维护测绘项目（2026），项目主要内容包含滨海县大比例尺地形图生产及更新、城市级三维模型更新、基础地理实体更新及滨海县测量标志点核查工作。</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lang w:val="en-US" w:eastAsia="zh-CN"/>
        </w:rPr>
      </w:pPr>
      <w:r>
        <w:rPr>
          <w:rFonts w:hint="eastAsia" w:asciiTheme="majorEastAsia" w:hAnsiTheme="majorEastAsia" w:eastAsiaTheme="majorEastAsia" w:cstheme="majorEastAsia"/>
          <w:b/>
          <w:bCs/>
          <w:color w:val="000000"/>
          <w:sz w:val="24"/>
          <w:szCs w:val="24"/>
          <w:highlight w:val="none"/>
          <w:lang w:val="en-US" w:eastAsia="zh-CN"/>
        </w:rPr>
        <w:t xml:space="preserve">（二）服务内容</w:t>
      </w:r>
      <w:r/>
    </w:p>
    <w:p>
      <w:pPr>
        <w:pStyle w:val="823"/>
        <w:jc w:val="both"/>
        <w:keepLines w:val="0"/>
        <w:keepNext w:val="0"/>
        <w:pageBreakBefore w:val="0"/>
        <w:spacing w:before="120" w:beforeAutospacing="0" w:after="120" w:afterAutospacing="0" w:line="360" w:lineRule="auto"/>
        <w:widowControl w:val="off"/>
        <w:rPr>
          <w:rFonts w:hint="default" w:asciiTheme="majorEastAsia" w:hAnsiTheme="majorEastAsia" w:eastAsiaTheme="majorEastAsia" w:cstheme="majorEastAsia"/>
          <w:b/>
          <w:bCs/>
          <w:color w:val="000000"/>
          <w:sz w:val="24"/>
          <w:szCs w:val="24"/>
          <w:highlight w:val="none"/>
          <w:lang w:val="en-US" w:eastAsia="zh-CN"/>
        </w:rPr>
      </w:pPr>
      <w:r>
        <w:rPr>
          <w:rFonts w:hint="eastAsia" w:asciiTheme="majorEastAsia" w:hAnsiTheme="majorEastAsia" w:eastAsiaTheme="majorEastAsia" w:cstheme="majorEastAsia"/>
          <w:b/>
          <w:bCs/>
          <w:color w:val="000000"/>
          <w:sz w:val="24"/>
          <w:szCs w:val="24"/>
          <w:highlight w:val="none"/>
          <w:lang w:val="en-US" w:eastAsia="zh-CN"/>
        </w:rPr>
        <w:t xml:space="preserve">包1服务内容：</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1）大比例尺地形图更新</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结合最新影像数据、实景三维模型成果、规划工程竣工和不动产登记等数据完成滨海县城区及镇区范围内约450平方千米1∶1000比例尺地形图更新工作。严格按照《国家基本比例尺地图图式 第1部分：1∶500 1∶1000 1∶2000地形图图式》《盐城市1︰500 1︰1000 1︰2000基础地理信息地形要素数据规范》要求，开展定位基础、水系、居民地及设施、交通、管线、境界与政区、地貌、植被与土质、注记等九大类地形要素更新及标准化数据库建设。</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2）基础地理实体更新（约56平方公里）</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按照《江苏省实景三维数据省市县协同更新实施方案（2026 版）》部署要求，组织完成滨海县基础地理实体成果生产及数据库更新工作，形成相关成果，满足省市县协同更新任务要求。具体任务如下：</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（1）主城区约30平方千米范围内城市级基础地理实体更新</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依据《江苏省实景三维数据省市县协同更新实施方案（2026版）》，在主城区范围内开展基础地理实体采集，采集范围满足省级划定的工作界要求，补齐全要素类型，更新水体、农林用地与其他土地、水利、交通、建（构）筑物及设施、管线、院落、行政区划单元、地名、国土空间规划及其他管理区域等各类要素。</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（2）主城区外约26平方千米范围内核心基础地理实体更新</w:t>
      </w:r>
      <w:r/>
    </w:p>
    <w:p>
      <w:pPr>
        <w:pStyle w:val="823"/>
        <w:jc w:val="both"/>
        <w:keepLines w:val="0"/>
        <w:keepNext w:val="0"/>
        <w:pageBreakBefore w:val="0"/>
        <w:spacing w:before="120" w:beforeAutospacing="0" w:after="120" w:afterAutospacing="0" w:line="360" w:lineRule="auto"/>
        <w:widowControl w:val="off"/>
        <w:rPr>
          <w:rFonts w:hint="default"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按照《江苏省实景三维数据省市县协同更新实施方案（2026版）》要求，依据不动产登记、多测合一、民政行业资料，完成主城区以外范围内的核心基础地理实体更新，满足省级规定任务范围，主要涉及院落、乡级以下行政区划单元、重要场所与机构地名等基础地理实体。具体任务范围见下图。</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mc:AlternateContent>
          <mc:Choice Requires="wpg">
            <w:drawing>
              <wp:inline xmlns:wp="http://schemas.openxmlformats.org/drawingml/2006/wordprocessingDrawing" distT="0" distB="0" distL="0" distR="0">
                <wp:extent cx="5394325" cy="6980555"/>
                <wp:effectExtent l="0" t="0" r="15875" b="10795"/>
                <wp:docPr id="1" name="图片 1" descr="射阳核实"/>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射阳核实"/>
                        <pic:cNvPicPr>
                          <a:picLocks noChangeAspect="1"/>
                        </pic:cNvPicPr>
                        <pic:nvPr/>
                      </pic:nvPicPr>
                      <pic:blipFill>
                        <a:blip r:embed="rId9"/>
                        <a:stretch/>
                      </pic:blipFill>
                      <pic:spPr bwMode="auto">
                        <a:xfrm>
                          <a:off x="0" y="0"/>
                          <a:ext cx="5394325" cy="6980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4.8pt;height:549.6pt;mso-wrap-distance-left:0.0pt;mso-wrap-distance-top:0.0pt;mso-wrap-distance-right:0.0pt;mso-wrap-distance-bottom:0.0pt;" stroked="f">
                <v:path textboxrect="0,0,0,0"/>
                <v:imagedata r:id="rId9" o:title=""/>
              </v:shape>
            </w:pict>
          </mc:Fallback>
        </mc:AlternateContent>
      </w:r>
      <w:r/>
    </w:p>
    <w:p>
      <w:pPr>
        <w:pStyle w:val="823"/>
        <w:jc w:val="both"/>
        <w:keepLines w:val="0"/>
        <w:keepNext w:val="0"/>
        <w:pageBreakBefore w:val="0"/>
        <w:spacing w:before="120" w:beforeAutospacing="0" w:after="120" w:afterAutospacing="0" w:line="360" w:lineRule="auto"/>
        <w:widowControl w:val="off"/>
        <w:rPr>
          <w:rFonts w:hint="default"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图1 基础地理实体更新范围</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3）测量标志点巡查</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组织人员对滨海县测量标志点实地踏勘，逐点核实测量标志点的存在状况，检查标志本体及附属设施有无损毁、移位、被侵占或通视条件变化等情况，并同步编制（更新）测量标志点之记，记录点位位置、周围环境、到达条件及现状等信息。</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lang w:val="en-US" w:eastAsia="zh-CN"/>
        </w:rPr>
      </w:pPr>
      <w:r>
        <w:rPr>
          <w:rFonts w:hint="eastAsia" w:asciiTheme="majorEastAsia" w:hAnsiTheme="majorEastAsia" w:eastAsiaTheme="majorEastAsia" w:cstheme="majorEastAsia"/>
          <w:b/>
          <w:bCs/>
          <w:color w:val="000000"/>
          <w:sz w:val="24"/>
          <w:szCs w:val="24"/>
          <w:highlight w:val="none"/>
          <w:lang w:val="en-US" w:eastAsia="zh-CN"/>
        </w:rPr>
        <w:t xml:space="preserve">包件二工作内容：</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1）实景三维成果更新维护</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根据《江苏省实景三维数据省市县协同更新实施方案（2026版）》，对滨海县现有实景三维建设成果开展更新维护作业。针对滨海县实景三维工作边界范围内约30平方公里区域（下图红线范围），以及甲方指定新增5平方公里范围，开展倾斜摄影三维模型、TDOM数据的新建与更新生产及配套数据库建设，完整形成约35平方公里成果资料，符合省市县协同更新任务指标。具体任务如下：</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mc:AlternateContent>
          <mc:Choice Requires="wpg">
            <w:drawing>
              <wp:inline xmlns:wp="http://schemas.openxmlformats.org/drawingml/2006/wordprocessingDrawing" distT="0" distB="0" distL="0" distR="0">
                <wp:extent cx="5029200" cy="4901565"/>
                <wp:effectExtent l="0" t="0" r="0" b="133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0"/>
                        <a:srcRect l="0" t="6635" r="0" b="587"/>
                        <a:stretch/>
                      </pic:blipFill>
                      <pic:spPr bwMode="auto">
                        <a:xfrm>
                          <a:off x="0" y="0"/>
                          <a:ext cx="5029200" cy="4901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6.0pt;height:385.9pt;mso-wrap-distance-left:0.0pt;mso-wrap-distance-top:0.0pt;mso-wrap-distance-right:0.0pt;mso-wrap-distance-bottom:0.0pt;" stroked="f">
                <v:path textboxrect="0,0,0,0"/>
                <v:imagedata r:id="rId10" o:title=""/>
              </v:shape>
            </w:pict>
          </mc:Fallback>
        </mc:AlternateConten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（1）地理场景更新</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在已有实景三维模型成果基础上，组织开展实景三维场景更新与外扩新建，对更新地块采集优于0.05米的倾斜摄影影像构建倾斜摄影三维模型，并与历史模型做好接边。</w:t>
      </w:r>
      <w:r/>
    </w:p>
    <w:p>
      <w:pPr>
        <w:pStyle w:val="823"/>
        <w:jc w:val="both"/>
        <w:keepLines w:val="0"/>
        <w:keepNext w:val="0"/>
        <w:pageBreakBefore w:val="0"/>
        <w:spacing w:before="120" w:beforeAutospacing="0" w:after="120" w:afterAutospacing="0" w:line="360" w:lineRule="auto"/>
        <w:widowControl w:val="off"/>
        <w:rPr>
          <w:rFonts w:hint="default"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（2）TDOM数据更新</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在已有TDOM成果基础上，依据更新的实景三维模型成果，开展TDOM成果更新，并确保与历史模型的接边精度符合要求、接边处无错位、无色差。</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2）项目管理</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对包件一开展的</w:t>
      </w:r>
      <w:r>
        <w:rPr>
          <w:rFonts w:hint="default" w:asciiTheme="majorEastAsia" w:hAnsiTheme="majorEastAsia" w:eastAsiaTheme="majorEastAsia" w:cstheme="majorEastAsia"/>
          <w:color w:val="000000"/>
          <w:sz w:val="24"/>
          <w:szCs w:val="24"/>
          <w:highlight w:val="none"/>
          <w:lang w:val="en-US" w:eastAsia="zh-CN"/>
        </w:rPr>
        <w:t xml:space="preserve">1:1000地形图测绘更新维护</w:t>
      </w:r>
      <w:r>
        <w:rPr>
          <w:rFonts w:hint="eastAsia" w:asciiTheme="majorEastAsia" w:hAnsiTheme="majorEastAsia" w:eastAsiaTheme="majorEastAsia" w:cstheme="majorEastAsia"/>
          <w:color w:val="000000"/>
          <w:sz w:val="24"/>
          <w:szCs w:val="24"/>
          <w:highlight w:val="none"/>
          <w:lang w:val="en-US" w:eastAsia="zh-CN"/>
        </w:rPr>
        <w:t xml:space="preserve">和基础地理实体更新</w:t>
      </w:r>
      <w:r>
        <w:rPr>
          <w:rFonts w:hint="default" w:asciiTheme="majorEastAsia" w:hAnsiTheme="majorEastAsia" w:eastAsiaTheme="majorEastAsia" w:cstheme="majorEastAsia"/>
          <w:color w:val="000000"/>
          <w:sz w:val="24"/>
          <w:szCs w:val="24"/>
          <w:highlight w:val="none"/>
          <w:lang w:val="en-US" w:eastAsia="zh-CN"/>
        </w:rPr>
        <w:t xml:space="preserve">成果</w:t>
      </w:r>
      <w:r>
        <w:rPr>
          <w:rFonts w:hint="eastAsia" w:asciiTheme="majorEastAsia" w:hAnsiTheme="majorEastAsia" w:eastAsiaTheme="majorEastAsia" w:cstheme="majorEastAsia"/>
          <w:color w:val="000000"/>
          <w:sz w:val="24"/>
          <w:szCs w:val="24"/>
          <w:highlight w:val="none"/>
          <w:lang w:val="en-US" w:eastAsia="zh-CN"/>
        </w:rPr>
        <w:t xml:space="preserve">开展</w:t>
      </w:r>
      <w:r>
        <w:rPr>
          <w:rFonts w:hint="default" w:asciiTheme="majorEastAsia" w:hAnsiTheme="majorEastAsia" w:eastAsiaTheme="majorEastAsia" w:cstheme="majorEastAsia"/>
          <w:color w:val="000000"/>
          <w:sz w:val="24"/>
          <w:szCs w:val="24"/>
          <w:highlight w:val="none"/>
          <w:lang w:val="en-US" w:eastAsia="zh-CN"/>
        </w:rPr>
        <w:t xml:space="preserve">质量检查、数据汇交及日常管理等工作</w:t>
      </w:r>
      <w:r>
        <w:rPr>
          <w:rFonts w:hint="eastAsia" w:asciiTheme="majorEastAsia" w:hAnsiTheme="majorEastAsia" w:eastAsiaTheme="majorEastAsia" w:cstheme="majorEastAsia"/>
          <w:color w:val="000000"/>
          <w:sz w:val="24"/>
          <w:szCs w:val="24"/>
          <w:highlight w:val="none"/>
          <w:lang w:val="en-US" w:eastAsia="zh-CN"/>
        </w:rPr>
        <w:t xml:space="preserve">。</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lang w:val="en-US" w:eastAsia="zh-CN"/>
        </w:rPr>
      </w:pPr>
      <w:r>
        <w:rPr>
          <w:rFonts w:hint="eastAsia" w:asciiTheme="majorEastAsia" w:hAnsiTheme="majorEastAsia" w:eastAsiaTheme="majorEastAsia" w:cstheme="majorEastAsia"/>
          <w:b/>
          <w:bCs/>
          <w:color w:val="000000"/>
          <w:sz w:val="24"/>
          <w:szCs w:val="24"/>
          <w:highlight w:val="none"/>
          <w:lang w:val="en-US" w:eastAsia="zh-CN"/>
        </w:rPr>
        <w:t xml:space="preserve">（三）技术要求</w:t>
      </w:r>
      <w:r/>
    </w:p>
    <w:p>
      <w:pPr>
        <w:pStyle w:val="823"/>
        <w:jc w:val="both"/>
        <w:keepLines w:val="0"/>
        <w:keepNext w:val="0"/>
        <w:pageBreakBefore w:val="0"/>
        <w:spacing w:before="120" w:beforeAutospacing="0" w:after="120" w:afterAutospacing="0" w:line="360" w:lineRule="auto"/>
        <w:widowControl w:val="off"/>
        <w:rPr>
          <w:rFonts w:hint="default" w:asciiTheme="majorEastAsia" w:hAnsiTheme="majorEastAsia" w:eastAsiaTheme="majorEastAsia" w:cstheme="majorEastAsia"/>
          <w:color w:val="000000"/>
          <w:sz w:val="24"/>
          <w:szCs w:val="24"/>
          <w:highlight w:val="none"/>
          <w:lang w:val="en-US" w:eastAsia="zh-CN"/>
        </w:rPr>
      </w:pPr>
      <w:r>
        <w:rPr>
          <w:rFonts w:hint="default" w:asciiTheme="majorEastAsia" w:hAnsiTheme="majorEastAsia" w:eastAsiaTheme="majorEastAsia" w:cstheme="majorEastAsia"/>
          <w:color w:val="000000"/>
          <w:sz w:val="24"/>
          <w:szCs w:val="24"/>
          <w:highlight w:val="none"/>
          <w:lang w:val="en-US" w:eastAsia="zh-CN"/>
        </w:rPr>
        <w:t xml:space="preserve">1．</w:t>
      </w:r>
      <w:r>
        <w:rPr>
          <w:rFonts w:hint="eastAsia" w:asciiTheme="majorEastAsia" w:hAnsiTheme="majorEastAsia" w:eastAsiaTheme="majorEastAsia" w:cstheme="majorEastAsia"/>
          <w:color w:val="000000"/>
          <w:sz w:val="24"/>
          <w:szCs w:val="24"/>
          <w:highlight w:val="none"/>
          <w:lang w:val="en-US" w:eastAsia="zh-CN"/>
        </w:rPr>
        <w:t xml:space="preserve">包1技术要求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1）空间基准</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（1）坐标系统：2000国家大地坐标系。</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（2）高程基准：1985国家高程基准。</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（3）投影方式：采用3度分带的高斯-克吕格投影。</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（4）时间基准：公元纪年和北京时间。</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2）地形图技术要求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 DLG 分幅及编号</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分幅：50cm×50cm 正方形分幅；</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编号：以图廓西南角坐标整 km 数编号，X 坐标在前，取整 km 数的小数点前四位和小数点后一位；Y 坐标在后，取整 km 数的小数点前三位和小数点后一位；中间加短线连接，如 3774.5-485.5。</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（2）DLG 图名</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图名主要沿用原滨海县 1:1000大比例尺地形图更新测绘DLG 成果已有图名，对于现状变化较大或原图名不宜继续沿用的，图名应选用所在图幅内主要居民地名称或主要企事业及行政单位名称，全测区不得重名或同名。若图内无名可取时，应以相邻图幅的东、南、西、北四个方位命名，方位加括号，如 "** 村 * 组（南）"。若加方位命名仍无法取图名时可不取图名，只注图号。</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（3）文件命名</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DLG以图幅号加扩展名命名，如："3774.5-485.5.dwg"；DLG入库数据以完整测区提交，文件名称以项目名称命名。</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（4）管理单元划分及编号</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管理单元沿用原滨海县1:1000大比例尺地形图更新测绘DLG成果的管理范围线，由于实地发生根本变化，原管理范围线不适宜时需重新划定管理范围。管理单元划分的原则应符合下列要求: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管理单元划分的参考位置：以行政区划界线、街坊线为主要参考，依据道路、河流中心线划分；</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避让原则：单元线不宜切割要素、不宜跨河。被单元线切割的面状要素，应在各自管理单元中分别维护；</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单元之间的关系：相邻单元之间不应有缝隙或重叠；</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单元的大小：单元面积大小基本一致，分区范围在 15～20km²为宜。</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管理单元编号以 "BH_1K_XX" 命名，按自北向南、从西往东 "弓" 形，顺序编号命名。</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（5）地物点点位中误差与间距中误差要求下表</w:t>
      </w:r>
      <w:r/>
    </w:p>
    <w:tbl>
      <w:tblPr>
        <w:tblStyle w:val="818"/>
        <w:tblW w:w="87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2255"/>
        <w:gridCol w:w="2490"/>
        <w:gridCol w:w="2559"/>
      </w:tblGrid>
      <w:tr>
        <w:trPr>
          <w:jc w:val="center"/>
          <w:trHeight w:val="438"/>
        </w:trPr>
        <w:tc>
          <w:tcPr>
            <w:tcBorders>
              <w:top w:val="single" w:color="000000" w:sz="4" w:space="0"/>
              <w:left w:val="single" w:color="000000" w:sz="4" w:space="0"/>
              <w:bottom w:val="single" w:color="000000" w:sz="4" w:space="0"/>
              <w:right w:val="single" w:color="000000" w:sz="4" w:space="0"/>
            </w:tcBorders>
            <w:tcW w:w="1404" w:type="dxa"/>
            <w:vAlign w:val="center"/>
            <w:vMerge w:val="restart"/>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地区分类</w:t>
            </w:r>
            <w:r/>
          </w:p>
        </w:tc>
        <w:tc>
          <w:tcPr>
            <w:tcBorders>
              <w:top w:val="single" w:color="000000" w:sz="4" w:space="0"/>
              <w:left w:val="single" w:color="000000" w:sz="4" w:space="0"/>
              <w:bottom w:val="single" w:color="000000" w:sz="4" w:space="0"/>
              <w:right w:val="single" w:color="000000" w:sz="4" w:space="0"/>
            </w:tcBorders>
            <w:tcW w:w="2255" w:type="dxa"/>
            <w:vAlign w:val="center"/>
            <w:vMerge w:val="restart"/>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平面位置中误差</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（图上mm）</w:t>
            </w:r>
            <w:r/>
          </w:p>
        </w:tc>
        <w:tc>
          <w:tcPr>
            <w:gridSpan w:val="2"/>
            <w:tcBorders>
              <w:top w:val="single" w:color="000000" w:sz="4" w:space="0"/>
              <w:left w:val="single" w:color="000000" w:sz="4" w:space="0"/>
              <w:bottom w:val="single" w:color="000000" w:sz="4" w:space="0"/>
              <w:right w:val="single" w:color="000000" w:sz="4" w:space="0"/>
            </w:tcBorders>
            <w:tcW w:w="5049" w:type="dxa"/>
            <w:vAlign w:val="center"/>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邻近地物点间距中误差</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1404" w:type="dxa"/>
            <w:vAlign w:val="center"/>
            <w:vMerge w:val="continue"/>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55" w:type="dxa"/>
            <w:vAlign w:val="center"/>
            <w:vMerge w:val="continue"/>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建、构筑物</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(图上mm)</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其他地物</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（图上mm）</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平地</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±0.50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±0.40</w:t>
            </w:r>
            <w:r/>
          </w:p>
        </w:tc>
        <w:tc>
          <w:tcPr>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±0.50</w:t>
            </w:r>
            <w:r/>
          </w:p>
        </w:tc>
      </w:tr>
    </w:tbl>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注：建筑物密集区及隐蔽地区在上述规定的基础上放宽0.5倍。</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（6）基本等高距：基本等高距采用0.5米，城镇区、居民地和水稻田等平坦地区不勾绘等高线。</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（7）高程注记点精度</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城市建筑区和基本等高距为0.5米的平坦地区，高程注记点相对于邻近高程控制点的高程中误差应不大于士0.15米。复杂地区高程注记点相对于邻近高程控制点的高程中误差不应大于1/3基本等高距，其他隐蔽等特殊困难地区在上述规定的基础上放宽0.5倍。</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高程注记点密度：一般地区高程注记点图上每平方分米12~15个，乡镇和居民地密集区及水稻田平坦地区每平方分米8~10个。高程均注记至0.01米。</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最大误差：平面和高程中误差的2倍为最大误差。</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（8）地物、地貌元素按《国家基本比例尺地图图式第 1 部分：1:500 1:1000 1:2000 地形图图式》符号准确采集，要素分层按《盐城市1︰500 1︰1000 1︰2000基础地理信息地形要素数据规范》要求做好各要素分层、分类。地物、地貌测绘应无错漏、无变形、无移位，图面保持简洁，没有意义的线条、符号不采集。对不能准确判读的(包括隐蔽地区、阴影部分等)，需绘出部分轮廓线，在辨别困难处做出标记，予以说明，由外业进行补测、定位、定性。</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9）对点状地物采集定位点,定位点取其几何中心点或标志性特征点,有向点应确定其方位角；对线状地物采集定位线，定位线取其轮线或中心线，定位线应根据轨迹描绘，走向明确，衔接合理，相交处应形成结点，不应自重叠、自相交；面状地物应保证图形连续且封闭，不应重复。除《盐城市1︰500 1︰1000 1︰2000基础地理信息地形要素数据规范》已规定要素的符号方向外，一般原则为要素的前进方向指向要素的低处，或者符号方向的右侧指向低处或内侧(闸除外)。公共边采集以主要要素的公共边为准采集一次，次要要素的公共边拷贝生成。</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10）池塘、沟渠水涯线沿上坎线采集，池塘注“塘”；图上宽度大于或等于1.0毫米的沟渠,用双线表示，小于1.0毫米的用单线表示，小于0.5毫米的择要表示；河流、湖泊水涯线按摄影水涯线采集。河流的堤岸、土堤、沟堑长度大于图上1厘米、比高大于1米的要采集，地下灌渠的主要出水口要仔细辨别采集。</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（11）采集房屋和街区轮廓时，应切准房角或轮廓拐角后打点连线，准</w:t>
      </w:r>
      <w:r>
        <w:rPr>
          <w:rFonts w:hint="eastAsia" w:asciiTheme="majorEastAsia" w:hAnsiTheme="majorEastAsia" w:eastAsiaTheme="majorEastAsia" w:cstheme="majorEastAsia"/>
          <w:color w:val="000000"/>
          <w:sz w:val="24"/>
          <w:szCs w:val="24"/>
          <w:highlight w:val="none"/>
          <w:lang w:val="en-US" w:eastAsia="zh-CN"/>
        </w:rPr>
        <w:t xml:space="preserve">确采集外围轮廓，反映建筑结构特征。对不同层次，不同结构形式、主要房屋和次要房屋之间采集分割线表示。对老居民区、房屋毗连、庭院套递的地物特征,应根据房屋结构形式不同、屋脊高低不一，屋脊前后不齐等作分割表示。连在一起的房屋、面积过小，不同层次分割有困难时可不分割。建筑物下的主要通道在影像上能确定的要用相应符号表示，各企事业单位大门的顶盖要采集，用相应符号表示；农村居民地前后每家每户的牲口房图上在2平方毫米左右时可与前面的围墙式猪栏综合。单位门墩要区分依比例与不依比例，方向按真方向摆放，农村各家各户的门墩不表示。</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12）道路采集时，应正确处理道路的相交关系及与其他要素的关系，道路相交处应形成结点，道路应走向明确，衔接合理。公路与其他双线道路应按实际宽度依比例尺采集。道路采集同时应采集道路范围内的绿地或隔离带。</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13）管线应表示高压输电线、低压配电线和通信线，准确反映实地的高压铁塔或电杆位置和走向特征，35KV以上的高压输电线表示电压值和线路名称。同时采集电线杆上的变压器、入地、变电室（所）。过河缆表示，并加注记。多种线路共杆时，应以该线路的主要用途表示相应线路的符号。管道应区分地面上的和架空的，多根管道并列时，只表示主要管道，不注记管数，注主要管道的性质。围墙上的管道省略不绘。</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（14）地貌采集应正确反映地貌的形态类别和分布特征。高程注记点应测注在明显地物点和地形特征点上。</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15）每幅图测出内图廓外5mm，自由图边、测区外围最近的电力线、通信线等架空杆位必须测绘，保证图内电力线、通讯线等有准确的连接方向。图幅接边处的各种符号、注记放置在要素主体部分所在图幅内；地理名称注记涉及图幅接边时，主图和接边图幅均分别注记地理名称，接边图幅视图面负载取舍表示。</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（16）调绘工作重点处理内业测图遗留的模糊区域、新增地物及隐蔽地物，确保地形要素完整准确。</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3）二维基础地理实体技术要求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en-US" w:eastAsia="zh-CN"/>
        </w:rPr>
        <w:t xml:space="preserve">位置精度：</w:t>
      </w:r>
      <w:r>
        <w:rPr>
          <w:rFonts w:hint="eastAsia" w:asciiTheme="majorEastAsia" w:hAnsiTheme="majorEastAsia" w:eastAsiaTheme="majorEastAsia" w:cstheme="majorEastAsia"/>
          <w:color w:val="000000"/>
          <w:sz w:val="24"/>
          <w:szCs w:val="24"/>
          <w:highlight w:val="none"/>
          <w:lang w:val="zh-CN" w:eastAsia="zh-CN"/>
        </w:rPr>
        <w:t xml:space="preserve">平面中误差：±0.50</w:t>
      </w:r>
      <w:r>
        <w:rPr>
          <w:rFonts w:hint="eastAsia" w:asciiTheme="majorEastAsia" w:hAnsiTheme="majorEastAsia" w:eastAsiaTheme="majorEastAsia" w:cstheme="majorEastAsia"/>
          <w:color w:val="000000"/>
          <w:sz w:val="24"/>
          <w:szCs w:val="24"/>
          <w:highlight w:val="none"/>
          <w:lang w:val="en-US" w:eastAsia="zh-CN"/>
        </w:rPr>
        <w:t xml:space="preserve">米，</w:t>
      </w:r>
      <w:r>
        <w:rPr>
          <w:rFonts w:hint="eastAsia" w:asciiTheme="majorEastAsia" w:hAnsiTheme="majorEastAsia" w:eastAsiaTheme="majorEastAsia" w:cstheme="majorEastAsia"/>
          <w:color w:val="000000"/>
          <w:sz w:val="24"/>
          <w:szCs w:val="24"/>
          <w:highlight w:val="none"/>
          <w:lang w:val="zh-CN" w:eastAsia="zh-CN"/>
        </w:rPr>
        <w:t xml:space="preserve">高程中误差：±0.25</w:t>
      </w:r>
      <w:r>
        <w:rPr>
          <w:rFonts w:hint="eastAsia" w:asciiTheme="majorEastAsia" w:hAnsiTheme="majorEastAsia" w:eastAsiaTheme="majorEastAsia" w:cstheme="majorEastAsia"/>
          <w:color w:val="000000"/>
          <w:sz w:val="24"/>
          <w:szCs w:val="24"/>
          <w:highlight w:val="none"/>
          <w:lang w:val="en-US" w:eastAsia="zh-CN"/>
        </w:rPr>
        <w:t xml:space="preserve">米。</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实体的分类、颗粒度、精度及空间身份编码规则符合《新型基础测绘与实景三维中国建设技术文件-2基础地理实体分类、粒度及精度基本要求》《江苏省基础地理实体分类、粒度及精度基本要求》《新型基础测绘与实景三维中国建设技术文件-3 基础地理实体空间身份编码规则》要求。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实体的转换、采集、语义化处理符合《基础地理信息要素数据转换生产实体数据技术规范》《新型基础测绘与实景三维中国建设技术文件-5 基于1∶500 1∶1000 1∶2000基础地理信息要素数据转换生产基础地理实体数据技术规程》《新型基础测绘与实景三维中国建设技术文件-6 基础地理实体数据采集生产技术规程》《新型基础测绘与实景三维中国建设技术文件-7 基础地理实体语义化基本规定》《江苏省基础地理实体数据库规范》要求。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4）测量标志点的巡查技术要求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en-US" w:eastAsia="zh-CN"/>
        </w:rPr>
        <w:t xml:space="preserve">巡查人员需对标志点进行全方位的实地核查，重点</w:t>
      </w:r>
      <w:r>
        <w:rPr>
          <w:rFonts w:hint="eastAsia" w:asciiTheme="majorEastAsia" w:hAnsiTheme="majorEastAsia" w:eastAsiaTheme="majorEastAsia" w:cstheme="majorEastAsia"/>
          <w:color w:val="000000"/>
          <w:sz w:val="24"/>
          <w:szCs w:val="24"/>
          <w:highlight w:val="none"/>
          <w:lang w:val="en-US" w:eastAsia="zh-CN"/>
        </w:rPr>
        <w:t xml:space="preserve">确认三角点、水准点、GPS点等标志本体是否完好，排查是否存在损毁、移位、沉降、风化脱落、涂刻污染、被盗或掩埋等情况；同时检查保护井、保护盖、护栏、碑记、警示标志及指示牌等附属设施是否齐全完好、字迹清晰。此外，还需评估周边环境，排查是否存在影响观测的障碍物（如建筑物遮挡、植被疯长）以及违规耕作、挖土取土、非法侵占、搭建构筑物等安全隐患或危害行为，并及时清理标志点周边（通常为1米范围内）的杂草、杂物、砂石、树叶等覆盖物，疏通排水通道以防范雨水冲刷及水土流失，对缺失、模糊、倾倒的警示保护牌及指示牌进行补齐或更新。</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en-US" w:eastAsia="zh-CN"/>
        </w:rPr>
        <w:t xml:space="preserve">巡查工作需做到“痕迹化”和“数字化”管理，建立“一点一档”，完善每个标志点的位置信息、现状照片和管理档案，实行规范化管理。在规范巡查记录方面，需详细登记点名、点号、种类、位置、巡查时间、人员、现状及发现的问题。同时，巡查全过程需规范留存影像资料，通常要求拍摄远景、近景、特写三张照片，以确保巡查工作的可追溯性和数据的完整性。</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4）元数据技术要求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地形图元数据符合《基础地理信息数字成果元数据》（GB/T 39608-2020）要求。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基础地理实体元数据符合《新型基础测绘与实景三维中国建设技术文件-4 基础地理实体数据元数据》要求。</w:t>
      </w:r>
      <w:r/>
    </w:p>
    <w:p>
      <w:pPr>
        <w:pStyle w:val="823"/>
        <w:jc w:val="both"/>
        <w:keepLines w:val="0"/>
        <w:keepNext w:val="0"/>
        <w:pageBreakBefore w:val="0"/>
        <w:spacing w:before="120" w:beforeAutospacing="0" w:after="120" w:afterAutospacing="0" w:line="360" w:lineRule="auto"/>
        <w:widowControl w:val="off"/>
        <w:rPr>
          <w:rFonts w:hint="default" w:asciiTheme="majorEastAsia" w:hAnsiTheme="majorEastAsia" w:eastAsiaTheme="majorEastAsia" w:cstheme="majorEastAsia"/>
          <w:color w:val="000000"/>
          <w:sz w:val="24"/>
          <w:szCs w:val="24"/>
          <w:highlight w:val="none"/>
          <w:lang w:val="en-US" w:eastAsia="zh-CN"/>
        </w:rPr>
      </w:pPr>
      <w:r>
        <w:rPr>
          <w:rFonts w:hint="default" w:asciiTheme="majorEastAsia" w:hAnsiTheme="majorEastAsia" w:eastAsiaTheme="majorEastAsia" w:cstheme="majorEastAsia"/>
          <w:color w:val="000000"/>
          <w:sz w:val="24"/>
          <w:szCs w:val="24"/>
          <w:highlight w:val="none"/>
          <w:lang w:val="en-US" w:eastAsia="zh-CN"/>
        </w:rPr>
        <w:t xml:space="preserve">2．</w:t>
      </w:r>
      <w:r>
        <w:rPr>
          <w:rFonts w:hint="eastAsia" w:asciiTheme="majorEastAsia" w:hAnsiTheme="majorEastAsia" w:eastAsiaTheme="majorEastAsia" w:cstheme="majorEastAsia"/>
          <w:color w:val="000000"/>
          <w:sz w:val="24"/>
          <w:szCs w:val="24"/>
          <w:highlight w:val="none"/>
          <w:lang w:val="en-US" w:eastAsia="zh-CN"/>
        </w:rPr>
        <w:t xml:space="preserve">包2技术要求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1）空间基准</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（1）坐标系统：2000国家大地坐标系。</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（2）高程基准：1985国家高程基准。</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（3）投影方式：采用3度分带的高斯-克吕格投影。</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（4）时间基准：公元纪年和北京时间。</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2）位置精度</w:t>
      </w:r>
      <w:r/>
    </w:p>
    <w:tbl>
      <w:tblPr>
        <w:tblStyle w:val="818"/>
        <w:tblW w:w="86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06"/>
        <w:gridCol w:w="2297"/>
        <w:gridCol w:w="2760"/>
      </w:tblGrid>
      <w:tr>
        <w:trPr>
          <w:jc w:val="center"/>
          <w:trHeight w:val="57"/>
        </w:trPr>
        <w:tc>
          <w:tcPr>
            <w:tcBorders>
              <w:top w:val="single" w:color="auto" w:sz="4" w:space="0"/>
              <w:left w:val="single" w:color="auto" w:sz="4" w:space="0"/>
              <w:bottom w:val="single" w:color="auto" w:sz="4" w:space="0"/>
              <w:right w:val="single" w:color="auto" w:sz="4" w:space="0"/>
            </w:tcBorders>
            <w:tcW w:w="3606" w:type="dxa"/>
            <w:vAlign w:val="center"/>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数据成果类型</w:t>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平面中误差（米）</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高程中误差（米）</w:t>
            </w:r>
            <w:r/>
          </w:p>
        </w:tc>
      </w:tr>
      <w:tr>
        <w:trPr>
          <w:jc w:val="center"/>
          <w:trHeight w:val="450"/>
        </w:trPr>
        <w:tc>
          <w:tcPr>
            <w:tcBorders>
              <w:top w:val="single" w:color="auto" w:sz="4" w:space="0"/>
              <w:left w:val="single" w:color="auto" w:sz="4" w:space="0"/>
              <w:bottom w:val="single" w:color="auto" w:sz="4" w:space="0"/>
              <w:right w:val="single" w:color="auto" w:sz="4" w:space="0"/>
            </w:tcBorders>
            <w:tcW w:w="3606" w:type="dxa"/>
            <w:vAlign w:val="center"/>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倾斜摄影三维模型数据成果</w:t>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±0.30</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±0.25</w:t>
            </w:r>
            <w:r/>
          </w:p>
        </w:tc>
      </w:tr>
      <w:tr>
        <w:trPr>
          <w:jc w:val="center"/>
          <w:trHeight w:val="450"/>
        </w:trPr>
        <w:tc>
          <w:tcPr>
            <w:tcBorders>
              <w:top w:val="single" w:color="auto" w:sz="4" w:space="0"/>
              <w:left w:val="single" w:color="auto" w:sz="4" w:space="0"/>
              <w:bottom w:val="single" w:color="auto" w:sz="4" w:space="0"/>
              <w:right w:val="single" w:color="auto" w:sz="4" w:space="0"/>
            </w:tcBorders>
            <w:tcW w:w="3606" w:type="dxa"/>
            <w:vAlign w:val="center"/>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TDOM数据成果</w:t>
            </w:r>
            <w:r/>
          </w:p>
        </w:tc>
        <w:tc>
          <w:tcPr>
            <w:tcBorders>
              <w:top w:val="single" w:color="auto" w:sz="4" w:space="0"/>
              <w:left w:val="single" w:color="auto" w:sz="4" w:space="0"/>
              <w:bottom w:val="single" w:color="auto" w:sz="4" w:space="0"/>
              <w:right w:val="single" w:color="auto" w:sz="4" w:space="0"/>
            </w:tcBorders>
            <w:tcW w:w="2297" w:type="dxa"/>
            <w:vAlign w:val="center"/>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±0.30</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w:t>
            </w:r>
            <w:r/>
          </w:p>
        </w:tc>
      </w:tr>
      <w:tr>
        <w:trPr>
          <w:jc w:val="center"/>
          <w:trHeight w:val="57"/>
        </w:trPr>
        <w:tc>
          <w:tcPr>
            <w:gridSpan w:val="3"/>
            <w:tcBorders>
              <w:top w:val="single" w:color="auto" w:sz="4" w:space="0"/>
              <w:left w:val="single" w:color="auto" w:sz="4" w:space="0"/>
              <w:bottom w:val="single" w:color="auto" w:sz="4" w:space="0"/>
              <w:right w:val="single" w:color="auto" w:sz="4" w:space="0"/>
            </w:tcBorders>
            <w:tcW w:w="8663" w:type="dxa"/>
            <w:vAlign w:val="center"/>
            <w:textDirection w:val="lrTb"/>
            <w:noWrap w:val="false"/>
          </w:tcPr>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困难地区（如林区、阴影覆盖隐蔽区等）的中误差可放宽至两倍标准中误差</w:t>
            </w:r>
            <w:r/>
          </w:p>
        </w:tc>
      </w:tr>
    </w:tbl>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3）航摄技术要求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航摄种类：IMU/DGPS辅助倾斜数码彩色航空摄影。</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航摄仪要求：无人机搭载航摄仪单镜头不低于2000万像素（含），可采用单镜头智能摆动的方式。</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全域航摄影像地面分辨率：等于或优于0.05米（下视）。</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垂直影像重叠度：航向重叠度在高层建筑物密集区域一般应设计为70%～80%，其他地区航向重叠度一般不低于60%，最低不低于53%；旁向重叠度一般应设计为50%～80%，最低不低于30%。</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倾斜影像重叠度：当满足垂直影像重叠度后，倾斜影像的航向和旁向重叠度可不再重新设计。</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旋偏角：一般不大于15°；在像片航向和旁向重叠度满足要求的前提下，最大不超过35°；同一航线连续达到或接近最大旋偏角的像片数不应超过3张；同一摄区出现最大旋偏角的像片数不应大于摄区像片总数的4%。</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测区覆盖：保证测区边缘区域倾斜视角影像的覆盖范围，旁向范围超出摄区边界不少于3条基线；航向超出摄区边界不少于7条基线，覆盖不全须补测。</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影像质量要求：各镜头影像须清晰、反差适中、色彩鲜明、颜色饱和、相同地物的色彩基调基本一致、有较丰富的层次和能辨别与地面分辨率相适应的细小地物影像。</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航摄时间：在规定的航摄期限内，选择对成图影响较小、云雾少、无扬尘（沙）、光照充足、大气透明度好的晴或多云天气进行摄影。若为晴天拍摄，太阳高度角≥40°，阴影倍数≤1.2倍；若为多云天气拍摄，在保证照度的前提下可适当放宽太阳高度角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补摄与重摄：航摄过程中出现的绝对漏洞、相对漏洞及其它严重缺陷必须及时补摄，补摄航线的长度应超出漏洞外五条基线，应采用同一主距的航摄仪进行补摄，当某段POS数据经分析后无法使用，应对该段航线进行补摄，补摄航线的长度应超出该段航线外五条基线。</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4）倾斜摄影三维模型成果要求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（1）地面分辨率优于0.05米。</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总体要求:模型纹理色调一致、均匀、无镶嵌痕迹，保障建筑物建模效果优良，模型分明，不能有明显变形、不平整、与实际不符情况。需对水系、交通、建筑、独立物、植被、地形等进行修饰。</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2）水系:水系的同一横断面上的高程不得相差0.2米，对有遮挡处进行人工处理到设计精度要求；水面平整、无破面，放大到实际影像像素大小、以相机拍照视角观察时，不会出现与实际不符的情况。影像接边处无明显接痕，水面纹理可采用正射影像进行纹理映射。</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3）交通:对有遮挡处进行人工处理达到设计精度要求，道路及其附属设施的平面位置及高程信息满足三维模型整体表达精度，道路及其附属设施线状模型结构与实际情况一致，不能有明显不平整、变形等情况。放大到实际影像像素大小、以相机拍照视角观察时，不会出现与实际不符情况且影像接边处无明显接痕。</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（4）建筑:所有建筑物几何形状（面、线、角）和纹理完整、正确。</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（5）独立物:对电杆、灯杆、通信杆、烟囱等直径小于0.5米或厚度小于0.5米的广告牌等独立地物进行检查，对悬空独立地物直接删除，直径大于1米的要做出实际形状。</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（6）植被:植被模型一般不进行处理，主要是对直径小于1米，并且独立、没有支撑的部分进行删除，行树等趋于自然。</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（7）地形:真实反映地形起伏、地表形态、质地、色彩、纹理等特征。地形模型的平面位置及高程精度满足三维模型表达要求。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8）其他:不允许在模型表面出现与现实明显不符的孔洞,如水面、广告牌、玻璃幕墙等，需进行修复；模型中不允许存在孤立、细碎的悬浮物（如很小的树冠、残缺不全的路标牌等及其他异常错误目标），需进行修复；对提供的影像数据或补摄的影像中涉及如人脸、汽车牌号等隐私信息或保密信息进行模糊化处理。</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（9）模型分块规则：更新模型采用基于CGCS2000的球面墨卡托投影作为网格分块坐标系，以该坐标系下横坐标13306157.8839、纵坐标3913575.8483作为分块计算的原点，以152.874米为分块单元的边长。</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（10）更新融合：更新模型应沿如道路边线等自然边界与更新前模型进行接边融合处理，消除几何突变和纹理色彩差异。更新后模型所采用的投影坐标系与更新前模型保持一致。</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5）真正射影像（TDOM）技术要求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地面分辨率为0.05米。</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图幅内影像清晰，反差适中，色彩及色调均匀、无噪声，影像无模糊错位、扭曲、拉花等现象。</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匀光匀色需尽量保证地物的纹理特征，尤其是旱地、水田等地物，匀光匀色时应尽量避免纹理信息损失。</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地物地貌应真实，无扭曲变形、无噪声、云影等缺陷。</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与上一时期的真正射影像（TDOM）之间应完全接边，不允许在接边处出现错位、色彩、色调不接的现象；由于航摄时间不同造成的影像颜色差异，应尽量使同一线状或面状地物的颜色及纹理特征保持一致。</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不应该有阴云、大团云阴影与烟雾。不得有任何单块云、密云阴影或烟雾使地物变得模糊的面积超过影像的3%。</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6）元数据技术要求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地形图元数据符合《基础地理信息数字成果元数据》（GB/T 39608-2020）要求。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地理场景元数据符合《实景三维地理信息元数据规范》（DB 32/T 4156-2021）要求。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7）对包1成果质量检查和汇交技术要求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成果质量检查</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严格按照国家、江苏省测绘地理信息现行规范标准，以及本项目技术设计书要求，对包件一1:1000 大比例尺地形图更新测绘、基础地理实体生产更新、测量标志点踏勘核实全部成果开展质量检查工作。执行过程检查与最终检查两级质检流程，对数据精度、要素完整性、逻辑一致性、外业实地核查情况开展全面核验；对检查发现问题形成问题清单，督促完成整改复核，出具完整检查报告，确保包件一成果质量满足项目验收条件。</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数据汇交管理</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按照甲方及省市主管部门数据提交要求，完成包件一全部成果数据、元数据、过程资料、检查报告的规范化整理、格式规整与归档，按规定完成成果逐级汇交，保证汇交数据完整、格式合规、资料齐全，满足入库、上报要求。</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项目日常管理</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承担包件一项目过程日常管理工作，建立项目台账，做好资料保管、版本管控；负责与甲方沟通对接，跟进生产进度，协调处理项目实施过程中的技术问题，完整留存全套项目过程文档，保障包件一项目有序推进，满足项目总体任务指标。</w:t>
      </w:r>
      <w:r/>
    </w:p>
    <w:p>
      <w:pPr>
        <w:pStyle w:val="823"/>
        <w:jc w:val="both"/>
        <w:keepLines w:val="0"/>
        <w:keepNext w:val="0"/>
        <w:pageBreakBefore w:val="0"/>
        <w:spacing w:before="120" w:beforeAutospacing="0" w:after="120" w:afterAutospacing="0" w:line="360" w:lineRule="auto"/>
        <w:widowControl w:val="off"/>
        <w:rPr>
          <w:rFonts w:hint="default" w:asciiTheme="majorEastAsia" w:hAnsiTheme="majorEastAsia" w:eastAsiaTheme="majorEastAsia" w:cstheme="majorEastAsia"/>
          <w:b/>
          <w:bCs/>
          <w:color w:val="000000"/>
          <w:sz w:val="24"/>
          <w:szCs w:val="24"/>
          <w:highlight w:val="none"/>
          <w:lang w:val="en-US" w:eastAsia="zh-CN"/>
        </w:rPr>
      </w:pPr>
      <w:r>
        <w:rPr>
          <w:rFonts w:hint="eastAsia" w:asciiTheme="majorEastAsia" w:hAnsiTheme="majorEastAsia" w:eastAsiaTheme="majorEastAsia" w:cstheme="majorEastAsia"/>
          <w:b/>
          <w:bCs/>
          <w:color w:val="000000"/>
          <w:sz w:val="24"/>
          <w:szCs w:val="24"/>
          <w:highlight w:val="none"/>
          <w:lang w:val="en-US" w:eastAsia="zh-CN"/>
        </w:rPr>
        <w:t xml:space="preserve">（四）技术规范</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GB/T 23236-2024《数字航空摄影测量 空中三角测量规范》；</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GB/T 24356-2023《测绘成果质量检查与验收》；</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GB/T 27919-2011《IMU/GPS辅助航空摄影技术规范》；</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GB/T 27920.1-2011《数字航空摄影规范 第1部分:框幅式数字航空摄影》；</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GB/T 30318-2013 《地理信息公共平台基本规定》；</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GB/T 39610-2020《倾斜数字航空摄影技术规程》；</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CH/T 1004-2005《测绘技术设计规定》；</w:t>
      </w:r>
      <w:r>
        <w:rPr>
          <w:rFonts w:hint="eastAsia" w:asciiTheme="majorEastAsia" w:hAnsiTheme="majorEastAsia" w:eastAsiaTheme="majorEastAsia" w:cstheme="majorEastAsia"/>
          <w:color w:val="000000"/>
          <w:sz w:val="24"/>
          <w:szCs w:val="24"/>
          <w:highlight w:val="none"/>
          <w:lang w:val="zh-CN" w:eastAsia="zh-CN"/>
        </w:rPr>
        <w:tab/>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CH/T 1001-2005《测绘技术总结编写规定》；</w:t>
      </w:r>
      <w:r>
        <w:rPr>
          <w:rFonts w:hint="eastAsia" w:asciiTheme="majorEastAsia" w:hAnsiTheme="majorEastAsia" w:eastAsiaTheme="majorEastAsia" w:cstheme="majorEastAsia"/>
          <w:color w:val="000000"/>
          <w:sz w:val="24"/>
          <w:szCs w:val="24"/>
          <w:highlight w:val="none"/>
          <w:lang w:val="zh-CN" w:eastAsia="zh-CN"/>
        </w:rPr>
        <w:tab/>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CH/T 1050-2021《倾斜数字航空摄影成果质量检验技术规程》；</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CH/T 3003-2021《低空数字航空摄影测量内业规范》；</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CH/T 3004-2021《低空数字航空摄影测量外业规范》；</w:t>
      </w:r>
      <w:r>
        <w:rPr>
          <w:rFonts w:hint="eastAsia" w:asciiTheme="majorEastAsia" w:hAnsiTheme="majorEastAsia" w:eastAsiaTheme="majorEastAsia" w:cstheme="majorEastAsia"/>
          <w:color w:val="000000"/>
          <w:sz w:val="24"/>
          <w:szCs w:val="24"/>
          <w:highlight w:val="none"/>
          <w:lang w:val="zh-CN" w:eastAsia="zh-CN"/>
        </w:rPr>
        <w:tab/>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CH/T 3005-2021《低空数字航空摄影规范》；</w:t>
      </w:r>
      <w:r>
        <w:rPr>
          <w:rFonts w:hint="eastAsia" w:asciiTheme="majorEastAsia" w:hAnsiTheme="majorEastAsia" w:eastAsiaTheme="majorEastAsia" w:cstheme="majorEastAsia"/>
          <w:color w:val="000000"/>
          <w:sz w:val="24"/>
          <w:szCs w:val="24"/>
          <w:highlight w:val="none"/>
          <w:lang w:val="zh-CN" w:eastAsia="zh-CN"/>
        </w:rPr>
        <w:tab/>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CH/T 2009-2010《全球定位系统实时动态测量（RTK）技术规范》；</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GB/T 20257.1-2017《国家基本比例尺地图图式 第1部分：1∶500 ∶1000 1∶2000地形图图式》；</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CH/T 9008.3-2010《基础地理信息数字成果 1:500 1:1000 1:2000 数字正射影像图》；</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CH/T9020.3-2013《基础地理信息数字成果 1:500 1:1000 1:2000生产技术规程 第3部分：数字正射影像图》</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CH/Z 9011-2011 《地理信息公共服务平台  电子地图数据规范》；</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CH/T 9015-2012《三维地理信息模型数据产品规范》；</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CH/T 9016-2012《三维地理信息模型生产规范》；</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DB32/T 5373-2026《基础地理信息要素数据转换生产实体数据技术规范》；</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DB 3209/T 1241-2023《</w:t>
      </w:r>
      <w:r>
        <w:rPr>
          <w:rFonts w:hint="eastAsia" w:asciiTheme="majorEastAsia" w:hAnsiTheme="majorEastAsia" w:eastAsiaTheme="majorEastAsia" w:cstheme="majorEastAsia"/>
          <w:color w:val="000000"/>
          <w:sz w:val="24"/>
          <w:szCs w:val="24"/>
          <w:highlight w:val="none"/>
          <w:lang w:val="en-US" w:eastAsia="zh-CN"/>
        </w:rPr>
        <w:t xml:space="preserve">盐城市</w:t>
      </w:r>
      <w:r>
        <w:rPr>
          <w:rFonts w:hint="eastAsia" w:asciiTheme="majorEastAsia" w:hAnsiTheme="majorEastAsia" w:eastAsiaTheme="majorEastAsia" w:cstheme="majorEastAsia"/>
          <w:color w:val="000000"/>
          <w:sz w:val="24"/>
          <w:szCs w:val="24"/>
          <w:highlight w:val="none"/>
          <w:lang w:val="zh-CN" w:eastAsia="zh-CN"/>
        </w:rPr>
        <w:t xml:space="preserve">1∶500 1∶1000 1∶2000 基础地理信息地形要素数据规范》；</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en-US" w:eastAsia="zh-CN"/>
        </w:rPr>
        <w:t xml:space="preserve">《中华人民共和国测量标志保护条例》（中华人民共和国国务院，2011.1）</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《测绘地理信息管理工作国家秘密范围的规定》（自然资源部，国家保密局，2020）；</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《实景三维中国建设总体实施方案（2023-2025年）》（自然资源部，2023.3）；</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《江苏省自然资源厅办公室关于进一步加强全省测量标志保护和管理的通知》（江苏省自然资源厅，20</w:t>
      </w:r>
      <w:r>
        <w:rPr>
          <w:rFonts w:hint="eastAsia" w:asciiTheme="majorEastAsia" w:hAnsiTheme="majorEastAsia" w:eastAsiaTheme="majorEastAsia" w:cstheme="majorEastAsia"/>
          <w:color w:val="000000"/>
          <w:sz w:val="24"/>
          <w:szCs w:val="24"/>
          <w:highlight w:val="none"/>
          <w:lang w:val="en-US" w:eastAsia="zh-CN"/>
        </w:rPr>
        <w:t xml:space="preserve">24</w:t>
      </w:r>
      <w:r>
        <w:rPr>
          <w:rFonts w:hint="eastAsia" w:asciiTheme="majorEastAsia" w:hAnsiTheme="majorEastAsia" w:eastAsiaTheme="majorEastAsia" w:cstheme="majorEastAsia"/>
          <w:color w:val="000000"/>
          <w:sz w:val="24"/>
          <w:szCs w:val="24"/>
          <w:highlight w:val="none"/>
          <w:lang w:val="zh-CN" w:eastAsia="zh-CN"/>
        </w:rPr>
        <w:t xml:space="preserve">）；</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《实景三维江苏建设实施方案（2023-2025年）》（江苏省自然资源厅，2023.6）；</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《江苏省基础地理实体分类、粒度与精度》（</w:t>
      </w:r>
      <w:r>
        <w:rPr>
          <w:rFonts w:hint="eastAsia" w:asciiTheme="majorEastAsia" w:hAnsiTheme="majorEastAsia" w:eastAsiaTheme="majorEastAsia" w:cstheme="majorEastAsia"/>
          <w:color w:val="000000"/>
          <w:sz w:val="24"/>
          <w:szCs w:val="24"/>
          <w:highlight w:val="none"/>
          <w:lang w:val="en-US" w:eastAsia="zh-CN"/>
        </w:rPr>
        <w:t xml:space="preserve">修订</w:t>
      </w:r>
      <w:r>
        <w:rPr>
          <w:rFonts w:hint="eastAsia" w:asciiTheme="majorEastAsia" w:hAnsiTheme="majorEastAsia" w:eastAsiaTheme="majorEastAsia" w:cstheme="majorEastAsia"/>
          <w:color w:val="000000"/>
          <w:sz w:val="24"/>
          <w:szCs w:val="24"/>
          <w:highlight w:val="none"/>
          <w:lang w:val="zh-CN" w:eastAsia="zh-CN"/>
        </w:rPr>
        <w:t xml:space="preserve">）（江苏省自然资源厅，202</w:t>
      </w:r>
      <w:r>
        <w:rPr>
          <w:rFonts w:hint="eastAsia" w:asciiTheme="majorEastAsia" w:hAnsiTheme="majorEastAsia" w:eastAsiaTheme="majorEastAsia" w:cstheme="majorEastAsia"/>
          <w:color w:val="000000"/>
          <w:sz w:val="24"/>
          <w:szCs w:val="24"/>
          <w:highlight w:val="none"/>
          <w:lang w:val="en-US" w:eastAsia="zh-CN"/>
        </w:rPr>
        <w:t xml:space="preserve">4</w:t>
      </w:r>
      <w:r>
        <w:rPr>
          <w:rFonts w:hint="eastAsia" w:asciiTheme="majorEastAsia" w:hAnsiTheme="majorEastAsia" w:eastAsiaTheme="majorEastAsia" w:cstheme="majorEastAsia"/>
          <w:color w:val="000000"/>
          <w:sz w:val="24"/>
          <w:szCs w:val="24"/>
          <w:highlight w:val="none"/>
          <w:lang w:val="zh-CN" w:eastAsia="zh-CN"/>
        </w:rPr>
        <w:t xml:space="preserve">.1</w:t>
      </w:r>
      <w:r>
        <w:rPr>
          <w:rFonts w:hint="eastAsia" w:asciiTheme="majorEastAsia" w:hAnsiTheme="majorEastAsia" w:eastAsiaTheme="majorEastAsia" w:cstheme="majorEastAsia"/>
          <w:color w:val="000000"/>
          <w:sz w:val="24"/>
          <w:szCs w:val="24"/>
          <w:highlight w:val="none"/>
          <w:lang w:val="en-US" w:eastAsia="zh-CN"/>
        </w:rPr>
        <w:t xml:space="preserve">2</w:t>
      </w:r>
      <w:r>
        <w:rPr>
          <w:rFonts w:hint="eastAsia" w:asciiTheme="majorEastAsia" w:hAnsiTheme="majorEastAsia" w:eastAsiaTheme="majorEastAsia" w:cstheme="majorEastAsia"/>
          <w:color w:val="000000"/>
          <w:sz w:val="24"/>
          <w:szCs w:val="24"/>
          <w:highlight w:val="none"/>
          <w:lang w:val="zh-CN" w:eastAsia="zh-CN"/>
        </w:rPr>
        <w:t xml:space="preserve">）；</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《基于 1:500 1:1000 1:2000 基础地理信息要素数据转换生产基础地理实体数据技术规程（试行）》（自然资源部，2024.6）；</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《实景三维中国建设城市三维模型（LOD1.3 级）快速构建技术规定（试行）》（自然资源部，2024.7）；</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《基础地理实体数据成果规范（试行）》（自然资源部，2024.6）；</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《基础地理实体数据元数据》（自然资源部，2024.10）；</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《江苏省基础地理实体数据库规范》（</w:t>
      </w:r>
      <w:r>
        <w:rPr>
          <w:rFonts w:hint="eastAsia" w:asciiTheme="majorEastAsia" w:hAnsiTheme="majorEastAsia" w:eastAsiaTheme="majorEastAsia" w:cstheme="majorEastAsia"/>
          <w:color w:val="000000"/>
          <w:sz w:val="24"/>
          <w:szCs w:val="24"/>
          <w:highlight w:val="none"/>
          <w:lang w:val="en-US" w:eastAsia="zh-CN"/>
        </w:rPr>
        <w:t xml:space="preserve">修订</w:t>
      </w:r>
      <w:r>
        <w:rPr>
          <w:rFonts w:hint="eastAsia" w:asciiTheme="majorEastAsia" w:hAnsiTheme="majorEastAsia" w:eastAsiaTheme="majorEastAsia" w:cstheme="majorEastAsia"/>
          <w:color w:val="000000"/>
          <w:sz w:val="24"/>
          <w:szCs w:val="24"/>
          <w:highlight w:val="none"/>
          <w:lang w:val="zh-CN" w:eastAsia="zh-CN"/>
        </w:rPr>
        <w:t xml:space="preserve">）（江苏省自然资源厅，202</w:t>
      </w:r>
      <w:r>
        <w:rPr>
          <w:rFonts w:hint="eastAsia" w:asciiTheme="majorEastAsia" w:hAnsiTheme="majorEastAsia" w:eastAsiaTheme="majorEastAsia" w:cstheme="majorEastAsia"/>
          <w:color w:val="000000"/>
          <w:sz w:val="24"/>
          <w:szCs w:val="24"/>
          <w:highlight w:val="none"/>
          <w:lang w:val="en-US" w:eastAsia="zh-CN"/>
        </w:rPr>
        <w:t xml:space="preserve">4</w:t>
      </w:r>
      <w:r>
        <w:rPr>
          <w:rFonts w:hint="eastAsia" w:asciiTheme="majorEastAsia" w:hAnsiTheme="majorEastAsia" w:eastAsiaTheme="majorEastAsia" w:cstheme="majorEastAsia"/>
          <w:color w:val="000000"/>
          <w:sz w:val="24"/>
          <w:szCs w:val="24"/>
          <w:highlight w:val="none"/>
          <w:lang w:val="zh-CN" w:eastAsia="zh-CN"/>
        </w:rPr>
        <w:t xml:space="preserve">.1</w:t>
      </w:r>
      <w:r>
        <w:rPr>
          <w:rFonts w:hint="eastAsia" w:asciiTheme="majorEastAsia" w:hAnsiTheme="majorEastAsia" w:eastAsiaTheme="majorEastAsia" w:cstheme="majorEastAsia"/>
          <w:color w:val="000000"/>
          <w:sz w:val="24"/>
          <w:szCs w:val="24"/>
          <w:highlight w:val="none"/>
          <w:lang w:val="en-US" w:eastAsia="zh-CN"/>
        </w:rPr>
        <w:t xml:space="preserve">2</w:t>
      </w:r>
      <w:r>
        <w:rPr>
          <w:rFonts w:hint="eastAsia" w:asciiTheme="majorEastAsia" w:hAnsiTheme="majorEastAsia" w:eastAsiaTheme="majorEastAsia" w:cstheme="majorEastAsia"/>
          <w:color w:val="000000"/>
          <w:sz w:val="24"/>
          <w:szCs w:val="24"/>
          <w:highlight w:val="none"/>
          <w:lang w:val="zh-CN" w:eastAsia="zh-CN"/>
        </w:rPr>
        <w:t xml:space="preserve">）；</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《实景三维盐城建设技术设计书2023-2025年》（盐城市自然资源和规划局 2023.11）；</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《实景三维成果资料汇交、汇集与归档基本要求（试行）》（自然资源部，2024.6）；</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《基础地理实体数据成果质量检查与验收（试行）》（自然资源部，2024.10）；</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GB/T 33453-2016《基础地理信息数据库建设规范》；</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DB32/T 4156-2021《实景三维地理信息元数据规范》；</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zh-CN" w:eastAsia="zh-CN"/>
        </w:rPr>
      </w:pPr>
      <w:r>
        <w:rPr>
          <w:rFonts w:hint="eastAsia" w:asciiTheme="majorEastAsia" w:hAnsiTheme="majorEastAsia" w:eastAsiaTheme="majorEastAsia" w:cstheme="majorEastAsia"/>
          <w:color w:val="000000"/>
          <w:sz w:val="24"/>
          <w:szCs w:val="24"/>
          <w:highlight w:val="none"/>
          <w:lang w:val="zh-CN" w:eastAsia="zh-CN"/>
        </w:rPr>
        <w:t xml:space="preserve">其他相关国家、行业技术标准规范。</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项目实施过程中，上述标准有更新的，执行最新标准。</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lang w:val="en-US" w:eastAsia="zh-CN"/>
        </w:rPr>
      </w:pPr>
      <w:r>
        <w:rPr>
          <w:rFonts w:hint="eastAsia" w:asciiTheme="majorEastAsia" w:hAnsiTheme="majorEastAsia" w:eastAsiaTheme="majorEastAsia" w:cstheme="majorEastAsia"/>
          <w:b/>
          <w:bCs/>
          <w:color w:val="000000"/>
          <w:sz w:val="24"/>
          <w:szCs w:val="24"/>
          <w:highlight w:val="none"/>
          <w:lang w:val="en-US" w:eastAsia="zh-CN"/>
        </w:rPr>
        <w:t xml:space="preserve">（五）服务期限</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自合同签订之日起至2026年12月30日前完成并通过采购人验收。</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如果上级部门或采购人对时间节点有调整，以上级部门或采购人的最新要求为准，供应商须无条件积极配合各项时间节点要求，通过增派技术人员、设备设施等方式按时提交相应成果。</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lang w:val="en-US" w:eastAsia="zh-CN"/>
        </w:rPr>
      </w:pPr>
      <w:r>
        <w:rPr>
          <w:rFonts w:hint="eastAsia" w:asciiTheme="majorEastAsia" w:hAnsiTheme="majorEastAsia" w:eastAsiaTheme="majorEastAsia" w:cstheme="majorEastAsia"/>
          <w:b/>
          <w:bCs/>
          <w:color w:val="000000"/>
          <w:sz w:val="24"/>
          <w:szCs w:val="24"/>
          <w:highlight w:val="none"/>
          <w:lang w:val="en-US" w:eastAsia="zh-CN"/>
        </w:rPr>
        <w:t xml:space="preserve">（六）服务范围</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滨海县全域。</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lang w:val="en-US" w:eastAsia="zh-CN"/>
        </w:rPr>
      </w:pPr>
      <w:r>
        <w:rPr>
          <w:rFonts w:hint="eastAsia" w:asciiTheme="majorEastAsia" w:hAnsiTheme="majorEastAsia" w:eastAsiaTheme="majorEastAsia" w:cstheme="majorEastAsia"/>
          <w:b/>
          <w:bCs/>
          <w:color w:val="000000"/>
          <w:sz w:val="24"/>
          <w:szCs w:val="24"/>
          <w:highlight w:val="none"/>
          <w:lang w:val="en-US" w:eastAsia="zh-CN"/>
        </w:rPr>
        <w:t xml:space="preserve">（七）提交成果（包括但不限于以下成果）</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项目成果主要有数据库成果、文档成果等。</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外业航摄数据，包括：真彩色像片数据（JPG格式）；数字航摄仪技术参数；摄区完成情况图；摄区航线结合图；航空摄影资料移交书；航空摄影飞行记录；像片中心点坐标数据（包2）；</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地形图数据成果，包括：图幅接合表（DWG格式）,分幅图成果（DWG格式），数据库（GDB格式），元数据（MDB格式）（包1）。</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倾斜摄影三维模型成果数据1套（OSGB瓦片集格式），元数据1套（包2）；</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真正射影像数据（TDOM）1套（GeoTIFF格式）（包2）；</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二维基础地理实体数据库1套（GDB格式），元数据1套（包1）；</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测量标志点的巡查报告及点之记1套（包1）。</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项目技术设计书、技术总结、检查报告、监理报告、江苏省测绘产品质量监督检查站出具的检验报告等相关文档（包1、包2）。</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其他相关资料。</w:t>
      </w:r>
      <w:r/>
    </w:p>
    <w:p>
      <w:pPr>
        <w:pStyle w:val="823"/>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注：以上最终成果的提交类型、内容、格式以上级部门的最新要求为准，提交成果的数量（纸质、电子）以采购人的要求为准。若采购人对本项目有后续要求时，成交供应商必须无条件配合。</w:t>
      </w:r>
      <w:r/>
    </w:p>
    <w:p>
      <w:pPr>
        <w:pStyle w:val="823"/>
        <w:ind w:firstLine="480"/>
        <w:jc w:val="both"/>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 </w:t>
      </w:r>
      <w:r/>
    </w:p>
    <w:p>
      <w:pPr>
        <w:pStyle w:val="823"/>
        <w:ind w:firstLine="480"/>
        <w:jc w:val="both"/>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采购标的对应的中小企业划分标准所属行业一览表</w:t>
      </w:r>
      <w:r/>
    </w:p>
    <w:tbl>
      <w:tblPr>
        <w:tblStyle w:val="818"/>
        <w:tblW w:w="875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00"/>
        <w:gridCol w:w="5056"/>
        <w:gridCol w:w="2694"/>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056" w:type="dxa"/>
            <w:vAlign w:val="center"/>
            <w:textDirection w:val="lrTb"/>
            <w:noWrap w:val="false"/>
          </w:tcPr>
          <w:p>
            <w:pPr>
              <w:pStyle w:val="823"/>
              <w:ind w:firstLine="1920"/>
              <w:jc w:val="both"/>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对应中小企业划分标准所属行业</w:t>
            </w:r>
            <w:r/>
          </w:p>
        </w:tc>
      </w:tr>
      <w:tr>
        <w:trPr>
          <w:jc w:val="center"/>
          <w:tblCellSpacing w:w="0" w:type="dxa"/>
          <w:trHeight w:val="678"/>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23"/>
              <w:ind w:firstLine="240"/>
              <w:jc w:val="both"/>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56" w:type="dxa"/>
            <w:vAlign w:val="center"/>
            <w:textDirection w:val="lrTb"/>
            <w:noWrap w:val="false"/>
          </w:tcPr>
          <w:p>
            <w:pPr>
              <w:pStyle w:val="823"/>
              <w:jc w:val="left"/>
              <w:spacing w:beforeAutospacing="0" w:afterAutospacing="0" w:line="0" w:lineRule="atLeast"/>
              <w:rPr>
                <w:rFonts w:hint="default"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滨海县2026年大比例尺地形图更新维护测绘项目采购包1</w:t>
            </w:r>
            <w:r/>
          </w:p>
          <w:p>
            <w:pPr>
              <w:pStyle w:val="823"/>
              <w:ind w:firstLine="720"/>
              <w:jc w:val="left"/>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823"/>
              <w:ind w:firstLine="480"/>
              <w:jc w:val="both"/>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其他未列明行业</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23"/>
              <w:ind w:firstLine="240"/>
              <w:jc w:val="both"/>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56" w:type="dxa"/>
            <w:vAlign w:val="center"/>
            <w:textDirection w:val="lrTb"/>
            <w:noWrap w:val="false"/>
          </w:tcPr>
          <w:p>
            <w:pPr>
              <w:pStyle w:val="823"/>
              <w:jc w:val="left"/>
              <w:spacing w:beforeAutospacing="0" w:afterAutospacing="0" w:line="0" w:lineRule="atLeast"/>
              <w:rPr>
                <w:rFonts w:hint="default"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滨海县2026年大比例尺地形图更新维护测绘项目采购包2</w:t>
            </w:r>
            <w:r/>
          </w:p>
          <w:p>
            <w:pPr>
              <w:pStyle w:val="823"/>
              <w:ind w:firstLine="720"/>
              <w:jc w:val="left"/>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823"/>
              <w:ind w:firstLine="480"/>
              <w:jc w:val="both"/>
              <w:spacing w:beforeAutospacing="0" w:afterAutospacing="0" w:line="0" w:lineRule="atLeast"/>
              <w:rPr>
                <w:rFonts w:hint="eastAsia" w:asciiTheme="majorEastAsia" w:hAnsiTheme="majorEastAsia" w:eastAsiaTheme="majorEastAsia" w:cstheme="majorEastAsia"/>
                <w:color w:val="000000"/>
                <w:sz w:val="24"/>
                <w:szCs w:val="24"/>
                <w:highlight w:val="none"/>
                <w:lang w:val="en-US" w:eastAsia="zh-CN"/>
              </w:rPr>
            </w:pPr>
            <w:r>
              <w:rPr>
                <w:rFonts w:hint="eastAsia" w:asciiTheme="majorEastAsia" w:hAnsiTheme="majorEastAsia" w:eastAsiaTheme="majorEastAsia" w:cstheme="majorEastAsia"/>
                <w:color w:val="000000"/>
                <w:sz w:val="24"/>
                <w:szCs w:val="24"/>
                <w:highlight w:val="none"/>
                <w:lang w:val="en-US" w:eastAsia="zh-CN"/>
              </w:rPr>
              <w:t xml:space="preserve">其他未列明行业</w:t>
            </w:r>
            <w:r/>
          </w:p>
        </w:tc>
      </w:tr>
    </w:tbl>
    <w:p>
      <w:pPr>
        <w:pStyle w:val="823"/>
        <w:ind w:firstLine="480"/>
        <w:jc w:val="both"/>
        <w:spacing w:beforeAutospacing="0" w:afterAutospacing="0" w:line="0" w:lineRule="atLeas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 </w:t>
      </w:r>
      <w:r/>
    </w:p>
    <w:p>
      <w:pPr>
        <w:pStyle w:val="823"/>
        <w:ind w:firstLine="602"/>
        <w:jc w:val="both"/>
        <w:spacing w:beforeAutospacing="0" w:afterAutospacing="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 </w:t>
      </w: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 </w:t>
      </w: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both"/>
        <w:spacing w:beforeAutospacing="0" w:afterAutospacing="0"/>
        <w:tabs>
          <w:tab w:val="left" w:pos="6205" w:leader="none"/>
        </w:tabs>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rPr>
          <w:rFonts w:hint="eastAsia" w:asciiTheme="majorEastAsia" w:hAnsiTheme="majorEastAsia" w:eastAsiaTheme="majorEastAsia" w:cstheme="majorEastAsia"/>
          <w:sz w:val="24"/>
          <w:szCs w:val="24"/>
          <w:highlight w:val="none"/>
        </w:rPr>
      </w:r>
    </w:p>
    <w:p>
      <w:pPr>
        <w:pStyle w:val="82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bookmarkStart w:id="177" w:name="_Toc120614281"/>
      <w:r>
        <w:rPr>
          <w:rFonts w:hint="eastAsia" w:asciiTheme="majorEastAsia" w:hAnsiTheme="majorEastAsia" w:eastAsiaTheme="majorEastAsia" w:cstheme="majorEastAsia"/>
          <w:b/>
          <w:bCs/>
          <w:color w:val="000000"/>
          <w:sz w:val="48"/>
          <w:szCs w:val="48"/>
          <w:highlight w:val="none"/>
          <w:lang w:val="en-US" w:eastAsia="zh-CN" w:bidi="ar-SA"/>
        </w:rPr>
        <w:t xml:space="preserve">第五章  评标方法与评标标准</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ind w:firstLine="482"/>
        <w:keepLines w:val="0"/>
        <w:keepNext w:val="0"/>
        <w:pageBreakBefore w:val="0"/>
        <w:spacing w:line="360" w:lineRule="auto"/>
        <w:widowControl w:val="off"/>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t xml:space="preserve">一、定标原则</w:t>
      </w:r>
      <w:r/>
    </w:p>
    <w:p>
      <w:pPr>
        <w:ind w:firstLine="480"/>
        <w:keepLines w:val="0"/>
        <w:keepNext w:val="0"/>
        <w:pageBreakBefore w:val="0"/>
        <w:spacing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bCs/>
          <w:color w:val="000000"/>
          <w:sz w:val="24"/>
          <w:szCs w:val="24"/>
          <w:highlight w:val="none"/>
        </w:rPr>
        <w:t xml:space="preserve">本项目采用</w:t>
      </w:r>
      <w:r>
        <w:rPr>
          <w:rFonts w:hint="eastAsia" w:asciiTheme="majorEastAsia" w:hAnsiTheme="majorEastAsia" w:eastAsiaTheme="majorEastAsia" w:cstheme="majorEastAsia"/>
          <w:bCs/>
          <w:color w:val="000000"/>
          <w:sz w:val="24"/>
          <w:szCs w:val="24"/>
          <w:highlight w:val="none"/>
          <w:u w:val="single"/>
        </w:rPr>
        <w:t xml:space="preserve"> 综合评分 </w:t>
      </w:r>
      <w:r>
        <w:rPr>
          <w:rFonts w:hint="eastAsia" w:asciiTheme="majorEastAsia" w:hAnsiTheme="majorEastAsia" w:eastAsiaTheme="majorEastAsia" w:cstheme="majorEastAsia"/>
          <w:bCs/>
          <w:color w:val="000000"/>
          <w:sz w:val="24"/>
          <w:szCs w:val="24"/>
          <w:highlight w:val="none"/>
        </w:rPr>
        <w:t xml:space="preserve">法</w:t>
      </w:r>
      <w:r>
        <w:rPr>
          <w:rFonts w:hint="eastAsia" w:asciiTheme="majorEastAsia" w:hAnsiTheme="majorEastAsia" w:eastAsiaTheme="majorEastAsia" w:cstheme="majorEastAsia"/>
          <w:bCs/>
          <w:color w:val="000000"/>
          <w:sz w:val="24"/>
          <w:szCs w:val="24"/>
          <w:highlight w:val="none"/>
          <w:lang w:eastAsia="zh-CN"/>
        </w:rPr>
        <w:t xml:space="preserve">，</w:t>
      </w:r>
      <w:r>
        <w:rPr>
          <w:rFonts w:hint="eastAsia" w:asciiTheme="majorEastAsia" w:hAnsiTheme="majorEastAsia" w:eastAsiaTheme="majorEastAsia" w:cstheme="majorEastAsia"/>
          <w:color w:val="000000"/>
          <w:sz w:val="24"/>
          <w:szCs w:val="24"/>
          <w:highlight w:val="none"/>
        </w:rPr>
        <w:t xml:space="preserve">评标结果按评审后得分由高到低顺序排列。得分相同的，按投标报价由低到高顺序排列。得分且投标报价相同的</w:t>
      </w:r>
      <w:r>
        <w:rPr>
          <w:rFonts w:hint="eastAsia" w:asciiTheme="majorEastAsia" w:hAnsiTheme="majorEastAsia" w:eastAsiaTheme="majorEastAsia" w:cstheme="majorEastAsia"/>
          <w:color w:val="000000"/>
          <w:sz w:val="24"/>
          <w:szCs w:val="24"/>
          <w:highlight w:val="none"/>
          <w:lang w:val="en-US" w:eastAsia="zh-CN"/>
        </w:rPr>
        <w:t xml:space="preserve">并列</w:t>
      </w:r>
      <w:r>
        <w:rPr>
          <w:rFonts w:hint="eastAsia" w:asciiTheme="majorEastAsia" w:hAnsiTheme="majorEastAsia" w:eastAsiaTheme="majorEastAsia" w:cstheme="majorEastAsia"/>
          <w:color w:val="000000"/>
          <w:sz w:val="24"/>
          <w:szCs w:val="24"/>
          <w:highlight w:val="none"/>
        </w:rPr>
        <w:t xml:space="preserve">。投标文件满足招标文件全部实质性要求，且按照评审因素的量化指标评审得分最高的投标人为排名第一的中标候选人，本项目</w:t>
      </w:r>
      <w:r>
        <w:rPr>
          <w:rFonts w:hint="eastAsia" w:asciiTheme="majorEastAsia" w:hAnsiTheme="majorEastAsia" w:eastAsiaTheme="majorEastAsia" w:cstheme="majorEastAsia"/>
          <w:color w:val="000000"/>
          <w:sz w:val="24"/>
          <w:szCs w:val="24"/>
          <w:highlight w:val="none"/>
          <w:lang w:val="en-US" w:eastAsia="zh-CN"/>
        </w:rPr>
        <w:t xml:space="preserve">每包件各</w:t>
      </w:r>
      <w:r>
        <w:rPr>
          <w:rFonts w:hint="eastAsia" w:asciiTheme="majorEastAsia" w:hAnsiTheme="majorEastAsia" w:eastAsiaTheme="majorEastAsia" w:cstheme="majorEastAsia"/>
          <w:color w:val="000000"/>
          <w:sz w:val="24"/>
          <w:szCs w:val="24"/>
          <w:highlight w:val="none"/>
        </w:rPr>
        <w:t xml:space="preserve">选取1名中标候选人。</w:t>
      </w:r>
      <w:r/>
    </w:p>
    <w:p>
      <w:pPr>
        <w:ind w:firstLine="482"/>
        <w:spacing w:line="460" w:lineRule="exact"/>
        <w:rPr>
          <w:rFonts w:hint="eastAsia" w:asciiTheme="majorEastAsia" w:hAnsiTheme="majorEastAsia" w:eastAsiaTheme="majorEastAsia" w:cstheme="majorEastAsia"/>
          <w:b/>
          <w:bCs/>
          <w:i w:val="0"/>
          <w:iCs w:val="0"/>
          <w:color w:val="000000"/>
          <w:sz w:val="24"/>
          <w:szCs w:val="24"/>
          <w:highlight w:val="none"/>
          <w:u w:val="single"/>
          <w:lang w:val="en-US" w:eastAsia="zh-CN" w:bidi="ar-SA"/>
        </w:rPr>
      </w:pPr>
      <w:r>
        <w:rPr>
          <w:rFonts w:hint="eastAsia" w:asciiTheme="majorEastAsia" w:hAnsiTheme="majorEastAsia" w:eastAsiaTheme="majorEastAsia" w:cstheme="majorEastAsia"/>
          <w:b/>
          <w:bCs/>
          <w:i w:val="0"/>
          <w:iCs w:val="0"/>
          <w:color w:val="000000"/>
          <w:sz w:val="24"/>
          <w:szCs w:val="24"/>
          <w:highlight w:val="none"/>
          <w:u w:val="single"/>
          <w:lang w:val="en-US" w:eastAsia="zh-CN" w:bidi="ar-SA"/>
        </w:rPr>
        <w:t xml:space="preserve">注：本项目分2个包件，同一投标人可同时参加一个或多个包件的投标，但只能中一个包件。本项目采取先评先中原则（从一至二包件的顺序进行评审），投标人若已在先评审包件中被推荐为第一中标候选人，则在之后包件不作为中标候选人推荐。</w:t>
      </w:r>
      <w:r/>
    </w:p>
    <w:p>
      <w:pPr>
        <w:ind w:firstLine="480"/>
        <w:keepLines w:val="0"/>
        <w:keepNext w:val="0"/>
        <w:pageBreakBefore w:val="0"/>
        <w:spacing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r>
      <w:r/>
    </w:p>
    <w:p>
      <w:pPr>
        <w:pStyle w:val="823"/>
        <w:ind w:firstLine="441"/>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政府采购政策功能落实</w:t>
      </w:r>
      <w:r/>
    </w:p>
    <w:p>
      <w:pPr>
        <w:pStyle w:val="823"/>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1、小微型企业价格扣除</w:t>
      </w:r>
      <w:r/>
    </w:p>
    <w:p>
      <w:pPr>
        <w:pStyle w:val="830"/>
        <w:ind w:firstLine="360"/>
        <w:keepLines w:val="0"/>
        <w:keepNext w:val="0"/>
        <w:pageBreakBefore w:val="0"/>
        <w:spacing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（1）本项目若不专门面向中小企业采购，对</w:t>
      </w:r>
      <w:r>
        <w:rPr>
          <w:rFonts w:hint="eastAsia" w:asciiTheme="majorEastAsia" w:hAnsiTheme="majorEastAsia" w:eastAsiaTheme="majorEastAsia" w:cstheme="majorEastAsia"/>
          <w:sz w:val="24"/>
          <w:szCs w:val="24"/>
          <w:highlight w:val="none"/>
          <w:lang w:val="en-US" w:eastAsia="zh-CN"/>
        </w:rPr>
        <w:t xml:space="preserve">符合规定的</w:t>
      </w:r>
      <w:r>
        <w:rPr>
          <w:rFonts w:hint="eastAsia" w:asciiTheme="majorEastAsia" w:hAnsiTheme="majorEastAsia" w:eastAsiaTheme="majorEastAsia" w:cstheme="majorEastAsia"/>
          <w:sz w:val="24"/>
          <w:szCs w:val="24"/>
          <w:highlight w:val="none"/>
        </w:rPr>
        <w:t xml:space="preserve">小型和微型企业</w:t>
      </w:r>
      <w:r>
        <w:rPr>
          <w:rFonts w:hint="eastAsia" w:asciiTheme="majorEastAsia" w:hAnsiTheme="majorEastAsia" w:eastAsiaTheme="majorEastAsia" w:cstheme="majorEastAsia"/>
          <w:sz w:val="24"/>
          <w:szCs w:val="24"/>
          <w:highlight w:val="none"/>
          <w:lang w:val="en-US" w:eastAsia="zh-CN"/>
        </w:rPr>
        <w:t xml:space="preserve">报价</w:t>
      </w:r>
      <w:r>
        <w:rPr>
          <w:rFonts w:hint="eastAsia" w:asciiTheme="majorEastAsia" w:hAnsiTheme="majorEastAsia" w:eastAsiaTheme="majorEastAsia" w:cstheme="majorEastAsia"/>
          <w:sz w:val="24"/>
          <w:szCs w:val="24"/>
          <w:highlight w:val="none"/>
        </w:rPr>
        <w:t xml:space="preserve">给予20%的扣除价格，用扣除后的价格参与评审；若专门面向中小企业采购，不再对小型和微型企业</w:t>
      </w:r>
      <w:r>
        <w:rPr>
          <w:rFonts w:hint="eastAsia" w:asciiTheme="majorEastAsia" w:hAnsiTheme="majorEastAsia" w:eastAsiaTheme="majorEastAsia" w:cstheme="majorEastAsia"/>
          <w:sz w:val="24"/>
          <w:szCs w:val="24"/>
          <w:highlight w:val="none"/>
          <w:lang w:val="en-US" w:eastAsia="zh-CN"/>
        </w:rPr>
        <w:t xml:space="preserve">报价</w:t>
      </w:r>
      <w:r>
        <w:rPr>
          <w:rFonts w:hint="eastAsia" w:asciiTheme="majorEastAsia" w:hAnsiTheme="majorEastAsia" w:eastAsiaTheme="majorEastAsia" w:cstheme="majorEastAsia"/>
          <w:sz w:val="24"/>
          <w:szCs w:val="24"/>
          <w:highlight w:val="none"/>
        </w:rPr>
        <w:t xml:space="preserve">给予价格扣除。</w:t>
      </w:r>
      <w:r/>
    </w:p>
    <w:p>
      <w:pPr>
        <w:pStyle w:val="823"/>
        <w:ind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（2）供应商需按照采购文件的要求提供相应的《</w:t>
      </w:r>
      <w:r>
        <w:rPr>
          <w:rFonts w:hint="eastAsia" w:asciiTheme="majorEastAsia" w:hAnsiTheme="majorEastAsia" w:eastAsiaTheme="majorEastAsia" w:cstheme="majorEastAsia"/>
          <w:color w:val="auto"/>
          <w:sz w:val="24"/>
          <w:szCs w:val="24"/>
          <w:highlight w:val="none"/>
          <w:lang w:val="en-US" w:eastAsia="zh-CN"/>
        </w:rPr>
        <w:t xml:space="preserve">中小</w:t>
      </w:r>
      <w:r>
        <w:rPr>
          <w:rFonts w:hint="eastAsia" w:asciiTheme="majorEastAsia" w:hAnsiTheme="majorEastAsia" w:eastAsiaTheme="majorEastAsia" w:cstheme="majorEastAsia"/>
          <w:color w:val="auto"/>
          <w:sz w:val="24"/>
          <w:szCs w:val="24"/>
          <w:highlight w:val="none"/>
        </w:rPr>
        <w:t xml:space="preserve">企业声明函</w:t>
      </w:r>
      <w:r>
        <w:rPr>
          <w:rFonts w:hint="eastAsia" w:asciiTheme="majorEastAsia" w:hAnsiTheme="majorEastAsia" w:eastAsiaTheme="majorEastAsia" w:cstheme="majorEastAsia"/>
          <w:color w:val="000000"/>
          <w:sz w:val="24"/>
          <w:szCs w:val="24"/>
          <w:highlight w:val="none"/>
        </w:rPr>
        <w:t xml:space="preserve">》。</w:t>
      </w:r>
      <w:r/>
    </w:p>
    <w:p>
      <w:pPr>
        <w:pStyle w:val="823"/>
        <w:ind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（3）企业标准请参照《关于印发中小企业划型标准规定的通知》（工信部联企业</w:t>
      </w:r>
      <w:r>
        <w:rPr>
          <w:rFonts w:hint="eastAsia" w:asciiTheme="majorEastAsia" w:hAnsiTheme="majorEastAsia" w:eastAsiaTheme="majorEastAsia" w:cstheme="majorEastAsia"/>
          <w:color w:val="000000"/>
          <w:sz w:val="24"/>
          <w:szCs w:val="24"/>
          <w:highlight w:val="none"/>
          <w:lang w:eastAsia="zh-CN"/>
        </w:rPr>
        <w:t xml:space="preserve">〔2011〕300号</w:t>
      </w:r>
      <w:r>
        <w:rPr>
          <w:rFonts w:hint="eastAsia" w:asciiTheme="majorEastAsia" w:hAnsiTheme="majorEastAsia" w:eastAsiaTheme="majorEastAsia" w:cstheme="majorEastAsia"/>
          <w:color w:val="000000"/>
          <w:sz w:val="24"/>
          <w:szCs w:val="24"/>
          <w:highlight w:val="none"/>
        </w:rPr>
        <w:t xml:space="preserve">）文件规定自行填写。</w:t>
      </w:r>
      <w:r/>
    </w:p>
    <w:p>
      <w:pPr>
        <w:pStyle w:val="823"/>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2、残疾人福利单位价格扣除</w:t>
      </w:r>
      <w:r/>
    </w:p>
    <w:p>
      <w:pPr>
        <w:pStyle w:val="823"/>
        <w:ind w:left="120"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u w:val="single"/>
          <w:lang w:eastAsia="zh-CN"/>
        </w:rPr>
      </w:pPr>
      <w:r>
        <w:rPr>
          <w:rFonts w:hint="eastAsia" w:asciiTheme="majorEastAsia" w:hAnsiTheme="majorEastAsia" w:eastAsiaTheme="majorEastAsia" w:cstheme="majorEastAsia"/>
          <w:color w:val="000000"/>
          <w:sz w:val="24"/>
          <w:szCs w:val="24"/>
          <w:highlight w:val="none"/>
        </w:rPr>
        <w:t xml:space="preserve">（1）本项目对残疾人福利性单位视同小型、微型企业，给予</w:t>
      </w:r>
      <w:r>
        <w:rPr>
          <w:rFonts w:hint="eastAsia" w:asciiTheme="majorEastAsia" w:hAnsiTheme="majorEastAsia" w:eastAsiaTheme="majorEastAsia" w:cstheme="majorEastAsia"/>
          <w:color w:val="000000"/>
          <w:sz w:val="24"/>
          <w:szCs w:val="24"/>
          <w:highlight w:val="none"/>
          <w:u w:val="single"/>
        </w:rPr>
        <w:t xml:space="preserve">20%</w:t>
      </w:r>
      <w:r>
        <w:rPr>
          <w:rFonts w:hint="eastAsia" w:asciiTheme="majorEastAsia" w:hAnsiTheme="majorEastAsia" w:eastAsiaTheme="majorEastAsia" w:cstheme="majorEastAsia"/>
          <w:color w:val="000000"/>
          <w:sz w:val="24"/>
          <w:szCs w:val="24"/>
          <w:highlight w:val="none"/>
          <w:u w:val="single"/>
          <w:lang w:eastAsia="zh-CN"/>
        </w:rPr>
        <w:t xml:space="preserve">的价格扣除。</w:t>
      </w:r>
      <w:r/>
    </w:p>
    <w:p>
      <w:pPr>
        <w:pStyle w:val="823"/>
        <w:ind w:left="120"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（2）残疾人福利单位需按照采购文件的要求提供《残疾人福利性单位声明函》。</w:t>
      </w:r>
      <w:r/>
    </w:p>
    <w:p>
      <w:pPr>
        <w:pStyle w:val="823"/>
        <w:ind w:left="120"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（3）残疾人福利单位标准请参照《关于促进残疾人就业政府采购政策的通知》（财库〔2017〕141号）。</w:t>
      </w:r>
      <w:r/>
    </w:p>
    <w:p>
      <w:pPr>
        <w:pStyle w:val="823"/>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3、监狱和戒毒企业价格扣除</w:t>
      </w:r>
      <w:r/>
    </w:p>
    <w:p>
      <w:pPr>
        <w:pStyle w:val="823"/>
        <w:ind w:left="120"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u w:val="single"/>
        </w:rPr>
      </w:pPr>
      <w:r>
        <w:rPr>
          <w:rFonts w:hint="eastAsia" w:asciiTheme="majorEastAsia" w:hAnsiTheme="majorEastAsia" w:eastAsiaTheme="majorEastAsia" w:cstheme="majorEastAsia"/>
          <w:color w:val="000000"/>
          <w:sz w:val="24"/>
          <w:szCs w:val="24"/>
          <w:highlight w:val="none"/>
        </w:rPr>
        <w:t xml:space="preserve">（1）本项目对监狱和戒毒企业（简称监狱企业）视同小型、微型企业，给予</w:t>
      </w:r>
      <w:r>
        <w:rPr>
          <w:rFonts w:hint="eastAsia" w:asciiTheme="majorEastAsia" w:hAnsiTheme="majorEastAsia" w:eastAsiaTheme="majorEastAsia" w:cstheme="majorEastAsia"/>
          <w:color w:val="000000"/>
          <w:sz w:val="24"/>
          <w:szCs w:val="24"/>
          <w:highlight w:val="none"/>
          <w:u w:val="single"/>
        </w:rPr>
        <w:t xml:space="preserve">20%</w:t>
      </w:r>
      <w:r>
        <w:rPr>
          <w:rFonts w:hint="eastAsia" w:asciiTheme="majorEastAsia" w:hAnsiTheme="majorEastAsia" w:eastAsiaTheme="majorEastAsia" w:cstheme="majorEastAsia"/>
          <w:color w:val="000000"/>
          <w:sz w:val="24"/>
          <w:szCs w:val="24"/>
          <w:highlight w:val="none"/>
          <w:u w:val="single"/>
          <w:lang w:eastAsia="zh-CN"/>
        </w:rPr>
        <w:t xml:space="preserve">的价格扣除。</w:t>
      </w:r>
      <w:r/>
    </w:p>
    <w:p>
      <w:pPr>
        <w:pStyle w:val="823"/>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3"/>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（3）监狱企业标准请参照《关于政府采购支持监狱企业发展有关问题的通知》（财库</w:t>
      </w:r>
      <w:r>
        <w:rPr>
          <w:rFonts w:hint="eastAsia" w:asciiTheme="majorEastAsia" w:hAnsiTheme="majorEastAsia" w:eastAsiaTheme="majorEastAsia" w:cstheme="majorEastAsia"/>
          <w:color w:val="000000"/>
          <w:sz w:val="24"/>
          <w:szCs w:val="24"/>
          <w:highlight w:val="none"/>
          <w:lang w:eastAsia="zh-CN"/>
        </w:rPr>
        <w:t xml:space="preserve">〔2014〕68号</w:t>
      </w:r>
      <w:r>
        <w:rPr>
          <w:rFonts w:hint="eastAsia" w:asciiTheme="majorEastAsia" w:hAnsiTheme="majorEastAsia" w:eastAsiaTheme="majorEastAsia" w:cstheme="majorEastAsia"/>
          <w:color w:val="000000"/>
          <w:sz w:val="24"/>
          <w:szCs w:val="24"/>
          <w:highlight w:val="none"/>
        </w:rPr>
        <w:t xml:space="preserve">）。</w:t>
      </w:r>
      <w:r/>
    </w:p>
    <w:p>
      <w:pPr>
        <w:pStyle w:val="823"/>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color w:val="000000"/>
          <w:sz w:val="24"/>
          <w:szCs w:val="24"/>
          <w:highlight w:val="none"/>
        </w:rPr>
        <w:t xml:space="preserve">4、残疾人福利单位、监狱企业属于小型、微型企业的，不重复享受政策。</w:t>
      </w:r>
      <w:r/>
    </w:p>
    <w:p>
      <w:pPr>
        <w:pStyle w:val="823"/>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rPr>
      </w:pPr>
      <w:r>
        <w:rPr>
          <w:rFonts w:hint="eastAsia" w:asciiTheme="majorEastAsia" w:hAnsiTheme="majorEastAsia" w:eastAsiaTheme="majorEastAsia" w:cstheme="majorEastAsia"/>
          <w:color w:val="000000"/>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heme="majorEastAsia" w:hAnsiTheme="majorEastAsia" w:eastAsiaTheme="majorEastAsia" w:cstheme="majorEastAsia"/>
          <w:color w:val="000000"/>
          <w:sz w:val="24"/>
          <w:szCs w:val="24"/>
          <w:highlight w:val="none"/>
          <w:u w:val="single"/>
        </w:rPr>
        <w:t xml:space="preserve">6%</w:t>
      </w:r>
      <w:r>
        <w:rPr>
          <w:rFonts w:hint="eastAsia" w:asciiTheme="majorEastAsia" w:hAnsiTheme="majorEastAsia" w:eastAsiaTheme="majorEastAsia" w:cstheme="majorEastAsia"/>
          <w:color w:val="000000"/>
          <w:sz w:val="24"/>
          <w:szCs w:val="24"/>
          <w:highlight w:val="none"/>
        </w:rPr>
        <w:t xml:space="preserve">的价格扣除，用扣除后的价格参与评审。</w:t>
      </w:r>
      <w:r/>
    </w:p>
    <w:p>
      <w:pPr>
        <w:pStyle w:val="823"/>
        <w:ind w:left="120"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000000"/>
          <w:sz w:val="24"/>
          <w:szCs w:val="24"/>
          <w:highlight w:val="none"/>
          <w:u w:val="single"/>
          <w:lang w:eastAsia="zh-CN"/>
        </w:rPr>
      </w:pPr>
      <w:r>
        <w:rPr>
          <w:rFonts w:hint="eastAsia" w:asciiTheme="majorEastAsia" w:hAnsiTheme="majorEastAsia" w:eastAsiaTheme="majorEastAsia" w:cstheme="majorEastAsia"/>
          <w:color w:val="000000"/>
          <w:sz w:val="24"/>
          <w:szCs w:val="24"/>
          <w:highlight w:val="none"/>
        </w:rPr>
        <w:t xml:space="preserve">6、联合体各方均为小型、微型企业（残疾人福利单位、监狱企业）的，联合体享受</w:t>
      </w:r>
      <w:r>
        <w:rPr>
          <w:rFonts w:hint="eastAsia" w:asciiTheme="majorEastAsia" w:hAnsiTheme="majorEastAsia" w:eastAsiaTheme="majorEastAsia" w:cstheme="majorEastAsia"/>
          <w:color w:val="000000"/>
          <w:sz w:val="24"/>
          <w:szCs w:val="24"/>
          <w:highlight w:val="none"/>
          <w:u w:val="single"/>
        </w:rPr>
        <w:t xml:space="preserve">20%</w:t>
      </w:r>
      <w:r>
        <w:rPr>
          <w:rFonts w:hint="eastAsia" w:asciiTheme="majorEastAsia" w:hAnsiTheme="majorEastAsia" w:eastAsiaTheme="majorEastAsia" w:cstheme="majorEastAsia"/>
          <w:color w:val="000000"/>
          <w:sz w:val="24"/>
          <w:szCs w:val="24"/>
          <w:highlight w:val="none"/>
          <w:u w:val="single"/>
          <w:lang w:eastAsia="zh-CN"/>
        </w:rPr>
        <w:t xml:space="preserve">的价格扣除。</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7、采购本国产品的支持政策</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7.1 本项目政府采购活动中既有本国产品又有非本国产品参与竞争的，依法对本国产品给予价格评审优惠，对本国产品的报价给予 </w:t>
      </w:r>
      <w:r>
        <w:rPr>
          <w:rFonts w:hint="eastAsia" w:asciiTheme="majorEastAsia" w:hAnsiTheme="majorEastAsia" w:eastAsiaTheme="majorEastAsia" w:cstheme="majorEastAsia"/>
          <w:b w:val="0"/>
          <w:bCs w:val="0"/>
          <w:color w:val="000000" w:themeColor="text1"/>
          <w:sz w:val="24"/>
          <w:szCs w:val="24"/>
          <w:highlight w:val="none"/>
          <w:u w:val="single"/>
          <w14:textFill>
            <w14:solidFill>
              <w14:schemeClr w14:val="tx1"/>
            </w14:solidFill>
          </w14:textFill>
        </w:rPr>
        <w:t xml:space="preserve">20%</w:t>
      </w: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的价格扣除，用扣除后的价格参与评审。</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ajorEastAsia" w:hAnsiTheme="majorEastAsia" w:eastAsiaTheme="majorEastAsia" w:cstheme="majorEastAsia"/>
          <w:b w:val="0"/>
          <w:bCs w:val="0"/>
          <w:color w:val="000000" w:themeColor="text1"/>
          <w:sz w:val="24"/>
          <w:szCs w:val="24"/>
          <w:highlight w:val="none"/>
          <w:u w:val="single"/>
          <w14:textFill>
            <w14:solidFill>
              <w14:schemeClr w14:val="tx1"/>
            </w14:solidFill>
          </w14:textFill>
        </w:rPr>
        <w:t xml:space="preserve">80%</w:t>
      </w: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ajorEastAsia" w:hAnsiTheme="majorEastAsia" w:eastAsiaTheme="majorEastAsia" w:cstheme="majorEastAsia"/>
          <w:b w:val="0"/>
          <w:bCs w:val="0"/>
          <w:color w:val="000000" w:themeColor="text1"/>
          <w:sz w:val="24"/>
          <w:szCs w:val="24"/>
          <w:highlight w:val="none"/>
          <w:u w:val="single"/>
          <w14:textFill>
            <w14:solidFill>
              <w14:schemeClr w14:val="tx1"/>
            </w14:solidFill>
          </w14:textFill>
        </w:rPr>
        <w:t xml:space="preserve">20%</w:t>
      </w: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7.4 供应商需在《声明函》中逐一、准确填写产品名称、厂名、生产厂址三项信息（《声明函》中用</w:t>
      </w:r>
      <w:r>
        <w:rPr>
          <w:rFonts w:hint="eastAsia" w:asciiTheme="majorEastAsia" w:hAnsiTheme="majorEastAsia" w:eastAsiaTheme="majorEastAsia" w:cstheme="majorEastAsia"/>
          <w:b w:val="0"/>
          <w:bCs w:val="0"/>
          <w:color w:val="000000" w:themeColor="text1"/>
          <w:sz w:val="24"/>
          <w:szCs w:val="24"/>
          <w:highlight w:val="none"/>
          <w:lang w:val="en-US" w:eastAsia="zh-CN"/>
          <w14:textFill>
            <w14:solidFill>
              <w14:schemeClr w14:val="tx1"/>
            </w14:solidFill>
          </w14:textFill>
        </w:rPr>
        <w:t xml:space="preserve">横</w:t>
      </w: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线划除的地方无需填写），三项信息中任意一项未填写的视为该项产品不符合本国产品标准，不享受本国产品价格评审优惠。</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000000" w:themeColor="text1"/>
          <w:sz w:val="24"/>
          <w:szCs w:val="24"/>
          <w:highlight w:val="none"/>
          <w:u w:val="singl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7.5 评标过程中，如发现供应商在《声明函》内容含义不明确、同类事项与投标（响应）文件表述不一致或者有明显文字错误等情况的，评标委员会应当</w:t>
      </w:r>
      <w:r>
        <w:rPr>
          <w:rFonts w:hint="eastAsia" w:asciiTheme="majorEastAsia" w:hAnsiTheme="majorEastAsia" w:eastAsiaTheme="majorEastAsia" w:cstheme="majorEastAsia"/>
          <w:b w:val="0"/>
          <w:bCs w:val="0"/>
          <w:color w:val="000000" w:themeColor="text1"/>
          <w:sz w:val="24"/>
          <w:szCs w:val="24"/>
          <w:highlight w:val="none"/>
          <w:lang w:val="en-US" w:eastAsia="zh-CN"/>
          <w14:textFill>
            <w14:solidFill>
              <w14:schemeClr w14:val="tx1"/>
            </w14:solidFill>
          </w14:textFill>
        </w:rPr>
        <w:t xml:space="preserve">在苏采云系统</w:t>
      </w: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8</w:t>
      </w:r>
      <w:r>
        <w:rPr>
          <w:rFonts w:hint="eastAsia" w:asciiTheme="majorEastAsia" w:hAnsiTheme="majorEastAsia" w:eastAsiaTheme="majorEastAsia" w:cstheme="majorEastAsia"/>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ajorEastAsia" w:hAnsiTheme="majorEastAsia" w:eastAsiaTheme="majorEastAsia" w:cstheme="majorEastAsia"/>
          <w:b/>
          <w:i/>
          <w:color w:val="auto"/>
          <w:sz w:val="24"/>
          <w:szCs w:val="24"/>
          <w:highlight w:val="none"/>
        </w:rPr>
        <w:t xml:space="preserve">如属政府强制采购产品未提供认证证书的或认证证书提供不全的将视为未实质性响应采购要求</w:t>
      </w:r>
      <w:r>
        <w:rPr>
          <w:rFonts w:hint="eastAsia" w:asciiTheme="majorEastAsia" w:hAnsiTheme="majorEastAsia" w:eastAsiaTheme="majorEastAsia" w:cstheme="majorEastAsia"/>
          <w:i/>
          <w:color w:val="auto"/>
          <w:sz w:val="24"/>
          <w:szCs w:val="24"/>
          <w:highlight w:val="none"/>
        </w:rPr>
        <w:t xml:space="preserve">。</w:t>
      </w:r>
      <w:r>
        <w:rPr>
          <w:rFonts w:hint="eastAsia" w:asciiTheme="majorEastAsia" w:hAnsiTheme="majorEastAsia" w:eastAsiaTheme="majorEastAsia" w:cstheme="majorEastAsia"/>
          <w:color w:val="auto"/>
          <w:sz w:val="24"/>
          <w:szCs w:val="24"/>
          <w:highlight w:val="none"/>
        </w:rPr>
        <w:t xml:space="preserve">其他条件相同情况下，应当优先采购节能产品、环境标志产品。</w:t>
      </w:r>
      <w:r/>
    </w:p>
    <w:p>
      <w:pPr>
        <w:pStyle w:val="823"/>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r>
      <w:r/>
    </w:p>
    <w:p>
      <w:pPr>
        <w:pStyle w:val="823"/>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r>
      <w:r/>
    </w:p>
    <w:p>
      <w:pPr>
        <w:pStyle w:val="823"/>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r>
      <w:r/>
    </w:p>
    <w:p>
      <w:pPr>
        <w:pStyle w:val="823"/>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r>
      <w:r/>
    </w:p>
    <w:p>
      <w:pPr>
        <w:pStyle w:val="823"/>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r>
      <w:r/>
    </w:p>
    <w:p>
      <w:pPr>
        <w:pStyle w:val="823"/>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r>
      <w:r/>
    </w:p>
    <w:p>
      <w:pPr>
        <w:pStyle w:val="823"/>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r>
      <w:r/>
    </w:p>
    <w:p>
      <w:pPr>
        <w:pStyle w:val="823"/>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color w:val="000000"/>
          <w:sz w:val="24"/>
          <w:szCs w:val="24"/>
          <w:highlight w:val="none"/>
        </w:rPr>
      </w:r>
      <w:r>
        <w:rPr>
          <w:rFonts w:hint="eastAsia" w:asciiTheme="majorEastAsia" w:hAnsiTheme="majorEastAsia" w:eastAsiaTheme="majorEastAsia" w:cstheme="majorEastAsia"/>
          <w:b/>
          <w:color w:val="000000"/>
          <w:sz w:val="24"/>
          <w:szCs w:val="24"/>
          <w:highlight w:val="none"/>
        </w:rPr>
      </w:r>
    </w:p>
    <w:p>
      <w:pPr>
        <w:pStyle w:val="823"/>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r>
      <w:r>
        <w:rPr>
          <w:rFonts w:hint="eastAsia" w:asciiTheme="majorEastAsia" w:hAnsiTheme="majorEastAsia" w:eastAsiaTheme="majorEastAsia" w:cstheme="majorEastAsia"/>
          <w:b/>
          <w:bCs/>
          <w:color w:val="000000"/>
          <w:sz w:val="24"/>
          <w:szCs w:val="24"/>
          <w:highlight w:val="none"/>
        </w:rPr>
      </w:r>
    </w:p>
    <w:p>
      <w:pPr>
        <w:pStyle w:val="823"/>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r>
      <w:r>
        <w:rPr>
          <w:rFonts w:hint="eastAsia" w:asciiTheme="majorEastAsia" w:hAnsiTheme="majorEastAsia" w:eastAsiaTheme="majorEastAsia" w:cstheme="majorEastAsia"/>
          <w:b/>
          <w:bCs/>
          <w:color w:val="000000"/>
          <w:sz w:val="24"/>
          <w:szCs w:val="24"/>
          <w:highlight w:val="none"/>
        </w:rPr>
      </w:r>
    </w:p>
    <w:p>
      <w:pPr>
        <w:pStyle w:val="823"/>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r>
      <w:r>
        <w:rPr>
          <w:rFonts w:hint="eastAsia" w:asciiTheme="majorEastAsia" w:hAnsiTheme="majorEastAsia" w:eastAsiaTheme="majorEastAsia" w:cstheme="majorEastAsia"/>
          <w:b/>
          <w:bCs/>
          <w:color w:val="000000"/>
          <w:sz w:val="24"/>
          <w:szCs w:val="24"/>
          <w:highlight w:val="none"/>
        </w:rPr>
      </w:r>
    </w:p>
    <w:p>
      <w:pPr>
        <w:pStyle w:val="823"/>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r>
      <w:r>
        <w:rPr>
          <w:rFonts w:hint="eastAsia" w:asciiTheme="majorEastAsia" w:hAnsiTheme="majorEastAsia" w:eastAsiaTheme="majorEastAsia" w:cstheme="majorEastAsia"/>
          <w:b/>
          <w:bCs/>
          <w:color w:val="000000"/>
          <w:sz w:val="24"/>
          <w:szCs w:val="24"/>
          <w:highlight w:val="none"/>
        </w:rPr>
      </w:r>
    </w:p>
    <w:p>
      <w:pPr>
        <w:pStyle w:val="823"/>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r>
      <w:r>
        <w:rPr>
          <w:rFonts w:hint="eastAsia" w:asciiTheme="majorEastAsia" w:hAnsiTheme="majorEastAsia" w:eastAsiaTheme="majorEastAsia" w:cstheme="majorEastAsia"/>
          <w:b/>
          <w:bCs/>
          <w:color w:val="000000"/>
          <w:sz w:val="24"/>
          <w:szCs w:val="24"/>
          <w:highlight w:val="none"/>
        </w:rPr>
      </w:r>
    </w:p>
    <w:p>
      <w:pPr>
        <w:pStyle w:val="823"/>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r>
      <w:r>
        <w:rPr>
          <w:rFonts w:hint="eastAsia" w:asciiTheme="majorEastAsia" w:hAnsiTheme="majorEastAsia" w:eastAsiaTheme="majorEastAsia" w:cstheme="majorEastAsia"/>
          <w:b/>
          <w:bCs/>
          <w:color w:val="000000"/>
          <w:sz w:val="24"/>
          <w:szCs w:val="24"/>
          <w:highlight w:val="none"/>
        </w:rPr>
      </w:r>
    </w:p>
    <w:p>
      <w:pPr>
        <w:pStyle w:val="823"/>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bCs/>
          <w:color w:val="000000"/>
          <w:sz w:val="24"/>
          <w:szCs w:val="24"/>
          <w:highlight w:val="none"/>
        </w:rPr>
      </w:r>
      <w:r>
        <w:rPr>
          <w:rFonts w:hint="eastAsia" w:asciiTheme="majorEastAsia" w:hAnsiTheme="majorEastAsia" w:eastAsiaTheme="majorEastAsia" w:cstheme="majorEastAsia"/>
          <w:b/>
          <w:bCs/>
          <w:color w:val="000000"/>
          <w:sz w:val="24"/>
          <w:szCs w:val="24"/>
          <w:highlight w:val="none"/>
        </w:rPr>
      </w:r>
    </w:p>
    <w:p>
      <w:pPr>
        <w:pStyle w:val="823"/>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24"/>
          <w:szCs w:val="24"/>
          <w:highlight w:val="none"/>
        </w:rPr>
      </w:pPr>
      <w:r>
        <w:rPr>
          <w:rFonts w:hint="eastAsia" w:asciiTheme="majorEastAsia" w:hAnsiTheme="majorEastAsia" w:eastAsiaTheme="majorEastAsia" w:cstheme="majorEastAsia"/>
          <w:b/>
          <w:color w:val="000000"/>
          <w:sz w:val="24"/>
          <w:szCs w:val="24"/>
          <w:highlight w:val="none"/>
        </w:rPr>
      </w:r>
      <w:r/>
    </w:p>
    <w:p>
      <w:pPr>
        <w:pStyle w:val="823"/>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color w:val="000000"/>
          <w:sz w:val="24"/>
          <w:szCs w:val="24"/>
          <w:highlight w:val="none"/>
        </w:rPr>
        <w:t xml:space="preserve">评标方法与评标标准</w:t>
      </w:r>
      <w:r/>
    </w:p>
    <w:p>
      <w:pPr>
        <w:ind w:firstLine="482"/>
        <w:jc w:val="left"/>
        <w:pageBreakBefore/>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包件一</w:t>
      </w:r>
      <w:r>
        <w:rPr>
          <w:rFonts w:hint="eastAsia" w:ascii="宋体" w:hAnsi="宋体" w:eastAsia="宋体" w:cs="宋体"/>
          <w:b/>
          <w:sz w:val="24"/>
          <w:szCs w:val="24"/>
        </w:rPr>
        <w:t xml:space="preserve">评分标准</w:t>
      </w:r>
      <w:r/>
    </w:p>
    <w:tbl>
      <w:tblPr>
        <w:tblStyle w:val="818"/>
        <w:tblW w:w="849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17"/>
        <w:gridCol w:w="1375"/>
        <w:gridCol w:w="5038"/>
        <w:gridCol w:w="862"/>
      </w:tblGrid>
      <w:tr>
        <w:trPr>
          <w:jc w:val="center"/>
          <w:trHeight w:val="628"/>
          <w:tblHeader/>
        </w:trPr>
        <w:tc>
          <w:tcPr>
            <w:tcBorders>
              <w:top w:val="single" w:color="auto" w:sz="8" w:space="0"/>
              <w:left w:val="single" w:color="auto" w:sz="8" w:space="0"/>
              <w:bottom w:val="single" w:color="auto" w:sz="6" w:space="0"/>
              <w:right w:val="single" w:color="auto" w:sz="6" w:space="0"/>
            </w:tcBorders>
            <w:tcW w:w="1217"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评分项</w:t>
            </w:r>
            <w:r/>
          </w:p>
        </w:tc>
        <w:tc>
          <w:tcPr>
            <w:tcBorders>
              <w:top w:val="single" w:color="auto" w:sz="8" w:space="0"/>
              <w:left w:val="single" w:color="auto" w:sz="6" w:space="0"/>
              <w:bottom w:val="single" w:color="auto" w:sz="6" w:space="0"/>
              <w:right w:val="single" w:color="auto" w:sz="6" w:space="0"/>
            </w:tcBorders>
            <w:tcW w:w="137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评分因素</w:t>
            </w:r>
            <w:r/>
          </w:p>
        </w:tc>
        <w:tc>
          <w:tcPr>
            <w:tcBorders>
              <w:top w:val="single" w:color="auto" w:sz="8" w:space="0"/>
              <w:left w:val="single" w:color="auto" w:sz="6" w:space="0"/>
              <w:bottom w:val="single" w:color="auto" w:sz="6" w:space="0"/>
              <w:right w:val="single" w:color="auto" w:sz="6" w:space="0"/>
            </w:tcBorders>
            <w:tcW w:w="5038"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评分细则</w:t>
            </w:r>
            <w:r/>
          </w:p>
        </w:tc>
        <w:tc>
          <w:tcPr>
            <w:tcBorders>
              <w:top w:val="single" w:color="auto" w:sz="8" w:space="0"/>
              <w:left w:val="single" w:color="auto" w:sz="6" w:space="0"/>
              <w:bottom w:val="single" w:color="auto" w:sz="6" w:space="0"/>
              <w:right w:val="single" w:color="auto" w:sz="8" w:space="0"/>
            </w:tcBorders>
            <w:tcW w:w="86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p>
        </w:tc>
      </w:tr>
      <w:tr>
        <w:trPr>
          <w:jc w:val="center"/>
          <w:trHeight w:val="1408"/>
        </w:trPr>
        <w:tc>
          <w:tcPr>
            <w:tcBorders>
              <w:top w:val="single" w:color="auto" w:sz="6" w:space="0"/>
              <w:left w:val="single" w:color="auto" w:sz="8" w:space="0"/>
              <w:bottom w:val="single" w:color="auto" w:sz="6" w:space="0"/>
              <w:right w:val="single" w:color="auto" w:sz="6" w:space="0"/>
            </w:tcBorders>
            <w:tcW w:w="1217"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价格部分</w:t>
            </w:r>
            <w:r/>
          </w:p>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分）</w:t>
            </w:r>
            <w:r/>
          </w:p>
        </w:tc>
        <w:tc>
          <w:tcPr>
            <w:tcBorders>
              <w:top w:val="single" w:color="auto" w:sz="6" w:space="0"/>
              <w:left w:val="single" w:color="auto" w:sz="6" w:space="0"/>
              <w:bottom w:val="single" w:color="auto" w:sz="6" w:space="0"/>
              <w:right w:val="single" w:color="auto" w:sz="6" w:space="0"/>
            </w:tcBorders>
            <w:tcW w:w="137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投标报价</w:t>
            </w:r>
            <w:r/>
          </w:p>
        </w:tc>
        <w:tc>
          <w:tcPr>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满足招标文件要求且投标报价最低的投标报价为评标基准价，其价格为满分。其他投标供应商的价格分按照下列公式计算：投标报价得分＝（评标基准价/投标报价）×</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eastAsia="zh-CN"/>
              </w:rPr>
              <w:t xml:space="preserve">分</w:t>
            </w:r>
            <w:r/>
          </w:p>
        </w:tc>
        <w:tc>
          <w:tcPr>
            <w:tcBorders>
              <w:top w:val="single" w:color="auto" w:sz="6" w:space="0"/>
              <w:left w:val="single" w:color="auto" w:sz="6" w:space="0"/>
              <w:bottom w:val="single" w:color="auto" w:sz="6" w:space="0"/>
              <w:right w:val="single" w:color="auto" w:sz="8" w:space="0"/>
            </w:tcBorders>
            <w:tcW w:w="862"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sz w:val="21"/>
                <w:szCs w:val="21"/>
                <w:lang w:val="en-US"/>
              </w:rPr>
            </w:pPr>
            <w:r>
              <w:rPr>
                <w:rFonts w:hint="eastAsia" w:ascii="宋体" w:hAnsi="宋体" w:eastAsia="宋体" w:cs="宋体"/>
                <w:sz w:val="21"/>
                <w:szCs w:val="21"/>
                <w:lang w:val="en-US" w:eastAsia="zh-CN"/>
              </w:rPr>
              <w:t xml:space="preserve">15</w:t>
            </w:r>
            <w:r/>
          </w:p>
        </w:tc>
      </w:tr>
      <w:tr>
        <w:trPr>
          <w:jc w:val="center"/>
          <w:trHeight w:val="2424"/>
        </w:trPr>
        <w:tc>
          <w:tcPr>
            <w:tcBorders>
              <w:top w:val="single" w:color="auto" w:sz="6" w:space="0"/>
              <w:left w:val="single" w:color="auto" w:sz="8" w:space="0"/>
              <w:right w:val="single" w:color="auto" w:sz="6" w:space="0"/>
            </w:tcBorders>
            <w:tcW w:w="1217"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技术部分</w:t>
            </w:r>
            <w:r/>
          </w:p>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46</w:t>
            </w:r>
            <w:r>
              <w:rPr>
                <w:rFonts w:hint="eastAsia" w:ascii="宋体" w:hAnsi="宋体" w:eastAsia="宋体" w:cs="宋体"/>
                <w:sz w:val="21"/>
                <w:szCs w:val="21"/>
              </w:rPr>
              <w:t xml:space="preserve">分）</w:t>
            </w:r>
            <w:r/>
          </w:p>
        </w:tc>
        <w:tc>
          <w:tcPr>
            <w:tcBorders>
              <w:top w:val="single" w:color="auto" w:sz="6" w:space="0"/>
              <w:left w:val="single" w:color="auto" w:sz="6" w:space="0"/>
              <w:bottom w:val="single" w:color="auto" w:sz="6" w:space="0"/>
              <w:right w:val="single" w:color="auto" w:sz="6" w:space="0"/>
            </w:tcBorders>
            <w:tcW w:w="1375" w:type="dxa"/>
            <w:vAlign w:val="center"/>
            <w:textDirection w:val="lrTb"/>
            <w:noWrap w:val="false"/>
          </w:tcPr>
          <w:p>
            <w:pPr>
              <w:ind w:firstLine="21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bCs/>
                <w:sz w:val="21"/>
                <w:szCs w:val="21"/>
              </w:rPr>
              <w:t xml:space="preserve">技术</w:t>
            </w:r>
            <w:r>
              <w:rPr>
                <w:rFonts w:hint="eastAsia" w:ascii="宋体" w:hAnsi="宋体" w:eastAsia="宋体" w:cs="宋体"/>
                <w:sz w:val="21"/>
                <w:szCs w:val="21"/>
              </w:rPr>
              <w:t xml:space="preserve">方案</w:t>
            </w:r>
            <w:r/>
          </w:p>
        </w:tc>
        <w:tc>
          <w:tcPr>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结合项目需求和实际情况，根据投标人对本项目的实施方案是否周密，流程是否合理，措施是否得力，是否有可操作性进行综合评审，</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方案周密合理，措施得力，操作性强的，得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方案内容完整，措施合理，操作性较强的，得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分；方案不完整，措施有缺漏，操作性一般的，得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方案编制有重大偏离的或没有内容的不得分。</w:t>
            </w:r>
            <w:r/>
          </w:p>
        </w:tc>
        <w:tc>
          <w:tcPr>
            <w:tcBorders>
              <w:top w:val="single" w:color="auto" w:sz="6" w:space="0"/>
              <w:left w:val="single" w:color="auto" w:sz="6" w:space="0"/>
              <w:bottom w:val="single" w:color="auto" w:sz="6" w:space="0"/>
              <w:right w:val="single" w:color="auto" w:sz="8" w:space="0"/>
            </w:tcBorders>
            <w:tcW w:w="862"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r>
      <w:tr>
        <w:trPr>
          <w:jc w:val="center"/>
          <w:trHeight w:val="2424"/>
        </w:trPr>
        <w:tc>
          <w:tcPr>
            <w:tcBorders>
              <w:left w:val="single" w:color="auto" w:sz="8" w:space="0"/>
              <w:right w:val="single" w:color="auto" w:sz="6" w:space="0"/>
            </w:tcBorders>
            <w:tcW w:w="12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75" w:type="dxa"/>
            <w:vAlign w:val="center"/>
            <w:textDirection w:val="lrTb"/>
            <w:noWrap w:val="false"/>
          </w:tcPr>
          <w:p>
            <w:pPr>
              <w:ind w:firstLine="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bCs/>
                <w:sz w:val="21"/>
                <w:szCs w:val="21"/>
              </w:rPr>
              <w:t xml:space="preserve">项目管理方案</w:t>
            </w:r>
            <w:r/>
          </w:p>
        </w:tc>
        <w:tc>
          <w:tcPr>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根据投标人对本项目的管理方案（组织架构、管理制度、工期安排、质量保证、保密措施、风险控制等）是否内容详细全面、针对性强、科学合理进行综合评审，</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方案详细全面、针对性强、科学合理的，得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方案内容完整，措施合理，操作性较强的，得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分；方案不完整，措施有缺漏，操作性一般的，得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方案编制有重大偏离的或没有内容的不得分。</w:t>
            </w:r>
            <w:r/>
          </w:p>
        </w:tc>
        <w:tc>
          <w:tcPr>
            <w:tcBorders>
              <w:top w:val="single" w:color="auto" w:sz="6" w:space="0"/>
              <w:left w:val="single" w:color="auto" w:sz="6" w:space="0"/>
              <w:bottom w:val="single" w:color="auto" w:sz="6" w:space="0"/>
              <w:right w:val="single" w:color="auto" w:sz="8" w:space="0"/>
            </w:tcBorders>
            <w:tcW w:w="862"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r>
      <w:tr>
        <w:trPr>
          <w:jc w:val="center"/>
        </w:trPr>
        <w:tc>
          <w:tcPr>
            <w:tcBorders>
              <w:left w:val="single" w:color="auto" w:sz="8" w:space="0"/>
              <w:right w:val="single" w:color="auto" w:sz="6" w:space="0"/>
            </w:tcBorders>
            <w:tcW w:w="1217" w:type="dxa"/>
            <w:vAlign w:val="center"/>
            <w:vMerge w:val="continue"/>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75"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bCs/>
                <w:sz w:val="21"/>
                <w:szCs w:val="21"/>
              </w:rPr>
            </w:pPr>
            <w:r>
              <w:rPr>
                <w:rFonts w:hint="eastAsia" w:ascii="宋体" w:hAnsi="宋体" w:eastAsia="宋体" w:cs="宋体"/>
                <w:sz w:val="21"/>
                <w:szCs w:val="21"/>
                <w:lang w:val="en-US" w:eastAsia="zh-CN"/>
              </w:rPr>
              <w:t xml:space="preserve">数据安全及</w:t>
            </w:r>
            <w:r>
              <w:rPr>
                <w:rFonts w:hint="eastAsia" w:ascii="宋体" w:hAnsi="宋体" w:eastAsia="宋体" w:cs="宋体"/>
                <w:sz w:val="21"/>
                <w:szCs w:val="21"/>
                <w:lang w:eastAsia="zh-CN"/>
              </w:rPr>
              <w:t xml:space="preserve">保密措施</w:t>
            </w:r>
            <w:r/>
          </w:p>
        </w:tc>
        <w:tc>
          <w:tcPr>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对项目</w:t>
            </w:r>
            <w:r>
              <w:rPr>
                <w:rFonts w:hint="eastAsia" w:ascii="宋体" w:hAnsi="宋体" w:eastAsia="宋体" w:cs="宋体"/>
                <w:sz w:val="21"/>
                <w:szCs w:val="21"/>
                <w:lang w:val="en-US" w:eastAsia="zh-CN"/>
              </w:rPr>
              <w:t xml:space="preserve">实施中数据安全及</w:t>
            </w:r>
            <w:r>
              <w:rPr>
                <w:rFonts w:hint="eastAsia" w:ascii="宋体" w:hAnsi="宋体" w:eastAsia="宋体" w:cs="宋体"/>
                <w:sz w:val="21"/>
                <w:szCs w:val="21"/>
                <w:lang w:eastAsia="zh-CN"/>
              </w:rPr>
              <w:t xml:space="preserve">保密管理，根据投标人的数据安全及保密管理措施进行打分：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数据安全及保密方案</w:t>
            </w:r>
            <w:r>
              <w:rPr>
                <w:rFonts w:hint="eastAsia" w:ascii="宋体" w:hAnsi="宋体" w:eastAsia="宋体" w:cs="宋体"/>
                <w:sz w:val="21"/>
                <w:szCs w:val="21"/>
                <w:lang w:eastAsia="zh-CN"/>
              </w:rPr>
              <w:t xml:space="preserve">到位、措施科学合理、可行性强的得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数据安全及保密方案基本</w:t>
            </w:r>
            <w:r>
              <w:rPr>
                <w:rFonts w:hint="eastAsia" w:ascii="宋体" w:hAnsi="宋体" w:eastAsia="宋体" w:cs="宋体"/>
                <w:sz w:val="21"/>
                <w:szCs w:val="21"/>
                <w:lang w:eastAsia="zh-CN"/>
              </w:rPr>
              <w:t xml:space="preserve">到位、措施基本科学合理、基本可行的得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数据安全及保密方案不够到位、措施不够科学合理、可行性一般的得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方案编制有重大偏离的或没有内容的不得分。</w:t>
            </w:r>
            <w:r/>
          </w:p>
        </w:tc>
        <w:tc>
          <w:tcPr>
            <w:tcBorders>
              <w:top w:val="single" w:color="auto" w:sz="6" w:space="0"/>
              <w:left w:val="single" w:color="auto" w:sz="6" w:space="0"/>
              <w:bottom w:val="single" w:color="auto" w:sz="6" w:space="0"/>
              <w:right w:val="single" w:color="auto" w:sz="8" w:space="0"/>
            </w:tcBorders>
            <w:tcW w:w="862" w:type="dxa"/>
            <w:vAlign w:val="center"/>
            <w:textDirection w:val="lrTb"/>
            <w:noWrap w:val="false"/>
          </w:tcPr>
          <w:p>
            <w:pPr>
              <w:ind w:firstLine="210"/>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r>
      <w:tr>
        <w:trPr>
          <w:jc w:val="center"/>
        </w:trPr>
        <w:tc>
          <w:tcPr>
            <w:tcBorders>
              <w:left w:val="single" w:color="auto" w:sz="8" w:space="0"/>
              <w:right w:val="single" w:color="auto" w:sz="6" w:space="0"/>
            </w:tcBorders>
            <w:tcW w:w="1217" w:type="dxa"/>
            <w:vAlign w:val="center"/>
            <w:vMerge w:val="continue"/>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75"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bCs/>
                <w:sz w:val="21"/>
                <w:szCs w:val="21"/>
              </w:rPr>
            </w:pPr>
            <w:r>
              <w:rPr>
                <w:rFonts w:hint="eastAsia" w:ascii="宋体" w:hAnsi="宋体" w:eastAsia="宋体" w:cs="宋体"/>
                <w:sz w:val="21"/>
                <w:szCs w:val="21"/>
                <w:lang w:eastAsia="zh-CN"/>
              </w:rPr>
              <w:t xml:space="preserve">进度安排</w:t>
            </w:r>
            <w:r/>
          </w:p>
        </w:tc>
        <w:tc>
          <w:tcPr>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进度安排科学合理，有完善的工期管理措施。根据投标人进度安排措施进行打分：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工期安排计划表清楚详细，工期管理措施科学合理、可行性强的得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工期安排计划表基本清楚详细，工期管理措施基本科学合理、基本可行的得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工期安排计划表不够清楚详细，工期管理措施不够科学合理、可行性一般的得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方案编制有重大偏离的或没有内容的不得分。</w:t>
            </w:r>
            <w:r/>
          </w:p>
        </w:tc>
        <w:tc>
          <w:tcPr>
            <w:tcBorders>
              <w:top w:val="single" w:color="auto" w:sz="6" w:space="0"/>
              <w:left w:val="single" w:color="auto" w:sz="6" w:space="0"/>
              <w:bottom w:val="single" w:color="auto" w:sz="6" w:space="0"/>
              <w:right w:val="single" w:color="auto" w:sz="8" w:space="0"/>
            </w:tcBorders>
            <w:tcW w:w="862" w:type="dxa"/>
            <w:vAlign w:val="center"/>
            <w:textDirection w:val="lrTb"/>
            <w:noWrap w:val="false"/>
          </w:tcPr>
          <w:p>
            <w:pPr>
              <w:ind w:firstLine="210"/>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r>
      <w:tr>
        <w:trPr>
          <w:jc w:val="center"/>
        </w:trPr>
        <w:tc>
          <w:tcPr>
            <w:tcBorders>
              <w:left w:val="single" w:color="auto" w:sz="8" w:space="0"/>
              <w:right w:val="single" w:color="auto" w:sz="6" w:space="0"/>
            </w:tcBorders>
            <w:tcW w:w="1217" w:type="dxa"/>
            <w:vAlign w:val="center"/>
            <w:vMerge w:val="continue"/>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7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bCs/>
                <w:sz w:val="21"/>
                <w:szCs w:val="21"/>
              </w:rPr>
              <w:t xml:space="preserve">合理化建议</w:t>
            </w:r>
            <w:r/>
          </w:p>
        </w:tc>
        <w:tc>
          <w:tcPr>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投标人能够根据本地实际情况，分析本项目重点，难点工作，并为高质量的完成本项目提出合理化、可行性建议。</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分析全面透彻，建议清晰合理的，得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分析有针对性，建议较合理的，得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分析不全面，建议不合理的，得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方案编制有重大偏离的或没有内容的不得分。</w:t>
            </w:r>
            <w:r/>
          </w:p>
        </w:tc>
        <w:tc>
          <w:tcPr>
            <w:tcBorders>
              <w:top w:val="single" w:color="auto" w:sz="6" w:space="0"/>
              <w:left w:val="single" w:color="auto" w:sz="6" w:space="0"/>
              <w:bottom w:val="single" w:color="auto" w:sz="6" w:space="0"/>
              <w:right w:val="single" w:color="auto" w:sz="8" w:space="0"/>
            </w:tcBorders>
            <w:tcW w:w="86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p>
        </w:tc>
      </w:tr>
      <w:tr>
        <w:trPr>
          <w:jc w:val="center"/>
          <w:trHeight w:val="2317"/>
        </w:trPr>
        <w:tc>
          <w:tcPr>
            <w:tcBorders>
              <w:left w:val="single" w:color="auto" w:sz="8" w:space="0"/>
              <w:right w:val="single" w:color="auto" w:sz="6" w:space="0"/>
            </w:tcBorders>
            <w:tcW w:w="1217" w:type="dxa"/>
            <w:vAlign w:val="center"/>
            <w:vMerge w:val="continue"/>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right w:val="single" w:color="auto" w:sz="6" w:space="0"/>
            </w:tcBorders>
            <w:tcW w:w="137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服务承诺</w:t>
            </w:r>
            <w:r/>
          </w:p>
        </w:tc>
        <w:tc>
          <w:tcPr>
            <w:tcBorders>
              <w:top w:val="single" w:color="auto" w:sz="6" w:space="0"/>
              <w:left w:val="single" w:color="auto" w:sz="6" w:space="0"/>
              <w:right w:val="single" w:color="auto" w:sz="6" w:space="0"/>
            </w:tcBorders>
            <w:tcW w:w="5038"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根据投标人对人员数量、仪器设备、项目进度、成果质量、项目实施过程中和项目完成后为采购人提供的额外服务等承诺的针对性，是否对项目实施有利进行综合评定，</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服务承诺覆盖全面、针对性强的，得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服务承诺覆盖面</w:t>
            </w:r>
            <w:r>
              <w:rPr>
                <w:rFonts w:hint="eastAsia" w:ascii="宋体" w:hAnsi="宋体" w:eastAsia="宋体" w:cs="宋体"/>
                <w:sz w:val="21"/>
                <w:szCs w:val="21"/>
                <w:lang w:val="en-US" w:eastAsia="zh-CN"/>
              </w:rPr>
              <w:t xml:space="preserve">较完整</w:t>
            </w:r>
            <w:r>
              <w:rPr>
                <w:rFonts w:hint="eastAsia" w:ascii="宋体" w:hAnsi="宋体" w:eastAsia="宋体" w:cs="宋体"/>
                <w:sz w:val="21"/>
                <w:szCs w:val="21"/>
                <w:lang w:eastAsia="zh-CN"/>
              </w:rPr>
              <w:t xml:space="preserve">、针对性</w:t>
            </w:r>
            <w:r>
              <w:rPr>
                <w:rFonts w:hint="eastAsia" w:ascii="宋体" w:hAnsi="宋体" w:eastAsia="宋体" w:cs="宋体"/>
                <w:sz w:val="21"/>
                <w:szCs w:val="21"/>
                <w:lang w:val="en-US" w:eastAsia="zh-CN"/>
              </w:rPr>
              <w:t xml:space="preserve">较强</w:t>
            </w:r>
            <w:r>
              <w:rPr>
                <w:rFonts w:hint="eastAsia" w:ascii="宋体" w:hAnsi="宋体" w:eastAsia="宋体" w:cs="宋体"/>
                <w:sz w:val="21"/>
                <w:szCs w:val="21"/>
                <w:lang w:eastAsia="zh-CN"/>
              </w:rPr>
              <w:t xml:space="preserve">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服务承诺</w:t>
            </w:r>
            <w:r>
              <w:rPr>
                <w:rFonts w:hint="eastAsia" w:ascii="宋体" w:hAnsi="宋体" w:eastAsia="宋体" w:cs="宋体"/>
                <w:sz w:val="21"/>
                <w:szCs w:val="21"/>
                <w:lang w:val="en-US" w:eastAsia="zh-CN"/>
              </w:rPr>
              <w:t xml:space="preserve">一般</w:t>
            </w:r>
            <w:r>
              <w:rPr>
                <w:rFonts w:hint="eastAsia" w:ascii="宋体" w:hAnsi="宋体" w:eastAsia="宋体" w:cs="宋体"/>
                <w:sz w:val="21"/>
                <w:szCs w:val="21"/>
                <w:lang w:eastAsia="zh-CN"/>
              </w:rPr>
              <w:t xml:space="preserve">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方案编制有重大偏离的或没有内容的不得分。</w:t>
            </w:r>
            <w:r/>
          </w:p>
        </w:tc>
        <w:tc>
          <w:tcPr>
            <w:tcBorders>
              <w:top w:val="single" w:color="auto" w:sz="6" w:space="0"/>
              <w:left w:val="single" w:color="auto" w:sz="6" w:space="0"/>
              <w:bottom w:val="single" w:color="auto" w:sz="6" w:space="0"/>
              <w:right w:val="single" w:color="auto" w:sz="8" w:space="0"/>
            </w:tcBorders>
            <w:tcW w:w="86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p>
        </w:tc>
      </w:tr>
      <w:tr>
        <w:trPr>
          <w:jc w:val="center"/>
          <w:trHeight w:val="906"/>
        </w:trPr>
        <w:tc>
          <w:tcPr>
            <w:tcBorders>
              <w:top w:val="single" w:color="auto" w:sz="6" w:space="0"/>
              <w:left w:val="single" w:color="auto" w:sz="8" w:space="0"/>
              <w:right w:val="single" w:color="auto" w:sz="6" w:space="0"/>
            </w:tcBorders>
            <w:tcW w:w="1217"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商务部分</w:t>
            </w:r>
            <w:r/>
          </w:p>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39</w:t>
            </w:r>
            <w:r>
              <w:rPr>
                <w:rFonts w:hint="eastAsia" w:ascii="宋体" w:hAnsi="宋体" w:eastAsia="宋体" w:cs="宋体"/>
                <w:sz w:val="21"/>
                <w:szCs w:val="21"/>
              </w:rPr>
              <w:t xml:space="preserve">分）</w:t>
            </w:r>
            <w:r/>
          </w:p>
        </w:tc>
        <w:tc>
          <w:tcPr>
            <w:tcBorders>
              <w:top w:val="single" w:color="auto" w:sz="6" w:space="0"/>
              <w:left w:val="single" w:color="auto" w:sz="6" w:space="0"/>
              <w:right w:val="single" w:color="auto" w:sz="6" w:space="0"/>
            </w:tcBorders>
            <w:tcW w:w="1375" w:type="dxa"/>
            <w:vAlign w:val="center"/>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项目人员综合实力</w:t>
            </w:r>
            <w:r/>
          </w:p>
        </w:tc>
        <w:tc>
          <w:tcPr>
            <w:tcBorders>
              <w:top w:val="single" w:color="auto" w:sz="6" w:space="0"/>
              <w:left w:val="single" w:color="auto" w:sz="6" w:space="0"/>
              <w:right w:val="single" w:color="auto" w:sz="6" w:space="0"/>
            </w:tcBorders>
            <w:tcW w:w="5038"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项目负责人（</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拟派的项目负责人具有测绘</w:t>
            </w:r>
            <w:r>
              <w:rPr>
                <w:rFonts w:hint="eastAsia" w:ascii="宋体" w:hAnsi="宋体" w:eastAsia="宋体" w:cs="宋体"/>
                <w:color w:val="auto"/>
                <w:sz w:val="21"/>
                <w:szCs w:val="21"/>
                <w:lang w:val="en-US" w:eastAsia="zh-CN"/>
              </w:rPr>
              <w:t xml:space="preserve">类高级及以上工程师职称证书得2分，具有测绘类中级工程师职称证书得</w:t>
            </w:r>
            <w:r>
              <w:rPr>
                <w:rFonts w:hint="eastAsia" w:ascii="宋体" w:hAnsi="宋体" w:eastAsia="宋体" w:cs="宋体"/>
                <w:sz w:val="21"/>
                <w:szCs w:val="21"/>
                <w:lang w:val="en-US" w:eastAsia="zh-CN"/>
              </w:rPr>
              <w:t xml:space="preserve">1分，最高得2分；</w:t>
            </w:r>
            <w:r/>
          </w:p>
          <w:p>
            <w:pPr>
              <w:ind w:firstLine="0"/>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具有注册测绘师资格证书的，得2分；</w:t>
            </w:r>
            <w:r/>
          </w:p>
          <w:p>
            <w:pPr>
              <w:ind w:firstLine="0"/>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具有地理信息安全保密培训合格证书的，得2分；</w:t>
            </w:r>
            <w:r/>
          </w:p>
          <w:p>
            <w:pPr>
              <w:ind w:firstLine="0"/>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本项最高得6分。</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eastAsia="zh-CN"/>
              </w:rPr>
              <w:t xml:space="preserve">技术负责人（</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拟派的技术负责人具有测绘类高级及以上工程师职称证书得2分，具有测绘类中级工程师职称证书得1分，最高得2分；</w:t>
            </w:r>
            <w:r/>
          </w:p>
          <w:p>
            <w:pPr>
              <w:ind w:firstLine="0"/>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具有注册测绘师资格证书的得2分；</w:t>
            </w:r>
            <w:r/>
          </w:p>
          <w:p>
            <w:pPr>
              <w:ind w:firstLine="0"/>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本项最高得4分。</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项目组成员（不含项目负责人、技术负责人）（</w:t>
            </w: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项目组人员中具有注册测绘师资格证书的，有1人得1分，本项最高得8分；项目组人员中具有地理信息安全保密培训合格证明的，有1人得0.5分，本项最高得4分。（1人同时具备注册测绘师资格证书和地理信息安全保密培训合格证明的，可累计得分）。</w:t>
            </w:r>
            <w:r/>
          </w:p>
          <w:p>
            <w:pPr>
              <w:ind w:firstLine="0"/>
              <w:keepLines w:val="0"/>
              <w:keepNext w:val="0"/>
              <w:pageBreakBefore w:val="0"/>
              <w:spacing w:line="240" w:lineRule="auto"/>
              <w:widowControl/>
              <w:rPr>
                <w:rFonts w:hint="default"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注：</w:t>
            </w:r>
            <w:r>
              <w:rPr>
                <w:rFonts w:hint="eastAsia" w:ascii="宋体" w:hAnsi="宋体" w:eastAsia="宋体" w:cs="宋体"/>
                <w:b/>
                <w:bCs/>
                <w:sz w:val="21"/>
                <w:szCs w:val="21"/>
                <w:lang w:eastAsia="zh-CN"/>
              </w:rPr>
              <w:t xml:space="preserve">提供相应证书原件彩色扫描</w:t>
            </w:r>
            <w:r>
              <w:rPr>
                <w:rFonts w:hint="eastAsia" w:ascii="宋体" w:hAnsi="宋体" w:eastAsia="宋体" w:cs="宋体"/>
                <w:b/>
                <w:bCs/>
                <w:sz w:val="21"/>
                <w:szCs w:val="21"/>
                <w:lang w:val="en-US" w:eastAsia="zh-CN"/>
              </w:rPr>
              <w:t xml:space="preserve">件以及以上人员为本单位正式员工的承诺函，未按要求提供不得分。</w:t>
            </w:r>
            <w:r/>
          </w:p>
        </w:tc>
        <w:tc>
          <w:tcPr>
            <w:tcBorders>
              <w:top w:val="single" w:color="auto" w:sz="6" w:space="0"/>
              <w:left w:val="single" w:color="auto" w:sz="6" w:space="0"/>
              <w:right w:val="single" w:color="auto" w:sz="8" w:space="0"/>
            </w:tcBorders>
            <w:tcW w:w="862"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22</w:t>
            </w:r>
            <w:r/>
          </w:p>
        </w:tc>
      </w:tr>
      <w:tr>
        <w:trPr>
          <w:jc w:val="center"/>
        </w:trPr>
        <w:tc>
          <w:tcPr>
            <w:tcBorders>
              <w:left w:val="single" w:color="auto" w:sz="8" w:space="0"/>
              <w:right w:val="single" w:color="auto" w:sz="6" w:space="0"/>
            </w:tcBorders>
            <w:tcW w:w="1217" w:type="dxa"/>
            <w:vAlign w:val="center"/>
            <w:vMerge w:val="continue"/>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7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企业综合实力</w:t>
            </w:r>
            <w:r/>
          </w:p>
        </w:tc>
        <w:tc>
          <w:tcPr>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1.供应商具有有效期内的质量管理体系认证、信息技术服务认证证书、测量体系认证证书的，有一个得1分，最高得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w:t>
            </w:r>
            <w:r/>
          </w:p>
          <w:p>
            <w:pPr>
              <w:ind w:left="0" w:firstLine="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2.供应商获得过“质量信得过单位”称号的，</w:t>
            </w:r>
            <w:r>
              <w:rPr>
                <w:rFonts w:hint="eastAsia" w:ascii="宋体" w:hAnsi="宋体" w:eastAsia="宋体" w:cs="宋体"/>
                <w:color w:val="auto"/>
                <w:sz w:val="21"/>
                <w:szCs w:val="21"/>
                <w:lang w:eastAsia="zh-CN"/>
              </w:rPr>
              <w:t xml:space="preserve">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分</w:t>
            </w:r>
            <w:r>
              <w:rPr>
                <w:rFonts w:hint="eastAsia" w:ascii="宋体" w:hAnsi="宋体" w:eastAsia="宋体" w:cs="宋体"/>
                <w:sz w:val="21"/>
                <w:szCs w:val="21"/>
                <w:lang w:eastAsia="zh-CN"/>
              </w:rPr>
              <w:t xml:space="preserve">。</w:t>
            </w:r>
            <w:r/>
          </w:p>
          <w:p>
            <w:pPr>
              <w:ind w:left="0" w:firstLine="0"/>
              <w:jc w:val="left"/>
              <w:keepLines w:val="0"/>
              <w:keepNext w:val="0"/>
              <w:pageBreakBefore w:val="0"/>
              <w:spacing w:line="24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供应商持有民航部门核发、在有效期内的民用无人驾驶航空器运营合格证（OC 证）的，得1 分。</w:t>
            </w:r>
            <w:r/>
          </w:p>
          <w:p>
            <w:pPr>
              <w:ind w:left="0" w:firstLine="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注：提供上述得分项的相关证书、证明复印件，未按要求提供或未提供证明材料的均不得分。</w:t>
            </w:r>
            <w:r/>
          </w:p>
        </w:tc>
        <w:tc>
          <w:tcPr>
            <w:tcBorders>
              <w:top w:val="single" w:color="auto" w:sz="6" w:space="0"/>
              <w:left w:val="single" w:color="auto" w:sz="6" w:space="0"/>
              <w:bottom w:val="single" w:color="auto" w:sz="6" w:space="0"/>
              <w:right w:val="single" w:color="auto" w:sz="8" w:space="0"/>
            </w:tcBorders>
            <w:tcW w:w="86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 xml:space="preserve">5</w:t>
            </w:r>
            <w:r/>
          </w:p>
        </w:tc>
      </w:tr>
      <w:tr>
        <w:trPr>
          <w:jc w:val="center"/>
        </w:trPr>
        <w:tc>
          <w:tcPr>
            <w:tcBorders>
              <w:left w:val="single" w:color="auto" w:sz="8" w:space="0"/>
              <w:right w:val="single" w:color="auto" w:sz="6" w:space="0"/>
            </w:tcBorders>
            <w:tcW w:w="1217" w:type="dxa"/>
            <w:vAlign w:val="center"/>
            <w:vMerge w:val="continue"/>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6" w:space="0"/>
              <w:left w:val="single" w:color="auto" w:sz="6" w:space="0"/>
              <w:bottom w:val="single" w:color="auto" w:sz="6" w:space="0"/>
              <w:right w:val="single" w:color="auto" w:sz="6" w:space="0"/>
            </w:tcBorders>
            <w:tcW w:w="137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业绩</w:t>
            </w:r>
            <w:r/>
          </w:p>
        </w:tc>
        <w:tc>
          <w:tcPr>
            <w:tcBorders>
              <w:top w:val="single" w:color="auto" w:sz="6" w:space="0"/>
              <w:left w:val="single" w:color="auto" w:sz="6" w:space="0"/>
              <w:bottom w:val="single" w:color="auto" w:sz="6" w:space="0"/>
              <w:right w:val="single" w:color="auto" w:sz="6" w:space="0"/>
            </w:tcBorders>
            <w:tcW w:w="5038"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供应商</w:t>
            </w:r>
            <w:r>
              <w:rPr>
                <w:rFonts w:hint="eastAsia" w:ascii="宋体" w:hAnsi="宋体" w:eastAsia="宋体" w:cs="宋体"/>
                <w:sz w:val="21"/>
                <w:szCs w:val="21"/>
                <w:lang w:val="en-US" w:eastAsia="zh-CN"/>
              </w:rPr>
              <w:t xml:space="preserve">近三年以来</w:t>
            </w:r>
            <w:r>
              <w:rPr>
                <w:rFonts w:hint="eastAsia" w:ascii="宋体" w:hAnsi="宋体" w:eastAsia="宋体" w:cs="宋体"/>
                <w:sz w:val="21"/>
                <w:szCs w:val="21"/>
                <w:lang w:eastAsia="zh-CN"/>
              </w:rPr>
              <w:t xml:space="preserve">（以合同签订日期为准），承担过</w:t>
            </w:r>
            <w:r>
              <w:rPr>
                <w:rFonts w:hint="eastAsia" w:ascii="宋体" w:hAnsi="宋体" w:eastAsia="宋体" w:cs="宋体"/>
                <w:sz w:val="21"/>
                <w:szCs w:val="21"/>
                <w:lang w:val="en-US" w:eastAsia="zh-CN"/>
              </w:rPr>
              <w:t xml:space="preserve">类似业绩</w:t>
            </w:r>
            <w:r>
              <w:rPr>
                <w:rFonts w:hint="eastAsia" w:ascii="宋体" w:hAnsi="宋体" w:eastAsia="宋体" w:cs="宋体"/>
                <w:sz w:val="21"/>
                <w:szCs w:val="21"/>
                <w:lang w:eastAsia="zh-CN"/>
              </w:rPr>
              <w:t xml:space="preserve">的，每提供一个得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分，最高得</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eastAsia="zh-CN"/>
              </w:rPr>
              <w:t xml:space="preserve">分。</w:t>
            </w:r>
            <w:r/>
          </w:p>
          <w:p>
            <w:pPr>
              <w:ind w:left="0" w:firstLine="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注：投标时</w:t>
            </w:r>
            <w:r>
              <w:rPr>
                <w:rFonts w:hint="eastAsia" w:ascii="宋体" w:hAnsi="宋体" w:eastAsia="宋体" w:cs="宋体"/>
                <w:b/>
                <w:bCs/>
                <w:sz w:val="21"/>
                <w:szCs w:val="21"/>
                <w:lang w:eastAsia="zh-CN"/>
              </w:rPr>
              <w:t xml:space="preserve">提供合同复印件，未按要求提供或未提供证明材料的均不得分。</w:t>
            </w:r>
            <w:r/>
          </w:p>
        </w:tc>
        <w:tc>
          <w:tcPr>
            <w:tcBorders>
              <w:top w:val="single" w:color="auto" w:sz="6" w:space="0"/>
              <w:left w:val="single" w:color="auto" w:sz="6" w:space="0"/>
              <w:bottom w:val="single" w:color="auto" w:sz="6" w:space="0"/>
              <w:right w:val="single" w:color="auto" w:sz="8" w:space="0"/>
            </w:tcBorders>
            <w:tcW w:w="862"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r>
    </w:tbl>
    <w:p>
      <w:pP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ind w:firstLine="482"/>
        <w:jc w:val="left"/>
        <w:pageBreakBefore/>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包件二</w:t>
      </w:r>
      <w:r>
        <w:rPr>
          <w:rFonts w:hint="eastAsia" w:ascii="宋体" w:hAnsi="宋体" w:eastAsia="宋体" w:cs="宋体"/>
          <w:b/>
          <w:sz w:val="24"/>
          <w:szCs w:val="24"/>
        </w:rPr>
        <w:t xml:space="preserve">评分标准</w:t>
      </w:r>
      <w:r/>
    </w:p>
    <w:tbl>
      <w:tblPr>
        <w:tblStyle w:val="818"/>
        <w:tblW w:w="868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17"/>
        <w:gridCol w:w="1293"/>
        <w:gridCol w:w="5120"/>
        <w:gridCol w:w="1053"/>
      </w:tblGrid>
      <w:tr>
        <w:trPr>
          <w:jc w:val="center"/>
          <w:trHeight w:val="628"/>
          <w:tblHeader/>
        </w:trPr>
        <w:tc>
          <w:tcPr>
            <w:tcBorders>
              <w:top w:val="single" w:color="auto" w:sz="8" w:space="0"/>
              <w:left w:val="single" w:color="auto" w:sz="8" w:space="0"/>
              <w:bottom w:val="single" w:color="auto" w:sz="6" w:space="0"/>
              <w:right w:val="single" w:color="auto" w:sz="6" w:space="0"/>
            </w:tcBorders>
            <w:tcW w:w="1217"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评分项</w:t>
            </w:r>
            <w:r/>
          </w:p>
        </w:tc>
        <w:tc>
          <w:tcPr>
            <w:tcBorders>
              <w:top w:val="single" w:color="auto" w:sz="8" w:space="0"/>
              <w:left w:val="single" w:color="auto" w:sz="6" w:space="0"/>
              <w:bottom w:val="single" w:color="auto" w:sz="6" w:space="0"/>
              <w:right w:val="single" w:color="auto" w:sz="6" w:space="0"/>
            </w:tcBorders>
            <w:tcW w:w="129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评分因素</w:t>
            </w:r>
            <w:r/>
          </w:p>
        </w:tc>
        <w:tc>
          <w:tcPr>
            <w:tcBorders>
              <w:top w:val="single" w:color="auto" w:sz="8" w:space="0"/>
              <w:left w:val="single" w:color="auto" w:sz="6" w:space="0"/>
              <w:bottom w:val="single" w:color="auto" w:sz="6" w:space="0"/>
              <w:right w:val="single" w:color="auto" w:sz="6" w:space="0"/>
            </w:tcBorders>
            <w:tcW w:w="512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评分细则</w:t>
            </w:r>
            <w:r/>
          </w:p>
        </w:tc>
        <w:tc>
          <w:tcPr>
            <w:tcBorders>
              <w:top w:val="single" w:color="auto" w:sz="8" w:space="0"/>
              <w:left w:val="single" w:color="auto" w:sz="6" w:space="0"/>
              <w:bottom w:val="single" w:color="auto" w:sz="6" w:space="0"/>
              <w:right w:val="single" w:color="auto" w:sz="8" w:space="0"/>
            </w:tcBorders>
            <w:tcW w:w="105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p>
        </w:tc>
      </w:tr>
      <w:tr>
        <w:trPr>
          <w:jc w:val="center"/>
          <w:trHeight w:val="1408"/>
        </w:trPr>
        <w:tc>
          <w:tcPr>
            <w:tcBorders>
              <w:top w:val="single" w:color="auto" w:sz="6" w:space="0"/>
              <w:left w:val="single" w:color="auto" w:sz="8" w:space="0"/>
              <w:bottom w:val="single" w:color="auto" w:sz="6" w:space="0"/>
              <w:right w:val="single" w:color="auto" w:sz="6" w:space="0"/>
            </w:tcBorders>
            <w:tcW w:w="1217"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价格部分</w:t>
            </w:r>
            <w:r/>
          </w:p>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分）</w:t>
            </w:r>
            <w:r/>
          </w:p>
        </w:tc>
        <w:tc>
          <w:tcPr>
            <w:tcBorders>
              <w:top w:val="single" w:color="auto" w:sz="6" w:space="0"/>
              <w:left w:val="single" w:color="auto" w:sz="6" w:space="0"/>
              <w:bottom w:val="single" w:color="auto" w:sz="6" w:space="0"/>
              <w:right w:val="single" w:color="auto" w:sz="6" w:space="0"/>
            </w:tcBorders>
            <w:tcW w:w="129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投标报价</w:t>
            </w:r>
            <w:r/>
          </w:p>
        </w:tc>
        <w:tc>
          <w:tcPr>
            <w:tcBorders>
              <w:top w:val="single" w:color="auto" w:sz="6" w:space="0"/>
              <w:left w:val="single" w:color="auto" w:sz="6" w:space="0"/>
              <w:bottom w:val="single" w:color="auto" w:sz="6" w:space="0"/>
              <w:right w:val="single" w:color="auto" w:sz="6" w:space="0"/>
            </w:tcBorders>
            <w:tcW w:w="512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满足招标文件要求且投标报价最低的投标报价为评标基准价，其价格为满分。其他投标供应商的价格分按照下列公式计算：投标报价得分＝（评标基准价/投标报价）×</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eastAsia="zh-CN"/>
              </w:rPr>
              <w:t xml:space="preserve">分</w:t>
            </w:r>
            <w:r/>
          </w:p>
        </w:tc>
        <w:tc>
          <w:tcPr>
            <w:tcBorders>
              <w:top w:val="single" w:color="auto" w:sz="6" w:space="0"/>
              <w:left w:val="single" w:color="auto" w:sz="6" w:space="0"/>
              <w:bottom w:val="single" w:color="auto" w:sz="6" w:space="0"/>
              <w:right w:val="single" w:color="auto" w:sz="8" w:space="0"/>
            </w:tcBorders>
            <w:tcW w:w="1053"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sz w:val="21"/>
                <w:szCs w:val="21"/>
                <w:lang w:val="en-US"/>
              </w:rPr>
            </w:pPr>
            <w:r>
              <w:rPr>
                <w:rFonts w:hint="eastAsia" w:ascii="宋体" w:hAnsi="宋体" w:eastAsia="宋体" w:cs="宋体"/>
                <w:sz w:val="21"/>
                <w:szCs w:val="21"/>
                <w:lang w:val="en-US" w:eastAsia="zh-CN"/>
              </w:rPr>
              <w:t xml:space="preserve">15</w:t>
            </w:r>
            <w:r/>
          </w:p>
        </w:tc>
      </w:tr>
      <w:tr>
        <w:trPr>
          <w:jc w:val="center"/>
          <w:trHeight w:val="1913"/>
        </w:trPr>
        <w:tc>
          <w:tcPr>
            <w:tcBorders>
              <w:top w:val="single" w:color="auto" w:sz="6" w:space="0"/>
              <w:left w:val="single" w:color="auto" w:sz="8" w:space="0"/>
              <w:right w:val="single" w:color="auto" w:sz="6" w:space="0"/>
            </w:tcBorders>
            <w:tcW w:w="1217"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技术部分</w:t>
            </w:r>
            <w:r/>
          </w:p>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49</w:t>
            </w:r>
            <w:r>
              <w:rPr>
                <w:rFonts w:hint="eastAsia" w:ascii="宋体" w:hAnsi="宋体" w:eastAsia="宋体" w:cs="宋体"/>
                <w:sz w:val="21"/>
                <w:szCs w:val="21"/>
              </w:rPr>
              <w:t xml:space="preserve">分）</w:t>
            </w:r>
            <w:r/>
          </w:p>
        </w:tc>
        <w:tc>
          <w:tcPr>
            <w:tcBorders>
              <w:top w:val="single" w:color="auto" w:sz="6" w:space="0"/>
              <w:left w:val="single" w:color="auto" w:sz="6" w:space="0"/>
              <w:bottom w:val="single" w:color="auto" w:sz="6" w:space="0"/>
              <w:right w:val="single" w:color="auto" w:sz="6" w:space="0"/>
            </w:tcBorders>
            <w:tcW w:w="129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总体概述</w:t>
            </w:r>
            <w:r/>
          </w:p>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5120" w:type="dxa"/>
            <w:vAlign w:val="top"/>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对其总体概述进行评审，对项目背景、目标、现状等情况进行分析，是否全面合理</w:t>
            </w:r>
            <w:r>
              <w:rPr>
                <w:rFonts w:hint="eastAsia" w:ascii="宋体" w:hAnsi="宋体" w:eastAsia="宋体" w:cs="宋体"/>
                <w:b w:val="0"/>
                <w:bCs w:val="0"/>
                <w:color w:val="auto"/>
                <w:sz w:val="21"/>
                <w:szCs w:val="21"/>
                <w:lang w:val="en-US" w:eastAsia="zh-CN" w:bidi="ar-SA"/>
              </w:rPr>
              <w:t xml:space="preserve">进行评分</w:t>
            </w:r>
            <w:r>
              <w:rPr>
                <w:rFonts w:hint="eastAsia" w:ascii="宋体" w:hAnsi="宋体" w:eastAsia="宋体" w:cs="宋体"/>
                <w:color w:val="auto"/>
                <w:sz w:val="21"/>
                <w:szCs w:val="21"/>
                <w:highlight w:val="none"/>
                <w:lang w:val="en-US" w:eastAsia="zh-CN" w:bidi="ar-SA"/>
              </w:rPr>
              <w:t xml:space="preserve">：</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总体概述全面详细合理的得7分；</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总体概述较为全面合理的得4分；</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总体概述较为简单、基本合理的得2分；</w:t>
            </w:r>
            <w:r/>
          </w:p>
          <w:p>
            <w:pPr>
              <w:ind w:firstLine="0"/>
              <w:jc w:val="both"/>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color w:val="auto"/>
                <w:sz w:val="21"/>
                <w:szCs w:val="21"/>
                <w:highlight w:val="none"/>
                <w:lang w:val="en-US" w:eastAsia="zh-CN" w:bidi="ar-SA"/>
              </w:rPr>
              <w:t xml:space="preserve">没有内容不得分。</w:t>
            </w:r>
            <w:r/>
          </w:p>
        </w:tc>
        <w:tc>
          <w:tcPr>
            <w:tcBorders>
              <w:top w:val="single" w:color="auto" w:sz="6" w:space="0"/>
              <w:left w:val="single" w:color="auto" w:sz="6" w:space="0"/>
              <w:bottom w:val="single" w:color="auto" w:sz="6" w:space="0"/>
              <w:right w:val="single" w:color="auto" w:sz="8" w:space="0"/>
            </w:tcBorders>
            <w:tcW w:w="1053"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r>
      <w:tr>
        <w:trPr>
          <w:jc w:val="center"/>
          <w:trHeight w:val="2424"/>
        </w:trPr>
        <w:tc>
          <w:tcPr>
            <w:tcBorders>
              <w:left w:val="single" w:color="auto" w:sz="8" w:space="0"/>
              <w:right w:val="single" w:color="auto" w:sz="6" w:space="0"/>
            </w:tcBorders>
            <w:tcW w:w="12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29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技术方案</w:t>
            </w:r>
            <w:r/>
          </w:p>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5120" w:type="dxa"/>
            <w:vAlign w:val="top"/>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根据投标人提供的技术路线、技术方案及对各项工作的逻辑关系、作业方式方法进行描述，对提供的方案</w:t>
            </w:r>
            <w:r>
              <w:rPr>
                <w:rFonts w:hint="eastAsia" w:ascii="宋体" w:hAnsi="宋体" w:eastAsia="宋体" w:cs="宋体"/>
                <w:b w:val="0"/>
                <w:bCs w:val="0"/>
                <w:color w:val="auto"/>
                <w:sz w:val="21"/>
                <w:szCs w:val="21"/>
                <w:lang w:val="en-US" w:eastAsia="zh-CN" w:bidi="ar-SA"/>
              </w:rPr>
              <w:t xml:space="preserve">进行评分</w:t>
            </w:r>
            <w:r>
              <w:rPr>
                <w:rFonts w:hint="eastAsia" w:ascii="宋体" w:hAnsi="宋体" w:eastAsia="宋体" w:cs="宋体"/>
                <w:color w:val="auto"/>
                <w:sz w:val="21"/>
                <w:szCs w:val="21"/>
                <w:highlight w:val="none"/>
                <w:lang w:val="en-US" w:eastAsia="zh-CN" w:bidi="ar-SA"/>
              </w:rPr>
              <w:t xml:space="preserve">：</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方案内容响应全面，方案编制完整、可行、规范的得10分；</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方案内容响应较全面，方案编制比较完整的得7分；</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方案有欠缺，没能全面完整的表述的得4分。</w:t>
            </w:r>
            <w:r/>
          </w:p>
          <w:p>
            <w:pPr>
              <w:ind w:firstLine="0"/>
              <w:jc w:val="both"/>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color w:val="auto"/>
                <w:sz w:val="21"/>
                <w:szCs w:val="21"/>
                <w:highlight w:val="none"/>
                <w:lang w:val="en-US" w:eastAsia="zh-CN" w:bidi="ar-SA"/>
              </w:rPr>
              <w:t xml:space="preserve">没有内容不得分。</w:t>
            </w:r>
            <w:r/>
          </w:p>
        </w:tc>
        <w:tc>
          <w:tcPr>
            <w:tcBorders>
              <w:top w:val="single" w:color="auto" w:sz="6" w:space="0"/>
              <w:left w:val="single" w:color="auto" w:sz="6" w:space="0"/>
              <w:bottom w:val="single" w:color="auto" w:sz="6" w:space="0"/>
              <w:right w:val="single" w:color="auto" w:sz="8" w:space="0"/>
            </w:tcBorders>
            <w:tcW w:w="1053"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r>
      <w:tr>
        <w:trPr>
          <w:jc w:val="center"/>
        </w:trPr>
        <w:tc>
          <w:tcPr>
            <w:tcBorders>
              <w:left w:val="single" w:color="auto" w:sz="8" w:space="0"/>
              <w:right w:val="single" w:color="auto" w:sz="6" w:space="0"/>
            </w:tcBorders>
            <w:tcW w:w="1217" w:type="dxa"/>
            <w:vAlign w:val="center"/>
            <w:vMerge w:val="continue"/>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29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项目管理</w:t>
            </w:r>
            <w:r/>
          </w:p>
          <w:p>
            <w:pPr>
              <w:ind w:firstLine="0"/>
              <w:jc w:val="center"/>
              <w:keepLines w:val="0"/>
              <w:keepNext w:val="0"/>
              <w:pageBreakBefore w:val="0"/>
              <w:spacing w:line="24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auto" w:sz="6" w:space="0"/>
              <w:left w:val="single" w:color="auto" w:sz="6" w:space="0"/>
              <w:bottom w:val="single" w:color="auto" w:sz="6" w:space="0"/>
              <w:right w:val="single" w:color="auto" w:sz="6" w:space="0"/>
            </w:tcBorders>
            <w:tcW w:w="5120" w:type="dxa"/>
            <w:vAlign w:val="top"/>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根据各投标人响应文件的相关内容对单位组织机构设置是否全备，责任分工是否明确，质量管理、安全生产管理、保密管理等制度是否健全等</w:t>
            </w:r>
            <w:r>
              <w:rPr>
                <w:rFonts w:hint="eastAsia" w:ascii="宋体" w:hAnsi="宋体" w:eastAsia="宋体" w:cs="宋体"/>
                <w:b w:val="0"/>
                <w:bCs w:val="0"/>
                <w:color w:val="auto"/>
                <w:sz w:val="21"/>
                <w:szCs w:val="21"/>
                <w:lang w:val="en-US" w:eastAsia="zh-CN" w:bidi="ar-SA"/>
              </w:rPr>
              <w:t xml:space="preserve">进行评分</w:t>
            </w:r>
            <w:r>
              <w:rPr>
                <w:rFonts w:hint="eastAsia" w:ascii="宋体" w:hAnsi="宋体" w:eastAsia="宋体" w:cs="宋体"/>
                <w:color w:val="auto"/>
                <w:sz w:val="21"/>
                <w:szCs w:val="21"/>
                <w:highlight w:val="none"/>
                <w:lang w:val="en-US" w:eastAsia="zh-CN" w:bidi="ar-SA"/>
              </w:rPr>
              <w:t xml:space="preserve">：</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方案完整、可行、合理的得7分；</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方案较完整、可行、合理的得4分；</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方案基本完整、可行、合理的得2分。</w:t>
            </w:r>
            <w:r/>
          </w:p>
          <w:p>
            <w:pPr>
              <w:ind w:firstLine="0"/>
              <w:jc w:val="both"/>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color w:val="auto"/>
                <w:sz w:val="21"/>
                <w:szCs w:val="21"/>
                <w:highlight w:val="none"/>
                <w:lang w:val="en-US" w:eastAsia="zh-CN" w:bidi="ar-SA"/>
              </w:rPr>
              <w:t xml:space="preserve">没有内容不得分。</w:t>
            </w:r>
            <w:r/>
          </w:p>
        </w:tc>
        <w:tc>
          <w:tcPr>
            <w:tcBorders>
              <w:top w:val="single" w:color="auto" w:sz="6" w:space="0"/>
              <w:left w:val="single" w:color="auto" w:sz="6" w:space="0"/>
              <w:bottom w:val="single" w:color="auto" w:sz="6" w:space="0"/>
              <w:right w:val="single" w:color="auto" w:sz="8" w:space="0"/>
            </w:tcBorders>
            <w:tcW w:w="1053"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r>
      <w:tr>
        <w:trPr>
          <w:jc w:val="center"/>
        </w:trPr>
        <w:tc>
          <w:tcPr>
            <w:tcBorders>
              <w:left w:val="single" w:color="auto" w:sz="8" w:space="0"/>
              <w:right w:val="single" w:color="auto" w:sz="6" w:space="0"/>
            </w:tcBorders>
            <w:tcW w:w="1217" w:type="dxa"/>
            <w:vAlign w:val="center"/>
            <w:vMerge w:val="continue"/>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29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sz w:val="21"/>
                <w:szCs w:val="21"/>
              </w:rPr>
            </w:pPr>
            <w:r>
              <w:rPr>
                <w:rFonts w:hint="eastAsia" w:ascii="宋体" w:hAnsi="宋体" w:eastAsia="宋体" w:cs="宋体"/>
                <w:color w:val="auto"/>
                <w:sz w:val="21"/>
                <w:szCs w:val="21"/>
                <w:highlight w:val="none"/>
                <w:lang w:val="en-US" w:eastAsia="zh-CN" w:bidi="ar-SA"/>
              </w:rPr>
              <w:t xml:space="preserve">质量保证措施</w:t>
            </w:r>
            <w:r/>
          </w:p>
        </w:tc>
        <w:tc>
          <w:tcPr>
            <w:tcBorders>
              <w:top w:val="single" w:color="auto" w:sz="6" w:space="0"/>
              <w:left w:val="single" w:color="auto" w:sz="6" w:space="0"/>
              <w:bottom w:val="single" w:color="auto" w:sz="6" w:space="0"/>
              <w:right w:val="single" w:color="auto" w:sz="6" w:space="0"/>
            </w:tcBorders>
            <w:tcW w:w="5120"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根据各投标人响应文件的相关内容对其质量保证措施、质量控制人员、质量保障机构等</w:t>
            </w:r>
            <w:r>
              <w:rPr>
                <w:rFonts w:hint="eastAsia" w:ascii="宋体" w:hAnsi="宋体" w:eastAsia="宋体" w:cs="宋体"/>
                <w:b w:val="0"/>
                <w:bCs w:val="0"/>
                <w:color w:val="auto"/>
                <w:sz w:val="21"/>
                <w:szCs w:val="21"/>
                <w:lang w:val="en-US" w:eastAsia="zh-CN" w:bidi="ar-SA"/>
              </w:rPr>
              <w:t xml:space="preserve">进行评分</w:t>
            </w:r>
            <w:r>
              <w:rPr>
                <w:rFonts w:hint="eastAsia" w:ascii="宋体" w:hAnsi="宋体" w:eastAsia="宋体" w:cs="宋体"/>
                <w:color w:val="auto"/>
                <w:sz w:val="21"/>
                <w:szCs w:val="21"/>
                <w:highlight w:val="none"/>
                <w:lang w:val="en-US" w:eastAsia="zh-CN" w:bidi="ar-SA"/>
              </w:rPr>
              <w:t xml:space="preserve">：</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人员投入充足，机构健全，措施全面可行的，得7分；</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人员投入一般，机构较为健全，措施一般的，得4分；</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人员投入不合理，措施不全面，机构不健全的，得2分；</w:t>
            </w:r>
            <w:r/>
          </w:p>
          <w:p>
            <w:pPr>
              <w:ind w:firstLine="0"/>
              <w:jc w:val="both"/>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color w:val="auto"/>
                <w:sz w:val="21"/>
                <w:szCs w:val="21"/>
                <w:highlight w:val="none"/>
                <w:lang w:val="en-US" w:eastAsia="zh-CN" w:bidi="ar-SA"/>
              </w:rPr>
              <w:t xml:space="preserve">没有内容不得分。</w:t>
            </w:r>
            <w:r/>
          </w:p>
        </w:tc>
        <w:tc>
          <w:tcPr>
            <w:tcBorders>
              <w:top w:val="single" w:color="auto" w:sz="6" w:space="0"/>
              <w:left w:val="single" w:color="auto" w:sz="6" w:space="0"/>
              <w:bottom w:val="single" w:color="auto" w:sz="6" w:space="0"/>
              <w:right w:val="single" w:color="auto" w:sz="8" w:space="0"/>
            </w:tcBorders>
            <w:tcW w:w="1053"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r>
      <w:tr>
        <w:trPr>
          <w:jc w:val="center"/>
        </w:trPr>
        <w:tc>
          <w:tcPr>
            <w:tcBorders>
              <w:left w:val="single" w:color="auto" w:sz="8" w:space="0"/>
              <w:right w:val="single" w:color="auto" w:sz="6" w:space="0"/>
            </w:tcBorders>
            <w:tcW w:w="1217" w:type="dxa"/>
            <w:vAlign w:val="center"/>
            <w:vMerge w:val="continue"/>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29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bidi="ar-SA"/>
              </w:rPr>
              <w:t xml:space="preserve">安全保密措施</w:t>
            </w:r>
            <w:r/>
          </w:p>
        </w:tc>
        <w:tc>
          <w:tcPr>
            <w:tcBorders>
              <w:top w:val="single" w:color="auto" w:sz="6" w:space="0"/>
              <w:left w:val="single" w:color="auto" w:sz="6" w:space="0"/>
              <w:bottom w:val="single" w:color="auto" w:sz="6" w:space="0"/>
              <w:right w:val="single" w:color="auto" w:sz="6" w:space="0"/>
            </w:tcBorders>
            <w:tcW w:w="5120"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根据各投标人响应文件中安全保密措施等</w:t>
            </w:r>
            <w:r>
              <w:rPr>
                <w:rFonts w:hint="eastAsia" w:ascii="宋体" w:hAnsi="宋体" w:eastAsia="宋体" w:cs="宋体"/>
                <w:b w:val="0"/>
                <w:bCs w:val="0"/>
                <w:color w:val="auto"/>
                <w:sz w:val="21"/>
                <w:szCs w:val="21"/>
                <w:lang w:val="en-US" w:eastAsia="zh-CN" w:bidi="ar-SA"/>
              </w:rPr>
              <w:t xml:space="preserve">进行评分</w:t>
            </w:r>
            <w:r>
              <w:rPr>
                <w:rFonts w:hint="eastAsia" w:ascii="宋体" w:hAnsi="宋体" w:eastAsia="宋体" w:cs="宋体"/>
                <w:color w:val="auto"/>
                <w:sz w:val="21"/>
                <w:szCs w:val="21"/>
                <w:highlight w:val="none"/>
                <w:lang w:val="en-US" w:eastAsia="zh-CN" w:bidi="ar-SA"/>
              </w:rPr>
              <w:t xml:space="preserve">：</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有明确的安全生产、安全保密措施和制度的，得7分；</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安全生产、安全保密的措施和制度一般的，得4分</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安全保密措施有缺失不完整的，得2分；</w:t>
            </w:r>
            <w:r/>
          </w:p>
          <w:p>
            <w:pPr>
              <w:ind w:firstLine="0"/>
              <w:jc w:val="both"/>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color w:val="auto"/>
                <w:sz w:val="21"/>
                <w:szCs w:val="21"/>
                <w:highlight w:val="none"/>
                <w:lang w:val="en-US" w:eastAsia="zh-CN" w:bidi="ar-SA"/>
              </w:rPr>
              <w:t xml:space="preserve">没有内容不得分。</w:t>
            </w:r>
            <w:r/>
          </w:p>
        </w:tc>
        <w:tc>
          <w:tcPr>
            <w:tcBorders>
              <w:top w:val="single" w:color="auto" w:sz="6" w:space="0"/>
              <w:left w:val="single" w:color="auto" w:sz="6" w:space="0"/>
              <w:bottom w:val="single" w:color="auto" w:sz="6" w:space="0"/>
              <w:right w:val="single" w:color="auto" w:sz="8" w:space="0"/>
            </w:tcBorders>
            <w:tcW w:w="105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p>
        </w:tc>
      </w:tr>
      <w:tr>
        <w:trPr>
          <w:jc w:val="center"/>
          <w:trHeight w:val="2317"/>
        </w:trPr>
        <w:tc>
          <w:tcPr>
            <w:tcBorders>
              <w:left w:val="single" w:color="auto" w:sz="8" w:space="0"/>
              <w:right w:val="single" w:color="auto" w:sz="6" w:space="0"/>
            </w:tcBorders>
            <w:tcW w:w="1217" w:type="dxa"/>
            <w:vAlign w:val="center"/>
            <w:vMerge w:val="continue"/>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right w:val="single" w:color="auto" w:sz="6" w:space="0"/>
            </w:tcBorders>
            <w:tcW w:w="129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bidi="ar-SA"/>
              </w:rPr>
              <w:t xml:space="preserve">重点和难点分析</w:t>
            </w:r>
            <w:r/>
          </w:p>
        </w:tc>
        <w:tc>
          <w:tcPr>
            <w:tcBorders>
              <w:top w:val="single" w:color="auto" w:sz="6" w:space="0"/>
              <w:left w:val="single" w:color="auto" w:sz="6" w:space="0"/>
              <w:right w:val="single" w:color="auto" w:sz="6" w:space="0"/>
            </w:tcBorders>
            <w:tcW w:w="5120" w:type="dxa"/>
            <w:vAlign w:val="top"/>
            <w:textDirection w:val="lrTb"/>
            <w:noWrap w:val="false"/>
          </w:tcPr>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根据各投标人响应文件中重难点的分析和建议</w:t>
            </w:r>
            <w:r>
              <w:rPr>
                <w:rFonts w:hint="eastAsia" w:ascii="宋体" w:hAnsi="宋体" w:eastAsia="宋体" w:cs="宋体"/>
                <w:b w:val="0"/>
                <w:bCs w:val="0"/>
                <w:color w:val="auto"/>
                <w:sz w:val="21"/>
                <w:szCs w:val="21"/>
                <w:lang w:val="en-US" w:eastAsia="zh-CN" w:bidi="ar-SA"/>
              </w:rPr>
              <w:t xml:space="preserve">进行评分</w:t>
            </w:r>
            <w:r>
              <w:rPr>
                <w:rFonts w:hint="eastAsia" w:ascii="宋体" w:hAnsi="宋体" w:eastAsia="宋体" w:cs="宋体"/>
                <w:color w:val="auto"/>
                <w:sz w:val="21"/>
                <w:szCs w:val="21"/>
                <w:highlight w:val="none"/>
                <w:lang w:val="en-US" w:eastAsia="zh-CN" w:bidi="ar-SA"/>
              </w:rPr>
              <w:t xml:space="preserve">：</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重难点分析合理，提出的建议科学合理，得6分；</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重难点分析基本合理，提出的建议基本满足要求，得3分；</w:t>
            </w:r>
            <w:r/>
          </w:p>
          <w:p>
            <w:pPr>
              <w:ind w:firstLine="0"/>
              <w:jc w:val="both"/>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重难点分析较为简单，提出的建议较少，得1分；</w:t>
            </w:r>
            <w:r/>
          </w:p>
          <w:p>
            <w:pPr>
              <w:ind w:firstLine="0"/>
              <w:jc w:val="both"/>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color w:val="auto"/>
                <w:sz w:val="21"/>
                <w:szCs w:val="21"/>
                <w:highlight w:val="none"/>
                <w:lang w:val="zh-CN" w:eastAsia="zh-CN" w:bidi="en-US"/>
              </w:rPr>
              <w:t xml:space="preserve">没有内容不得分。</w:t>
            </w:r>
            <w:r/>
          </w:p>
        </w:tc>
        <w:tc>
          <w:tcPr>
            <w:tcBorders>
              <w:top w:val="single" w:color="auto" w:sz="6" w:space="0"/>
              <w:left w:val="single" w:color="auto" w:sz="6" w:space="0"/>
              <w:bottom w:val="single" w:color="auto" w:sz="6" w:space="0"/>
              <w:right w:val="single" w:color="auto" w:sz="8" w:space="0"/>
            </w:tcBorders>
            <w:tcW w:w="105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r>
      <w:tr>
        <w:trPr>
          <w:jc w:val="center"/>
          <w:trHeight w:val="2048"/>
        </w:trPr>
        <w:tc>
          <w:tcPr>
            <w:tcBorders>
              <w:left w:val="single" w:color="auto" w:sz="8" w:space="0"/>
              <w:right w:val="single" w:color="auto" w:sz="6" w:space="0"/>
            </w:tcBorders>
            <w:tcW w:w="1217" w:type="dxa"/>
            <w:vAlign w:val="center"/>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right w:val="single" w:color="auto" w:sz="6" w:space="0"/>
            </w:tcBorders>
            <w:tcW w:w="129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rPr>
              <w:t xml:space="preserve">服务承诺</w:t>
            </w:r>
            <w:r/>
          </w:p>
        </w:tc>
        <w:tc>
          <w:tcPr>
            <w:tcBorders>
              <w:top w:val="single" w:color="auto" w:sz="6" w:space="0"/>
              <w:left w:val="single" w:color="auto" w:sz="6" w:space="0"/>
              <w:right w:val="single" w:color="auto" w:sz="6" w:space="0"/>
            </w:tcBorders>
            <w:tcW w:w="512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根据投标人对人员数量、仪器设备、项目进度、成果质量、项目实施过程中和项目完成后为采购人提供的额外服务等承诺的针对性，是否对项目实施有利进行综合评定，</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服务承诺覆盖全面、针对性强的，得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服务承诺覆盖面</w:t>
            </w:r>
            <w:r>
              <w:rPr>
                <w:rFonts w:hint="eastAsia" w:ascii="宋体" w:hAnsi="宋体" w:eastAsia="宋体" w:cs="宋体"/>
                <w:sz w:val="21"/>
                <w:szCs w:val="21"/>
                <w:lang w:val="en-US" w:eastAsia="zh-CN"/>
              </w:rPr>
              <w:t xml:space="preserve">较完整</w:t>
            </w:r>
            <w:r>
              <w:rPr>
                <w:rFonts w:hint="eastAsia" w:ascii="宋体" w:hAnsi="宋体" w:eastAsia="宋体" w:cs="宋体"/>
                <w:sz w:val="21"/>
                <w:szCs w:val="21"/>
                <w:lang w:eastAsia="zh-CN"/>
              </w:rPr>
              <w:t xml:space="preserve">、针对性</w:t>
            </w:r>
            <w:r>
              <w:rPr>
                <w:rFonts w:hint="eastAsia" w:ascii="宋体" w:hAnsi="宋体" w:eastAsia="宋体" w:cs="宋体"/>
                <w:sz w:val="21"/>
                <w:szCs w:val="21"/>
                <w:lang w:val="en-US" w:eastAsia="zh-CN"/>
              </w:rPr>
              <w:t xml:space="preserve">较强</w:t>
            </w:r>
            <w:r>
              <w:rPr>
                <w:rFonts w:hint="eastAsia" w:ascii="宋体" w:hAnsi="宋体" w:eastAsia="宋体" w:cs="宋体"/>
                <w:sz w:val="21"/>
                <w:szCs w:val="21"/>
                <w:lang w:eastAsia="zh-CN"/>
              </w:rPr>
              <w:t xml:space="preserve">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服务承诺</w:t>
            </w:r>
            <w:r>
              <w:rPr>
                <w:rFonts w:hint="eastAsia" w:ascii="宋体" w:hAnsi="宋体" w:eastAsia="宋体" w:cs="宋体"/>
                <w:sz w:val="21"/>
                <w:szCs w:val="21"/>
                <w:lang w:val="en-US" w:eastAsia="zh-CN"/>
              </w:rPr>
              <w:t xml:space="preserve">一般</w:t>
            </w:r>
            <w:r>
              <w:rPr>
                <w:rFonts w:hint="eastAsia" w:ascii="宋体" w:hAnsi="宋体" w:eastAsia="宋体" w:cs="宋体"/>
                <w:sz w:val="21"/>
                <w:szCs w:val="21"/>
                <w:lang w:eastAsia="zh-CN"/>
              </w:rPr>
              <w:t xml:space="preserve">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分</w:t>
            </w:r>
            <w:r/>
          </w:p>
          <w:p>
            <w:pPr>
              <w:ind w:firstLine="0"/>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lang w:eastAsia="zh-CN"/>
              </w:rPr>
              <w:t xml:space="preserve">方案编制有重大偏离的或没有内容的不得分。</w:t>
            </w:r>
            <w:r/>
          </w:p>
        </w:tc>
        <w:tc>
          <w:tcPr>
            <w:tcBorders>
              <w:top w:val="single" w:color="auto" w:sz="6" w:space="0"/>
              <w:left w:val="single" w:color="auto" w:sz="6" w:space="0"/>
              <w:bottom w:val="single" w:color="auto" w:sz="6" w:space="0"/>
              <w:right w:val="single" w:color="auto" w:sz="8" w:space="0"/>
            </w:tcBorders>
            <w:tcW w:w="1053"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r>
      <w:tr>
        <w:trPr>
          <w:jc w:val="center"/>
          <w:trHeight w:val="906"/>
        </w:trPr>
        <w:tc>
          <w:tcPr>
            <w:tcBorders>
              <w:top w:val="single" w:color="auto" w:sz="6" w:space="0"/>
              <w:left w:val="single" w:color="auto" w:sz="8" w:space="0"/>
              <w:right w:val="single" w:color="auto" w:sz="6" w:space="0"/>
            </w:tcBorders>
            <w:tcW w:w="1217"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商务部分</w:t>
            </w:r>
            <w:r/>
          </w:p>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36</w:t>
            </w:r>
            <w:r>
              <w:rPr>
                <w:rFonts w:hint="eastAsia" w:ascii="宋体" w:hAnsi="宋体" w:eastAsia="宋体" w:cs="宋体"/>
                <w:sz w:val="21"/>
                <w:szCs w:val="21"/>
              </w:rPr>
              <w:t xml:space="preserve">分）</w:t>
            </w:r>
            <w:r/>
          </w:p>
        </w:tc>
        <w:tc>
          <w:tcPr>
            <w:tcBorders>
              <w:top w:val="single" w:color="auto" w:sz="6" w:space="0"/>
              <w:left w:val="single" w:color="auto" w:sz="6" w:space="0"/>
              <w:right w:val="single" w:color="auto" w:sz="6" w:space="0"/>
            </w:tcBorders>
            <w:tcW w:w="129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人员配备</w:t>
            </w:r>
            <w:r/>
          </w:p>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right w:val="single" w:color="auto" w:sz="6" w:space="0"/>
            </w:tcBorders>
            <w:tcW w:w="512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项目负责人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具有高级工程师</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职称</w:t>
            </w:r>
            <w:r>
              <w:rPr>
                <w:rFonts w:hint="eastAsia" w:ascii="宋体" w:hAnsi="宋体" w:eastAsia="宋体" w:cs="宋体"/>
                <w:color w:val="auto"/>
                <w:sz w:val="21"/>
                <w:szCs w:val="21"/>
                <w:highlight w:val="none"/>
                <w:lang w:val="en-US" w:eastAsia="zh-CN"/>
              </w:rPr>
              <w:t xml:space="preserve">得2分，</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rPr>
              <w:t xml:space="preserve">中级</w:t>
            </w:r>
            <w:r>
              <w:rPr>
                <w:rFonts w:hint="eastAsia" w:ascii="宋体" w:hAnsi="宋体" w:eastAsia="宋体" w:cs="宋体"/>
                <w:color w:val="auto"/>
                <w:sz w:val="21"/>
                <w:szCs w:val="21"/>
                <w:highlight w:val="none"/>
              </w:rPr>
              <w:t xml:space="preserve">工程师职称</w:t>
            </w:r>
            <w:r>
              <w:rPr>
                <w:rFonts w:hint="eastAsia" w:ascii="宋体" w:hAnsi="宋体" w:eastAsia="宋体" w:cs="宋体"/>
                <w:color w:val="auto"/>
                <w:sz w:val="21"/>
                <w:szCs w:val="21"/>
                <w:highlight w:val="none"/>
                <w:lang w:val="en-US" w:eastAsia="zh-CN"/>
              </w:rPr>
              <w:t xml:space="preserve">得1分；具有</w:t>
            </w:r>
            <w:r>
              <w:rPr>
                <w:rFonts w:hint="eastAsia" w:ascii="宋体" w:hAnsi="宋体" w:eastAsia="宋体" w:cs="宋体"/>
                <w:color w:val="auto"/>
                <w:sz w:val="21"/>
                <w:szCs w:val="21"/>
                <w:highlight w:val="none"/>
              </w:rPr>
              <w:t xml:space="preserve">注册测绘师得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最高得3分</w:t>
            </w:r>
            <w:r>
              <w:rPr>
                <w:rFonts w:hint="eastAsia" w:ascii="宋体" w:hAnsi="宋体" w:eastAsia="宋体" w:cs="宋体"/>
                <w:color w:val="auto"/>
                <w:sz w:val="21"/>
                <w:szCs w:val="21"/>
                <w:highlight w:val="none"/>
              </w:rPr>
              <w:t xml:space="preserve">。</w:t>
            </w:r>
            <w:r/>
          </w:p>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技术负责人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除项目负责人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具有高级工程师</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职称</w:t>
            </w:r>
            <w:r>
              <w:rPr>
                <w:rFonts w:hint="eastAsia" w:ascii="宋体" w:hAnsi="宋体" w:eastAsia="宋体" w:cs="宋体"/>
                <w:color w:val="auto"/>
                <w:sz w:val="21"/>
                <w:szCs w:val="21"/>
                <w:highlight w:val="none"/>
                <w:lang w:val="en-US" w:eastAsia="zh-CN"/>
              </w:rPr>
              <w:t xml:space="preserve">得2分，</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rPr>
              <w:t xml:space="preserve">中级</w:t>
            </w:r>
            <w:r>
              <w:rPr>
                <w:rFonts w:hint="eastAsia" w:ascii="宋体" w:hAnsi="宋体" w:eastAsia="宋体" w:cs="宋体"/>
                <w:color w:val="auto"/>
                <w:sz w:val="21"/>
                <w:szCs w:val="21"/>
                <w:highlight w:val="none"/>
              </w:rPr>
              <w:t xml:space="preserve">工程师职称</w:t>
            </w:r>
            <w:r>
              <w:rPr>
                <w:rFonts w:hint="eastAsia" w:ascii="宋体" w:hAnsi="宋体" w:eastAsia="宋体" w:cs="宋体"/>
                <w:color w:val="auto"/>
                <w:sz w:val="21"/>
                <w:szCs w:val="21"/>
                <w:highlight w:val="none"/>
                <w:lang w:val="en-US" w:eastAsia="zh-CN"/>
              </w:rPr>
              <w:t xml:space="preserve">得1分；具有</w:t>
            </w:r>
            <w:r>
              <w:rPr>
                <w:rFonts w:hint="eastAsia" w:ascii="宋体" w:hAnsi="宋体" w:eastAsia="宋体" w:cs="宋体"/>
                <w:color w:val="auto"/>
                <w:sz w:val="21"/>
                <w:szCs w:val="21"/>
                <w:highlight w:val="none"/>
              </w:rPr>
              <w:t xml:space="preserve">注册测绘师得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最高得3分</w:t>
            </w:r>
            <w:r>
              <w:rPr>
                <w:rFonts w:hint="eastAsia" w:ascii="宋体" w:hAnsi="宋体" w:eastAsia="宋体" w:cs="宋体"/>
                <w:color w:val="auto"/>
                <w:sz w:val="21"/>
                <w:szCs w:val="21"/>
                <w:highlight w:val="none"/>
              </w:rPr>
              <w:t xml:space="preserve">。</w:t>
            </w:r>
            <w:r/>
          </w:p>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其他技术人员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rPr>
              <w:t xml:space="preserve">中级</w:t>
            </w:r>
            <w:r>
              <w:rPr>
                <w:rFonts w:hint="eastAsia" w:ascii="宋体" w:hAnsi="宋体" w:eastAsia="宋体" w:cs="宋体"/>
                <w:color w:val="auto"/>
                <w:sz w:val="21"/>
                <w:szCs w:val="21"/>
                <w:highlight w:val="none"/>
              </w:rPr>
              <w:t xml:space="preserve">工程师</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以上职称的，每有1人得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jc w:val="left"/>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注：</w:t>
            </w:r>
            <w:r>
              <w:rPr>
                <w:rFonts w:hint="eastAsia" w:ascii="宋体" w:hAnsi="宋体" w:eastAsia="宋体" w:cs="宋体"/>
                <w:b/>
                <w:bCs/>
                <w:sz w:val="21"/>
                <w:szCs w:val="21"/>
                <w:lang w:eastAsia="zh-CN"/>
              </w:rPr>
              <w:t xml:space="preserve">上述人员不可重复计算，</w:t>
            </w:r>
            <w:r>
              <w:rPr>
                <w:rFonts w:hint="eastAsia" w:ascii="宋体" w:hAnsi="宋体" w:eastAsia="宋体" w:cs="宋体"/>
                <w:b/>
                <w:bCs/>
                <w:sz w:val="21"/>
                <w:szCs w:val="21"/>
                <w:lang w:val="en-US" w:eastAsia="zh-CN"/>
              </w:rPr>
              <w:t xml:space="preserve">同时</w:t>
            </w:r>
            <w:r>
              <w:rPr>
                <w:rFonts w:hint="eastAsia" w:ascii="宋体" w:hAnsi="宋体" w:eastAsia="宋体" w:cs="宋体"/>
                <w:b/>
                <w:bCs/>
                <w:sz w:val="21"/>
                <w:szCs w:val="21"/>
                <w:lang w:eastAsia="zh-CN"/>
              </w:rPr>
              <w:t xml:space="preserve">提供相应证书原件彩色扫描</w:t>
            </w:r>
            <w:r>
              <w:rPr>
                <w:rFonts w:hint="eastAsia" w:ascii="宋体" w:hAnsi="宋体" w:eastAsia="宋体" w:cs="宋体"/>
                <w:b/>
                <w:bCs/>
                <w:sz w:val="21"/>
                <w:szCs w:val="21"/>
                <w:lang w:val="en-US" w:eastAsia="zh-CN"/>
              </w:rPr>
              <w:t xml:space="preserve">件以及以上人员为本单位正式员工的承诺函，未按要求提供不得分。</w:t>
            </w:r>
            <w:r/>
          </w:p>
        </w:tc>
        <w:tc>
          <w:tcPr>
            <w:tcBorders>
              <w:top w:val="single" w:color="auto" w:sz="6" w:space="0"/>
              <w:left w:val="single" w:color="auto" w:sz="6" w:space="0"/>
              <w:right w:val="single" w:color="auto" w:sz="8" w:space="0"/>
            </w:tcBorders>
            <w:tcW w:w="1053"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p>
        </w:tc>
      </w:tr>
      <w:tr>
        <w:trPr>
          <w:jc w:val="center"/>
        </w:trPr>
        <w:tc>
          <w:tcPr>
            <w:tcBorders>
              <w:left w:val="single" w:color="auto" w:sz="8" w:space="0"/>
              <w:right w:val="single" w:color="auto" w:sz="6" w:space="0"/>
            </w:tcBorders>
            <w:tcW w:w="1217" w:type="dxa"/>
            <w:vAlign w:val="center"/>
            <w:vMerge w:val="continue"/>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29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体系认证</w:t>
            </w:r>
            <w:r/>
          </w:p>
          <w:p>
            <w:pPr>
              <w:ind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5120" w:type="dxa"/>
            <w:vAlign w:val="top"/>
            <w:textDirection w:val="lrTb"/>
            <w:noWrap w:val="false"/>
          </w:tcPr>
          <w:p>
            <w:pPr>
              <w:keepLines w:val="0"/>
              <w:keepNext w:val="0"/>
              <w:pageBreakBefore w:val="0"/>
              <w:spacing w:line="240" w:lineRule="auto"/>
              <w:widowControl w:val="off"/>
              <w:rPr>
                <w:rFonts w:hint="eastAsia" w:ascii="宋体" w:hAnsi="宋体" w:eastAsia="宋体" w:cs="宋体"/>
                <w:bCs/>
                <w:color w:val="auto"/>
                <w:sz w:val="21"/>
                <w:szCs w:val="21"/>
              </w:rPr>
            </w:pPr>
            <w:r>
              <w:rPr>
                <w:rFonts w:hint="eastAsia" w:ascii="宋体" w:hAnsi="宋体" w:eastAsia="宋体" w:cs="宋体"/>
                <w:color w:val="auto"/>
                <w:sz w:val="21"/>
                <w:szCs w:val="21"/>
                <w:highlight w:val="none"/>
                <w:lang w:val="en-US" w:eastAsia="zh-CN" w:bidi="ar-SA"/>
              </w:rPr>
              <w:t xml:space="preserve">1.供应商</w:t>
            </w:r>
            <w:r>
              <w:rPr>
                <w:rFonts w:hint="eastAsia" w:ascii="宋体" w:hAnsi="宋体" w:eastAsia="宋体" w:cs="宋体"/>
                <w:bCs/>
                <w:color w:val="auto"/>
                <w:sz w:val="21"/>
                <w:szCs w:val="21"/>
              </w:rPr>
              <w:t xml:space="preserve">具有质量管理体系认证证书，得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rPr>
              <w:t xml:space="preserve">分，没有不得分。</w:t>
            </w:r>
            <w:r/>
          </w:p>
          <w:p>
            <w:pPr>
              <w:keepLines w:val="0"/>
              <w:keepNext w:val="0"/>
              <w:pageBreakBefore w:val="0"/>
              <w:spacing w:line="240" w:lineRule="auto"/>
              <w:widowControl w:val="off"/>
              <w:rPr>
                <w:rFonts w:hint="eastAsia" w:ascii="宋体" w:hAnsi="宋体" w:eastAsia="宋体" w:cs="宋体"/>
                <w:bCs/>
                <w:color w:val="auto"/>
                <w:sz w:val="21"/>
                <w:szCs w:val="21"/>
              </w:rPr>
            </w:pPr>
            <w:r>
              <w:rPr>
                <w:rFonts w:hint="eastAsia" w:ascii="宋体" w:hAnsi="宋体" w:eastAsia="宋体" w:cs="宋体"/>
                <w:color w:val="auto"/>
                <w:sz w:val="21"/>
                <w:szCs w:val="21"/>
                <w:highlight w:val="none"/>
                <w:lang w:val="en-US" w:eastAsia="zh-CN" w:bidi="ar-SA"/>
              </w:rPr>
              <w:t xml:space="preserve">2.供应商</w:t>
            </w:r>
            <w:r>
              <w:rPr>
                <w:rFonts w:hint="eastAsia" w:ascii="宋体" w:hAnsi="宋体" w:eastAsia="宋体" w:cs="宋体"/>
                <w:bCs/>
                <w:color w:val="auto"/>
                <w:sz w:val="21"/>
                <w:szCs w:val="21"/>
              </w:rPr>
              <w:t xml:space="preserve">具有信息安全管理系认证证书，得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rPr>
              <w:t xml:space="preserve">分，没有不得分。</w:t>
            </w:r>
            <w:r/>
          </w:p>
          <w:p>
            <w:pPr>
              <w:keepLines w:val="0"/>
              <w:keepNext w:val="0"/>
              <w:pageBreakBefore w:val="0"/>
              <w:spacing w:line="240" w:lineRule="auto"/>
              <w:widowControl w:val="off"/>
              <w:rPr>
                <w:rFonts w:hint="eastAsia" w:ascii="宋体" w:hAnsi="宋体" w:eastAsia="宋体" w:cs="宋体"/>
                <w:bCs/>
                <w:color w:val="auto"/>
                <w:sz w:val="21"/>
                <w:szCs w:val="21"/>
              </w:rPr>
            </w:pPr>
            <w:r>
              <w:rPr>
                <w:rFonts w:hint="eastAsia" w:ascii="宋体" w:hAnsi="宋体" w:eastAsia="宋体" w:cs="宋体"/>
                <w:color w:val="auto"/>
                <w:sz w:val="21"/>
                <w:szCs w:val="21"/>
                <w:highlight w:val="none"/>
                <w:lang w:val="en-US" w:eastAsia="zh-CN" w:bidi="ar-SA"/>
              </w:rPr>
              <w:t xml:space="preserve">3.供应商</w:t>
            </w:r>
            <w:r>
              <w:rPr>
                <w:rFonts w:hint="eastAsia" w:ascii="宋体" w:hAnsi="宋体" w:eastAsia="宋体" w:cs="宋体"/>
                <w:bCs/>
                <w:color w:val="auto"/>
                <w:sz w:val="21"/>
                <w:szCs w:val="21"/>
              </w:rPr>
              <w:t xml:space="preserve">具有信息</w:t>
            </w:r>
            <w:r>
              <w:rPr>
                <w:rFonts w:hint="eastAsia" w:ascii="宋体" w:hAnsi="宋体" w:eastAsia="宋体" w:cs="宋体"/>
                <w:bCs/>
                <w:color w:val="auto"/>
                <w:sz w:val="21"/>
                <w:szCs w:val="21"/>
                <w:lang w:val="en-US" w:eastAsia="zh-CN"/>
              </w:rPr>
              <w:t xml:space="preserve">技术</w:t>
            </w:r>
            <w:r>
              <w:rPr>
                <w:rFonts w:hint="eastAsia" w:ascii="宋体" w:hAnsi="宋体" w:eastAsia="宋体" w:cs="宋体"/>
                <w:bCs/>
                <w:color w:val="auto"/>
                <w:sz w:val="21"/>
                <w:szCs w:val="21"/>
              </w:rPr>
              <w:t xml:space="preserve">管理体系认证证书，得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rPr>
              <w:t xml:space="preserve">分，没有不得分。</w:t>
            </w:r>
            <w:r/>
          </w:p>
          <w:p>
            <w:pPr>
              <w:keepLines w:val="0"/>
              <w:keepNext w:val="0"/>
              <w:pageBreakBefore w:val="0"/>
              <w:spacing w:line="240" w:lineRule="auto"/>
              <w:widowControl w:val="off"/>
              <w:rPr>
                <w:rFonts w:hint="eastAsia" w:ascii="宋体" w:hAnsi="宋体" w:eastAsia="宋体" w:cs="宋体"/>
                <w:bCs/>
                <w:color w:val="auto"/>
                <w:sz w:val="21"/>
                <w:szCs w:val="21"/>
                <w:lang w:eastAsia="zh-CN"/>
              </w:rPr>
            </w:pPr>
            <w:r>
              <w:rPr>
                <w:rFonts w:hint="eastAsia" w:ascii="宋体" w:hAnsi="宋体" w:eastAsia="宋体" w:cs="宋体"/>
                <w:color w:val="auto"/>
                <w:sz w:val="21"/>
                <w:szCs w:val="21"/>
                <w:highlight w:val="none"/>
                <w:lang w:val="en-US" w:eastAsia="zh-CN" w:bidi="ar-SA"/>
              </w:rPr>
              <w:t xml:space="preserve">4.供应商</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rPr>
              <w:t xml:space="preserve">行政主管部门颁发的</w:t>
            </w:r>
            <w:r>
              <w:rPr>
                <w:rFonts w:hint="eastAsia" w:ascii="宋体" w:hAnsi="宋体" w:eastAsia="宋体" w:cs="宋体"/>
                <w:color w:val="auto"/>
                <w:sz w:val="21"/>
                <w:szCs w:val="21"/>
                <w:highlight w:val="none"/>
              </w:rPr>
              <w:t xml:space="preserve">涉密</w:t>
            </w:r>
            <w:r>
              <w:rPr>
                <w:rFonts w:hint="eastAsia" w:ascii="宋体" w:hAnsi="宋体" w:eastAsia="宋体" w:cs="宋体"/>
                <w:color w:val="auto"/>
                <w:sz w:val="21"/>
                <w:szCs w:val="21"/>
                <w:highlight w:val="none"/>
                <w:lang w:val="en-US" w:eastAsia="zh-CN"/>
              </w:rPr>
              <w:t xml:space="preserve">相关证书</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1"/>
              </w:rPr>
              <w:t xml:space="preserve">没有不得分</w:t>
            </w:r>
            <w:r>
              <w:rPr>
                <w:rFonts w:hint="eastAsia" w:ascii="宋体" w:hAnsi="宋体" w:eastAsia="宋体" w:cs="宋体"/>
                <w:bCs/>
                <w:color w:val="auto"/>
                <w:sz w:val="21"/>
                <w:szCs w:val="21"/>
                <w:lang w:eastAsia="zh-CN"/>
              </w:rPr>
              <w:t xml:space="preserve">。</w:t>
            </w:r>
            <w:r/>
          </w:p>
          <w:p>
            <w:pP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b/>
                <w:bCs/>
                <w:color w:val="auto"/>
                <w:sz w:val="21"/>
                <w:szCs w:val="21"/>
                <w:highlight w:val="none"/>
              </w:rPr>
              <w:t xml:space="preserve">注：提供证书复印件加盖公章</w:t>
            </w:r>
            <w:r>
              <w:rPr>
                <w:rFonts w:hint="eastAsia" w:ascii="宋体" w:hAnsi="宋体" w:eastAsia="宋体" w:cs="宋体"/>
                <w:b/>
                <w:bCs/>
                <w:color w:val="auto"/>
                <w:sz w:val="21"/>
                <w:szCs w:val="21"/>
                <w:highlight w:val="none"/>
                <w:lang w:eastAsia="zh-CN"/>
              </w:rPr>
              <w:t xml:space="preserve">。</w:t>
            </w:r>
            <w:r/>
          </w:p>
        </w:tc>
        <w:tc>
          <w:tcPr>
            <w:tcBorders>
              <w:top w:val="single" w:color="auto" w:sz="6" w:space="0"/>
              <w:left w:val="single" w:color="auto" w:sz="6" w:space="0"/>
              <w:bottom w:val="single" w:color="auto" w:sz="6" w:space="0"/>
              <w:right w:val="single" w:color="auto" w:sz="8" w:space="0"/>
            </w:tcBorders>
            <w:tcW w:w="105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bidi="ar-SA"/>
              </w:rPr>
              <w:t xml:space="preserve">5</w:t>
            </w:r>
            <w:r/>
          </w:p>
        </w:tc>
      </w:tr>
      <w:tr>
        <w:trPr>
          <w:jc w:val="center"/>
        </w:trPr>
        <w:tc>
          <w:tcPr>
            <w:tcBorders>
              <w:left w:val="single" w:color="auto" w:sz="8" w:space="0"/>
              <w:right w:val="single" w:color="auto" w:sz="6" w:space="0"/>
            </w:tcBorders>
            <w:tcW w:w="1217" w:type="dxa"/>
            <w:vAlign w:val="center"/>
            <w:vMerge w:val="continue"/>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6" w:space="0"/>
              <w:left w:val="single" w:color="auto" w:sz="6" w:space="0"/>
              <w:bottom w:val="single" w:color="auto" w:sz="6" w:space="0"/>
              <w:right w:val="single" w:color="auto" w:sz="6" w:space="0"/>
            </w:tcBorders>
            <w:tcW w:w="1293"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业绩</w:t>
            </w:r>
            <w:r/>
          </w:p>
        </w:tc>
        <w:tc>
          <w:tcPr>
            <w:tcBorders>
              <w:top w:val="single" w:color="auto" w:sz="6" w:space="0"/>
              <w:left w:val="single" w:color="auto" w:sz="6" w:space="0"/>
              <w:bottom w:val="single" w:color="auto" w:sz="6" w:space="0"/>
              <w:right w:val="single" w:color="auto" w:sz="6" w:space="0"/>
            </w:tcBorders>
            <w:tcW w:w="5120"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供应商</w:t>
            </w:r>
            <w:r>
              <w:rPr>
                <w:rFonts w:hint="eastAsia" w:ascii="宋体" w:hAnsi="宋体" w:eastAsia="宋体" w:cs="宋体"/>
                <w:sz w:val="21"/>
                <w:szCs w:val="21"/>
                <w:lang w:val="en-US" w:eastAsia="zh-CN"/>
              </w:rPr>
              <w:t xml:space="preserve">近三年以来</w:t>
            </w:r>
            <w:r>
              <w:rPr>
                <w:rFonts w:hint="eastAsia" w:ascii="宋体" w:hAnsi="宋体" w:eastAsia="宋体" w:cs="宋体"/>
                <w:sz w:val="21"/>
                <w:szCs w:val="21"/>
                <w:lang w:eastAsia="zh-CN"/>
              </w:rPr>
              <w:t xml:space="preserve">（以合同签订日期为准），承担过</w:t>
            </w:r>
            <w:r>
              <w:rPr>
                <w:rFonts w:hint="eastAsia" w:ascii="宋体" w:hAnsi="宋体" w:eastAsia="宋体" w:cs="宋体"/>
                <w:sz w:val="21"/>
                <w:szCs w:val="21"/>
                <w:lang w:val="en-US" w:eastAsia="zh-CN"/>
              </w:rPr>
              <w:t xml:space="preserve">类似业绩</w:t>
            </w:r>
            <w:r>
              <w:rPr>
                <w:rFonts w:hint="eastAsia" w:ascii="宋体" w:hAnsi="宋体" w:eastAsia="宋体" w:cs="宋体"/>
                <w:sz w:val="21"/>
                <w:szCs w:val="21"/>
                <w:lang w:eastAsia="zh-CN"/>
              </w:rPr>
              <w:t xml:space="preserve">的，每提供一个得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分，最高得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eastAsia="zh-CN"/>
              </w:rPr>
              <w:t xml:space="preserve">分。</w:t>
            </w:r>
            <w:r/>
          </w:p>
          <w:p>
            <w:pPr>
              <w:ind w:left="0" w:firstLine="0"/>
              <w:jc w:val="left"/>
              <w:keepLines w:val="0"/>
              <w:keepNext w:val="0"/>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注：投标时</w:t>
            </w:r>
            <w:r>
              <w:rPr>
                <w:rFonts w:hint="eastAsia" w:ascii="宋体" w:hAnsi="宋体" w:eastAsia="宋体" w:cs="宋体"/>
                <w:b/>
                <w:bCs/>
                <w:sz w:val="21"/>
                <w:szCs w:val="21"/>
                <w:lang w:eastAsia="zh-CN"/>
              </w:rPr>
              <w:t xml:space="preserve">提供合同复印件，未按要求提供或未提供证明材料的均不得分。</w:t>
            </w:r>
            <w:r/>
          </w:p>
        </w:tc>
        <w:tc>
          <w:tcPr>
            <w:tcBorders>
              <w:top w:val="single" w:color="auto" w:sz="6" w:space="0"/>
              <w:left w:val="single" w:color="auto" w:sz="6" w:space="0"/>
              <w:bottom w:val="single" w:color="auto" w:sz="6" w:space="0"/>
              <w:right w:val="single" w:color="auto" w:sz="8" w:space="0"/>
            </w:tcBorders>
            <w:tcW w:w="1053"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r>
      <w:tr>
        <w:trPr>
          <w:jc w:val="center"/>
        </w:trPr>
        <w:tc>
          <w:tcPr>
            <w:tcBorders>
              <w:left w:val="single" w:color="auto" w:sz="8" w:space="0"/>
              <w:right w:val="single" w:color="auto" w:sz="6" w:space="0"/>
            </w:tcBorders>
            <w:tcW w:w="1217" w:type="dxa"/>
            <w:vAlign w:val="center"/>
            <w:vMerge w:val="continue"/>
            <w:textDirection w:val="lrTb"/>
            <w:noWrap w:val="false"/>
          </w:tcPr>
          <w:p>
            <w:pPr>
              <w:ind w:firstLine="0"/>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6" w:space="0"/>
              <w:left w:val="single" w:color="auto" w:sz="6" w:space="0"/>
              <w:bottom w:val="single" w:color="auto" w:sz="6" w:space="0"/>
              <w:right w:val="single" w:color="auto" w:sz="6" w:space="0"/>
            </w:tcBorders>
            <w:tcW w:w="12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仪器设备</w:t>
            </w:r>
            <w:r/>
          </w:p>
          <w:p>
            <w:pPr>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512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rPr>
              <w:t xml:space="preserve">拥有影像数据集群处理环境的得2分；没有不得分。</w:t>
            </w:r>
            <w:r/>
          </w:p>
          <w:p>
            <w:pPr>
              <w:jc w:val="left"/>
              <w:keepLines w:val="0"/>
              <w:keepNext w:val="0"/>
              <w:pageBreakBefore w:val="0"/>
              <w:spacing w:line="24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rPr>
              <w:t xml:space="preserve">拟投入本项目的自有或租赁无人机航测设备达到 3 套及以上，且设备性能满足本项目航测精度要求的，得 2 分；1-2 套的，得 1 分；未配备的不得分。本项最高得 2 分。 </w:t>
            </w:r>
            <w:r/>
          </w:p>
          <w:p>
            <w:pPr>
              <w:jc w:val="left"/>
              <w:keepLines w:val="0"/>
              <w:keepNext w:val="0"/>
              <w:pageBreakBefore w:val="0"/>
              <w:spacing w:line="24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拥有目前主流的倾斜摄影三维模型数据处理软件（如Smart3D、ContextCapture、街景工厂、PhotoMesh等）得2分；本项最高得2分，没有不得分。</w:t>
            </w:r>
            <w:r/>
          </w:p>
          <w:p>
            <w:pPr>
              <w:jc w:val="left"/>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b/>
                <w:bCs/>
                <w:color w:val="auto"/>
                <w:sz w:val="21"/>
                <w:szCs w:val="21"/>
              </w:rPr>
              <w:t xml:space="preserve">注：须提供相关软硬件的购置合同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租赁合同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rPr>
              <w:t xml:space="preserve">或发票的复印件并加盖单位公章，否则不得分。</w:t>
            </w:r>
            <w:r/>
          </w:p>
        </w:tc>
        <w:tc>
          <w:tcPr>
            <w:tcBorders>
              <w:top w:val="single" w:color="auto" w:sz="6" w:space="0"/>
              <w:left w:val="single" w:color="auto" w:sz="6" w:space="0"/>
              <w:bottom w:val="single" w:color="auto" w:sz="6" w:space="0"/>
              <w:right w:val="single" w:color="auto" w:sz="8" w:space="0"/>
            </w:tcBorders>
            <w:tcW w:w="1053"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bl>
    <w:p>
      <w:pP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numPr>
          <w:ilvl w:val="0"/>
          <w:numId w:val="0"/>
        </w:numPr>
        <w:jc w:val="both"/>
        <w:rPr>
          <w:rFonts w:hint="default" w:ascii="仿宋" w:hAnsi="仿宋" w:eastAsia="仿宋" w:cs="仿宋"/>
          <w:b w:val="0"/>
          <w:bCs w:val="0"/>
          <w:sz w:val="32"/>
          <w:szCs w:val="32"/>
          <w:lang w:val="en-US" w:eastAsia="zh-CN" w:bidi="ar-SA"/>
        </w:rPr>
      </w:pPr>
      <w:r>
        <w:rPr>
          <w:rFonts w:hint="default" w:ascii="仿宋" w:hAnsi="仿宋" w:eastAsia="仿宋" w:cs="仿宋"/>
          <w:b w:val="0"/>
          <w:bCs w:val="0"/>
          <w:sz w:val="32"/>
          <w:szCs w:val="32"/>
          <w:lang w:val="en-US" w:eastAsia="zh-CN" w:bidi="ar-SA"/>
        </w:rPr>
      </w:r>
      <w:r/>
    </w:p>
    <w:p>
      <w:pPr>
        <w:pStyle w:val="823"/>
        <w:spacing w:before="120" w:beforeAutospacing="0" w:after="120" w:afterAutospacing="0" w:line="360" w:lineRule="auto"/>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说明：</w:t>
      </w:r>
      <w:r/>
    </w:p>
    <w:p>
      <w:pPr>
        <w:pStyle w:val="823"/>
        <w:spacing w:before="120" w:beforeAutospacing="0" w:after="120" w:afterAutospacing="0" w:line="360" w:lineRule="auto"/>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（1）所有打分项均以投标人所提供的投标文件进行打分，投标文件中未提及的不予认可，投标文件提交截止时间后不得修改或是补充投标文件。</w:t>
      </w:r>
      <w:r/>
    </w:p>
    <w:p>
      <w:pPr>
        <w:pStyle w:val="823"/>
        <w:spacing w:before="120" w:beforeAutospacing="0" w:after="120" w:afterAutospacing="0" w:line="360" w:lineRule="auto"/>
        <w:rPr>
          <w:rFonts w:hint="eastAsia" w:asciiTheme="majorEastAsia" w:hAnsiTheme="majorEastAsia" w:eastAsiaTheme="majorEastAsia" w:cstheme="majorEastAsia"/>
        </w:rPr>
      </w:pPr>
      <w:r>
        <w:rPr>
          <w:rFonts w:hint="eastAsia" w:asciiTheme="majorEastAsia" w:hAnsiTheme="majorEastAsia" w:eastAsiaTheme="majorEastAsia" w:cstheme="majorEastAsia"/>
          <w:lang w:val="en-US" w:eastAsia="zh-CN"/>
        </w:rPr>
        <w:t xml:space="preserve">（2）</w:t>
      </w:r>
      <w:r>
        <w:rPr>
          <w:rFonts w:hint="eastAsia" w:asciiTheme="majorEastAsia" w:hAnsiTheme="majorEastAsia" w:eastAsiaTheme="majorEastAsia" w:cstheme="majorEastAsia"/>
        </w:rPr>
        <w:t xml:space="preserve">投标人的最终得分为所有评委打分的平均值，计算结果保留至小数点后两位。</w:t>
      </w:r>
      <w:r/>
    </w:p>
    <w:p>
      <w:pPr>
        <w:pStyle w:val="823"/>
        <w:spacing w:before="120" w:beforeAutospacing="0" w:after="120" w:afterAutospacing="0" w:line="360" w:lineRule="auto"/>
        <w:rPr>
          <w:rFonts w:hint="eastAsia" w:asciiTheme="majorEastAsia" w:hAnsiTheme="majorEastAsia" w:eastAsiaTheme="majorEastAsia" w:cstheme="majorEastAsia"/>
        </w:rPr>
      </w:pPr>
      <w:r>
        <w:rPr>
          <w:rFonts w:hint="eastAsia" w:asciiTheme="majorEastAsia" w:hAnsiTheme="majorEastAsia" w:eastAsiaTheme="majorEastAsia" w:cstheme="majorEastAsia"/>
          <w:lang w:eastAsia="zh-CN"/>
        </w:rPr>
        <w:t xml:space="preserve">（</w:t>
      </w:r>
      <w:r>
        <w:rPr>
          <w:rFonts w:hint="eastAsia" w:asciiTheme="majorEastAsia" w:hAnsiTheme="majorEastAsia" w:eastAsiaTheme="majorEastAsia" w:cstheme="majorEastAsia"/>
          <w:lang w:val="en-US" w:eastAsia="zh-CN"/>
        </w:rPr>
        <w:t xml:space="preserve">3</w:t>
      </w:r>
      <w:r>
        <w:rPr>
          <w:rFonts w:hint="eastAsia" w:asciiTheme="majorEastAsia" w:hAnsiTheme="majorEastAsia" w:eastAsiaTheme="majorEastAsia" w:cstheme="majorEastAsia"/>
          <w:lang w:eastAsia="zh-CN"/>
        </w:rPr>
        <w:t xml:space="preserve">）</w:t>
      </w:r>
      <w:r>
        <w:rPr>
          <w:rFonts w:hint="eastAsia" w:asciiTheme="majorEastAsia" w:hAnsiTheme="majorEastAsia" w:eastAsiaTheme="majorEastAsia" w:cstheme="majorEastAsia"/>
        </w:rPr>
        <w:t xml:space="preserve">中标后签订合同前需提供以上人员近三个月以来缴纳社会保障资金的相关材料</w:t>
      </w:r>
      <w:r>
        <w:rPr>
          <w:rFonts w:hint="eastAsia" w:asciiTheme="majorEastAsia" w:hAnsiTheme="majorEastAsia" w:eastAsiaTheme="majorEastAsia" w:cstheme="majorEastAsia"/>
          <w:lang w:val="en-US" w:eastAsia="zh-CN"/>
        </w:rPr>
        <w:t xml:space="preserve">以备采购人核查</w:t>
      </w:r>
      <w:r>
        <w:rPr>
          <w:rFonts w:hint="eastAsia" w:asciiTheme="majorEastAsia" w:hAnsiTheme="majorEastAsia" w:eastAsiaTheme="majorEastAsia" w:cstheme="majorEastAsia"/>
        </w:rPr>
        <w:t xml:space="preserve">，如有虚假，取消中标</w:t>
      </w:r>
      <w:r>
        <w:rPr>
          <w:rFonts w:hint="eastAsia" w:asciiTheme="majorEastAsia" w:hAnsiTheme="majorEastAsia" w:eastAsiaTheme="majorEastAsia" w:cstheme="majorEastAsia"/>
          <w:lang w:val="en-US" w:eastAsia="zh-CN"/>
        </w:rPr>
        <w:t xml:space="preserve">候选人</w:t>
      </w:r>
      <w:r>
        <w:rPr>
          <w:rFonts w:hint="eastAsia" w:asciiTheme="majorEastAsia" w:hAnsiTheme="majorEastAsia" w:eastAsiaTheme="majorEastAsia" w:cstheme="majorEastAsia"/>
        </w:rPr>
        <w:t xml:space="preserve">资格。</w:t>
      </w:r>
      <w:r/>
    </w:p>
    <w:p>
      <w:pPr>
        <w:pStyle w:val="823"/>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r>
      <w:r/>
    </w:p>
    <w:p>
      <w:pPr>
        <w:pStyle w:val="82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82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82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82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82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82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82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82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r>
      <w:r/>
    </w:p>
    <w:p>
      <w:pPr>
        <w:pStyle w:val="823"/>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000000"/>
          <w:sz w:val="48"/>
          <w:szCs w:val="48"/>
          <w:highlight w:val="none"/>
          <w:lang w:val="en-US" w:eastAsia="zh-CN" w:bidi="ar-SA"/>
        </w:rPr>
      </w:pPr>
      <w:r>
        <w:rPr>
          <w:rFonts w:hint="eastAsia" w:asciiTheme="majorEastAsia" w:hAnsiTheme="majorEastAsia" w:eastAsiaTheme="majorEastAsia" w:cstheme="majorEastAsia"/>
          <w:b/>
          <w:bCs/>
          <w:color w:val="000000"/>
          <w:sz w:val="48"/>
          <w:szCs w:val="48"/>
          <w:highlight w:val="none"/>
          <w:lang w:val="en-US" w:eastAsia="zh-CN" w:bidi="ar-SA"/>
        </w:rPr>
        <w:t xml:space="preserve">第六章  投标文件格式</w:t>
      </w:r>
      <w:r/>
    </w:p>
    <w:p>
      <w:pPr>
        <w:pStyle w:val="823"/>
        <w:jc w:val="center"/>
        <w:keepNext/>
        <w:spacing w:beforeAutospacing="0" w:afterAutospacing="0"/>
        <w:rPr>
          <w:rFonts w:hint="eastAsia" w:asciiTheme="majorEastAsia" w:hAnsiTheme="majorEastAsia" w:eastAsiaTheme="majorEastAsia" w:cstheme="majorEastAsia"/>
          <w:color w:val="000000"/>
          <w:sz w:val="44"/>
          <w:szCs w:val="44"/>
          <w:highlight w:val="none"/>
        </w:rPr>
      </w:pPr>
      <w:r>
        <w:rPr>
          <w:rFonts w:hint="eastAsia" w:asciiTheme="majorEastAsia" w:hAnsiTheme="majorEastAsia" w:eastAsiaTheme="majorEastAsia" w:cstheme="majorEastAsia"/>
          <w:color w:val="000000"/>
          <w:sz w:val="44"/>
          <w:szCs w:val="44"/>
          <w:highlight w:val="none"/>
        </w:rPr>
      </w:r>
      <w:r/>
    </w:p>
    <w:p>
      <w:pPr>
        <w:pStyle w:val="823"/>
        <w:jc w:val="center"/>
        <w:keepNext/>
        <w:spacing w:beforeAutospacing="0" w:afterAutospacing="0"/>
        <w:rPr>
          <w:rFonts w:hint="eastAsia" w:asciiTheme="majorEastAsia" w:hAnsiTheme="majorEastAsia" w:eastAsiaTheme="majorEastAsia" w:cstheme="majorEastAsia"/>
          <w:color w:val="000000"/>
          <w:sz w:val="44"/>
          <w:szCs w:val="44"/>
          <w:highlight w:val="none"/>
        </w:rPr>
      </w:pPr>
      <w:r>
        <w:rPr>
          <w:rFonts w:hint="eastAsia" w:asciiTheme="majorEastAsia" w:hAnsiTheme="majorEastAsia" w:eastAsiaTheme="majorEastAsia" w:cstheme="majorEastAsia"/>
          <w:color w:val="000000"/>
          <w:sz w:val="44"/>
          <w:szCs w:val="44"/>
          <w:highlight w:val="none"/>
        </w:rPr>
      </w:r>
      <w:r/>
    </w:p>
    <w:p>
      <w:pPr>
        <w:pStyle w:val="823"/>
        <w:jc w:val="center"/>
        <w:keepNext/>
        <w:spacing w:beforeAutospacing="0" w:afterAutospacing="0"/>
        <w:rPr>
          <w:rFonts w:hint="eastAsia" w:asciiTheme="majorEastAsia" w:hAnsiTheme="majorEastAsia" w:eastAsiaTheme="majorEastAsia" w:cstheme="majorEastAsia"/>
          <w:color w:val="000000"/>
          <w:sz w:val="44"/>
          <w:szCs w:val="44"/>
          <w:highlight w:val="none"/>
        </w:rPr>
      </w:pPr>
      <w:r>
        <w:rPr>
          <w:rFonts w:hint="eastAsia" w:asciiTheme="majorEastAsia" w:hAnsiTheme="majorEastAsia" w:eastAsiaTheme="majorEastAsia" w:cstheme="majorEastAsia"/>
          <w:color w:val="000000"/>
          <w:sz w:val="44"/>
          <w:szCs w:val="44"/>
          <w:highlight w:val="none"/>
        </w:rPr>
      </w:r>
      <w:r/>
    </w:p>
    <w:p>
      <w:pPr>
        <w:pStyle w:val="823"/>
        <w:jc w:val="center"/>
        <w:keepNext/>
        <w:spacing w:beforeAutospacing="0" w:afterAutospacing="0"/>
        <w:rPr>
          <w:rFonts w:hint="eastAsia" w:asciiTheme="majorEastAsia" w:hAnsiTheme="majorEastAsia" w:eastAsiaTheme="majorEastAsia" w:cstheme="majorEastAsia"/>
          <w:color w:val="000000"/>
          <w:sz w:val="44"/>
          <w:szCs w:val="44"/>
          <w:highlight w:val="none"/>
        </w:rPr>
      </w:pPr>
      <w:r>
        <w:rPr>
          <w:rFonts w:hint="eastAsia" w:asciiTheme="majorEastAsia" w:hAnsiTheme="majorEastAsia" w:eastAsiaTheme="majorEastAsia" w:cstheme="majorEastAsia"/>
          <w:color w:val="000000"/>
          <w:sz w:val="44"/>
          <w:szCs w:val="44"/>
          <w:highlight w:val="none"/>
        </w:rPr>
      </w:r>
      <w:r/>
    </w:p>
    <w:p>
      <w:pPr>
        <w:pStyle w:val="823"/>
        <w:jc w:val="center"/>
        <w:keepNext/>
        <w:spacing w:beforeAutospacing="0" w:afterAutospacing="0"/>
        <w:rPr>
          <w:rFonts w:hint="eastAsia" w:asciiTheme="majorEastAsia" w:hAnsiTheme="majorEastAsia" w:eastAsiaTheme="majorEastAsia" w:cstheme="majorEastAsia"/>
          <w:color w:val="000000"/>
          <w:sz w:val="44"/>
          <w:szCs w:val="44"/>
          <w:highlight w:val="none"/>
        </w:rPr>
      </w:pPr>
      <w:r>
        <w:rPr>
          <w:rFonts w:hint="eastAsia" w:asciiTheme="majorEastAsia" w:hAnsiTheme="majorEastAsia" w:eastAsiaTheme="majorEastAsia" w:cstheme="majorEastAsia"/>
          <w:color w:val="000000"/>
          <w:sz w:val="44"/>
          <w:szCs w:val="44"/>
          <w:highlight w:val="none"/>
        </w:rPr>
      </w:r>
      <w:r/>
    </w:p>
    <w:p>
      <w:pPr>
        <w:pStyle w:val="823"/>
        <w:jc w:val="center"/>
        <w:keepNext/>
        <w:spacing w:beforeAutospacing="0" w:afterAutospacing="0"/>
        <w:rPr>
          <w:rFonts w:hint="eastAsia" w:asciiTheme="majorEastAsia" w:hAnsiTheme="majorEastAsia" w:eastAsiaTheme="majorEastAsia" w:cstheme="majorEastAsia"/>
          <w:color w:val="000000"/>
          <w:sz w:val="44"/>
          <w:szCs w:val="44"/>
          <w:highlight w:val="none"/>
        </w:rPr>
      </w:pPr>
      <w:r>
        <w:rPr>
          <w:rFonts w:hint="eastAsia" w:asciiTheme="majorEastAsia" w:hAnsiTheme="majorEastAsia" w:eastAsiaTheme="majorEastAsia" w:cstheme="majorEastAsia"/>
          <w:color w:val="000000"/>
          <w:sz w:val="44"/>
          <w:szCs w:val="44"/>
          <w:highlight w:val="none"/>
        </w:rPr>
      </w:r>
      <w:r/>
    </w:p>
    <w:p>
      <w:pPr>
        <w:pStyle w:val="823"/>
        <w:jc w:val="center"/>
        <w:keepNext/>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44"/>
          <w:szCs w:val="44"/>
          <w:highlight w:val="none"/>
        </w:rPr>
        <w:t xml:space="preserve"> </w:t>
      </w:r>
      <w:r/>
    </w:p>
    <w:p>
      <w:pPr>
        <w:pStyle w:val="823"/>
        <w:jc w:val="center"/>
        <w:spacing w:beforeAutospacing="0" w:afterAutospacing="0"/>
        <w:rPr>
          <w:rFonts w:hint="eastAsia" w:asciiTheme="majorEastAsia" w:hAnsiTheme="majorEastAsia" w:eastAsiaTheme="majorEastAsia" w:cstheme="majorEastAsia"/>
          <w:highlight w:val="none"/>
        </w:rPr>
      </w:pPr>
      <w:r/>
      <w:bookmarkStart w:id="178" w:name="_Toc26554094"/>
      <w:r/>
      <w:bookmarkEnd w:id="178"/>
      <w:r/>
      <w:bookmarkStart w:id="179" w:name="_Hlt26955039"/>
      <w:r/>
      <w:bookmarkEnd w:id="179"/>
      <w:r/>
      <w:bookmarkStart w:id="180" w:name="_Hlt26671244"/>
      <w:r/>
      <w:bookmarkEnd w:id="180"/>
      <w:r/>
      <w:bookmarkStart w:id="181" w:name="_Toc120614282"/>
      <w:r/>
      <w:bookmarkStart w:id="182" w:name="_Toc49090576"/>
      <w:r>
        <w:rPr>
          <w:rFonts w:hint="eastAsia" w:asciiTheme="majorEastAsia" w:hAnsiTheme="majorEastAsia" w:eastAsiaTheme="majorEastAsia" w:cstheme="majorEastAsia"/>
          <w:b/>
          <w:color w:val="000000"/>
          <w:sz w:val="72"/>
          <w:szCs w:val="72"/>
          <w:highlight w:val="none"/>
        </w:rPr>
        <w:t xml:space="preserve">投  标  文  件</w:t>
      </w:r>
      <w:r/>
    </w:p>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ind w:firstLine="1084"/>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6"/>
          <w:szCs w:val="36"/>
          <w:highlight w:val="none"/>
        </w:rPr>
        <w:t xml:space="preserve">项目 名 称：</w:t>
      </w:r>
      <w:r>
        <w:rPr>
          <w:rFonts w:hint="eastAsia" w:asciiTheme="majorEastAsia" w:hAnsiTheme="majorEastAsia" w:eastAsiaTheme="majorEastAsia" w:cstheme="majorEastAsia"/>
          <w:b/>
          <w:color w:val="000000"/>
          <w:sz w:val="36"/>
          <w:szCs w:val="36"/>
          <w:highlight w:val="none"/>
          <w:u w:val="single"/>
        </w:rPr>
        <w:t xml:space="preserve">               </w:t>
      </w:r>
      <w:r/>
    </w:p>
    <w:p>
      <w:pPr>
        <w:pStyle w:val="823"/>
        <w:ind w:firstLine="1084"/>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6"/>
          <w:szCs w:val="36"/>
          <w:highlight w:val="none"/>
        </w:rPr>
        <w:t xml:space="preserve">项目 编 号：</w:t>
      </w:r>
      <w:r>
        <w:rPr>
          <w:rFonts w:hint="eastAsia" w:asciiTheme="majorEastAsia" w:hAnsiTheme="majorEastAsia" w:eastAsiaTheme="majorEastAsia" w:cstheme="majorEastAsia"/>
          <w:b/>
          <w:color w:val="000000"/>
          <w:sz w:val="36"/>
          <w:szCs w:val="36"/>
          <w:highlight w:val="none"/>
          <w:u w:val="singl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6"/>
          <w:szCs w:val="36"/>
          <w:highlight w:val="none"/>
        </w:rPr>
        <w:t xml:space="preserve">   投标人名称 ：</w:t>
      </w:r>
      <w:r>
        <w:rPr>
          <w:rFonts w:hint="eastAsia" w:asciiTheme="majorEastAsia" w:hAnsiTheme="majorEastAsia" w:eastAsiaTheme="majorEastAsia" w:cstheme="majorEastAsia"/>
          <w:b/>
          <w:color w:val="000000"/>
          <w:sz w:val="36"/>
          <w:szCs w:val="36"/>
          <w:highlight w:val="none"/>
          <w:u w:val="single"/>
        </w:rPr>
        <w:t xml:space="preserve">（加盖CA电子公章）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6"/>
          <w:szCs w:val="36"/>
          <w:highlight w:val="none"/>
        </w:rPr>
        <w:t xml:space="preserve">   日   期 ：</w:t>
      </w:r>
      <w:r>
        <w:rPr>
          <w:rFonts w:hint="eastAsia" w:asciiTheme="majorEastAsia" w:hAnsiTheme="majorEastAsia" w:eastAsiaTheme="majorEastAsia" w:cstheme="majorEastAsia"/>
          <w:b/>
          <w:color w:val="000000"/>
          <w:sz w:val="36"/>
          <w:szCs w:val="36"/>
          <w:highlight w:val="none"/>
          <w:u w:val="single"/>
        </w:rPr>
        <w:t xml:space="preserve">                     </w:t>
      </w:r>
      <w:r/>
    </w:p>
    <w:p>
      <w:pPr>
        <w:pStyle w:val="82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line="0" w:lineRule="atLeast"/>
        <w:rPr>
          <w:rFonts w:hint="eastAsia" w:asciiTheme="majorEastAsia" w:hAnsiTheme="majorEastAsia" w:eastAsiaTheme="majorEastAsia" w:cstheme="majorEastAsia"/>
          <w:b/>
          <w:color w:val="000000"/>
          <w:sz w:val="36"/>
          <w:szCs w:val="36"/>
          <w:highlight w:val="none"/>
          <w:u w:val="single"/>
        </w:rPr>
      </w:pPr>
      <w:r>
        <w:rPr>
          <w:rFonts w:hint="eastAsia" w:asciiTheme="majorEastAsia" w:hAnsiTheme="majorEastAsia" w:eastAsiaTheme="majorEastAsia" w:cstheme="majorEastAsia"/>
          <w:b/>
          <w:color w:val="000000"/>
          <w:sz w:val="36"/>
          <w:szCs w:val="36"/>
          <w:highlight w:val="none"/>
          <w:u w:val="single"/>
        </w:rPr>
      </w:r>
      <w:r/>
    </w:p>
    <w:p>
      <w:pPr>
        <w:pStyle w:val="823"/>
        <w:jc w:val="center"/>
        <w:spacing w:beforeAutospacing="0" w:afterAutospacing="0" w:line="0" w:lineRule="atLeast"/>
        <w:rPr>
          <w:rFonts w:hint="eastAsia" w:asciiTheme="majorEastAsia" w:hAnsiTheme="majorEastAsia" w:eastAsiaTheme="majorEastAsia" w:cstheme="majorEastAsia"/>
          <w:b/>
          <w:color w:val="000000"/>
          <w:sz w:val="36"/>
          <w:szCs w:val="36"/>
          <w:highlight w:val="none"/>
          <w:u w:val="single"/>
        </w:rPr>
      </w:pPr>
      <w:r>
        <w:rPr>
          <w:rFonts w:hint="eastAsia" w:asciiTheme="majorEastAsia" w:hAnsiTheme="majorEastAsia" w:eastAsiaTheme="majorEastAsia" w:cstheme="majorEastAsia"/>
          <w:b/>
          <w:color w:val="000000"/>
          <w:sz w:val="36"/>
          <w:szCs w:val="36"/>
          <w:highlight w:val="none"/>
          <w:u w:val="single"/>
        </w:rPr>
      </w:r>
      <w:r/>
    </w:p>
    <w:p>
      <w:pPr>
        <w:pStyle w:val="823"/>
        <w:jc w:val="center"/>
        <w:spacing w:beforeAutospacing="0" w:afterAutospacing="0" w:line="0" w:lineRule="atLeast"/>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823"/>
        <w:jc w:val="center"/>
        <w:spacing w:beforeAutospacing="0" w:afterAutospacing="0" w:line="0" w:lineRule="atLeast"/>
        <w:rPr>
          <w:rFonts w:hint="eastAsia" w:asciiTheme="majorEastAsia" w:hAnsiTheme="majorEastAsia" w:eastAsiaTheme="majorEastAsia" w:cstheme="majorEastAsia"/>
          <w:b/>
          <w:bCs/>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rPr>
          <w:rFonts w:hint="eastAsia" w:asciiTheme="majorEastAsia" w:hAnsiTheme="majorEastAsia" w:eastAsiaTheme="majorEastAsia" w:cstheme="majorEastAsia"/>
          <w:b/>
          <w:color w:val="000000"/>
          <w:sz w:val="32"/>
          <w:szCs w:val="32"/>
          <w:highlight w:val="none"/>
        </w:rPr>
      </w:r>
    </w:p>
    <w:p>
      <w:pPr>
        <w:pStyle w:val="823"/>
        <w:jc w:val="center"/>
        <w:spacing w:beforeAutospacing="0" w:afterAutospacing="0" w:line="0" w:lineRule="atLeast"/>
        <w:rPr>
          <w:rFonts w:hint="eastAsia" w:asciiTheme="majorEastAsia" w:hAnsiTheme="majorEastAsia" w:eastAsiaTheme="majorEastAsia" w:cstheme="majorEastAsia"/>
          <w:b/>
          <w:bCs/>
          <w:color w:val="000000"/>
          <w:sz w:val="32"/>
          <w:szCs w:val="32"/>
          <w:highlight w:val="none"/>
        </w:rPr>
      </w:pPr>
      <w:r>
        <w:rPr>
          <w:rFonts w:hint="eastAsia" w:asciiTheme="majorEastAsia" w:hAnsiTheme="majorEastAsia" w:eastAsiaTheme="majorEastAsia" w:cstheme="majorEastAsia"/>
          <w:b/>
          <w:bCs/>
          <w:color w:val="000000"/>
          <w:sz w:val="32"/>
          <w:szCs w:val="32"/>
          <w:highlight w:val="none"/>
        </w:rPr>
      </w:r>
      <w:r>
        <w:rPr>
          <w:rFonts w:hint="eastAsia" w:asciiTheme="majorEastAsia" w:hAnsiTheme="majorEastAsia" w:eastAsiaTheme="majorEastAsia" w:cstheme="majorEastAsia"/>
          <w:b/>
          <w:bCs/>
          <w:color w:val="000000"/>
          <w:sz w:val="32"/>
          <w:szCs w:val="32"/>
          <w:highlight w:val="none"/>
        </w:rPr>
      </w:r>
    </w:p>
    <w:p>
      <w:pPr>
        <w:pStyle w:val="823"/>
        <w:jc w:val="center"/>
        <w:spacing w:beforeAutospacing="0" w:afterAutospacing="0" w:line="0" w:lineRule="atLeast"/>
        <w:rPr>
          <w:rFonts w:hint="eastAsia" w:asciiTheme="majorEastAsia" w:hAnsiTheme="majorEastAsia" w:eastAsiaTheme="majorEastAsia" w:cstheme="majorEastAsia"/>
          <w:b/>
          <w:bCs/>
          <w:color w:val="000000"/>
          <w:sz w:val="32"/>
          <w:szCs w:val="32"/>
          <w:highlight w:val="none"/>
        </w:rPr>
      </w:pPr>
      <w:r>
        <w:rPr>
          <w:rFonts w:hint="eastAsia" w:asciiTheme="majorEastAsia" w:hAnsiTheme="majorEastAsia" w:eastAsiaTheme="majorEastAsia" w:cstheme="majorEastAsia"/>
          <w:b/>
          <w:bCs/>
          <w:color w:val="000000"/>
          <w:sz w:val="32"/>
          <w:szCs w:val="32"/>
          <w:highlight w:val="none"/>
        </w:rPr>
      </w:r>
      <w:r>
        <w:rPr>
          <w:rFonts w:hint="eastAsia" w:asciiTheme="majorEastAsia" w:hAnsiTheme="majorEastAsia" w:eastAsiaTheme="majorEastAsia" w:cstheme="majorEastAsia"/>
          <w:b/>
          <w:bCs/>
          <w:color w:val="000000"/>
          <w:sz w:val="32"/>
          <w:szCs w:val="32"/>
          <w:highlight w:val="none"/>
        </w:rPr>
      </w:r>
    </w:p>
    <w:p>
      <w:pPr>
        <w:pStyle w:val="823"/>
        <w:jc w:val="center"/>
        <w:spacing w:beforeAutospacing="0" w:afterAutospacing="0" w:line="0" w:lineRule="atLeast"/>
        <w:rPr>
          <w:rFonts w:hint="eastAsia" w:asciiTheme="majorEastAsia" w:hAnsiTheme="majorEastAsia" w:eastAsiaTheme="majorEastAsia" w:cstheme="majorEastAsia"/>
          <w:b/>
          <w:bCs/>
          <w:color w:val="000000"/>
          <w:sz w:val="32"/>
          <w:szCs w:val="32"/>
          <w:highlight w:val="none"/>
        </w:rPr>
      </w:pPr>
      <w:r>
        <w:rPr>
          <w:rFonts w:hint="eastAsia" w:asciiTheme="majorEastAsia" w:hAnsiTheme="majorEastAsia" w:eastAsiaTheme="majorEastAsia" w:cstheme="majorEastAsia"/>
          <w:b/>
          <w:bCs/>
          <w:color w:val="000000"/>
          <w:sz w:val="32"/>
          <w:szCs w:val="32"/>
          <w:highlight w:val="none"/>
        </w:rPr>
      </w:r>
      <w:r>
        <w:rPr>
          <w:rFonts w:hint="eastAsia" w:asciiTheme="majorEastAsia" w:hAnsiTheme="majorEastAsia" w:eastAsiaTheme="majorEastAsia" w:cstheme="majorEastAsia"/>
          <w:b/>
          <w:bCs/>
          <w:color w:val="000000"/>
          <w:sz w:val="32"/>
          <w:szCs w:val="32"/>
          <w:highlight w:val="none"/>
        </w:rPr>
      </w:r>
    </w:p>
    <w:p>
      <w:pPr>
        <w:pStyle w:val="823"/>
        <w:jc w:val="center"/>
        <w:spacing w:beforeAutospacing="0" w:afterAutospacing="0" w:line="0" w:lineRule="atLeast"/>
        <w:rPr>
          <w:rFonts w:hint="eastAsia" w:asciiTheme="majorEastAsia" w:hAnsiTheme="majorEastAsia" w:eastAsiaTheme="majorEastAsia" w:cstheme="majorEastAsia"/>
          <w:b/>
          <w:bCs/>
          <w:color w:val="000000"/>
          <w:sz w:val="32"/>
          <w:szCs w:val="32"/>
          <w:highlight w:val="none"/>
        </w:rPr>
      </w:pPr>
      <w:r>
        <w:rPr>
          <w:rFonts w:hint="eastAsia" w:asciiTheme="majorEastAsia" w:hAnsiTheme="majorEastAsia" w:eastAsiaTheme="majorEastAsia" w:cstheme="majorEastAsia"/>
          <w:b/>
          <w:bCs/>
          <w:color w:val="000000"/>
          <w:sz w:val="32"/>
          <w:szCs w:val="32"/>
          <w:highlight w:val="none"/>
        </w:rPr>
      </w:r>
      <w:r>
        <w:rPr>
          <w:rFonts w:hint="eastAsia" w:asciiTheme="majorEastAsia" w:hAnsiTheme="majorEastAsia" w:eastAsiaTheme="majorEastAsia" w:cstheme="majorEastAsia"/>
          <w:b/>
          <w:bCs/>
          <w:color w:val="000000"/>
          <w:sz w:val="32"/>
          <w:szCs w:val="32"/>
          <w:highlight w:val="none"/>
        </w:rPr>
      </w:r>
    </w:p>
    <w:p>
      <w:pPr>
        <w:pStyle w:val="823"/>
        <w:jc w:val="center"/>
        <w:spacing w:beforeAutospacing="0" w:afterAutospacing="0" w:line="0" w:lineRule="atLeast"/>
        <w:rPr>
          <w:rFonts w:hint="eastAsia" w:asciiTheme="majorEastAsia" w:hAnsiTheme="majorEastAsia" w:eastAsiaTheme="majorEastAsia" w:cstheme="majorEastAsia"/>
          <w:b/>
          <w:bCs/>
          <w:color w:val="000000"/>
          <w:sz w:val="32"/>
          <w:szCs w:val="32"/>
          <w:highlight w:val="none"/>
        </w:rPr>
      </w:pPr>
      <w:r>
        <w:rPr>
          <w:rFonts w:hint="eastAsia" w:asciiTheme="majorEastAsia" w:hAnsiTheme="majorEastAsia" w:eastAsiaTheme="majorEastAsia" w:cstheme="majorEastAsia"/>
          <w:b/>
          <w:bCs/>
          <w:color w:val="000000"/>
          <w:sz w:val="32"/>
          <w:szCs w:val="32"/>
          <w:highlight w:val="none"/>
        </w:rPr>
      </w:r>
      <w:r>
        <w:rPr>
          <w:rFonts w:hint="eastAsia" w:asciiTheme="majorEastAsia" w:hAnsiTheme="majorEastAsia" w:eastAsiaTheme="majorEastAsia" w:cstheme="majorEastAsia"/>
          <w:b/>
          <w:bCs/>
          <w:color w:val="000000"/>
          <w:sz w:val="32"/>
          <w:szCs w:val="32"/>
          <w:highlight w:val="none"/>
        </w:rPr>
      </w:r>
    </w:p>
    <w:p>
      <w:pPr>
        <w:pStyle w:val="823"/>
        <w:jc w:val="center"/>
        <w:spacing w:beforeAutospacing="0" w:afterAutospacing="0" w:line="0" w:lineRule="atLeast"/>
        <w:rPr>
          <w:rFonts w:hint="eastAsia" w:asciiTheme="majorEastAsia" w:hAnsiTheme="majorEastAsia" w:eastAsiaTheme="majorEastAsia" w:cstheme="majorEastAsia"/>
          <w:b/>
          <w:bCs/>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823"/>
        <w:jc w:val="center"/>
        <w:spacing w:beforeAutospacing="0" w:afterAutospacing="0" w:line="0" w:lineRule="atLeast"/>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823"/>
        <w:jc w:val="center"/>
        <w:spacing w:beforeAutospacing="0" w:afterAutospacing="0" w:line="0" w:lineRule="atLeast"/>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823"/>
        <w:jc w:val="center"/>
        <w:spacing w:beforeAutospacing="0" w:afterAutospacing="0" w:line="0" w:lineRule="atLeast"/>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823"/>
        <w:jc w:val="center"/>
        <w:spacing w:beforeAutospacing="0" w:afterAutospacing="0" w:line="0" w:lineRule="atLeast"/>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82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32"/>
          <w:szCs w:val="32"/>
          <w:highlight w:val="none"/>
        </w:rPr>
        <w:t xml:space="preserve">投标文件目录</w:t>
      </w:r>
      <w:r/>
    </w:p>
    <w:p>
      <w:pPr>
        <w:pStyle w:val="82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rPr>
        <w:t xml:space="preserve">一、法人或者其他组织的营业执照等证明文件，自然人的身份证明</w:t>
      </w:r>
      <w:r/>
    </w:p>
    <w:p>
      <w:pPr>
        <w:ind w:firstLine="480"/>
        <w:jc w:val="left"/>
        <w:keepLines w:val="0"/>
        <w:keepNext w:val="0"/>
        <w:pageBreakBefore w:val="0"/>
        <w:spacing w:line="360" w:lineRule="auto"/>
        <w:tabs>
          <w:tab w:val="left" w:pos="1331" w:leader="none"/>
        </w:tabs>
        <w:rPr>
          <w:rFonts w:hint="eastAsia" w:asciiTheme="majorEastAsia" w:hAnsiTheme="majorEastAsia" w:eastAsiaTheme="majorEastAsia" w:cstheme="majorEastAsia"/>
          <w:i w:val="0"/>
          <w:iCs/>
          <w:color w:val="000000"/>
          <w:sz w:val="24"/>
          <w:szCs w:val="24"/>
          <w:highlight w:val="none"/>
          <w:u w:val="none"/>
          <w:lang w:val="en-US" w:eastAsia="zh-CN" w:bidi="ar-SA"/>
        </w:rPr>
      </w:pPr>
      <w:r>
        <w:rPr>
          <w:rFonts w:hint="eastAsia" w:asciiTheme="majorEastAsia" w:hAnsiTheme="majorEastAsia" w:eastAsiaTheme="majorEastAsia" w:cstheme="majorEastAsia"/>
          <w:i w:val="0"/>
          <w:iCs/>
          <w:color w:val="000000"/>
          <w:sz w:val="24"/>
          <w:szCs w:val="24"/>
          <w:highlight w:val="none"/>
          <w:u w:val="none"/>
          <w:lang w:val="en-US" w:eastAsia="zh-CN" w:bidi="ar-SA"/>
        </w:rPr>
        <w:t xml:space="preserve">二、上一年度的财务状况报告（投标人成立不满一年无需提供）</w:t>
      </w:r>
      <w:r/>
    </w:p>
    <w:p>
      <w:pPr>
        <w:pStyle w:val="82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lang w:val="en-US" w:eastAsia="zh-CN"/>
        </w:rPr>
        <w:t xml:space="preserve">三</w:t>
      </w:r>
      <w:r>
        <w:rPr>
          <w:rFonts w:hint="eastAsia" w:asciiTheme="majorEastAsia" w:hAnsiTheme="majorEastAsia" w:eastAsiaTheme="majorEastAsia" w:cstheme="majorEastAsia"/>
          <w:i w:val="0"/>
          <w:iCs/>
          <w:color w:val="000000"/>
          <w:highlight w:val="none"/>
          <w:u w:val="none"/>
        </w:rPr>
        <w:t xml:space="preserve">、具备履行合同所必需的设备和专业技术能力的书面声明</w:t>
      </w:r>
      <w:r/>
    </w:p>
    <w:p>
      <w:pPr>
        <w:pStyle w:val="82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lang w:val="en-US" w:eastAsia="zh-CN"/>
        </w:rPr>
        <w:t xml:space="preserve">四</w:t>
      </w:r>
      <w:r>
        <w:rPr>
          <w:rFonts w:hint="eastAsia" w:asciiTheme="majorEastAsia" w:hAnsiTheme="majorEastAsia" w:eastAsiaTheme="majorEastAsia" w:cstheme="majorEastAsia"/>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rPr>
        <w:t xml:space="preserve">五、参加政府采购活动前 3 年内在经营活动中没有重大违法记录的书面声明</w:t>
      </w:r>
      <w:r/>
    </w:p>
    <w:p>
      <w:pPr>
        <w:pStyle w:val="82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rPr>
        <w:t xml:space="preserve">六、特定资格要求的证明文件（如果本项目设置特定资格要求，则需要提供）</w:t>
      </w:r>
      <w:r/>
    </w:p>
    <w:p>
      <w:pPr>
        <w:pStyle w:val="82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rPr>
      </w:pPr>
      <w:r>
        <w:rPr>
          <w:rFonts w:hint="eastAsia" w:asciiTheme="majorEastAsia" w:hAnsiTheme="majorEastAsia" w:eastAsiaTheme="majorEastAsia" w:cstheme="majorEastAsia"/>
          <w:i w:val="0"/>
          <w:iCs/>
          <w:color w:val="000000"/>
          <w:highlight w:val="none"/>
          <w:u w:val="none"/>
        </w:rPr>
        <w:t xml:space="preserve">七、法人授权书</w:t>
      </w:r>
      <w:r/>
    </w:p>
    <w:p>
      <w:pPr>
        <w:pStyle w:val="82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八、投标函</w:t>
      </w:r>
      <w:r/>
    </w:p>
    <w:p>
      <w:pPr>
        <w:pStyle w:val="82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九、中小企业声明函</w:t>
      </w:r>
      <w:r/>
    </w:p>
    <w:p>
      <w:pPr>
        <w:pStyle w:val="82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十、残疾人福利性单位声明函</w:t>
      </w:r>
      <w:r/>
    </w:p>
    <w:p>
      <w:pPr>
        <w:pStyle w:val="82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十一、关于符合本国产品标准的声明函</w:t>
      </w:r>
      <w:r/>
    </w:p>
    <w:p>
      <w:pPr>
        <w:pStyle w:val="82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十二、投标分项报价表</w:t>
      </w:r>
      <w:r/>
    </w:p>
    <w:p>
      <w:pPr>
        <w:pStyle w:val="82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十三、技术要求响应及偏离表</w:t>
      </w:r>
      <w:r/>
    </w:p>
    <w:p>
      <w:pPr>
        <w:pStyle w:val="82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十四、商务要求响应及偏离表</w:t>
      </w:r>
      <w:r/>
    </w:p>
    <w:p>
      <w:pPr>
        <w:pStyle w:val="82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十五、拟投入项目组人员一览表</w:t>
      </w:r>
      <w:r/>
    </w:p>
    <w:p>
      <w:pPr>
        <w:pStyle w:val="82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十六、开标一览表</w:t>
      </w:r>
      <w:r/>
    </w:p>
    <w:p>
      <w:pPr>
        <w:pStyle w:val="82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十七、技术方案、服务承诺、培训承诺等</w:t>
      </w:r>
      <w:r/>
    </w:p>
    <w:p>
      <w:pPr>
        <w:pStyle w:val="823"/>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000000"/>
          <w:highlight w:val="none"/>
          <w:u w:val="none"/>
          <w:lang w:val="en-US" w:eastAsia="zh-CN"/>
        </w:rPr>
      </w:pPr>
      <w:r>
        <w:rPr>
          <w:rFonts w:hint="eastAsia" w:asciiTheme="majorEastAsia" w:hAnsiTheme="majorEastAsia" w:eastAsiaTheme="majorEastAsia" w:cstheme="majorEastAsia"/>
          <w:i w:val="0"/>
          <w:iCs/>
          <w:color w:val="000000"/>
          <w:highlight w:val="none"/>
          <w:u w:val="none"/>
          <w:lang w:val="en-US" w:eastAsia="zh-CN"/>
        </w:rPr>
        <w:t xml:space="preserve">十八、盐城市政府采购事前信用承诺书</w:t>
      </w:r>
      <w:r/>
    </w:p>
    <w:p>
      <w:pPr>
        <w:pStyle w:val="823"/>
        <w:ind w:firstLine="480"/>
        <w:jc w:val="both"/>
        <w:spacing w:beforeAutospacing="0" w:afterAutospacing="0" w:line="0" w:lineRule="atLeast"/>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823"/>
        <w:ind w:firstLine="480"/>
        <w:jc w:val="both"/>
        <w:spacing w:beforeAutospacing="0" w:afterAutospacing="0" w:line="0" w:lineRule="atLeast"/>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82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rPr>
          <w:rFonts w:hint="eastAsia" w:asciiTheme="majorEastAsia" w:hAnsiTheme="majorEastAsia" w:eastAsiaTheme="majorEastAsia" w:cstheme="majorEastAsia"/>
          <w:highlight w:val="none"/>
        </w:rPr>
      </w:r>
    </w:p>
    <w:p>
      <w:pPr>
        <w:pStyle w:val="82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i/>
          <w:color w:val="000000"/>
          <w:sz w:val="32"/>
          <w:szCs w:val="32"/>
          <w:highlight w:val="none"/>
          <w:u w:val="single"/>
        </w:rPr>
        <w:t xml:space="preserve">一、法人或者其他组织的营业执照等证明文件，自然人的身份证明</w:t>
      </w:r>
      <w:r/>
    </w:p>
    <w:p>
      <w:pPr>
        <w:pStyle w:val="82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i/>
          <w:color w:val="000000"/>
          <w:sz w:val="32"/>
          <w:szCs w:val="32"/>
          <w:highlight w:val="none"/>
          <w:u w:val="single"/>
        </w:rPr>
        <w:t xml:space="preserve">二、上一年度的财务状况报</w:t>
      </w:r>
      <w:r>
        <w:rPr>
          <w:rFonts w:hint="eastAsia" w:asciiTheme="majorEastAsia" w:hAnsiTheme="majorEastAsia" w:eastAsiaTheme="majorEastAsia" w:cstheme="majorEastAsia"/>
          <w:i/>
          <w:color w:val="000000"/>
          <w:sz w:val="32"/>
          <w:szCs w:val="32"/>
          <w:highlight w:val="none"/>
          <w:u w:val="single"/>
          <w:lang w:val="en-US" w:eastAsia="zh-CN"/>
        </w:rPr>
        <w:t xml:space="preserve">告</w:t>
      </w:r>
      <w:r/>
    </w:p>
    <w:p>
      <w:pPr>
        <w:jc w:val="left"/>
        <w:tabs>
          <w:tab w:val="left" w:pos="1331" w:leader="none"/>
        </w:tabs>
        <w:rPr>
          <w:rFonts w:hint="eastAsia" w:asciiTheme="majorEastAsia" w:hAnsiTheme="majorEastAsia" w:eastAsiaTheme="majorEastAsia" w:cstheme="majorEastAsia"/>
          <w:i w:val="0"/>
          <w:iCs/>
          <w:color w:val="000000"/>
          <w:sz w:val="24"/>
          <w:szCs w:val="24"/>
          <w:highlight w:val="none"/>
          <w:u w:val="none"/>
          <w:lang w:val="en-US" w:eastAsia="zh-CN" w:bidi="ar-SA"/>
        </w:rPr>
      </w:pPr>
      <w:r>
        <w:rPr>
          <w:rFonts w:hint="eastAsia" w:asciiTheme="majorEastAsia" w:hAnsiTheme="majorEastAsia" w:eastAsiaTheme="majorEastAsia" w:cstheme="majorEastAsia"/>
          <w:i w:val="0"/>
          <w:iCs/>
          <w:color w:val="000000"/>
          <w:sz w:val="24"/>
          <w:szCs w:val="24"/>
          <w:highlight w:val="none"/>
          <w:u w:val="none"/>
          <w:lang w:val="en-US" w:eastAsia="zh-CN" w:bidi="ar-SA"/>
        </w:rPr>
        <w:t xml:space="preserve">（投标人成立不满一年无需提供）</w:t>
      </w:r>
      <w:r/>
    </w:p>
    <w:p>
      <w:pPr>
        <w:pStyle w:val="823"/>
        <w:ind w:firstLine="480"/>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i/>
          <w:color w:val="000000"/>
          <w:sz w:val="32"/>
          <w:szCs w:val="32"/>
          <w:highlight w:val="none"/>
          <w:u w:val="single"/>
          <w:lang w:val="en-US" w:eastAsia="zh-CN"/>
        </w:rPr>
        <w:t xml:space="preserve">三</w:t>
      </w:r>
      <w:r>
        <w:rPr>
          <w:rFonts w:hint="eastAsia" w:asciiTheme="majorEastAsia" w:hAnsiTheme="majorEastAsia" w:eastAsiaTheme="majorEastAsia" w:cstheme="majorEastAsia"/>
          <w:i/>
          <w:color w:val="000000"/>
          <w:sz w:val="32"/>
          <w:szCs w:val="32"/>
          <w:highlight w:val="none"/>
          <w:u w:val="single"/>
        </w:rPr>
        <w:t xml:space="preserve">、具备履行合同所必需的设备和专业技术能力的书面声明</w:t>
      </w:r>
      <w:r/>
    </w:p>
    <w:p>
      <w:pPr>
        <w:pStyle w:val="823"/>
        <w:ind w:firstLine="492"/>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23"/>
        <w:ind w:firstLine="492"/>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主要设备有：</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rPr>
        <w:t xml:space="preserve">。</w:t>
      </w:r>
      <w:r/>
    </w:p>
    <w:p>
      <w:pPr>
        <w:pStyle w:val="823"/>
        <w:jc w:val="both"/>
        <w:spacing w:beforeAutospacing="0" w:afterAutospacing="0"/>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t xml:space="preserve">主要专业技术能力有：</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rPr>
        <w:t xml:space="preserve">。</w:t>
      </w:r>
      <w:r/>
    </w:p>
    <w:p>
      <w:pPr>
        <w:pStyle w:val="823"/>
        <w:jc w:val="both"/>
        <w:spacing w:beforeAutospacing="0" w:afterAutospacing="0"/>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823"/>
        <w:jc w:val="both"/>
        <w:spacing w:beforeAutospacing="0" w:afterAutospacing="0"/>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i/>
          <w:color w:val="000000"/>
          <w:sz w:val="32"/>
          <w:szCs w:val="32"/>
          <w:highlight w:val="none"/>
          <w:u w:val="single"/>
          <w:lang w:val="en-US" w:eastAsia="zh-CN"/>
        </w:rPr>
        <w:t xml:space="preserve">四</w:t>
      </w:r>
      <w:r>
        <w:rPr>
          <w:rFonts w:hint="eastAsia" w:asciiTheme="majorEastAsia" w:hAnsiTheme="majorEastAsia" w:eastAsiaTheme="majorEastAsia" w:cstheme="majorEastAsia"/>
          <w:i/>
          <w:color w:val="000000"/>
          <w:sz w:val="32"/>
          <w:szCs w:val="32"/>
          <w:highlight w:val="none"/>
          <w:u w:val="single"/>
        </w:rPr>
        <w:t xml:space="preserve">、依法缴纳税收和社会保障资金的相关材料</w:t>
      </w:r>
      <w:r/>
    </w:p>
    <w:p>
      <w:pPr>
        <w:pStyle w:val="823"/>
        <w:ind w:firstLine="480"/>
        <w:jc w:val="both"/>
        <w:spacing w:beforeAutospacing="0" w:afterAutospacing="0"/>
        <w:rPr>
          <w:rFonts w:hint="eastAsia" w:asciiTheme="majorEastAsia" w:hAnsiTheme="majorEastAsia" w:eastAsiaTheme="majorEastAsia" w:cstheme="majorEastAsia"/>
          <w:color w:val="000000"/>
          <w:highlight w:val="none"/>
        </w:rPr>
      </w:pPr>
      <w:r/>
      <w:bookmarkStart w:id="183" w:name="_Toc120614284"/>
      <w:r>
        <w:rPr>
          <w:rFonts w:hint="eastAsia" w:asciiTheme="majorEastAsia" w:hAnsiTheme="majorEastAsia" w:eastAsiaTheme="majorEastAsia" w:cstheme="majorEastAsia"/>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83"/>
      <w:r/>
      <w:r/>
    </w:p>
    <w:p>
      <w:pPr>
        <w:pStyle w:val="823"/>
        <w:ind w:firstLine="480"/>
        <w:jc w:val="both"/>
        <w:spacing w:beforeAutospacing="0" w:afterAutospacing="0"/>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823"/>
        <w:ind w:firstLine="480"/>
        <w:jc w:val="both"/>
        <w:spacing w:beforeAutospacing="0" w:afterAutospacing="0"/>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i/>
          <w:color w:val="000000"/>
          <w:sz w:val="32"/>
          <w:szCs w:val="32"/>
          <w:highlight w:val="none"/>
          <w:u w:val="single"/>
        </w:rPr>
        <w:t xml:space="preserve">五、参加政府采购活动前 3 年内在经营活动中没有重大违法记录的书面声明</w:t>
      </w:r>
      <w:r/>
    </w:p>
    <w:p>
      <w:pPr>
        <w:pStyle w:val="823"/>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sz w:val="44"/>
          <w:szCs w:val="44"/>
          <w:highlight w:val="none"/>
        </w:rPr>
        <w:t xml:space="preserve">       声  明</w:t>
      </w:r>
      <w:r/>
    </w:p>
    <w:p>
      <w:pPr>
        <w:pStyle w:val="823"/>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highlight w:val="none"/>
        </w:rPr>
        <w:t xml:space="preserve">    </w:t>
      </w:r>
      <w:r>
        <w:rPr>
          <w:rFonts w:hint="eastAsia" w:asciiTheme="majorEastAsia" w:hAnsiTheme="majorEastAsia" w:eastAsiaTheme="majorEastAsia" w:cstheme="majorEastAsia"/>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i/>
          <w:color w:val="000000"/>
          <w:sz w:val="32"/>
          <w:szCs w:val="32"/>
          <w:highlight w:val="none"/>
          <w:u w:val="single"/>
        </w:rPr>
        <w:t xml:space="preserve">六、特定资格要求的证明文件</w:t>
      </w:r>
      <w:r/>
    </w:p>
    <w:p>
      <w:pPr>
        <w:pStyle w:val="823"/>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    如果本项目申请人的特定资格要求中要求提供的，必须提供。</w:t>
      </w:r>
      <w:r/>
    </w:p>
    <w:p>
      <w:pPr>
        <w:pStyle w:val="823"/>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rPr>
          <w:rFonts w:hint="eastAsia" w:asciiTheme="majorEastAsia" w:hAnsiTheme="majorEastAsia" w:eastAsiaTheme="majorEastAsia" w:cstheme="majorEastAsia"/>
          <w:i/>
          <w:color w:val="000000"/>
          <w:sz w:val="32"/>
          <w:szCs w:val="32"/>
          <w:highlight w:val="none"/>
          <w:u w:val="single"/>
        </w:rPr>
      </w:pPr>
      <w:r>
        <w:rPr>
          <w:rFonts w:hint="eastAsia" w:asciiTheme="majorEastAsia" w:hAnsiTheme="majorEastAsia" w:eastAsiaTheme="majorEastAsia" w:cstheme="majorEastAsia"/>
          <w:i/>
          <w:color w:val="000000"/>
          <w:sz w:val="32"/>
          <w:szCs w:val="32"/>
          <w:highlight w:val="none"/>
          <w:u w:val="single"/>
        </w:rPr>
      </w:r>
      <w:r/>
    </w:p>
    <w:p>
      <w:pPr>
        <w:pStyle w:val="823"/>
        <w:jc w:val="center"/>
        <w:spacing w:beforeAutospacing="0" w:afterAutospacing="0"/>
        <w:rPr>
          <w:rFonts w:hint="eastAsia" w:asciiTheme="majorEastAsia" w:hAnsiTheme="majorEastAsia" w:eastAsiaTheme="majorEastAsia" w:cstheme="majorEastAsia"/>
          <w:b/>
          <w:bCs/>
          <w:i/>
          <w:color w:val="000000"/>
          <w:sz w:val="32"/>
          <w:szCs w:val="32"/>
          <w:highlight w:val="none"/>
          <w:u w:val="single"/>
        </w:rPr>
      </w:pPr>
      <w:r>
        <w:rPr>
          <w:rFonts w:hint="eastAsia" w:asciiTheme="majorEastAsia" w:hAnsiTheme="majorEastAsia" w:eastAsiaTheme="majorEastAsia" w:cstheme="majorEastAsia"/>
          <w:b/>
          <w:bCs/>
          <w:i/>
          <w:color w:val="000000"/>
          <w:sz w:val="32"/>
          <w:szCs w:val="32"/>
          <w:highlight w:val="none"/>
          <w:u w:val="single"/>
        </w:rPr>
      </w:r>
      <w:r>
        <w:rPr>
          <w:rFonts w:hint="eastAsia" w:asciiTheme="majorEastAsia" w:hAnsiTheme="majorEastAsia" w:eastAsiaTheme="majorEastAsia" w:cstheme="majorEastAsia"/>
          <w:b/>
          <w:bCs/>
          <w:i/>
          <w:color w:val="000000"/>
          <w:sz w:val="32"/>
          <w:szCs w:val="32"/>
          <w:highlight w:val="none"/>
          <w:u w:val="single"/>
        </w:rPr>
      </w:r>
    </w:p>
    <w:p>
      <w:pPr>
        <w:pStyle w:val="823"/>
        <w:jc w:val="center"/>
        <w:spacing w:beforeAutospacing="0" w:afterAutospacing="0"/>
        <w:rPr>
          <w:rFonts w:hint="eastAsia" w:asciiTheme="majorEastAsia" w:hAnsiTheme="majorEastAsia" w:eastAsiaTheme="majorEastAsia" w:cstheme="majorEastAsia"/>
          <w:b/>
          <w:bCs/>
          <w:i/>
          <w:color w:val="000000"/>
          <w:sz w:val="32"/>
          <w:szCs w:val="32"/>
          <w:highlight w:val="none"/>
          <w:u w:val="single"/>
        </w:rPr>
      </w:pPr>
      <w:r>
        <w:rPr>
          <w:rFonts w:hint="eastAsia" w:asciiTheme="majorEastAsia" w:hAnsiTheme="majorEastAsia" w:eastAsiaTheme="majorEastAsia" w:cstheme="majorEastAsia"/>
          <w:b/>
          <w:bCs/>
          <w:i/>
          <w:color w:val="000000"/>
          <w:sz w:val="32"/>
          <w:szCs w:val="32"/>
          <w:highlight w:val="none"/>
          <w:u w:val="single"/>
        </w:rPr>
      </w:r>
      <w:r>
        <w:rPr>
          <w:rFonts w:hint="eastAsia" w:asciiTheme="majorEastAsia" w:hAnsiTheme="majorEastAsia" w:eastAsiaTheme="majorEastAsia" w:cstheme="majorEastAsia"/>
          <w:b/>
          <w:bCs/>
          <w:i/>
          <w:color w:val="000000"/>
          <w:sz w:val="32"/>
          <w:szCs w:val="32"/>
          <w:highlight w:val="none"/>
          <w:u w:val="single"/>
        </w:rPr>
      </w:r>
    </w:p>
    <w:p>
      <w:pPr>
        <w:pStyle w:val="823"/>
        <w:jc w:val="center"/>
        <w:spacing w:beforeAutospacing="0" w:afterAutospacing="0"/>
        <w:rPr>
          <w:rFonts w:hint="eastAsia" w:asciiTheme="majorEastAsia" w:hAnsiTheme="majorEastAsia" w:eastAsiaTheme="majorEastAsia" w:cstheme="majorEastAsia"/>
          <w:b/>
          <w:bCs/>
          <w:i/>
          <w:color w:val="000000"/>
          <w:sz w:val="32"/>
          <w:szCs w:val="32"/>
          <w:highlight w:val="none"/>
          <w:u w:val="single"/>
        </w:rPr>
      </w:pPr>
      <w:r>
        <w:rPr>
          <w:rFonts w:hint="eastAsia" w:asciiTheme="majorEastAsia" w:hAnsiTheme="majorEastAsia" w:eastAsiaTheme="majorEastAsia" w:cstheme="majorEastAsia"/>
          <w:b/>
          <w:bCs/>
          <w:i/>
          <w:color w:val="000000"/>
          <w:sz w:val="32"/>
          <w:szCs w:val="32"/>
          <w:highlight w:val="none"/>
          <w:u w:val="single"/>
        </w:rPr>
      </w:r>
      <w:r>
        <w:rPr>
          <w:rFonts w:hint="eastAsia" w:asciiTheme="majorEastAsia" w:hAnsiTheme="majorEastAsia" w:eastAsiaTheme="majorEastAsia" w:cstheme="majorEastAsia"/>
          <w:b/>
          <w:bCs/>
          <w:i/>
          <w:color w:val="000000"/>
          <w:sz w:val="32"/>
          <w:szCs w:val="32"/>
          <w:highlight w:val="none"/>
          <w:u w:val="single"/>
        </w:rPr>
      </w:r>
    </w:p>
    <w:p>
      <w:pPr>
        <w:pStyle w:val="823"/>
        <w:jc w:val="center"/>
        <w:spacing w:beforeAutospacing="0" w:afterAutospacing="0"/>
        <w:rPr>
          <w:rFonts w:hint="eastAsia" w:asciiTheme="majorEastAsia" w:hAnsiTheme="majorEastAsia" w:eastAsiaTheme="majorEastAsia" w:cstheme="majorEastAsia"/>
          <w:b/>
          <w:bCs/>
          <w:i/>
          <w:color w:val="000000"/>
          <w:sz w:val="32"/>
          <w:szCs w:val="32"/>
          <w:highlight w:val="none"/>
          <w:u w:val="single"/>
        </w:rPr>
      </w:pPr>
      <w:r>
        <w:rPr>
          <w:rFonts w:hint="eastAsia" w:asciiTheme="majorEastAsia" w:hAnsiTheme="majorEastAsia" w:eastAsiaTheme="majorEastAsia" w:cstheme="majorEastAsia"/>
          <w:b/>
          <w:bCs/>
          <w:i/>
          <w:color w:val="000000"/>
          <w:sz w:val="32"/>
          <w:szCs w:val="32"/>
          <w:highlight w:val="none"/>
          <w:u w:val="single"/>
        </w:rPr>
      </w:r>
      <w:r>
        <w:rPr>
          <w:rFonts w:hint="eastAsia" w:asciiTheme="majorEastAsia" w:hAnsiTheme="majorEastAsia" w:eastAsiaTheme="majorEastAsia" w:cstheme="majorEastAsia"/>
          <w:b/>
          <w:bCs/>
          <w:i/>
          <w:color w:val="000000"/>
          <w:sz w:val="32"/>
          <w:szCs w:val="32"/>
          <w:highlight w:val="none"/>
          <w:u w:val="single"/>
        </w:rPr>
      </w:r>
    </w:p>
    <w:p>
      <w:pPr>
        <w:pStyle w:val="823"/>
        <w:jc w:val="center"/>
        <w:spacing w:beforeAutospacing="0" w:afterAutospacing="0"/>
        <w:rPr>
          <w:rFonts w:hint="eastAsia" w:asciiTheme="majorEastAsia" w:hAnsiTheme="majorEastAsia" w:eastAsiaTheme="majorEastAsia" w:cstheme="majorEastAsia"/>
          <w:b/>
          <w:bCs/>
          <w:i/>
          <w:color w:val="000000"/>
          <w:sz w:val="32"/>
          <w:szCs w:val="32"/>
          <w:highlight w:val="none"/>
          <w:u w:val="single"/>
        </w:rPr>
      </w:pPr>
      <w:r>
        <w:rPr>
          <w:rFonts w:hint="eastAsia" w:asciiTheme="majorEastAsia" w:hAnsiTheme="majorEastAsia" w:eastAsiaTheme="majorEastAsia" w:cstheme="majorEastAsia"/>
          <w:b/>
          <w:bCs/>
          <w:i/>
          <w:color w:val="000000"/>
          <w:sz w:val="32"/>
          <w:szCs w:val="32"/>
          <w:highlight w:val="none"/>
          <w:u w:val="single"/>
        </w:rPr>
      </w:r>
      <w:r>
        <w:rPr>
          <w:rFonts w:hint="eastAsia" w:asciiTheme="majorEastAsia" w:hAnsiTheme="majorEastAsia" w:eastAsiaTheme="majorEastAsia" w:cstheme="majorEastAsia"/>
          <w:b/>
          <w:bCs/>
          <w:i/>
          <w:color w:val="000000"/>
          <w:sz w:val="32"/>
          <w:szCs w:val="32"/>
          <w:highlight w:val="none"/>
          <w:u w:val="single"/>
        </w:rPr>
      </w:r>
    </w:p>
    <w:p>
      <w:pPr>
        <w:pStyle w:val="823"/>
        <w:jc w:val="center"/>
        <w:spacing w:beforeAutospacing="0" w:afterAutospacing="0"/>
        <w:rPr>
          <w:rFonts w:hint="eastAsia" w:asciiTheme="majorEastAsia" w:hAnsiTheme="majorEastAsia" w:eastAsiaTheme="majorEastAsia" w:cstheme="majorEastAsia"/>
          <w:b/>
          <w:bCs/>
          <w:i/>
          <w:color w:val="000000"/>
          <w:sz w:val="32"/>
          <w:szCs w:val="32"/>
          <w:highlight w:val="none"/>
          <w:u w:val="single"/>
        </w:rPr>
      </w:pPr>
      <w:r>
        <w:rPr>
          <w:rFonts w:hint="eastAsia" w:asciiTheme="majorEastAsia" w:hAnsiTheme="majorEastAsia" w:eastAsiaTheme="majorEastAsia" w:cstheme="majorEastAsia"/>
          <w:b/>
          <w:bCs/>
          <w:i/>
          <w:color w:val="000000"/>
          <w:sz w:val="32"/>
          <w:szCs w:val="32"/>
          <w:highlight w:val="none"/>
          <w:u w:val="single"/>
        </w:rPr>
      </w:r>
      <w:r>
        <w:rPr>
          <w:rFonts w:hint="eastAsia" w:asciiTheme="majorEastAsia" w:hAnsiTheme="majorEastAsia" w:eastAsiaTheme="majorEastAsia" w:cstheme="majorEastAsia"/>
          <w:b/>
          <w:bCs/>
          <w:i/>
          <w:color w:val="000000"/>
          <w:sz w:val="32"/>
          <w:szCs w:val="32"/>
          <w:highlight w:val="none"/>
          <w:u w:val="single"/>
        </w:rPr>
      </w:r>
    </w:p>
    <w:p>
      <w:pPr>
        <w:pStyle w:val="823"/>
        <w:jc w:val="center"/>
        <w:spacing w:beforeAutospacing="0" w:afterAutospacing="0"/>
        <w:rPr>
          <w:rFonts w:hint="eastAsia" w:asciiTheme="majorEastAsia" w:hAnsiTheme="majorEastAsia" w:eastAsiaTheme="majorEastAsia" w:cstheme="majorEastAsia"/>
          <w:b/>
          <w:bCs/>
          <w:i/>
          <w:color w:val="000000"/>
          <w:sz w:val="32"/>
          <w:szCs w:val="32"/>
          <w:highlight w:val="none"/>
          <w:u w:val="single"/>
        </w:rPr>
      </w:pPr>
      <w:r>
        <w:rPr>
          <w:rFonts w:hint="eastAsia" w:asciiTheme="majorEastAsia" w:hAnsiTheme="majorEastAsia" w:eastAsiaTheme="majorEastAsia" w:cstheme="majorEastAsia"/>
          <w:b/>
          <w:bCs/>
          <w:i/>
          <w:color w:val="000000"/>
          <w:sz w:val="32"/>
          <w:szCs w:val="32"/>
          <w:highlight w:val="none"/>
          <w:u w:val="single"/>
        </w:rPr>
      </w:r>
      <w:r>
        <w:rPr>
          <w:rFonts w:hint="eastAsia" w:asciiTheme="majorEastAsia" w:hAnsiTheme="majorEastAsia" w:eastAsiaTheme="majorEastAsia" w:cstheme="majorEastAsia"/>
          <w:b/>
          <w:bCs/>
          <w:i/>
          <w:color w:val="000000"/>
          <w:sz w:val="32"/>
          <w:szCs w:val="32"/>
          <w:highlight w:val="none"/>
          <w:u w:val="single"/>
        </w:rPr>
      </w:r>
    </w:p>
    <w:p>
      <w:pPr>
        <w:pStyle w:val="823"/>
        <w:jc w:val="center"/>
        <w:spacing w:beforeAutospacing="0" w:afterAutospacing="0"/>
        <w:rPr>
          <w:rFonts w:hint="eastAsia" w:asciiTheme="majorEastAsia" w:hAnsiTheme="majorEastAsia" w:eastAsiaTheme="majorEastAsia" w:cstheme="majorEastAsia"/>
          <w:b/>
          <w:bCs/>
          <w:i/>
          <w:color w:val="000000"/>
          <w:sz w:val="32"/>
          <w:szCs w:val="32"/>
          <w:highlight w:val="none"/>
          <w:u w:val="single"/>
        </w:rPr>
      </w:pPr>
      <w:r>
        <w:rPr>
          <w:rFonts w:hint="eastAsia" w:asciiTheme="majorEastAsia" w:hAnsiTheme="majorEastAsia" w:eastAsiaTheme="majorEastAsia" w:cstheme="majorEastAsia"/>
          <w:b/>
          <w:bCs/>
          <w:i/>
          <w:color w:val="000000"/>
          <w:sz w:val="32"/>
          <w:szCs w:val="32"/>
          <w:highlight w:val="none"/>
          <w:u w:val="single"/>
        </w:rPr>
      </w:r>
      <w:r>
        <w:rPr>
          <w:rFonts w:hint="eastAsia" w:asciiTheme="majorEastAsia" w:hAnsiTheme="majorEastAsia" w:eastAsiaTheme="majorEastAsia" w:cstheme="majorEastAsia"/>
          <w:b/>
          <w:bCs/>
          <w:i/>
          <w:color w:val="000000"/>
          <w:sz w:val="32"/>
          <w:szCs w:val="32"/>
          <w:highlight w:val="none"/>
          <w:u w:val="single"/>
        </w:rPr>
      </w:r>
    </w:p>
    <w:p>
      <w:pPr>
        <w:pStyle w:val="823"/>
        <w:jc w:val="center"/>
        <w:spacing w:beforeAutospacing="0" w:afterAutospacing="0"/>
        <w:rPr>
          <w:rFonts w:hint="eastAsia" w:asciiTheme="majorEastAsia" w:hAnsiTheme="majorEastAsia" w:eastAsiaTheme="majorEastAsia" w:cstheme="majorEastAsia"/>
          <w:b/>
          <w:bCs/>
          <w:i/>
          <w:color w:val="000000"/>
          <w:sz w:val="32"/>
          <w:szCs w:val="32"/>
          <w:highlight w:val="none"/>
          <w:u w:val="single"/>
        </w:rPr>
      </w:pPr>
      <w:r>
        <w:rPr>
          <w:rFonts w:hint="eastAsia" w:asciiTheme="majorEastAsia" w:hAnsiTheme="majorEastAsia" w:eastAsiaTheme="majorEastAsia" w:cstheme="majorEastAsia"/>
          <w:b/>
          <w:bCs/>
          <w:i/>
          <w:color w:val="000000"/>
          <w:sz w:val="32"/>
          <w:szCs w:val="32"/>
          <w:highlight w:val="none"/>
          <w:u w:val="single"/>
        </w:rPr>
      </w:r>
      <w:r>
        <w:rPr>
          <w:rFonts w:hint="eastAsia" w:asciiTheme="majorEastAsia" w:hAnsiTheme="majorEastAsia" w:eastAsiaTheme="majorEastAsia" w:cstheme="majorEastAsia"/>
          <w:b/>
          <w:bCs/>
          <w:i/>
          <w:color w:val="000000"/>
          <w:sz w:val="32"/>
          <w:szCs w:val="32"/>
          <w:highlight w:val="none"/>
          <w:u w:val="single"/>
        </w:rPr>
      </w:r>
    </w:p>
    <w:p>
      <w:pPr>
        <w:pStyle w:val="823"/>
        <w:jc w:val="center"/>
        <w:spacing w:beforeAutospacing="0" w:afterAutospacing="0"/>
        <w:rPr>
          <w:rFonts w:hint="eastAsia" w:asciiTheme="majorEastAsia" w:hAnsiTheme="majorEastAsia" w:eastAsiaTheme="majorEastAsia" w:cstheme="majorEastAsia"/>
          <w:b/>
          <w:bCs/>
          <w:i/>
          <w:color w:val="000000"/>
          <w:sz w:val="32"/>
          <w:szCs w:val="32"/>
          <w:highlight w:val="none"/>
          <w:u w:val="single"/>
        </w:rPr>
      </w:pPr>
      <w:r>
        <w:rPr>
          <w:rFonts w:hint="eastAsia" w:asciiTheme="majorEastAsia" w:hAnsiTheme="majorEastAsia" w:eastAsiaTheme="majorEastAsia" w:cstheme="majorEastAsia"/>
          <w:b/>
          <w:bCs/>
          <w:i/>
          <w:color w:val="000000"/>
          <w:sz w:val="32"/>
          <w:szCs w:val="32"/>
          <w:highlight w:val="none"/>
          <w:u w:val="single"/>
        </w:rPr>
      </w:r>
      <w:r>
        <w:rPr>
          <w:rFonts w:hint="eastAsia" w:asciiTheme="majorEastAsia" w:hAnsiTheme="majorEastAsia" w:eastAsiaTheme="majorEastAsia" w:cstheme="majorEastAsia"/>
          <w:b/>
          <w:bCs/>
          <w:i/>
          <w:color w:val="000000"/>
          <w:sz w:val="32"/>
          <w:szCs w:val="32"/>
          <w:highlight w:val="none"/>
          <w:u w:val="single"/>
        </w:rPr>
      </w:r>
    </w:p>
    <w:p>
      <w:pPr>
        <w:pStyle w:val="823"/>
        <w:jc w:val="center"/>
        <w:spacing w:beforeAutospacing="0" w:afterAutospacing="0"/>
        <w:rPr>
          <w:rFonts w:hint="eastAsia" w:asciiTheme="majorEastAsia" w:hAnsiTheme="majorEastAsia" w:eastAsiaTheme="majorEastAsia" w:cstheme="majorEastAsia"/>
          <w:b/>
          <w:bCs/>
          <w:i/>
          <w:color w:val="000000"/>
          <w:sz w:val="32"/>
          <w:szCs w:val="32"/>
          <w:highlight w:val="none"/>
          <w:u w:val="single"/>
        </w:rPr>
      </w:pPr>
      <w:r>
        <w:rPr>
          <w:rFonts w:hint="eastAsia" w:asciiTheme="majorEastAsia" w:hAnsiTheme="majorEastAsia" w:eastAsiaTheme="majorEastAsia" w:cstheme="majorEastAsia"/>
          <w:b/>
          <w:bCs/>
          <w:i/>
          <w:color w:val="000000"/>
          <w:sz w:val="32"/>
          <w:szCs w:val="32"/>
          <w:highlight w:val="none"/>
          <w:u w:val="single"/>
        </w:rPr>
        <w:t xml:space="preserve">七、法人授权书</w:t>
      </w:r>
      <w:r/>
    </w:p>
    <w:p>
      <w:pPr>
        <w:pStyle w:val="823"/>
        <w:jc w:val="center"/>
        <w:spacing w:beforeAutospacing="0" w:afterAutospacing="0"/>
        <w:rPr>
          <w:rFonts w:hint="eastAsia" w:asciiTheme="majorEastAsia" w:hAnsiTheme="majorEastAsia" w:eastAsiaTheme="majorEastAsia" w:cstheme="majorEastAsia"/>
          <w:i/>
          <w:color w:val="000000"/>
          <w:sz w:val="32"/>
          <w:szCs w:val="32"/>
          <w:highlight w:val="none"/>
          <w:u w:val="single"/>
        </w:rPr>
      </w:pPr>
      <w:r>
        <w:rPr>
          <w:rFonts w:hint="eastAsia" w:asciiTheme="majorEastAsia" w:hAnsiTheme="majorEastAsia" w:eastAsiaTheme="majorEastAsia" w:cstheme="majorEastAsia"/>
          <w:i/>
          <w:color w:val="000000"/>
          <w:sz w:val="32"/>
          <w:szCs w:val="32"/>
          <w:highlight w:val="none"/>
          <w:u w:val="single"/>
        </w:rPr>
      </w:r>
      <w:r/>
    </w:p>
    <w:p>
      <w:pPr>
        <w:pStyle w:val="823"/>
        <w:ind w:firstLine="480"/>
        <w:jc w:val="both"/>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本授权书声明：____________（投标人名称）授权________________（被授权人的姓名）为我方就JSZC-</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rPr>
        <w:t xml:space="preserve">号项目采购活动的合法代理人，以本单位名义全权处理一切与该项目采购有关的事务。</w:t>
      </w:r>
      <w:r/>
    </w:p>
    <w:p>
      <w:pPr>
        <w:pStyle w:val="823"/>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本授权书于______年____月____日起生效，特此声明。</w:t>
      </w:r>
      <w:r/>
    </w:p>
    <w:p>
      <w:pPr>
        <w:pStyle w:val="823"/>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被授权人身份证号码：</w:t>
      </w:r>
      <w:r>
        <w:rPr>
          <w:rFonts w:hint="eastAsia" w:asciiTheme="majorEastAsia" w:hAnsiTheme="majorEastAsia" w:eastAsiaTheme="majorEastAsia" w:cstheme="majorEastAsia"/>
          <w:color w:val="000000"/>
          <w:highlight w:val="none"/>
          <w:u w:val="single"/>
        </w:rPr>
        <w:t xml:space="preserve">                   </w:t>
      </w:r>
      <w:r/>
    </w:p>
    <w:p>
      <w:pPr>
        <w:pStyle w:val="823"/>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 xml:space="preserve">被授权人联系电话：（手机）</w:t>
      </w:r>
      <w:r>
        <w:rPr>
          <w:rFonts w:hint="eastAsia" w:asciiTheme="majorEastAsia" w:hAnsiTheme="majorEastAsia" w:eastAsiaTheme="majorEastAsia" w:cstheme="majorEastAsia"/>
          <w:color w:val="000000"/>
          <w:highlight w:val="none"/>
          <w:u w:val="single"/>
        </w:rPr>
        <w:t xml:space="preserve">           </w:t>
      </w:r>
      <w:r/>
    </w:p>
    <w:p>
      <w:pPr>
        <w:pStyle w:val="823"/>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 xml:space="preserve">授权单位名称：</w:t>
      </w:r>
      <w:r>
        <w:rPr>
          <w:rFonts w:hint="eastAsia" w:asciiTheme="majorEastAsia" w:hAnsiTheme="majorEastAsia" w:eastAsiaTheme="majorEastAsia" w:cstheme="majorEastAsia"/>
          <w:color w:val="000000"/>
          <w:highlight w:val="none"/>
          <w:u w:val="single"/>
        </w:rPr>
        <w:t xml:space="preserve">（加盖CA电子公章）</w:t>
      </w:r>
      <w:r/>
    </w:p>
    <w:p>
      <w:pPr>
        <w:pStyle w:val="823"/>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 xml:space="preserve">单位地址：</w:t>
      </w:r>
      <w:r>
        <w:rPr>
          <w:rFonts w:hint="eastAsia" w:asciiTheme="majorEastAsia" w:hAnsiTheme="majorEastAsia" w:eastAsiaTheme="majorEastAsia" w:cstheme="majorEastAsia"/>
          <w:color w:val="000000"/>
          <w:highlight w:val="none"/>
          <w:u w:val="single"/>
        </w:rPr>
        <w:t xml:space="preserve">                   </w:t>
      </w:r>
      <w:r/>
    </w:p>
    <w:p>
      <w:pPr>
        <w:pStyle w:val="823"/>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日期：</w:t>
      </w:r>
      <w:bookmarkStart w:id="184" w:name="_格式3__银行出具的资信证明"/>
      <w:r/>
      <w:bookmarkStart w:id="185" w:name="_Hlt26671380"/>
      <w:r/>
      <w:bookmarkStart w:id="186" w:name="_Hlt26955070"/>
      <w:r>
        <w:rPr>
          <w:rFonts w:hint="eastAsia" w:asciiTheme="majorEastAsia" w:hAnsiTheme="majorEastAsia" w:eastAsiaTheme="majorEastAsia" w:cstheme="majorEastAsia"/>
          <w:color w:val="000000"/>
          <w:highlight w:val="none"/>
          <w:u w:val="single"/>
        </w:rPr>
        <w:t xml:space="preserve">                     </w:t>
      </w:r>
      <w:r/>
    </w:p>
    <w:p>
      <w:pPr>
        <w:pStyle w:val="823"/>
        <w:ind w:firstLine="42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ind w:firstLine="3390"/>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highlight w:val="none"/>
        </w:rPr>
        <w:br w:type="page" w:clear="all"/>
      </w:r>
      <w:r>
        <w:rPr>
          <w:rFonts w:hint="eastAsia" w:asciiTheme="majorEastAsia" w:hAnsiTheme="majorEastAsia" w:eastAsiaTheme="majorEastAsia" w:cstheme="majorEastAsia"/>
          <w:b/>
          <w:color w:val="000000"/>
          <w:sz w:val="32"/>
          <w:szCs w:val="32"/>
          <w:highlight w:val="none"/>
        </w:rPr>
        <w:t xml:space="preserve">八、投标函</w:t>
      </w:r>
      <w:r/>
    </w:p>
    <w:p>
      <w:pPr>
        <w:pStyle w:val="823"/>
        <w:spacing w:beforeAutospacing="0" w:afterAutospacing="0" w:line="0" w:lineRule="atLeast"/>
        <w:rPr>
          <w:rFonts w:hint="eastAsia" w:asciiTheme="majorEastAsia" w:hAnsiTheme="majorEastAsia" w:eastAsiaTheme="majorEastAsia" w:cstheme="majorEastAsia"/>
          <w:highlight w:val="none"/>
          <w:lang w:val="en-US" w:eastAsia="zh-CN"/>
        </w:rPr>
      </w:pPr>
      <w:r>
        <w:rPr>
          <w:rFonts w:hint="eastAsia" w:asciiTheme="majorEastAsia" w:hAnsiTheme="majorEastAsia" w:eastAsiaTheme="majorEastAsia" w:cstheme="majorEastAsia"/>
          <w:color w:val="000000"/>
          <w:highlight w:val="none"/>
        </w:rPr>
        <w:t xml:space="preserve">致：</w:t>
      </w:r>
      <w:r>
        <w:rPr>
          <w:rFonts w:hint="eastAsia" w:asciiTheme="majorEastAsia" w:hAnsiTheme="majorEastAsia" w:eastAsiaTheme="majorEastAsia" w:cstheme="majorEastAsia"/>
          <w:color w:val="000000"/>
          <w:highlight w:val="none"/>
          <w:u w:val="single"/>
          <w:lang w:val="en-US" w:eastAsia="zh-CN"/>
        </w:rPr>
        <w:t xml:space="preserve">滨海县自然资源和规划局</w:t>
      </w:r>
      <w:r/>
    </w:p>
    <w:p>
      <w:pPr>
        <w:pStyle w:val="823"/>
        <w:ind w:firstLine="480"/>
        <w:spacing w:beforeAutospacing="0" w:afterAutospacing="0" w:line="0" w:lineRule="atLeast"/>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82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根据贵方的</w:t>
      </w:r>
      <w:r>
        <w:rPr>
          <w:rFonts w:hint="eastAsia" w:asciiTheme="majorEastAsia" w:hAnsiTheme="majorEastAsia" w:eastAsiaTheme="majorEastAsia" w:cstheme="majorEastAsia"/>
          <w:color w:val="000000"/>
          <w:highlight w:val="none"/>
          <w:u w:val="single"/>
        </w:rPr>
        <w:t xml:space="preserve">JSZC-</w:t>
      </w:r>
      <w:r>
        <w:rPr>
          <w:rFonts w:hint="eastAsia" w:asciiTheme="majorEastAsia" w:hAnsiTheme="majorEastAsia" w:eastAsiaTheme="majorEastAsia" w:cstheme="majorEastAsia"/>
          <w:color w:val="000000"/>
          <w:highlight w:val="none"/>
          <w:u w:val="single"/>
          <w:lang w:val="en-US" w:eastAsia="zh-CN"/>
        </w:rPr>
        <w:t xml:space="preserve">****</w:t>
      </w:r>
      <w:r>
        <w:rPr>
          <w:rFonts w:hint="eastAsia" w:asciiTheme="majorEastAsia" w:hAnsiTheme="majorEastAsia" w:eastAsiaTheme="majorEastAsia" w:cstheme="majorEastAsia"/>
          <w:color w:val="000000"/>
          <w:highlight w:val="none"/>
          <w:u w:val="single"/>
        </w:rPr>
        <w:t xml:space="preserve">号</w:t>
      </w:r>
      <w:r>
        <w:rPr>
          <w:rFonts w:hint="eastAsia" w:asciiTheme="majorEastAsia" w:hAnsiTheme="majorEastAsia" w:eastAsiaTheme="majorEastAsia" w:cstheme="majorEastAsia"/>
          <w:color w:val="000000"/>
          <w:highlight w:val="none"/>
        </w:rPr>
        <w:t xml:space="preserve">招标文件，正式授权下述签字人______(姓名)代表我方______________（投标人的名称），全权处理本次项目投标的有关事宜。</w:t>
      </w:r>
      <w:r/>
    </w:p>
    <w:p>
      <w:pPr>
        <w:pStyle w:val="82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据此函，__________签字人兹宣布同意如下：</w:t>
      </w:r>
      <w:r/>
    </w:p>
    <w:p>
      <w:pPr>
        <w:pStyle w:val="82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1.按招标文件规定的各项要求，向买方提供所需服务（包含与服务相关的货物）。</w:t>
      </w:r>
      <w:r/>
    </w:p>
    <w:p>
      <w:pPr>
        <w:pStyle w:val="82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2.我们完全理解贵方不一定将合同授予最低报价的投标人。</w:t>
      </w:r>
      <w:r/>
    </w:p>
    <w:p>
      <w:pPr>
        <w:pStyle w:val="82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3.我们已详细审核全部招标文件及其有效补充文件，我们知道必须放弃提出含糊不清或误解问题的权利。</w:t>
      </w:r>
      <w:r/>
    </w:p>
    <w:p>
      <w:pPr>
        <w:pStyle w:val="82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4.我们同意从规定的开标日期起遵循本投标文件，并在规定的投标有效期期满之前均具有约束力。</w:t>
      </w:r>
      <w:r/>
    </w:p>
    <w:p>
      <w:pPr>
        <w:pStyle w:val="82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5.同意向贵方提供贵方可能另外要求的与投标有关的任何证据或资料，并保证我方已提供和将要提供的文件是真实的、准确的。</w:t>
      </w:r>
      <w:r/>
    </w:p>
    <w:p>
      <w:pPr>
        <w:pStyle w:val="82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6.一旦我方中标,我方将根据招标文件的规定，严格履行合同的责任和义务,并保证在招标文件规定的时间完成项目，交付买方验收、使用。</w:t>
      </w:r>
      <w:r/>
    </w:p>
    <w:p>
      <w:pPr>
        <w:pStyle w:val="823"/>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7.与本投标有关的正式通讯地址为：</w:t>
      </w:r>
      <w:r/>
    </w:p>
    <w:p>
      <w:pPr>
        <w:pStyle w:val="823"/>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地          址：</w:t>
      </w:r>
      <w:r/>
    </w:p>
    <w:p>
      <w:pPr>
        <w:pStyle w:val="823"/>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邮          编：</w:t>
      </w:r>
      <w:r/>
    </w:p>
    <w:p>
      <w:pPr>
        <w:pStyle w:val="823"/>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电          话：</w:t>
      </w:r>
      <w:r/>
    </w:p>
    <w:p>
      <w:pPr>
        <w:pStyle w:val="823"/>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传          真：</w:t>
      </w:r>
      <w:r/>
    </w:p>
    <w:p>
      <w:pPr>
        <w:pStyle w:val="823"/>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投标人开户行：</w:t>
      </w:r>
      <w:r/>
    </w:p>
    <w:p>
      <w:pPr>
        <w:pStyle w:val="823"/>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账          号： </w:t>
      </w:r>
      <w:r/>
    </w:p>
    <w:p>
      <w:pPr>
        <w:pStyle w:val="823"/>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日           期：________年____月____日</w:t>
      </w:r>
      <w:r/>
    </w:p>
    <w:p>
      <w:pPr>
        <w:pStyle w:val="823"/>
        <w:ind w:firstLine="240"/>
        <w:jc w:val="center"/>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ind w:firstLine="240"/>
        <w:jc w:val="center"/>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ind w:firstLine="240"/>
        <w:jc w:val="center"/>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ind w:firstLine="240"/>
        <w:jc w:val="center"/>
        <w:keepLines w:val="0"/>
        <w:keepNext w:val="0"/>
        <w:pageBreakBefore w:val="0"/>
        <w:spacing w:beforeAutospacing="0" w:afterAutospacing="0" w:line="36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ind w:firstLine="1285"/>
        <w:jc w:val="both"/>
        <w:keepLines/>
        <w:keepNext/>
        <w:spacing w:before="260" w:beforeAutospacing="0" w:after="260" w:afterAutospacing="0" w:line="415"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color w:val="000000"/>
          <w:sz w:val="32"/>
          <w:szCs w:val="32"/>
          <w:highlight w:val="none"/>
        </w:rPr>
        <w:t xml:space="preserve">九、</w:t>
      </w:r>
      <w:r>
        <w:rPr>
          <w:rFonts w:hint="eastAsia" w:asciiTheme="majorEastAsia" w:hAnsiTheme="majorEastAsia" w:eastAsiaTheme="majorEastAsia" w:cstheme="majorEastAsia"/>
          <w:b/>
          <w:color w:val="000000"/>
          <w:sz w:val="32"/>
          <w:szCs w:val="32"/>
          <w:highlight w:val="none"/>
          <w:lang w:val="en-US" w:eastAsia="zh-CN"/>
        </w:rPr>
        <w:t xml:space="preserve">中小</w:t>
      </w:r>
      <w:r>
        <w:rPr>
          <w:rFonts w:hint="eastAsia" w:asciiTheme="majorEastAsia" w:hAnsiTheme="majorEastAsia" w:eastAsiaTheme="majorEastAsia" w:cstheme="majorEastAsia"/>
          <w:b/>
          <w:color w:val="000000"/>
          <w:sz w:val="32"/>
          <w:szCs w:val="32"/>
          <w:highlight w:val="none"/>
        </w:rPr>
        <w:t xml:space="preserve">企业声明函（服务）（分包号：**）</w:t>
      </w:r>
      <w:r/>
    </w:p>
    <w:p>
      <w:p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本公司（联合体）郑重声明，根据《政府采购促进中小企业发展管理办法》（财库﹝2020﹞46 号）的规定，本公司（联合体）参加</w:t>
      </w:r>
      <w:r>
        <w:rPr>
          <w:rFonts w:hint="eastAsia" w:asciiTheme="majorEastAsia" w:hAnsiTheme="majorEastAsia" w:eastAsiaTheme="majorEastAsia" w:cstheme="majorEastAsia"/>
          <w:color w:val="auto"/>
          <w:sz w:val="24"/>
          <w:highlight w:val="none"/>
          <w:u w:val="single"/>
          <w:lang w:val="en-US" w:eastAsia="zh-CN"/>
        </w:rPr>
        <w:t xml:space="preserve">滨海县自然资源和规划局</w:t>
      </w:r>
      <w:r>
        <w:rPr>
          <w:rFonts w:hint="eastAsia" w:asciiTheme="majorEastAsia" w:hAnsiTheme="majorEastAsia" w:eastAsiaTheme="majorEastAsia" w:cstheme="majorEastAsia"/>
          <w:color w:val="auto"/>
          <w:sz w:val="24"/>
          <w:highlight w:val="none"/>
        </w:rPr>
        <w:t xml:space="preserve">组织的采购编号为</w:t>
      </w:r>
      <w:r>
        <w:rPr>
          <w:rFonts w:hint="eastAsia" w:asciiTheme="majorEastAsia" w:hAnsiTheme="majorEastAsia" w:eastAsiaTheme="majorEastAsia" w:cstheme="majorEastAsia"/>
          <w:i/>
          <w:iCs/>
          <w:color w:val="auto"/>
          <w:sz w:val="24"/>
          <w:highlight w:val="none"/>
          <w:u w:val="single"/>
          <w:lang w:val="en-US" w:eastAsia="zh-CN"/>
        </w:rPr>
        <w:t xml:space="preserve">（</w:t>
      </w:r>
      <w:r>
        <w:rPr>
          <w:rFonts w:hint="eastAsia" w:asciiTheme="majorEastAsia" w:hAnsiTheme="majorEastAsia" w:eastAsiaTheme="majorEastAsia" w:cstheme="majorEastAsia"/>
          <w:i/>
          <w:iCs/>
          <w:color w:val="auto"/>
          <w:sz w:val="24"/>
          <w:highlight w:val="none"/>
          <w:u w:val="single"/>
        </w:rPr>
        <w:t xml:space="preserve">采购编号</w:t>
      </w:r>
      <w:r>
        <w:rPr>
          <w:rFonts w:hint="eastAsia" w:asciiTheme="majorEastAsia" w:hAnsiTheme="majorEastAsia" w:eastAsiaTheme="majorEastAsia" w:cstheme="majorEastAsia"/>
          <w:i/>
          <w:iCs/>
          <w:color w:val="auto"/>
          <w:sz w:val="24"/>
          <w:highlight w:val="none"/>
          <w:u w:val="single"/>
          <w:lang w:val="en-US" w:eastAsia="zh-CN"/>
        </w:rPr>
        <w:t xml:space="preserve">）</w:t>
      </w:r>
      <w:r>
        <w:rPr>
          <w:rFonts w:hint="eastAsia" w:asciiTheme="majorEastAsia" w:hAnsiTheme="majorEastAsia" w:eastAsiaTheme="majorEastAsia" w:cstheme="majorEastAsia"/>
          <w:color w:val="auto"/>
          <w:sz w:val="24"/>
          <w:highlight w:val="none"/>
          <w:lang w:val="en-US" w:eastAsia="zh-CN"/>
        </w:rPr>
        <w:t xml:space="preserve">的</w:t>
      </w:r>
      <w:r>
        <w:rPr>
          <w:rFonts w:hint="eastAsia" w:asciiTheme="majorEastAsia" w:hAnsiTheme="majorEastAsia" w:eastAsiaTheme="majorEastAsia" w:cstheme="majorEastAsia"/>
          <w:i/>
          <w:iCs/>
          <w:color w:val="auto"/>
          <w:sz w:val="24"/>
          <w:highlight w:val="none"/>
          <w:u w:val="single"/>
        </w:rPr>
        <w:t xml:space="preserve">（项目名称）</w:t>
      </w:r>
      <w:r>
        <w:rPr>
          <w:rFonts w:hint="eastAsia" w:asciiTheme="majorEastAsia" w:hAnsiTheme="majorEastAsia" w:eastAsiaTheme="majorEastAsia" w:cstheme="major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i/>
          <w:iCs/>
          <w:color w:val="auto"/>
          <w:sz w:val="24"/>
          <w:highlight w:val="none"/>
          <w:u w:val="single"/>
        </w:rPr>
        <w:t xml:space="preserve">（标的名称）</w:t>
      </w:r>
      <w:r>
        <w:rPr>
          <w:rFonts w:hint="eastAsia" w:asciiTheme="majorEastAsia" w:hAnsiTheme="majorEastAsia" w:eastAsiaTheme="majorEastAsia" w:cstheme="majorEastAsia"/>
          <w:color w:val="auto"/>
          <w:sz w:val="24"/>
          <w:highlight w:val="none"/>
        </w:rPr>
        <w:t xml:space="preserve"> ，属于</w:t>
      </w:r>
      <w:r>
        <w:rPr>
          <w:rFonts w:hint="eastAsia" w:asciiTheme="majorEastAsia" w:hAnsiTheme="majorEastAsia" w:eastAsiaTheme="majorEastAsia" w:cstheme="majorEastAsia"/>
          <w:i/>
          <w:iCs/>
          <w:color w:val="auto"/>
          <w:sz w:val="24"/>
          <w:highlight w:val="none"/>
          <w:u w:val="single"/>
        </w:rPr>
        <w:t xml:space="preserve">（采购文件中明确的所属行业）</w:t>
      </w:r>
      <w:r>
        <w:rPr>
          <w:rFonts w:hint="eastAsia" w:asciiTheme="majorEastAsia" w:hAnsiTheme="majorEastAsia" w:eastAsiaTheme="majorEastAsia" w:cstheme="majorEastAsia"/>
          <w:color w:val="auto"/>
          <w:sz w:val="24"/>
          <w:highlight w:val="none"/>
        </w:rPr>
        <w:t xml:space="preserve">；承建（承接）企业为</w:t>
      </w:r>
      <w:r>
        <w:rPr>
          <w:rFonts w:hint="eastAsia" w:asciiTheme="majorEastAsia" w:hAnsiTheme="majorEastAsia" w:eastAsiaTheme="majorEastAsia" w:cstheme="majorEastAsia"/>
          <w:i/>
          <w:iCs/>
          <w:color w:val="auto"/>
          <w:sz w:val="24"/>
          <w:highlight w:val="none"/>
          <w:u w:val="single"/>
        </w:rPr>
        <w:t xml:space="preserve">（企业名称）</w:t>
      </w:r>
      <w:r>
        <w:rPr>
          <w:rFonts w:hint="eastAsia" w:asciiTheme="majorEastAsia" w:hAnsiTheme="majorEastAsia" w:eastAsiaTheme="majorEastAsia" w:cstheme="majorEastAsia"/>
          <w:color w:val="auto"/>
          <w:sz w:val="24"/>
          <w:highlight w:val="none"/>
        </w:rPr>
        <w:t xml:space="preserve">，从业人员</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人，营业收入为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万元，资产总额为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万元，属于（</w:t>
      </w:r>
      <w:r>
        <w:rPr>
          <w:rFonts w:hint="eastAsia" w:asciiTheme="majorEastAsia" w:hAnsiTheme="majorEastAsia" w:eastAsiaTheme="majorEastAsia" w:cstheme="majorEastAsia"/>
          <w:i/>
          <w:iCs/>
          <w:color w:val="auto"/>
          <w:sz w:val="24"/>
          <w:highlight w:val="none"/>
          <w:u w:val="single"/>
        </w:rPr>
        <w:t xml:space="preserve">中型企业、小型企业、微型企业</w:t>
      </w:r>
      <w:r>
        <w:rPr>
          <w:rFonts w:hint="eastAsia" w:asciiTheme="majorEastAsia" w:hAnsiTheme="majorEastAsia" w:eastAsiaTheme="majorEastAsia" w:cstheme="majorEastAsia"/>
          <w:color w:val="auto"/>
          <w:sz w:val="24"/>
          <w:highlight w:val="none"/>
        </w:rPr>
        <w:t xml:space="preserve">）；</w:t>
      </w:r>
      <w:r/>
    </w:p>
    <w:p>
      <w:pPr>
        <w:numPr>
          <w:ilvl w:val="0"/>
          <w:numId w:val="3"/>
        </w:numPr>
        <w:ind w:left="0"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i/>
          <w:iCs/>
          <w:color w:val="auto"/>
          <w:sz w:val="24"/>
          <w:highlight w:val="none"/>
          <w:u w:val="single"/>
        </w:rPr>
        <w:t xml:space="preserve">（标的名称）</w:t>
      </w:r>
      <w:r>
        <w:rPr>
          <w:rFonts w:hint="eastAsia" w:asciiTheme="majorEastAsia" w:hAnsiTheme="majorEastAsia" w:eastAsiaTheme="majorEastAsia" w:cstheme="majorEastAsia"/>
          <w:color w:val="auto"/>
          <w:sz w:val="24"/>
          <w:highlight w:val="none"/>
        </w:rPr>
        <w:t xml:space="preserve"> ，属于</w:t>
      </w:r>
      <w:r>
        <w:rPr>
          <w:rFonts w:hint="eastAsia" w:asciiTheme="majorEastAsia" w:hAnsiTheme="majorEastAsia" w:eastAsiaTheme="majorEastAsia" w:cstheme="majorEastAsia"/>
          <w:i/>
          <w:iCs/>
          <w:color w:val="auto"/>
          <w:sz w:val="24"/>
          <w:highlight w:val="none"/>
          <w:u w:val="single"/>
        </w:rPr>
        <w:t xml:space="preserve">（采购文件中明确的所属行业）</w:t>
      </w:r>
      <w:r>
        <w:rPr>
          <w:rFonts w:hint="eastAsia" w:asciiTheme="majorEastAsia" w:hAnsiTheme="majorEastAsia" w:eastAsiaTheme="majorEastAsia" w:cstheme="majorEastAsia"/>
          <w:color w:val="auto"/>
          <w:sz w:val="24"/>
          <w:highlight w:val="none"/>
        </w:rPr>
        <w:t xml:space="preserve">；承建（承接）企业为</w:t>
      </w:r>
      <w:r>
        <w:rPr>
          <w:rFonts w:hint="eastAsia" w:asciiTheme="majorEastAsia" w:hAnsiTheme="majorEastAsia" w:eastAsiaTheme="majorEastAsia" w:cstheme="majorEastAsia"/>
          <w:i/>
          <w:iCs/>
          <w:color w:val="auto"/>
          <w:sz w:val="24"/>
          <w:highlight w:val="none"/>
          <w:u w:val="single"/>
        </w:rPr>
        <w:t xml:space="preserve">（企业名称）</w:t>
      </w:r>
      <w:r>
        <w:rPr>
          <w:rFonts w:hint="eastAsia" w:asciiTheme="majorEastAsia" w:hAnsiTheme="majorEastAsia" w:eastAsiaTheme="majorEastAsia" w:cstheme="majorEastAsia"/>
          <w:color w:val="auto"/>
          <w:sz w:val="24"/>
          <w:highlight w:val="none"/>
        </w:rPr>
        <w:t xml:space="preserve">，从业人员</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人，营业收入为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万元，资产总额为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万元，属于</w:t>
      </w:r>
      <w:r>
        <w:rPr>
          <w:rFonts w:hint="eastAsia" w:asciiTheme="majorEastAsia" w:hAnsiTheme="majorEastAsia" w:eastAsiaTheme="majorEastAsia" w:cstheme="majorEastAsia"/>
          <w:i/>
          <w:iCs/>
          <w:color w:val="auto"/>
          <w:sz w:val="24"/>
          <w:highlight w:val="none"/>
          <w:u w:val="single"/>
        </w:rPr>
        <w:t xml:space="preserve">（中型企业、小型企业、微型企业）</w:t>
      </w:r>
      <w:r>
        <w:rPr>
          <w:rFonts w:hint="eastAsia" w:asciiTheme="majorEastAsia" w:hAnsiTheme="majorEastAsia" w:eastAsiaTheme="majorEastAsia" w:cstheme="majorEastAsia"/>
          <w:color w:val="auto"/>
          <w:sz w:val="24"/>
          <w:highlight w:val="none"/>
        </w:rPr>
        <w:t xml:space="preserve">；</w:t>
      </w:r>
      <w:r/>
    </w:p>
    <w:p>
      <w:pPr>
        <w:numPr>
          <w:ilvl w:val="0"/>
          <w:numId w:val="0"/>
        </w:num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w:t>
      </w:r>
      <w:r/>
    </w:p>
    <w:p>
      <w:pPr>
        <w:numPr>
          <w:ilvl w:val="0"/>
          <w:numId w:val="0"/>
        </w:num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本企业对上述声明内容的真实性负责。如有虚假，将依法承担相应责任。</w:t>
      </w:r>
      <w:r/>
    </w:p>
    <w:p>
      <w:pPr>
        <w:pStyle w:val="823"/>
        <w:ind w:right="72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3"/>
        <w:ind w:right="180" w:firstLine="360"/>
        <w:jc w:val="right"/>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企业名称（加盖CA电子公章）：</w:t>
      </w:r>
      <w:r/>
    </w:p>
    <w:p>
      <w:pPr>
        <w:pStyle w:val="823"/>
        <w:ind w:right="480" w:firstLine="540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日  期：</w:t>
      </w:r>
      <w:r/>
    </w:p>
    <w:p>
      <w:pPr>
        <w:pStyle w:val="823"/>
        <w:ind w:firstLine="24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3"/>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备注1：从业人员、营业收入、资产总额填报上一年度数据，无上一年度数据的新成立企业可不填报。</w:t>
      </w:r>
      <w:r/>
    </w:p>
    <w:p>
      <w:pPr>
        <w:pStyle w:val="823"/>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备注2：供应商如不提供此声明函，价格将不做相应扣除</w:t>
      </w:r>
      <w:r>
        <w:rPr>
          <w:rFonts w:hint="eastAsia" w:asciiTheme="majorEastAsia" w:hAnsiTheme="majorEastAsia" w:eastAsiaTheme="majorEastAsia" w:cstheme="majorEastAsia"/>
          <w:color w:val="auto"/>
          <w:highlight w:val="none"/>
          <w:lang w:eastAsia="zh-CN"/>
        </w:rPr>
        <w:t xml:space="preserve">（如项目全面面向中小企业，则资格审查不通过）</w:t>
      </w:r>
      <w:r>
        <w:rPr>
          <w:rFonts w:hint="eastAsia" w:asciiTheme="majorEastAsia" w:hAnsiTheme="majorEastAsia" w:eastAsiaTheme="majorEastAsia" w:cstheme="majorEastAsia"/>
          <w:color w:val="auto"/>
          <w:highlight w:val="none"/>
        </w:rPr>
        <w:t xml:space="preserve">。</w:t>
      </w:r>
      <w:r/>
    </w:p>
    <w:p>
      <w:pPr>
        <w:pStyle w:val="823"/>
        <w:ind w:firstLine="1285"/>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auto"/>
          <w:sz w:val="32"/>
          <w:szCs w:val="32"/>
          <w:highlight w:val="none"/>
        </w:rPr>
        <w:br w:type="page" w:clear="all"/>
      </w:r>
      <w:r>
        <w:rPr>
          <w:rFonts w:hint="eastAsia" w:asciiTheme="majorEastAsia" w:hAnsiTheme="majorEastAsia" w:eastAsiaTheme="majorEastAsia" w:cstheme="majorEastAsia"/>
          <w:b/>
          <w:color w:val="000000"/>
          <w:sz w:val="32"/>
          <w:szCs w:val="32"/>
          <w:highlight w:val="none"/>
        </w:rPr>
        <w:t xml:space="preserve">十、残疾人福利性单位声明函（分包号：**）</w:t>
      </w:r>
      <w:r/>
    </w:p>
    <w:p>
      <w:pPr>
        <w:pStyle w:val="823"/>
        <w:ind w:firstLine="48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823"/>
        <w:ind w:firstLine="48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本单位郑重声明，根据《财政部 民政部 中国残疾人联合会关于促进残疾人就业政府采购政策的通知》（财库</w:t>
      </w:r>
      <w:r>
        <w:rPr>
          <w:rFonts w:hint="eastAsia" w:asciiTheme="majorEastAsia" w:hAnsiTheme="majorEastAsia" w:eastAsiaTheme="majorEastAsia" w:cstheme="majorEastAsia"/>
          <w:color w:val="000000"/>
          <w:highlight w:val="none"/>
          <w:lang w:eastAsia="zh-CN"/>
        </w:rPr>
        <w:t xml:space="preserve">〔2017〕141号</w:t>
      </w:r>
      <w:r>
        <w:rPr>
          <w:rFonts w:hint="eastAsia" w:asciiTheme="majorEastAsia" w:hAnsiTheme="majorEastAsia" w:eastAsiaTheme="majorEastAsia" w:cstheme="majorEastAsia"/>
          <w:color w:val="000000"/>
          <w:highlight w:val="none"/>
        </w:rPr>
        <w:t xml:space="preserve">）的规定，本单位为符合条件的残疾人福利性单位，且本单位参加______单位的采购文件编号为______的</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rPr>
        <w:t xml:space="preserve">项目（分包号：**）采购活动由本单位提供服务。</w:t>
      </w:r>
      <w:r/>
    </w:p>
    <w:p>
      <w:pPr>
        <w:pStyle w:val="823"/>
        <w:ind w:firstLine="48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本单位对上述声明的真实性负责。如有虚假，将依法承担相应责任。</w:t>
      </w:r>
      <w:r/>
    </w:p>
    <w:p>
      <w:pPr>
        <w:pStyle w:val="823"/>
        <w:ind w:firstLine="48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highlight w:val="none"/>
          <w:lang w:eastAsia="zh-CN"/>
        </w:rPr>
      </w:pPr>
      <w:r>
        <w:rPr>
          <w:rFonts w:hint="eastAsia" w:asciiTheme="majorEastAsia" w:hAnsiTheme="majorEastAsia" w:eastAsiaTheme="majorEastAsia" w:cstheme="majorEastAsia"/>
          <w:color w:val="000000"/>
          <w:highlight w:val="none"/>
        </w:rPr>
        <w:t xml:space="preserve">备注：1、供应商如不提供此声明函，价格将不做相应扣除</w:t>
      </w:r>
      <w:r>
        <w:rPr>
          <w:rFonts w:hint="eastAsia" w:asciiTheme="majorEastAsia" w:hAnsiTheme="majorEastAsia" w:eastAsiaTheme="majorEastAsia" w:cstheme="majorEastAsia"/>
          <w:color w:val="000000"/>
          <w:highlight w:val="none"/>
          <w:lang w:eastAsia="zh-CN"/>
        </w:rPr>
        <w:t xml:space="preserve">（如项目全面面向中小企业，则资格审查不通过）。</w:t>
      </w:r>
      <w:r/>
    </w:p>
    <w:p>
      <w:pPr>
        <w:pStyle w:val="823"/>
        <w:ind w:firstLine="48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2、中标人为残疾人福利单位的，此声明函将随中标结果同时公告，接受社会监督</w:t>
      </w:r>
      <w:r/>
    </w:p>
    <w:p>
      <w:pPr>
        <w:pStyle w:val="823"/>
        <w:ind w:firstLine="624"/>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ind w:right="1560" w:firstLine="624"/>
        <w:jc w:val="center"/>
        <w:keepLines w:val="0"/>
        <w:keepNext w:val="0"/>
        <w:pageBreakBefore w:val="0"/>
        <w:spacing w:beforeAutospacing="0" w:afterAutospacing="0" w:line="480" w:lineRule="auto"/>
        <w:widowControl w:val="off"/>
        <w:tabs>
          <w:tab w:val="left" w:pos="4864"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sz w:val="30"/>
          <w:szCs w:val="30"/>
          <w:highlight w:val="none"/>
        </w:rPr>
        <w:t xml:space="preserve">       </w:t>
      </w:r>
      <w:r>
        <w:rPr>
          <w:rFonts w:hint="eastAsia" w:asciiTheme="majorEastAsia" w:hAnsiTheme="majorEastAsia" w:eastAsiaTheme="majorEastAsia" w:cstheme="majorEastAsia"/>
          <w:color w:val="000000"/>
          <w:highlight w:val="none"/>
        </w:rPr>
        <w:t xml:space="preserve"> 供应商全称（加盖CA电子公章）：</w:t>
      </w:r>
      <w:r/>
    </w:p>
    <w:p>
      <w:pPr>
        <w:pStyle w:val="823"/>
        <w:ind w:right="1560" w:firstLine="480"/>
        <w:jc w:val="center"/>
        <w:keepLines w:val="0"/>
        <w:keepNext w:val="0"/>
        <w:pageBreakBefore w:val="0"/>
        <w:spacing w:beforeAutospacing="0" w:afterAutospacing="0" w:line="480" w:lineRule="auto"/>
        <w:widowControl w:val="off"/>
        <w:tabs>
          <w:tab w:val="left" w:pos="4864"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        日  期：</w:t>
      </w:r>
      <w:r/>
    </w:p>
    <w:p>
      <w:pPr>
        <w:pStyle w:val="82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numPr>
          <w:ilvl w:val="0"/>
          <w:numId w:val="0"/>
        </w:numPr>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lang w:val="en-US" w:eastAsia="zh-CN" w:bidi="ar-SA"/>
        </w:rPr>
        <w:t xml:space="preserve">十一、</w:t>
      </w:r>
      <w:r>
        <w:rPr>
          <w:rFonts w:hint="eastAsia" w:asciiTheme="majorEastAsia" w:hAnsiTheme="majorEastAsia" w:eastAsiaTheme="majorEastAsia" w:cstheme="majorEastAsia"/>
          <w:b/>
          <w:color w:val="000000"/>
          <w:sz w:val="32"/>
          <w:szCs w:val="32"/>
          <w:highlight w:val="none"/>
        </w:rPr>
        <w:t xml:space="preserve">关于符合本国产品标准的声明函（</w:t>
      </w:r>
      <w:r>
        <w:rPr>
          <w:rFonts w:hint="eastAsia" w:asciiTheme="majorEastAsia" w:hAnsiTheme="majorEastAsia" w:eastAsiaTheme="majorEastAsia" w:cstheme="majorEastAsia"/>
          <w:b/>
          <w:color w:val="000000"/>
          <w:sz w:val="32"/>
          <w:szCs w:val="32"/>
          <w:highlight w:val="none"/>
          <w:lang w:val="en-US" w:eastAsia="zh-CN"/>
        </w:rPr>
        <w:t xml:space="preserve">分</w:t>
      </w:r>
      <w:r>
        <w:rPr>
          <w:rFonts w:hint="eastAsia" w:asciiTheme="majorEastAsia" w:hAnsiTheme="majorEastAsia" w:eastAsiaTheme="majorEastAsia" w:cstheme="majorEastAsia"/>
          <w:b/>
          <w:color w:val="000000"/>
          <w:sz w:val="32"/>
          <w:szCs w:val="32"/>
          <w:highlight w:val="none"/>
        </w:rPr>
        <w:t xml:space="preserve">包号：**）</w:t>
      </w:r>
      <w:r/>
    </w:p>
    <w:p>
      <w:pPr>
        <w:pStyle w:val="823"/>
        <w:numPr>
          <w:ilvl w:val="0"/>
          <w:numId w:val="0"/>
        </w:numPr>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lang w:val="en-US" w:eastAsia="zh-CN"/>
        </w:rPr>
        <w:t xml:space="preserve">本项目不涉及</w:t>
      </w:r>
      <w:r/>
    </w:p>
    <w:p>
      <w:pPr>
        <w:pStyle w:val="823"/>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823"/>
        <w:ind w:left="0" w:firstLine="420"/>
        <w:jc w:val="both"/>
        <w:keepLines w:val="0"/>
        <w:keepNext w:val="0"/>
        <w:spacing w:before="0" w:beforeAutospacing="0" w:after="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3"/>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w:t>
      </w:r>
      <w:r>
        <w:rPr>
          <w:rFonts w:ascii="宋体" w:hAnsi="宋体" w:eastAsia="宋体" w:cs="宋体"/>
          <w:b w:val="0"/>
          <w:bCs w:val="0"/>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vertAlign w:val="superscript"/>
        </w:rPr>
        <w:t xml:space="preserve">1</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vertAlign w:val="superscript"/>
        </w:rPr>
        <w:t xml:space="preserve">2</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 （产品名称1）</w:t>
      </w:r>
      <w:r>
        <w:rPr>
          <w:rFonts w:ascii="宋体" w:hAnsi="宋体" w:eastAsia="宋体" w:cs="宋体"/>
          <w:b w:val="0"/>
          <w:bCs w:val="0"/>
          <w:color w:val="auto"/>
          <w:sz w:val="24"/>
          <w:szCs w:val="24"/>
          <w:u w:val="single"/>
          <w:shd w:val="clear" w:color="auto" w:fill="ffffff"/>
        </w:rPr>
        <w:t xml:space="preserve"> </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strike/>
          <w:color w:val="auto"/>
          <w:sz w:val="24"/>
          <w:szCs w:val="24"/>
          <w:shd w:val="clear" w:color="auto" w:fill="ffffff"/>
          <w:vertAlign w:val="superscript"/>
        </w:rPr>
        <w:t xml:space="preserve">3</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strike/>
          <w:color w:val="auto"/>
          <w:sz w:val="24"/>
          <w:szCs w:val="24"/>
          <w:shd w:val="clear" w:color="auto" w:fill="ffffff"/>
          <w:vertAlign w:val="superscript"/>
        </w:rPr>
        <w:t xml:space="preserve">4</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strike/>
          <w:color w:val="auto"/>
          <w:sz w:val="24"/>
          <w:szCs w:val="24"/>
          <w:shd w:val="clear" w:color="auto" w:fill="ffffff"/>
          <w:vertAlign w:val="superscript"/>
        </w:rPr>
        <w:t xml:space="preserve">5</w:t>
      </w:r>
      <w:r>
        <w:rPr>
          <w:rFonts w:ascii="宋体" w:hAnsi="宋体" w:eastAsia="宋体" w:cs="宋体"/>
          <w:b w:val="0"/>
          <w:bCs w:val="0"/>
          <w:color w:val="auto"/>
          <w:sz w:val="24"/>
          <w:szCs w:val="24"/>
          <w:shd w:val="clear" w:color="auto" w:fill="ffffff"/>
        </w:rPr>
        <w:t xml:space="preserve">在中国境内完成。</w:t>
      </w:r>
      <w:r/>
    </w:p>
    <w:p>
      <w:pPr>
        <w:pStyle w:val="823"/>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w:t>
      </w:r>
      <w:r>
        <w:rPr>
          <w:rFonts w:ascii="宋体" w:hAnsi="宋体" w:eastAsia="宋体" w:cs="宋体"/>
          <w:b w:val="0"/>
          <w:bCs w:val="0"/>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color w:val="auto"/>
          <w:sz w:val="24"/>
          <w:szCs w:val="24"/>
          <w:shd w:val="clear" w:color="auto" w:fill="ffffff"/>
        </w:rPr>
        <w:t xml:space="preserve">在中国境内完成。</w:t>
      </w:r>
      <w:r/>
    </w:p>
    <w:p>
      <w:pPr>
        <w:pStyle w:val="823"/>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w:t>
      </w:r>
      <w:r/>
    </w:p>
    <w:p>
      <w:pPr>
        <w:pStyle w:val="823"/>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本公司（单位）对上述声明内容的真实性负责。如有虚假，愿承担相应法律责任。</w:t>
      </w:r>
      <w:r/>
    </w:p>
    <w:p>
      <w:pPr>
        <w:pStyle w:val="823"/>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 </w:t>
      </w:r>
      <w:r/>
    </w:p>
    <w:p>
      <w:pPr>
        <w:pStyle w:val="823"/>
        <w:ind w:left="0" w:right="480" w:firstLine="3720"/>
        <w:jc w:val="right"/>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公司（单位）名称（盖章）：　</w:t>
      </w:r>
      <w:r/>
    </w:p>
    <w:p>
      <w:pPr>
        <w:pStyle w:val="823"/>
        <w:jc w:val="right"/>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                   日期：　   年　  月　  日         </w:t>
      </w:r>
      <w:r/>
    </w:p>
    <w:p>
      <w:pPr>
        <w:pStyle w:val="823"/>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1.产品如有型号，请在“产品名称”栏一并填写。</w:t>
      </w:r>
      <w:r/>
    </w:p>
    <w:p>
      <w:pPr>
        <w:pStyle w:val="823"/>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2.生产厂名与厂址应与生产厂营业执照载明的相关信息保持一致。</w:t>
      </w:r>
      <w:r/>
    </w:p>
    <w:p>
      <w:pPr>
        <w:pStyle w:val="823"/>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3.该产品的中国境内生产的组件成本占比相关要求实施前，“规定比例”栏可不填，下同。</w:t>
      </w:r>
      <w:r/>
    </w:p>
    <w:p>
      <w:pPr>
        <w:pStyle w:val="823"/>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4.该产品的关键组件要求实施前，“关键组件”栏可不填，下同。</w:t>
      </w:r>
      <w:r/>
    </w:p>
    <w:p>
      <w:pPr>
        <w:pStyle w:val="823"/>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5.该产品的关键工序要求实施前，“关键工序”栏可不填，下同。</w:t>
      </w:r>
      <w:r/>
    </w:p>
    <w:p>
      <w:pPr>
        <w:numPr>
          <w:ilvl w:val="0"/>
          <w:numId w:val="0"/>
        </w:num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shd w:val="clear" w:color="auto" w:fill="ffffff"/>
          <w:lang w:val="en-US" w:eastAsia="zh-CN"/>
        </w:rPr>
        <w:t xml:space="preserve">7</w:t>
      </w:r>
      <w:r>
        <w:rPr>
          <w:rFonts w:hint="eastAsia" w:ascii="宋体" w:hAnsi="宋体" w:eastAsia="宋体" w:cs="宋体"/>
          <w:b w:val="0"/>
          <w:bCs w:val="0"/>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823"/>
        <w:jc w:val="center"/>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823"/>
        <w:jc w:val="both"/>
        <w:keepLines w:val="0"/>
        <w:keepNext w:val="0"/>
        <w:pageBreakBefore w:val="0"/>
        <w:spacing w:before="260" w:beforeAutospacing="0" w:after="260" w:afterAutospacing="0" w:line="416" w:lineRule="auto"/>
        <w:widowControl w:val="off"/>
        <w:rPr>
          <w:rFonts w:hint="eastAsia" w:asciiTheme="majorEastAsia" w:hAnsiTheme="majorEastAsia" w:eastAsiaTheme="majorEastAsia" w:cstheme="majorEastAsia"/>
          <w:b/>
          <w:bCs/>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rPr>
          <w:rFonts w:hint="eastAsia" w:asciiTheme="majorEastAsia" w:hAnsiTheme="majorEastAsia" w:eastAsiaTheme="majorEastAsia" w:cstheme="majorEastAsia"/>
          <w:b/>
          <w:color w:val="000000"/>
          <w:sz w:val="32"/>
          <w:szCs w:val="32"/>
          <w:highlight w:val="none"/>
        </w:rPr>
      </w:r>
    </w:p>
    <w:p>
      <w:pPr>
        <w:pStyle w:val="823"/>
        <w:jc w:val="both"/>
        <w:keepLines w:val="0"/>
        <w:keepNext w:val="0"/>
        <w:pageBreakBefore w:val="0"/>
        <w:spacing w:before="260" w:beforeAutospacing="0" w:after="260" w:afterAutospacing="0" w:line="416" w:lineRule="auto"/>
        <w:widowControl w:val="off"/>
        <w:rPr>
          <w:rFonts w:hint="eastAsia" w:asciiTheme="majorEastAsia" w:hAnsiTheme="majorEastAsia" w:eastAsiaTheme="majorEastAsia" w:cstheme="majorEastAsia"/>
          <w:b/>
          <w:bCs/>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823"/>
        <w:ind w:firstLine="1606"/>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t xml:space="preserve">十</w:t>
      </w:r>
      <w:r>
        <w:rPr>
          <w:rFonts w:hint="eastAsia" w:asciiTheme="majorEastAsia" w:hAnsiTheme="majorEastAsia" w:eastAsiaTheme="majorEastAsia" w:cstheme="majorEastAsia"/>
          <w:b/>
          <w:color w:val="000000"/>
          <w:sz w:val="32"/>
          <w:szCs w:val="32"/>
          <w:highlight w:val="none"/>
          <w:lang w:val="en-US" w:eastAsia="zh-CN"/>
        </w:rPr>
        <w:t xml:space="preserve">二</w:t>
      </w:r>
      <w:r>
        <w:rPr>
          <w:rFonts w:hint="eastAsia" w:asciiTheme="majorEastAsia" w:hAnsiTheme="majorEastAsia" w:eastAsiaTheme="majorEastAsia" w:cstheme="majorEastAsia"/>
          <w:b/>
          <w:color w:val="000000"/>
          <w:sz w:val="32"/>
          <w:szCs w:val="32"/>
          <w:highlight w:val="none"/>
        </w:rPr>
        <w:t xml:space="preserve">、投标分项报价表（分包号：**）</w:t>
      </w:r>
      <w:r/>
    </w:p>
    <w:tbl>
      <w:tblPr>
        <w:tblStyle w:val="818"/>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分项</w:t>
            </w:r>
            <w:r/>
          </w:p>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分项</w:t>
            </w:r>
            <w:r/>
          </w:p>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23"/>
              <w:jc w:val="center"/>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3"/>
              <w:jc w:val="both"/>
              <w:spacing w:beforeAutospacing="0" w:afterAutospacing="0" w:line="0" w:lineRule="atLeast"/>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 </w:t>
            </w:r>
            <w:r/>
          </w:p>
        </w:tc>
      </w:tr>
    </w:tbl>
    <w:p>
      <w:pPr>
        <w:pStyle w:val="823"/>
        <w:ind w:firstLine="480"/>
        <w:jc w:val="both"/>
        <w:spacing w:beforeAutospacing="0" w:afterAutospacing="0" w:line="0" w:lineRule="atLeast"/>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 xml:space="preserve"> </w:t>
      </w:r>
      <w:r/>
    </w:p>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rPr>
      </w:pPr>
      <w:r>
        <w:rPr>
          <w:rFonts w:hint="eastAsia" w:asciiTheme="majorEastAsia" w:hAnsiTheme="majorEastAsia" w:eastAsiaTheme="majorEastAsia" w:cstheme="majorEastAsia"/>
        </w:rPr>
        <w:t xml:space="preserve">备注： 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r/>
    </w:p>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ind w:right="1560"/>
        <w:jc w:val="right"/>
        <w:keepLines w:val="0"/>
        <w:keepNext w:val="0"/>
        <w:pageBreakBefore w:val="0"/>
        <w:spacing w:beforeAutospacing="0" w:afterAutospacing="0" w:line="480" w:lineRule="auto"/>
        <w:widowControl w:val="off"/>
        <w:tabs>
          <w:tab w:val="left" w:pos="4864"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 供应商全称（加盖CA电子公章）：</w:t>
      </w:r>
      <w:r/>
    </w:p>
    <w:p>
      <w:pPr>
        <w:pStyle w:val="823"/>
        <w:ind w:right="1560" w:firstLine="480"/>
        <w:jc w:val="right"/>
        <w:keepLines w:val="0"/>
        <w:keepNext w:val="0"/>
        <w:pageBreakBefore w:val="0"/>
        <w:spacing w:beforeAutospacing="0" w:afterAutospacing="0" w:line="480" w:lineRule="auto"/>
        <w:widowControl w:val="off"/>
        <w:tabs>
          <w:tab w:val="left" w:pos="4864"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        日  期：</w:t>
      </w:r>
      <w:r/>
    </w:p>
    <w:p>
      <w:pPr>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826"/>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826"/>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826"/>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826"/>
        <w:rPr>
          <w:rFonts w:hint="eastAsia" w:asciiTheme="majorEastAsia" w:hAnsiTheme="majorEastAsia" w:eastAsiaTheme="majorEastAsia" w:cstheme="majorEastAsia"/>
          <w:b/>
          <w:bCs/>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rPr>
          <w:rFonts w:hint="eastAsia" w:asciiTheme="majorEastAsia" w:hAnsiTheme="majorEastAsia" w:eastAsiaTheme="majorEastAsia" w:cstheme="majorEastAsia"/>
          <w:b/>
          <w:color w:val="000000"/>
          <w:sz w:val="32"/>
          <w:szCs w:val="32"/>
          <w:highlight w:val="none"/>
        </w:rPr>
      </w:r>
    </w:p>
    <w:p>
      <w:pPr>
        <w:pStyle w:val="826"/>
        <w:rPr>
          <w:rFonts w:hint="eastAsia" w:asciiTheme="majorEastAsia" w:hAnsiTheme="majorEastAsia" w:eastAsiaTheme="majorEastAsia" w:cstheme="majorEastAsia"/>
          <w:b/>
          <w:bCs/>
          <w:color w:val="000000"/>
          <w:sz w:val="32"/>
          <w:szCs w:val="32"/>
          <w:highlight w:val="none"/>
        </w:rPr>
      </w:pPr>
      <w:r>
        <w:rPr>
          <w:rFonts w:hint="eastAsia" w:asciiTheme="majorEastAsia" w:hAnsiTheme="majorEastAsia" w:eastAsiaTheme="majorEastAsia" w:cstheme="majorEastAsia"/>
          <w:b/>
          <w:bCs/>
          <w:color w:val="000000"/>
          <w:sz w:val="32"/>
          <w:szCs w:val="32"/>
          <w:highlight w:val="none"/>
        </w:rPr>
      </w:r>
      <w:r>
        <w:rPr>
          <w:rFonts w:hint="eastAsia" w:asciiTheme="majorEastAsia" w:hAnsiTheme="majorEastAsia" w:eastAsiaTheme="majorEastAsia" w:cstheme="majorEastAsia"/>
          <w:b/>
          <w:bCs/>
          <w:color w:val="000000"/>
          <w:sz w:val="32"/>
          <w:szCs w:val="32"/>
          <w:highlight w:val="none"/>
        </w:rPr>
      </w:r>
    </w:p>
    <w:p>
      <w:pPr>
        <w:pStyle w:val="826"/>
        <w:rPr>
          <w:rFonts w:hint="eastAsia" w:asciiTheme="majorEastAsia" w:hAnsiTheme="majorEastAsia" w:eastAsiaTheme="majorEastAsia" w:cstheme="majorEastAsia"/>
          <w:b/>
          <w:bCs/>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826"/>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826"/>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r>
      <w:r/>
    </w:p>
    <w:p>
      <w:pPr>
        <w:pStyle w:val="823"/>
        <w:ind w:firstLine="964"/>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t xml:space="preserve">十</w:t>
      </w:r>
      <w:r>
        <w:rPr>
          <w:rFonts w:hint="eastAsia" w:asciiTheme="majorEastAsia" w:hAnsiTheme="majorEastAsia" w:eastAsiaTheme="majorEastAsia" w:cstheme="majorEastAsia"/>
          <w:b/>
          <w:color w:val="000000"/>
          <w:sz w:val="32"/>
          <w:szCs w:val="32"/>
          <w:highlight w:val="none"/>
          <w:lang w:val="en-US" w:eastAsia="zh-CN"/>
        </w:rPr>
        <w:t xml:space="preserve">三</w:t>
      </w:r>
      <w:r>
        <w:rPr>
          <w:rFonts w:hint="eastAsia" w:asciiTheme="majorEastAsia" w:hAnsiTheme="majorEastAsia" w:eastAsiaTheme="majorEastAsia" w:cstheme="majorEastAsia"/>
          <w:b/>
          <w:color w:val="000000"/>
          <w:sz w:val="32"/>
          <w:szCs w:val="32"/>
          <w:highlight w:val="none"/>
        </w:rPr>
        <w:t xml:space="preserve">、技术要求响应及偏离表（分包号：**）</w:t>
      </w:r>
      <w:r/>
    </w:p>
    <w:tbl>
      <w:tblPr>
        <w:tblStyle w:val="81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证明</w:t>
            </w:r>
            <w:r/>
          </w:p>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bl>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注： 行数不够，可自行添加。</w:t>
      </w:r>
      <w:r/>
    </w:p>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rPr>
          <w:rFonts w:hint="eastAsia" w:asciiTheme="majorEastAsia" w:hAnsiTheme="majorEastAsia" w:eastAsiaTheme="majorEastAsia" w:cstheme="majorEastAsia"/>
          <w:highlight w:val="none"/>
        </w:rP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rPr>
          <w:rFonts w:hint="eastAsia" w:asciiTheme="majorEastAsia" w:hAnsiTheme="majorEastAsia" w:eastAsiaTheme="majorEastAsia" w:cstheme="majorEastAsia"/>
          <w:highlight w:val="none"/>
        </w:rP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rPr>
          <w:rFonts w:hint="eastAsia" w:asciiTheme="majorEastAsia" w:hAnsiTheme="majorEastAsia" w:eastAsiaTheme="majorEastAsia" w:cstheme="majorEastAsia"/>
          <w:highlight w:val="none"/>
        </w:rP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rPr>
          <w:rFonts w:hint="eastAsia" w:asciiTheme="majorEastAsia" w:hAnsiTheme="majorEastAsia" w:eastAsiaTheme="majorEastAsia" w:cstheme="majorEastAsia"/>
          <w:highlight w:val="none"/>
        </w:rP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ind w:firstLine="964"/>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bookmarkStart w:id="187" w:name="_Hlt26955054"/>
      <w:r>
        <w:rPr>
          <w:rFonts w:hint="eastAsia" w:asciiTheme="majorEastAsia" w:hAnsiTheme="majorEastAsia" w:eastAsiaTheme="majorEastAsia" w:cstheme="majorEastAsia"/>
          <w:b/>
          <w:color w:val="000000"/>
          <w:sz w:val="32"/>
          <w:szCs w:val="32"/>
          <w:highlight w:val="none"/>
          <w:lang w:val="en-US" w:eastAsia="zh-CN"/>
        </w:rPr>
        <w:t xml:space="preserve">十四</w:t>
      </w:r>
      <w:r>
        <w:rPr>
          <w:rFonts w:hint="eastAsia" w:asciiTheme="majorEastAsia" w:hAnsiTheme="majorEastAsia" w:eastAsiaTheme="majorEastAsia" w:cstheme="majorEastAsia"/>
          <w:b/>
          <w:color w:val="000000"/>
          <w:sz w:val="32"/>
          <w:szCs w:val="32"/>
          <w:highlight w:val="none"/>
        </w:rPr>
        <w:t xml:space="preserve">、商务要求响应及偏离表（分包号：**）</w:t>
      </w:r>
      <w:r/>
    </w:p>
    <w:tbl>
      <w:tblPr>
        <w:tblStyle w:val="81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bookmarkStart w:id="188" w:name="_Hlt26671372"/>
            <w:r/>
            <w:bookmarkStart w:id="189" w:name="_Hlt26955064"/>
            <w:r/>
            <w:bookmarkStart w:id="190" w:name="_Hlt24879081"/>
            <w:r/>
            <w:bookmarkStart w:id="191" w:name="_Hlt26580838"/>
            <w:r/>
            <w:bookmarkStart w:id="192" w:name="_Hlt26671343"/>
            <w:r/>
            <w:bookmarkStart w:id="193" w:name="_Hlt26955056"/>
            <w:r/>
            <w:bookmarkStart w:id="194" w:name="_Hlt26609391"/>
            <w:r/>
            <w:bookmarkStart w:id="195" w:name="_Hlt26782999"/>
            <w:r>
              <w:rPr>
                <w:rFonts w:hint="eastAsia" w:asciiTheme="majorEastAsia" w:hAnsiTheme="majorEastAsia" w:eastAsiaTheme="majorEastAsia" w:cstheme="majorEastAsia"/>
                <w:color w:val="000000"/>
                <w:highlight w:val="none"/>
              </w:rPr>
              <w:t xml:space="preserve">序号</w:t>
            </w:r>
            <w:bookmarkEnd w:id="188"/>
            <w:r/>
            <w:bookmarkEnd w:id="189"/>
            <w:r/>
            <w:bookmarkEnd w:id="190"/>
            <w:r/>
            <w:bookmarkEnd w:id="191"/>
            <w:r/>
            <w:bookmarkEnd w:id="192"/>
            <w:r/>
            <w:bookmarkEnd w:id="193"/>
            <w:r/>
            <w:bookmarkEnd w:id="194"/>
            <w:r/>
            <w:bookmarkEnd w:id="195"/>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证明</w:t>
            </w:r>
            <w:r/>
          </w:p>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tc>
      </w:tr>
    </w:tbl>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注： 行数不够，可自行添加。</w:t>
      </w:r>
      <w:r/>
    </w:p>
    <w:p>
      <w:pPr>
        <w:pStyle w:val="823"/>
        <w:jc w:val="both"/>
        <w:spacing w:beforeAutospacing="0" w:afterAutospacing="0" w:line="48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line="48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center"/>
        <w:spacing w:beforeAutospacing="0" w:afterAutospacing="0"/>
        <w:rPr>
          <w:rFonts w:hint="eastAsia" w:asciiTheme="majorEastAsia" w:hAnsiTheme="majorEastAsia" w:eastAsiaTheme="majorEastAsia" w:cstheme="majorEastAsia"/>
          <w:highlight w:val="none"/>
        </w:rPr>
      </w:pPr>
      <w:r/>
      <w:bookmarkStart w:id="196" w:name="_Hlt26609389"/>
      <w:r/>
      <w:bookmarkStart w:id="197" w:name="_格式2__法定代表人授权书"/>
      <w:r/>
      <w:bookmarkStart w:id="198" w:name="_Hlt26671374"/>
      <w:r/>
      <w:bookmarkStart w:id="199" w:name="_Hlt26955066"/>
      <w:r/>
      <w:bookmarkStart w:id="200" w:name="_Toc462564146"/>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rPr>
          <w:rFonts w:hint="eastAsia" w:asciiTheme="majorEastAsia" w:hAnsiTheme="majorEastAsia" w:eastAsiaTheme="majorEastAsia" w:cstheme="majorEastAsia"/>
          <w:highlight w:val="none"/>
        </w:rP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rPr>
          <w:rFonts w:hint="eastAsia" w:asciiTheme="majorEastAsia" w:hAnsiTheme="majorEastAsia" w:eastAsiaTheme="majorEastAsia" w:cstheme="majorEastAsia"/>
          <w:highlight w:val="none"/>
        </w:rP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ind w:firstLine="964"/>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t xml:space="preserve">十</w:t>
      </w:r>
      <w:r>
        <w:rPr>
          <w:rFonts w:hint="eastAsia" w:asciiTheme="majorEastAsia" w:hAnsiTheme="majorEastAsia" w:eastAsiaTheme="majorEastAsia" w:cstheme="majorEastAsia"/>
          <w:b/>
          <w:color w:val="000000"/>
          <w:sz w:val="32"/>
          <w:szCs w:val="32"/>
          <w:highlight w:val="none"/>
          <w:lang w:val="en-US" w:eastAsia="zh-CN"/>
        </w:rPr>
        <w:t xml:space="preserve">五</w:t>
      </w:r>
      <w:r>
        <w:rPr>
          <w:rFonts w:hint="eastAsia" w:asciiTheme="majorEastAsia" w:hAnsiTheme="majorEastAsia" w:eastAsiaTheme="majorEastAsia" w:cstheme="majorEastAsia"/>
          <w:b/>
          <w:color w:val="000000"/>
          <w:sz w:val="32"/>
          <w:szCs w:val="32"/>
          <w:highlight w:val="none"/>
        </w:rPr>
        <w:t xml:space="preserve">、拟投入项目</w:t>
      </w:r>
      <w:r>
        <w:rPr>
          <w:rFonts w:hint="eastAsia" w:asciiTheme="majorEastAsia" w:hAnsiTheme="majorEastAsia" w:eastAsiaTheme="majorEastAsia" w:cstheme="majorEastAsia"/>
          <w:b/>
          <w:color w:val="000000"/>
          <w:sz w:val="32"/>
          <w:szCs w:val="32"/>
          <w:highlight w:val="none"/>
          <w:lang w:val="en-US" w:eastAsia="zh-CN"/>
        </w:rPr>
        <w:t xml:space="preserve">组</w:t>
      </w:r>
      <w:r>
        <w:rPr>
          <w:rFonts w:hint="eastAsia" w:asciiTheme="majorEastAsia" w:hAnsiTheme="majorEastAsia" w:eastAsiaTheme="majorEastAsia" w:cstheme="majorEastAsia"/>
          <w:b/>
          <w:color w:val="000000"/>
          <w:sz w:val="32"/>
          <w:szCs w:val="32"/>
          <w:highlight w:val="none"/>
        </w:rPr>
        <w:t xml:space="preserve">人员一览表（分包号：**）</w:t>
      </w:r>
      <w:r/>
    </w:p>
    <w:p>
      <w:pP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投标人全称（加盖公章）：</w:t>
      </w:r>
      <w:r/>
    </w:p>
    <w:p>
      <w:pP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       </w:t>
      </w:r>
      <w:r/>
    </w:p>
    <w:tbl>
      <w:tblPr>
        <w:tblStyle w:val="818"/>
        <w:tblW w:w="8890"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080"/>
        <w:gridCol w:w="1589"/>
        <w:gridCol w:w="950"/>
        <w:gridCol w:w="1217"/>
        <w:gridCol w:w="948"/>
        <w:gridCol w:w="2358"/>
      </w:tblGrid>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序号</w:t>
            </w:r>
            <w:r/>
          </w:p>
        </w:tc>
        <w:tc>
          <w:tcPr>
            <w:tcW w:w="1080" w:type="dxa"/>
            <w:vAlign w:val="center"/>
            <w:textDirection w:val="lrTb"/>
            <w:noWrap/>
          </w:tcPr>
          <w:p>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姓名</w:t>
            </w:r>
            <w:r/>
          </w:p>
        </w:tc>
        <w:tc>
          <w:tcPr>
            <w:tcW w:w="1589" w:type="dxa"/>
            <w:vAlign w:val="center"/>
            <w:textDirection w:val="lrTb"/>
            <w:noWrap/>
          </w:tcPr>
          <w:p>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技术职称</w:t>
            </w:r>
            <w:r/>
          </w:p>
        </w:tc>
        <w:tc>
          <w:tcPr>
            <w:tcW w:w="950" w:type="dxa"/>
            <w:vAlign w:val="center"/>
            <w:textDirection w:val="lrTb"/>
            <w:noWrap/>
          </w:tcPr>
          <w:p>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证书</w:t>
            </w:r>
            <w:r/>
          </w:p>
        </w:tc>
        <w:tc>
          <w:tcPr>
            <w:tcW w:w="1217" w:type="dxa"/>
            <w:vAlign w:val="center"/>
            <w:textDirection w:val="lrTb"/>
            <w:noWrap/>
          </w:tcPr>
          <w:p>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专业</w:t>
            </w:r>
            <w:r/>
          </w:p>
        </w:tc>
        <w:tc>
          <w:tcPr>
            <w:tcW w:w="948" w:type="dxa"/>
            <w:vAlign w:val="center"/>
            <w:textDirection w:val="lrTb"/>
            <w:noWrap/>
          </w:tcPr>
          <w:p>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学历</w:t>
            </w:r>
            <w:r/>
          </w:p>
        </w:tc>
        <w:tc>
          <w:tcPr>
            <w:tcW w:w="2358" w:type="dxa"/>
            <w:vAlign w:val="center"/>
            <w:textDirection w:val="lrTb"/>
            <w:noWrap/>
          </w:tcPr>
          <w:p>
            <w:pPr>
              <w:jc w:val="cente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t xml:space="preserve">在本项目拟任职务</w:t>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1</w:t>
            </w:r>
            <w:r/>
          </w:p>
        </w:tc>
        <w:tc>
          <w:tcPr>
            <w:tcW w:w="108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589"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5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217"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2358" w:type="dxa"/>
            <w:vAlign w:val="center"/>
            <w:textDirection w:val="lrTb"/>
            <w:noWrap/>
          </w:tcPr>
          <w:p>
            <w:pPr>
              <w:jc w:val="center"/>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2</w:t>
            </w:r>
            <w:r/>
          </w:p>
        </w:tc>
        <w:tc>
          <w:tcPr>
            <w:tcW w:w="108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589"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5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217"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2358" w:type="dxa"/>
            <w:vAlign w:val="center"/>
            <w:textDirection w:val="lrTb"/>
            <w:noWrap/>
          </w:tcPr>
          <w:p>
            <w:pPr>
              <w:jc w:val="lef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w:t>
            </w:r>
            <w:r/>
          </w:p>
        </w:tc>
        <w:tc>
          <w:tcPr>
            <w:tcW w:w="108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589"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5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217"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235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w:t>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08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589"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5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217"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235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080" w:type="dxa"/>
            <w:vAlign w:val="center"/>
            <w:textDirection w:val="lrTb"/>
            <w:noWrap/>
          </w:tcPr>
          <w:p>
            <w:pPr>
              <w:jc w:val="center"/>
              <w:spacing w:line="580" w:lineRule="exact"/>
              <w:rPr>
                <w:rFonts w:hint="eastAsia" w:asciiTheme="majorEastAsia" w:hAnsiTheme="majorEastAsia" w:eastAsiaTheme="majorEastAsia" w:cstheme="majorEastAsia"/>
              </w:rPr>
            </w:pPr>
            <w:r>
              <w:rPr>
                <w:rFonts w:hint="eastAsia" w:asciiTheme="majorEastAsia" w:hAnsiTheme="majorEastAsia" w:eastAsiaTheme="majorEastAsia" w:cstheme="majorEastAsia"/>
              </w:rPr>
            </w:r>
            <w:r/>
          </w:p>
        </w:tc>
        <w:tc>
          <w:tcPr>
            <w:tcW w:w="1589"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5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217"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235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08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589"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5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217"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235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08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589"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50"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1217"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94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c>
          <w:tcPr>
            <w:tcW w:w="2358" w:type="dxa"/>
            <w:vAlign w:val="center"/>
            <w:textDirection w:val="lrTb"/>
            <w:noWrap/>
          </w:tcPr>
          <w:p>
            <w:pPr>
              <w:jc w:val="center"/>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r>
            <w:r/>
          </w:p>
        </w:tc>
      </w:tr>
    </w:tbl>
    <w:p>
      <w:pPr>
        <w:ind w:firstLine="4320"/>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r>
      <w:r/>
    </w:p>
    <w:p>
      <w:pPr>
        <w:ind w:firstLine="4320"/>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r>
      <w:r/>
    </w:p>
    <w:p>
      <w:pPr>
        <w:ind w:firstLine="4320"/>
        <w:rPr>
          <w:rFonts w:hint="eastAsia" w:asciiTheme="majorEastAsia" w:hAnsiTheme="majorEastAsia" w:eastAsiaTheme="majorEastAsia" w:cstheme="majorEastAsia"/>
          <w:color w:val="000000"/>
          <w:sz w:val="24"/>
          <w:u w:val="single"/>
          <w:lang w:val="en-US" w:eastAsia="zh-CN"/>
        </w:rPr>
      </w:pPr>
      <w:r>
        <w:rPr>
          <w:rFonts w:hint="eastAsia" w:asciiTheme="majorEastAsia" w:hAnsiTheme="majorEastAsia" w:eastAsiaTheme="majorEastAsia" w:cstheme="majorEastAsia"/>
          <w:color w:val="000000"/>
          <w:sz w:val="24"/>
        </w:rPr>
        <w:t xml:space="preserve">法定代表人或授权代表签字：</w:t>
      </w:r>
      <w:r>
        <w:rPr>
          <w:rFonts w:hint="eastAsia" w:asciiTheme="majorEastAsia" w:hAnsiTheme="majorEastAsia" w:eastAsiaTheme="majorEastAsia" w:cstheme="majorEastAsia"/>
          <w:color w:val="000000"/>
          <w:sz w:val="24"/>
          <w:u w:val="single"/>
          <w:lang w:val="en-US" w:eastAsia="zh-CN"/>
        </w:rPr>
        <w:t xml:space="preserve">         </w:t>
      </w:r>
      <w:r/>
    </w:p>
    <w:p>
      <w:pPr>
        <w:ind w:firstLine="4320"/>
        <w:jc w:val="right"/>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r>
      <w:r/>
    </w:p>
    <w:p>
      <w:pPr>
        <w:pStyle w:val="823"/>
        <w:ind w:firstLine="480"/>
        <w:jc w:val="right"/>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日期：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日</w:t>
      </w:r>
      <w:r/>
    </w:p>
    <w:p>
      <w:pPr>
        <w:pStyle w:val="823"/>
        <w:ind w:firstLine="480"/>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ind w:firstLine="4320"/>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r>
      <w:r/>
    </w:p>
    <w:p>
      <w:pPr>
        <w:rPr>
          <w:rFonts w:hint="eastAsia" w:asciiTheme="majorEastAsia" w:hAnsiTheme="majorEastAsia" w:eastAsiaTheme="majorEastAsia" w:cstheme="majorEastAsia"/>
          <w:color w:val="000000"/>
          <w:sz w:val="24"/>
        </w:rPr>
      </w:pPr>
      <w:r>
        <w:rPr>
          <w:rFonts w:hint="eastAsia" w:asciiTheme="majorEastAsia" w:hAnsiTheme="majorEastAsia" w:eastAsiaTheme="majorEastAsia" w:cstheme="majorEastAsia"/>
          <w:color w:val="000000"/>
          <w:sz w:val="24"/>
        </w:rPr>
      </w:r>
      <w:r/>
    </w:p>
    <w:p>
      <w:pPr>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注：</w:t>
      </w:r>
      <w:r/>
    </w:p>
    <w:p>
      <w:pPr>
        <w:numPr>
          <w:ilvl w:val="0"/>
          <w:numId w:val="0"/>
        </w:numPr>
        <w:tabs>
          <w:tab w:val="left" w:pos="840" w:leader="none"/>
        </w:tabs>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1.行数不够，可自行添加。</w:t>
      </w:r>
      <w:r/>
    </w:p>
    <w:p>
      <w:pPr>
        <w:numPr>
          <w:ilvl w:val="0"/>
          <w:numId w:val="0"/>
        </w:numPr>
        <w:tabs>
          <w:tab w:val="left" w:pos="840" w:leader="none"/>
        </w:tabs>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2.中标后签订合同前需提供以上人员近三个月以来缴纳社会保障资金的相关材料以备采购人核查，如有虚假，取消中标候选人资格。</w:t>
      </w:r>
      <w:r/>
    </w:p>
    <w:p>
      <w:pPr>
        <w:pStyle w:val="823"/>
        <w:ind w:firstLine="2891"/>
        <w:jc w:val="both"/>
        <w:spacing w:beforeAutospacing="0" w:afterAutospacing="0"/>
        <w:rPr>
          <w:rFonts w:hint="eastAsia" w:asciiTheme="majorEastAsia" w:hAnsiTheme="majorEastAsia" w:eastAsiaTheme="majorEastAsia" w:cstheme="majorEastAsia"/>
          <w:b/>
          <w:i/>
          <w:color w:val="auto"/>
          <w:sz w:val="32"/>
          <w:szCs w:val="32"/>
          <w:highlight w:val="none"/>
          <w:u w:val="single"/>
        </w:rPr>
      </w:pPr>
      <w:r>
        <w:rPr>
          <w:rFonts w:hint="eastAsia" w:asciiTheme="majorEastAsia" w:hAnsiTheme="majorEastAsia" w:eastAsiaTheme="majorEastAsia" w:cstheme="majorEastAsia"/>
          <w:b/>
          <w:i/>
          <w:color w:val="auto"/>
          <w:sz w:val="32"/>
          <w:szCs w:val="32"/>
          <w:highlight w:val="none"/>
          <w:u w:val="single"/>
        </w:rPr>
      </w:r>
      <w:r/>
    </w:p>
    <w:p>
      <w:pPr>
        <w:pStyle w:val="823"/>
        <w:ind w:firstLine="2570"/>
        <w:jc w:val="both"/>
        <w:keepLines/>
        <w:keepNext/>
        <w:spacing w:before="260" w:beforeAutospacing="0" w:after="260" w:afterAutospacing="0" w:line="415" w:lineRule="auto"/>
        <w:rPr>
          <w:rFonts w:hint="eastAsia" w:asciiTheme="majorEastAsia" w:hAnsiTheme="majorEastAsia" w:eastAsiaTheme="majorEastAsia" w:cstheme="majorEastAsia"/>
          <w:b/>
          <w:bCs/>
          <w:i/>
          <w:color w:val="000000"/>
          <w:sz w:val="32"/>
          <w:szCs w:val="32"/>
          <w:highlight w:val="none"/>
          <w:u w:val="single"/>
        </w:rPr>
      </w:pPr>
      <w:r>
        <w:rPr>
          <w:rFonts w:hint="eastAsia" w:asciiTheme="majorEastAsia" w:hAnsiTheme="majorEastAsia" w:eastAsiaTheme="majorEastAsia" w:cstheme="majorEastAsia"/>
          <w:b/>
          <w:i/>
          <w:iCs/>
          <w:color w:val="000000"/>
          <w:sz w:val="32"/>
          <w:szCs w:val="32"/>
          <w:highlight w:val="none"/>
          <w:u w:val="single"/>
        </w:rPr>
      </w:r>
      <w:r>
        <w:rPr>
          <w:rFonts w:hint="eastAsia" w:asciiTheme="majorEastAsia" w:hAnsiTheme="majorEastAsia" w:eastAsiaTheme="majorEastAsia" w:cstheme="majorEastAsia"/>
          <w:b/>
          <w:i/>
          <w:iCs/>
          <w:color w:val="000000"/>
          <w:sz w:val="32"/>
          <w:szCs w:val="32"/>
          <w:highlight w:val="none"/>
          <w:u w:val="single"/>
        </w:rPr>
      </w:r>
    </w:p>
    <w:p>
      <w:pPr>
        <w:pStyle w:val="823"/>
        <w:ind w:firstLine="2570"/>
        <w:jc w:val="both"/>
        <w:keepLines/>
        <w:keepNext/>
        <w:spacing w:before="260" w:beforeAutospacing="0" w:after="260" w:afterAutospacing="0" w:line="415" w:lineRule="auto"/>
        <w:rPr>
          <w:rFonts w:hint="eastAsia" w:asciiTheme="majorEastAsia" w:hAnsiTheme="majorEastAsia" w:eastAsiaTheme="majorEastAsia" w:cstheme="majorEastAsia"/>
          <w:b/>
          <w:bCs/>
          <w:i/>
          <w:color w:val="000000"/>
          <w:sz w:val="32"/>
          <w:szCs w:val="32"/>
          <w:highlight w:val="none"/>
          <w:u w:val="single"/>
        </w:rPr>
      </w:pPr>
      <w:r>
        <w:rPr>
          <w:rFonts w:hint="eastAsia" w:asciiTheme="majorEastAsia" w:hAnsiTheme="majorEastAsia" w:eastAsiaTheme="majorEastAsia" w:cstheme="majorEastAsia"/>
          <w:b/>
          <w:i/>
          <w:iCs/>
          <w:color w:val="000000"/>
          <w:sz w:val="32"/>
          <w:szCs w:val="32"/>
          <w:highlight w:val="none"/>
          <w:u w:val="single"/>
        </w:rPr>
      </w:r>
      <w:r>
        <w:rPr>
          <w:rFonts w:hint="eastAsia" w:asciiTheme="majorEastAsia" w:hAnsiTheme="majorEastAsia" w:eastAsiaTheme="majorEastAsia" w:cstheme="majorEastAsia"/>
          <w:b/>
          <w:i/>
          <w:iCs/>
          <w:color w:val="000000"/>
          <w:sz w:val="32"/>
          <w:szCs w:val="32"/>
          <w:highlight w:val="none"/>
          <w:u w:val="single"/>
        </w:rPr>
      </w:r>
    </w:p>
    <w:p>
      <w:pPr>
        <w:pStyle w:val="823"/>
        <w:ind w:firstLine="2570"/>
        <w:jc w:val="both"/>
        <w:keepLines/>
        <w:keepNext/>
        <w:spacing w:before="260" w:beforeAutospacing="0" w:after="260" w:afterAutospacing="0" w:line="415" w:lineRule="auto"/>
        <w:rPr>
          <w:rFonts w:hint="eastAsia" w:asciiTheme="majorEastAsia" w:hAnsiTheme="majorEastAsia" w:eastAsiaTheme="majorEastAsia" w:cstheme="majorEastAsia"/>
          <w:b/>
          <w:bCs/>
          <w:i/>
          <w:iCs/>
          <w:color w:val="000000"/>
          <w:sz w:val="32"/>
          <w:szCs w:val="32"/>
          <w:highlight w:val="none"/>
          <w:u w:val="single"/>
        </w:rPr>
      </w:pPr>
      <w:r>
        <w:rPr>
          <w:rFonts w:hint="eastAsia" w:asciiTheme="majorEastAsia" w:hAnsiTheme="majorEastAsia" w:eastAsiaTheme="majorEastAsia" w:cstheme="majorEastAsia"/>
          <w:b/>
          <w:i/>
          <w:iCs/>
          <w:color w:val="000000"/>
          <w:sz w:val="32"/>
          <w:szCs w:val="32"/>
          <w:highlight w:val="none"/>
          <w:u w:val="single"/>
        </w:rPr>
        <w:t xml:space="preserve">十</w:t>
      </w:r>
      <w:r>
        <w:rPr>
          <w:rFonts w:hint="eastAsia" w:asciiTheme="majorEastAsia" w:hAnsiTheme="majorEastAsia" w:eastAsiaTheme="majorEastAsia" w:cstheme="majorEastAsia"/>
          <w:b/>
          <w:i/>
          <w:iCs/>
          <w:color w:val="000000"/>
          <w:sz w:val="32"/>
          <w:szCs w:val="32"/>
          <w:highlight w:val="none"/>
          <w:u w:val="single"/>
          <w:lang w:val="en-US" w:eastAsia="zh-CN"/>
        </w:rPr>
        <w:t xml:space="preserve">六</w:t>
      </w:r>
      <w:r>
        <w:rPr>
          <w:rFonts w:hint="eastAsia" w:asciiTheme="majorEastAsia" w:hAnsiTheme="majorEastAsia" w:eastAsiaTheme="majorEastAsia" w:cstheme="majorEastAsia"/>
          <w:b/>
          <w:i/>
          <w:iCs/>
          <w:color w:val="000000"/>
          <w:sz w:val="32"/>
          <w:szCs w:val="32"/>
          <w:highlight w:val="none"/>
          <w:u w:val="single"/>
        </w:rPr>
        <w:t xml:space="preserve">、开标一览表</w:t>
      </w:r>
      <w:r/>
    </w:p>
    <w:p>
      <w:pPr>
        <w:pStyle w:val="823"/>
        <w:ind w:firstLine="2891"/>
        <w:jc w:val="both"/>
        <w:spacing w:beforeAutospacing="0" w:afterAutospacing="0"/>
        <w:rPr>
          <w:rFonts w:hint="eastAsia" w:asciiTheme="majorEastAsia" w:hAnsiTheme="majorEastAsia" w:eastAsiaTheme="majorEastAsia" w:cstheme="majorEastAsia"/>
          <w:b/>
          <w:i/>
          <w:color w:val="auto"/>
          <w:sz w:val="32"/>
          <w:szCs w:val="32"/>
          <w:highlight w:val="none"/>
          <w:u w:val="single"/>
        </w:rPr>
      </w:pPr>
      <w:r>
        <w:rPr>
          <w:rFonts w:hint="eastAsia" w:asciiTheme="majorEastAsia" w:hAnsiTheme="majorEastAsia" w:eastAsiaTheme="majorEastAsia" w:cstheme="majorEastAsia"/>
          <w:b/>
          <w:i/>
          <w:color w:val="auto"/>
          <w:sz w:val="32"/>
          <w:szCs w:val="32"/>
          <w:highlight w:val="none"/>
          <w:u w:val="single"/>
        </w:rPr>
      </w:r>
      <w:r/>
    </w:p>
    <w:p>
      <w:pPr>
        <w:pStyle w:val="823"/>
        <w:ind w:firstLine="482"/>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投标人全称（加盖CA电子签章）：</w:t>
      </w:r>
      <w:r/>
    </w:p>
    <w:p>
      <w:pPr>
        <w:pStyle w:val="823"/>
        <w:ind w:firstLine="482"/>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项目名称：</w:t>
      </w:r>
      <w:r/>
    </w:p>
    <w:p>
      <w:pPr>
        <w:pStyle w:val="823"/>
        <w:ind w:firstLine="482"/>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 xml:space="preserve">项目</w:t>
      </w:r>
      <w:r>
        <w:rPr>
          <w:rFonts w:hint="eastAsia" w:asciiTheme="majorEastAsia" w:hAnsiTheme="majorEastAsia" w:eastAsiaTheme="majorEastAsia" w:cstheme="majorEastAsia"/>
          <w:color w:val="auto"/>
          <w:highlight w:val="none"/>
        </w:rPr>
        <w:t xml:space="preserve">编号：</w:t>
      </w:r>
      <w:r/>
    </w:p>
    <w:p>
      <w:pPr>
        <w:pStyle w:val="823"/>
        <w:ind w:firstLine="482"/>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分包号：</w:t>
      </w:r>
      <w:r/>
    </w:p>
    <w:p>
      <w:pPr>
        <w:pStyle w:val="823"/>
        <w:ind w:firstLine="482"/>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bl>
      <w:tblPr>
        <w:tblStyle w:val="81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3"/>
              <w:jc w:val="center"/>
              <w:spacing w:beforeAutospacing="0" w:afterAutospacing="0"/>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 xml:space="preserve">投标</w:t>
            </w:r>
            <w:r>
              <w:rPr>
                <w:rFonts w:hint="eastAsia" w:asciiTheme="majorEastAsia" w:hAnsiTheme="majorEastAsia" w:eastAsiaTheme="majorEastAsia" w:cstheme="majorEastAsia"/>
                <w:color w:val="auto"/>
                <w:highlight w:val="none"/>
                <w:lang w:val="en-US" w:eastAsia="zh-CN"/>
              </w:rPr>
              <w:t xml:space="preserve">总</w:t>
            </w:r>
            <w:r>
              <w:rPr>
                <w:rFonts w:hint="eastAsia" w:asciiTheme="majorEastAsia" w:hAnsiTheme="majorEastAsia" w:eastAsiaTheme="majorEastAsia" w:cstheme="majorEastAsia"/>
                <w:color w:val="auto"/>
                <w:highlight w:val="none"/>
              </w:rPr>
              <w:t xml:space="preserve">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3"/>
              <w:spacing w:beforeAutospacing="0" w:afterAutospacing="0" w:line="0" w:lineRule="atLeast"/>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3"/>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小写：                        （人民币：元）</w:t>
            </w:r>
            <w:r/>
          </w:p>
        </w:tc>
      </w:tr>
    </w:tbl>
    <w:p>
      <w:pPr>
        <w:pStyle w:val="823"/>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3"/>
        <w:ind w:firstLine="48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日期：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日</w:t>
      </w:r>
      <w:r/>
    </w:p>
    <w:p>
      <w:pPr>
        <w:pStyle w:val="823"/>
        <w:ind w:firstLine="480"/>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 xml:space="preserve"> </w:t>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ab/>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7"/>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7"/>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7"/>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jc w:val="center"/>
        <w:spacing w:before="50" w:after="50"/>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pStyle w:val="823"/>
        <w:ind w:firstLine="1285"/>
        <w:jc w:val="both"/>
        <w:keepLines/>
        <w:keepNext/>
        <w:spacing w:before="260" w:beforeAutospacing="0" w:after="260" w:afterAutospacing="0" w:line="415" w:lineRule="auto"/>
        <w:rPr>
          <w:rFonts w:hint="eastAsia" w:asciiTheme="majorEastAsia" w:hAnsiTheme="majorEastAsia" w:eastAsiaTheme="majorEastAsia" w:cstheme="majorEastAsia"/>
          <w:b/>
          <w:color w:val="000000"/>
          <w:sz w:val="32"/>
          <w:szCs w:val="32"/>
          <w:highlight w:val="none"/>
        </w:rPr>
      </w:pPr>
      <w:r>
        <w:rPr>
          <w:rFonts w:hint="eastAsia" w:asciiTheme="majorEastAsia" w:hAnsiTheme="majorEastAsia" w:eastAsiaTheme="majorEastAsia" w:cstheme="majorEastAsia"/>
          <w:b/>
          <w:color w:val="000000"/>
          <w:sz w:val="32"/>
          <w:szCs w:val="32"/>
          <w:highlight w:val="none"/>
        </w:rPr>
        <w:t xml:space="preserve">十</w:t>
      </w:r>
      <w:r>
        <w:rPr>
          <w:rFonts w:hint="eastAsia" w:asciiTheme="majorEastAsia" w:hAnsiTheme="majorEastAsia" w:eastAsiaTheme="majorEastAsia" w:cstheme="majorEastAsia"/>
          <w:b/>
          <w:color w:val="000000"/>
          <w:sz w:val="32"/>
          <w:szCs w:val="32"/>
          <w:highlight w:val="none"/>
          <w:lang w:val="en-US" w:eastAsia="zh-CN"/>
        </w:rPr>
        <w:t xml:space="preserve">七</w:t>
      </w:r>
      <w:r>
        <w:rPr>
          <w:rFonts w:hint="eastAsia" w:asciiTheme="majorEastAsia" w:hAnsiTheme="majorEastAsia" w:eastAsiaTheme="majorEastAsia" w:cstheme="majorEastAsia"/>
          <w:b/>
          <w:color w:val="000000"/>
          <w:sz w:val="32"/>
          <w:szCs w:val="32"/>
          <w:highlight w:val="none"/>
        </w:rPr>
        <w:t xml:space="preserve">、技术方案、服务承诺、培训承诺等</w:t>
      </w:r>
      <w:r/>
    </w:p>
    <w:p>
      <w:pPr>
        <w:pStyle w:val="823"/>
        <w:jc w:val="both"/>
        <w:spacing w:beforeAutospacing="0" w:afterAutospacing="0"/>
        <w:tabs>
          <w:tab w:val="left" w:pos="2160" w:leader="none"/>
        </w:tabs>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color w:val="000000"/>
          <w:sz w:val="32"/>
          <w:szCs w:val="32"/>
          <w:highlight w:val="none"/>
        </w:rPr>
      </w:pPr>
      <w:r>
        <w:rPr>
          <w:rFonts w:hint="eastAsia" w:asciiTheme="majorEastAsia" w:hAnsiTheme="majorEastAsia" w:eastAsiaTheme="majorEastAsia" w:cstheme="majorEastAsia"/>
          <w:color w:val="000000"/>
          <w:sz w:val="32"/>
          <w:szCs w:val="32"/>
          <w:highlight w:val="none"/>
        </w:rPr>
      </w:r>
      <w:r/>
    </w:p>
    <w:p>
      <w:pPr>
        <w:ind w:firstLine="1600"/>
        <w:spacing w:line="499" w:lineRule="atLeast"/>
        <w:widowControl/>
        <w:rPr>
          <w:rFonts w:hint="eastAsia" w:asciiTheme="majorEastAsia" w:hAnsiTheme="majorEastAsia" w:eastAsiaTheme="majorEastAsia" w:cstheme="majorEastAsia"/>
          <w:b/>
          <w:bCs/>
          <w:color w:val="000000"/>
          <w:sz w:val="32"/>
          <w:szCs w:val="32"/>
          <w:highlight w:val="none"/>
          <w:lang w:val="en-US" w:eastAsia="zh-CN" w:bidi="ar-SA"/>
        </w:rPr>
      </w:pPr>
      <w:r>
        <w:rPr>
          <w:rFonts w:hint="eastAsia" w:asciiTheme="majorEastAsia" w:hAnsiTheme="majorEastAsia" w:eastAsiaTheme="majorEastAsia" w:cstheme="majorEastAsia"/>
          <w:b/>
          <w:color w:val="000000"/>
          <w:sz w:val="32"/>
          <w:szCs w:val="32"/>
          <w:highlight w:val="none"/>
          <w:lang w:val="en-US" w:eastAsia="zh-CN" w:bidi="ar-SA"/>
        </w:rPr>
      </w:r>
      <w:r>
        <w:rPr>
          <w:rFonts w:hint="eastAsia" w:asciiTheme="majorEastAsia" w:hAnsiTheme="majorEastAsia" w:eastAsiaTheme="majorEastAsia" w:cstheme="majorEastAsia"/>
          <w:b/>
          <w:color w:val="000000"/>
          <w:sz w:val="32"/>
          <w:szCs w:val="32"/>
          <w:highlight w:val="none"/>
          <w:lang w:val="en-US" w:eastAsia="zh-CN" w:bidi="ar-SA"/>
        </w:rPr>
      </w:r>
    </w:p>
    <w:p>
      <w:pPr>
        <w:ind w:firstLine="1600"/>
        <w:spacing w:line="499" w:lineRule="atLeast"/>
        <w:widowControl/>
        <w:rPr>
          <w:rFonts w:hint="eastAsia" w:asciiTheme="majorEastAsia" w:hAnsiTheme="majorEastAsia" w:eastAsiaTheme="majorEastAsia" w:cstheme="majorEastAsia"/>
          <w:b/>
          <w:bCs/>
          <w:color w:val="000000"/>
          <w:sz w:val="32"/>
          <w:szCs w:val="32"/>
          <w:highlight w:val="none"/>
          <w:lang w:val="en-US" w:eastAsia="zh-CN" w:bidi="ar-SA"/>
        </w:rPr>
      </w:pPr>
      <w:r>
        <w:rPr>
          <w:rFonts w:hint="eastAsia" w:asciiTheme="majorEastAsia" w:hAnsiTheme="majorEastAsia" w:eastAsiaTheme="majorEastAsia" w:cstheme="majorEastAsia"/>
          <w:b/>
          <w:color w:val="000000"/>
          <w:sz w:val="32"/>
          <w:szCs w:val="32"/>
          <w:highlight w:val="none"/>
          <w:lang w:val="en-US" w:eastAsia="zh-CN" w:bidi="ar-SA"/>
        </w:rPr>
      </w:r>
      <w:r>
        <w:rPr>
          <w:rFonts w:hint="eastAsia" w:asciiTheme="majorEastAsia" w:hAnsiTheme="majorEastAsia" w:eastAsiaTheme="majorEastAsia" w:cstheme="majorEastAsia"/>
          <w:b/>
          <w:color w:val="000000"/>
          <w:sz w:val="32"/>
          <w:szCs w:val="32"/>
          <w:highlight w:val="none"/>
          <w:lang w:val="en-US" w:eastAsia="zh-CN" w:bidi="ar-SA"/>
        </w:rPr>
      </w:r>
    </w:p>
    <w:p>
      <w:pPr>
        <w:ind w:firstLine="1600"/>
        <w:spacing w:line="499" w:lineRule="atLeast"/>
        <w:widowControl/>
        <w:rPr>
          <w:rFonts w:hint="eastAsia" w:asciiTheme="majorEastAsia" w:hAnsiTheme="majorEastAsia" w:eastAsiaTheme="majorEastAsia" w:cstheme="majorEastAsia"/>
          <w:b/>
          <w:bCs/>
          <w:color w:val="000000"/>
          <w:sz w:val="32"/>
          <w:szCs w:val="32"/>
          <w:highlight w:val="none"/>
          <w:lang w:val="en-US" w:eastAsia="zh-CN" w:bidi="ar-SA"/>
        </w:rPr>
      </w:pPr>
      <w:r>
        <w:rPr>
          <w:rFonts w:hint="eastAsia" w:asciiTheme="majorEastAsia" w:hAnsiTheme="majorEastAsia" w:eastAsiaTheme="majorEastAsia" w:cstheme="majorEastAsia"/>
          <w:b/>
          <w:color w:val="000000"/>
          <w:sz w:val="32"/>
          <w:szCs w:val="32"/>
          <w:highlight w:val="none"/>
          <w:lang w:val="en-US" w:eastAsia="zh-CN" w:bidi="ar-SA"/>
        </w:rPr>
      </w:r>
      <w:r>
        <w:rPr>
          <w:rFonts w:hint="eastAsia" w:asciiTheme="majorEastAsia" w:hAnsiTheme="majorEastAsia" w:eastAsiaTheme="majorEastAsia" w:cstheme="majorEastAsia"/>
          <w:b/>
          <w:color w:val="000000"/>
          <w:sz w:val="32"/>
          <w:szCs w:val="32"/>
          <w:highlight w:val="none"/>
          <w:lang w:val="en-US" w:eastAsia="zh-CN" w:bidi="ar-SA"/>
        </w:rPr>
      </w:r>
    </w:p>
    <w:p>
      <w:pPr>
        <w:ind w:firstLine="1600"/>
        <w:spacing w:line="499" w:lineRule="atLeast"/>
        <w:widowControl/>
        <w:rPr>
          <w:rFonts w:hint="eastAsia" w:asciiTheme="majorEastAsia" w:hAnsiTheme="majorEastAsia" w:eastAsiaTheme="majorEastAsia" w:cstheme="majorEastAsia"/>
          <w:b/>
          <w:bCs/>
          <w:color w:val="000000"/>
          <w:sz w:val="32"/>
          <w:szCs w:val="32"/>
          <w:highlight w:val="none"/>
          <w:lang w:val="en-US" w:eastAsia="zh-CN" w:bidi="ar-SA"/>
        </w:rPr>
      </w:pPr>
      <w:r>
        <w:rPr>
          <w:rFonts w:hint="eastAsia" w:asciiTheme="majorEastAsia" w:hAnsiTheme="majorEastAsia" w:eastAsiaTheme="majorEastAsia" w:cstheme="majorEastAsia"/>
          <w:b/>
          <w:color w:val="000000"/>
          <w:sz w:val="32"/>
          <w:szCs w:val="32"/>
          <w:highlight w:val="none"/>
          <w:lang w:val="en-US" w:eastAsia="zh-CN" w:bidi="ar-SA"/>
        </w:rPr>
      </w:r>
      <w:r>
        <w:rPr>
          <w:rFonts w:hint="eastAsia" w:asciiTheme="majorEastAsia" w:hAnsiTheme="majorEastAsia" w:eastAsiaTheme="majorEastAsia" w:cstheme="majorEastAsia"/>
          <w:b/>
          <w:color w:val="000000"/>
          <w:sz w:val="32"/>
          <w:szCs w:val="32"/>
          <w:highlight w:val="none"/>
          <w:lang w:val="en-US" w:eastAsia="zh-CN" w:bidi="ar-SA"/>
        </w:rPr>
      </w:r>
    </w:p>
    <w:p>
      <w:pPr>
        <w:ind w:firstLine="1600"/>
        <w:spacing w:line="499" w:lineRule="atLeast"/>
        <w:widowControl/>
        <w:rPr>
          <w:rFonts w:hint="eastAsia" w:asciiTheme="majorEastAsia" w:hAnsiTheme="majorEastAsia" w:eastAsiaTheme="majorEastAsia" w:cstheme="majorEastAsia"/>
          <w:b/>
          <w:bCs/>
          <w:color w:val="000000"/>
          <w:sz w:val="32"/>
          <w:szCs w:val="32"/>
          <w:highlight w:val="none"/>
          <w:lang w:val="en-US" w:eastAsia="zh-CN" w:bidi="ar-SA"/>
        </w:rPr>
      </w:pPr>
      <w:r>
        <w:rPr>
          <w:rFonts w:hint="eastAsia" w:asciiTheme="majorEastAsia" w:hAnsiTheme="majorEastAsia" w:eastAsiaTheme="majorEastAsia" w:cstheme="majorEastAsia"/>
          <w:b/>
          <w:color w:val="000000"/>
          <w:sz w:val="32"/>
          <w:szCs w:val="32"/>
          <w:highlight w:val="none"/>
          <w:lang w:val="en-US" w:eastAsia="zh-CN" w:bidi="ar-SA"/>
        </w:rPr>
      </w:r>
      <w:r>
        <w:rPr>
          <w:rFonts w:hint="eastAsia" w:asciiTheme="majorEastAsia" w:hAnsiTheme="majorEastAsia" w:eastAsiaTheme="majorEastAsia" w:cstheme="majorEastAsia"/>
          <w:b/>
          <w:color w:val="000000"/>
          <w:sz w:val="32"/>
          <w:szCs w:val="32"/>
          <w:highlight w:val="none"/>
          <w:lang w:val="en-US" w:eastAsia="zh-CN" w:bidi="ar-SA"/>
        </w:rPr>
      </w:r>
    </w:p>
    <w:p>
      <w:pPr>
        <w:ind w:firstLine="1600"/>
        <w:spacing w:line="499" w:lineRule="atLeast"/>
        <w:widowControl/>
        <w:rPr>
          <w:rFonts w:hint="eastAsia" w:asciiTheme="majorEastAsia" w:hAnsiTheme="majorEastAsia" w:eastAsiaTheme="majorEastAsia" w:cstheme="majorEastAsia"/>
          <w:b/>
          <w:bCs/>
          <w:color w:val="000000"/>
          <w:sz w:val="32"/>
          <w:szCs w:val="32"/>
          <w:highlight w:val="none"/>
          <w:lang w:val="en-US" w:eastAsia="zh-CN" w:bidi="ar-SA"/>
        </w:rPr>
      </w:pPr>
      <w:r>
        <w:rPr>
          <w:rFonts w:hint="eastAsia" w:asciiTheme="majorEastAsia" w:hAnsiTheme="majorEastAsia" w:eastAsiaTheme="majorEastAsia" w:cstheme="majorEastAsia"/>
          <w:b/>
          <w:color w:val="000000"/>
          <w:sz w:val="32"/>
          <w:szCs w:val="32"/>
          <w:highlight w:val="none"/>
          <w:lang w:val="en-US" w:eastAsia="zh-CN" w:bidi="ar-SA"/>
        </w:rPr>
        <w:t xml:space="preserve">十八、盐城市政府采购事前信用承诺书</w:t>
      </w:r>
      <w:r/>
    </w:p>
    <w:p>
      <w:pPr>
        <w:ind w:firstLine="640"/>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r>
      <w:r/>
    </w:p>
    <w:p>
      <w:pPr>
        <w:ind w:firstLine="480"/>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Theme="majorEastAsia" w:hAnsiTheme="majorEastAsia" w:eastAsiaTheme="majorEastAsia" w:cstheme="majorEastAsia"/>
          <w:color w:val="000000"/>
          <w:sz w:val="24"/>
          <w:highlight w:val="none"/>
          <w:lang w:eastAsia="zh-CN"/>
        </w:rPr>
        <w:t xml:space="preserve">虚假成分</w:t>
      </w:r>
      <w:r>
        <w:rPr>
          <w:rFonts w:hint="eastAsia" w:asciiTheme="majorEastAsia" w:hAnsiTheme="majorEastAsia" w:eastAsiaTheme="majorEastAsia" w:cstheme="majorEastAsia"/>
          <w:color w:val="000000"/>
          <w:sz w:val="24"/>
          <w:highlight w:val="none"/>
        </w:rPr>
        <w:t xml:space="preserve">，并对所提供资料的真实性负责；</w:t>
      </w:r>
      <w:r/>
    </w:p>
    <w:p>
      <w:pPr>
        <w:ind w:firstLine="480"/>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（四）严格遵守即时信息公示规定，及时</w:t>
      </w:r>
      <w:r>
        <w:rPr>
          <w:rFonts w:hint="eastAsia" w:asciiTheme="majorEastAsia" w:hAnsiTheme="majorEastAsia" w:eastAsiaTheme="majorEastAsia" w:cstheme="majorEastAsia"/>
          <w:color w:val="000000"/>
          <w:sz w:val="24"/>
          <w:highlight w:val="none"/>
          <w:lang w:eastAsia="zh-CN"/>
        </w:rPr>
        <w:t xml:space="preserve">维护和更新</w:t>
      </w:r>
      <w:r>
        <w:rPr>
          <w:rFonts w:hint="eastAsia" w:asciiTheme="majorEastAsia" w:hAnsiTheme="majorEastAsia" w:eastAsiaTheme="majorEastAsia" w:cstheme="majorEastAsia"/>
          <w:color w:val="000000"/>
          <w:sz w:val="24"/>
          <w:highlight w:val="none"/>
        </w:rPr>
        <w:t xml:space="preserve">盐城市政府采购网中与本单位相关的信息；</w:t>
      </w:r>
      <w:r/>
    </w:p>
    <w:p>
      <w:pPr>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（六）自觉接受政府、行业组织、社会公众、新闻舆论的监督；</w:t>
      </w:r>
      <w:r/>
    </w:p>
    <w:p>
      <w:pPr>
        <w:ind w:firstLine="480"/>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（八）本人已认真阅读了上述承诺，并向本单位员工作了宣传教育。</w:t>
      </w:r>
      <w:r/>
    </w:p>
    <w:p>
      <w:pPr>
        <w:jc w:val="left"/>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w:t>
      </w:r>
      <w:r>
        <w:rPr>
          <w:rFonts w:hint="eastAsia" w:asciiTheme="majorEastAsia" w:hAnsiTheme="majorEastAsia" w:eastAsiaTheme="majorEastAsia" w:cstheme="majorEastAsia"/>
          <w:color w:val="000000"/>
          <w:sz w:val="24"/>
          <w:highlight w:val="none"/>
          <w:lang w:val="en-US" w:eastAsia="zh-CN"/>
        </w:rPr>
        <w:t xml:space="preserve">         </w:t>
      </w:r>
      <w:r>
        <w:rPr>
          <w:rFonts w:hint="eastAsia" w:asciiTheme="majorEastAsia" w:hAnsiTheme="majorEastAsia" w:eastAsiaTheme="majorEastAsia" w:cstheme="majorEastAsia"/>
          <w:color w:val="000000"/>
          <w:sz w:val="24"/>
          <w:highlight w:val="none"/>
        </w:rPr>
        <w:t xml:space="preserve"> 法定代表人签名：</w:t>
      </w:r>
      <w:r/>
    </w:p>
    <w:p>
      <w:pPr>
        <w:jc w:val="center"/>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单位名称（盖章）：</w:t>
      </w:r>
      <w:r/>
    </w:p>
    <w:p>
      <w:pPr>
        <w:jc w:val="center"/>
        <w:spacing w:line="499" w:lineRule="atLeast"/>
        <w:widowControl/>
        <w:rPr>
          <w:rFonts w:hint="eastAsia" w:asciiTheme="majorEastAsia" w:hAnsiTheme="majorEastAsia" w:eastAsiaTheme="majorEastAsia" w:cstheme="majorEastAsia"/>
          <w:sz w:val="24"/>
          <w:highlight w:val="none"/>
        </w:rPr>
      </w:pPr>
      <w:r>
        <w:rPr>
          <w:rFonts w:hint="eastAsia" w:asciiTheme="majorEastAsia" w:hAnsiTheme="majorEastAsia" w:eastAsiaTheme="majorEastAsia" w:cstheme="majorEastAsia"/>
          <w:color w:val="000000"/>
          <w:sz w:val="24"/>
          <w:highlight w:val="none"/>
        </w:rPr>
        <w:t xml:space="preserve">                      年月日</w:t>
      </w:r>
      <w:r/>
    </w:p>
    <w:p>
      <w:pPr>
        <w:pStyle w:val="823"/>
        <w:jc w:val="center"/>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bookmarkEnd w:id="31"/>
      <w:r/>
      <w:bookmarkEnd w:id="45"/>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4"/>
      <w:r/>
      <w:bookmarkEnd w:id="177"/>
      <w:r/>
      <w:bookmarkEnd w:id="181"/>
      <w:r/>
      <w:bookmarkEnd w:id="182"/>
      <w:r/>
      <w:bookmarkEnd w:id="184"/>
      <w:r/>
      <w:bookmarkEnd w:id="185"/>
      <w:r/>
      <w:bookmarkEnd w:id="186"/>
      <w:r/>
      <w:bookmarkEnd w:id="187"/>
      <w:r/>
      <w:bookmarkEnd w:id="196"/>
      <w:r/>
      <w:bookmarkEnd w:id="197"/>
      <w:r/>
      <w:bookmarkEnd w:id="198"/>
      <w:r/>
      <w:bookmarkEnd w:id="199"/>
      <w:r/>
      <w:bookmarkEnd w:id="200"/>
      <w:r/>
      <w:r/>
    </w:p>
    <w:p>
      <w:pP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r>
      <w:r/>
    </w:p>
    <w:p>
      <w:pPr>
        <w:ind w:firstLine="3405"/>
        <w:spacing w:line="499" w:lineRule="atLeast"/>
        <w:widowControl/>
        <w:rPr>
          <w:rFonts w:hint="eastAsia" w:asciiTheme="majorEastAsia" w:hAnsiTheme="majorEastAsia" w:eastAsiaTheme="majorEastAsia" w:cstheme="majorEastAsia"/>
          <w:b/>
          <w:color w:val="000000"/>
          <w:sz w:val="32"/>
          <w:szCs w:val="32"/>
          <w:highlight w:val="none"/>
          <w:lang w:val="en-US" w:eastAsia="zh-CN" w:bidi="ar-SA"/>
        </w:rPr>
      </w:pPr>
      <w:r>
        <w:rPr>
          <w:rFonts w:hint="eastAsia" w:asciiTheme="majorEastAsia" w:hAnsiTheme="majorEastAsia" w:eastAsiaTheme="majorEastAsia" w:cstheme="majorEastAsia"/>
          <w:b/>
          <w:color w:val="000000"/>
          <w:sz w:val="32"/>
          <w:szCs w:val="32"/>
          <w:highlight w:val="none"/>
          <w:lang w:val="en-US" w:eastAsia="zh-CN" w:bidi="ar-SA"/>
        </w:rPr>
        <w:t xml:space="preserve">质疑函范本</w:t>
      </w:r>
      <w:r/>
    </w:p>
    <w:p>
      <w:pPr>
        <w:pStyle w:val="823"/>
        <w:jc w:val="both"/>
        <w:spacing w:before="290"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一、质疑供应商基本信息</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质疑供应商：</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p>
    <w:p>
      <w:pPr>
        <w:pStyle w:val="823"/>
        <w:jc w:val="both"/>
        <w:spacing w:beforeAutospacing="0" w:afterAutospacing="0" w:line="360" w:lineRule="auto"/>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 xml:space="preserve">地址：</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邮编：</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p>
    <w:p>
      <w:pPr>
        <w:pStyle w:val="823"/>
        <w:jc w:val="both"/>
        <w:spacing w:beforeAutospacing="0" w:afterAutospacing="0" w:line="360" w:lineRule="auto"/>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 xml:space="preserve">联系人：</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联系电话：</w:t>
      </w:r>
      <w:r>
        <w:rPr>
          <w:rFonts w:hint="eastAsia" w:asciiTheme="majorEastAsia" w:hAnsiTheme="majorEastAsia" w:eastAsiaTheme="majorEastAsia" w:cstheme="majorEastAsia"/>
          <w:color w:val="000000"/>
          <w:highlight w:val="none"/>
          <w:u w:val="single"/>
        </w:rPr>
        <w:t xml:space="preserve">                                           </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授权代表：</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联系电话：</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p>
    <w:p>
      <w:pPr>
        <w:pStyle w:val="823"/>
        <w:jc w:val="both"/>
        <w:spacing w:beforeAutospacing="0" w:afterAutospacing="0" w:line="360" w:lineRule="auto"/>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 xml:space="preserve">地址： </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邮编：</w:t>
      </w:r>
      <w:r>
        <w:rPr>
          <w:rFonts w:hint="eastAsia" w:asciiTheme="majorEastAsia" w:hAnsiTheme="majorEastAsia" w:eastAsiaTheme="majorEastAsia" w:cstheme="majorEastAsia"/>
          <w:color w:val="000000"/>
          <w:highlight w:val="none"/>
          <w:u w:val="single"/>
        </w:rPr>
        <w:t xml:space="preserve">                                </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二、质疑项目基本情况</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质疑项目的名称：</w:t>
      </w:r>
      <w:r>
        <w:rPr>
          <w:rFonts w:hint="eastAsia" w:asciiTheme="majorEastAsia" w:hAnsiTheme="majorEastAsia" w:eastAsiaTheme="majorEastAsia" w:cstheme="majorEastAsia"/>
          <w:color w:val="000000"/>
          <w:highlight w:val="none"/>
          <w:u w:val="single"/>
        </w:rPr>
        <w:t xml:space="preserve">                            </w:t>
      </w:r>
      <w:r/>
    </w:p>
    <w:p>
      <w:pPr>
        <w:pStyle w:val="823"/>
        <w:jc w:val="both"/>
        <w:spacing w:beforeAutospacing="0" w:afterAutospacing="0" w:line="360" w:lineRule="auto"/>
        <w:rPr>
          <w:rFonts w:hint="eastAsia" w:asciiTheme="majorEastAsia" w:hAnsiTheme="majorEastAsia" w:eastAsiaTheme="majorEastAsia" w:cstheme="majorEastAsia"/>
          <w:color w:val="000000"/>
          <w:highlight w:val="none"/>
          <w:u w:val="single"/>
        </w:rPr>
      </w:pPr>
      <w:r>
        <w:rPr>
          <w:rFonts w:hint="eastAsia" w:asciiTheme="majorEastAsia" w:hAnsiTheme="majorEastAsia" w:eastAsiaTheme="majorEastAsia" w:cstheme="majorEastAsia"/>
          <w:color w:val="000000"/>
          <w:highlight w:val="none"/>
        </w:rPr>
        <w:t xml:space="preserve">质疑项目的编号：</w:t>
      </w:r>
      <w:r>
        <w:rPr>
          <w:rFonts w:hint="eastAsia" w:asciiTheme="majorEastAsia" w:hAnsiTheme="majorEastAsia" w:eastAsiaTheme="majorEastAsia" w:cstheme="majorEastAsia"/>
          <w:color w:val="000000"/>
          <w:highlight w:val="none"/>
          <w:u w:val="single"/>
        </w:rPr>
        <w:t xml:space="preserve">                          </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包号：</w:t>
      </w:r>
      <w:r>
        <w:rPr>
          <w:rFonts w:hint="eastAsia" w:asciiTheme="majorEastAsia" w:hAnsiTheme="majorEastAsia" w:eastAsiaTheme="majorEastAsia" w:cstheme="majorEastAsia"/>
          <w:color w:val="000000"/>
          <w:highlight w:val="none"/>
          <w:u w:val="single"/>
        </w:rPr>
        <w:t xml:space="preserve">                       </w:t>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ab/>
      </w:r>
      <w:r>
        <w:rPr>
          <w:rFonts w:hint="eastAsia" w:asciiTheme="majorEastAsia" w:hAnsiTheme="majorEastAsia" w:eastAsiaTheme="majorEastAsia" w:cstheme="majorEastAsia"/>
          <w:color w:val="000000"/>
          <w:highlight w:val="none"/>
          <w:u w:val="single"/>
        </w:rPr>
        <w:t xml:space="preserve">    </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采购人名称：</w:t>
      </w:r>
      <w:r>
        <w:rPr>
          <w:rFonts w:hint="eastAsia" w:asciiTheme="majorEastAsia" w:hAnsiTheme="majorEastAsia" w:eastAsiaTheme="majorEastAsia" w:cstheme="majorEastAsia"/>
          <w:color w:val="000000"/>
          <w:highlight w:val="none"/>
          <w:u w:val="single"/>
        </w:rPr>
        <w:t xml:space="preserve">                            </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采购文件获取日期：</w:t>
      </w:r>
      <w:r>
        <w:rPr>
          <w:rFonts w:hint="eastAsia" w:asciiTheme="majorEastAsia" w:hAnsiTheme="majorEastAsia" w:eastAsiaTheme="majorEastAsia" w:cstheme="majorEastAsia"/>
          <w:color w:val="000000"/>
          <w:highlight w:val="none"/>
          <w:u w:val="single"/>
        </w:rPr>
        <w:t xml:space="preserve">                             </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三、质疑事项具体内容</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质疑事项1：</w:t>
      </w:r>
      <w:r>
        <w:rPr>
          <w:rFonts w:hint="eastAsia" w:asciiTheme="majorEastAsia" w:hAnsiTheme="majorEastAsia" w:eastAsiaTheme="majorEastAsia" w:cstheme="majorEastAsia"/>
          <w:color w:val="000000"/>
          <w:highlight w:val="none"/>
          <w:u w:val="single"/>
        </w:rPr>
        <w:t xml:space="preserve">                             </w:t>
      </w:r>
      <w:r/>
    </w:p>
    <w:p>
      <w:pPr>
        <w:pStyle w:val="823"/>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事实依据：</w:t>
      </w:r>
      <w:r>
        <w:rPr>
          <w:rFonts w:hint="eastAsia" w:asciiTheme="majorEastAsia" w:hAnsiTheme="majorEastAsia" w:eastAsiaTheme="majorEastAsia" w:cstheme="majorEastAsia"/>
          <w:color w:val="000000"/>
          <w:highlight w:val="none"/>
          <w:u w:val="single"/>
        </w:rPr>
        <w:t xml:space="preserve">                                                   </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法律依据：</w:t>
      </w:r>
      <w:r>
        <w:rPr>
          <w:rFonts w:hint="eastAsia" w:asciiTheme="majorEastAsia" w:hAnsiTheme="majorEastAsia" w:eastAsiaTheme="majorEastAsia" w:cstheme="majorEastAsia"/>
          <w:color w:val="000000"/>
          <w:highlight w:val="none"/>
          <w:u w:val="single"/>
        </w:rPr>
        <w:t xml:space="preserve">                                                    </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质疑事项2</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四、与质疑事项相关的质疑请求</w:t>
      </w:r>
      <w:r/>
    </w:p>
    <w:p>
      <w:pPr>
        <w:pStyle w:val="823"/>
        <w:jc w:val="both"/>
        <w:spacing w:beforeAutospacing="0" w:afterAutospacing="0" w:line="360" w:lineRule="auto"/>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请求：</w:t>
      </w:r>
      <w:r>
        <w:rPr>
          <w:rFonts w:hint="eastAsia" w:asciiTheme="majorEastAsia" w:hAnsiTheme="majorEastAsia" w:eastAsiaTheme="majorEastAsia" w:cstheme="majorEastAsia"/>
          <w:color w:val="000000"/>
          <w:highlight w:val="none"/>
          <w:u w:val="single"/>
        </w:rPr>
        <w:t xml:space="preserve">                                                          </w:t>
      </w:r>
      <w:r/>
    </w:p>
    <w:p>
      <w:pPr>
        <w:pStyle w:val="823"/>
        <w:jc w:val="both"/>
        <w:spacing w:beforeAutospacing="0" w:afterAutospacing="0"/>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签字(签章)：                 公章：               日期：    </w:t>
      </w:r>
      <w:r/>
    </w:p>
    <w:p>
      <w:pPr>
        <w:pStyle w:val="823"/>
        <w:jc w:val="both"/>
        <w:spacing w:beforeAutospacing="0" w:afterAutospacing="0" w:line="0" w:lineRule="atLeast"/>
        <w:rPr>
          <w:rFonts w:hint="eastAsia" w:asciiTheme="majorEastAsia" w:hAnsiTheme="majorEastAsia" w:eastAsiaTheme="majorEastAsia" w:cstheme="majorEastAsia"/>
          <w:b/>
          <w:color w:val="000000"/>
          <w:highlight w:val="none"/>
        </w:rPr>
      </w:pPr>
      <w:r>
        <w:rPr>
          <w:rFonts w:hint="eastAsia" w:asciiTheme="majorEastAsia" w:hAnsiTheme="majorEastAsia" w:eastAsiaTheme="majorEastAsia" w:cstheme="majorEastAsia"/>
          <w:b/>
          <w:color w:val="000000"/>
          <w:highlight w:val="none"/>
        </w:rPr>
      </w:r>
      <w:r/>
    </w:p>
    <w:p>
      <w:pPr>
        <w:pStyle w:val="823"/>
        <w:jc w:val="both"/>
        <w:spacing w:beforeAutospacing="0" w:afterAutospacing="0" w:line="0" w:lineRule="atLeas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highlight w:val="none"/>
        </w:rPr>
        <w:t xml:space="preserve">质疑函制作说明：</w:t>
      </w:r>
      <w:r/>
    </w:p>
    <w:p>
      <w:pPr>
        <w:pStyle w:val="823"/>
        <w:ind w:firstLine="480"/>
        <w:spacing w:beforeAutospacing="0" w:afterAutospacing="0" w:line="0" w:lineRule="atLeast"/>
        <w:widowControl/>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823"/>
        <w:ind w:firstLine="480"/>
        <w:spacing w:beforeAutospacing="0" w:afterAutospacing="0" w:line="0" w:lineRule="atLeast"/>
        <w:widowControl/>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823"/>
        <w:ind w:firstLine="480"/>
        <w:spacing w:beforeAutospacing="0" w:afterAutospacing="0" w:line="0" w:lineRule="atLeast"/>
        <w:widowControl/>
        <w:rPr>
          <w:rFonts w:hint="eastAsia" w:asciiTheme="majorEastAsia" w:hAnsiTheme="majorEastAsia" w:eastAsiaTheme="majorEastAsia" w:cstheme="majorEastAsia"/>
          <w:color w:val="000000"/>
          <w:highlight w:val="none"/>
        </w:rPr>
      </w:pPr>
      <w:r>
        <w:rPr>
          <w:rFonts w:hint="eastAsia" w:asciiTheme="majorEastAsia" w:hAnsiTheme="majorEastAsia" w:eastAsiaTheme="majorEastAsia" w:cstheme="majorEastAsia"/>
          <w:color w:val="000000"/>
          <w:highlight w:val="none"/>
        </w:rPr>
      </w:r>
      <w:r/>
    </w:p>
    <w:p>
      <w:pPr>
        <w:pStyle w:val="823"/>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highlight w:val="none"/>
        </w:rPr>
        <w:t xml:space="preserve">1.供应商提出质疑时，应提交质疑函和必要的证明材料。</w:t>
      </w:r>
      <w:r/>
    </w:p>
    <w:p>
      <w:pPr>
        <w:pStyle w:val="823"/>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3"/>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3.质疑供应商若对项目的某一分包进行质疑，质疑函中应列明具体分包号。</w:t>
      </w:r>
      <w:r/>
    </w:p>
    <w:p>
      <w:pPr>
        <w:pStyle w:val="823"/>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4.质疑函的质疑事项应具体、明确，并有必要的事实依据和法律依据。</w:t>
      </w:r>
      <w:r/>
    </w:p>
    <w:p>
      <w:pPr>
        <w:pStyle w:val="823"/>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5.质疑函的质疑请求应与质疑事项相关。</w:t>
      </w:r>
      <w:r/>
    </w:p>
    <w:p>
      <w:pPr>
        <w:pStyle w:val="823"/>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6.质疑供应商为自然人的，质疑函应由本人签字；质疑供应商为法人或者其他组织的，质疑函应由法定代表人、主要负责人，或者其授权代表签字或者盖章，并加盖公章。</w:t>
      </w:r>
      <w:r/>
    </w:p>
    <w:p>
      <w:pPr>
        <w:pStyle w:val="823"/>
        <w:ind w:firstLine="420"/>
        <w:jc w:val="both"/>
        <w:keepLines w:val="0"/>
        <w:keepNext w:val="0"/>
        <w:pageBreakBefore w:val="0"/>
        <w:spacing w:beforeAutospacing="0" w:afterAutospacing="0" w:line="360" w:lineRule="auto"/>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t xml:space="preserve"> </w:t>
      </w:r>
      <w:r/>
    </w:p>
    <w:p>
      <w:pPr>
        <w:rPr>
          <w:rFonts w:hint="eastAsia" w:asciiTheme="majorEastAsia" w:hAnsiTheme="majorEastAsia" w:eastAsiaTheme="majorEastAsia" w:cstheme="majorEastAsia"/>
          <w:color w:val="000000"/>
          <w:sz w:val="24"/>
          <w:szCs w:val="24"/>
          <w:highlight w:val="none"/>
          <w:lang w:val="en-US" w:eastAsia="zh-CN" w:bidi="ar-SA"/>
        </w:rPr>
      </w:pPr>
      <w:r>
        <w:rPr>
          <w:rFonts w:hint="eastAsia" w:asciiTheme="majorEastAsia" w:hAnsiTheme="majorEastAsia" w:eastAsiaTheme="majorEastAsia" w:cstheme="majorEastAsia"/>
          <w:color w:val="000000"/>
          <w:sz w:val="24"/>
          <w:szCs w:val="24"/>
          <w:highlight w:val="none"/>
          <w:lang w:val="en-US" w:eastAsia="zh-CN" w:bidi="ar-SA"/>
        </w:rPr>
      </w:r>
      <w:r/>
    </w:p>
    <w:sectPr>
      <w:footnotePr/>
      <w:endnotePr/>
      <w:type w:val="nextPage"/>
      <w:pgSz w:w="11906" w:h="16838" w:orient="portrait"/>
      <w:pgMar w:top="1440" w:right="1701"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basedOn w:val="815"/>
    <w:next w:val="815"/>
    <w:link w:val="641"/>
    <w:uiPriority w:val="9"/>
    <w:qFormat/>
    <w:pPr>
      <w:keepLines/>
      <w:keepNext/>
      <w:spacing w:before="480" w:after="200"/>
      <w:outlineLvl w:val="0"/>
    </w:pPr>
    <w:rPr>
      <w:rFonts w:ascii="Arial" w:hAnsi="Arial" w:eastAsia="Arial" w:cs="Arial"/>
      <w:sz w:val="40"/>
      <w:szCs w:val="40"/>
    </w:rPr>
  </w:style>
  <w:style w:type="character" w:styleId="641">
    <w:name w:val="Heading 1 Char"/>
    <w:basedOn w:val="817"/>
    <w:link w:val="640"/>
    <w:uiPriority w:val="9"/>
    <w:rPr>
      <w:rFonts w:ascii="Arial" w:hAnsi="Arial" w:eastAsia="Arial" w:cs="Arial"/>
      <w:sz w:val="40"/>
      <w:szCs w:val="40"/>
    </w:rPr>
  </w:style>
  <w:style w:type="character" w:styleId="642">
    <w:name w:val="Heading 2 Char"/>
    <w:basedOn w:val="817"/>
    <w:link w:val="816"/>
    <w:uiPriority w:val="9"/>
    <w:rPr>
      <w:rFonts w:ascii="Arial" w:hAnsi="Arial" w:eastAsia="Arial" w:cs="Arial"/>
      <w:sz w:val="34"/>
    </w:rPr>
  </w:style>
  <w:style w:type="paragraph" w:styleId="643">
    <w:name w:val="Heading 3"/>
    <w:basedOn w:val="815"/>
    <w:next w:val="815"/>
    <w:link w:val="644"/>
    <w:uiPriority w:val="9"/>
    <w:unhideWhenUsed/>
    <w:qFormat/>
    <w:pPr>
      <w:keepLines/>
      <w:keepNext/>
      <w:spacing w:before="320" w:after="200"/>
      <w:outlineLvl w:val="2"/>
    </w:pPr>
    <w:rPr>
      <w:rFonts w:ascii="Arial" w:hAnsi="Arial" w:eastAsia="Arial" w:cs="Arial"/>
      <w:sz w:val="30"/>
      <w:szCs w:val="30"/>
    </w:rPr>
  </w:style>
  <w:style w:type="character" w:styleId="644">
    <w:name w:val="Heading 3 Char"/>
    <w:basedOn w:val="817"/>
    <w:link w:val="643"/>
    <w:uiPriority w:val="9"/>
    <w:rPr>
      <w:rFonts w:ascii="Arial" w:hAnsi="Arial" w:eastAsia="Arial" w:cs="Arial"/>
      <w:sz w:val="30"/>
      <w:szCs w:val="30"/>
    </w:rPr>
  </w:style>
  <w:style w:type="paragraph" w:styleId="645">
    <w:name w:val="Heading 4"/>
    <w:basedOn w:val="815"/>
    <w:next w:val="815"/>
    <w:link w:val="646"/>
    <w:uiPriority w:val="9"/>
    <w:unhideWhenUsed/>
    <w:qFormat/>
    <w:pPr>
      <w:keepLines/>
      <w:keepNext/>
      <w:spacing w:before="320" w:after="200"/>
      <w:outlineLvl w:val="3"/>
    </w:pPr>
    <w:rPr>
      <w:rFonts w:ascii="Arial" w:hAnsi="Arial" w:eastAsia="Arial" w:cs="Arial"/>
      <w:b/>
      <w:bCs/>
      <w:sz w:val="26"/>
      <w:szCs w:val="26"/>
    </w:rPr>
  </w:style>
  <w:style w:type="character" w:styleId="646">
    <w:name w:val="Heading 4 Char"/>
    <w:basedOn w:val="817"/>
    <w:link w:val="645"/>
    <w:uiPriority w:val="9"/>
    <w:rPr>
      <w:rFonts w:ascii="Arial" w:hAnsi="Arial" w:eastAsia="Arial" w:cs="Arial"/>
      <w:b/>
      <w:bCs/>
      <w:sz w:val="26"/>
      <w:szCs w:val="26"/>
    </w:rPr>
  </w:style>
  <w:style w:type="paragraph" w:styleId="647">
    <w:name w:val="Heading 5"/>
    <w:basedOn w:val="815"/>
    <w:next w:val="815"/>
    <w:link w:val="648"/>
    <w:uiPriority w:val="9"/>
    <w:unhideWhenUsed/>
    <w:qFormat/>
    <w:pPr>
      <w:keepLines/>
      <w:keepNext/>
      <w:spacing w:before="320" w:after="200"/>
      <w:outlineLvl w:val="4"/>
    </w:pPr>
    <w:rPr>
      <w:rFonts w:ascii="Arial" w:hAnsi="Arial" w:eastAsia="Arial" w:cs="Arial"/>
      <w:b/>
      <w:bCs/>
      <w:sz w:val="24"/>
      <w:szCs w:val="24"/>
    </w:rPr>
  </w:style>
  <w:style w:type="character" w:styleId="648">
    <w:name w:val="Heading 5 Char"/>
    <w:basedOn w:val="817"/>
    <w:link w:val="647"/>
    <w:uiPriority w:val="9"/>
    <w:rPr>
      <w:rFonts w:ascii="Arial" w:hAnsi="Arial" w:eastAsia="Arial" w:cs="Arial"/>
      <w:b/>
      <w:bCs/>
      <w:sz w:val="24"/>
      <w:szCs w:val="24"/>
    </w:rPr>
  </w:style>
  <w:style w:type="paragraph" w:styleId="649">
    <w:name w:val="Heading 6"/>
    <w:basedOn w:val="815"/>
    <w:next w:val="815"/>
    <w:link w:val="650"/>
    <w:uiPriority w:val="9"/>
    <w:unhideWhenUsed/>
    <w:qFormat/>
    <w:pPr>
      <w:keepLines/>
      <w:keepNext/>
      <w:spacing w:before="320" w:after="200"/>
      <w:outlineLvl w:val="5"/>
    </w:pPr>
    <w:rPr>
      <w:rFonts w:ascii="Arial" w:hAnsi="Arial" w:eastAsia="Arial" w:cs="Arial"/>
      <w:b/>
      <w:bCs/>
      <w:sz w:val="22"/>
      <w:szCs w:val="22"/>
    </w:rPr>
  </w:style>
  <w:style w:type="character" w:styleId="650">
    <w:name w:val="Heading 6 Char"/>
    <w:basedOn w:val="817"/>
    <w:link w:val="649"/>
    <w:uiPriority w:val="9"/>
    <w:rPr>
      <w:rFonts w:ascii="Arial" w:hAnsi="Arial" w:eastAsia="Arial" w:cs="Arial"/>
      <w:b/>
      <w:bCs/>
      <w:sz w:val="22"/>
      <w:szCs w:val="22"/>
    </w:rPr>
  </w:style>
  <w:style w:type="paragraph" w:styleId="651">
    <w:name w:val="Heading 7"/>
    <w:basedOn w:val="815"/>
    <w:next w:val="815"/>
    <w:link w:val="652"/>
    <w:uiPriority w:val="9"/>
    <w:unhideWhenUsed/>
    <w:qFormat/>
    <w:pPr>
      <w:keepLines/>
      <w:keepNext/>
      <w:spacing w:before="320" w:after="200"/>
      <w:outlineLvl w:val="6"/>
    </w:pPr>
    <w:rPr>
      <w:rFonts w:ascii="Arial" w:hAnsi="Arial" w:eastAsia="Arial" w:cs="Arial"/>
      <w:b/>
      <w:bCs/>
      <w:i/>
      <w:iCs/>
      <w:sz w:val="22"/>
      <w:szCs w:val="22"/>
    </w:rPr>
  </w:style>
  <w:style w:type="character" w:styleId="652">
    <w:name w:val="Heading 7 Char"/>
    <w:basedOn w:val="817"/>
    <w:link w:val="651"/>
    <w:uiPriority w:val="9"/>
    <w:rPr>
      <w:rFonts w:ascii="Arial" w:hAnsi="Arial" w:eastAsia="Arial" w:cs="Arial"/>
      <w:b/>
      <w:bCs/>
      <w:i/>
      <w:iCs/>
      <w:sz w:val="22"/>
      <w:szCs w:val="22"/>
    </w:rPr>
  </w:style>
  <w:style w:type="paragraph" w:styleId="653">
    <w:name w:val="Heading 8"/>
    <w:basedOn w:val="815"/>
    <w:next w:val="815"/>
    <w:link w:val="654"/>
    <w:uiPriority w:val="9"/>
    <w:unhideWhenUsed/>
    <w:qFormat/>
    <w:pPr>
      <w:keepLines/>
      <w:keepNext/>
      <w:spacing w:before="320" w:after="200"/>
      <w:outlineLvl w:val="7"/>
    </w:pPr>
    <w:rPr>
      <w:rFonts w:ascii="Arial" w:hAnsi="Arial" w:eastAsia="Arial" w:cs="Arial"/>
      <w:i/>
      <w:iCs/>
      <w:sz w:val="22"/>
      <w:szCs w:val="22"/>
    </w:rPr>
  </w:style>
  <w:style w:type="character" w:styleId="654">
    <w:name w:val="Heading 8 Char"/>
    <w:basedOn w:val="817"/>
    <w:link w:val="653"/>
    <w:uiPriority w:val="9"/>
    <w:rPr>
      <w:rFonts w:ascii="Arial" w:hAnsi="Arial" w:eastAsia="Arial" w:cs="Arial"/>
      <w:i/>
      <w:iCs/>
      <w:sz w:val="22"/>
      <w:szCs w:val="22"/>
    </w:rPr>
  </w:style>
  <w:style w:type="paragraph" w:styleId="655">
    <w:name w:val="Heading 9"/>
    <w:basedOn w:val="815"/>
    <w:next w:val="815"/>
    <w:link w:val="656"/>
    <w:uiPriority w:val="9"/>
    <w:unhideWhenUsed/>
    <w:qFormat/>
    <w:pPr>
      <w:keepLines/>
      <w:keepNext/>
      <w:spacing w:before="320" w:after="200"/>
      <w:outlineLvl w:val="8"/>
    </w:pPr>
    <w:rPr>
      <w:rFonts w:ascii="Arial" w:hAnsi="Arial" w:eastAsia="Arial" w:cs="Arial"/>
      <w:i/>
      <w:iCs/>
      <w:sz w:val="21"/>
      <w:szCs w:val="21"/>
    </w:rPr>
  </w:style>
  <w:style w:type="character" w:styleId="656">
    <w:name w:val="Heading 9 Char"/>
    <w:basedOn w:val="817"/>
    <w:link w:val="655"/>
    <w:uiPriority w:val="9"/>
    <w:rPr>
      <w:rFonts w:ascii="Arial" w:hAnsi="Arial" w:eastAsia="Arial" w:cs="Arial"/>
      <w:i/>
      <w:iCs/>
      <w:sz w:val="21"/>
      <w:szCs w:val="21"/>
    </w:rPr>
  </w:style>
  <w:style w:type="paragraph" w:styleId="657">
    <w:name w:val="List Paragraph"/>
    <w:basedOn w:val="815"/>
    <w:uiPriority w:val="34"/>
    <w:qFormat/>
    <w:pPr>
      <w:contextualSpacing/>
      <w:ind w:left="720"/>
    </w:pPr>
  </w:style>
  <w:style w:type="paragraph" w:styleId="658">
    <w:name w:val="No Spacing"/>
    <w:uiPriority w:val="1"/>
    <w:qFormat/>
    <w:pPr>
      <w:spacing w:before="0" w:after="0" w:line="240" w:lineRule="auto"/>
    </w:pPr>
  </w:style>
  <w:style w:type="paragraph" w:styleId="659">
    <w:name w:val="Title"/>
    <w:basedOn w:val="815"/>
    <w:next w:val="815"/>
    <w:link w:val="660"/>
    <w:uiPriority w:val="10"/>
    <w:qFormat/>
    <w:pPr>
      <w:contextualSpacing/>
      <w:spacing w:before="300" w:after="200"/>
    </w:pPr>
    <w:rPr>
      <w:sz w:val="48"/>
      <w:szCs w:val="48"/>
    </w:rPr>
  </w:style>
  <w:style w:type="character" w:styleId="660">
    <w:name w:val="Title Char"/>
    <w:basedOn w:val="817"/>
    <w:link w:val="659"/>
    <w:uiPriority w:val="10"/>
    <w:rPr>
      <w:sz w:val="48"/>
      <w:szCs w:val="48"/>
    </w:rPr>
  </w:style>
  <w:style w:type="paragraph" w:styleId="661">
    <w:name w:val="Subtitle"/>
    <w:basedOn w:val="815"/>
    <w:next w:val="815"/>
    <w:link w:val="662"/>
    <w:uiPriority w:val="11"/>
    <w:qFormat/>
    <w:pPr>
      <w:spacing w:before="200" w:after="200"/>
    </w:pPr>
    <w:rPr>
      <w:sz w:val="24"/>
      <w:szCs w:val="24"/>
    </w:rPr>
  </w:style>
  <w:style w:type="character" w:styleId="662">
    <w:name w:val="Subtitle Char"/>
    <w:basedOn w:val="817"/>
    <w:link w:val="661"/>
    <w:uiPriority w:val="11"/>
    <w:rPr>
      <w:sz w:val="24"/>
      <w:szCs w:val="24"/>
    </w:rPr>
  </w:style>
  <w:style w:type="paragraph" w:styleId="663">
    <w:name w:val="Quote"/>
    <w:basedOn w:val="815"/>
    <w:next w:val="815"/>
    <w:link w:val="664"/>
    <w:uiPriority w:val="29"/>
    <w:qFormat/>
    <w:pPr>
      <w:ind w:left="720" w:right="720"/>
    </w:pPr>
    <w:rPr>
      <w:i/>
    </w:rPr>
  </w:style>
  <w:style w:type="character" w:styleId="664">
    <w:name w:val="Quote Char"/>
    <w:link w:val="663"/>
    <w:uiPriority w:val="29"/>
    <w:rPr>
      <w:i/>
    </w:rPr>
  </w:style>
  <w:style w:type="paragraph" w:styleId="665">
    <w:name w:val="Intense Quote"/>
    <w:basedOn w:val="815"/>
    <w:next w:val="815"/>
    <w:link w:val="6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6">
    <w:name w:val="Intense Quote Char"/>
    <w:link w:val="665"/>
    <w:uiPriority w:val="30"/>
    <w:rPr>
      <w:i/>
    </w:rPr>
  </w:style>
  <w:style w:type="character" w:styleId="667">
    <w:name w:val="Header Char"/>
    <w:basedOn w:val="817"/>
    <w:link w:val="822"/>
    <w:uiPriority w:val="99"/>
  </w:style>
  <w:style w:type="character" w:styleId="668">
    <w:name w:val="Footer Char"/>
    <w:basedOn w:val="817"/>
    <w:link w:val="821"/>
    <w:uiPriority w:val="99"/>
  </w:style>
  <w:style w:type="paragraph" w:styleId="669">
    <w:name w:val="Caption"/>
    <w:basedOn w:val="815"/>
    <w:next w:val="815"/>
    <w:uiPriority w:val="35"/>
    <w:semiHidden/>
    <w:unhideWhenUsed/>
    <w:qFormat/>
    <w:pPr>
      <w:spacing w:line="276" w:lineRule="auto"/>
    </w:pPr>
    <w:rPr>
      <w:b/>
      <w:bCs/>
      <w:color w:val="4f81bd" w:themeColor="accent1"/>
      <w:sz w:val="18"/>
      <w:szCs w:val="18"/>
    </w:rPr>
  </w:style>
  <w:style w:type="character" w:styleId="670">
    <w:name w:val="Caption Char"/>
    <w:basedOn w:val="669"/>
    <w:link w:val="821"/>
    <w:uiPriority w:val="99"/>
  </w:style>
  <w:style w:type="table" w:styleId="671">
    <w:name w:val="Table Grid"/>
    <w:basedOn w:val="81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2">
    <w:name w:val="Table Grid Light"/>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3">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1 Light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0">
    <w:name w:val="Grid Table 1 Light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1">
    <w:name w:val="Grid Table 1 Light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2">
    <w:name w:val="Grid Table 1 Light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3">
    <w:name w:val="Grid Table 1 Light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4">
    <w:name w:val="Grid Table 1 Light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5">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2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7">
    <w:name w:val="Grid Table 2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8">
    <w:name w:val="Grid Table 2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9">
    <w:name w:val="Grid Table 2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0">
    <w:name w:val="Grid Table 2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1">
    <w:name w:val="Grid Table 2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2">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4 - Accent 1"/>
    <w:basedOn w:val="8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1">
    <w:name w:val="Grid Table 4 - Accent 2"/>
    <w:basedOn w:val="8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2">
    <w:name w:val="Grid Table 4 - Accent 3"/>
    <w:basedOn w:val="8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3">
    <w:name w:val="Grid Table 4 - Accent 4"/>
    <w:basedOn w:val="8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4">
    <w:name w:val="Grid Table 4 - Accent 5"/>
    <w:basedOn w:val="8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5">
    <w:name w:val="Grid Table 4 - Accent 6"/>
    <w:basedOn w:val="8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6">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5 Dark- Accent 1"/>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8">
    <w:name w:val="Grid Table 5 Dark - Accent 2"/>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9">
    <w:name w:val="Grid Table 5 Dark - Accent 3"/>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0">
    <w:name w:val="Grid Table 5 Dark- Accent 4"/>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1">
    <w:name w:val="Grid Table 5 Dark - Accent 5"/>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2">
    <w:name w:val="Grid Table 5 Dark - Accent 6"/>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3">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6 Colorful - Accent 1"/>
    <w:basedOn w:val="8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5">
    <w:name w:val="Grid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6">
    <w:name w:val="Grid Table 6 Colorful - Accent 3"/>
    <w:basedOn w:val="8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7">
    <w:name w:val="Grid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8">
    <w:name w:val="Grid Table 6 Colorful - Accent 5"/>
    <w:basedOn w:val="8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9">
    <w:name w:val="Grid Table 6 Colorful - Accent 6"/>
    <w:basedOn w:val="8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0">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Grid Table 7 Colorful - Accent 1"/>
    <w:basedOn w:val="8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2">
    <w:name w:val="Grid Table 7 Colorful - Accent 2"/>
    <w:basedOn w:val="8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7 Colorful - Accent 3"/>
    <w:basedOn w:val="8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7 Colorful - Accent 4"/>
    <w:basedOn w:val="8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7 Colorful - Accent 5"/>
    <w:basedOn w:val="8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6">
    <w:name w:val="Grid Table 7 Colorful - Accent 6"/>
    <w:basedOn w:val="8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7">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1 Light - Accent 1"/>
    <w:basedOn w:val="81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9">
    <w:name w:val="List Table 1 Light - Accent 2"/>
    <w:basedOn w:val="8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0">
    <w:name w:val="List Table 1 Light - Accent 3"/>
    <w:basedOn w:val="8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1">
    <w:name w:val="List Table 1 Light - Accent 4"/>
    <w:basedOn w:val="8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2">
    <w:name w:val="List Table 1 Light - Accent 5"/>
    <w:basedOn w:val="81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3">
    <w:name w:val="List Table 1 Light - Accent 6"/>
    <w:basedOn w:val="8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4">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2 - Accent 1"/>
    <w:basedOn w:val="8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6">
    <w:name w:val="List Table 2 - Accent 2"/>
    <w:basedOn w:val="8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7">
    <w:name w:val="List Table 2 - Accent 3"/>
    <w:basedOn w:val="8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8">
    <w:name w:val="List Table 2 - Accent 4"/>
    <w:basedOn w:val="8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9">
    <w:name w:val="List Table 2 - Accent 5"/>
    <w:basedOn w:val="8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0">
    <w:name w:val="List Table 2 - Accent 6"/>
    <w:basedOn w:val="8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1">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3 - Accent 1"/>
    <w:basedOn w:val="8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3">
    <w:name w:val="List Table 3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4">
    <w:name w:val="List Table 3 - Accent 3"/>
    <w:basedOn w:val="8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5">
    <w:name w:val="List Table 3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6">
    <w:name w:val="List Table 3 - Accent 5"/>
    <w:basedOn w:val="8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7">
    <w:name w:val="List Table 3 - Accent 6"/>
    <w:basedOn w:val="8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8">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 Accent 1"/>
    <w:basedOn w:val="8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0">
    <w:name w:val="List Table 4 - Accent 2"/>
    <w:basedOn w:val="8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1">
    <w:name w:val="List Table 4 - Accent 3"/>
    <w:basedOn w:val="8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2">
    <w:name w:val="List Table 4 - Accent 4"/>
    <w:basedOn w:val="8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3">
    <w:name w:val="List Table 4 - Accent 5"/>
    <w:basedOn w:val="8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4">
    <w:name w:val="List Table 4 - Accent 6"/>
    <w:basedOn w:val="8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5">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1"/>
    <w:basedOn w:val="8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2"/>
    <w:basedOn w:val="8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3"/>
    <w:basedOn w:val="8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4"/>
    <w:basedOn w:val="8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5"/>
    <w:basedOn w:val="8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6"/>
    <w:basedOn w:val="8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6 Colorful - Accent 1"/>
    <w:basedOn w:val="8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4">
    <w:name w:val="List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5">
    <w:name w:val="List Table 6 Colorful - Accent 3"/>
    <w:basedOn w:val="8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6">
    <w:name w:val="List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7">
    <w:name w:val="List Table 6 Colorful - Accent 5"/>
    <w:basedOn w:val="8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8">
    <w:name w:val="List Table 6 Colorful - Accent 6"/>
    <w:basedOn w:val="8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9">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0">
    <w:name w:val="List Table 7 Colorful - Accent 1"/>
    <w:basedOn w:val="8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1">
    <w:name w:val="List Table 7 Colorful - Accent 2"/>
    <w:basedOn w:val="8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2">
    <w:name w:val="List Table 7 Colorful - Accent 3"/>
    <w:basedOn w:val="8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3">
    <w:name w:val="List Table 7 Colorful - Accent 4"/>
    <w:basedOn w:val="8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4">
    <w:name w:val="List Table 7 Colorful - Accent 5"/>
    <w:basedOn w:val="8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5">
    <w:name w:val="List Table 7 Colorful - Accent 6"/>
    <w:basedOn w:val="8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6">
    <w:name w:val="Lined - Accent"/>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7">
    <w:name w:val="Lined - Accent 1"/>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8">
    <w:name w:val="Lined - Accent 2"/>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9">
    <w:name w:val="Lined - Accent 3"/>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0">
    <w:name w:val="Lined - Accent 4"/>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1">
    <w:name w:val="Lined - Accent 5"/>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2">
    <w:name w:val="Lined - Accent 6"/>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3">
    <w:name w:val="Bordered &amp; Lined - Accent"/>
    <w:basedOn w:val="8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Bordered &amp; Lined - Accent 1"/>
    <w:basedOn w:val="8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5">
    <w:name w:val="Bordered &amp; Lined - Accent 2"/>
    <w:basedOn w:val="8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6">
    <w:name w:val="Bordered &amp; Lined - Accent 3"/>
    <w:basedOn w:val="8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7">
    <w:name w:val="Bordered &amp; Lined - Accent 4"/>
    <w:basedOn w:val="8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8">
    <w:name w:val="Bordered &amp; Lined - Accent 5"/>
    <w:basedOn w:val="8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9">
    <w:name w:val="Bordered &amp; Lined - Accent 6"/>
    <w:basedOn w:val="8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0">
    <w:name w:val="Bordered"/>
    <w:basedOn w:val="8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1">
    <w:name w:val="Bordered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2">
    <w:name w:val="Bordered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3">
    <w:name w:val="Bordered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4">
    <w:name w:val="Bordered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5">
    <w:name w:val="Bordered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6">
    <w:name w:val="Bordered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7">
    <w:name w:val="Hyperlink"/>
    <w:uiPriority w:val="99"/>
    <w:unhideWhenUsed/>
    <w:rPr>
      <w:color w:val="0000ff" w:themeColor="hyperlink"/>
      <w:u w:val="single"/>
    </w:rPr>
  </w:style>
  <w:style w:type="paragraph" w:styleId="798">
    <w:name w:val="footnote text"/>
    <w:basedOn w:val="815"/>
    <w:link w:val="799"/>
    <w:uiPriority w:val="99"/>
    <w:semiHidden/>
    <w:unhideWhenUsed/>
    <w:pPr>
      <w:spacing w:after="40" w:line="240" w:lineRule="auto"/>
    </w:pPr>
    <w:rPr>
      <w:sz w:val="18"/>
    </w:rPr>
  </w:style>
  <w:style w:type="character" w:styleId="799">
    <w:name w:val="Footnote Text Char"/>
    <w:link w:val="798"/>
    <w:uiPriority w:val="99"/>
    <w:rPr>
      <w:sz w:val="18"/>
    </w:rPr>
  </w:style>
  <w:style w:type="character" w:styleId="800">
    <w:name w:val="footnote reference"/>
    <w:basedOn w:val="817"/>
    <w:uiPriority w:val="99"/>
    <w:unhideWhenUsed/>
    <w:rPr>
      <w:vertAlign w:val="superscript"/>
    </w:rPr>
  </w:style>
  <w:style w:type="paragraph" w:styleId="801">
    <w:name w:val="endnote text"/>
    <w:basedOn w:val="815"/>
    <w:link w:val="802"/>
    <w:uiPriority w:val="99"/>
    <w:semiHidden/>
    <w:unhideWhenUsed/>
    <w:pPr>
      <w:spacing w:after="0" w:line="240" w:lineRule="auto"/>
    </w:pPr>
    <w:rPr>
      <w:sz w:val="20"/>
    </w:rPr>
  </w:style>
  <w:style w:type="character" w:styleId="802">
    <w:name w:val="Endnote Text Char"/>
    <w:link w:val="801"/>
    <w:uiPriority w:val="99"/>
    <w:rPr>
      <w:sz w:val="20"/>
    </w:rPr>
  </w:style>
  <w:style w:type="character" w:styleId="803">
    <w:name w:val="endnote reference"/>
    <w:basedOn w:val="817"/>
    <w:uiPriority w:val="99"/>
    <w:semiHidden/>
    <w:unhideWhenUsed/>
    <w:rPr>
      <w:vertAlign w:val="superscript"/>
    </w:rPr>
  </w:style>
  <w:style w:type="paragraph" w:styleId="804">
    <w:name w:val="toc 1"/>
    <w:basedOn w:val="815"/>
    <w:next w:val="815"/>
    <w:uiPriority w:val="39"/>
    <w:unhideWhenUsed/>
    <w:pPr>
      <w:ind w:left="0" w:right="0" w:firstLine="0"/>
      <w:spacing w:after="57"/>
    </w:pPr>
  </w:style>
  <w:style w:type="paragraph" w:styleId="805">
    <w:name w:val="toc 2"/>
    <w:basedOn w:val="815"/>
    <w:next w:val="815"/>
    <w:uiPriority w:val="39"/>
    <w:unhideWhenUsed/>
    <w:pPr>
      <w:ind w:left="283" w:right="0" w:firstLine="0"/>
      <w:spacing w:after="57"/>
    </w:pPr>
  </w:style>
  <w:style w:type="paragraph" w:styleId="806">
    <w:name w:val="toc 3"/>
    <w:basedOn w:val="815"/>
    <w:next w:val="815"/>
    <w:uiPriority w:val="39"/>
    <w:unhideWhenUsed/>
    <w:pPr>
      <w:ind w:left="567" w:right="0" w:firstLine="0"/>
      <w:spacing w:after="57"/>
    </w:pPr>
  </w:style>
  <w:style w:type="paragraph" w:styleId="807">
    <w:name w:val="toc 4"/>
    <w:basedOn w:val="815"/>
    <w:next w:val="815"/>
    <w:uiPriority w:val="39"/>
    <w:unhideWhenUsed/>
    <w:pPr>
      <w:ind w:left="850" w:right="0" w:firstLine="0"/>
      <w:spacing w:after="57"/>
    </w:pPr>
  </w:style>
  <w:style w:type="paragraph" w:styleId="808">
    <w:name w:val="toc 5"/>
    <w:basedOn w:val="815"/>
    <w:next w:val="815"/>
    <w:uiPriority w:val="39"/>
    <w:unhideWhenUsed/>
    <w:pPr>
      <w:ind w:left="1134" w:right="0" w:firstLine="0"/>
      <w:spacing w:after="57"/>
    </w:pPr>
  </w:style>
  <w:style w:type="paragraph" w:styleId="809">
    <w:name w:val="toc 6"/>
    <w:basedOn w:val="815"/>
    <w:next w:val="815"/>
    <w:uiPriority w:val="39"/>
    <w:unhideWhenUsed/>
    <w:pPr>
      <w:ind w:left="1417" w:right="0" w:firstLine="0"/>
      <w:spacing w:after="57"/>
    </w:pPr>
  </w:style>
  <w:style w:type="paragraph" w:styleId="810">
    <w:name w:val="toc 7"/>
    <w:basedOn w:val="815"/>
    <w:next w:val="815"/>
    <w:uiPriority w:val="39"/>
    <w:unhideWhenUsed/>
    <w:pPr>
      <w:ind w:left="1701" w:right="0" w:firstLine="0"/>
      <w:spacing w:after="57"/>
    </w:pPr>
  </w:style>
  <w:style w:type="paragraph" w:styleId="811">
    <w:name w:val="toc 8"/>
    <w:basedOn w:val="815"/>
    <w:next w:val="815"/>
    <w:uiPriority w:val="39"/>
    <w:unhideWhenUsed/>
    <w:pPr>
      <w:ind w:left="1984" w:right="0" w:firstLine="0"/>
      <w:spacing w:after="57"/>
    </w:pPr>
  </w:style>
  <w:style w:type="paragraph" w:styleId="812">
    <w:name w:val="toc 9"/>
    <w:basedOn w:val="815"/>
    <w:next w:val="815"/>
    <w:uiPriority w:val="39"/>
    <w:unhideWhenUsed/>
    <w:pPr>
      <w:ind w:left="2268" w:right="0" w:firstLine="0"/>
      <w:spacing w:after="57"/>
    </w:pPr>
  </w:style>
  <w:style w:type="paragraph" w:styleId="813">
    <w:name w:val="TOC Heading"/>
    <w:uiPriority w:val="39"/>
    <w:unhideWhenUsed/>
  </w:style>
  <w:style w:type="paragraph" w:styleId="814">
    <w:name w:val="table of figures"/>
    <w:basedOn w:val="815"/>
    <w:next w:val="815"/>
    <w:uiPriority w:val="99"/>
    <w:unhideWhenUsed/>
    <w:pPr>
      <w:spacing w:after="0" w:afterAutospacing="0"/>
    </w:pPr>
  </w:style>
  <w:style w:type="paragraph" w:styleId="81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6">
    <w:name w:val="Heading 2"/>
    <w:basedOn w:val="815"/>
    <w:next w:val="81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name w:val="annotation text"/>
    <w:basedOn w:val="815"/>
    <w:uiPriority w:val="0"/>
    <w:qFormat/>
    <w:pPr>
      <w:jc w:val="left"/>
    </w:pPr>
  </w:style>
  <w:style w:type="paragraph" w:styleId="820">
    <w:name w:val="Body Text"/>
    <w:basedOn w:val="815"/>
    <w:uiPriority w:val="0"/>
    <w:semiHidden/>
    <w:qFormat/>
    <w:rPr>
      <w:rFonts w:ascii="仿宋" w:hAnsi="仿宋" w:eastAsia="仿宋" w:cs="仿宋"/>
      <w:sz w:val="31"/>
      <w:szCs w:val="31"/>
      <w:lang w:val="en-US" w:eastAsia="en-US" w:bidi="ar-SA"/>
    </w:rPr>
  </w:style>
  <w:style w:type="paragraph" w:styleId="821">
    <w:name w:val="Footer"/>
    <w:basedOn w:val="815"/>
    <w:link w:val="829"/>
    <w:uiPriority w:val="0"/>
    <w:qFormat/>
    <w:pPr>
      <w:jc w:val="left"/>
      <w:tabs>
        <w:tab w:val="center" w:pos="4153" w:leader="none"/>
        <w:tab w:val="right" w:pos="8306" w:leader="none"/>
      </w:tabs>
    </w:pPr>
    <w:rPr>
      <w:sz w:val="18"/>
      <w:szCs w:val="18"/>
    </w:rPr>
  </w:style>
  <w:style w:type="paragraph" w:styleId="822">
    <w:name w:val="Header"/>
    <w:basedOn w:val="815"/>
    <w:link w:val="828"/>
    <w:uiPriority w:val="0"/>
    <w:qFormat/>
    <w:pPr>
      <w:jc w:val="center"/>
      <w:tabs>
        <w:tab w:val="center" w:pos="4153" w:leader="none"/>
        <w:tab w:val="right" w:pos="8306" w:leader="none"/>
      </w:tabs>
      <w:pBdr>
        <w:bottom w:val="single" w:color="auto" w:sz="6" w:space="1"/>
      </w:pBdr>
    </w:pPr>
    <w:rPr>
      <w:sz w:val="18"/>
      <w:szCs w:val="18"/>
    </w:rPr>
  </w:style>
  <w:style w:type="paragraph" w:styleId="823">
    <w:name w:val="Normal (Web)"/>
    <w:basedOn w:val="815"/>
    <w:uiPriority w:val="0"/>
    <w:qFormat/>
    <w:pPr>
      <w:jc w:val="left"/>
      <w:spacing w:beforeAutospacing="1" w:afterAutospacing="1"/>
    </w:pPr>
    <w:rPr>
      <w:rFonts w:cs="Times New Roman"/>
      <w:sz w:val="24"/>
    </w:rPr>
  </w:style>
  <w:style w:type="character" w:styleId="824">
    <w:name w:val="Strong"/>
    <w:basedOn w:val="817"/>
    <w:uiPriority w:val="0"/>
    <w:qFormat/>
    <w:rPr>
      <w:b/>
    </w:rPr>
  </w:style>
  <w:style w:type="character" w:styleId="825">
    <w:name w:val="Emphasis"/>
    <w:uiPriority w:val="0"/>
    <w:qFormat/>
    <w:rPr>
      <w:i/>
    </w:rPr>
  </w:style>
  <w:style w:type="paragraph" w:styleId="826" w:customStyle="1">
    <w:name w:val="首行缩进"/>
    <w:basedOn w:val="815"/>
    <w:uiPriority w:val="0"/>
    <w:qFormat/>
    <w:pPr>
      <w:ind w:firstLine="480"/>
      <w:jc w:val="left"/>
      <w:spacing w:line="360" w:lineRule="auto"/>
    </w:pPr>
    <w:rPr>
      <w:rFonts w:ascii="宋体" w:hAnsi="宋体"/>
      <w:sz w:val="24"/>
    </w:rPr>
  </w:style>
  <w:style w:type="paragraph" w:styleId="827" w:customStyle="1">
    <w:name w:val="Default"/>
    <w:basedOn w:val="815"/>
    <w:uiPriority w:val="0"/>
    <w:semiHidden/>
    <w:qFormat/>
    <w:pPr>
      <w:jc w:val="left"/>
    </w:pPr>
    <w:rPr>
      <w:rFonts w:ascii="宋体" w:hAnsi="Calibri" w:cs="宋体"/>
      <w:color w:val="000000"/>
      <w:sz w:val="24"/>
    </w:rPr>
  </w:style>
  <w:style w:type="character" w:styleId="828" w:customStyle="1">
    <w:name w:val="页眉 Char"/>
    <w:basedOn w:val="817"/>
    <w:link w:val="822"/>
    <w:uiPriority w:val="0"/>
    <w:qFormat/>
    <w:rPr>
      <w:rFonts w:asciiTheme="minorHAnsi" w:hAnsiTheme="minorHAnsi" w:eastAsiaTheme="minorEastAsia" w:cstheme="minorBidi"/>
      <w:sz w:val="18"/>
      <w:szCs w:val="18"/>
    </w:rPr>
  </w:style>
  <w:style w:type="character" w:styleId="829" w:customStyle="1">
    <w:name w:val="页脚 Char"/>
    <w:basedOn w:val="817"/>
    <w:link w:val="821"/>
    <w:uiPriority w:val="0"/>
    <w:qFormat/>
    <w:rPr>
      <w:rFonts w:asciiTheme="minorHAnsi" w:hAnsiTheme="minorHAnsi" w:eastAsiaTheme="minorEastAsia" w:cstheme="minorBidi"/>
      <w:sz w:val="18"/>
      <w:szCs w:val="18"/>
    </w:rPr>
  </w:style>
  <w:style w:type="paragraph" w:styleId="830" w:customStyle="1">
    <w:name w:val="普通正文"/>
    <w:basedOn w:val="815"/>
    <w:uiPriority w:val="0"/>
    <w:qFormat/>
    <w:pPr>
      <w:ind w:firstLine="480"/>
      <w:jc w:val="left"/>
      <w:spacing w:before="120" w:after="120" w:line="360" w:lineRule="auto"/>
    </w:pPr>
    <w:rPr>
      <w:rFonts w:ascii="Arial" w:hAnsi="Arial" w:eastAsia="等线" w:cs="Arial"/>
      <w:sz w:val="24"/>
      <w:szCs w:val="24"/>
    </w:rPr>
  </w:style>
  <w:style w:type="paragraph" w:styleId="831" w:customStyle="1">
    <w:name w:val="正文首行缩进 21"/>
    <w:basedOn w:val="832"/>
    <w:uiPriority w:val="0"/>
    <w:qFormat/>
    <w:pPr>
      <w:ind w:firstLine="420"/>
    </w:pPr>
  </w:style>
  <w:style w:type="paragraph" w:styleId="832" w:customStyle="1">
    <w:name w:val="正文文本缩进1"/>
    <w:basedOn w:val="815"/>
    <w:uiPriority w:val="0"/>
    <w:qFormat/>
    <w:pPr>
      <w:ind w:left="420"/>
      <w:spacing w:after="120"/>
    </w:pPr>
  </w:style>
  <w:style w:type="table" w:styleId="833" w:customStyle="1">
    <w:name w:val="Table Normal"/>
    <w:uiPriority w:val="0"/>
    <w:semiHidden/>
    <w:unhideWhenUsed/>
    <w:qFormat/>
    <w:tblPr>
      <w:tblCellMar>
        <w:left w:w="0" w:type="dxa"/>
        <w:top w:w="0" w:type="dxa"/>
        <w:right w:w="0" w:type="dxa"/>
        <w:bottom w:w="0" w:type="dxa"/>
      </w:tblCellMar>
    </w:tblPr>
  </w:style>
  <w:style w:type="paragraph" w:styleId="834" w:customStyle="1">
    <w:name w:val="Table Text"/>
    <w:basedOn w:val="815"/>
    <w:uiPriority w:val="0"/>
    <w:semiHidden/>
    <w:qFormat/>
    <w:rPr>
      <w:rFonts w:ascii="宋体" w:hAnsi="宋体" w:eastAsia="宋体" w:cs="宋体"/>
      <w:sz w:val="22"/>
      <w:szCs w:val="22"/>
      <w:lang w:eastAsia="en-US"/>
    </w:rPr>
  </w:style>
  <w:style w:type="numbering" w:styleId="8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jpg"/><Relationship Id="rId1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田丽霞</cp:lastModifiedBy>
  <cp:revision>274</cp:revision>
  <dcterms:created xsi:type="dcterms:W3CDTF">2014-10-29T12:08:00Z</dcterms:created>
  <dcterms:modified xsi:type="dcterms:W3CDTF">2026-10-20T06:02:40Z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A2AE93153BFF4574AC2F1D1B3753A405_13</vt:lpwstr>
  </property>
  <property fmtid="{D5CDD505-2E9C-101B-9397-08002B2CF9AE}" pid="4" name="KSOTemplateDocerSaveRecord">
    <vt:lpwstr>eyJoZGlkIjoiMTNjMDI3ZTcyNzBhNTNmM2YxY2RiMmI0MWVhZTk2Y2MiLCJ1c2VySWQiOiIxNzM0NDM5ODczIn0=</vt:lpwstr>
  </property>
</Properties>
</file>