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812"/>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812"/>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812"/>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812"/>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812"/>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12"/>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ind w:firstLine="640"/>
        <w:keepLines w:val="0"/>
        <w:keepNext w:val="0"/>
        <w:pageBreakBefore w:val="0"/>
        <w:spacing w:line="480" w:lineRule="auto"/>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lang w:eastAsia="zh-CN"/>
        </w:rPr>
      </w:r>
      <w:r/>
    </w:p>
    <w:p>
      <w:pPr>
        <w:ind w:firstLine="640"/>
        <w:keepLines w:val="0"/>
        <w:keepNext w:val="0"/>
        <w:pageBreakBefore w:val="0"/>
        <w:spacing w:line="480" w:lineRule="auto"/>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lang w:eastAsia="zh-CN"/>
        </w:rPr>
      </w:r>
      <w:r/>
    </w:p>
    <w:p>
      <w:pPr>
        <w:ind w:firstLine="640"/>
        <w:keepLines w:val="0"/>
        <w:keepNext w:val="0"/>
        <w:pageBreakBefore w:val="0"/>
        <w:spacing w:line="480" w:lineRule="auto"/>
        <w:widowControl w:val="off"/>
        <w:tabs>
          <w:tab w:val="left" w:pos="585" w:leader="none"/>
        </w:tabs>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lang w:eastAsia="zh-CN"/>
        </w:rPr>
        <w:tab/>
      </w:r>
      <w:r>
        <w:rPr>
          <w:rFonts w:hint="eastAsia" w:ascii="仿宋" w:hAnsi="仿宋" w:eastAsia="仿宋" w:cs="仿宋"/>
          <w:color w:val="000000"/>
          <w:sz w:val="32"/>
          <w:highlight w:val="none"/>
          <w:lang w:val="en-US" w:eastAsia="zh-CN"/>
        </w:rPr>
        <w:t xml:space="preserve"> </w:t>
      </w:r>
      <w:r>
        <w:rPr>
          <w:rFonts w:hint="eastAsia" w:ascii="仿宋" w:hAnsi="仿宋" w:eastAsia="仿宋" w:cs="仿宋"/>
          <w:color w:val="000000"/>
          <w:sz w:val="32"/>
          <w:highlight w:val="none"/>
          <w:lang w:eastAsia="zh-CN"/>
        </w:rPr>
        <w:t xml:space="preserve">项目编号</w:t>
      </w:r>
      <w:r>
        <w:rPr>
          <w:rFonts w:hint="eastAsia" w:ascii="仿宋" w:hAnsi="仿宋" w:eastAsia="仿宋" w:cs="仿宋"/>
          <w:color w:val="000000" w:themeColor="text1"/>
          <w:sz w:val="32"/>
          <w:highlight w:val="none"/>
          <w:lang w:eastAsia="zh-CN"/>
          <w14:textFill>
            <w14:solidFill>
              <w14:schemeClr w14:val="tx1"/>
            </w14:solidFill>
          </w14:textFill>
        </w:rPr>
        <w:t xml:space="preserve">：</w:t>
      </w:r>
      <w:r>
        <w:rPr>
          <w:rFonts w:hint="eastAsia" w:ascii="仿宋" w:hAnsi="仿宋" w:eastAsia="仿宋" w:cs="仿宋"/>
          <w:color w:val="000000"/>
          <w:sz w:val="32"/>
          <w:highlight w:val="none"/>
          <w:lang w:val="en-US" w:eastAsia="zh-CN"/>
        </w:rPr>
        <w:t xml:space="preserve">JSZC-320321-SDGS-G2026-0002</w:t>
      </w:r>
      <w:r>
        <w:rPr>
          <w:rFonts w:hint="eastAsia" w:ascii="仿宋" w:hAnsi="仿宋" w:eastAsia="仿宋" w:cs="仿宋"/>
          <w:color w:val="000000" w:themeColor="text1"/>
          <w:sz w:val="32"/>
          <w:highlight w:val="none"/>
          <w:lang w:eastAsia="zh-CN"/>
          <w14:textFill>
            <w14:solidFill>
              <w14:schemeClr w14:val="tx1"/>
            </w14:solidFill>
          </w14:textFill>
        </w:rPr>
        <w:tab/>
      </w:r>
      <w:r/>
    </w:p>
    <w:p>
      <w:pPr>
        <w:ind w:firstLine="640"/>
        <w:jc w:val="both"/>
        <w:keepLines w:val="0"/>
        <w:keepNext w:val="0"/>
        <w:pageBreakBefore w:val="0"/>
        <w:spacing w:line="480" w:lineRule="auto"/>
        <w:widowControl w:val="off"/>
        <w:tabs>
          <w:tab w:val="left" w:pos="615" w:leader="none"/>
        </w:tabs>
        <w:rPr>
          <w:rFonts w:hint="eastAsia"/>
          <w:highlight w:val="none"/>
        </w:rPr>
        <w:outlineLvl w:val="9"/>
      </w:pPr>
      <w:r>
        <w:rPr>
          <w:rFonts w:hint="eastAsia" w:ascii="仿宋" w:hAnsi="仿宋" w:eastAsia="仿宋" w:cs="仿宋"/>
          <w:color w:val="000000"/>
          <w:sz w:val="32"/>
          <w:highlight w:val="none"/>
          <w:lang w:eastAsia="zh-CN"/>
        </w:rPr>
        <w:tab/>
      </w:r>
      <w:r>
        <w:rPr>
          <w:rFonts w:hint="eastAsia" w:ascii="仿宋" w:hAnsi="仿宋" w:eastAsia="仿宋" w:cs="仿宋"/>
          <w:color w:val="000000"/>
          <w:sz w:val="32"/>
          <w:highlight w:val="none"/>
          <w:lang w:val="en-US" w:eastAsia="zh-CN"/>
        </w:rPr>
        <w:t xml:space="preserve"> </w:t>
      </w:r>
      <w:r>
        <w:rPr>
          <w:rFonts w:hint="eastAsia" w:ascii="仿宋" w:hAnsi="仿宋" w:eastAsia="仿宋" w:cs="仿宋"/>
          <w:color w:val="000000"/>
          <w:sz w:val="32"/>
          <w:highlight w:val="none"/>
        </w:rPr>
        <w:t xml:space="preserve">项目名称：</w:t>
      </w:r>
      <w:r>
        <w:rPr>
          <w:rFonts w:hint="eastAsia" w:ascii="仿宋" w:hAnsi="仿宋" w:eastAsia="仿宋" w:cs="仿宋"/>
          <w:color w:val="000000"/>
          <w:sz w:val="32"/>
          <w:highlight w:val="none"/>
          <w:lang w:eastAsia="zh-CN"/>
        </w:rPr>
        <w:t xml:space="preserve">2026年丰县玉米绿色高产高效行动县创建</w:t>
      </w:r>
      <w:r/>
    </w:p>
    <w:p>
      <w:pPr>
        <w:ind w:firstLine="960"/>
        <w:keepLines w:val="0"/>
        <w:keepNext w:val="0"/>
        <w:pageBreakBefore w:val="0"/>
        <w:spacing w:line="480" w:lineRule="auto"/>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val="en-US" w:eastAsia="zh-CN"/>
        </w:rPr>
        <w:t xml:space="preserve">丰县</w:t>
      </w:r>
      <w:r>
        <w:rPr>
          <w:rFonts w:hint="eastAsia" w:ascii="仿宋" w:hAnsi="仿宋" w:eastAsia="仿宋" w:cs="仿宋"/>
          <w:color w:val="000000"/>
          <w:sz w:val="32"/>
          <w:highlight w:val="none"/>
          <w:lang w:eastAsia="zh-CN"/>
        </w:rPr>
        <w:t xml:space="preserve">农业农村局</w:t>
      </w:r>
      <w:r/>
    </w:p>
    <w:p>
      <w:pPr>
        <w:ind w:firstLine="900"/>
        <w:jc w:val="both"/>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val="en-US" w:eastAsia="zh-CN"/>
        </w:rPr>
        <w:t xml:space="preserve">盛鼎工程</w:t>
      </w:r>
      <w:r>
        <w:rPr>
          <w:rFonts w:hint="eastAsia" w:ascii="仿宋" w:hAnsi="仿宋" w:eastAsia="仿宋" w:cs="仿宋"/>
          <w:color w:val="000000"/>
          <w:sz w:val="30"/>
          <w:highlight w:val="none"/>
          <w:lang w:eastAsia="zh-CN"/>
        </w:rPr>
        <w:t xml:space="preserve">咨询有限公司</w:t>
      </w:r>
      <w:r/>
    </w:p>
    <w:p>
      <w:pPr>
        <w:jc w:val="center"/>
        <w:spacing w:line="360" w:lineRule="auto"/>
        <w:rPr>
          <w:rFonts w:hint="eastAsia" w:ascii="仿宋" w:hAnsi="仿宋" w:eastAsia="仿宋" w:cs="仿宋"/>
          <w:bCs/>
          <w:color w:val="000000"/>
          <w:sz w:val="30"/>
          <w:highlight w:val="none"/>
        </w:rPr>
      </w:pPr>
      <w:r>
        <w:rPr>
          <w:rFonts w:hint="eastAsia" w:ascii="仿宋" w:hAnsi="仿宋" w:eastAsia="仿宋" w:cs="仿宋"/>
          <w:bCs/>
          <w:color w:val="000000"/>
          <w:sz w:val="30"/>
          <w:highlight w:val="none"/>
        </w:rPr>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六</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val="en-US" w:eastAsia="zh-CN"/>
        </w:rPr>
        <w:t xml:space="preserve">十</w:t>
      </w:r>
      <w:r>
        <w:rPr>
          <w:rFonts w:hint="eastAsia" w:ascii="仿宋" w:hAnsi="仿宋" w:eastAsia="仿宋" w:cs="仿宋"/>
          <w:bCs/>
          <w:color w:val="000000"/>
          <w:sz w:val="30"/>
          <w:highlight w:val="none"/>
        </w:rPr>
        <w:t xml:space="preserve">月</w:t>
      </w:r>
      <w:r/>
    </w:p>
    <w:p>
      <w:pPr>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123" w:bottom="1440" w:left="1123"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highlight w:val="none"/>
          <w:lang w:eastAsia="zh-CN"/>
        </w:rPr>
        <w:t xml:space="preserve">采</w:t>
      </w:r>
      <w:r>
        <w:rPr>
          <w:rFonts w:hint="eastAsia" w:ascii="仿宋" w:hAnsi="仿宋" w:eastAsia="仿宋" w:cs="仿宋"/>
          <w:color w:val="000000"/>
          <w:sz w:val="30"/>
          <w:highlight w:val="none"/>
          <w:u w:val="none"/>
        </w:rPr>
        <w:fldChar w:fldCharType="end"/>
      </w:r>
      <w:r>
        <w:rPr>
          <w:rStyle w:val="983"/>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p>
    <w:p>
      <w:pPr>
        <w:pStyle w:val="964"/>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第一章  投标邀请</w:t>
      </w:r>
      <w:r/>
    </w:p>
    <w:p>
      <w:pPr>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val="en-US" w:eastAsia="zh-CN"/>
        </w:rPr>
        <w:t xml:space="preserve">盛鼎工程</w:t>
      </w:r>
      <w:r>
        <w:rPr>
          <w:rFonts w:hint="eastAsia" w:ascii="仿宋" w:hAnsi="仿宋" w:eastAsia="仿宋" w:cs="仿宋"/>
          <w:color w:val="000000"/>
          <w:sz w:val="28"/>
          <w:szCs w:val="28"/>
          <w:highlight w:val="none"/>
          <w:u w:val="none"/>
          <w:lang w:eastAsia="zh-CN"/>
        </w:rPr>
        <w:t xml:space="preserve">咨询有限公司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val="en-US" w:eastAsia="zh-CN"/>
        </w:rPr>
        <w:t xml:space="preserve">丰县</w:t>
      </w:r>
      <w:r>
        <w:rPr>
          <w:rFonts w:hint="eastAsia" w:ascii="仿宋" w:hAnsi="仿宋" w:eastAsia="仿宋" w:cs="仿宋"/>
          <w:color w:val="000000"/>
          <w:sz w:val="28"/>
          <w:szCs w:val="28"/>
          <w:highlight w:val="none"/>
          <w:u w:val="none"/>
          <w:lang w:eastAsia="zh-CN"/>
        </w:rPr>
        <w:t xml:space="preserve">农业农村局</w:t>
      </w:r>
      <w:r>
        <w:rPr>
          <w:rFonts w:hint="eastAsia" w:ascii="仿宋" w:hAnsi="仿宋" w:eastAsia="仿宋" w:cs="仿宋"/>
          <w:color w:val="000000"/>
          <w:sz w:val="28"/>
          <w:szCs w:val="28"/>
          <w:lang w:eastAsia="zh-CN"/>
        </w:rPr>
        <w:t xml:space="preserve">2026年丰县玉米绿色高产高效行动县创建</w:t>
      </w:r>
      <w:r>
        <w:rPr>
          <w:rFonts w:hint="eastAsia" w:ascii="仿宋" w:hAnsi="仿宋" w:eastAsia="仿宋" w:cs="仿宋"/>
          <w:color w:val="000000"/>
          <w:sz w:val="28"/>
          <w:szCs w:val="28"/>
          <w:highlight w:val="none"/>
          <w:u w:val="none"/>
          <w:lang w:eastAsia="zh-CN"/>
        </w:rPr>
        <w:t xml:space="preserve">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highlight w:val="none"/>
        </w:rPr>
        <w:t xml:space="preserve">现欢迎符合相关条件的供应商投标</w:t>
      </w:r>
      <w:r>
        <w:rPr>
          <w:rFonts w:hint="eastAsia" w:ascii="仿宋" w:hAnsi="仿宋" w:eastAsia="仿宋" w:cs="仿宋"/>
          <w:color w:val="000000"/>
          <w:sz w:val="28"/>
          <w:szCs w:val="28"/>
          <w:highlight w:val="none"/>
        </w:rPr>
        <w:t xml:space="preserve">。</w:t>
      </w:r>
      <w:r/>
    </w:p>
    <w:p>
      <w:pPr>
        <w:spacing w:line="36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p>
    <w:p>
      <w:pPr>
        <w:ind w:firstLine="28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2026年丰县玉米绿色高产高效行动县创建</w:t>
      </w:r>
      <w:r/>
    </w:p>
    <w:p>
      <w:pPr>
        <w:ind w:firstLine="280"/>
        <w:spacing w:line="519" w:lineRule="atLeas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JSZC-320321-SDGS-G2026-0002</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p>
    <w:p>
      <w:pPr>
        <w:ind w:firstLine="677"/>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p>
    <w:p>
      <w:pPr>
        <w:spacing w:line="519" w:lineRule="atLeast"/>
        <w:tabs>
          <w:tab w:val="left" w:pos="268" w:leader="none"/>
        </w:tabs>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三、获取招标文件</w:t>
      </w:r>
      <w:r/>
    </w:p>
    <w:p>
      <w:pPr>
        <w:ind w:firstLine="28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1、潜在供应商访问电子招标投标交易平台的网络地址和方法：</w:t>
      </w:r>
      <w:r/>
    </w:p>
    <w:p>
      <w:pPr>
        <w:ind w:firstLine="28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28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2）潜在投标人访问“苏采云”系统的网络地址和方法：“苏采云”系统的网址：http://jszfcg.jsczt.cn/；或进入徐州政府采购网（网址：http://czj.xz.gov.cn/Home/HomeIndex）--业务工作--用户登录，点击“苏采云”进入系统。</w:t>
      </w:r>
      <w:r/>
    </w:p>
    <w:p>
      <w:pPr>
        <w:ind w:firstLine="28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28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（5）招标代理机构（采购代理机构）将数据电文形式的采购文件加载至“苏采云”系统，供潜在投标人下载或者查阅。      </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（6）苏采云系统使用谷歌浏览器参与开标。</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、招标文件售价：免费</w:t>
      </w:r>
      <w:r/>
    </w:p>
    <w:p>
      <w:pPr>
        <w:ind w:firstLine="300"/>
        <w:spacing w:line="519" w:lineRule="atLeast"/>
        <w:tabs>
          <w:tab w:val="left" w:pos="6418" w:leader="none"/>
        </w:tabs>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四、投标有关信息</w:t>
      </w:r>
      <w:r/>
    </w:p>
    <w:p>
      <w:pPr>
        <w:spacing w:line="519" w:lineRule="atLeas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（一）投标截止时间：202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日北京时间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  </w:t>
      </w:r>
      <w:r/>
    </w:p>
    <w:p>
      <w:pPr>
        <w:spacing w:line="519" w:lineRule="atLeast"/>
        <w:rPr>
          <w:rFonts w:hint="default" w:ascii="仿宋" w:hAnsi="仿宋" w:eastAsia="仿宋" w:cs="仿宋"/>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（二）开标时间：202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日北京时间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30</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（三）开标地点：“苏采云”系统（网址： http://jszfcg.jsczt.cn/）“开标大厅”或进入徐州政府采购网（网址：https://czj.xz.gov.cn/zfcg/index.html）--办事指南--供应商--供应商登录入口，点击“苏采云”进入系统“开标大厅”。</w:t>
      </w:r>
      <w:r/>
    </w:p>
    <w:p>
      <w:pPr>
        <w:ind w:firstLine="300"/>
        <w:spacing w:line="519" w:lineRule="atLeast"/>
        <w:tabs>
          <w:tab w:val="left" w:pos="6418" w:leader="none"/>
        </w:tabs>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五、采购人</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（一）名称：</w:t>
      </w:r>
      <w:r>
        <w:rPr>
          <w:rFonts w:hint="eastAsia" w:ascii="仿宋" w:hAnsi="仿宋" w:eastAsia="仿宋" w:cs="仿宋"/>
          <w:color w:val="000000"/>
          <w:sz w:val="28"/>
          <w:szCs w:val="28"/>
          <w:highlight w:val="none"/>
          <w:lang w:val="en-US" w:eastAsia="zh-CN"/>
        </w:rPr>
        <w:t xml:space="preserve">丰县</w:t>
      </w:r>
      <w:r>
        <w:rPr>
          <w:rFonts w:hint="eastAsia" w:ascii="仿宋" w:hAnsi="仿宋" w:eastAsia="仿宋" w:cs="仿宋"/>
          <w:color w:val="000000"/>
          <w:sz w:val="28"/>
          <w:szCs w:val="28"/>
          <w:highlight w:val="none"/>
          <w:lang w:eastAsia="zh-CN"/>
        </w:rPr>
        <w:t xml:space="preserve">农业农村局</w:t>
      </w:r>
      <w:r>
        <w:rPr>
          <w:rFonts w:hint="eastAsia" w:ascii="仿宋" w:hAnsi="仿宋" w:eastAsia="仿宋" w:cs="仿宋"/>
          <w:color w:val="000000"/>
          <w:sz w:val="28"/>
          <w:szCs w:val="28"/>
          <w:highlight w:val="none"/>
        </w:rPr>
        <w:t xml:space="preserve"> </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（二）地址：江苏徐州市丰县南苑东路31号丰县农业农村局</w:t>
      </w:r>
      <w:r/>
    </w:p>
    <w:p>
      <w:pPr>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（三）联系方式：13921777299</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rPr>
        <w:t xml:space="preserve">（四）采购项目联系人：王全领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联系电话：13921777299</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六、采购代理机构</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（一）名称：</w:t>
      </w:r>
      <w:r>
        <w:rPr>
          <w:rFonts w:hint="eastAsia" w:ascii="仿宋" w:hAnsi="仿宋" w:eastAsia="仿宋" w:cs="仿宋"/>
          <w:color w:val="000000"/>
          <w:sz w:val="28"/>
          <w:szCs w:val="28"/>
        </w:rPr>
        <w:t xml:space="preserve">盛鼎工程咨询有限公司</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（二）地址：</w:t>
      </w:r>
      <w:r>
        <w:rPr>
          <w:rFonts w:hint="eastAsia" w:ascii="仿宋" w:hAnsi="仿宋" w:eastAsia="仿宋" w:cs="仿宋"/>
          <w:sz w:val="28"/>
          <w:szCs w:val="28"/>
          <w:highlight w:val="none"/>
          <w:lang w:eastAsia="zh-CN"/>
        </w:rPr>
        <w:t xml:space="preserve">河南省郑州市高新技术开发区冬青街46号A区016</w:t>
      </w:r>
      <w:r/>
    </w:p>
    <w:p>
      <w:pPr>
        <w:spacing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（三）联系方式：</w:t>
      </w:r>
      <w:r>
        <w:rPr>
          <w:rFonts w:hint="eastAsia" w:ascii="仿宋" w:hAnsi="仿宋" w:eastAsia="仿宋" w:cs="仿宋"/>
          <w:sz w:val="28"/>
          <w:szCs w:val="28"/>
          <w:highlight w:val="none"/>
          <w:lang w:val="en-US" w:eastAsia="zh-CN"/>
        </w:rPr>
        <w:t xml:space="preserve">18952291448</w:t>
      </w:r>
      <w:r/>
    </w:p>
    <w:p>
      <w:pPr>
        <w:spacing w:line="360" w:lineRule="auto"/>
        <w:rPr>
          <w:rFonts w:hint="default" w:ascii="仿宋" w:hAnsi="仿宋" w:eastAsia="仿宋" w:cs="仿宋"/>
          <w:sz w:val="28"/>
          <w:szCs w:val="28"/>
          <w:highlight w:val="none"/>
          <w:lang w:val="en-US"/>
        </w:rPr>
      </w:pPr>
      <w:r>
        <w:rPr>
          <w:rFonts w:hint="eastAsia" w:ascii="仿宋" w:hAnsi="仿宋" w:eastAsia="仿宋" w:cs="仿宋"/>
          <w:sz w:val="28"/>
          <w:szCs w:val="28"/>
          <w:highlight w:val="none"/>
        </w:rPr>
        <w:t xml:space="preserve">（四）采购项目联系人：</w:t>
      </w:r>
      <w:r>
        <w:rPr>
          <w:rFonts w:hint="eastAsia" w:ascii="仿宋" w:hAnsi="仿宋" w:eastAsia="仿宋" w:cs="仿宋"/>
          <w:sz w:val="28"/>
          <w:szCs w:val="28"/>
          <w:highlight w:val="none"/>
          <w:lang w:val="en-US" w:eastAsia="zh-CN"/>
        </w:rPr>
        <w:t xml:space="preserve">张工</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联系电话：</w:t>
      </w:r>
      <w:r>
        <w:rPr>
          <w:rFonts w:hint="eastAsia" w:ascii="仿宋" w:hAnsi="仿宋" w:eastAsia="仿宋" w:cs="仿宋"/>
          <w:sz w:val="28"/>
          <w:szCs w:val="28"/>
          <w:highlight w:val="none"/>
          <w:lang w:eastAsia="zh-CN"/>
        </w:rPr>
        <w:t xml:space="preserve">1</w:t>
      </w:r>
      <w:r>
        <w:rPr>
          <w:rFonts w:hint="eastAsia" w:ascii="仿宋" w:hAnsi="仿宋" w:eastAsia="仿宋" w:cs="仿宋"/>
          <w:sz w:val="28"/>
          <w:szCs w:val="28"/>
          <w:highlight w:val="none"/>
          <w:lang w:val="en-US" w:eastAsia="zh-CN"/>
        </w:rPr>
        <w:t xml:space="preserve">8168677894</w:t>
      </w:r>
      <w:r/>
    </w:p>
    <w:p>
      <w:pPr>
        <w:jc w:val="right"/>
        <w:spacing w:line="360" w:lineRule="auto"/>
        <w:rPr>
          <w:rFonts w:hint="default" w:ascii="仿宋" w:hAnsi="仿宋" w:eastAsia="仿宋" w:cs="仿宋"/>
          <w:sz w:val="28"/>
          <w:szCs w:val="28"/>
          <w:highlight w:val="none"/>
          <w:lang w:val="en-US"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sz w:val="28"/>
          <w:szCs w:val="28"/>
          <w:highlight w:val="none"/>
          <w:lang w:val="en-US" w:eastAsia="zh-CN"/>
        </w:rPr>
        <w:t xml:space="preserve">2026年10月14日</w:t>
      </w:r>
      <w:r/>
    </w:p>
    <w:p>
      <w:pPr>
        <w:pStyle w:val="964"/>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第二章  投标人须知</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一、总则</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（一）采购人。采购人即指依法进行政府采购的国家机关、事业单位和团体组织。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（二）政府招标采购方式。政府采购货物或服务（以下简称“货物服务”）的招标方式，分为公开招标和邀请招标。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①本项目应当履行促进绿色低碳循环发展，执行国家相关绿色标准，推动环保、节能、节水、循环、低碳、再生、有机等绿色产品和相关绿色服务、绿色基础设施应用的要求。</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②若项目要求提供履约担保的，中标供应商可以以履约保函(保险)形式代替提供履约保证金。供应商可登录江苏政府采购网“资料下载”栏目 (网址:www.ccgp-jiangsugovcn/jiangsu/zlxz)下载“政府采购电子履约保函(保险)操作手册”</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（五）采购人委托采购代理机构代理招标的，采购代理机构必须在采购人委托的范围内依法开展采购活动。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（六）投标人的资格条件：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投标人是指响应招标、参加投标竞争的法人、其他组织或者自然人。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2.投标人授权代表系指法定代表人或受法人委托的受托人。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（七）投标费用：投标人应承担所有与准备和参加投标有关的费用。无论投标的结果如何，采购代理机构对上述费用不承担任何责任和义务。</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二、招标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（八）招标文件应包括以下内容：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第一章，投标邀请；</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第二章，投标人须知；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第三章，投标资料表；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第四章，评标标准；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第五章，拟签订的合同文本；</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第六章，</w:t>
      </w:r>
      <w:r>
        <w:rPr>
          <w:rFonts w:hint="eastAsia" w:ascii="仿宋" w:hAnsi="仿宋" w:eastAsia="仿宋" w:cs="仿宋"/>
          <w:color w:val="000000"/>
          <w:sz w:val="28"/>
          <w:szCs w:val="28"/>
          <w:highlight w:val="none"/>
        </w:rPr>
        <w:t xml:space="preserve">项目概况及总体要求</w:t>
      </w:r>
      <w:r>
        <w:rPr>
          <w:rFonts w:hint="eastAsia" w:ascii="仿宋" w:hAnsi="仿宋" w:eastAsia="仿宋" w:cs="仿宋"/>
          <w:sz w:val="28"/>
          <w:szCs w:val="28"/>
          <w:highlight w:val="none"/>
        </w:rPr>
        <w:t xml:space="preserve">；</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第七章，投标文件相关格式。</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（九）招标文件澄清或者修改：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color w:val="000000"/>
          <w:sz w:val="28"/>
          <w:szCs w:val="28"/>
          <w:highlight w:val="none"/>
        </w:rPr>
        <w:t xml:space="preserve">现场考察</w:t>
      </w:r>
      <w:r>
        <w:rPr>
          <w:rFonts w:hint="eastAsia" w:ascii="仿宋" w:hAnsi="仿宋" w:eastAsia="仿宋" w:cs="仿宋"/>
          <w:sz w:val="28"/>
          <w:szCs w:val="28"/>
          <w:highlight w:val="none"/>
        </w:rPr>
        <w:t xml:space="preserve">以本文件第三章《投标资料表》中的要求为准。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3.开标前答疑会以本文件第三章《投标资料表》中的要求为准。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三、投标</w:t>
      </w:r>
      <w:r/>
    </w:p>
    <w:p>
      <w:pPr>
        <w:ind w:firstLine="60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（十）投标人应当按照招标文件的要求编制投标文件。投标文件应对招标文件提出的要求和条件做出实质性响应。</w:t>
      </w:r>
      <w:r/>
    </w:p>
    <w:p>
      <w:pPr>
        <w:ind w:firstLine="60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（十二）投标文件的构成：</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1.投标文件的构成以本文件第三章《投标资料表》中的要求为准。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2.投标人应当提交的资格、资信证明文件，以本文件第三章《投标资料表》中的所提要求为准。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（十三）投标函和价格表、商务条件、交货和提供服务的时间：</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1.投标函和价格表的要求见本章（十二）、（十三），格式见本文件第七章《投标文件相关格式》中《投标函》和《开标一览表》。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2.商务条件以本文件第三章《投标资料表》中的要求为准。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3.交货和提供服务的时间，以本文件第三章《投标资料表》中所提要求为准。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（十四）投标报价要求：</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1.投标人应按照招标文件的要求报出分项价格和总价。</w:t>
      </w:r>
      <w:r/>
    </w:p>
    <w:p>
      <w:pPr>
        <w:pStyle w:val="970"/>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2.投标人应按照招标文件的要求进行报价，如投标人作出偏离，应在《偏离表》中列出。</w:t>
      </w:r>
      <w:r/>
    </w:p>
    <w:p>
      <w:pPr>
        <w:pStyle w:val="970"/>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3.采购人不支付报价以外的任何费用。</w:t>
      </w:r>
      <w:r/>
    </w:p>
    <w:p>
      <w:pPr>
        <w:pStyle w:val="970"/>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 投标人所报的价格在合同执行过程中是固定的，不得以任何理由予以变更。投标人提交滑动价格的投标文件在资格性、符合性检查时按照无效投标处理。</w:t>
      </w:r>
      <w:r/>
    </w:p>
    <w:p>
      <w:pPr>
        <w:pStyle w:val="970"/>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5.投标人只能提交一个投标价格，投标人提交多个价格的投标文件在资格性、符合性检查时按照无效投标处理。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（十五）投标货币。以本文件第三章《投标资料表》中所提要求为准。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（十六）投标有效期：</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1.投标有效期为开标之日后90天。采购人可以要求对投标有效期延长一次，但该延长期最长不得超过30天。</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（十七）投标文件的编制要求和签署要求：</w:t>
      </w:r>
      <w:r/>
    </w:p>
    <w:p>
      <w:pP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电子投标文件要求</w:t>
      </w:r>
      <w:r/>
    </w:p>
    <w:p>
      <w:pPr>
        <w:numPr>
          <w:ilvl w:val="0"/>
          <w:numId w:val="1"/>
        </w:num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投标人应由其法定代表人或法定代表人授权代表在规定的网上投标时间，凭 CA 证书登陆“苏采云”系统在线编制投标文件（电子数据），并在投标截止时间之前上传投标文件。</w:t>
      </w:r>
      <w:r/>
    </w:p>
    <w:p>
      <w:pPr>
        <w:numPr>
          <w:ilvl w:val="0"/>
          <w:numId w:val="1"/>
        </w:num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投标人应对 CA 证书妥善保管，如被他人盗用投标，因此带来的结果均由投标人自行承担。</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）投标人应当对招标文件提出的要求和条件作出实质性响应，并在电子投标系统逐条应答。</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）投标人应对要求提供的资格证明文件（如资质证书、资格证书）、技术资料（如白皮书、彩页、手册、检测报告等）扫描上传至投标系统。</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（十八）投标文件的盖章要求：</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投标文件的盖章要求，以本文件第三章《投标资料表》中所提要求为准。</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（二十）凡在招标文件要求提交投标文件的截止时间之后</w:t>
      </w:r>
      <w:r>
        <w:rPr>
          <w:rFonts w:hint="eastAsia" w:ascii="仿宋" w:hAnsi="仿宋" w:eastAsia="仿宋" w:cs="仿宋"/>
          <w:color w:val="000000"/>
          <w:sz w:val="28"/>
          <w:szCs w:val="28"/>
          <w:highlight w:val="none"/>
        </w:rPr>
        <w:t xml:space="preserve">提交</w:t>
      </w:r>
      <w:r>
        <w:rPr>
          <w:rFonts w:hint="eastAsia" w:ascii="仿宋" w:hAnsi="仿宋" w:eastAsia="仿宋" w:cs="仿宋"/>
          <w:sz w:val="28"/>
          <w:szCs w:val="28"/>
          <w:highlight w:val="none"/>
        </w:rPr>
        <w:t xml:space="preserve">的投标文件，均为无效投标文件，“苏采云”系统将自动拒收。</w:t>
      </w:r>
      <w:r/>
    </w:p>
    <w:p>
      <w:pPr>
        <w:ind w:firstLine="480"/>
        <w:jc w:val="both"/>
        <w:spacing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一</w:t>
      </w:r>
      <w:r>
        <w:rPr>
          <w:rFonts w:hint="eastAsia" w:ascii="仿宋" w:hAnsi="仿宋" w:eastAsia="仿宋" w:cs="仿宋"/>
          <w:sz w:val="28"/>
          <w:szCs w:val="28"/>
          <w:highlight w:val="none"/>
        </w:rPr>
        <w:t xml:space="preserve">）投标人在投标截止时间前，可以对所递交的投标文件进行补充、修改或者撤回。</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二</w:t>
      </w:r>
      <w:r>
        <w:rPr>
          <w:rFonts w:hint="eastAsia" w:ascii="仿宋" w:hAnsi="仿宋" w:eastAsia="仿宋" w:cs="仿宋"/>
          <w:sz w:val="28"/>
          <w:szCs w:val="28"/>
          <w:highlight w:val="none"/>
        </w:rPr>
        <w:t xml:space="preserve">）本项目不允许分包。</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）投标人应当遵循公平竞争的原则，不得恶意串通，不得妨碍其他投标人的竞争行为，不得损害采购人或者其他投标人的合法权益。</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在评标过程中发现投标人有上述情形的，评标委员会应当认定其投标无效，并书面报告本级财政部门。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rPr>
        <w:t xml:space="preserve">）有下列情形之一的，其投标无效。</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1.不同投标人的投标文件，由同一单位或者个人编制；</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2.不同投标人委托同一单位或者个人办理投标事宜；</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3.不同投标人的投标文件中，所载明的项目管理成员或联系人为同一人；</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4.不同投标人的投标文件，异常一致或者投标报价呈规律性差异；</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6.电子投标文件未按规定期限投标的；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7.电子投标文件未按招标文件要求签章的；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8.投标人未在规定时间内解密电子投标文件的；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9.投标文件未按招标文件规定的内容和要求填写的；没有在投标系统指定位置上传对应文件、材料的。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10.不具备招标文件中规定的资格要求的；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11.报价超过招标文件中规定的预算金额或者最高限价的；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12.投标文件含有采购人不能接受的附加条件的；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13.法律、法规和招标文件规定的其他无效情形。</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四、开标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）开标：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2.由电子招标投标交易平台主持，邀请投标人参加。</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3.所有投标单位使用 CA 证书在开标时间时，解密各自投标文件，由工作人员操作系统进行开标，投标人不足3家的，不得评标。</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五、评标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六</w:t>
      </w:r>
      <w:r>
        <w:rPr>
          <w:rFonts w:hint="eastAsia" w:ascii="仿宋" w:hAnsi="仿宋" w:eastAsia="仿宋" w:cs="仿宋"/>
          <w:sz w:val="28"/>
          <w:szCs w:val="28"/>
          <w:highlight w:val="none"/>
        </w:rPr>
        <w:t xml:space="preserve">）公开招标采购项目开标结束后，采购人依法对投标人的资格进行审查。合格投标人不足3家的，不得评标。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1.评标工作由采购代理机构负责组织，并履行下列职责：</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（2）宣布评标纪律；</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（3）公布投标人名单，告知评审专家应当回避的情形；</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（4）组织评标委员会推选评标组长（采购人代表不得担任组长）；</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（5）在评标期间采取必要的通讯管理措施，保证评标活动不受外界干扰；</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（6）根据评标委员会的要求介绍政府采购相关政策法规、招标文件；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（8）核对评标结果，对有《</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"http://www.caigou2003.com/" \t "_blank"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政府采购</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（10）处理与评标有关的其他事项。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2.评标委员会负责具体评标事务，并独立履行下列职责：</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（1）审查、评价投标文件是否符合招标文件的商务、技术等实质性要求；</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（2）要求投标人对投标文件有关事项作出澄清或者说明；</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（3）对投标文件进行比较和评价；</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（4）确定中标候选人名单，以及根据采购人委托直接确定中标人；</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（5）向采购人、采购代理机构或有关部门报告评标中发现的违法行为。</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七</w:t>
      </w:r>
      <w:r>
        <w:rPr>
          <w:rFonts w:hint="eastAsia" w:ascii="仿宋" w:hAnsi="仿宋" w:eastAsia="仿宋" w:cs="仿宋"/>
          <w:sz w:val="28"/>
          <w:szCs w:val="28"/>
          <w:highlight w:val="none"/>
        </w:rPr>
        <w:t xml:space="preserve">）评标方法分为最低评标价法和综合评分法。</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八</w:t>
      </w:r>
      <w:r>
        <w:rPr>
          <w:rFonts w:hint="eastAsia" w:ascii="仿宋" w:hAnsi="仿宋" w:eastAsia="仿宋" w:cs="仿宋"/>
          <w:sz w:val="28"/>
          <w:szCs w:val="28"/>
          <w:highlight w:val="none"/>
        </w:rPr>
        <w:t xml:space="preserve">）评标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1.评标工作程序：</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（1）投标文件初审。</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①资格性审查。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②符合性审查。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（2）澄清有关问题。</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（3）比较与评价。</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（4）推荐中标候选供应商名单。</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（5）编写评审报告（评标报告）。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5.非单一产品采购项目，采购人应当根据采购项目技术构成、产品价格比重等合理确定核心产品，并在招标文件中载明。多家投标人提供的核心产品品牌相同的，按前两条规定处理。采购人根据本项目技术构成、产品价格比重等确定核心产品：见招标文件第三章《投标资料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九</w:t>
      </w:r>
      <w:r>
        <w:rPr>
          <w:rFonts w:hint="eastAsia" w:ascii="仿宋" w:hAnsi="仿宋" w:eastAsia="仿宋" w:cs="仿宋"/>
          <w:sz w:val="28"/>
          <w:szCs w:val="28"/>
          <w:highlight w:val="none"/>
        </w:rPr>
        <w:t xml:space="preserve">）投标文件报价出现前后不一致的，按照下列规定修正：</w:t>
      </w:r>
      <w:r/>
    </w:p>
    <w:p>
      <w:pPr>
        <w:pStyle w:val="783"/>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1.投标文件中开标一览表（报价表）内容与投标文件中相应内容不一致的，以开标一览表（报价表）为准；</w:t>
      </w:r>
      <w:r/>
    </w:p>
    <w:p>
      <w:pPr>
        <w:pStyle w:val="783"/>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2.大写金额和小写金额不一致的，以大写金额为准；</w:t>
      </w:r>
      <w:r/>
    </w:p>
    <w:p>
      <w:pPr>
        <w:pStyle w:val="783"/>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3.单价金额小数点或者百分比有明显错位的，以开标一览表的总价为准，并修改单价；</w:t>
      </w:r>
      <w:r/>
    </w:p>
    <w:p>
      <w:pPr>
        <w:pStyle w:val="783"/>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4.总价金额与按单价合计金额不一致的，以单价金额计算结果为准。</w:t>
      </w:r>
      <w:r/>
    </w:p>
    <w:p>
      <w:pPr>
        <w:pStyle w:val="783"/>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83"/>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评标中需要投标人对投标文件澄清或者说明的，应当通过“苏采云”系统交换数据电文。在评标期间，请投标人保持在线。</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lang w:eastAsia="zh-CN"/>
        </w:rPr>
        <w:t xml:space="preserve">十</w:t>
      </w:r>
      <w:r>
        <w:rPr>
          <w:rFonts w:hint="eastAsia" w:ascii="仿宋" w:hAnsi="仿宋" w:eastAsia="仿宋" w:cs="仿宋"/>
          <w:color w:val="auto"/>
          <w:sz w:val="28"/>
          <w:szCs w:val="28"/>
          <w:highlight w:val="none"/>
        </w:rPr>
        <w:t xml:space="preserve">）实施政府采购异常低价审查的有关要求：</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1.投标（响应）报价低于全部通过符合性审查供应商投标（响应）报价平均值</w:t>
      </w:r>
      <w:r>
        <w:rPr>
          <w:rFonts w:hint="eastAsia" w:ascii="仿宋" w:hAnsi="仿宋" w:eastAsia="仿宋" w:cs="仿宋"/>
          <w:b/>
          <w:bCs/>
          <w:color w:val="auto"/>
          <w:sz w:val="28"/>
          <w:szCs w:val="28"/>
          <w:highlight w:val="none"/>
        </w:rPr>
        <w:t xml:space="preserve">50%的</w:t>
      </w:r>
      <w:r>
        <w:rPr>
          <w:rFonts w:hint="eastAsia" w:ascii="仿宋" w:hAnsi="仿宋" w:eastAsia="仿宋" w:cs="仿宋"/>
          <w:color w:val="auto"/>
          <w:sz w:val="28"/>
          <w:szCs w:val="28"/>
          <w:highlight w:val="none"/>
        </w:rPr>
        <w:t xml:space="preserve">，即投标（响应）报价&lt;全部通过符合性审查供应商投标（响应）报价平均值</w:t>
      </w:r>
      <w:r>
        <w:rPr>
          <w:rFonts w:hint="eastAsia" w:ascii="仿宋" w:hAnsi="仿宋" w:eastAsia="仿宋" w:cs="仿宋"/>
          <w:b/>
          <w:bCs/>
          <w:color w:val="auto"/>
          <w:sz w:val="28"/>
          <w:szCs w:val="28"/>
          <w:highlight w:val="none"/>
        </w:rPr>
        <w:t xml:space="preserve">×50%；</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2.投标（响应）报价低于通过符合性审查的次低报价供应商投标（响应）报价</w:t>
      </w:r>
      <w:r>
        <w:rPr>
          <w:rFonts w:hint="eastAsia" w:ascii="仿宋" w:hAnsi="仿宋" w:eastAsia="仿宋" w:cs="仿宋"/>
          <w:b/>
          <w:bCs/>
          <w:color w:val="auto"/>
          <w:sz w:val="28"/>
          <w:szCs w:val="28"/>
          <w:highlight w:val="none"/>
        </w:rPr>
        <w:t xml:space="preserve">50%的</w:t>
      </w:r>
      <w:r>
        <w:rPr>
          <w:rFonts w:hint="eastAsia" w:ascii="仿宋" w:hAnsi="仿宋" w:eastAsia="仿宋" w:cs="仿宋"/>
          <w:color w:val="auto"/>
          <w:sz w:val="28"/>
          <w:szCs w:val="28"/>
          <w:highlight w:val="none"/>
        </w:rPr>
        <w:t xml:space="preserve">，即投标（响应）报价&lt;通过符合性审查的次低报价供应商投标（响应）报价</w:t>
      </w:r>
      <w:r>
        <w:rPr>
          <w:rFonts w:hint="eastAsia" w:ascii="仿宋" w:hAnsi="仿宋" w:eastAsia="仿宋" w:cs="仿宋"/>
          <w:b/>
          <w:bCs/>
          <w:color w:val="auto"/>
          <w:sz w:val="28"/>
          <w:szCs w:val="28"/>
          <w:highlight w:val="none"/>
        </w:rPr>
        <w:t xml:space="preserve">×50%；</w:t>
      </w:r>
      <w:r/>
    </w:p>
    <w:p>
      <w:pPr>
        <w:ind w:firstLine="480"/>
        <w:keepLines w:val="0"/>
        <w:keepNext w:val="0"/>
        <w:pageBreakBefore w:val="0"/>
        <w:spacing w:line="360" w:lineRule="auto"/>
        <w:widowControl w:val="off"/>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3.投标（响应）报价低于采购项目最高限价（未设定最高限价的采购项目，以采购项目预算金额作为最高限价）</w:t>
      </w:r>
      <w:r>
        <w:rPr>
          <w:rFonts w:hint="eastAsia" w:ascii="仿宋" w:hAnsi="仿宋" w:eastAsia="仿宋" w:cs="仿宋"/>
          <w:b/>
          <w:bCs/>
          <w:color w:val="auto"/>
          <w:sz w:val="28"/>
          <w:szCs w:val="28"/>
          <w:highlight w:val="none"/>
        </w:rPr>
        <w:t xml:space="preserve">45%的，</w:t>
      </w:r>
      <w:r>
        <w:rPr>
          <w:rFonts w:hint="eastAsia" w:ascii="仿宋" w:hAnsi="仿宋" w:eastAsia="仿宋" w:cs="仿宋"/>
          <w:color w:val="auto"/>
          <w:sz w:val="28"/>
          <w:szCs w:val="28"/>
          <w:highlight w:val="none"/>
        </w:rPr>
        <w:t xml:space="preserve">即投标（响应）报价&lt;采购项目最高限价</w:t>
      </w:r>
      <w:r>
        <w:rPr>
          <w:rFonts w:hint="eastAsia" w:ascii="仿宋" w:hAnsi="仿宋" w:eastAsia="仿宋" w:cs="仿宋"/>
          <w:b/>
          <w:bCs/>
          <w:color w:val="auto"/>
          <w:sz w:val="28"/>
          <w:szCs w:val="28"/>
          <w:highlight w:val="none"/>
        </w:rPr>
        <w:t xml:space="preserve">×45%；</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cs="仿宋"/>
          <w:b/>
          <w:bCs/>
          <w:color w:val="auto"/>
          <w:sz w:val="28"/>
          <w:szCs w:val="28"/>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color w:val="auto"/>
          <w:sz w:val="28"/>
          <w:szCs w:val="28"/>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auto"/>
          <w:sz w:val="28"/>
          <w:szCs w:val="28"/>
          <w:highlight w:val="none"/>
          <w:lang w:eastAsia="zh-CN"/>
        </w:rPr>
        <w:t xml:space="preserve">。</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一 </w:t>
      </w:r>
      <w:r>
        <w:rPr>
          <w:rFonts w:hint="eastAsia" w:ascii="仿宋" w:hAnsi="仿宋" w:eastAsia="仿宋" w:cs="仿宋"/>
          <w:sz w:val="28"/>
          <w:szCs w:val="28"/>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二</w:t>
      </w:r>
      <w:r>
        <w:rPr>
          <w:rFonts w:hint="eastAsia" w:ascii="仿宋" w:hAnsi="仿宋" w:eastAsia="仿宋" w:cs="仿宋"/>
          <w:sz w:val="28"/>
          <w:szCs w:val="28"/>
          <w:highlight w:val="none"/>
        </w:rPr>
        <w:t xml:space="preserve">）废标条款：</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出现下列情形之一的，应予废标。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1.符合专业条件的供应商或者对招标文件作实质响应的供应商不足三家的；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2.出现影响采购公正的违法、违规行为的；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3.投标人的报价均超过了采购预算，采购人不能支付的；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4.因重大变故，采购任务取消的。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六、定标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）采购代理机构应当在评标结束后2个工作日内将评标报告送采购人。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rPr>
        <w:t xml:space="preserve">）采购人应当自收到评标报告之日起5个工作日内，在评标报告确定的中标候选人名单中按顺序确定中标人。</w:t>
      </w:r>
      <w:r/>
    </w:p>
    <w:p>
      <w:pPr>
        <w:ind w:firstLine="480"/>
        <w:spacing w:line="360" w:lineRule="auto"/>
        <w:rPr>
          <w:rFonts w:hint="eastAsia" w:ascii="仿宋" w:hAnsi="仿宋" w:eastAsia="仿宋" w:cs="仿宋"/>
          <w:color w:val="ff0000"/>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七、政府采购合同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六</w:t>
      </w:r>
      <w:r>
        <w:rPr>
          <w:rFonts w:hint="eastAsia" w:ascii="仿宋" w:hAnsi="仿宋" w:eastAsia="仿宋" w:cs="仿宋"/>
          <w:sz w:val="28"/>
          <w:szCs w:val="28"/>
          <w:highlight w:val="none"/>
        </w:rPr>
        <w:t xml:space="preserve">）签订政府采购合同（合同签订方式）：</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采购人不得向中标人提出任何不合理的要求作为签订合同的条件。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七</w:t>
      </w:r>
      <w:r>
        <w:rPr>
          <w:rFonts w:hint="eastAsia" w:ascii="仿宋" w:hAnsi="仿宋" w:eastAsia="仿宋" w:cs="仿宋"/>
          <w:sz w:val="28"/>
          <w:szCs w:val="28"/>
          <w:highlight w:val="none"/>
        </w:rPr>
        <w:t xml:space="preserve">）采购人与中标人应当根据合同的约定依法履行合同义务。政府采购合同的履行、违约责任和解决争议的方法等，按《中华人民共和国民法典》相关条款执行。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val="en-US" w:eastAsia="zh-CN"/>
        </w:rPr>
        <w:t xml:space="preserve">八</w:t>
      </w:r>
      <w:r>
        <w:rPr>
          <w:rFonts w:hint="eastAsia" w:ascii="仿宋" w:hAnsi="仿宋" w:eastAsia="仿宋" w:cs="仿宋"/>
          <w:color w:val="000000"/>
          <w:sz w:val="28"/>
          <w:szCs w:val="28"/>
          <w:highlight w:val="none"/>
        </w:rPr>
        <w:t xml:space="preserve">）履约保证金：本项目不收履约保证金。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九</w:t>
      </w:r>
      <w:r>
        <w:rPr>
          <w:rFonts w:hint="eastAsia" w:ascii="仿宋" w:hAnsi="仿宋" w:eastAsia="仿宋" w:cs="仿宋"/>
          <w:sz w:val="28"/>
          <w:szCs w:val="28"/>
          <w:highlight w:val="none"/>
        </w:rPr>
        <w:t xml:space="preserve">）腐败和欺诈行为：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1.采购代理机构、采购人、投标人等参与招投标的各方，均应在招标、采购、合同执行等过程中保持廉洁和最高的道德水准。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（1）腐败和欺诈行为的含义：</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（2）如果被推荐的中标人有腐败和欺诈行为，将取消其中标资格。</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八、询问和质疑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rPr>
        <w:t xml:space="preserve">十）询问和质疑</w:t>
      </w:r>
      <w:r/>
    </w:p>
    <w:p>
      <w:pPr>
        <w:ind w:firstLine="480"/>
        <w:spacing w:line="360" w:lineRule="auto"/>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九、电子招标投标交易平台</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（四十一）电子招标投标交易平台（即“苏采云”系统，网址：http://jszfcg. jsczt. cn/）相关要求是本招标文件的组成部分。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64"/>
        <w:jc w:val="cente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第三章 投标资料表</w:t>
      </w:r>
      <w:r/>
    </w:p>
    <w:p>
      <w:pPr>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81"/>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2"/>
        <w:gridCol w:w="8242"/>
      </w:tblGrid>
      <w:tr>
        <w:trPr>
          <w:jc w:val="center"/>
          <w:trHeight w:val="478"/>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p>
        </w:tc>
        <w:tc>
          <w:tcPr>
            <w:tcMar>
              <w:left w:w="108" w:type="dxa"/>
              <w:top w:w="0" w:type="dxa"/>
              <w:right w:w="108" w:type="dxa"/>
              <w:bottom w:w="0" w:type="dxa"/>
            </w:tcMar>
            <w:tcW w:w="82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p>
        </w:tc>
      </w:tr>
      <w:tr>
        <w:trPr>
          <w:jc w:val="center"/>
          <w:trHeight w:val="518"/>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242"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val="en-US" w:eastAsia="zh-CN"/>
              </w:rPr>
              <w:t xml:space="preserve">丰县</w:t>
            </w:r>
            <w:r>
              <w:rPr>
                <w:rFonts w:hint="eastAsia" w:ascii="仿宋" w:hAnsi="仿宋" w:eastAsia="仿宋" w:cs="仿宋"/>
                <w:color w:val="000000"/>
                <w:sz w:val="28"/>
                <w:szCs w:val="28"/>
                <w:highlight w:val="none"/>
                <w:lang w:eastAsia="zh-CN"/>
              </w:rPr>
              <w:t xml:space="preserve">农业农村局</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Height w:val="45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采购人确定的采购项目属性：农业生产资料(货物类)</w:t>
            </w:r>
            <w:r/>
          </w:p>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本项目是否为专门面向中小微企业采购的项目：是</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rPr>
              <w:t xml:space="preserve">盛鼎工程咨询有限公司</w:t>
            </w:r>
            <w:r/>
          </w:p>
        </w:tc>
      </w:tr>
      <w:tr>
        <w:trPr>
          <w:jc w:val="center"/>
          <w:trHeight w:val="508"/>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shd w:val="clear" w:color="auto" w:fill="auto"/>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投标人的资格条件：</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符合《中华人民共和国政府采购法》第二十二条的规定；</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bidi="ar-SA"/>
              </w:rPr>
              <w:t xml:space="preserve">2、</w:t>
            </w:r>
            <w:r>
              <w:rPr>
                <w:rFonts w:hint="eastAsia" w:ascii="仿宋" w:hAnsi="仿宋" w:eastAsia="仿宋" w:cs="仿宋"/>
                <w:color w:val="auto"/>
                <w:sz w:val="28"/>
                <w:szCs w:val="28"/>
                <w:highlight w:val="none"/>
              </w:rPr>
              <w:t xml:space="preserve">落实政府采购政策需满足的资格要求：</w:t>
            </w:r>
            <w:r>
              <w:rPr>
                <w:rFonts w:hint="eastAsia" w:ascii="仿宋" w:hAnsi="仿宋" w:eastAsia="仿宋" w:cs="仿宋"/>
                <w:i w:val="0"/>
                <w:caps w:val="0"/>
                <w:color w:val="auto"/>
                <w:spacing w:val="0"/>
                <w:sz w:val="28"/>
                <w:szCs w:val="28"/>
                <w:highlight w:val="none"/>
              </w:rPr>
              <w:t xml:space="preserve">此项目属于专门面向中小微企业采购的项目，</w:t>
            </w:r>
            <w:r>
              <w:rPr>
                <w:rFonts w:hint="eastAsia" w:ascii="仿宋" w:hAnsi="仿宋" w:eastAsia="仿宋" w:cs="仿宋"/>
                <w:i w:val="0"/>
                <w:caps w:val="0"/>
                <w:color w:val="auto"/>
                <w:spacing w:val="0"/>
                <w:sz w:val="28"/>
                <w:szCs w:val="28"/>
                <w:highlight w:val="none"/>
                <w:u w:val="none"/>
                <w:lang w:val="en-US" w:eastAsia="zh-CN" w:bidi="ar"/>
              </w:rPr>
              <w:t xml:space="preserve">供应商提供的货物全部由符合政策要求的中小企业制造，</w:t>
            </w:r>
            <w:r>
              <w:rPr>
                <w:rFonts w:hint="eastAsia" w:ascii="仿宋" w:hAnsi="仿宋" w:eastAsia="仿宋" w:cs="仿宋"/>
                <w:b w:val="0"/>
                <w:bCs/>
                <w:color w:val="auto"/>
                <w:sz w:val="28"/>
                <w:szCs w:val="28"/>
                <w:highlight w:val="none"/>
              </w:rPr>
              <w:t xml:space="preserve">供应商提供的货物的制造商应全部为中小微企业、残疾人福利性单位。</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本项目的特定资格要求：</w:t>
            </w:r>
            <w:r/>
          </w:p>
          <w:p>
            <w:pPr>
              <w:pStyle w:val="781"/>
              <w:numPr>
                <w:ilvl w:val="0"/>
                <w:numId w:val="0"/>
              </w:numPr>
              <w:ind w:firstLine="480"/>
              <w:keepLines w:val="0"/>
              <w:keepNext w:val="0"/>
              <w:pageBreakBefore w:val="0"/>
              <w:spacing w:line="360" w:lineRule="auto"/>
              <w:widowControl w:val="off"/>
              <w:rPr>
                <w:rFonts w:hint="eastAsia" w:ascii="仿宋" w:hAnsi="仿宋" w:eastAsia="仿宋" w:cs="仿宋"/>
                <w:i w:val="0"/>
                <w:caps w:val="0"/>
                <w:color w:val="auto"/>
                <w:spacing w:val="0"/>
                <w:sz w:val="28"/>
                <w:szCs w:val="28"/>
                <w:highlight w:val="none"/>
                <w:u w:val="none"/>
                <w:lang w:val="en-US" w:eastAsia="zh-CN" w:bidi="ar"/>
              </w:rPr>
            </w:pPr>
            <w:r>
              <w:rPr>
                <w:rFonts w:hint="eastAsia" w:ascii="仿宋" w:hAnsi="仿宋" w:eastAsia="仿宋" w:cs="仿宋"/>
                <w:i w:val="0"/>
                <w:caps w:val="0"/>
                <w:color w:val="auto"/>
                <w:spacing w:val="0"/>
                <w:sz w:val="28"/>
                <w:szCs w:val="28"/>
                <w:highlight w:val="none"/>
                <w:u w:val="none"/>
                <w:lang w:val="en-US" w:eastAsia="zh-CN" w:bidi="ar"/>
              </w:rPr>
              <w:t xml:space="preserve">1、采购包1：</w:t>
            </w:r>
            <w:r/>
          </w:p>
          <w:p>
            <w:pPr>
              <w:pStyle w:val="781"/>
              <w:numPr>
                <w:ilvl w:val="0"/>
                <w:numId w:val="0"/>
              </w:numPr>
              <w:ind w:firstLine="480"/>
              <w:keepLines w:val="0"/>
              <w:keepNext w:val="0"/>
              <w:pageBreakBefore w:val="0"/>
              <w:spacing w:line="360" w:lineRule="auto"/>
              <w:widowControl w:val="off"/>
              <w:rPr>
                <w:rFonts w:hint="eastAsia" w:ascii="仿宋" w:hAnsi="仿宋" w:eastAsia="仿宋" w:cs="仿宋"/>
                <w:i w:val="0"/>
                <w:caps w:val="0"/>
                <w:color w:val="auto"/>
                <w:spacing w:val="0"/>
                <w:sz w:val="28"/>
                <w:szCs w:val="28"/>
                <w:highlight w:val="none"/>
                <w:u w:val="none"/>
                <w:lang w:val="en-US" w:eastAsia="zh-CN" w:bidi="ar"/>
              </w:rPr>
            </w:pPr>
            <w:r>
              <w:rPr>
                <w:rFonts w:hint="eastAsia" w:ascii="仿宋" w:hAnsi="仿宋" w:eastAsia="仿宋" w:cs="仿宋"/>
                <w:i w:val="0"/>
                <w:caps w:val="0"/>
                <w:color w:val="auto"/>
                <w:spacing w:val="0"/>
                <w:sz w:val="28"/>
                <w:szCs w:val="28"/>
                <w:highlight w:val="none"/>
                <w:u w:val="none"/>
                <w:lang w:val="en-US" w:eastAsia="zh-CN" w:bidi="ar"/>
              </w:rPr>
              <w:t xml:space="preserve">（1）供应商所投产品须具有合格有效的三证(</w:t>
            </w:r>
            <w:r>
              <w:rPr>
                <w:rFonts w:hint="eastAsia" w:ascii="仿宋" w:hAnsi="仿宋" w:eastAsia="仿宋" w:cs="仿宋"/>
                <w:i w:val="0"/>
                <w:caps w:val="0"/>
                <w:color w:val="auto"/>
                <w:spacing w:val="0"/>
                <w:sz w:val="28"/>
                <w:szCs w:val="28"/>
                <w:highlight w:val="none"/>
                <w:u w:val="none"/>
                <w:lang w:val="zh-CN" w:eastAsia="zh-CN" w:bidi="ar"/>
              </w:rPr>
              <w:t xml:space="preserve">农药生产许可证或者农药生产批准文件、农药标准和农药登记证</w:t>
            </w:r>
            <w:r>
              <w:rPr>
                <w:rFonts w:hint="eastAsia" w:ascii="仿宋" w:hAnsi="仿宋" w:eastAsia="仿宋" w:cs="仿宋"/>
                <w:i w:val="0"/>
                <w:caps w:val="0"/>
                <w:color w:val="auto"/>
                <w:spacing w:val="0"/>
                <w:sz w:val="28"/>
                <w:szCs w:val="28"/>
                <w:highlight w:val="none"/>
                <w:u w:val="none"/>
                <w:lang w:val="en-US" w:eastAsia="zh-CN" w:bidi="ar"/>
              </w:rPr>
              <w:t xml:space="preserve">)，</w:t>
            </w:r>
            <w:r/>
          </w:p>
          <w:p>
            <w:pPr>
              <w:pStyle w:val="781"/>
              <w:numPr>
                <w:ilvl w:val="0"/>
                <w:numId w:val="0"/>
              </w:numPr>
              <w:ind w:firstLine="480"/>
              <w:keepLines w:val="0"/>
              <w:keepNext w:val="0"/>
              <w:pageBreakBefore w:val="0"/>
              <w:spacing w:line="360" w:lineRule="auto"/>
              <w:widowControl w:val="off"/>
              <w:rPr>
                <w:rFonts w:hint="eastAsia" w:ascii="仿宋" w:hAnsi="仿宋" w:eastAsia="仿宋" w:cs="仿宋"/>
                <w:i w:val="0"/>
                <w:caps w:val="0"/>
                <w:color w:val="auto"/>
                <w:spacing w:val="0"/>
                <w:sz w:val="28"/>
                <w:szCs w:val="28"/>
                <w:highlight w:val="none"/>
                <w:u w:val="none"/>
                <w:lang w:val="zh-CN" w:eastAsia="zh-CN" w:bidi="ar"/>
              </w:rPr>
            </w:pPr>
            <w:r>
              <w:rPr>
                <w:rFonts w:hint="eastAsia" w:ascii="仿宋" w:hAnsi="仿宋" w:eastAsia="仿宋" w:cs="仿宋"/>
                <w:i w:val="0"/>
                <w:caps w:val="0"/>
                <w:color w:val="auto"/>
                <w:spacing w:val="0"/>
                <w:sz w:val="28"/>
                <w:szCs w:val="28"/>
                <w:highlight w:val="none"/>
                <w:u w:val="none"/>
                <w:lang w:val="en-US" w:eastAsia="zh-CN" w:bidi="ar"/>
              </w:rPr>
              <w:t xml:space="preserve">（2）</w:t>
            </w:r>
            <w:r>
              <w:rPr>
                <w:rFonts w:hint="eastAsia" w:ascii="仿宋" w:hAnsi="仿宋" w:eastAsia="仿宋" w:cs="仿宋"/>
                <w:i w:val="0"/>
                <w:caps w:val="0"/>
                <w:color w:val="auto"/>
                <w:spacing w:val="0"/>
                <w:sz w:val="28"/>
                <w:szCs w:val="28"/>
                <w:highlight w:val="none"/>
                <w:u w:val="none"/>
                <w:lang w:val="zh-CN" w:eastAsia="zh-CN" w:bidi="ar"/>
              </w:rPr>
              <w:t xml:space="preserve">供应商为经销商的，须提供</w:t>
            </w:r>
            <w:r>
              <w:rPr>
                <w:rFonts w:hint="default" w:ascii="仿宋" w:hAnsi="仿宋" w:eastAsia="仿宋" w:cs="仿宋"/>
                <w:i w:val="0"/>
                <w:caps w:val="0"/>
                <w:color w:val="auto"/>
                <w:spacing w:val="0"/>
                <w:sz w:val="28"/>
                <w:szCs w:val="28"/>
                <w:highlight w:val="none"/>
                <w:u w:val="none"/>
                <w:lang w:val="zh-CN" w:eastAsia="zh-CN" w:bidi="ar"/>
              </w:rPr>
              <w:t xml:space="preserve">①</w:t>
            </w:r>
            <w:r>
              <w:rPr>
                <w:rFonts w:hint="eastAsia" w:ascii="仿宋" w:hAnsi="仿宋" w:eastAsia="仿宋" w:cs="仿宋"/>
                <w:i w:val="0"/>
                <w:caps w:val="0"/>
                <w:color w:val="auto"/>
                <w:spacing w:val="0"/>
                <w:sz w:val="28"/>
                <w:szCs w:val="28"/>
                <w:highlight w:val="none"/>
                <w:u w:val="none"/>
                <w:lang w:val="zh-CN" w:eastAsia="zh-CN" w:bidi="ar"/>
              </w:rPr>
              <w:t xml:space="preserve">农药经营许可证的原件扫描件</w:t>
            </w:r>
            <w:r>
              <w:rPr>
                <w:rFonts w:hint="default" w:ascii="仿宋" w:hAnsi="仿宋" w:eastAsia="仿宋" w:cs="仿宋"/>
                <w:i w:val="0"/>
                <w:caps w:val="0"/>
                <w:color w:val="auto"/>
                <w:spacing w:val="0"/>
                <w:sz w:val="28"/>
                <w:szCs w:val="28"/>
                <w:highlight w:val="none"/>
                <w:u w:val="none"/>
                <w:lang w:val="zh-CN" w:eastAsia="zh-CN" w:bidi="ar"/>
              </w:rPr>
              <w:t xml:space="preserve">②</w:t>
            </w:r>
            <w:r>
              <w:rPr>
                <w:rFonts w:hint="eastAsia" w:ascii="仿宋" w:hAnsi="仿宋" w:eastAsia="仿宋" w:cs="仿宋"/>
                <w:i w:val="0"/>
                <w:caps w:val="0"/>
                <w:color w:val="auto"/>
                <w:spacing w:val="0"/>
                <w:sz w:val="28"/>
                <w:szCs w:val="28"/>
                <w:highlight w:val="none"/>
                <w:u w:val="none"/>
                <w:lang w:val="zh-CN" w:eastAsia="zh-CN" w:bidi="ar"/>
              </w:rPr>
              <w:t xml:space="preserve">所投产品的农药生产许可证或生产批准证的原件扫描件</w:t>
            </w:r>
            <w:r>
              <w:rPr>
                <w:rFonts w:hint="default" w:ascii="仿宋" w:hAnsi="仿宋" w:eastAsia="仿宋" w:cs="仿宋"/>
                <w:i w:val="0"/>
                <w:caps w:val="0"/>
                <w:color w:val="auto"/>
                <w:spacing w:val="0"/>
                <w:sz w:val="28"/>
                <w:szCs w:val="28"/>
                <w:highlight w:val="none"/>
                <w:u w:val="none"/>
                <w:lang w:val="zh-CN" w:eastAsia="zh-CN" w:bidi="ar"/>
              </w:rPr>
              <w:t xml:space="preserve">③</w:t>
            </w:r>
            <w:r>
              <w:rPr>
                <w:rFonts w:hint="eastAsia" w:ascii="仿宋" w:hAnsi="仿宋" w:eastAsia="仿宋" w:cs="仿宋"/>
                <w:i w:val="0"/>
                <w:caps w:val="0"/>
                <w:color w:val="auto"/>
                <w:spacing w:val="0"/>
                <w:sz w:val="28"/>
                <w:szCs w:val="28"/>
                <w:highlight w:val="none"/>
                <w:u w:val="none"/>
                <w:lang w:val="zh-CN" w:eastAsia="zh-CN" w:bidi="ar"/>
              </w:rPr>
              <w:t xml:space="preserve">农药登记证的原件扫描件④</w:t>
            </w:r>
            <w:r>
              <w:rPr>
                <w:rFonts w:hint="eastAsia" w:ascii="仿宋" w:hAnsi="仿宋" w:eastAsia="仿宋" w:cs="仿宋"/>
                <w:i w:val="0"/>
                <w:caps w:val="0"/>
                <w:color w:val="auto"/>
                <w:spacing w:val="0"/>
                <w:sz w:val="28"/>
                <w:szCs w:val="28"/>
                <w:highlight w:val="none"/>
                <w:u w:val="none"/>
                <w:lang w:val="en-US" w:eastAsia="zh-CN" w:bidi="ar"/>
              </w:rPr>
              <w:t xml:space="preserve">农药标准文号</w:t>
            </w:r>
            <w:r>
              <w:rPr>
                <w:rFonts w:hint="eastAsia" w:ascii="仿宋" w:hAnsi="仿宋" w:eastAsia="仿宋" w:cs="仿宋"/>
                <w:i w:val="0"/>
                <w:caps w:val="0"/>
                <w:color w:val="auto"/>
                <w:spacing w:val="0"/>
                <w:sz w:val="28"/>
                <w:szCs w:val="28"/>
                <w:highlight w:val="none"/>
                <w:u w:val="none"/>
                <w:lang w:val="zh-CN" w:eastAsia="zh-CN" w:bidi="ar"/>
              </w:rPr>
              <w:t xml:space="preserve">的原件扫描件；</w:t>
            </w:r>
            <w:r/>
          </w:p>
          <w:p>
            <w:pPr>
              <w:pStyle w:val="990"/>
              <w:numPr>
                <w:ilvl w:val="0"/>
                <w:numId w:val="0"/>
              </w:numPr>
              <w:ind w:firstLine="2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i w:val="0"/>
                <w:caps w:val="0"/>
                <w:color w:val="auto"/>
                <w:spacing w:val="0"/>
                <w:sz w:val="28"/>
                <w:szCs w:val="28"/>
                <w:highlight w:val="none"/>
                <w:u w:val="none"/>
                <w:lang w:val="en-US" w:eastAsia="zh-CN" w:bidi="ar"/>
              </w:rPr>
            </w:pPr>
            <w:r>
              <w:rPr>
                <w:rFonts w:hint="eastAsia" w:ascii="仿宋" w:hAnsi="仿宋" w:eastAsia="仿宋" w:cs="仿宋"/>
                <w:i w:val="0"/>
                <w:caps w:val="0"/>
                <w:color w:val="auto"/>
                <w:spacing w:val="0"/>
                <w:sz w:val="28"/>
                <w:szCs w:val="28"/>
                <w:highlight w:val="none"/>
                <w:u w:val="none"/>
                <w:lang w:val="en-US" w:eastAsia="zh-CN" w:bidi="ar"/>
              </w:rPr>
              <w:t xml:space="preserve">2、采购包2</w:t>
            </w:r>
            <w:r/>
          </w:p>
          <w:p>
            <w:pPr>
              <w:pStyle w:val="990"/>
              <w:numPr>
                <w:ilvl w:val="0"/>
                <w:numId w:val="0"/>
              </w:numPr>
              <w:ind w:firstLine="2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i w:val="0"/>
                <w:caps w:val="0"/>
                <w:color w:val="auto"/>
                <w:spacing w:val="0"/>
                <w:sz w:val="28"/>
                <w:szCs w:val="28"/>
                <w:highlight w:val="none"/>
                <w:u w:val="none"/>
                <w:lang w:val="zh-CN" w:eastAsia="zh-CN" w:bidi="ar"/>
              </w:rPr>
            </w:pPr>
            <w:r>
              <w:rPr>
                <w:rFonts w:hint="eastAsia" w:ascii="仿宋" w:hAnsi="仿宋" w:eastAsia="仿宋" w:cs="仿宋"/>
                <w:i w:val="0"/>
                <w:caps w:val="0"/>
                <w:color w:val="auto"/>
                <w:spacing w:val="0"/>
                <w:sz w:val="28"/>
                <w:szCs w:val="28"/>
                <w:highlight w:val="none"/>
                <w:u w:val="none"/>
                <w:lang w:val="en-US" w:eastAsia="zh-CN" w:bidi="ar"/>
              </w:rPr>
              <w:t xml:space="preserve">（1）供应商所投产品须具有合格有效的水溶肥登记证或备案证</w:t>
            </w:r>
            <w:r>
              <w:rPr>
                <w:rFonts w:hint="eastAsia" w:ascii="仿宋" w:hAnsi="仿宋" w:eastAsia="仿宋" w:cs="仿宋"/>
                <w:i w:val="0"/>
                <w:caps w:val="0"/>
                <w:color w:val="auto"/>
                <w:spacing w:val="0"/>
                <w:sz w:val="28"/>
                <w:szCs w:val="28"/>
                <w:highlight w:val="none"/>
                <w:u w:val="none"/>
                <w:lang w:val="zh-CN" w:eastAsia="zh-CN" w:bidi="ar"/>
              </w:rPr>
              <w:t xml:space="preserve">原件扫描件；</w:t>
            </w:r>
            <w:r/>
          </w:p>
          <w:p>
            <w:pPr>
              <w:pStyle w:val="990"/>
              <w:numPr>
                <w:ilvl w:val="0"/>
                <w:numId w:val="0"/>
              </w:numPr>
              <w:ind w:firstLine="280"/>
              <w:jc w:val="both"/>
              <w:keepLines w:val="0"/>
              <w:keepNext w:val="0"/>
              <w:pageBreakBefore w:val="0"/>
              <w:spacing w:line="360" w:lineRule="auto"/>
              <w:widowControl w:val="off"/>
              <w:tabs>
                <w:tab w:val="left" w:pos="9923" w:leader="none"/>
                <w:tab w:val="left" w:pos="10065" w:leader="none"/>
              </w:tabs>
              <w:rPr>
                <w:rFonts w:hint="eastAsia"/>
                <w:lang w:val="en-US" w:eastAsia="zh-CN"/>
              </w:rPr>
            </w:pPr>
            <w:r>
              <w:rPr>
                <w:rFonts w:hint="eastAsia" w:ascii="仿宋" w:hAnsi="仿宋" w:eastAsia="仿宋" w:cs="仿宋"/>
                <w:i w:val="0"/>
                <w:caps w:val="0"/>
                <w:color w:val="auto"/>
                <w:spacing w:val="0"/>
                <w:sz w:val="28"/>
                <w:szCs w:val="28"/>
                <w:highlight w:val="none"/>
                <w:u w:val="none"/>
                <w:lang w:val="zh-CN" w:eastAsia="zh-CN" w:bidi="ar"/>
              </w:rPr>
              <w:t xml:space="preserve">（</w:t>
            </w:r>
            <w:r>
              <w:rPr>
                <w:rFonts w:hint="eastAsia" w:ascii="仿宋" w:hAnsi="仿宋" w:eastAsia="仿宋" w:cs="仿宋"/>
                <w:i w:val="0"/>
                <w:caps w:val="0"/>
                <w:color w:val="auto"/>
                <w:spacing w:val="0"/>
                <w:sz w:val="28"/>
                <w:szCs w:val="28"/>
                <w:highlight w:val="none"/>
                <w:u w:val="none"/>
                <w:lang w:val="en-US" w:eastAsia="zh-CN" w:bidi="ar"/>
              </w:rPr>
              <w:t xml:space="preserve">2）供应商为经销商的须具有合格有效的水溶肥登记证或备案证</w:t>
            </w:r>
            <w:r>
              <w:rPr>
                <w:rFonts w:hint="eastAsia" w:ascii="仿宋" w:hAnsi="仿宋" w:eastAsia="仿宋" w:cs="仿宋"/>
                <w:i w:val="0"/>
                <w:caps w:val="0"/>
                <w:color w:val="auto"/>
                <w:spacing w:val="0"/>
                <w:sz w:val="28"/>
                <w:szCs w:val="28"/>
                <w:highlight w:val="none"/>
                <w:u w:val="none"/>
                <w:lang w:val="zh-CN" w:eastAsia="zh-CN" w:bidi="ar"/>
              </w:rPr>
              <w:t xml:space="preserve">原件扫描件。</w:t>
            </w:r>
            <w:r/>
          </w:p>
          <w:p>
            <w:pPr>
              <w:spacing w:line="360" w:lineRule="auto"/>
              <w:rPr>
                <w:rFonts w:hint="eastAsia"/>
                <w:color w:val="auto"/>
                <w:highlight w:val="none"/>
              </w:rPr>
            </w:pPr>
            <w:r>
              <w:rPr>
                <w:rFonts w:hint="eastAsia" w:ascii="仿宋" w:hAnsi="仿宋" w:eastAsia="仿宋" w:cs="仿宋"/>
                <w:color w:val="auto"/>
                <w:sz w:val="28"/>
                <w:szCs w:val="28"/>
                <w:highlight w:val="none"/>
              </w:rPr>
              <w:t xml:space="preserve">同时明确相关事项如下：</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一</w:t>
            </w:r>
            <w:r>
              <w:rPr>
                <w:rFonts w:hint="eastAsia" w:ascii="仿宋" w:hAnsi="仿宋" w:eastAsia="仿宋" w:cs="仿宋"/>
                <w:color w:val="auto"/>
                <w:sz w:val="28"/>
                <w:szCs w:val="28"/>
                <w:highlight w:val="none"/>
              </w:rPr>
              <w:t xml:space="preserve">、本项目不接受联合体参与采购活动。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二</w:t>
            </w:r>
            <w:r>
              <w:rPr>
                <w:rFonts w:hint="eastAsia" w:ascii="仿宋" w:hAnsi="仿宋" w:eastAsia="仿宋" w:cs="仿宋"/>
                <w:color w:val="auto"/>
                <w:sz w:val="28"/>
                <w:szCs w:val="28"/>
                <w:highlight w:val="none"/>
              </w:rPr>
              <w:t xml:space="preserve">、单位负责人为同一人或者存在直接控股、管理关系的不同供应商，不得参加同一合同项下的政府采购活动。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三</w:t>
            </w:r>
            <w:r>
              <w:rPr>
                <w:rFonts w:hint="eastAsia" w:ascii="仿宋" w:hAnsi="仿宋" w:eastAsia="仿宋" w:cs="仿宋"/>
                <w:color w:val="auto"/>
                <w:sz w:val="28"/>
                <w:szCs w:val="28"/>
                <w:highlight w:val="none"/>
              </w:rPr>
              <w:t xml:space="preserve">、为本采购项目提供整体设计、规范编制或者项目管理、监理、检测等服务的供应商，不得再参加本采购项目的采购活动。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四</w:t>
            </w:r>
            <w:r>
              <w:rPr>
                <w:rFonts w:hint="eastAsia" w:ascii="仿宋" w:hAnsi="仿宋" w:eastAsia="仿宋" w:cs="仿宋"/>
                <w:color w:val="auto"/>
                <w:sz w:val="28"/>
                <w:szCs w:val="28"/>
                <w:highlight w:val="none"/>
              </w:rPr>
              <w:t xml:space="preserve">、查询及使用供应商信用记录：</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(一)由采购人查询信用信息。</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(二)查询渠道包括：</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1.“信用中国”网（</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"http://www.creditchina.gov.cn/"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www.creditchina.gov.cn</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2.中国政府采购网（</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"http://www.ccgp.gov.cn/"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www.ccgp.gov.cn</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3.“信用江苏”网（http://credit.jiangsu.gov.cn/）；</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4.“信用中国（江苏徐州）”网</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"http://www.xuzhoucredit.gov.cn/"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http://www.xuzhoucredit.gov.cn</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(三)截止时点（查询环节）：资格审查结束前。</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(四)信用信息查询记录和证据留存的具体方式：网页截屏打印，与其他采购文件一并保存。</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(五)信用信息的使用规则：</w:t>
            </w:r>
            <w:r/>
          </w:p>
          <w:p>
            <w:pPr>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242" w:type="dxa"/>
            <w:vAlign w:val="top"/>
            <w:textDirection w:val="lrTb"/>
            <w:noWrap w:val="false"/>
          </w:tcPr>
          <w:p>
            <w:pPr>
              <w:spacing w:line="360" w:lineRule="auto"/>
              <w:rPr>
                <w:rFonts w:hint="default"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w:t>
            </w:r>
            <w:r>
              <w:rPr>
                <w:rFonts w:hint="eastAsia" w:ascii="仿宋" w:hAnsi="仿宋" w:eastAsia="仿宋" w:cs="仿宋"/>
                <w:color w:val="000000"/>
                <w:sz w:val="28"/>
                <w:szCs w:val="28"/>
                <w:highlight w:val="none"/>
                <w:lang w:val="en-US" w:eastAsia="zh-CN"/>
              </w:rPr>
              <w:t xml:space="preserve">收费标准详情见下表。</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242"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p>
        </w:tc>
        <w:tc>
          <w:tcPr>
            <w:tcMar>
              <w:left w:w="108" w:type="dxa"/>
              <w:top w:w="0" w:type="dxa"/>
              <w:right w:w="108" w:type="dxa"/>
              <w:bottom w:w="0" w:type="dxa"/>
            </w:tcMar>
            <w:tcW w:w="8242" w:type="dxa"/>
            <w:vAlign w:val="top"/>
            <w:textDirection w:val="lrTb"/>
            <w:noWrap w:val="false"/>
          </w:tcPr>
          <w:p>
            <w:pPr>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不安排现场考察</w:t>
            </w:r>
            <w:r>
              <w:rPr>
                <w:rFonts w:ascii="宋体" w:hAnsi="宋体"/>
                <w:sz w:val="24"/>
                <w:szCs w:val="24"/>
                <w:highlight w:val="none"/>
              </w:rPr>
              <w:t xml:space="preserve">。</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542" w:type="dxa"/>
            <w:vAlign w:val="top"/>
            <w:textDirection w:val="lrTb"/>
            <w:noWrap w:val="false"/>
          </w:tcPr>
          <w:p>
            <w:pPr>
              <w:spacing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（十二）1</w:t>
            </w:r>
            <w:r/>
          </w:p>
          <w:p>
            <w:pPr>
              <w:spacing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（十二）2</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线上投标文件编制要求：</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请按照以下要求（包括但不限于以下要求）制作：</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一、基本目录</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1.《开标一览表》（加盖电子签章,政府采购客户端工具输入报价自动生成）</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2.《法定代表人授权委托书》要求加盖电子签章，格式见本文件第七章《投标文件相关格式》（必须提供，否则在符合性审查时按照投标无效处理）</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二、资格条件（必须提供证明材料原件扫描件，否则投标无效）</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1.具有独立承担民事责任的能力：投标人合法有效的法人或者其他组织的营业执照等证明文件，自然人的身份证明。以上证明文件提供原件的扫描件；</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具有良好的商业信誉和健全的财务会计制度：即提供投标人的本项目开标时间（不含开标当月）前6个月内任何时间的资产负债表和利润表扫描件各一份；或提供投标人合法有效的经第三方机构审计的2024年度或2025年度财务审计报告扫描件（应包括审计报告正文、资产负债表、现金流量表、利润表）；或投标人的本项目开标时间（不含开标当月）前6个月内银行出具的资信证明扫描件一份；</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有依法缴纳税收和社会保障资金的良好记录：即提供投标人的本项目开标时间（不含开标当月）前6个月内任何1个月的依法缴纳税收扫描件和社会保障资金扫描件的相关材料（依法免税或不需要缴纳社会保障资金的供应商，提供相应文件扫描件证明其依法免税或不需要缴纳社会保障资金）；</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4.具有履行合同所必需的设备和专业技术能力：即提供：《具备履行合同所必需的设备和专业技术能力的书面声明》；</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5.参加政府采购活动前三年内，在经营活动中没有重大违法记录：即提供：《投标人参加政府采购活动前3年内在经营活动中没有重大违法记录的书面声明》；</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color w:val="auto"/>
                <w:sz w:val="28"/>
                <w:szCs w:val="28"/>
                <w:highlight w:val="none"/>
                <w:lang w:val="en-US" w:eastAsia="zh-CN"/>
              </w:rPr>
              <w:t xml:space="preserve">本项目属于专门面向中小企业采购的项目，投标人为中小企业的（含中型、小型、微型企业）提供《中小企业声明函》，格式见本文件第七章《投标文件相关格式》。</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为中小企业（含中型、小型、微型企业，下同）的，提供《中小企业声明函》原件（加盖电子签章，上传至电子标书，格式见《询价通知书》附件）。《中小企业声明函》查询渠道参考工业和信息化部发布的中小企业规模自测小程序）。</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注：中小企业（含中型、小型、微型企业，下同），应当同时符合以下条件：</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①符合中小企业划分标准；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具体以《政府采购促进中小企业发展暂行办法》（财库﹝2020﹞46号）和《工业和信息化部、国家统计局、国家发展和改革委员会、财政部关于印发中小企业划型标准规定的通知》（工信部联企业[2011]300号）的规定为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7、投标人《关于符合本国产品标准的声明函》（填写完整，加盖公章，格式见招标文件第七章《投标文件相关格式》）（请填写完整，如不填写完整或未按要求填写的，视为非本国产品）。</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本国产品应当符合以下条件：</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（一）在中国境内生产</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产品应当在中国境内生产，即在中华人民共和国关境内实现从原材料、组件到产品的属性改变。</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1.为确保产品在运输或者储存期间保持某种状态而进行的操作；</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2.为产品运输或者销售进行的包装或者展示；</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3.在产品或者其包装上粘贴或者印刷品牌、标志、标识以及其他用于区别的标记；</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4.简单的上漆、磨光和分装；</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5.其他不属于属性改变的情形。</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（二）在中国境内生产的组件成本占比达到规定比例</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产品在中国境内生产的组件成本占比应当达到规定比例，计算公式为：</w:t>
            </w:r>
            <w:r/>
          </w:p>
          <w:p>
            <w:pPr>
              <w:spacing w:line="360" w:lineRule="auto"/>
              <w:rPr>
                <w:rFonts w:hint="eastAsia" w:ascii="仿宋" w:hAnsi="仿宋" w:eastAsia="仿宋" w:cs="仿宋"/>
                <w:color w:val="auto"/>
                <w:sz w:val="28"/>
                <w:szCs w:val="28"/>
                <w:highlight w:val="none"/>
                <w:lang w:val="en-US" w:eastAsia="zh-CN"/>
              </w:rPr>
            </w:pPr>
            <w:r>
              <w:rPr>
                <w:rFonts w:hint="eastAsia" w:ascii="宋体" w:hAnsi="宋体" w:eastAsia="宋体"/>
                <w:b w:val="0"/>
                <w:bCs/>
                <w:color w:val="auto"/>
              </w:rPr>
              <mc:AlternateContent>
                <mc:Choice Requires="wpg">
                  <w:drawing>
                    <wp:inline xmlns:wp="http://schemas.openxmlformats.org/drawingml/2006/wordprocessingDrawing" distT="0" distB="0" distL="0" distR="0">
                      <wp:extent cx="3276600" cy="4953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4" o:title=""/>
                    </v:shape>
                  </w:pict>
                </mc:Fallback>
              </mc:AlternateConten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（三）特定产品的关键组件、关键工序符合相关要求</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2、本国产品标准的适用范围</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3、对本国产品的支持政策</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具体以《国务院办公厅关于在政府采购中实施本国产品标准及相关政策的通知》（国办发〔2025〕34号）规定为准。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注：中国境内生产的组件成本核算基本规则</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一、产品的一级组件是指直接组成产品的组件。产品的二级组件是指直接组成产品一级组件的组件。一级组件不可分解的，视同二级组件。</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三、产品总成本和组件成本以相关会计核算数据、采购合同、进货记录等为基础进行计算。</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四、需要对成本核算规则予以进一步明确的其他有关事项，由财政部会同有关部门另行规定。</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8、所报产品为“环境标志产品”的有关证明材料原件扫描件（如有）。</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（2）环境标志产品认证证书复印件是否符合要求，采购人对响应文件的有效性、完整性和响应程度进行审查时查询中国政府采购网（www.ccgp.gov.cn）相关内容后确定。</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9、所报产品为“节能产品”的有关证明材料原件扫描件（如有）。</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（2）节能产品认证证书是否符合要求，采购人评审时查询中国政府采购网（www.ccgp.gov.cn）相关内容后确定。</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10、所报产品为“环境标志产品”的有关证明材料原件扫描件（如有）。</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（2）环境标志产品认证证书复印件是否符合要求，采购人对响应文件的有效性、完整性和响应程度进行审查时查询中国政府采购网（www.ccgp.gov.cn）相关内容后确定。</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11、所报产品为“节能产品”的有关证明材料原件扫描件（如有）。</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注：注：</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（2）节能产品认证证书是否符合要求，采购人评审时查询中国政府采购网（www.ccgp.gov.cn）相关内容后确定。</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12、严格落实节能、环保产品政策</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13、严格执行绿色包装标准。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本项目中涉及商品包装和快递包装的，严格执行《商品包装政府采购需求标准（试行）》《快递包装政府采购需求标准（试行）〉》（财办库〔2020〕123号）。</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（4）严格执行绿色数据中心标准。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本项目中如有涉及数据中心相关设备、运维服务的，严格执行《绿色数据中心政府采购需求标准（试行）》（财库〔2023〕7号）需求标准。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14、落实挥发性有机化合物（VOCs）治理要求。</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本项目中如有涉及涂料、胶黏剂、油墨、清洗剂等挥发性有机物产品的，属于强制性标准的，供应商应当执行国家和我省VOCs含量限制标准；供应商提供属于推荐性标准的，涂料、胶黏剂、油墨、清洗剂等挥发性有机物产品的，予以评审优惠。在通用类货物、家具、印刷、公务车辆维修等采购活动中，供应商优先使用低挥发性原辅材料，将使用低VOCs含量的涂料、胶黏剂等纳入政府采购合同条款。</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15、特定资格要求：</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1、采购包1：</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（1）供应商所投产品须具有合格有效的</w:t>
            </w:r>
            <w:r>
              <w:rPr>
                <w:rFonts w:hint="eastAsia" w:ascii="仿宋" w:hAnsi="仿宋" w:eastAsia="仿宋" w:cs="仿宋"/>
                <w:sz w:val="28"/>
                <w:szCs w:val="28"/>
                <w:highlight w:val="none"/>
                <w:lang w:val="en-US" w:eastAsia="zh-CN"/>
              </w:rPr>
              <w:t xml:space="preserve">三证(</w:t>
            </w:r>
            <w:r>
              <w:rPr>
                <w:rFonts w:hint="eastAsia" w:ascii="仿宋" w:hAnsi="仿宋" w:eastAsia="仿宋" w:cs="仿宋"/>
                <w:sz w:val="28"/>
                <w:szCs w:val="28"/>
                <w:highlight w:val="none"/>
                <w:lang w:val="zh-CN" w:eastAsia="zh-CN"/>
              </w:rPr>
              <w:t xml:space="preserve">农药生产许可证或者农药生产批准文件、农药标准和农药登记证</w:t>
            </w:r>
            <w:r>
              <w:rPr>
                <w:rFonts w:hint="eastAsia" w:ascii="仿宋" w:hAnsi="仿宋" w:eastAsia="仿宋" w:cs="仿宋"/>
                <w:sz w:val="28"/>
                <w:szCs w:val="28"/>
                <w:highlight w:val="none"/>
                <w:lang w:val="en-US" w:eastAsia="zh-CN"/>
              </w:rPr>
              <w:t xml:space="preserve">)，</w:t>
            </w:r>
            <w:r/>
          </w:p>
          <w:p>
            <w:pPr>
              <w:spacing w:line="360" w:lineRule="auto"/>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val="zh-CN" w:eastAsia="zh-CN"/>
              </w:rPr>
              <w:t xml:space="preserve">供应商为经销商的，须提供</w:t>
            </w:r>
            <w:r>
              <w:rPr>
                <w:rFonts w:hint="default" w:ascii="仿宋" w:hAnsi="仿宋" w:eastAsia="仿宋" w:cs="仿宋"/>
                <w:sz w:val="28"/>
                <w:szCs w:val="28"/>
                <w:highlight w:val="none"/>
                <w:lang w:val="zh-CN" w:eastAsia="zh-CN"/>
              </w:rPr>
              <w:t xml:space="preserve">①</w:t>
            </w:r>
            <w:r>
              <w:rPr>
                <w:rFonts w:hint="eastAsia" w:ascii="仿宋" w:hAnsi="仿宋" w:eastAsia="仿宋" w:cs="仿宋"/>
                <w:sz w:val="28"/>
                <w:szCs w:val="28"/>
                <w:highlight w:val="none"/>
                <w:lang w:val="zh-CN" w:eastAsia="zh-CN"/>
              </w:rPr>
              <w:t xml:space="preserve">农药经营许可证的原件扫描件</w:t>
            </w:r>
            <w:r>
              <w:rPr>
                <w:rFonts w:hint="default" w:ascii="仿宋" w:hAnsi="仿宋" w:eastAsia="仿宋" w:cs="仿宋"/>
                <w:sz w:val="28"/>
                <w:szCs w:val="28"/>
                <w:highlight w:val="none"/>
                <w:lang w:val="zh-CN" w:eastAsia="zh-CN"/>
              </w:rPr>
              <w:t xml:space="preserve">②</w:t>
            </w:r>
            <w:r>
              <w:rPr>
                <w:rFonts w:hint="eastAsia" w:ascii="仿宋" w:hAnsi="仿宋" w:eastAsia="仿宋" w:cs="仿宋"/>
                <w:sz w:val="28"/>
                <w:szCs w:val="28"/>
                <w:highlight w:val="none"/>
                <w:lang w:val="zh-CN" w:eastAsia="zh-CN"/>
              </w:rPr>
              <w:t xml:space="preserve">所投产品的农药生产许可证或生产批准证的原件扫描件</w:t>
            </w:r>
            <w:r>
              <w:rPr>
                <w:rFonts w:hint="default" w:ascii="仿宋" w:hAnsi="仿宋" w:eastAsia="仿宋" w:cs="仿宋"/>
                <w:sz w:val="28"/>
                <w:szCs w:val="28"/>
                <w:highlight w:val="none"/>
                <w:lang w:val="zh-CN" w:eastAsia="zh-CN"/>
              </w:rPr>
              <w:t xml:space="preserve">③</w:t>
            </w:r>
            <w:r>
              <w:rPr>
                <w:rFonts w:hint="eastAsia" w:ascii="仿宋" w:hAnsi="仿宋" w:eastAsia="仿宋" w:cs="仿宋"/>
                <w:sz w:val="28"/>
                <w:szCs w:val="28"/>
                <w:highlight w:val="none"/>
                <w:lang w:val="zh-CN" w:eastAsia="zh-CN"/>
              </w:rPr>
              <w:t xml:space="preserve">农药登记证的原件扫描件④</w:t>
            </w:r>
            <w:r>
              <w:rPr>
                <w:rFonts w:hint="eastAsia" w:ascii="仿宋" w:hAnsi="仿宋" w:eastAsia="仿宋" w:cs="仿宋"/>
                <w:sz w:val="28"/>
                <w:szCs w:val="28"/>
                <w:highlight w:val="none"/>
                <w:lang w:val="en-US" w:eastAsia="zh-CN"/>
              </w:rPr>
              <w:t xml:space="preserve">农药标准文号</w:t>
            </w:r>
            <w:r>
              <w:rPr>
                <w:rFonts w:hint="eastAsia" w:ascii="仿宋" w:hAnsi="仿宋" w:eastAsia="仿宋" w:cs="仿宋"/>
                <w:sz w:val="28"/>
                <w:szCs w:val="28"/>
                <w:highlight w:val="none"/>
                <w:lang w:val="zh-CN" w:eastAsia="zh-CN"/>
              </w:rPr>
              <w:t xml:space="preserve">的原件扫描件；</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2、采购包2</w:t>
            </w:r>
            <w:r/>
          </w:p>
          <w:p>
            <w:pPr>
              <w:spacing w:line="360" w:lineRule="auto"/>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（1）供应商所投产品须具有合格有效的水溶肥登记证或备案证</w:t>
            </w:r>
            <w:r>
              <w:rPr>
                <w:rFonts w:hint="eastAsia" w:ascii="仿宋" w:hAnsi="仿宋" w:eastAsia="仿宋" w:cs="仿宋"/>
                <w:sz w:val="28"/>
                <w:szCs w:val="28"/>
                <w:highlight w:val="none"/>
                <w:lang w:val="zh-CN" w:eastAsia="zh-CN"/>
              </w:rPr>
              <w:t xml:space="preserve">原件扫描件；</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zh-CN" w:eastAsia="zh-CN"/>
              </w:rPr>
              <w:t xml:space="preserve">（</w:t>
            </w:r>
            <w:r>
              <w:rPr>
                <w:rFonts w:hint="eastAsia" w:ascii="仿宋" w:hAnsi="仿宋" w:eastAsia="仿宋" w:cs="仿宋"/>
                <w:sz w:val="28"/>
                <w:szCs w:val="28"/>
                <w:highlight w:val="none"/>
                <w:lang w:val="en-US" w:eastAsia="zh-CN"/>
              </w:rPr>
              <w:t xml:space="preserve">2）供应商为经销商的须具有合格有效的水溶肥登记证或备案证</w:t>
            </w:r>
            <w:r>
              <w:rPr>
                <w:rFonts w:hint="eastAsia" w:ascii="仿宋" w:hAnsi="仿宋" w:eastAsia="仿宋" w:cs="仿宋"/>
                <w:sz w:val="28"/>
                <w:szCs w:val="28"/>
                <w:highlight w:val="none"/>
                <w:lang w:val="zh-CN" w:eastAsia="zh-CN"/>
              </w:rPr>
              <w:t xml:space="preserve">原件扫描件。</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三、符合条件（必须提供，否则投标无效）</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(一)报价</w:t>
            </w:r>
            <w:r/>
          </w:p>
          <w:p>
            <w:pPr>
              <w:spacing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1.《开标一览表》（加盖电子签章，格式见招标文件第七章《投标文件相关格式》）</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2.《分项价格表》（加盖电子签章，格式见招标文件第七章《投标文件相关格式》）</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（二）商务资信</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《投标函》（加盖电子签章，格式见招标文件第七章《投标文件相关格式》）</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（三）技术响应</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1.《偏离表》（加盖电子签章，格式见招标文件第七章《投标文件相关格式》）</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四、采用最低价优先法报价评审</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见招标文件第四章《评标标准》</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五、其他部分</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投标人为残疾人福利性单位的，提供《残疾人福利性单位声明函》。要求加盖电子签章，格式见本文件第七章《投标文件相关格式》。具体以《关于促进残疾人就业政府采购政策的通知》（财库〔2017〕141号）的规定为准。</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注：</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1.投标人应对以上文件的合法性、真实性负责。</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2.签订合同前，中标人必须向采购人提交其投标文件中所有扫描件的原件，采购人核查（核对）无误后，签订合同。如中标人不能在采购人规定的时间内向采购人提供原件，将被采购人视为放弃中标资格。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交货和提供服务的时间：见本文件第五章 《拟签订的合同文本》及或本文件第六章《采购需求》。</w:t>
            </w:r>
            <w:r/>
          </w:p>
        </w:tc>
      </w:tr>
      <w:tr>
        <w:trPr>
          <w:jc w:val="center"/>
          <w:trHeight w:val="425"/>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top"/>
            <w:textDirection w:val="lrTb"/>
            <w:noWrap w:val="false"/>
          </w:tcPr>
          <w:p>
            <w:pPr>
              <w:pStyle w:val="970"/>
              <w:ind w:firstLine="56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本项目预算总金额152万元，分2个采购包。</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采购包1预算金额59万元人民币，最高限价800（元/kg（L））；</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采购包2预算金额93万元人民币，最高限价32（元/kg（L））。</w:t>
            </w:r>
            <w:r/>
          </w:p>
          <w:p>
            <w:pPr>
              <w:pStyle w:val="970"/>
              <w:ind w:firstLine="56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本项目为固定金额采购项目，不设具体数量，不接受超过采购金额及各项单价最高限价的投标报价。</w:t>
            </w:r>
            <w:r/>
          </w:p>
          <w:p>
            <w:pPr>
              <w:spacing w:line="360" w:lineRule="auto"/>
              <w:rPr>
                <w:rFonts w:hint="eastAsia"/>
                <w:color w:val="ff0000"/>
                <w:highlight w:val="none"/>
                <w:lang w:eastAsia="zh-CN"/>
              </w:rPr>
            </w:pPr>
            <w:r>
              <w:rPr>
                <w:rFonts w:hint="eastAsia" w:ascii="仿宋" w:hAnsi="仿宋" w:eastAsia="仿宋" w:cs="仿宋"/>
                <w:sz w:val="28"/>
                <w:szCs w:val="28"/>
                <w:highlight w:val="none"/>
                <w:lang w:val="en-US" w:eastAsia="zh-CN" w:bidi="ar-SA"/>
              </w:rPr>
              <w:t xml:space="preserve">注：本项目分2个采购包,每个投标供应商可以参与2个采购包的评审但只允许成为一个采购包的中标供应商，本项目按照采购包1、采购包2的顺序进行评审。在前一采购包中被确定为中标供应商的，可以参与下一采购包的评审，但不得再次成为中标供应商，不再作为后续采购包的中标候选人。且各采购包中标候选人数量不得少于3家，否则该采购包按废标处理。</w:t>
            </w:r>
            <w:r/>
          </w:p>
        </w:tc>
      </w:tr>
      <w:tr>
        <w:trPr>
          <w:jc w:val="center"/>
          <w:trHeight w:val="347"/>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1819"/>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center"/>
            <w:textDirection w:val="lrTb"/>
            <w:noWrap w:val="false"/>
          </w:tcPr>
          <w:p>
            <w:pPr>
              <w:pStyle w:val="78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线上要求：</w:t>
            </w:r>
            <w:r/>
          </w:p>
          <w:p>
            <w:pPr>
              <w:pStyle w:val="78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投标人应当通过“苏采云”系统提交数据电文形式的投标文件（即电子投标）。</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50M！</w:t>
            </w:r>
            <w:r>
              <w:rPr>
                <w:rFonts w:hint="eastAsia" w:ascii="仿宋" w:hAnsi="仿宋" w:eastAsia="仿宋" w:cs="仿宋"/>
                <w:color w:val="0000ff"/>
                <w:sz w:val="28"/>
                <w:szCs w:val="28"/>
                <w:highlight w:val="none"/>
              </w:rPr>
              <w:t xml:space="preserve"> </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(十八)</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一、投标文件提交时间：202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color w:val="000000" w:themeColor="text1"/>
                <w:sz w:val="28"/>
                <w:szCs w:val="28"/>
                <w:highlight w:val="none"/>
                <w14:textFill>
                  <w14:solidFill>
                    <w14:schemeClr w14:val="tx1"/>
                  </w14:solidFill>
                </w14:textFill>
              </w:rPr>
              <w:t xml:space="preserve">日北京时间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0前。</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二、投标文件接收截止时间：202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color w:val="000000" w:themeColor="text1"/>
                <w:sz w:val="28"/>
                <w:szCs w:val="28"/>
                <w:highlight w:val="none"/>
                <w14:textFill>
                  <w14:solidFill>
                    <w14:schemeClr w14:val="tx1"/>
                  </w14:solidFill>
                </w14:textFill>
              </w:rPr>
              <w:t xml:space="preserve">日北京时间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三、投标文件提交地点：投标人应当通过“苏采云”系统提交数据电文形式的投标文件（即电子投标），“苏采云”系统自动接收。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ff0000"/>
                <w:sz w:val="28"/>
                <w:szCs w:val="28"/>
                <w:highlight w:val="none"/>
              </w:rPr>
            </w:pPr>
            <w:r>
              <w:rPr>
                <w:rFonts w:hint="eastAsia" w:ascii="仿宋" w:hAnsi="仿宋" w:eastAsia="仿宋" w:cs="仿宋"/>
                <w:color w:val="000000"/>
                <w:sz w:val="28"/>
                <w:szCs w:val="28"/>
                <w:highlight w:val="none"/>
              </w:rPr>
              <w:t xml:space="preserve">电子投标文件应由其法定代表人或法定代表人授权代表在规定的网上投标时间内，</w:t>
            </w:r>
            <w:r>
              <w:rPr>
                <w:rFonts w:hint="eastAsia" w:ascii="仿宋" w:hAnsi="仿宋" w:eastAsia="仿宋" w:cs="仿宋"/>
                <w:b/>
                <w:bCs/>
                <w:color w:val="000000"/>
                <w:sz w:val="28"/>
                <w:szCs w:val="28"/>
                <w:highlight w:val="none"/>
              </w:rPr>
              <w:t xml:space="preserve">凭 CA 证书登陆“苏采云”系统在线编制投标文件（电子数据），</w:t>
            </w:r>
            <w:r>
              <w:rPr>
                <w:rFonts w:hint="eastAsia" w:ascii="仿宋" w:hAnsi="仿宋" w:eastAsia="仿宋" w:cs="仿宋"/>
                <w:b/>
                <w:color w:val="000000"/>
                <w:sz w:val="28"/>
                <w:szCs w:val="28"/>
                <w:highlight w:val="none"/>
              </w:rPr>
              <w:t xml:space="preserve">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p>
        </w:tc>
      </w:tr>
      <w:tr>
        <w:trPr>
          <w:jc w:val="center"/>
          <w:trHeight w:val="161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(二十四)</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开标时间及地点：</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1.开标时间：202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w:t>
            </w:r>
            <w:bookmarkStart w:id="7" w:name="_GoBack"/>
            <w:r/>
            <w:bookmarkEnd w:id="7"/>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仿宋"/>
                <w:color w:val="000000" w:themeColor="text1"/>
                <w:sz w:val="28"/>
                <w:szCs w:val="28"/>
                <w:highlight w:val="none"/>
                <w14:textFill>
                  <w14:solidFill>
                    <w14:schemeClr w14:val="tx1"/>
                  </w14:solidFill>
                </w14:textFill>
              </w:rPr>
              <w:t xml:space="preserve">日</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s="仿宋"/>
                <w:color w:val="000000" w:themeColor="text1"/>
                <w:sz w:val="28"/>
                <w:szCs w:val="28"/>
                <w:highlight w:val="none"/>
                <w14:textFill>
                  <w14:solidFill>
                    <w14:schemeClr w14:val="tx1"/>
                  </w14:solidFill>
                </w14:textFill>
              </w:rPr>
              <w:t xml:space="preserve">（标准时间）</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2.开标地点：“苏采云”系统（网址： http://jszfcg.jsczt.cn/）“开标大厅”或进入徐州政府采购网（网址：</w:t>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"http://czj.xz.gov.cn/Home/HomeIndex）--业务工作--用户登录，点击"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http://czj.xz.gov.cn/Home/HomeIndex）--业务工作--用户登录，点击“苏采云”进入系统“开标大厅”。</w:t>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采用</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最</w:t>
            </w:r>
            <w:r>
              <w:rPr>
                <w:rFonts w:hint="eastAsia" w:ascii="仿宋" w:hAnsi="仿宋" w:eastAsia="仿宋" w:cs="仿宋"/>
                <w:color w:val="000000" w:themeColor="text1"/>
                <w:sz w:val="28"/>
                <w:szCs w:val="28"/>
                <w:highlight w:val="none"/>
                <w14:textFill>
                  <w14:solidFill>
                    <w14:schemeClr w14:val="tx1"/>
                  </w14:solidFill>
                </w14:textFill>
              </w:rPr>
              <w:t xml:space="preserve">低价优先</w:t>
            </w:r>
            <w:r>
              <w:rPr>
                <w:rFonts w:hint="eastAsia" w:ascii="仿宋" w:hAnsi="仿宋" w:eastAsia="仿宋" w:cs="仿宋"/>
                <w:color w:val="000000"/>
                <w:sz w:val="28"/>
                <w:szCs w:val="28"/>
                <w:highlight w:val="none"/>
              </w:rPr>
              <w:t xml:space="preserve">评分法。</w:t>
            </w:r>
            <w:r/>
          </w:p>
        </w:tc>
      </w:tr>
      <w:tr>
        <w:trPr>
          <w:jc w:val="center"/>
          <w:trHeight w:val="929"/>
        </w:trPr>
        <w:tc>
          <w:tcPr>
            <w:tcMar>
              <w:left w:w="108" w:type="dxa"/>
              <w:top w:w="0" w:type="dxa"/>
              <w:right w:w="108" w:type="dxa"/>
              <w:bottom w:w="0" w:type="dxa"/>
            </w:tcMar>
            <w:tcW w:w="1542"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(二十</w:t>
            </w:r>
            <w:r>
              <w:rPr>
                <w:rFonts w:hint="eastAsia" w:ascii="仿宋" w:hAnsi="仿宋" w:eastAsia="仿宋" w:cs="仿宋"/>
                <w:color w:val="000000"/>
                <w:sz w:val="28"/>
                <w:highlight w:val="none"/>
                <w:lang w:val="en-US" w:eastAsia="zh-CN"/>
              </w:rPr>
              <w:t xml:space="preserve">八</w:t>
            </w:r>
            <w:r>
              <w:rPr>
                <w:rFonts w:ascii="仿宋" w:hAnsi="仿宋" w:eastAsia="仿宋" w:cs="仿宋"/>
                <w:color w:val="000000"/>
                <w:sz w:val="28"/>
                <w:highlight w:val="none"/>
              </w:rPr>
              <w:t xml:space="preserve">)</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一、推荐中标候选供应商名单。中标候选供应商数量应当确定</w:t>
            </w:r>
            <w:r>
              <w:rPr>
                <w:rFonts w:hint="eastAsia" w:ascii="仿宋" w:hAnsi="仿宋" w:eastAsia="仿宋" w:cs="仿宋"/>
                <w:sz w:val="28"/>
                <w:szCs w:val="28"/>
                <w:highlight w:val="none"/>
                <w:lang w:val="en-US" w:eastAsia="zh-CN"/>
              </w:rPr>
              <w:t xml:space="preserve">3家</w:t>
            </w:r>
            <w:r>
              <w:rPr>
                <w:rFonts w:hint="eastAsia" w:ascii="仿宋" w:hAnsi="仿宋" w:eastAsia="仿宋" w:cs="仿宋"/>
                <w:sz w:val="28"/>
                <w:szCs w:val="28"/>
                <w:highlight w:val="none"/>
              </w:rPr>
              <w:t xml:space="preserve">，但必须按顺序排列中标候选供应商。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二、采用</w:t>
            </w:r>
            <w:r>
              <w:rPr>
                <w:rFonts w:hint="eastAsia" w:ascii="仿宋" w:hAnsi="仿宋" w:eastAsia="仿宋" w:cs="仿宋"/>
                <w:sz w:val="28"/>
                <w:szCs w:val="28"/>
                <w:highlight w:val="none"/>
                <w:lang w:val="en-US" w:eastAsia="zh-CN"/>
              </w:rPr>
              <w:t xml:space="preserve">最</w:t>
            </w:r>
            <w:r>
              <w:rPr>
                <w:rFonts w:hint="eastAsia" w:ascii="仿宋" w:hAnsi="仿宋" w:eastAsia="仿宋" w:cs="仿宋"/>
                <w:color w:val="000000" w:themeColor="text1"/>
                <w:sz w:val="28"/>
                <w:szCs w:val="28"/>
                <w:highlight w:val="none"/>
                <w14:textFill>
                  <w14:solidFill>
                    <w14:schemeClr w14:val="tx1"/>
                  </w14:solidFill>
                </w14:textFill>
              </w:rPr>
              <w:t xml:space="preserve">低价优先</w:t>
            </w:r>
            <w:r>
              <w:rPr>
                <w:rFonts w:hint="eastAsia" w:ascii="仿宋" w:hAnsi="仿宋" w:eastAsia="仿宋" w:cs="仿宋"/>
                <w:color w:val="000000"/>
                <w:sz w:val="28"/>
                <w:szCs w:val="28"/>
                <w:highlight w:val="none"/>
              </w:rPr>
              <w:t xml:space="preserve">评分法</w:t>
            </w:r>
            <w:r>
              <w:rPr>
                <w:rFonts w:hint="eastAsia" w:ascii="仿宋" w:hAnsi="仿宋" w:eastAsia="仿宋" w:cs="仿宋"/>
                <w:sz w:val="28"/>
                <w:szCs w:val="28"/>
                <w:highlight w:val="none"/>
              </w:rPr>
              <w:t xml:space="preserve">的，按评审后得分由高到低顺序排列。得分相同的，</w:t>
            </w:r>
            <w:r>
              <w:rPr>
                <w:rFonts w:hint="eastAsia" w:ascii="仿宋" w:hAnsi="仿宋" w:eastAsia="仿宋" w:cs="仿宋"/>
                <w:sz w:val="28"/>
                <w:szCs w:val="28"/>
                <w:highlight w:val="none"/>
                <w:lang w:val="en-US" w:eastAsia="zh-CN"/>
              </w:rPr>
              <w:t xml:space="preserve">由采购人随机抽取确定</w:t>
            </w:r>
            <w:r>
              <w:rPr>
                <w:rFonts w:hint="eastAsia" w:ascii="仿宋" w:hAnsi="仿宋" w:eastAsia="仿宋" w:cs="仿宋"/>
                <w:sz w:val="28"/>
                <w:szCs w:val="28"/>
                <w:highlight w:val="none"/>
              </w:rPr>
              <w:t xml:space="preserve">得分相同的排列顺序。</w:t>
            </w:r>
            <w:r/>
          </w:p>
          <w:p>
            <w:pPr>
              <w:spacing w:line="360" w:lineRule="auto"/>
              <w:rPr>
                <w:highlight w:val="none"/>
              </w:rPr>
            </w:pPr>
            <w:r>
              <w:rPr>
                <w:rFonts w:hint="eastAsia" w:ascii="仿宋" w:hAnsi="仿宋" w:eastAsia="仿宋" w:cs="仿宋"/>
                <w:sz w:val="28"/>
                <w:szCs w:val="28"/>
                <w:highlight w:val="none"/>
              </w:rPr>
              <w:t xml:space="preserve">三、采购人应当自收到评标报告之日起</w:t>
            </w:r>
            <w:r>
              <w:rPr>
                <w:rFonts w:hint="eastAsia" w:ascii="仿宋" w:hAnsi="仿宋" w:eastAsia="仿宋" w:cs="仿宋"/>
                <w:sz w:val="28"/>
                <w:szCs w:val="28"/>
                <w:highlight w:val="none"/>
                <w:lang w:eastAsia="zh-CN"/>
              </w:rPr>
              <w:t xml:space="preserve">5</w:t>
            </w:r>
            <w:r>
              <w:rPr>
                <w:rFonts w:hint="eastAsia" w:ascii="仿宋" w:hAnsi="仿宋" w:eastAsia="仿宋" w:cs="仿宋"/>
                <w:sz w:val="28"/>
                <w:szCs w:val="28"/>
                <w:highlight w:val="none"/>
              </w:rPr>
              <w:t xml:space="preserve">个工作日内，在评标报告确定的中标候选人名单中按得分最高顺序确定一名中标人。</w:t>
            </w:r>
            <w:r/>
          </w:p>
        </w:tc>
      </w:tr>
      <w:tr>
        <w:trPr>
          <w:jc w:val="center"/>
          <w:trHeight w:val="929"/>
        </w:trPr>
        <w:tc>
          <w:tcPr>
            <w:tcMar>
              <w:left w:w="108" w:type="dxa"/>
              <w:top w:w="0" w:type="dxa"/>
              <w:right w:w="108" w:type="dxa"/>
              <w:bottom w:w="0" w:type="dxa"/>
            </w:tcMar>
            <w:tcW w:w="1542" w:type="dxa"/>
            <w:vAlign w:val="top"/>
            <w:textDirection w:val="lrTb"/>
            <w:noWrap w:val="false"/>
          </w:tcPr>
          <w:p>
            <w:pPr>
              <w:ind w:left="0" w:right="0" w:firstLine="0"/>
              <w:jc w:val="center"/>
              <w:spacing w:before="0" w:after="0"/>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1.评标中需要投标人对投标文件澄清或者说明的，应当通过“苏采云”系统交换数据电文。在评标期间，请投标人保持在线。</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3.投标人的澄清、说明或者补正应当采用通过“苏采云”系统（使用“CA数字证书”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val="en-US"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center"/>
            <w:textDirection w:val="lrTb"/>
            <w:noWrap w:val="false"/>
          </w:tcPr>
          <w:p>
            <w:pPr>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采购人与中标</w:t>
            </w:r>
            <w:r>
              <w:rPr>
                <w:rFonts w:hint="eastAsia" w:ascii="仿宋" w:hAnsi="仿宋" w:eastAsia="仿宋" w:cs="仿宋"/>
                <w:sz w:val="28"/>
                <w:szCs w:val="28"/>
                <w:highlight w:val="none"/>
                <w:lang w:val="en-US" w:eastAsia="zh-CN"/>
              </w:rPr>
              <w:t xml:space="preserve">/成交供应商</w:t>
            </w:r>
            <w:r>
              <w:rPr>
                <w:rFonts w:hint="eastAsia" w:ascii="仿宋" w:hAnsi="仿宋" w:eastAsia="仿宋" w:cs="仿宋"/>
                <w:sz w:val="28"/>
                <w:szCs w:val="28"/>
                <w:highlight w:val="none"/>
              </w:rPr>
              <w:t xml:space="preserve">应当在中标</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val="en-US" w:eastAsia="zh-CN"/>
              </w:rPr>
              <w:t xml:space="preserve">八</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center"/>
            <w:textDirection w:val="lrTb"/>
            <w:noWrap w:val="false"/>
          </w:tcPr>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无保证金：本项目无需缴纳保证金。</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履约保证金：若项目要求提供履约担保的，成交供应商可以以履约保函(保险)形式代替提供履约保证金。供应商可登录江苏政府采购网“资料下载”栏目(网址:www.ccgp-jiangsugovcn/jiangsu/zlxz)下载“政府采购电子履约保函(保险)操作手册”。</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履约保证金：无。</w:t>
            </w:r>
            <w:r/>
          </w:p>
        </w:tc>
      </w:tr>
      <w:tr>
        <w:trPr>
          <w:jc w:val="center"/>
        </w:trPr>
        <w:tc>
          <w:tcPr>
            <w:tcMar>
              <w:left w:w="108" w:type="dxa"/>
              <w:top w:w="0" w:type="dxa"/>
              <w:right w:w="108" w:type="dxa"/>
              <w:bottom w:w="0" w:type="dxa"/>
            </w:tcMar>
            <w:tcW w:w="1542" w:type="dxa"/>
            <w:vAlign w:val="top"/>
            <w:textDirection w:val="lrTb"/>
            <w:noWrap w:val="false"/>
          </w:tcPr>
          <w:p>
            <w:pPr>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（三十</w:t>
            </w:r>
            <w:r>
              <w:rPr>
                <w:rFonts w:hint="eastAsia" w:ascii="仿宋" w:hAnsi="仿宋" w:eastAsia="仿宋" w:cs="仿宋"/>
                <w:sz w:val="24"/>
                <w:szCs w:val="24"/>
                <w:highlight w:val="none"/>
                <w:lang w:eastAsia="zh-CN"/>
              </w:rPr>
              <w:t xml:space="preserve">九</w:t>
            </w:r>
            <w:r>
              <w:rPr>
                <w:rFonts w:hint="eastAsia" w:ascii="仿宋" w:hAnsi="仿宋" w:eastAsia="仿宋" w:cs="仿宋"/>
                <w:sz w:val="24"/>
                <w:szCs w:val="24"/>
                <w:highlight w:val="none"/>
              </w:rPr>
              <w:t xml:space="preserve">）</w:t>
            </w:r>
            <w:r/>
          </w:p>
        </w:tc>
        <w:tc>
          <w:tcPr>
            <w:tcMar>
              <w:left w:w="108" w:type="dxa"/>
              <w:top w:w="0" w:type="dxa"/>
              <w:right w:w="108" w:type="dxa"/>
              <w:bottom w:w="0" w:type="dxa"/>
            </w:tcMar>
            <w:tcW w:w="8242"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供应商在法定质疑期内一次性提出针对同一采购程序环节的质疑。</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质疑接收人：</w:t>
            </w:r>
            <w:r>
              <w:rPr>
                <w:rFonts w:hint="eastAsia" w:ascii="仿宋" w:hAnsi="仿宋" w:eastAsia="仿宋" w:cs="仿宋"/>
                <w:color w:val="000000"/>
                <w:sz w:val="28"/>
                <w:szCs w:val="28"/>
                <w:highlight w:val="none"/>
                <w:lang w:val="en-US" w:eastAsia="zh-CN"/>
              </w:rPr>
              <w:t xml:space="preserve">李鑫</w:t>
            </w:r>
            <w:r>
              <w:rPr>
                <w:rFonts w:hint="eastAsia" w:ascii="仿宋" w:hAnsi="仿宋" w:eastAsia="仿宋" w:cs="仿宋"/>
                <w:color w:val="000000"/>
                <w:sz w:val="28"/>
                <w:szCs w:val="28"/>
                <w:highlight w:val="none"/>
              </w:rPr>
              <w:t xml:space="preserve">;联系电话：</w:t>
            </w:r>
            <w:r>
              <w:rPr>
                <w:rFonts w:hint="eastAsia" w:ascii="仿宋" w:hAnsi="仿宋" w:eastAsia="仿宋" w:cs="仿宋"/>
                <w:color w:val="000000"/>
                <w:sz w:val="28"/>
                <w:szCs w:val="28"/>
                <w:highlight w:val="none"/>
                <w:lang w:val="en-US" w:eastAsia="zh-CN"/>
              </w:rPr>
              <w:t xml:space="preserve">18952291448</w:t>
            </w:r>
            <w:r>
              <w:rPr>
                <w:rFonts w:hint="eastAsia" w:ascii="仿宋" w:hAnsi="仿宋" w:eastAsia="仿宋" w:cs="仿宋"/>
                <w:color w:val="000000"/>
                <w:sz w:val="28"/>
                <w:szCs w:val="28"/>
                <w:highlight w:val="none"/>
              </w:rPr>
              <w:t xml:space="preserve">；</w:t>
            </w:r>
            <w:r/>
          </w:p>
          <w:p>
            <w:pPr>
              <w:spacing w:line="400" w:lineRule="exact"/>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val="en-US" w:eastAsia="zh-CN"/>
              </w:rPr>
              <w:t xml:space="preserve">沛县皮防所对过盛鼎工程咨询有限公司沛县办事处</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附加说明</w:t>
            </w:r>
            <w:r/>
          </w:p>
        </w:tc>
        <w:tc>
          <w:tcPr>
            <w:tcMar>
              <w:left w:w="108" w:type="dxa"/>
              <w:top w:w="0" w:type="dxa"/>
              <w:right w:w="108" w:type="dxa"/>
              <w:bottom w:w="0" w:type="dxa"/>
            </w:tcMar>
            <w:tcW w:w="8242"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中标人在收到中标通知书时，须向采购人和采购代理机构提交《开标一览表》和《分项价格表》的数据文件（WORD格式）。</w:t>
            </w:r>
            <w:r/>
          </w:p>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邮箱：</w:t>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"mailto:zytxzzq@163.com"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lang w:val="en-US" w:eastAsia="zh-CN"/>
              </w:rPr>
              <w:t xml:space="preserve">517414547qq</w:t>
            </w:r>
            <w:r>
              <w:rPr>
                <w:rFonts w:hint="eastAsia" w:ascii="仿宋" w:hAnsi="仿宋" w:eastAsia="仿宋" w:cs="仿宋"/>
                <w:color w:val="000000"/>
                <w:sz w:val="28"/>
                <w:szCs w:val="28"/>
                <w:highlight w:val="none"/>
                <w:lang w:eastAsia="zh-CN"/>
              </w:rPr>
              <w:t xml:space="preserve">@.com</w:t>
            </w:r>
            <w:r>
              <w:rPr>
                <w:rFonts w:hint="eastAsia" w:ascii="仿宋" w:hAnsi="仿宋" w:eastAsia="仿宋" w:cs="仿宋"/>
                <w:color w:val="000000"/>
                <w:sz w:val="28"/>
                <w:szCs w:val="28"/>
                <w:highlight w:val="none"/>
              </w:rPr>
              <w:fldChar w:fldCharType="end"/>
            </w:r>
            <w:r/>
          </w:p>
          <w:p>
            <w:pPr>
              <w:spacing w:line="400" w:lineRule="exact"/>
              <w:rPr>
                <w:rFonts w:hint="eastAsia"/>
                <w:highlight w:val="none"/>
              </w:rPr>
            </w:pPr>
            <w:r>
              <w:rPr>
                <w:rFonts w:hint="eastAsia" w:ascii="仿宋" w:hAnsi="仿宋" w:eastAsia="仿宋" w:cs="仿宋"/>
                <w:color w:val="000000"/>
                <w:sz w:val="28"/>
                <w:szCs w:val="28"/>
                <w:highlight w:val="none"/>
                <w:lang w:val="en-US" w:eastAsia="zh-CN"/>
              </w:rPr>
              <w:t xml:space="preserve">2.中标</w:t>
            </w:r>
            <w:r>
              <w:rPr>
                <w:rFonts w:hint="eastAsia" w:ascii="仿宋" w:hAnsi="仿宋" w:eastAsia="仿宋" w:cs="仿宋"/>
                <w:color w:val="000000"/>
                <w:sz w:val="28"/>
                <w:szCs w:val="28"/>
                <w:highlight w:val="none"/>
              </w:rPr>
              <w:t xml:space="preserve">供应商在领取</w:t>
            </w:r>
            <w:r>
              <w:rPr>
                <w:rFonts w:hint="eastAsia" w:ascii="仿宋" w:hAnsi="仿宋" w:eastAsia="仿宋" w:cs="仿宋"/>
                <w:color w:val="000000"/>
                <w:sz w:val="28"/>
                <w:szCs w:val="28"/>
                <w:highlight w:val="none"/>
                <w:lang w:val="en-US" w:eastAsia="zh-CN"/>
              </w:rPr>
              <w:t xml:space="preserve">中标</w:t>
            </w:r>
            <w:r>
              <w:rPr>
                <w:rFonts w:hint="eastAsia" w:ascii="仿宋" w:hAnsi="仿宋" w:eastAsia="仿宋" w:cs="仿宋"/>
                <w:color w:val="000000"/>
                <w:sz w:val="28"/>
                <w:szCs w:val="28"/>
                <w:highlight w:val="none"/>
              </w:rPr>
              <w:t xml:space="preserve">通知书前，向采购代理机构缴纳代理服务费，收取标准见附件。</w:t>
            </w:r>
            <w:r/>
          </w:p>
        </w:tc>
      </w:tr>
    </w:tbl>
    <w:p>
      <w:pPr>
        <w:pStyle w:val="964"/>
        <w:jc w:val="center"/>
        <w:spacing w:line="360" w:lineRule="auto"/>
        <w:rPr>
          <w:rFonts w:hint="eastAsia" w:ascii="仿宋" w:hAnsi="仿宋" w:eastAsia="仿宋" w:cs="仿宋"/>
          <w:sz w:val="32"/>
          <w:szCs w:val="32"/>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sz w:val="32"/>
          <w:szCs w:val="32"/>
          <w:highlight w:val="none"/>
          <w:lang w:val="en-US" w:eastAsia="zh-CN"/>
        </w:rPr>
      </w:r>
      <w:r/>
    </w:p>
    <w:p>
      <w:pPr>
        <w:pStyle w:val="964"/>
        <w:jc w:val="cente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 xml:space="preserve">第四章 </w:t>
      </w:r>
      <w:r>
        <w:rPr>
          <w:rFonts w:hint="eastAsia" w:ascii="仿宋" w:hAnsi="仿宋" w:eastAsia="仿宋" w:cs="仿宋"/>
          <w:sz w:val="32"/>
          <w:szCs w:val="32"/>
          <w:highlight w:val="none"/>
        </w:rPr>
        <w:t xml:space="preserve">评标标准</w:t>
      </w:r>
      <w:r/>
    </w:p>
    <w:p>
      <w:pPr>
        <w:pStyle w:val="760"/>
        <w:numPr>
          <w:ilvl w:val="0"/>
          <w:numId w:val="0"/>
        </w:numPr>
        <w:ind w:right="0"/>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sz w:val="28"/>
          <w:szCs w:val="28"/>
          <w:highlight w:val="none"/>
          <w:lang w:val="en-US" w:eastAsia="zh-CN" w:bidi="ar-SA"/>
        </w:rPr>
        <w:t xml:space="preserve">（采购包1、2）</w:t>
      </w:r>
      <w:r/>
    </w:p>
    <w:tbl>
      <w:tblPr>
        <w:tblStyle w:val="772"/>
        <w:tblW w:w="97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09"/>
        <w:gridCol w:w="7237"/>
      </w:tblGrid>
      <w:tr>
        <w:trPr>
          <w:trHeight w:val="809"/>
        </w:trPr>
        <w:tc>
          <w:tcPr>
            <w:tcMar>
              <w:left w:w="108" w:type="dxa"/>
              <w:top w:w="0" w:type="dxa"/>
              <w:right w:w="108" w:type="dxa"/>
              <w:bottom w:w="0" w:type="dxa"/>
            </w:tcMar>
            <w:tcW w:w="2509" w:type="dxa"/>
            <w:vAlign w:val="center"/>
            <w:textDirection w:val="lrTb"/>
            <w:noWrap w:val="false"/>
          </w:tcPr>
          <w:p>
            <w:pPr>
              <w:spacing w:after="0"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评分项目</w:t>
            </w:r>
            <w:r/>
          </w:p>
        </w:tc>
        <w:tc>
          <w:tcPr>
            <w:tcMar>
              <w:left w:w="108" w:type="dxa"/>
              <w:top w:w="0" w:type="dxa"/>
              <w:right w:w="108" w:type="dxa"/>
              <w:bottom w:w="0" w:type="dxa"/>
            </w:tcMar>
            <w:tcW w:w="7237" w:type="dxa"/>
            <w:vAlign w:val="center"/>
            <w:textDirection w:val="lrTb"/>
            <w:noWrap w:val="false"/>
          </w:tcPr>
          <w:p>
            <w:pPr>
              <w:ind w:firstLine="1446"/>
              <w:spacing w:after="0"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评分细则</w:t>
            </w:r>
            <w:r/>
          </w:p>
        </w:tc>
      </w:tr>
      <w:tr>
        <w:trPr>
          <w:trHeight w:val="1311"/>
        </w:trPr>
        <w:tc>
          <w:tcPr>
            <w:tcMar>
              <w:left w:w="108" w:type="dxa"/>
              <w:top w:w="0" w:type="dxa"/>
              <w:right w:w="108" w:type="dxa"/>
              <w:bottom w:w="0" w:type="dxa"/>
            </w:tcMar>
            <w:tcW w:w="2509"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投标报价</w:t>
            </w:r>
            <w:r/>
          </w:p>
          <w:p>
            <w:pPr>
              <w:jc w:val="center"/>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000000"/>
                <w:sz w:val="28"/>
                <w:szCs w:val="28"/>
                <w:highlight w:val="none"/>
                <w:lang w:val="en-US" w:eastAsia="zh-CN" w:bidi="ar-SA"/>
              </w:rPr>
              <w:t xml:space="preserve">（100分）</w:t>
            </w:r>
            <w:r/>
          </w:p>
        </w:tc>
        <w:tc>
          <w:tcPr>
            <w:tcMar>
              <w:left w:w="108" w:type="dxa"/>
              <w:top w:w="0" w:type="dxa"/>
              <w:right w:w="108" w:type="dxa"/>
              <w:bottom w:w="0" w:type="dxa"/>
            </w:tcMar>
            <w:tcW w:w="7237" w:type="dxa"/>
            <w:vAlign w:val="center"/>
            <w:textDirection w:val="lrTb"/>
            <w:noWrap w:val="false"/>
          </w:tcPr>
          <w:p>
            <w:pPr>
              <w:pStyle w:val="785"/>
              <w:jc w:val="left"/>
              <w:spacing w:after="0" w:line="240" w:lineRule="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采用最低价优先法计算，</w:t>
            </w:r>
            <w:r/>
          </w:p>
          <w:p>
            <w:pPr>
              <w:pStyle w:val="785"/>
              <w:jc w:val="left"/>
              <w:spacing w:after="0" w:line="240" w:lineRule="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1、即满足招标文件要求且投标人评审价格（单价）最低的投标报价为评标基准价，其价格得分为满分。</w:t>
            </w:r>
            <w:r/>
          </w:p>
          <w:p>
            <w:pPr>
              <w:spacing w:after="0" w:line="240" w:lineRule="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2、各投标人价格得分=最低报价（投标人的最低评审价格）÷各投标人评审价格×100。（按四舍五入取至小数点后两位）</w:t>
            </w:r>
            <w:r/>
          </w:p>
          <w:p>
            <w:pPr>
              <w:spacing w:after="0" w:line="360" w:lineRule="auto"/>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bidi="ar-SA"/>
              </w:rPr>
              <w:t xml:space="preserve">3、推荐中标候选供应商名单。中标候选供应商数量应当确定3家，但必须按顺序排列中标候选供应商。</w:t>
            </w:r>
            <w:r/>
          </w:p>
          <w:p>
            <w:pPr>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、采用</w:t>
            </w:r>
            <w:r>
              <w:rPr>
                <w:rFonts w:hint="eastAsia" w:ascii="仿宋" w:hAnsi="仿宋" w:eastAsia="仿宋" w:cs="仿宋"/>
                <w:sz w:val="28"/>
                <w:szCs w:val="28"/>
                <w:highlight w:val="none"/>
                <w:lang w:val="en-US" w:eastAsia="zh-CN"/>
              </w:rPr>
              <w:t xml:space="preserve">最</w:t>
            </w:r>
            <w:r>
              <w:rPr>
                <w:rFonts w:hint="eastAsia" w:ascii="仿宋" w:hAnsi="仿宋" w:eastAsia="仿宋" w:cs="仿宋"/>
                <w:color w:val="000000" w:themeColor="text1"/>
                <w:sz w:val="28"/>
                <w:szCs w:val="28"/>
                <w:highlight w:val="none"/>
                <w14:textFill>
                  <w14:solidFill>
                    <w14:schemeClr w14:val="tx1"/>
                  </w14:solidFill>
                </w14:textFill>
              </w:rPr>
              <w:t xml:space="preserve">低价优先</w:t>
            </w:r>
            <w:r>
              <w:rPr>
                <w:rFonts w:hint="eastAsia" w:ascii="仿宋" w:hAnsi="仿宋" w:eastAsia="仿宋" w:cs="仿宋"/>
                <w:color w:val="000000"/>
                <w:sz w:val="28"/>
                <w:szCs w:val="28"/>
                <w:highlight w:val="none"/>
              </w:rPr>
              <w:t xml:space="preserve">评分法</w:t>
            </w:r>
            <w:r>
              <w:rPr>
                <w:rFonts w:hint="eastAsia" w:ascii="仿宋" w:hAnsi="仿宋" w:eastAsia="仿宋" w:cs="仿宋"/>
                <w:sz w:val="28"/>
                <w:szCs w:val="28"/>
                <w:highlight w:val="none"/>
              </w:rPr>
              <w:t xml:space="preserve">的，按评审后得分由高到低顺序排列。得分相同的，</w:t>
            </w:r>
            <w:r>
              <w:rPr>
                <w:rFonts w:hint="eastAsia" w:ascii="仿宋" w:hAnsi="仿宋" w:eastAsia="仿宋" w:cs="仿宋"/>
                <w:sz w:val="28"/>
                <w:szCs w:val="28"/>
                <w:highlight w:val="none"/>
                <w:lang w:val="en-US" w:eastAsia="zh-CN"/>
              </w:rPr>
              <w:t xml:space="preserve">由采购人随机抽取确定</w:t>
            </w:r>
            <w:r>
              <w:rPr>
                <w:rFonts w:hint="eastAsia" w:ascii="仿宋" w:hAnsi="仿宋" w:eastAsia="仿宋" w:cs="仿宋"/>
                <w:sz w:val="28"/>
                <w:szCs w:val="28"/>
                <w:highlight w:val="none"/>
              </w:rPr>
              <w:t xml:space="preserve">得分相同的排列顺序。</w:t>
            </w:r>
            <w:r/>
          </w:p>
          <w:p>
            <w:pPr>
              <w:pStyle w:val="785"/>
              <w:jc w:val="left"/>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w:t>
            </w:r>
            <w:r/>
          </w:p>
        </w:tc>
      </w:tr>
    </w:tbl>
    <w:p>
      <w:pP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785"/>
        <w:rPr>
          <w:rFonts w:hint="eastAsia" w:ascii="仿宋" w:hAnsi="仿宋" w:eastAsia="仿宋" w:cs="仿宋"/>
          <w:b w:val="0"/>
          <w:bCs w:val="0"/>
          <w:color w:val="ff0000"/>
          <w:sz w:val="24"/>
          <w:szCs w:val="24"/>
          <w:highlight w:val="none"/>
        </w:rPr>
      </w:pPr>
      <w:r>
        <w:rPr>
          <w:rFonts w:hint="eastAsia" w:ascii="仿宋" w:hAnsi="仿宋" w:eastAsia="仿宋" w:cs="仿宋"/>
          <w:b w:val="0"/>
          <w:bCs w:val="0"/>
          <w:color w:val="ff0000"/>
          <w:sz w:val="24"/>
          <w:szCs w:val="24"/>
          <w:highlight w:val="none"/>
        </w:rPr>
      </w:r>
      <w:r/>
    </w:p>
    <w:p>
      <w:pPr>
        <w:pStyle w:val="964"/>
        <w:jc w:val="center"/>
        <w:spacing w:line="360" w:lineRule="auto"/>
        <w:rPr>
          <w:rFonts w:hint="eastAsia" w:ascii="仿宋" w:hAnsi="仿宋" w:eastAsia="仿宋" w:cs="仿宋"/>
          <w:sz w:val="32"/>
          <w:szCs w:val="32"/>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bCs/>
          <w:color w:val="000000"/>
          <w:sz w:val="28"/>
          <w:szCs w:val="28"/>
          <w:highlight w:val="none"/>
        </w:rPr>
        <w:t xml:space="preserve">本项目采用</w:t>
      </w:r>
      <w:r>
        <w:rPr>
          <w:rFonts w:hint="eastAsia" w:ascii="仿宋" w:hAnsi="仿宋" w:eastAsia="仿宋" w:cs="仿宋"/>
          <w:b/>
          <w:bCs/>
          <w:color w:val="000000"/>
          <w:sz w:val="28"/>
          <w:szCs w:val="28"/>
          <w:highlight w:val="none"/>
          <w:lang w:val="en-US" w:eastAsia="zh-CN"/>
        </w:rPr>
        <w:t xml:space="preserve">最低价优先</w:t>
      </w:r>
      <w:r>
        <w:rPr>
          <w:rFonts w:hint="eastAsia" w:ascii="仿宋" w:hAnsi="仿宋" w:eastAsia="仿宋" w:cs="仿宋"/>
          <w:b/>
          <w:bCs/>
          <w:color w:val="000000"/>
          <w:sz w:val="28"/>
          <w:szCs w:val="28"/>
          <w:highlight w:val="none"/>
        </w:rPr>
        <w:t xml:space="preserve">评分法</w:t>
      </w:r>
      <w:r>
        <w:rPr>
          <w:rFonts w:hint="eastAsia" w:ascii="仿宋" w:hAnsi="仿宋" w:eastAsia="仿宋" w:cs="仿宋"/>
          <w:color w:val="000000"/>
          <w:sz w:val="24"/>
          <w:highlight w:val="none"/>
        </w:rPr>
        <w:t xml:space="preserve">。</w:t>
      </w:r>
      <w:r/>
    </w:p>
    <w:p>
      <w:pPr>
        <w:pStyle w:val="964"/>
        <w:spacing w:line="360" w:lineRule="auto"/>
        <w:rPr>
          <w:rFonts w:hint="eastAsia" w:ascii="仿宋" w:hAnsi="仿宋" w:eastAsia="仿宋" w:cs="仿宋"/>
          <w:sz w:val="32"/>
          <w:szCs w:val="32"/>
          <w:highlight w:val="none"/>
          <w:lang w:val="en-US" w:eastAsia="zh-CN"/>
        </w:rPr>
      </w:pPr>
      <w:r>
        <w:rPr>
          <w:rFonts w:hint="eastAsia"/>
          <w:highlight w:val="none"/>
          <w:lang w:val="en-US" w:eastAsia="zh-CN"/>
        </w:rPr>
        <w:t xml:space="preserve">    </w:t>
      </w:r>
      <w:r/>
    </w:p>
    <w:p>
      <w:pPr>
        <w:pStyle w:val="964"/>
        <w:spacing w:line="360" w:lineRule="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 xml:space="preserve">第五章  拟签订的合同文本</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pStyle w:val="976"/>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right="0"/>
        <w:jc w:val="left"/>
        <w:keepLines w:val="0"/>
        <w:keepNext w:val="0"/>
        <w:pageBreakBefore w:val="0"/>
        <w:spacing w:before="0" w:beforeAutospacing="0" w:after="0" w:afterAutospacing="0" w:line="460" w:lineRule="exact"/>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lang w:eastAsia="zh-CN"/>
        </w:rPr>
        <w:t xml:space="preserve">2026年丰县玉米绿色高产高效行动县创建</w:t>
      </w:r>
      <w:r>
        <w:rPr>
          <w:rFonts w:hint="eastAsia" w:ascii="仿宋" w:hAnsi="仿宋" w:eastAsia="仿宋" w:cs="仿宋"/>
          <w:color w:val="000000"/>
          <w:sz w:val="28"/>
          <w:szCs w:val="28"/>
        </w:rPr>
        <w:t xml:space="preserve">项目</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sz w:val="32"/>
          <w:szCs w:val="32"/>
          <w:lang w:eastAsia="zh-CN"/>
        </w:rPr>
        <w:t xml:space="preserve">JSZC-320321-SDGS-G2026-0002</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pStyle w:val="778"/>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采购包：</w:t>
      </w:r>
      <w:r/>
    </w:p>
    <w:p>
      <w:pPr>
        <w:ind w:right="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pStyle w:val="7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60"/>
        <w:rPr>
          <w:rFonts w:hint="eastAsia"/>
          <w:highlight w:val="none"/>
        </w:rPr>
      </w:pPr>
      <w:r>
        <w:rPr>
          <w:rFonts w:hint="eastAsia"/>
          <w:highlight w:val="none"/>
        </w:rPr>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2983"/>
        <w:jc w:val="both"/>
        <w:keepLines w:val="0"/>
        <w:keepNext w:val="0"/>
        <w:pageBreakBefore w:val="0"/>
        <w:spacing w:before="0" w:beforeAutospacing="0" w:after="0" w:afterAutospacing="0" w:line="460" w:lineRule="exact"/>
        <w:rPr>
          <w:rFonts w:hint="eastAsia" w:ascii="仿宋" w:hAnsi="仿宋" w:eastAsia="仿宋" w:cs="仿宋"/>
          <w:color w:val="000000"/>
          <w:sz w:val="48"/>
          <w:szCs w:val="4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8"/>
          <w:szCs w:val="48"/>
          <w:highlight w:val="none"/>
        </w:rPr>
        <w:t xml:space="preserve">政府采购合同</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798"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  购  人：</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中标</w:t>
      </w:r>
      <w:r>
        <w:rPr>
          <w:rFonts w:hint="eastAsia" w:ascii="仿宋" w:hAnsi="仿宋" w:eastAsia="仿宋" w:cs="仿宋"/>
          <w:color w:val="000000"/>
          <w:sz w:val="28"/>
          <w:szCs w:val="28"/>
          <w:highlight w:val="none"/>
        </w:rPr>
        <w:t xml:space="preserve">供应商：</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合同签订日期： 年 月 日</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友情提醒：采购人与中标、成交供应商应当在中标、成交通知书发出之日起三十日内，按照采购文件确定的事项签订政府采购合同。</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241"/>
        <w:jc w:val="left"/>
        <w:keepLines w:val="0"/>
        <w:keepNext w:val="0"/>
        <w:pageBreakBefore w:val="0"/>
        <w:spacing w:line="360" w:lineRule="exact"/>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ind w:firstLine="241"/>
        <w:jc w:val="left"/>
        <w:keepLines w:val="0"/>
        <w:keepNext w:val="0"/>
        <w:pageBreakBefore w:val="0"/>
        <w:spacing w:line="360" w:lineRule="exact"/>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ind w:firstLine="241"/>
        <w:jc w:val="left"/>
        <w:keepLines w:val="0"/>
        <w:keepNext w:val="0"/>
        <w:pageBreakBefore w:val="0"/>
        <w:spacing w:line="360" w:lineRule="exact"/>
        <w:widowControl w:val="off"/>
        <w:rPr>
          <w:rFonts w:hint="default" w:ascii="宋体" w:hAnsi="宋体" w:eastAsia="宋体" w:cs="Times New Roman"/>
          <w:sz w:val="24"/>
          <w:szCs w:val="24"/>
          <w:highlight w:val="none"/>
          <w:u w:val="single"/>
          <w:lang w:val="en-US" w:eastAsia="zh-CN" w:bidi="ar-SA"/>
        </w:rPr>
      </w:pPr>
      <w:r>
        <w:rPr>
          <w:rFonts w:hint="default" w:ascii="宋体" w:hAnsi="宋体" w:eastAsia="宋体" w:cs="Times New Roman"/>
          <w:b/>
          <w:bCs/>
          <w:sz w:val="24"/>
          <w:szCs w:val="24"/>
          <w:highlight w:val="none"/>
          <w:lang w:val="en-US" w:eastAsia="zh-CN" w:bidi="ar-SA"/>
        </w:rPr>
        <w:t xml:space="preserve">甲方：</w:t>
      </w:r>
      <w:r>
        <w:rPr>
          <w:rFonts w:hint="default"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bCs/>
          <w:sz w:val="24"/>
          <w:szCs w:val="24"/>
          <w:highlight w:val="none"/>
          <w:u w:val="single"/>
          <w:lang w:val="en-US" w:eastAsia="zh-CN" w:bidi="ar-SA"/>
        </w:rPr>
        <w:t xml:space="preserve">   </w:t>
      </w:r>
      <w:r>
        <w:rPr>
          <w:rFonts w:hint="default" w:ascii="仿宋" w:hAnsi="仿宋" w:eastAsia="仿宋" w:cs="仿宋"/>
          <w:color w:val="000000"/>
          <w:sz w:val="28"/>
          <w:szCs w:val="28"/>
          <w:u w:val="single"/>
          <w:lang w:val="en-US" w:eastAsia="zh-CN"/>
        </w:rPr>
        <w:t xml:space="preserve">丰县农业农村局</w:t>
      </w:r>
      <w:r>
        <w:rPr>
          <w:rFonts w:hint="eastAsia" w:ascii="仿宋" w:hAnsi="仿宋" w:eastAsia="仿宋" w:cs="仿宋"/>
          <w:color w:val="000000"/>
          <w:sz w:val="28"/>
          <w:szCs w:val="28"/>
          <w:u w:val="single"/>
          <w:lang w:val="en-US" w:eastAsia="zh-CN"/>
        </w:rPr>
        <w:t xml:space="preserve"> </w:t>
      </w:r>
      <w:r>
        <w:rPr>
          <w:rFonts w:hint="eastAsia" w:ascii="宋体" w:hAnsi="宋体" w:eastAsia="宋体" w:cs="Times New Roman"/>
          <w:sz w:val="24"/>
          <w:szCs w:val="24"/>
          <w:highlight w:val="none"/>
          <w:u w:val="single"/>
          <w:lang w:val="en-US" w:eastAsia="zh-CN" w:bidi="ar-SA"/>
        </w:rPr>
        <w:t xml:space="preserve">         </w:t>
      </w:r>
      <w:r/>
    </w:p>
    <w:p>
      <w:pPr>
        <w:numPr>
          <w:ilvl w:val="0"/>
          <w:numId w:val="0"/>
        </w:numPr>
        <w:ind w:firstLine="200"/>
        <w:jc w:val="left"/>
        <w:keepLines w:val="0"/>
        <w:keepNext w:val="0"/>
        <w:pageBreakBefore w:val="0"/>
        <w:spacing w:before="313" w:after="313" w:line="360" w:lineRule="exact"/>
        <w:widowControl w:val="off"/>
        <w:rPr>
          <w:rFonts w:hint="default" w:ascii="宋体" w:hAnsi="宋体" w:eastAsia="宋体" w:cs="Times New Roman"/>
          <w:b/>
          <w:bCs/>
          <w:sz w:val="24"/>
          <w:szCs w:val="24"/>
          <w:highlight w:val="none"/>
          <w:u w:val="single"/>
          <w:lang w:val="en-US" w:eastAsia="zh-CN" w:bidi="ar-SA"/>
        </w:rPr>
      </w:pPr>
      <w:r>
        <w:rPr>
          <w:rFonts w:hint="default" w:ascii="宋体" w:hAnsi="宋体" w:eastAsia="宋体" w:cs="Times New Roman"/>
          <w:b/>
          <w:bCs/>
          <w:sz w:val="24"/>
          <w:szCs w:val="24"/>
          <w:highlight w:val="none"/>
          <w:lang w:val="en-US" w:eastAsia="zh-CN" w:bidi="ar-SA"/>
        </w:rPr>
        <w:t xml:space="preserve">乙方：</w:t>
      </w:r>
      <w:r>
        <w:rPr>
          <w:rFonts w:hint="default"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val="0"/>
          <w:bCs w:val="0"/>
          <w:sz w:val="24"/>
          <w:szCs w:val="24"/>
          <w:highlight w:val="none"/>
          <w:u w:val="single"/>
          <w:lang w:val="en-US" w:eastAsia="zh-CN" w:bidi="ar-SA"/>
        </w:rPr>
        <w:t xml:space="preserve">  </w:t>
      </w:r>
      <w:r>
        <w:rPr>
          <w:rFonts w:hint="eastAsia" w:ascii="宋体" w:hAnsi="宋体" w:cs="Times New Roman"/>
          <w:b w:val="0"/>
          <w:bCs w:val="0"/>
          <w:sz w:val="24"/>
          <w:szCs w:val="24"/>
          <w:highlight w:val="none"/>
          <w:u w:val="single"/>
          <w:lang w:val="en-US" w:eastAsia="zh-CN" w:bidi="ar-SA"/>
        </w:rPr>
        <w:t xml:space="preserve">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bCs/>
          <w:sz w:val="24"/>
          <w:szCs w:val="24"/>
          <w:highlight w:val="none"/>
          <w:lang w:val="en-US" w:eastAsia="zh-CN" w:bidi="ar-SA"/>
        </w:rPr>
        <w:t xml:space="preserve">  </w:t>
      </w:r>
      <w:r>
        <w:rPr>
          <w:rFonts w:hint="default" w:ascii="宋体" w:hAnsi="宋体" w:eastAsia="宋体" w:cs="Times New Roman"/>
          <w:color w:val="000000"/>
          <w:sz w:val="24"/>
          <w:lang w:val="en-US" w:eastAsia="zh-CN" w:bidi="ar-SA"/>
        </w:rPr>
        <w:t xml:space="preserve"> </w:t>
      </w:r>
      <w:bookmarkStart w:id="0" w:name="_Hlk63008672"/>
      <w:r/>
      <w:bookmarkStart w:id="1" w:name="_Hlk63008690"/>
      <w:r>
        <w:rPr>
          <w:rFonts w:hint="eastAsia" w:ascii="宋体" w:hAnsi="宋体" w:cs="Times New Roman"/>
          <w:color w:val="000000"/>
          <w:sz w:val="24"/>
          <w:lang w:val="en-US" w:eastAsia="zh-CN" w:bidi="ar-SA"/>
        </w:rPr>
        <w:t xml:space="preserve"> </w:t>
      </w:r>
      <w:r>
        <w:rPr>
          <w:rFonts w:hint="default" w:ascii="仿宋" w:hAnsi="仿宋" w:eastAsia="仿宋" w:cs="仿宋"/>
          <w:color w:val="000000"/>
          <w:sz w:val="28"/>
          <w:szCs w:val="28"/>
          <w:lang w:val="en-US" w:eastAsia="zh-CN"/>
        </w:rPr>
        <w:t xml:space="preserve">根据《中华人民共和国政府采购法》及其实施条例、《中华人民共和国民法典》</w:t>
      </w:r>
      <w:bookmarkEnd w:id="0"/>
      <w:r>
        <w:rPr>
          <w:rFonts w:hint="default" w:ascii="仿宋" w:hAnsi="仿宋" w:eastAsia="仿宋" w:cs="仿宋"/>
          <w:color w:val="000000"/>
          <w:sz w:val="28"/>
          <w:szCs w:val="28"/>
          <w:lang w:val="en-US" w:eastAsia="zh-CN"/>
        </w:rPr>
        <w:t xml:space="preserve">等法律法规的规定</w:t>
      </w:r>
      <w:bookmarkEnd w:id="1"/>
      <w:r>
        <w:rPr>
          <w:rFonts w:hint="default" w:ascii="仿宋" w:hAnsi="仿宋" w:eastAsia="仿宋" w:cs="仿宋"/>
          <w:color w:val="000000"/>
          <w:sz w:val="28"/>
          <w:szCs w:val="28"/>
          <w:lang w:val="en-US" w:eastAsia="zh-CN"/>
        </w:rPr>
        <w:t xml:space="preserve">，甲乙双方按照</w:t>
      </w:r>
      <w:r>
        <w:rPr>
          <w:rFonts w:hint="eastAsia" w:ascii="仿宋" w:hAnsi="仿宋" w:eastAsia="仿宋" w:cs="仿宋"/>
          <w:color w:val="000000"/>
          <w:sz w:val="28"/>
          <w:szCs w:val="28"/>
          <w:lang w:eastAsia="zh-CN"/>
        </w:rPr>
        <w:t xml:space="preserve">2026年丰县玉米绿色高产高效行动县创建</w:t>
      </w:r>
      <w:r>
        <w:rPr>
          <w:rFonts w:hint="eastAsia" w:ascii="仿宋" w:hAnsi="仿宋" w:eastAsia="仿宋" w:cs="仿宋"/>
          <w:color w:val="000000"/>
          <w:sz w:val="28"/>
          <w:szCs w:val="28"/>
          <w:lang w:val="en-US" w:eastAsia="zh-CN"/>
        </w:rPr>
        <w:t xml:space="preserve">项目（采购包1）</w:t>
      </w:r>
      <w:r>
        <w:rPr>
          <w:rFonts w:hint="default" w:ascii="仿宋" w:hAnsi="仿宋" w:eastAsia="仿宋" w:cs="仿宋"/>
          <w:color w:val="000000"/>
          <w:sz w:val="28"/>
          <w:szCs w:val="28"/>
          <w:lang w:val="en-US" w:eastAsia="zh-CN"/>
        </w:rPr>
        <w:t xml:space="preserve">（项目编号：</w:t>
      </w:r>
      <w:r>
        <w:rPr>
          <w:rFonts w:hint="eastAsia" w:ascii="仿宋" w:hAnsi="仿宋" w:eastAsia="仿宋" w:cs="仿宋"/>
          <w:color w:val="000000"/>
          <w:sz w:val="28"/>
          <w:szCs w:val="28"/>
          <w:lang w:val="en-US" w:eastAsia="zh-CN"/>
        </w:rPr>
        <w:t xml:space="preserve">JSZC-320321-SDGS-G2026-0002 </w:t>
      </w:r>
      <w:r>
        <w:rPr>
          <w:rFonts w:hint="default" w:ascii="仿宋" w:hAnsi="仿宋" w:eastAsia="仿宋" w:cs="仿宋"/>
          <w:color w:val="000000"/>
          <w:sz w:val="28"/>
          <w:szCs w:val="28"/>
          <w:lang w:val="en-US" w:eastAsia="zh-CN"/>
        </w:rPr>
        <w:t xml:space="preserve">）项目采购结果签订本合同。</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一、</w:t>
      </w:r>
      <w:r>
        <w:rPr>
          <w:rFonts w:hint="default" w:ascii="仿宋" w:hAnsi="仿宋" w:eastAsia="仿宋" w:cs="仿宋"/>
          <w:b/>
          <w:bCs/>
          <w:color w:val="000000"/>
          <w:sz w:val="28"/>
          <w:szCs w:val="28"/>
          <w:lang w:val="en-US" w:eastAsia="zh-CN"/>
        </w:rPr>
        <w:t xml:space="preserve">合同标的及总价：</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合同标的指货物（服务）名称、商标、规格型号、数量；合同总价款是货物设计、制造、包装、仓储、运输、装卸搬运、发放到户、检验检测、验收及审计等所有含税费用。本合同总价款还包含乙方应当提供的伴随服务/售后服务费用。</w:t>
      </w:r>
      <w:r/>
    </w:p>
    <w:tbl>
      <w:tblPr>
        <w:tblStyle w:val="747"/>
        <w:tblW w:w="9743" w:type="dxa"/>
        <w:tblInd w:w="-216" w:type="dxa"/>
        <w:tblLayout w:type="fixed"/>
        <w:tblCellMar>
          <w:left w:w="108" w:type="dxa"/>
          <w:top w:w="0" w:type="dxa"/>
          <w:right w:w="108" w:type="dxa"/>
          <w:bottom w:w="0" w:type="dxa"/>
        </w:tblCellMar>
        <w:tblLook w:val="04A0" w:firstRow="1" w:lastRow="0" w:firstColumn="1" w:lastColumn="0" w:noHBand="0" w:noVBand="1"/>
      </w:tblPr>
      <w:tblGrid>
        <w:gridCol w:w="833"/>
        <w:gridCol w:w="1095"/>
        <w:gridCol w:w="1365"/>
        <w:gridCol w:w="1275"/>
        <w:gridCol w:w="105"/>
        <w:gridCol w:w="810"/>
        <w:gridCol w:w="885"/>
        <w:gridCol w:w="1140"/>
        <w:gridCol w:w="1455"/>
        <w:gridCol w:w="780"/>
      </w:tblGrid>
      <w:tr>
        <w:trPr>
          <w:trHeight w:val="645"/>
        </w:trPr>
        <w:tc>
          <w:tcPr>
            <w:shd w:val="clear" w:color="auto" w:fill="dce6f2"/>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序号</w:t>
            </w:r>
            <w:r/>
          </w:p>
        </w:tc>
        <w:tc>
          <w:tcPr>
            <w:shd w:val="clear" w:color="auto" w:fill="dce6f2"/>
            <w:tcBorders>
              <w:top w:val="single" w:color="000000" w:sz="4" w:space="0"/>
              <w:left w:val="none" w:color="000000" w:sz="4" w:space="0"/>
              <w:bottom w:val="single" w:color="000000" w:sz="4" w:space="0"/>
              <w:right w:val="single" w:color="000000" w:sz="4" w:space="0"/>
            </w:tcBorders>
            <w:tcW w:w="1095"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采购包</w:t>
            </w:r>
            <w:r/>
          </w:p>
        </w:tc>
        <w:tc>
          <w:tcPr>
            <w:shd w:val="clear" w:color="auto" w:fill="dce6f2"/>
            <w:tcBorders>
              <w:top w:val="single" w:color="000000" w:sz="4" w:space="0"/>
              <w:left w:val="none" w:color="000000" w:sz="4" w:space="0"/>
              <w:bottom w:val="single" w:color="000000" w:sz="4" w:space="0"/>
              <w:right w:val="single" w:color="000000" w:sz="4" w:space="0"/>
            </w:tcBorders>
            <w:tcW w:w="1365"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货物</w:t>
            </w:r>
            <w:r>
              <w:rPr>
                <w:rFonts w:hint="default" w:ascii="仿宋" w:hAnsi="仿宋" w:eastAsia="仿宋" w:cs="仿宋"/>
                <w:color w:val="000000"/>
                <w:sz w:val="28"/>
                <w:szCs w:val="28"/>
                <w:lang w:val="en-US" w:eastAsia="zh-CN"/>
              </w:rPr>
              <w:t xml:space="preserve">名称</w:t>
            </w:r>
            <w:r/>
          </w:p>
        </w:tc>
        <w:tc>
          <w:tcPr>
            <w:gridSpan w:val="2"/>
            <w:shd w:val="clear" w:color="auto" w:fill="dce6f2"/>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规格型号</w:t>
            </w:r>
            <w:r/>
          </w:p>
        </w:tc>
        <w:tc>
          <w:tcPr>
            <w:shd w:val="clear" w:color="auto" w:fill="dce6f2"/>
            <w:tcBorders>
              <w:top w:val="single" w:color="000000" w:sz="4" w:space="0"/>
              <w:left w:val="none" w:color="000000" w:sz="4" w:space="0"/>
              <w:bottom w:val="single" w:color="000000" w:sz="4" w:space="0"/>
              <w:right w:val="single" w:color="000000" w:sz="4" w:space="0"/>
            </w:tcBorders>
            <w:tcW w:w="810"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单位</w:t>
            </w:r>
            <w:r/>
          </w:p>
        </w:tc>
        <w:tc>
          <w:tcPr>
            <w:shd w:val="clear" w:color="auto" w:fill="dce6f2"/>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数量</w:t>
            </w:r>
            <w:r/>
          </w:p>
        </w:tc>
        <w:tc>
          <w:tcPr>
            <w:shd w:val="clear" w:color="auto" w:fill="dce6f2"/>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单价</w:t>
            </w:r>
            <w:r>
              <w:rPr>
                <w:rFonts w:hint="eastAsia" w:ascii="仿宋" w:hAnsi="仿宋" w:eastAsia="仿宋" w:cs="仿宋"/>
                <w:color w:val="000000"/>
                <w:sz w:val="28"/>
                <w:szCs w:val="28"/>
                <w:lang w:val="en-US" w:eastAsia="zh-CN"/>
              </w:rPr>
              <w:t xml:space="preserve">（元）</w:t>
            </w:r>
            <w:r/>
          </w:p>
        </w:tc>
        <w:tc>
          <w:tcPr>
            <w:shd w:val="clear" w:color="auto" w:fill="dce6f2"/>
            <w:tcBorders>
              <w:top w:val="single" w:color="000000" w:sz="4" w:space="0"/>
              <w:left w:val="none" w:color="000000" w:sz="4" w:space="0"/>
              <w:bottom w:val="single" w:color="000000" w:sz="4" w:space="0"/>
              <w:right w:val="single" w:color="000000" w:sz="4" w:space="0"/>
            </w:tcBorders>
            <w:tcW w:w="1455"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采购金额</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（万元）</w:t>
            </w:r>
            <w:r/>
          </w:p>
        </w:tc>
        <w:tc>
          <w:tcPr>
            <w:shd w:val="clear" w:color="auto" w:fill="dce6f2"/>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备注</w:t>
            </w:r>
            <w:r/>
          </w:p>
        </w:tc>
      </w:tr>
      <w:tr>
        <w:trPr>
          <w:trHeight w:val="645"/>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1</w:t>
            </w:r>
            <w:r/>
          </w:p>
        </w:tc>
        <w:tc>
          <w:tcPr>
            <w:shd w:val="clear" w:color="000000" w:fill="ffffff"/>
            <w:tcBorders>
              <w:top w:val="singl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lang w:val="en-US"/>
              </w:rPr>
              <w:suppressLineNumbers w:val="0"/>
            </w:pPr>
            <w:r>
              <w:rPr>
                <w:rFonts w:hint="eastAsia" w:ascii="仿宋" w:hAnsi="仿宋" w:eastAsia="仿宋" w:cs="仿宋"/>
                <w:i w:val="0"/>
                <w:color w:val="auto"/>
                <w:sz w:val="24"/>
                <w:szCs w:val="24"/>
                <w:highlight w:val="none"/>
                <w:u w:val="none"/>
                <w:lang w:val="en-US"/>
              </w:rPr>
            </w:r>
            <w:r/>
          </w:p>
        </w:tc>
        <w:tc>
          <w:tcPr>
            <w:shd w:val="clear" w:color="000000" w:fill="ffffff"/>
            <w:tcBorders>
              <w:top w:val="single" w:color="000000" w:sz="4" w:space="0"/>
              <w:left w:val="non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i w:val="0"/>
                <w:color w:val="auto"/>
                <w:sz w:val="24"/>
                <w:szCs w:val="24"/>
                <w:highlight w:val="none"/>
                <w:u w:val="none"/>
                <w:lang w:val="en-US" w:eastAsia="zh-CN" w:bidi="ar"/>
              </w:rPr>
              <w:t xml:space="preserve"> </w:t>
            </w:r>
            <w:r/>
          </w:p>
        </w:tc>
        <w:tc>
          <w:tcPr>
            <w:shd w:val="clear" w:color="000000" w:fill="ffffff"/>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145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645"/>
        </w:trPr>
        <w:tc>
          <w:tcPr>
            <w:gridSpan w:val="10"/>
            <w:tcBorders>
              <w:top w:val="single" w:color="000000" w:sz="4" w:space="0"/>
              <w:left w:val="single" w:color="000000" w:sz="4" w:space="0"/>
              <w:bottom w:val="single" w:color="000000" w:sz="4" w:space="0"/>
              <w:right w:val="single" w:color="000000" w:sz="4" w:space="0"/>
            </w:tcBorders>
            <w:tcW w:w="9743" w:type="dxa"/>
            <w:vAlign w:val="center"/>
            <w:textDirection w:val="lrTb"/>
            <w:noWrap w:val="false"/>
          </w:tcPr>
          <w:p>
            <w:pPr>
              <w:jc w:val="left"/>
              <w:widowControl/>
              <w:rPr>
                <w:rFonts w:hint="default" w:ascii="宋体" w:hAnsi="宋体" w:eastAsia="宋体" w:cs="Times New Roman"/>
                <w:sz w:val="24"/>
                <w:szCs w:val="24"/>
                <w:highlight w:val="none"/>
                <w:u w:val="single"/>
                <w:lang w:val="en-US" w:eastAsia="zh-CN" w:bidi="ar-SA"/>
              </w:rPr>
            </w:pPr>
            <w:r>
              <w:rPr>
                <w:rFonts w:hint="default" w:ascii="宋体" w:hAnsi="宋体" w:eastAsia="宋体" w:cs="Times New Roman"/>
                <w:b/>
                <w:bCs/>
                <w:i w:val="0"/>
                <w:iCs w:val="0"/>
                <w:color w:val="000000"/>
                <w:sz w:val="24"/>
                <w:szCs w:val="24"/>
                <w:highlight w:val="none"/>
                <w:u w:val="none"/>
                <w:lang w:val="en-US" w:eastAsia="zh-CN" w:bidi="en-US"/>
              </w:rPr>
              <w:t xml:space="preserve">合计人民币金额：大写</w:t>
            </w:r>
            <w:r>
              <w:rPr>
                <w:rFonts w:hint="default" w:ascii="宋体" w:hAnsi="宋体" w:eastAsia="宋体" w:cs="Times New Roman"/>
                <w:b/>
                <w:bCs/>
                <w:i w:val="0"/>
                <w:iCs w:val="0"/>
                <w:color w:val="000000"/>
                <w:sz w:val="24"/>
                <w:szCs w:val="24"/>
                <w:highlight w:val="none"/>
                <w:u w:val="single"/>
                <w:lang w:val="en-US" w:eastAsia="zh-CN" w:bidi="en-US"/>
              </w:rPr>
              <w:t xml:space="preserve">   </w:t>
            </w:r>
            <w:r>
              <w:rPr>
                <w:rFonts w:hint="eastAsia" w:ascii="宋体" w:hAnsi="宋体" w:eastAsia="宋体" w:cs="Times New Roman"/>
                <w:b/>
                <w:bCs/>
                <w:i w:val="0"/>
                <w:iCs w:val="0"/>
                <w:color w:val="000000"/>
                <w:sz w:val="24"/>
                <w:szCs w:val="24"/>
                <w:highlight w:val="none"/>
                <w:u w:val="single"/>
                <w:lang w:val="en-US" w:eastAsia="zh-CN" w:bidi="en-US"/>
              </w:rPr>
              <w:t xml:space="preserve">     </w:t>
            </w:r>
            <w:r>
              <w:rPr>
                <w:rFonts w:hint="default" w:ascii="宋体" w:hAnsi="宋体" w:eastAsia="宋体" w:cs="Times New Roman"/>
                <w:b/>
                <w:bCs/>
                <w:i w:val="0"/>
                <w:iCs w:val="0"/>
                <w:color w:val="000000"/>
                <w:sz w:val="24"/>
                <w:szCs w:val="24"/>
                <w:highlight w:val="none"/>
                <w:u w:val="single"/>
                <w:lang w:val="en-US" w:eastAsia="zh-CN" w:bidi="en-US"/>
              </w:rPr>
              <w:t xml:space="preserve">  </w:t>
            </w:r>
            <w:r>
              <w:rPr>
                <w:rFonts w:hint="default" w:ascii="宋体" w:hAnsi="宋体" w:eastAsia="宋体" w:cs="Times New Roman"/>
                <w:b/>
                <w:bCs/>
                <w:i w:val="0"/>
                <w:iCs w:val="0"/>
                <w:color w:val="000000"/>
                <w:sz w:val="24"/>
                <w:szCs w:val="24"/>
                <w:highlight w:val="none"/>
                <w:u w:val="none"/>
                <w:lang w:val="en-US" w:eastAsia="zh-CN" w:bidi="en-US"/>
              </w:rPr>
              <w:t xml:space="preserve">小写：</w:t>
            </w:r>
            <w:r>
              <w:rPr>
                <w:rFonts w:hint="eastAsia" w:ascii="宋体" w:hAnsi="宋体" w:eastAsia="宋体" w:cs="Times New Roman"/>
                <w:b/>
                <w:bCs/>
                <w:i w:val="0"/>
                <w:iCs w:val="0"/>
                <w:color w:val="000000"/>
                <w:sz w:val="24"/>
                <w:szCs w:val="24"/>
                <w:highlight w:val="none"/>
                <w:u w:val="single"/>
                <w:lang w:val="en-US" w:eastAsia="zh-CN" w:bidi="en-US"/>
              </w:rPr>
              <w:t xml:space="preserve">      元</w:t>
            </w:r>
            <w:r>
              <w:rPr>
                <w:rFonts w:hint="default" w:ascii="宋体" w:hAnsi="宋体" w:eastAsia="宋体" w:cs="Times New Roman"/>
                <w:b/>
                <w:bCs/>
                <w:i w:val="0"/>
                <w:iCs w:val="0"/>
                <w:color w:val="000000"/>
                <w:sz w:val="24"/>
                <w:szCs w:val="24"/>
                <w:highlight w:val="none"/>
                <w:u w:val="single"/>
                <w:lang w:val="en-US" w:eastAsia="zh-CN" w:bidi="en-US"/>
              </w:rPr>
              <w:t xml:space="preserve">  </w:t>
            </w:r>
            <w:r/>
          </w:p>
        </w:tc>
      </w:tr>
    </w:tbl>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二、</w:t>
      </w:r>
      <w:r>
        <w:rPr>
          <w:rFonts w:hint="default" w:ascii="仿宋" w:hAnsi="仿宋" w:eastAsia="仿宋" w:cs="仿宋"/>
          <w:b/>
          <w:bCs/>
          <w:color w:val="000000"/>
          <w:sz w:val="28"/>
          <w:szCs w:val="28"/>
          <w:lang w:val="en-US" w:eastAsia="zh-CN"/>
        </w:rPr>
        <w:t xml:space="preserve">质量保证</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1、乙方所提供的货物，若技术性能无特殊说明，则按国家最新标准</w:t>
      </w:r>
      <w:r>
        <w:rPr>
          <w:rFonts w:hint="eastAsia" w:ascii="仿宋" w:hAnsi="仿宋" w:eastAsia="仿宋" w:cs="仿宋"/>
          <w:color w:val="000000"/>
          <w:sz w:val="28"/>
          <w:szCs w:val="28"/>
          <w:lang w:val="en-US" w:eastAsia="zh-CN"/>
        </w:rPr>
        <w:t xml:space="preserve">执行</w:t>
      </w:r>
      <w:r>
        <w:rPr>
          <w:rFonts w:hint="default" w:ascii="仿宋" w:hAnsi="仿宋" w:eastAsia="仿宋" w:cs="仿宋"/>
          <w:color w:val="000000"/>
          <w:sz w:val="28"/>
          <w:szCs w:val="28"/>
          <w:lang w:val="en-US" w:eastAsia="zh-CN"/>
        </w:rPr>
        <w:t xml:space="preserve">。</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2、乙方货物</w:t>
      </w:r>
      <w:r>
        <w:rPr>
          <w:rFonts w:hint="eastAsia" w:ascii="仿宋" w:hAnsi="仿宋" w:eastAsia="仿宋" w:cs="仿宋"/>
          <w:color w:val="000000"/>
          <w:sz w:val="28"/>
          <w:szCs w:val="28"/>
          <w:lang w:val="en-US" w:eastAsia="zh-CN"/>
        </w:rPr>
        <w:t xml:space="preserve">为2026年1月1日后生产的</w:t>
      </w:r>
      <w:r>
        <w:rPr>
          <w:rFonts w:hint="default" w:ascii="仿宋" w:hAnsi="仿宋" w:eastAsia="仿宋" w:cs="仿宋"/>
          <w:color w:val="000000"/>
          <w:sz w:val="28"/>
          <w:szCs w:val="28"/>
          <w:lang w:val="en-US" w:eastAsia="zh-CN"/>
        </w:rPr>
        <w:t xml:space="preserve">全新的、未使用过得原装合格证品，并完全符合国家规定质量</w:t>
      </w:r>
      <w:r>
        <w:rPr>
          <w:rFonts w:hint="eastAsia" w:ascii="仿宋" w:hAnsi="仿宋" w:eastAsia="仿宋" w:cs="仿宋"/>
          <w:color w:val="000000"/>
          <w:sz w:val="28"/>
          <w:szCs w:val="28"/>
          <w:lang w:val="en-US" w:eastAsia="zh-CN"/>
        </w:rPr>
        <w:t xml:space="preserve">标准</w:t>
      </w:r>
      <w:r>
        <w:rPr>
          <w:rFonts w:hint="default" w:ascii="仿宋" w:hAnsi="仿宋" w:eastAsia="仿宋" w:cs="仿宋"/>
          <w:color w:val="000000"/>
          <w:sz w:val="28"/>
          <w:szCs w:val="28"/>
          <w:lang w:val="en-US" w:eastAsia="zh-CN"/>
        </w:rPr>
        <w:t xml:space="preserve">。</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w:t>
      </w:r>
      <w:r>
        <w:rPr>
          <w:rFonts w:hint="default" w:ascii="仿宋" w:hAnsi="仿宋" w:eastAsia="仿宋" w:cs="仿宋"/>
          <w:color w:val="000000"/>
          <w:sz w:val="28"/>
          <w:szCs w:val="28"/>
          <w:lang w:val="en-US" w:eastAsia="zh-CN"/>
        </w:rPr>
        <w:t xml:space="preserve">货物验收后，在质量保质期内，乙方对</w:t>
      </w:r>
      <w:r>
        <w:rPr>
          <w:rFonts w:hint="eastAsia" w:ascii="仿宋" w:hAnsi="仿宋" w:eastAsia="仿宋" w:cs="仿宋"/>
          <w:color w:val="000000"/>
          <w:sz w:val="28"/>
          <w:szCs w:val="28"/>
          <w:lang w:val="en-US" w:eastAsia="zh-CN"/>
        </w:rPr>
        <w:t xml:space="preserve">货物质量</w:t>
      </w:r>
      <w:r>
        <w:rPr>
          <w:rFonts w:hint="default" w:ascii="仿宋" w:hAnsi="仿宋" w:eastAsia="仿宋" w:cs="仿宋"/>
          <w:color w:val="000000"/>
          <w:sz w:val="28"/>
          <w:szCs w:val="28"/>
          <w:lang w:val="en-US" w:eastAsia="zh-CN"/>
        </w:rPr>
        <w:t xml:space="preserve">负责，所需费用由乙方承担。</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三、</w:t>
      </w:r>
      <w:r>
        <w:rPr>
          <w:rFonts w:hint="default" w:ascii="仿宋" w:hAnsi="仿宋" w:eastAsia="仿宋" w:cs="仿宋"/>
          <w:b/>
          <w:bCs/>
          <w:color w:val="000000"/>
          <w:sz w:val="28"/>
          <w:szCs w:val="28"/>
          <w:lang w:val="en-US" w:eastAsia="zh-CN"/>
        </w:rPr>
        <w:t xml:space="preserve">交货和验收</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1、乙方应按照本合同规定的时间、地点和方式向甲方交付货物。</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交货时间：</w:t>
      </w:r>
      <w:r>
        <w:rPr>
          <w:rFonts w:hint="eastAsia" w:ascii="仿宋" w:hAnsi="仿宋" w:eastAsia="仿宋" w:cs="仿宋"/>
          <w:color w:val="000000"/>
          <w:sz w:val="28"/>
          <w:szCs w:val="28"/>
          <w:lang w:val="en-US" w:eastAsia="zh-CN"/>
        </w:rPr>
        <w:t xml:space="preserve">接到采购人供货通知后，乙方需在10日内将产品送到指定地点。</w:t>
      </w:r>
      <w:r/>
    </w:p>
    <w:p>
      <w:pPr>
        <w:ind w:right="0" w:firstLine="0"/>
        <w:jc w:val="left"/>
        <w:keepLines w:val="0"/>
        <w:keepNext w:val="0"/>
        <w:pageBreakBefore w:val="0"/>
        <w:spacing w:before="0" w:beforeAutospacing="0" w:after="0" w:afterAutospacing="0" w:line="460" w:lineRule="exact"/>
        <w:widowControl w:val="off"/>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交货地点：</w:t>
      </w:r>
      <w:r>
        <w:rPr>
          <w:rFonts w:hint="eastAsia" w:ascii="仿宋" w:hAnsi="仿宋" w:eastAsia="仿宋" w:cs="仿宋"/>
          <w:color w:val="000000"/>
          <w:sz w:val="28"/>
          <w:szCs w:val="28"/>
          <w:lang w:val="en-US" w:eastAsia="zh-CN"/>
        </w:rPr>
        <w:t xml:space="preserve">丰县涉建镇 </w:t>
      </w:r>
      <w:r>
        <w:rPr>
          <w:rFonts w:hint="default" w:ascii="仿宋" w:hAnsi="仿宋" w:eastAsia="仿宋" w:cs="仿宋"/>
          <w:color w:val="000000"/>
          <w:sz w:val="28"/>
          <w:szCs w:val="28"/>
          <w:lang w:val="en-US" w:eastAsia="zh-CN"/>
        </w:rPr>
        <w:t xml:space="preserve"> 联系人：</w:t>
      </w:r>
      <w:r>
        <w:rPr>
          <w:rFonts w:hint="eastAsia" w:ascii="仿宋" w:hAnsi="仿宋" w:eastAsia="仿宋" w:cs="仿宋"/>
          <w:color w:val="000000"/>
          <w:sz w:val="28"/>
          <w:szCs w:val="28"/>
          <w:lang w:val="en-US" w:eastAsia="zh-CN"/>
        </w:rPr>
        <w:t xml:space="preserve">王全领  </w:t>
      </w:r>
      <w:r>
        <w:rPr>
          <w:rFonts w:hint="default" w:ascii="仿宋" w:hAnsi="仿宋" w:eastAsia="仿宋" w:cs="仿宋"/>
          <w:color w:val="000000"/>
          <w:sz w:val="28"/>
          <w:szCs w:val="28"/>
          <w:lang w:val="en-US" w:eastAsia="zh-CN"/>
        </w:rPr>
        <w:t xml:space="preserve">电</w:t>
      </w:r>
      <w:r>
        <w:rPr>
          <w:rFonts w:hint="eastAsia" w:ascii="仿宋" w:hAnsi="仿宋" w:eastAsia="仿宋" w:cs="仿宋"/>
          <w:color w:val="000000"/>
          <w:sz w:val="28"/>
          <w:szCs w:val="28"/>
          <w:lang w:val="en-US" w:eastAsia="zh-CN"/>
        </w:rPr>
        <w:t xml:space="preserve">话：</w:t>
      </w:r>
      <w:r>
        <w:rPr>
          <w:rFonts w:hint="default" w:ascii="仿宋" w:hAnsi="仿宋" w:eastAsia="仿宋" w:cs="仿宋"/>
          <w:color w:val="000000"/>
          <w:sz w:val="28"/>
          <w:szCs w:val="28"/>
          <w:lang w:val="en-US" w:eastAsia="zh-CN"/>
        </w:rPr>
        <w:t xml:space="preserve">13921777299 。</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2、乙方交付的货物应当完全符合本合同所规定的货物、数量和规格</w:t>
      </w:r>
      <w:r>
        <w:rPr>
          <w:rFonts w:hint="eastAsia" w:ascii="仿宋" w:hAnsi="仿宋" w:eastAsia="仿宋" w:cs="仿宋"/>
          <w:color w:val="000000"/>
          <w:sz w:val="28"/>
          <w:szCs w:val="28"/>
          <w:lang w:val="en-US" w:eastAsia="zh-CN"/>
        </w:rPr>
        <w:t xml:space="preserve">，</w:t>
      </w:r>
      <w:r>
        <w:rPr>
          <w:rFonts w:hint="default" w:ascii="仿宋" w:hAnsi="仿宋" w:eastAsia="仿宋" w:cs="仿宋"/>
          <w:color w:val="000000"/>
          <w:sz w:val="28"/>
          <w:szCs w:val="28"/>
          <w:lang w:val="en-US" w:eastAsia="zh-CN"/>
        </w:rPr>
        <w:t xml:space="preserve">要求乙方提供的货物不符合合同规定的，甲方有权拒收货物，由此引起的风险，由乙方承担。</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w:t>
      </w:r>
      <w:r>
        <w:rPr>
          <w:rFonts w:hint="default" w:ascii="仿宋" w:hAnsi="仿宋" w:eastAsia="仿宋" w:cs="仿宋"/>
          <w:color w:val="000000"/>
          <w:sz w:val="28"/>
          <w:szCs w:val="28"/>
          <w:lang w:val="en-US" w:eastAsia="zh-CN"/>
        </w:rPr>
        <w:t xml:space="preserve">甲方应当在到货后三日内对货物进行验收，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right="0"/>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四、</w:t>
      </w:r>
      <w:r>
        <w:rPr>
          <w:rFonts w:hint="default" w:ascii="仿宋" w:hAnsi="仿宋" w:eastAsia="仿宋" w:cs="仿宋"/>
          <w:b/>
          <w:bCs/>
          <w:color w:val="000000"/>
          <w:sz w:val="28"/>
          <w:szCs w:val="28"/>
          <w:lang w:val="en-US" w:eastAsia="zh-CN"/>
        </w:rPr>
        <w:t xml:space="preserve">伴随服务/售后服务</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1、乙方按照国家有关法律法规规章和“三包”规定以及合同所附的“服务承诺”提供服务。</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2、以上报价含到户发放、宣传培训、验收、检验检测、审计等费用。</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w:t>
      </w:r>
      <w:r>
        <w:rPr>
          <w:rFonts w:hint="default" w:ascii="仿宋" w:hAnsi="仿宋" w:eastAsia="仿宋" w:cs="仿宋"/>
          <w:color w:val="000000"/>
          <w:sz w:val="28"/>
          <w:szCs w:val="28"/>
          <w:lang w:val="en-US" w:eastAsia="zh-CN"/>
        </w:rPr>
        <w:t xml:space="preserve">乙方按招标文件规定的货物性能、技术要求、质量标准向甲方提供未经使用的全新产品。</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w:t>
      </w:r>
      <w:r>
        <w:rPr>
          <w:rFonts w:hint="default" w:ascii="仿宋" w:hAnsi="仿宋" w:eastAsia="仿宋" w:cs="仿宋"/>
          <w:color w:val="000000"/>
          <w:sz w:val="28"/>
          <w:szCs w:val="28"/>
          <w:lang w:val="en-US" w:eastAsia="zh-CN"/>
        </w:rPr>
        <w:t xml:space="preserve">乙方提供的货物在</w:t>
      </w:r>
      <w:r>
        <w:rPr>
          <w:rFonts w:hint="eastAsia" w:ascii="仿宋" w:hAnsi="仿宋" w:eastAsia="仿宋" w:cs="仿宋"/>
          <w:color w:val="000000"/>
          <w:sz w:val="28"/>
          <w:szCs w:val="28"/>
          <w:lang w:val="en-US" w:eastAsia="zh-CN"/>
        </w:rPr>
        <w:t xml:space="preserve">有效期</w:t>
      </w:r>
      <w:r>
        <w:rPr>
          <w:rFonts w:hint="default" w:ascii="仿宋" w:hAnsi="仿宋" w:eastAsia="仿宋" w:cs="仿宋"/>
          <w:color w:val="000000"/>
          <w:sz w:val="28"/>
          <w:szCs w:val="28"/>
          <w:lang w:val="en-US" w:eastAsia="zh-CN"/>
        </w:rPr>
        <w:t xml:space="preserve">内因货物本身出现质量问题，根据实际情况，经双方协商，可按以下办法处理：</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(1)更换：由乙方承担所发生的全部费用。</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(2)退货处理：无条件退货，并退还甲方支付的合同款，同时应承担该货物的直接费用(运输、保险、检验、货款利息及银行手续费等)。甲方不承担发生的任何费用。</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5、</w:t>
      </w:r>
      <w:r>
        <w:rPr>
          <w:rFonts w:hint="default" w:ascii="仿宋" w:hAnsi="仿宋" w:eastAsia="仿宋" w:cs="仿宋"/>
          <w:color w:val="000000"/>
          <w:sz w:val="28"/>
          <w:szCs w:val="28"/>
          <w:lang w:val="en-US" w:eastAsia="zh-CN"/>
        </w:rPr>
        <w:t xml:space="preserve">如甲方质量抽检中有指标不符合</w:t>
      </w:r>
      <w:r>
        <w:rPr>
          <w:rFonts w:hint="eastAsia" w:ascii="仿宋" w:hAnsi="仿宋" w:eastAsia="仿宋" w:cs="仿宋"/>
          <w:color w:val="000000"/>
          <w:sz w:val="28"/>
          <w:szCs w:val="28"/>
          <w:lang w:val="en-US" w:eastAsia="zh-CN"/>
        </w:rPr>
        <w:t xml:space="preserve">国家</w:t>
      </w:r>
      <w:r>
        <w:rPr>
          <w:rFonts w:hint="default" w:ascii="仿宋" w:hAnsi="仿宋" w:eastAsia="仿宋" w:cs="仿宋"/>
          <w:color w:val="000000"/>
          <w:sz w:val="28"/>
          <w:szCs w:val="28"/>
          <w:lang w:val="en-US" w:eastAsia="zh-CN"/>
        </w:rPr>
        <w:t xml:space="preserve">标准要求的，由甲方随机选择有资质的质量检测机构对货物质量进行第二次检测，检测费用由乙方承担。</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6、</w:t>
      </w:r>
      <w:r>
        <w:rPr>
          <w:rFonts w:hint="default" w:ascii="仿宋" w:hAnsi="仿宋" w:eastAsia="仿宋" w:cs="仿宋"/>
          <w:color w:val="000000"/>
          <w:sz w:val="28"/>
          <w:szCs w:val="28"/>
          <w:lang w:val="en-US" w:eastAsia="zh-CN"/>
        </w:rPr>
        <w:t xml:space="preserve">如在使用过程中发生质量问题，乙方在接到甲方通知后在24小时内</w:t>
      </w:r>
      <w:r>
        <w:rPr>
          <w:rFonts w:hint="eastAsia" w:ascii="仿宋" w:hAnsi="仿宋" w:eastAsia="仿宋" w:cs="仿宋"/>
          <w:color w:val="000000"/>
          <w:sz w:val="28"/>
          <w:szCs w:val="28"/>
          <w:lang w:val="en-US" w:eastAsia="zh-CN"/>
        </w:rPr>
        <w:t xml:space="preserve">到</w:t>
      </w:r>
      <w:r>
        <w:rPr>
          <w:rFonts w:hint="default" w:ascii="仿宋" w:hAnsi="仿宋" w:eastAsia="仿宋" w:cs="仿宋"/>
          <w:color w:val="000000"/>
          <w:sz w:val="28"/>
          <w:szCs w:val="28"/>
          <w:lang w:val="en-US" w:eastAsia="zh-CN"/>
        </w:rPr>
        <w:t xml:space="preserve">达甲方现场。</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7、</w:t>
      </w:r>
      <w:r>
        <w:rPr>
          <w:rFonts w:hint="default" w:ascii="仿宋" w:hAnsi="仿宋" w:eastAsia="仿宋" w:cs="仿宋"/>
          <w:color w:val="000000"/>
          <w:sz w:val="28"/>
          <w:szCs w:val="28"/>
          <w:lang w:val="en-US" w:eastAsia="zh-CN"/>
        </w:rPr>
        <w:t xml:space="preserve">在</w:t>
      </w:r>
      <w:r>
        <w:rPr>
          <w:rFonts w:hint="eastAsia" w:ascii="仿宋" w:hAnsi="仿宋" w:eastAsia="仿宋" w:cs="仿宋"/>
          <w:color w:val="000000"/>
          <w:sz w:val="28"/>
          <w:szCs w:val="28"/>
          <w:lang w:val="en-US" w:eastAsia="zh-CN"/>
        </w:rPr>
        <w:t xml:space="preserve">有效期</w:t>
      </w:r>
      <w:r>
        <w:rPr>
          <w:rFonts w:hint="default" w:ascii="仿宋" w:hAnsi="仿宋" w:eastAsia="仿宋" w:cs="仿宋"/>
          <w:color w:val="000000"/>
          <w:sz w:val="28"/>
          <w:szCs w:val="28"/>
          <w:lang w:val="en-US" w:eastAsia="zh-CN"/>
        </w:rPr>
        <w:t xml:space="preserve">内，乙方应对货物出现的质量及安全问题负责处理解决并承担一切费用。</w:t>
      </w:r>
      <w:r/>
    </w:p>
    <w:p>
      <w:pPr>
        <w:ind w:right="0"/>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五、</w:t>
      </w:r>
      <w:r>
        <w:rPr>
          <w:rFonts w:hint="default" w:ascii="仿宋" w:hAnsi="仿宋" w:eastAsia="仿宋" w:cs="仿宋"/>
          <w:b/>
          <w:bCs/>
          <w:color w:val="000000"/>
          <w:sz w:val="28"/>
          <w:szCs w:val="28"/>
          <w:lang w:val="en-US" w:eastAsia="zh-CN"/>
        </w:rPr>
        <w:t xml:space="preserve">货款支付</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结算方式为项目完成审计、验收合格，政府审批后一次性付清货款。</w:t>
      </w:r>
      <w:r/>
    </w:p>
    <w:p>
      <w:pPr>
        <w:ind w:right="0"/>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六、</w:t>
      </w:r>
      <w:r>
        <w:rPr>
          <w:rFonts w:hint="default" w:ascii="仿宋" w:hAnsi="仿宋" w:eastAsia="仿宋" w:cs="仿宋"/>
          <w:b/>
          <w:bCs/>
          <w:color w:val="000000"/>
          <w:sz w:val="28"/>
          <w:szCs w:val="28"/>
          <w:lang w:val="en-US" w:eastAsia="zh-CN"/>
        </w:rPr>
        <w:t xml:space="preserve">违约责任</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1、甲方无正当理由拒收货物、拒付货物款的，由甲方向乙方偿付合同总价的5%违约金。</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2、甲方未按合同规定的期限向乙方支付货款的，每逾期1天甲方向乙方偿付欠款总额的万分之三违约金，但累计违约金总额不超过欠款总额的5%。</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3、如乙方不能交付货物，乙方应向甲方支付合同总价5%的违约金。</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4、乙方逾期交付货物的，每逾期1天，乙方向甲方偿付逾期交货部分货款总额的万分之三的违约金。如乙方逾期交货达10天，甲方有权单方解除合同，解除合同的通知自到达乙方时生效。</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5、乙方所交付的货物品种、型号、规格不符合合同规定的，甲方有权拒收。甲方拒收的，乙方应向甲方支付货款总额5%的违约金。</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6、在乙方承诺的或国家规定的质量保证期内，如经乙方两次维修或更换，货物仍不能达到合同规定的质量标准，甲方有权退货，乙方应退回全部货款，并按第3款处理，同时，乙方还须赔偿甲方因此遭受的损失。</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7、乙方未按本合同的规定和“服务承诺”提供伴随服务/售后服务的，应按合同总价款的1%向甲方承担违约责任。</w:t>
      </w:r>
      <w:r/>
    </w:p>
    <w:p>
      <w:pPr>
        <w:ind w:right="0"/>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七、</w:t>
      </w:r>
      <w:r>
        <w:rPr>
          <w:rFonts w:hint="default" w:ascii="仿宋" w:hAnsi="仿宋" w:eastAsia="仿宋" w:cs="仿宋"/>
          <w:b/>
          <w:bCs/>
          <w:color w:val="000000"/>
          <w:sz w:val="28"/>
          <w:szCs w:val="28"/>
          <w:lang w:val="en-US" w:eastAsia="zh-CN"/>
        </w:rPr>
        <w:t xml:space="preserve">合同的变更和终止</w:t>
      </w:r>
      <w:r/>
    </w:p>
    <w:p>
      <w:pPr>
        <w:ind w:right="0" w:firstLine="56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除《中国人民共和国政府采购法》第49条、第50条第二款规定的情形外，本合同一经签订，甲乙双方不得擅自变更、中止或终止合同。</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八、</w:t>
      </w:r>
      <w:r>
        <w:rPr>
          <w:rFonts w:hint="default" w:ascii="仿宋" w:hAnsi="仿宋" w:eastAsia="仿宋" w:cs="仿宋"/>
          <w:b/>
          <w:bCs/>
          <w:color w:val="000000"/>
          <w:sz w:val="28"/>
          <w:szCs w:val="28"/>
          <w:lang w:val="en-US" w:eastAsia="zh-CN"/>
        </w:rPr>
        <w:t xml:space="preserve">不可抗力</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1、因不可抗力不能履行合同的，根据不可抗力的影响，部分或者全部免除责任。但合同一方延迟履行后发生不可抗力的，不能免除责任。</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2、合同一方因不可抗力不能履行合同的，应当及时通知对方，以减轻可能给对方造成的损失，并应当在合理期限内提供证明。</w:t>
      </w:r>
      <w:r/>
    </w:p>
    <w:p>
      <w:pPr>
        <w:ind w:right="0"/>
        <w:jc w:val="left"/>
        <w:keepLines w:val="0"/>
        <w:keepNext w:val="0"/>
        <w:pageBreakBefore w:val="0"/>
        <w:spacing w:before="0" w:beforeAutospacing="0" w:after="0" w:afterAutospacing="0" w:line="460" w:lineRule="exact"/>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r>
      <w:r/>
    </w:p>
    <w:p>
      <w:pPr>
        <w:ind w:right="0" w:firstLine="843"/>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九、</w:t>
      </w:r>
      <w:r>
        <w:rPr>
          <w:rFonts w:hint="default" w:ascii="仿宋" w:hAnsi="仿宋" w:eastAsia="仿宋" w:cs="仿宋"/>
          <w:b/>
          <w:bCs/>
          <w:color w:val="000000"/>
          <w:sz w:val="28"/>
          <w:szCs w:val="28"/>
          <w:lang w:val="en-US" w:eastAsia="zh-CN"/>
        </w:rPr>
        <w:t xml:space="preserve">合同的转让</w:t>
      </w:r>
      <w:r/>
    </w:p>
    <w:p>
      <w:pPr>
        <w:ind w:right="0" w:firstLine="56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乙方不得擅自部分或全部转让其应履行的合同义务。</w:t>
      </w:r>
      <w:r/>
    </w:p>
    <w:p>
      <w:pPr>
        <w:ind w:right="0"/>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十、</w:t>
      </w:r>
      <w:r>
        <w:rPr>
          <w:rFonts w:hint="default" w:ascii="仿宋" w:hAnsi="仿宋" w:eastAsia="仿宋" w:cs="仿宋"/>
          <w:b/>
          <w:bCs/>
          <w:color w:val="000000"/>
          <w:sz w:val="28"/>
          <w:szCs w:val="28"/>
          <w:lang w:val="en-US" w:eastAsia="zh-CN"/>
        </w:rPr>
        <w:t xml:space="preserve">争议的解决</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w:t>
      </w:r>
      <w:r>
        <w:rPr>
          <w:rFonts w:hint="default" w:ascii="仿宋" w:hAnsi="仿宋" w:eastAsia="仿宋" w:cs="仿宋"/>
          <w:color w:val="000000"/>
          <w:sz w:val="28"/>
          <w:szCs w:val="28"/>
          <w:lang w:val="en-US" w:eastAsia="zh-CN"/>
        </w:rPr>
        <w:t xml:space="preserve">因货物的质量问题发生争议的，</w:t>
      </w:r>
      <w:r>
        <w:rPr>
          <w:rFonts w:hint="eastAsia" w:ascii="仿宋" w:hAnsi="仿宋" w:eastAsia="仿宋" w:cs="仿宋"/>
          <w:color w:val="000000"/>
          <w:sz w:val="28"/>
          <w:szCs w:val="28"/>
          <w:lang w:val="en-US" w:eastAsia="zh-CN"/>
        </w:rPr>
        <w:t xml:space="preserve">组织</w:t>
      </w:r>
      <w:r>
        <w:rPr>
          <w:rFonts w:hint="default" w:ascii="仿宋" w:hAnsi="仿宋" w:eastAsia="仿宋" w:cs="仿宋"/>
          <w:color w:val="000000"/>
          <w:sz w:val="28"/>
          <w:szCs w:val="28"/>
          <w:lang w:val="en-US" w:eastAsia="zh-CN"/>
        </w:rPr>
        <w:t xml:space="preserve">国家认可的质量检测机构对货物质量进行鉴定。货物符合标准的，鉴定费由甲方承担；货物不符合质量标准的，鉴定费由乙方承担、并更换有问题的商品或部件。</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w:t>
      </w:r>
      <w:r>
        <w:rPr>
          <w:rFonts w:hint="default" w:ascii="仿宋" w:hAnsi="仿宋" w:eastAsia="仿宋" w:cs="仿宋"/>
          <w:color w:val="000000"/>
          <w:sz w:val="28"/>
          <w:szCs w:val="28"/>
          <w:lang w:val="en-US" w:eastAsia="zh-CN"/>
        </w:rPr>
        <w:t xml:space="preserve">因履行本合同引起的或与本合同有关的争议，甲乙双方通过友好协商解决，如果协商不能解决争议，向丰县人民法院提起诉讼。</w:t>
      </w:r>
      <w:r/>
    </w:p>
    <w:p>
      <w:pPr>
        <w:ind w:right="0"/>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十一、</w:t>
      </w:r>
      <w:r>
        <w:rPr>
          <w:rFonts w:hint="default" w:ascii="仿宋" w:hAnsi="仿宋" w:eastAsia="仿宋" w:cs="仿宋"/>
          <w:b/>
          <w:bCs/>
          <w:color w:val="000000"/>
          <w:sz w:val="28"/>
          <w:szCs w:val="28"/>
          <w:lang w:val="en-US" w:eastAsia="zh-CN"/>
        </w:rPr>
        <w:t xml:space="preserve">合同生效及其他</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1、本合同自签订</w:t>
      </w:r>
      <w:r>
        <w:rPr>
          <w:rFonts w:hint="eastAsia" w:ascii="仿宋" w:hAnsi="仿宋" w:eastAsia="仿宋" w:cs="仿宋"/>
          <w:color w:val="000000"/>
          <w:sz w:val="28"/>
          <w:szCs w:val="28"/>
          <w:lang w:val="en-US" w:eastAsia="zh-CN"/>
        </w:rPr>
        <w:t xml:space="preserve">盖章</w:t>
      </w:r>
      <w:r>
        <w:rPr>
          <w:rFonts w:hint="default" w:ascii="仿宋" w:hAnsi="仿宋" w:eastAsia="仿宋" w:cs="仿宋"/>
          <w:color w:val="000000"/>
          <w:sz w:val="28"/>
          <w:szCs w:val="28"/>
          <w:lang w:val="en-US" w:eastAsia="zh-CN"/>
        </w:rPr>
        <w:t xml:space="preserve">之日起生效。双方约定本合同履约地为江苏省丰县。</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2、本合同应按照中华人民共和国的现行法律进行解释。</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3、本采购合同一式伍份，分别由采购人叁份、中标供应商壹份、代理机构壹份。</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甲方签章：                  乙方签章：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单位地址：                  单位地址：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信用代码：                  信用代码：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法定代表人或其授权          法定代表人或其授权</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代理人：（签字）            代理人：（签字）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开户银行：                  开户银行：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银行账号：                  银行账号：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联系电话：                  联系电话：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电子邮箱：                  电子邮箱：                 </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签订日期：                  签订日期：                  </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bl>
      <w:tblPr>
        <w:tblStyle w:val="772"/>
        <w:tblpPr w:horzAnchor="page" w:tblpX="2267" w:vertAnchor="text" w:tblpY="433" w:leftFromText="180" w:topFromText="0" w:rightFromText="180" w:bottomFromText="0"/>
        <w:tblW w:w="96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95"/>
        <w:gridCol w:w="2627"/>
        <w:gridCol w:w="1818"/>
        <w:gridCol w:w="1818"/>
        <w:gridCol w:w="1818"/>
      </w:tblGrid>
      <w:tr>
        <w:trPr/>
        <w:tc>
          <w:tcPr>
            <w:tcW w:w="1595" w:type="dxa"/>
            <w:vAlign w:val="top"/>
            <w:textDirection w:val="lrTb"/>
            <w:noWrap w:val="false"/>
          </w:tcPr>
          <w:p>
            <w:pPr>
              <w:numPr>
                <w:ilvl w:val="0"/>
                <w:numId w:val="0"/>
              </w:numPr>
              <w:jc w:val="left"/>
              <w:keepLines w:val="0"/>
              <w:keepNext w:val="0"/>
              <w:pageBreakBefore w:val="0"/>
              <w:spacing w:after="0" w:line="42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c>
          <w:tcPr>
            <w:tcW w:w="2627" w:type="dxa"/>
            <w:vAlign w:val="top"/>
            <w:textDirection w:val="lrTb"/>
            <w:noWrap w:val="false"/>
          </w:tcPr>
          <w:p>
            <w:pPr>
              <w:numPr>
                <w:ilvl w:val="0"/>
                <w:numId w:val="0"/>
              </w:numPr>
              <w:ind w:firstLine="480"/>
              <w:jc w:val="left"/>
              <w:keepLines w:val="0"/>
              <w:keepNext w:val="0"/>
              <w:pageBreakBefore w:val="0"/>
              <w:spacing w:after="0" w:line="42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c>
          <w:tcPr>
            <w:tcW w:w="1818" w:type="dxa"/>
            <w:vAlign w:val="top"/>
            <w:textDirection w:val="lrTb"/>
            <w:noWrap w:val="false"/>
          </w:tcPr>
          <w:p>
            <w:pPr>
              <w:numPr>
                <w:ilvl w:val="0"/>
                <w:numId w:val="0"/>
              </w:numPr>
              <w:jc w:val="left"/>
              <w:keepLines w:val="0"/>
              <w:keepNext w:val="0"/>
              <w:pageBreakBefore w:val="0"/>
              <w:spacing w:after="0" w:line="42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c>
          <w:tcPr>
            <w:tcW w:w="1818" w:type="dxa"/>
            <w:vAlign w:val="top"/>
            <w:textDirection w:val="lrTb"/>
            <w:noWrap w:val="false"/>
          </w:tcPr>
          <w:p>
            <w:pPr>
              <w:numPr>
                <w:ilvl w:val="0"/>
                <w:numId w:val="0"/>
              </w:numPr>
              <w:jc w:val="left"/>
              <w:keepLines w:val="0"/>
              <w:keepNext w:val="0"/>
              <w:pageBreakBefore w:val="0"/>
              <w:spacing w:after="0" w:line="42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c>
          <w:tcPr>
            <w:tcW w:w="1818" w:type="dxa"/>
            <w:vAlign w:val="top"/>
            <w:textDirection w:val="lrTb"/>
            <w:noWrap w:val="false"/>
          </w:tcPr>
          <w:p>
            <w:pPr>
              <w:numPr>
                <w:ilvl w:val="0"/>
                <w:numId w:val="0"/>
              </w:numPr>
              <w:jc w:val="left"/>
              <w:keepLines w:val="0"/>
              <w:keepNext w:val="0"/>
              <w:pageBreakBefore w:val="0"/>
              <w:spacing w:after="0" w:line="42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r>
      <w:tr>
        <w:trPr>
          <w:trHeight w:val="488"/>
        </w:trPr>
        <w:tc>
          <w:tcPr>
            <w:tcW w:w="1595" w:type="dxa"/>
            <w:vAlign w:val="top"/>
            <w:textDirection w:val="lrTb"/>
            <w:noWrap w:val="false"/>
          </w:tcPr>
          <w:p>
            <w:pPr>
              <w:numPr>
                <w:ilvl w:val="0"/>
                <w:numId w:val="0"/>
              </w:numPr>
              <w:jc w:val="left"/>
              <w:keepLines w:val="0"/>
              <w:keepNext w:val="0"/>
              <w:pageBreakBefore w:val="0"/>
              <w:spacing w:after="0"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c>
          <w:tcPr>
            <w:tcW w:w="2627" w:type="dxa"/>
            <w:vAlign w:val="top"/>
            <w:textDirection w:val="lrTb"/>
            <w:noWrap w:val="false"/>
          </w:tcPr>
          <w:p>
            <w:pPr>
              <w:numPr>
                <w:ilvl w:val="0"/>
                <w:numId w:val="0"/>
              </w:numPr>
              <w:ind w:firstLine="480"/>
              <w:jc w:val="left"/>
              <w:keepLines w:val="0"/>
              <w:keepNext w:val="0"/>
              <w:pageBreakBefore w:val="0"/>
              <w:spacing w:after="0"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c>
          <w:tcPr>
            <w:tcW w:w="1818" w:type="dxa"/>
            <w:vAlign w:val="top"/>
            <w:textDirection w:val="lrTb"/>
            <w:noWrap w:val="false"/>
          </w:tcPr>
          <w:p>
            <w:pPr>
              <w:numPr>
                <w:ilvl w:val="0"/>
                <w:numId w:val="0"/>
              </w:numPr>
              <w:jc w:val="left"/>
              <w:keepLines w:val="0"/>
              <w:keepNext w:val="0"/>
              <w:pageBreakBefore w:val="0"/>
              <w:spacing w:after="0"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c>
          <w:tcPr>
            <w:tcW w:w="1818" w:type="dxa"/>
            <w:vAlign w:val="top"/>
            <w:textDirection w:val="lrTb"/>
            <w:noWrap w:val="false"/>
          </w:tcPr>
          <w:p>
            <w:pPr>
              <w:numPr>
                <w:ilvl w:val="0"/>
                <w:numId w:val="0"/>
              </w:numPr>
              <w:jc w:val="left"/>
              <w:keepLines w:val="0"/>
              <w:keepNext w:val="0"/>
              <w:pageBreakBefore w:val="0"/>
              <w:spacing w:after="0"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c>
          <w:tcPr>
            <w:tcW w:w="1818" w:type="dxa"/>
            <w:vAlign w:val="top"/>
            <w:textDirection w:val="lrTb"/>
            <w:noWrap w:val="false"/>
          </w:tcPr>
          <w:p>
            <w:pPr>
              <w:numPr>
                <w:ilvl w:val="0"/>
                <w:numId w:val="0"/>
              </w:numPr>
              <w:jc w:val="left"/>
              <w:keepLines w:val="0"/>
              <w:keepNext w:val="0"/>
              <w:pageBreakBefore w:val="0"/>
              <w:spacing w:after="0"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r>
      <w:tr>
        <w:trPr/>
        <w:tc>
          <w:tcPr>
            <w:tcW w:w="1595" w:type="dxa"/>
            <w:vAlign w:val="top"/>
            <w:textDirection w:val="lrTb"/>
            <w:noWrap w:val="false"/>
          </w:tcPr>
          <w:p>
            <w:pPr>
              <w:numPr>
                <w:ilvl w:val="0"/>
                <w:numId w:val="0"/>
              </w:numPr>
              <w:jc w:val="left"/>
              <w:keepLines w:val="0"/>
              <w:keepNext w:val="0"/>
              <w:pageBreakBefore w:val="0"/>
              <w:spacing w:after="0"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c>
          <w:tcPr>
            <w:tcW w:w="2627" w:type="dxa"/>
            <w:vAlign w:val="top"/>
            <w:textDirection w:val="lrTb"/>
            <w:noWrap w:val="false"/>
          </w:tcPr>
          <w:p>
            <w:pPr>
              <w:numPr>
                <w:ilvl w:val="0"/>
                <w:numId w:val="0"/>
              </w:numPr>
              <w:ind w:firstLine="480"/>
              <w:jc w:val="left"/>
              <w:keepLines w:val="0"/>
              <w:keepNext w:val="0"/>
              <w:pageBreakBefore w:val="0"/>
              <w:spacing w:after="0"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c>
          <w:tcPr>
            <w:tcW w:w="1818" w:type="dxa"/>
            <w:vAlign w:val="top"/>
            <w:textDirection w:val="lrTb"/>
            <w:noWrap w:val="false"/>
          </w:tcPr>
          <w:p>
            <w:pPr>
              <w:numPr>
                <w:ilvl w:val="0"/>
                <w:numId w:val="0"/>
              </w:numPr>
              <w:jc w:val="left"/>
              <w:keepLines w:val="0"/>
              <w:keepNext w:val="0"/>
              <w:pageBreakBefore w:val="0"/>
              <w:spacing w:after="0"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c>
          <w:tcPr>
            <w:tcW w:w="1818" w:type="dxa"/>
            <w:vAlign w:val="top"/>
            <w:textDirection w:val="lrTb"/>
            <w:noWrap w:val="false"/>
          </w:tcPr>
          <w:p>
            <w:pPr>
              <w:numPr>
                <w:ilvl w:val="0"/>
                <w:numId w:val="0"/>
              </w:numPr>
              <w:jc w:val="left"/>
              <w:keepLines w:val="0"/>
              <w:keepNext w:val="0"/>
              <w:pageBreakBefore w:val="0"/>
              <w:spacing w:after="0"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c>
          <w:tcPr>
            <w:tcW w:w="1818" w:type="dxa"/>
            <w:vAlign w:val="top"/>
            <w:textDirection w:val="lrTb"/>
            <w:noWrap w:val="false"/>
          </w:tcPr>
          <w:p>
            <w:pPr>
              <w:numPr>
                <w:ilvl w:val="0"/>
                <w:numId w:val="0"/>
              </w:numPr>
              <w:jc w:val="left"/>
              <w:keepLines w:val="0"/>
              <w:keepNext w:val="0"/>
              <w:pageBreakBefore w:val="0"/>
              <w:spacing w:after="0"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c>
      </w:tr>
    </w:tbl>
    <w:p>
      <w:pPr>
        <w:pStyle w:val="783"/>
        <w:ind w:firstLine="2880"/>
        <w:spacing w:line="520" w:lineRule="exact"/>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 xml:space="preserve">第六</w:t>
      </w:r>
      <w:bookmarkStart w:id="2" w:name="_Toc324452802"/>
      <w:r/>
      <w:bookmarkEnd w:id="2"/>
      <w:r/>
      <w:bookmarkStart w:id="3" w:name="_Toc322457054"/>
      <w:r/>
      <w:bookmarkEnd w:id="3"/>
      <w:r>
        <w:rPr>
          <w:rFonts w:hint="eastAsia" w:ascii="仿宋" w:hAnsi="仿宋" w:eastAsia="仿宋" w:cs="仿宋"/>
          <w:sz w:val="32"/>
          <w:szCs w:val="32"/>
          <w:highlight w:val="none"/>
          <w:lang w:val="en-US" w:eastAsia="zh-CN"/>
        </w:rPr>
        <w:t xml:space="preserve">章 采购需求</w:t>
      </w:r>
      <w:r/>
    </w:p>
    <w:p>
      <w:pPr>
        <w:pStyle w:val="988"/>
        <w:numPr>
          <w:ilvl w:val="0"/>
          <w:numId w:val="0"/>
        </w:numPr>
        <w:ind w:right="57"/>
        <w:jc w:val="center"/>
        <w:keepLines w:val="0"/>
        <w:keepNext w:val="0"/>
        <w:pageBreakBefore w:val="0"/>
        <w:spacing w:before="0" w:line="480" w:lineRule="exact"/>
        <w:widowControl w:val="off"/>
        <w:rPr>
          <w:rFonts w:ascii="宋体" w:hAnsi="宋体" w:eastAsia="宋体"/>
          <w:sz w:val="36"/>
          <w:szCs w:val="36"/>
        </w:rPr>
      </w:pPr>
      <w:r/>
      <w:bookmarkStart w:id="4" w:name="_Toc522790136"/>
      <w:r/>
      <w:bookmarkStart w:id="5" w:name="_Toc523404701"/>
      <w:r>
        <w:rPr>
          <w:rFonts w:hint="eastAsia" w:ascii="宋体" w:hAnsi="宋体"/>
          <w:sz w:val="36"/>
          <w:szCs w:val="36"/>
          <w:lang w:val="en-US" w:eastAsia="zh-CN"/>
        </w:rPr>
        <w:t xml:space="preserve">2026年丰县玉米绿色高产高效行动县</w:t>
      </w:r>
      <w:r>
        <w:rPr>
          <w:rFonts w:ascii="宋体" w:hAnsi="宋体" w:eastAsia="宋体"/>
          <w:sz w:val="36"/>
          <w:szCs w:val="36"/>
        </w:rPr>
        <w:t xml:space="preserve">项目要求</w:t>
      </w:r>
      <w:r/>
    </w:p>
    <w:p>
      <w:pPr>
        <w:pStyle w:val="988"/>
        <w:numPr>
          <w:ilvl w:val="0"/>
          <w:numId w:val="0"/>
        </w:numPr>
        <w:ind w:right="57"/>
        <w:jc w:val="center"/>
        <w:keepLines w:val="0"/>
        <w:keepNext w:val="0"/>
        <w:pageBreakBefore w:val="0"/>
        <w:spacing w:before="0" w:line="480" w:lineRule="exact"/>
        <w:widowControl w:val="off"/>
        <w:rPr>
          <w:rFonts w:hint="eastAsia" w:ascii="宋体" w:hAnsi="宋体"/>
          <w:sz w:val="36"/>
          <w:szCs w:val="36"/>
          <w:lang w:eastAsia="zh-CN"/>
        </w:rPr>
      </w:pPr>
      <w:r>
        <w:rPr>
          <w:rFonts w:ascii="宋体" w:hAnsi="宋体" w:eastAsia="宋体"/>
          <w:sz w:val="36"/>
          <w:szCs w:val="36"/>
        </w:rPr>
        <w:t xml:space="preserve">（采购需求</w:t>
      </w:r>
      <w:r>
        <w:rPr>
          <w:rFonts w:hint="eastAsia" w:ascii="宋体" w:hAnsi="宋体"/>
          <w:sz w:val="36"/>
          <w:szCs w:val="36"/>
          <w:lang w:eastAsia="zh-CN"/>
        </w:rPr>
        <w:t xml:space="preserve">）</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一、采购标的</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1、项目名称：2026年丰县玉米绿色高产高效行动县</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2、本项目预算资金共152 万元人民币，根据实际需求共划分为标段一到标段二，详见本章采购清单及参数要求。</w:t>
      </w:r>
      <w:r/>
    </w:p>
    <w:p>
      <w:pPr>
        <w:ind w:right="0" w:firstLine="56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本项目两个需求均采用固定总价，不接受超过市场价的报价，资金用完，在保证不超过市场价的基础上，</w:t>
      </w:r>
      <w:r>
        <w:rPr>
          <w:rFonts w:hint="eastAsia" w:ascii="仿宋" w:hAnsi="仿宋" w:eastAsia="仿宋" w:cs="仿宋"/>
          <w:b/>
          <w:bCs/>
          <w:color w:val="000000"/>
          <w:sz w:val="28"/>
          <w:szCs w:val="28"/>
          <w:lang w:val="en-US" w:eastAsia="zh-CN"/>
        </w:rPr>
        <w:t xml:space="preserve">单价最低者中标</w:t>
      </w:r>
      <w:r>
        <w:rPr>
          <w:rFonts w:hint="eastAsia" w:ascii="仿宋" w:hAnsi="仿宋" w:eastAsia="仿宋" w:cs="仿宋"/>
          <w:color w:val="000000"/>
          <w:sz w:val="28"/>
          <w:szCs w:val="28"/>
          <w:lang w:val="en-US" w:eastAsia="zh-CN"/>
        </w:rPr>
        <w:t xml:space="preserve">。</w:t>
      </w:r>
      <w:r/>
    </w:p>
    <w:p>
      <w:pPr>
        <w:ind w:right="0" w:firstLine="56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报价包括产品、制造、包装、仓储、运输、装卸搬运、保险、发放到户、检验检测、审计及验收等所有含税费用。本项目总价款还包括含中标方应当提供的伴随服务/售后服务费用。采购人不再支付报价以外的任何费用。</w:t>
      </w:r>
      <w:r/>
    </w:p>
    <w:p>
      <w:pPr>
        <w:ind w:right="0"/>
        <w:jc w:val="left"/>
        <w:keepLines w:val="0"/>
        <w:keepNext w:val="0"/>
        <w:pageBreakBefore w:val="0"/>
        <w:spacing w:before="0" w:beforeAutospacing="0" w:after="0" w:afterAutospacing="0" w:line="460" w:lineRule="exact"/>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二、采购清单及参数要求：</w:t>
      </w:r>
      <w:r/>
    </w:p>
    <w:tbl>
      <w:tblPr>
        <w:tblStyle w:val="999"/>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200"/>
        <w:gridCol w:w="3366"/>
        <w:gridCol w:w="1005"/>
        <w:gridCol w:w="1110"/>
        <w:gridCol w:w="1232"/>
        <w:gridCol w:w="1441"/>
      </w:tblGrid>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w:t>
            </w:r>
            <w:r/>
          </w:p>
        </w:tc>
        <w:tc>
          <w:tcPr>
            <w:tcW w:w="120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名称</w:t>
            </w:r>
            <w:r/>
          </w:p>
        </w:tc>
        <w:tc>
          <w:tcPr>
            <w:tcW w:w="336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规格参数</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采购预算总计</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最高限价（元/kg（L））</w:t>
            </w:r>
            <w:r/>
          </w:p>
        </w:tc>
      </w:tr>
      <w:tr>
        <w:trPr>
          <w:jc w:val="center"/>
          <w:trHeight w:val="832"/>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标段一</w:t>
            </w:r>
            <w:r/>
          </w:p>
        </w:tc>
        <w:tc>
          <w:tcPr>
            <w:tcW w:w="120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40%氟硅唑乳油</w:t>
            </w:r>
            <w:r/>
          </w:p>
        </w:tc>
        <w:tc>
          <w:tcPr>
            <w:tcW w:w="3366"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含量：40%；剂型：乳油；规格：每包（或支、瓶）≤5g（ml）；PD证；登记含玉米小斑病</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Kg（L）</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590000</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800</w:t>
            </w:r>
            <w:r/>
          </w:p>
        </w:tc>
      </w:tr>
      <w:tr>
        <w:trPr>
          <w:jc w:val="center"/>
          <w:trHeight w:val="832"/>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标段二</w:t>
            </w:r>
            <w:r/>
          </w:p>
        </w:tc>
        <w:tc>
          <w:tcPr>
            <w:tcW w:w="120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腐殖酸水溶肥</w:t>
            </w:r>
            <w:r/>
          </w:p>
        </w:tc>
        <w:tc>
          <w:tcPr>
            <w:tcW w:w="336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4"/>
                <w:sz w:val="28"/>
                <w:szCs w:val="28"/>
                <w:lang w:val="en-US" w:eastAsia="zh-CN" w:bidi="ar-SA"/>
              </w:rPr>
              <w:t xml:space="preserve">技术指标： 腐植酸≥50g/L，氮+P2O5+K2O≥400g/L  (最少有三元素中的两个元素）剂型：水剂。包装规格：100克/代（瓶），1000克/瓶；产品具有不低于采购需求技术参数的肥料登记证。登记作物包含大豆或玉米，水稻</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Kg（L）</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930000</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32</w:t>
            </w:r>
            <w:r/>
          </w:p>
        </w:tc>
      </w:tr>
    </w:tbl>
    <w:p>
      <w:pPr>
        <w:ind w:right="0"/>
        <w:jc w:val="left"/>
        <w:keepLines w:val="0"/>
        <w:keepNext w:val="0"/>
        <w:pageBreakBefore w:val="0"/>
        <w:spacing w:before="0" w:beforeAutospacing="0" w:after="0" w:afterAutospacing="0" w:line="460" w:lineRule="exact"/>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特别说明：</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（1）以上两个标段项目均不设具体数量，最终成交数量以不超过各项采购预算最大整数计算；投标报价为各项单价最低价的优先原则，但不得高于市场价。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（2）本项目评审按标段一至标段二的顺序进行，投标人可兼投但不可兼中，投标人在前一个标段中标后可继续参与后一标段的开标、评标，但不能再次中标。</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三、 项目</w:t>
      </w:r>
      <w:r>
        <w:rPr>
          <w:rFonts w:hint="eastAsia" w:ascii="仿宋" w:hAnsi="仿宋" w:eastAsia="仿宋" w:cs="仿宋"/>
          <w:b/>
          <w:bCs/>
          <w:color w:val="000000"/>
          <w:sz w:val="28"/>
          <w:szCs w:val="28"/>
          <w:lang w:val="zh-CN" w:eastAsia="zh-CN"/>
        </w:rPr>
        <w:t xml:space="preserve">要求</w:t>
      </w:r>
      <w:bookmarkStart w:id="6" w:name="_Hlk111147967"/>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1、标段一至标段二：</w:t>
      </w:r>
      <w:bookmarkEnd w:id="6"/>
      <w:r>
        <w:rPr>
          <w:rFonts w:hint="eastAsia" w:ascii="仿宋" w:hAnsi="仿宋" w:eastAsia="仿宋" w:cs="仿宋"/>
          <w:color w:val="000000"/>
          <w:sz w:val="28"/>
          <w:szCs w:val="28"/>
          <w:lang w:val="en-US" w:eastAsia="zh-CN"/>
        </w:rPr>
        <w:t xml:space="preserve">所投产品必须是2026年1月1日以后生产的 ；</w:t>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2、供货要求：以上产品的外包装袋符合按相关规定排版和印刷要求，包装牢固，无破损、无玷污，每件包装内放置产品合格证。标识：所投产品包装袋要求为设计完善的标识、标牌、品牌名、重量等标志。</w:t>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3、中标后5日内必须完成与采购方签订正式合同，否则视为自动放弃成交资格。</w:t>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4、交货时间：接到采购人供货通知后，成交供应商5日内将产品送到指定地点。</w:t>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5、交货地点：按照采购人提供的物资分配方案及送货地址，由中标单位自行送货至指定地点。</w:t>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6、产品质量要求：乙方需保证产品质量，货到后甲、乙双方均在场共同抽样并送双方都认可且有检测资质的第三方进行检测，检测费用由乙方负责。</w:t>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zh-CN"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7、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四、其他要求：</w:t>
      </w:r>
      <w:r>
        <w:rPr>
          <w:rFonts w:hint="eastAsia" w:ascii="仿宋" w:hAnsi="仿宋" w:eastAsia="仿宋" w:cs="仿宋"/>
          <w:color w:val="000000"/>
          <w:sz w:val="28"/>
          <w:szCs w:val="28"/>
          <w:lang w:val="en-US" w:eastAsia="zh-CN"/>
        </w:rPr>
        <w:t xml:space="preserve">见招标文件《拟签订的合同草案》。</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pStyle w:val="964"/>
        <w:jc w:val="center"/>
        <w:spacing w:line="360" w:lineRule="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 xml:space="preserve">第七章  投标文件相关格式</w:t>
      </w:r>
      <w:bookmarkEnd w:id="4"/>
      <w:r/>
      <w:bookmarkEnd w:id="5"/>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一、投标函</w:t>
      </w:r>
      <w:r/>
    </w:p>
    <w:p>
      <w:pPr>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致：</w:t>
      </w:r>
      <w:r>
        <w:rPr>
          <w:rFonts w:hint="eastAsia" w:ascii="仿宋" w:hAnsi="仿宋" w:eastAsia="仿宋" w:cs="仿宋"/>
          <w:sz w:val="28"/>
          <w:szCs w:val="28"/>
          <w:highlight w:val="none"/>
          <w:u w:val="single"/>
        </w:rPr>
        <w:t xml:space="preserve">盛鼎工程咨询有限公司</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 </w:t>
      </w:r>
      <w:r>
        <w:rPr>
          <w:rFonts w:hint="eastAsia" w:ascii="仿宋" w:hAnsi="仿宋" w:eastAsia="仿宋" w:cs="仿宋"/>
          <w:sz w:val="28"/>
          <w:szCs w:val="28"/>
          <w:highlight w:val="none"/>
          <w:lang w:eastAsia="zh-CN"/>
        </w:rPr>
        <w:t xml:space="preserve">2026年丰县玉米绿色高产高效行动县创建项目项目编号：</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JSZC-320321-SDGS-G2026-0002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招标文件，     (姓名)代表我方          （投标人的名称）全权处理本次投标的有关事宜。</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根据此函，投标人承诺并同意如下： </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投标人唯一投标报价见《开标一览表》。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 投标人将按招标文件的规定履行合同责任和义务。</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 投标人已详细审查全部招标文件，投标人完全理解并同意放弃对这方面有不明及误解的权力。</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 投标有效期为开标之日后90天。</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 投标人同意提供按照贵方可能要求的与其投标有关的一切数据或资料。</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 投标人同意在授予合同后，按照投标资料表中的有关规定支付招标代理服务费。</w:t>
      </w:r>
      <w:r/>
    </w:p>
    <w:p>
      <w:pPr>
        <w:ind w:right="2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 </w:t>
      </w:r>
      <w:r>
        <w:rPr>
          <w:rFonts w:hint="eastAsia" w:ascii="仿宋" w:hAnsi="仿宋" w:eastAsia="仿宋" w:cs="仿宋"/>
          <w:sz w:val="28"/>
          <w:szCs w:val="28"/>
          <w:highlight w:val="none"/>
          <w:lang w:eastAsia="zh-CN"/>
        </w:rPr>
        <w:t xml:space="preserve">盛鼎工程咨询有限公司</w:t>
      </w:r>
      <w:r>
        <w:rPr>
          <w:rFonts w:hint="eastAsia" w:ascii="仿宋" w:hAnsi="仿宋" w:eastAsia="仿宋" w:cs="仿宋"/>
          <w:sz w:val="28"/>
          <w:szCs w:val="28"/>
          <w:highlight w:val="none"/>
        </w:rPr>
        <w:t xml:space="preserve">有权将我单位本项目的《开标一览表》和《分项价格表》予以公示，公示的方式由</w:t>
      </w:r>
      <w:r>
        <w:rPr>
          <w:rFonts w:hint="eastAsia" w:ascii="仿宋" w:hAnsi="仿宋" w:eastAsia="仿宋" w:cs="仿宋"/>
          <w:sz w:val="28"/>
          <w:szCs w:val="28"/>
          <w:highlight w:val="none"/>
          <w:lang w:eastAsia="zh-CN"/>
        </w:rPr>
        <w:t xml:space="preserve">盛鼎工程咨询有限公司</w:t>
      </w:r>
      <w:r>
        <w:rPr>
          <w:rFonts w:hint="eastAsia" w:ascii="仿宋" w:hAnsi="仿宋" w:eastAsia="仿宋" w:cs="仿宋"/>
          <w:sz w:val="28"/>
          <w:szCs w:val="28"/>
          <w:highlight w:val="none"/>
        </w:rPr>
        <w:t xml:space="preserve">确定。</w:t>
      </w:r>
      <w:r/>
    </w:p>
    <w:p>
      <w:pPr>
        <w:ind w:right="2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法律责任。</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 与本投标有关的一切正式往来信函请寄：地址：                    </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联系</w:t>
      </w:r>
      <w:r>
        <w:rPr>
          <w:rFonts w:hint="eastAsia" w:ascii="仿宋" w:hAnsi="仿宋" w:eastAsia="仿宋" w:cs="仿宋"/>
          <w:sz w:val="28"/>
          <w:szCs w:val="28"/>
          <w:highlight w:val="none"/>
        </w:rPr>
        <w:t xml:space="preserve">电话：</w:t>
      </w:r>
      <w:r/>
    </w:p>
    <w:p>
      <w:pPr>
        <w:ind w:firstLine="480"/>
        <w:jc w:val="righ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（电子签章）</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ind w:firstLine="5040"/>
        <w:spacing w:line="480" w:lineRule="exact"/>
        <w:rPr>
          <w:rFonts w:hint="eastAsia" w:ascii="仿宋" w:hAnsi="仿宋" w:eastAsia="仿宋" w:cs="仿宋"/>
          <w:color w:val="000000"/>
          <w:sz w:val="32"/>
          <w:szCs w:val="32"/>
          <w:highlight w:val="none"/>
        </w:rPr>
      </w:pPr>
      <w:r>
        <w:rPr>
          <w:rFonts w:hint="eastAsia" w:ascii="仿宋" w:hAnsi="仿宋" w:eastAsia="仿宋" w:cs="仿宋"/>
          <w:sz w:val="28"/>
          <w:szCs w:val="28"/>
          <w:highlight w:val="none"/>
        </w:rPr>
        <w:t xml:space="preserve">日期：   年  月  日</w:t>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二、开标一览表</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right="29"/>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2026年丰县玉米绿色高产高效行动县创建项目</w:t>
      </w:r>
      <w:r/>
    </w:p>
    <w:p>
      <w:pPr>
        <w:ind w:right="29"/>
        <w:spacing w:line="48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eastAsia="zh-CN"/>
        </w:rPr>
        <w:t xml:space="preserve">项目编号：JSZC-320321-SDGS-G2026-0002</w:t>
      </w:r>
      <w:r/>
    </w:p>
    <w:p>
      <w:pPr>
        <w:ind w:right="29" w:firstLine="48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ind w:right="29" w:firstLine="48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ind w:right="29" w:firstLine="48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格式见苏采云系统。</w:t>
      </w:r>
      <w:r/>
    </w:p>
    <w:p>
      <w:pPr>
        <w:ind w:right="29" w:firstLine="48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（此处上传政府采购客户端工具输入报价自动生成的开标一览表，加盖电子签章）</w:t>
      </w:r>
      <w:r/>
    </w:p>
    <w:p>
      <w:pPr>
        <w:ind w:right="29" w:firstLine="480"/>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ind w:right="29" w:firstLine="480"/>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ind w:right="29" w:firstLine="480"/>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ind w:right="29" w:firstLine="480"/>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投标人：           （盖电子签章）</w:t>
      </w:r>
      <w:r/>
    </w:p>
    <w:p>
      <w:pPr>
        <w:ind w:right="29" w:firstLine="480"/>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 </w:t>
      </w:r>
      <w:r/>
    </w:p>
    <w:p>
      <w:pPr>
        <w:ind w:right="29" w:firstLine="480"/>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日期：   年  月  日</w:t>
      </w:r>
      <w:r/>
    </w:p>
    <w:p>
      <w:pPr>
        <w:ind w:right="2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br w:type="page" w:clear="all"/>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2026年丰县玉米绿色高产高效行动县创建项目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sz w:val="28"/>
          <w:szCs w:val="28"/>
          <w:highlight w:val="none"/>
          <w:u w:val="none"/>
          <w:lang w:eastAsia="zh-CN"/>
        </w:rPr>
        <w:t xml:space="preserve">：JSZC-320321-SDGS-G2026-0002</w:t>
      </w:r>
      <w:r>
        <w:rPr>
          <w:rFonts w:hint="eastAsia" w:ascii="仿宋" w:hAnsi="仿宋" w:eastAsia="仿宋" w:cs="仿宋"/>
          <w:color w:val="000000"/>
          <w:sz w:val="28"/>
          <w:szCs w:val="28"/>
          <w:highlight w:val="none"/>
          <w:u w:val="none"/>
          <w:lang w:eastAsia="zh-CN"/>
        </w:rPr>
        <w:tab/>
      </w:r>
      <w:r/>
    </w:p>
    <w:p>
      <w:pPr>
        <w:jc w:val="both"/>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货币单位：</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人民币</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元</w:t>
      </w:r>
      <w:r/>
    </w:p>
    <w:p>
      <w:pPr>
        <w:pStyle w:val="795"/>
        <w:ind w:left="0" w:firstLine="0"/>
        <w:spacing w:line="360" w:lineRule="auto"/>
        <w:rPr>
          <w:rFonts w:hint="default"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采购包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p>
    <w:tbl>
      <w:tblPr>
        <w:tblStyle w:val="999"/>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386"/>
        <w:gridCol w:w="3180"/>
        <w:gridCol w:w="1005"/>
        <w:gridCol w:w="1110"/>
        <w:gridCol w:w="1232"/>
        <w:gridCol w:w="1441"/>
      </w:tblGrid>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w:t>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名称</w:t>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规格参数</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采购预算总计</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最高限价（元/kg（L））</w:t>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bl>
    <w:p>
      <w:pP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p>
      <w:pPr>
        <w:jc w:val="right"/>
        <w:spacing w:line="360" w:lineRule="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60"/>
        <w:rPr>
          <w:rFonts w:hint="eastAsia"/>
          <w:highlight w:val="none"/>
        </w:rPr>
      </w:pPr>
      <w:r>
        <w:rPr>
          <w:rFonts w:hint="eastAsia"/>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2026年丰县玉米绿色高产高效行动县创建项目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sz w:val="28"/>
          <w:szCs w:val="28"/>
          <w:highlight w:val="none"/>
          <w:u w:val="none"/>
          <w:lang w:eastAsia="zh-CN"/>
        </w:rPr>
        <w:t xml:space="preserve">：JSZC-320321-SDGS-G2026-0002</w:t>
      </w:r>
      <w:r>
        <w:rPr>
          <w:rFonts w:hint="eastAsia" w:ascii="仿宋" w:hAnsi="仿宋" w:eastAsia="仿宋" w:cs="仿宋"/>
          <w:color w:val="000000"/>
          <w:sz w:val="28"/>
          <w:szCs w:val="28"/>
          <w:highlight w:val="none"/>
          <w:u w:val="none"/>
          <w:lang w:eastAsia="zh-CN"/>
        </w:rPr>
        <w:tab/>
      </w:r>
      <w:r/>
    </w:p>
    <w:p>
      <w:pPr>
        <w:jc w:val="both"/>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货币单位：</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人民币</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元</w:t>
      </w:r>
      <w:r/>
    </w:p>
    <w:p>
      <w:pPr>
        <w:pStyle w:val="795"/>
        <w:ind w:left="0" w:firstLine="0"/>
        <w:spacing w:line="360" w:lineRule="auto"/>
        <w:rPr>
          <w:rFonts w:hint="default"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采购包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p>
    <w:tbl>
      <w:tblPr>
        <w:tblStyle w:val="999"/>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386"/>
        <w:gridCol w:w="3180"/>
        <w:gridCol w:w="1005"/>
        <w:gridCol w:w="1110"/>
        <w:gridCol w:w="1232"/>
        <w:gridCol w:w="1441"/>
      </w:tblGrid>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w:t>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名称</w:t>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规格参数</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采购预算总计</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最高限价（元/kg（L））</w:t>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bl>
    <w:p>
      <w:pP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p>
      <w:pPr>
        <w:jc w:val="right"/>
        <w:spacing w:line="360" w:lineRule="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tab/>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center"/>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四、偏离表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2026年丰县玉米绿色高产高效行动县创建</w:t>
      </w:r>
      <w:r>
        <w:rPr>
          <w:rFonts w:hint="eastAsia" w:ascii="仿宋" w:hAnsi="仿宋" w:eastAsia="仿宋" w:cs="仿宋"/>
          <w:sz w:val="28"/>
          <w:szCs w:val="28"/>
          <w:highlight w:val="none"/>
        </w:rPr>
        <w:t xml:space="preserve">项目</w:t>
      </w:r>
      <w:r/>
    </w:p>
    <w:p>
      <w:pPr>
        <w:spacing w:line="360" w:lineRule="auto"/>
        <w:rPr>
          <w:rFonts w:hint="eastAsia"/>
          <w:highlight w:val="none"/>
          <w:lang w:val="en-US" w:eastAsia="zh-CN"/>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JSZC-320321-SDGS-G2026-0002</w:t>
      </w:r>
      <w:r>
        <w:rPr>
          <w:rFonts w:hint="eastAsia" w:ascii="仿宋" w:hAnsi="仿宋" w:eastAsia="仿宋" w:cs="仿宋"/>
          <w:color w:val="000000"/>
          <w:sz w:val="28"/>
          <w:szCs w:val="28"/>
          <w:highlight w:val="none"/>
          <w:lang w:eastAsia="zh-CN"/>
        </w:rPr>
        <w:tab/>
      </w:r>
      <w:r>
        <w:rPr>
          <w:rFonts w:hint="eastAsia" w:ascii="仿宋" w:hAnsi="仿宋" w:eastAsia="仿宋" w:cs="仿宋"/>
          <w:color w:val="000000"/>
          <w:sz w:val="28"/>
          <w:szCs w:val="28"/>
          <w:highlight w:val="none"/>
          <w:lang w:val="en-US" w:eastAsia="zh-CN"/>
        </w:rPr>
        <w:t xml:space="preserve"> </w:t>
      </w:r>
      <w:r/>
    </w:p>
    <w:tbl>
      <w:tblPr>
        <w:tblStyle w:val="747"/>
        <w:tblW w:w="9030"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5"/>
        <w:gridCol w:w="1644"/>
        <w:gridCol w:w="1686"/>
        <w:gridCol w:w="1785"/>
        <w:gridCol w:w="1935"/>
        <w:gridCol w:w="1155"/>
      </w:tblGrid>
      <w:tr>
        <w:trPr>
          <w:trHeight w:val="794"/>
        </w:trPr>
        <w:tc>
          <w:tcPr>
            <w:tcW w:w="825"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caps/>
                <w:sz w:val="28"/>
                <w:szCs w:val="28"/>
                <w:highlight w:val="none"/>
              </w:rPr>
              <w:t xml:space="preserve">序号</w:t>
            </w:r>
            <w:r/>
          </w:p>
        </w:tc>
        <w:tc>
          <w:tcPr>
            <w:tcW w:w="1644"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caps/>
                <w:sz w:val="28"/>
                <w:szCs w:val="28"/>
                <w:highlight w:val="none"/>
              </w:rPr>
              <w:t xml:space="preserve">偏离内容</w:t>
            </w:r>
            <w:r/>
          </w:p>
        </w:tc>
        <w:tc>
          <w:tcPr>
            <w:tcW w:w="1686"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sz w:val="28"/>
                <w:szCs w:val="28"/>
                <w:highlight w:val="none"/>
              </w:rPr>
              <w:t xml:space="preserve">招标文件的要求</w:t>
            </w:r>
            <w:r/>
          </w:p>
        </w:tc>
        <w:tc>
          <w:tcPr>
            <w:tcW w:w="1785"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sz w:val="28"/>
                <w:szCs w:val="28"/>
                <w:highlight w:val="none"/>
              </w:rPr>
              <w:t xml:space="preserve">投标文件中的内容</w:t>
            </w:r>
            <w:r/>
          </w:p>
        </w:tc>
        <w:tc>
          <w:tcPr>
            <w:tcW w:w="1935"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caps/>
                <w:sz w:val="28"/>
                <w:szCs w:val="28"/>
                <w:highlight w:val="none"/>
              </w:rPr>
              <w:t xml:space="preserve">（正/负/无）偏离</w:t>
            </w:r>
            <w:r/>
          </w:p>
        </w:tc>
        <w:tc>
          <w:tcPr>
            <w:tcW w:w="1155"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caps/>
                <w:sz w:val="28"/>
                <w:szCs w:val="28"/>
                <w:highlight w:val="none"/>
              </w:rPr>
              <w:t xml:space="preserve">说明</w:t>
            </w:r>
            <w:r/>
          </w:p>
        </w:tc>
      </w:tr>
      <w:tr>
        <w:trPr>
          <w:trHeight w:val="794"/>
        </w:trPr>
        <w:tc>
          <w:tcPr>
            <w:tcW w:w="82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44"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86"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8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5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82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44"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86"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8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5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82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44"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86"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8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5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82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44"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86"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8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5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82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44"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86"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8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5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82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44"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86"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8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5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ind w:firstLine="482"/>
        <w:spacing w:line="440" w:lineRule="exact"/>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注</w:t>
      </w:r>
      <w:r>
        <w:rPr>
          <w:rFonts w:hint="eastAsia" w:ascii="仿宋" w:hAnsi="仿宋" w:eastAsia="仿宋" w:cs="仿宋"/>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2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br w:type="page" w:clear="all"/>
      </w:r>
      <w:r/>
    </w:p>
    <w:p>
      <w:pPr>
        <w:pStyle w:val="760"/>
        <w:rPr>
          <w:rFonts w:hint="eastAsia"/>
          <w:highlight w:val="none"/>
        </w:rPr>
      </w:pPr>
      <w:r>
        <w:rPr>
          <w:rFonts w:hint="eastAsia"/>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五、授权委托书格式</w:t>
      </w:r>
      <w:r/>
    </w:p>
    <w:p>
      <w:pPr>
        <w:pStyle w:val="760"/>
        <w:rPr>
          <w:rFonts w:hint="eastAsia" w:ascii="仿宋" w:hAnsi="仿宋" w:eastAsia="仿宋" w:cs="仿宋"/>
          <w:color w:val="000000"/>
          <w:highlight w:val="none"/>
        </w:rPr>
      </w:pPr>
      <w:r>
        <w:rPr>
          <w:rFonts w:hint="eastAsia" w:ascii="仿宋" w:hAnsi="仿宋" w:eastAsia="仿宋" w:cs="仿宋"/>
          <w:color w:val="000000"/>
          <w:sz w:val="30"/>
          <w:highlight w:val="none"/>
        </w:rPr>
        <w:t xml:space="preserve"> </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2026年丰县玉米绿色高产高效行动县创建</w:t>
      </w: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eastAsia="zh-CN"/>
        </w:rPr>
        <w:t xml:space="preserve">项目编号：JSZC-320321-SDGS-G2026-0002</w:t>
      </w:r>
      <w:r>
        <w:rPr>
          <w:rFonts w:hint="eastAsia" w:ascii="仿宋" w:hAnsi="仿宋" w:eastAsia="仿宋" w:cs="仿宋"/>
          <w:color w:val="000000"/>
          <w:sz w:val="30"/>
          <w:highlight w:val="none"/>
        </w:rPr>
        <w:t xml:space="preserve">）的招、投标活动及签订合同。（      ）以我企业（公司）名义所为的法律行为及签署的文件，我企业（公司）均予以认可。有关法律责任均由我企业（公司）承担。（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p>
    <w:p>
      <w:pPr>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p>
    <w:p>
      <w:pP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p>
    <w:p>
      <w:pPr>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p>
    <w:p>
      <w:pPr>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p>
    <w:p>
      <w:pPr>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p>
    <w:p>
      <w:pPr>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780" w:bottom="1440" w:left="1780"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六、中小企业声明函格式</w:t>
      </w:r>
      <w:r/>
    </w:p>
    <w:p>
      <w:pPr>
        <w:ind w:left="0" w:right="0"/>
        <w:jc w:val="both"/>
        <w:keepLines w:val="0"/>
        <w:keepNext w:val="0"/>
        <w:spacing w:before="0" w:beforeAutospacing="0" w:after="0" w:afterAutospacing="0" w:line="360" w:lineRule="auto"/>
        <w:widowControl w:val="off"/>
        <w:rPr>
          <w:rFonts w:hint="eastAsia" w:ascii="Times New Roman" w:hAnsi="Times New Roman" w:eastAsia="宋体" w:cs="Times New Roman"/>
          <w:sz w:val="21"/>
          <w:szCs w:val="21"/>
        </w:rPr>
        <w:suppressLineNumbers w:val="0"/>
      </w:pPr>
      <w:r>
        <w:rPr>
          <w:rFonts w:hint="eastAsia" w:ascii="仿宋" w:hAnsi="仿宋" w:eastAsia="仿宋" w:cs="仿宋"/>
          <w:color w:val="000000"/>
          <w:sz w:val="28"/>
          <w:szCs w:val="28"/>
          <w:lang w:val="en-US" w:eastAsia="zh-CN" w:bidi="ar"/>
        </w:rPr>
        <w:t xml:space="preserve">项目名称：2026年丰县玉米绿色高产高效行动县创建项目</w:t>
      </w:r>
      <w:r/>
    </w:p>
    <w:p>
      <w:pPr>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JSZC-320321-SDGS-G2026-0002</w:t>
      </w:r>
      <w:r>
        <w:rPr>
          <w:rFonts w:hint="eastAsia" w:ascii="仿宋" w:hAnsi="仿宋" w:eastAsia="仿宋" w:cs="仿宋"/>
          <w:color w:val="000000"/>
          <w:sz w:val="28"/>
          <w:szCs w:val="28"/>
          <w:lang w:eastAsia="zh-CN"/>
        </w:rPr>
        <w:tab/>
      </w:r>
      <w:r/>
    </w:p>
    <w:p>
      <w:pPr>
        <w:pStyle w:val="781"/>
        <w:ind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本公司郑重声明，根据《政府采购促进中小企业发展管理办法》（财库 (2020)46号）的规定，本公司参加</w:t>
      </w:r>
      <w:r>
        <w:rPr>
          <w:rFonts w:hint="eastAsia" w:ascii="仿宋" w:hAnsi="仿宋" w:eastAsia="仿宋" w:cs="仿宋"/>
          <w:sz w:val="28"/>
          <w:szCs w:val="28"/>
          <w:highlight w:val="none"/>
          <w:u w:val="single"/>
        </w:rPr>
        <w:t xml:space="preserve">（单位名称）</w:t>
      </w:r>
      <w:r>
        <w:rPr>
          <w:rFonts w:hint="eastAsia" w:ascii="仿宋" w:hAnsi="仿宋" w:eastAsia="仿宋" w:cs="仿宋"/>
          <w:sz w:val="28"/>
          <w:szCs w:val="28"/>
          <w:highlight w:val="none"/>
        </w:rPr>
        <w:t xml:space="preserve">的</w:t>
      </w:r>
      <w:r>
        <w:rPr>
          <w:rFonts w:hint="eastAsia" w:ascii="仿宋" w:hAnsi="仿宋" w:eastAsia="仿宋" w:cs="仿宋"/>
          <w:sz w:val="28"/>
          <w:szCs w:val="28"/>
          <w:highlight w:val="none"/>
          <w:u w:val="single"/>
        </w:rPr>
        <w:t xml:space="preserve">（项目名称）</w:t>
      </w:r>
      <w:r>
        <w:rPr>
          <w:rFonts w:hint="eastAsia" w:ascii="仿宋" w:hAnsi="仿宋" w:eastAsia="仿宋" w:cs="仿宋"/>
          <w:sz w:val="28"/>
          <w:szCs w:val="28"/>
          <w:highlight w:val="none"/>
        </w:rPr>
        <w:t xml:space="preserve">采购活动，提供的货物全部由符合政策要求的中小企业制造。相关企业的具体情况如下</w:t>
      </w:r>
      <w:r/>
    </w:p>
    <w:p>
      <w:pPr>
        <w:pStyle w:val="781"/>
        <w:numPr>
          <w:ilvl w:val="0"/>
          <w:numId w:val="0"/>
        </w:numPr>
        <w:ind w:firstLine="560"/>
        <w:jc w:val="left"/>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1.</w:t>
      </w: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rPr>
        <w:t xml:space="preserve">，属于</w:t>
      </w:r>
      <w:r>
        <w:rPr>
          <w:rFonts w:hint="eastAsia" w:ascii="仿宋" w:hAnsi="仿宋" w:eastAsia="仿宋" w:cs="仿宋"/>
          <w:sz w:val="28"/>
          <w:szCs w:val="28"/>
          <w:highlight w:val="none"/>
          <w:u w:val="single"/>
        </w:rPr>
        <w:t xml:space="preserve">（）行业</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制造</w:t>
      </w:r>
      <w:r>
        <w:rPr>
          <w:rFonts w:hint="eastAsia" w:ascii="仿宋" w:hAnsi="仿宋" w:eastAsia="仿宋" w:cs="仿宋"/>
          <w:sz w:val="28"/>
          <w:szCs w:val="28"/>
          <w:highlight w:val="none"/>
        </w:rPr>
        <w:t xml:space="preserve">商为</w:t>
      </w:r>
      <w:r>
        <w:rPr>
          <w:rFonts w:hint="eastAsia" w:ascii="仿宋" w:hAnsi="仿宋" w:eastAsia="仿宋" w:cs="仿宋"/>
          <w:sz w:val="28"/>
          <w:szCs w:val="28"/>
          <w:highlight w:val="none"/>
          <w:u w:val="single"/>
        </w:rPr>
        <w:t xml:space="preserve">（企业名称）</w:t>
      </w:r>
      <w:r>
        <w:rPr>
          <w:rFonts w:hint="eastAsia" w:ascii="仿宋" w:hAnsi="仿宋" w:eastAsia="仿宋" w:cs="仿宋"/>
          <w:sz w:val="28"/>
          <w:szCs w:val="28"/>
          <w:highlight w:val="none"/>
        </w:rPr>
        <w:t xml:space="preserve">，从业人员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人， 营业收入为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万元，资产总额为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w:t>
      </w:r>
      <w:r>
        <w:rPr>
          <w:rFonts w:hint="eastAsia" w:ascii="仿宋" w:hAnsi="仿宋" w:eastAsia="仿宋" w:cs="仿宋"/>
          <w:bCs/>
          <w:sz w:val="28"/>
          <w:szCs w:val="28"/>
          <w:highlight w:val="none"/>
        </w:rPr>
        <w:t xml:space="preserve">属于（□中型企业、□小型企业、□微型企业，请勾选！）；</w:t>
      </w:r>
      <w:r/>
    </w:p>
    <w:p>
      <w:pPr>
        <w:pStyle w:val="781"/>
        <w:numPr>
          <w:ilvl w:val="0"/>
          <w:numId w:val="0"/>
        </w:numPr>
        <w:ind w:firstLine="560"/>
        <w:jc w:val="left"/>
        <w:spacing w:line="480" w:lineRule="exact"/>
        <w:rPr>
          <w:rFonts w:hint="default"/>
          <w:highlight w:val="none"/>
          <w:lang w:val="en-US" w:eastAsia="zh-CN"/>
        </w:rPr>
      </w:pPr>
      <w:r>
        <w:rPr>
          <w:rFonts w:hint="eastAsia" w:ascii="仿宋" w:hAnsi="仿宋" w:eastAsia="仿宋" w:cs="仿宋"/>
          <w:sz w:val="30"/>
          <w:szCs w:val="30"/>
          <w:highlight w:val="none"/>
          <w:lang w:val="en-US" w:eastAsia="zh-CN" w:bidi="ar-SA"/>
        </w:rPr>
        <w:t xml:space="preserve">2.</w:t>
      </w:r>
      <w:r>
        <w:rPr>
          <w:rFonts w:hint="eastAsia" w:ascii="仿宋" w:hAnsi="仿宋" w:eastAsia="仿宋" w:cs="仿宋"/>
          <w:sz w:val="30"/>
          <w:szCs w:val="30"/>
          <w:highlight w:val="none"/>
          <w:u w:val="single"/>
        </w:rPr>
        <w:t xml:space="preserve">（</w:t>
      </w: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rPr>
        <w:t xml:space="preserve">，属于</w:t>
      </w:r>
      <w:r>
        <w:rPr>
          <w:rFonts w:hint="eastAsia" w:ascii="仿宋" w:hAnsi="仿宋" w:eastAsia="仿宋" w:cs="仿宋"/>
          <w:sz w:val="28"/>
          <w:szCs w:val="28"/>
          <w:highlight w:val="none"/>
          <w:u w:val="single"/>
        </w:rPr>
        <w:t xml:space="preserve">（）行业</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制造</w:t>
      </w:r>
      <w:r>
        <w:rPr>
          <w:rFonts w:hint="eastAsia" w:ascii="仿宋" w:hAnsi="仿宋" w:eastAsia="仿宋" w:cs="仿宋"/>
          <w:sz w:val="28"/>
          <w:szCs w:val="28"/>
          <w:highlight w:val="none"/>
        </w:rPr>
        <w:t xml:space="preserve">商为</w:t>
      </w:r>
      <w:r>
        <w:rPr>
          <w:rFonts w:hint="eastAsia" w:ascii="仿宋" w:hAnsi="仿宋" w:eastAsia="仿宋" w:cs="仿宋"/>
          <w:sz w:val="28"/>
          <w:szCs w:val="28"/>
          <w:highlight w:val="none"/>
          <w:u w:val="single"/>
        </w:rPr>
        <w:t xml:space="preserve">（企业名称）</w:t>
      </w:r>
      <w:r>
        <w:rPr>
          <w:rFonts w:hint="eastAsia" w:ascii="仿宋" w:hAnsi="仿宋" w:eastAsia="仿宋" w:cs="仿宋"/>
          <w:sz w:val="28"/>
          <w:szCs w:val="28"/>
          <w:highlight w:val="none"/>
        </w:rPr>
        <w:t xml:space="preserve">，从业人员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人， 营业收入为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万元，资产总额为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w:t>
      </w:r>
      <w:r>
        <w:rPr>
          <w:rFonts w:hint="eastAsia" w:ascii="仿宋" w:hAnsi="仿宋" w:eastAsia="仿宋" w:cs="仿宋"/>
          <w:bCs/>
          <w:sz w:val="28"/>
          <w:szCs w:val="28"/>
          <w:highlight w:val="none"/>
        </w:rPr>
        <w:t xml:space="preserve">属于（□中型企业、□小型企业、□微型企业，请勾选！）；</w:t>
      </w:r>
      <w:r/>
    </w:p>
    <w:p>
      <w:pPr>
        <w:pStyle w:val="781"/>
        <w:ind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以上企业，不属于大企业的分支机构，不存在控股股东为大企业的情形，也不存在与大企业的负责人为同一人的情形。</w:t>
      </w:r>
      <w:r/>
    </w:p>
    <w:p>
      <w:pPr>
        <w:pStyle w:val="781"/>
        <w:ind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本企业对上述声明内容的真实性负责。如有虚假，将依法承担相应责任。</w:t>
      </w:r>
      <w:r/>
    </w:p>
    <w:p>
      <w:pPr>
        <w:pStyle w:val="781"/>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81"/>
        <w:ind w:firstLine="3513"/>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企业名称（电子签章）：</w:t>
      </w:r>
      <w:r/>
    </w:p>
    <w:p>
      <w:pPr>
        <w:pStyle w:val="781"/>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日期：</w:t>
      </w:r>
      <w:r/>
    </w:p>
    <w:p>
      <w:pPr>
        <w:pStyle w:val="781"/>
        <w:ind w:firstLine="560"/>
        <w:spacing w:line="480" w:lineRule="exact"/>
        <w:tabs>
          <w:tab w:val="left" w:pos="8188" w:leader="none"/>
        </w:tabs>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rPr>
        <w:t xml:space="preserve">注：</w:t>
      </w:r>
      <w:r>
        <w:rPr>
          <w:rFonts w:hint="eastAsia" w:ascii="仿宋" w:hAnsi="仿宋" w:eastAsia="仿宋" w:cs="仿宋"/>
          <w:b/>
          <w:sz w:val="28"/>
          <w:szCs w:val="28"/>
          <w:highlight w:val="none"/>
        </w:rPr>
        <w:t xml:space="preserve">本项目采购项目属性为：</w:t>
      </w:r>
      <w:r>
        <w:rPr>
          <w:rFonts w:hint="eastAsia" w:ascii="仿宋" w:hAnsi="仿宋" w:eastAsia="仿宋" w:cs="仿宋"/>
          <w:b/>
          <w:sz w:val="28"/>
          <w:szCs w:val="28"/>
          <w:highlight w:val="none"/>
          <w:lang w:val="en-US" w:eastAsia="zh-CN"/>
        </w:rPr>
        <w:t xml:space="preserve">货物。本项目采购的服务属于：工业。</w:t>
      </w:r>
      <w:r>
        <w:rPr>
          <w:rFonts w:hint="eastAsia" w:ascii="仿宋" w:hAnsi="仿宋" w:eastAsia="仿宋" w:cs="仿宋"/>
          <w:b/>
          <w:sz w:val="28"/>
          <w:szCs w:val="28"/>
          <w:highlight w:val="none"/>
          <w:lang w:val="en-US" w:eastAsia="zh-CN"/>
        </w:rPr>
        <w:tab/>
      </w:r>
      <w:r/>
    </w:p>
    <w:p>
      <w:pPr>
        <w:pStyle w:val="781"/>
        <w:ind w:firstLine="562"/>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备注：</w:t>
      </w:r>
      <w:r/>
    </w:p>
    <w:p>
      <w:pPr>
        <w:pStyle w:val="781"/>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仿宋" w:hAnsi="仿宋" w:eastAsia="仿宋" w:cs="仿宋"/>
          <w:sz w:val="24"/>
          <w:szCs w:val="24"/>
          <w:highlight w:val="none"/>
          <w:lang w:eastAsia="zh-CN"/>
        </w:rPr>
        <w:t xml:space="preserve">〔2011〕300号</w:t>
      </w:r>
      <w:r>
        <w:rPr>
          <w:rFonts w:hint="eastAsia" w:ascii="仿宋" w:hAnsi="仿宋" w:eastAsia="仿宋" w:cs="仿宋"/>
          <w:sz w:val="24"/>
          <w:szCs w:val="24"/>
          <w:highlight w:val="none"/>
        </w:rPr>
        <w:t xml:space="preserve">）的规定为准。</w:t>
      </w:r>
      <w:r/>
    </w:p>
    <w:p>
      <w:pPr>
        <w:pStyle w:val="781"/>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2、从业人员、营业收入、资产总额填报供应商上一年度数据，无上一年度数据的新成立企业可不填报。</w:t>
      </w:r>
      <w:r/>
    </w:p>
    <w:p>
      <w:pPr>
        <w:pStyle w:val="781"/>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3、中标、成交供应商为小型、微型企业的，采购人或者其委托的采购代理机构有权随中标、成交结果同时公告其《中小企业声明函》，接受社会监督。</w:t>
      </w:r>
      <w:r/>
    </w:p>
    <w:p>
      <w:pPr>
        <w:pStyle w:val="781"/>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4、执行江苏省财政厅关于进一步加大政府采购支持中小企业力度的通知（苏财购〔2022〕45号）的规定。</w:t>
      </w:r>
      <w:r/>
    </w:p>
    <w:p>
      <w:pPr>
        <w:pStyle w:val="781"/>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5、供应商提供的《中小企业声明函》与事实不符的，依照《</w:t>
      </w:r>
      <w:r>
        <w:rPr>
          <w:rFonts w:hint="eastAsia" w:ascii="仿宋" w:hAnsi="仿宋" w:eastAsia="仿宋" w:cs="仿宋"/>
          <w:sz w:val="24"/>
          <w:szCs w:val="24"/>
          <w:highlight w:val="none"/>
          <w:lang w:eastAsia="zh-CN"/>
        </w:rPr>
        <w:t xml:space="preserve">中华人民共和国政府采购法</w:t>
      </w:r>
      <w:r>
        <w:rPr>
          <w:rFonts w:hint="eastAsia" w:ascii="仿宋" w:hAnsi="仿宋" w:eastAsia="仿宋" w:cs="仿宋"/>
          <w:sz w:val="24"/>
          <w:szCs w:val="24"/>
          <w:highlight w:val="none"/>
        </w:rPr>
        <w:t xml:space="preserve">》第七十七条第一款的规定追究法律责任。</w:t>
      </w:r>
      <w:r/>
    </w:p>
    <w:p>
      <w:pPr>
        <w:pStyle w:val="781"/>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、《中小企业声明函》查询渠道用微信搜索“中小企业规模类型自测小程序”。</w:t>
      </w:r>
      <w:r/>
    </w:p>
    <w:p>
      <w:pPr>
        <w:pStyle w:val="781"/>
        <w:ind w:firstLine="560"/>
        <w:jc w:val="left"/>
        <w:spacing w:line="480" w:lineRule="exact"/>
        <w:rPr>
          <w:rFonts w:hint="eastAsia" w:ascii="仿宋" w:hAnsi="仿宋" w:eastAsia="仿宋" w:cs="仿宋"/>
          <w:sz w:val="24"/>
          <w:szCs w:val="24"/>
          <w:highlight w:val="none"/>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1513205</wp:posOffset>
                </wp:positionH>
                <wp:positionV relativeFrom="paragraph">
                  <wp:posOffset>129540</wp:posOffset>
                </wp:positionV>
                <wp:extent cx="3206115" cy="6182360"/>
                <wp:effectExtent l="0" t="0" r="6985" b="2540"/>
                <wp:wrapTopAndBottom/>
                <wp:docPr id="4"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rcRect l="0" t="4030" r="0" b="0"/>
                        <a:stretch/>
                      </pic:blipFill>
                      <pic:spPr bwMode="auto">
                        <a:xfrm>
                          <a:off x="0" y="0"/>
                          <a:ext cx="3206115" cy="6182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19.1pt;mso-position-horizontal:absolute;mso-position-vertical-relative:text;margin-top:10.2pt;mso-position-vertical:absolute;width:252.4pt;height:486.8pt;mso-wrap-distance-left:0.0pt;mso-wrap-distance-top:0.0pt;mso-wrap-distance-right:0.0pt;mso-wrap-distance-bottom:0.0pt;" stroked="f">
                <v:path textboxrect="0,0,0,0"/>
                <w10:wrap type="topAndBottom"/>
                <v:imagedata r:id="rId15" o:title=""/>
              </v:shape>
            </w:pict>
          </mc:Fallback>
        </mc:AlternateContent>
      </w:r>
      <w:r>
        <w:rPr>
          <w:rFonts w:hint="eastAsia" w:ascii="仿宋" w:hAnsi="仿宋" w:eastAsia="仿宋" w:cs="仿宋"/>
          <w:sz w:val="24"/>
          <w:szCs w:val="24"/>
          <w:highlight w:val="none"/>
        </w:rPr>
        <w:t xml:space="preserve">                          </w:t>
      </w:r>
      <w:r/>
    </w:p>
    <w:p>
      <w:pPr>
        <w:jc w:val="both"/>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center"/>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七、残疾人福利性单位声明函（如有）</w:t>
      </w:r>
      <w:r/>
    </w:p>
    <w:p>
      <w:pPr>
        <w:jc w:val="cente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（如投标人不属于残疾人福利性单位不需要提供此声明函）</w:t>
      </w:r>
      <w:r/>
    </w:p>
    <w:p>
      <w:pPr>
        <w:ind w:firstLine="504"/>
        <w:spacing w:line="480" w:lineRule="exact"/>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r>
      <w:r/>
    </w:p>
    <w:p>
      <w:pPr>
        <w:spacing w:line="480" w:lineRule="exact"/>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 xml:space="preserve">项目名称：</w:t>
      </w:r>
      <w:r>
        <w:rPr>
          <w:rFonts w:hint="eastAsia" w:ascii="仿宋" w:hAnsi="仿宋" w:eastAsia="仿宋" w:cs="仿宋"/>
          <w:spacing w:val="6"/>
          <w:sz w:val="28"/>
          <w:szCs w:val="28"/>
          <w:highlight w:val="none"/>
          <w:lang w:eastAsia="zh-CN"/>
        </w:rPr>
        <w:t xml:space="preserve">2026年丰县玉米绿色高产高效行动县创建</w:t>
      </w:r>
      <w:r>
        <w:rPr>
          <w:rFonts w:hint="eastAsia" w:ascii="仿宋" w:hAnsi="仿宋" w:eastAsia="仿宋" w:cs="仿宋"/>
          <w:spacing w:val="6"/>
          <w:sz w:val="28"/>
          <w:szCs w:val="28"/>
          <w:highlight w:val="none"/>
        </w:rPr>
        <w:t xml:space="preserve">项目</w:t>
      </w:r>
      <w:r/>
    </w:p>
    <w:p>
      <w:pPr>
        <w:spacing w:line="480" w:lineRule="exact"/>
        <w:rPr>
          <w:rFonts w:hint="eastAsia" w:ascii="仿宋" w:hAnsi="仿宋" w:eastAsia="仿宋" w:cs="仿宋"/>
          <w:spacing w:val="6"/>
          <w:sz w:val="28"/>
          <w:szCs w:val="28"/>
          <w:highlight w:val="none"/>
          <w:lang w:val="en-US" w:eastAsia="zh-CN"/>
        </w:rPr>
      </w:pPr>
      <w:r>
        <w:rPr>
          <w:rFonts w:hint="eastAsia" w:ascii="仿宋" w:hAnsi="仿宋" w:eastAsia="仿宋" w:cs="仿宋"/>
          <w:spacing w:val="6"/>
          <w:sz w:val="28"/>
          <w:szCs w:val="28"/>
          <w:highlight w:val="none"/>
        </w:rPr>
        <w:t xml:space="preserve">项目编号：</w:t>
      </w:r>
      <w:r>
        <w:rPr>
          <w:rFonts w:hint="eastAsia" w:ascii="仿宋" w:hAnsi="仿宋" w:eastAsia="仿宋" w:cs="仿宋"/>
          <w:spacing w:val="6"/>
          <w:sz w:val="28"/>
          <w:szCs w:val="28"/>
          <w:highlight w:val="none"/>
          <w:lang w:eastAsia="zh-CN"/>
        </w:rPr>
        <w:t xml:space="preserve">JSZC-320321-SDGS-G2026-0002</w:t>
      </w:r>
      <w:r/>
    </w:p>
    <w:p>
      <w:pPr>
        <w:pStyle w:val="760"/>
        <w:rPr>
          <w:rFonts w:hint="eastAsia"/>
          <w:b/>
          <w:bCs/>
          <w:highlight w:val="none"/>
          <w:lang w:eastAsia="zh-CN"/>
        </w:rPr>
      </w:pPr>
      <w:r>
        <w:rPr>
          <w:rFonts w:hint="eastAsia"/>
          <w:b/>
          <w:bCs/>
          <w:highlight w:val="none"/>
          <w:lang w:eastAsia="zh-CN"/>
        </w:rPr>
      </w:r>
      <w:r/>
    </w:p>
    <w:p>
      <w:pPr>
        <w:pStyle w:val="783"/>
        <w:ind w:firstLine="624"/>
        <w:keepLines w:val="0"/>
        <w:keepNext w:val="0"/>
        <w:pageBreakBefore w:val="0"/>
        <w:spacing w:line="520" w:lineRule="exact"/>
        <w:widowControl w:val="off"/>
        <w:rPr>
          <w:rFonts w:hint="eastAsia" w:ascii="仿宋" w:hAnsi="仿宋" w:eastAsia="仿宋" w:cs="仿宋"/>
          <w:spacing w:val="6"/>
          <w:sz w:val="28"/>
          <w:szCs w:val="28"/>
          <w:highlight w:val="none"/>
        </w:rPr>
        <w:outlineLvl w:val="9"/>
      </w:pPr>
      <w:r>
        <w:rPr>
          <w:rFonts w:hint="eastAsia" w:ascii="仿宋" w:hAnsi="仿宋" w:eastAsia="仿宋" w:cs="仿宋"/>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s="仿宋"/>
          <w:sz w:val="28"/>
          <w:szCs w:val="28"/>
          <w:highlight w:val="none"/>
        </w:rPr>
        <w:t xml:space="preserve">〔2017〕141</w:t>
      </w:r>
      <w:r>
        <w:rPr>
          <w:rFonts w:hint="eastAsia" w:ascii="仿宋" w:hAnsi="仿宋" w:eastAsia="仿宋" w:cs="仿宋"/>
          <w:spacing w:val="6"/>
          <w:sz w:val="28"/>
          <w:szCs w:val="28"/>
          <w:highlight w:val="none"/>
        </w:rPr>
        <w:t xml:space="preserve">号）的规定，本单位为符合条件的残疾人福利性单位，且本单位参加</w:t>
      </w:r>
      <w:r>
        <w:rPr>
          <w:rFonts w:hint="eastAsia" w:ascii="仿宋" w:hAnsi="仿宋" w:eastAsia="仿宋" w:cs="仿宋"/>
          <w:spacing w:val="6"/>
          <w:sz w:val="28"/>
          <w:szCs w:val="28"/>
          <w:highlight w:val="none"/>
          <w:u w:val="single"/>
        </w:rPr>
        <w:t xml:space="preserve">          </w:t>
      </w:r>
      <w:r>
        <w:rPr>
          <w:rFonts w:hint="eastAsia" w:ascii="仿宋" w:hAnsi="仿宋" w:eastAsia="仿宋" w:cs="仿宋"/>
          <w:spacing w:val="6"/>
          <w:sz w:val="28"/>
          <w:szCs w:val="28"/>
          <w:highlight w:val="none"/>
        </w:rPr>
        <w:t xml:space="preserve">单位的</w:t>
      </w:r>
      <w:r>
        <w:rPr>
          <w:rFonts w:hint="eastAsia" w:ascii="仿宋" w:hAnsi="仿宋" w:eastAsia="仿宋" w:cs="仿宋"/>
          <w:spacing w:val="6"/>
          <w:sz w:val="28"/>
          <w:szCs w:val="28"/>
          <w:highlight w:val="none"/>
          <w:u w:val="single"/>
        </w:rPr>
        <w:t xml:space="preserve">       </w:t>
      </w:r>
      <w:r>
        <w:rPr>
          <w:rFonts w:hint="eastAsia" w:ascii="仿宋" w:hAnsi="仿宋" w:eastAsia="仿宋" w:cs="仿宋"/>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83"/>
        <w:ind w:firstLine="624"/>
        <w:keepLines w:val="0"/>
        <w:keepNext w:val="0"/>
        <w:pageBreakBefore w:val="0"/>
        <w:spacing w:line="520" w:lineRule="exact"/>
        <w:widowControl w:val="off"/>
        <w:rPr>
          <w:rFonts w:ascii="宋体" w:hAnsi="宋体"/>
          <w:spacing w:val="6"/>
          <w:sz w:val="28"/>
          <w:szCs w:val="28"/>
          <w:highlight w:val="none"/>
        </w:rPr>
        <w:outlineLvl w:val="9"/>
      </w:pPr>
      <w:r>
        <w:rPr>
          <w:rFonts w:hint="eastAsia" w:ascii="仿宋" w:hAnsi="仿宋" w:eastAsia="仿宋" w:cs="仿宋"/>
          <w:spacing w:val="6"/>
          <w:sz w:val="28"/>
          <w:szCs w:val="28"/>
          <w:highlight w:val="none"/>
        </w:rPr>
        <w:t xml:space="preserve">本单位对上述声明的真实性负责。如有虚假，将依法承担相应责任。</w:t>
      </w:r>
      <w:r/>
    </w:p>
    <w:p>
      <w:pPr>
        <w:ind w:firstLine="504"/>
        <w:spacing w:line="480" w:lineRule="exact"/>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r>
      <w:r/>
    </w:p>
    <w:p>
      <w:pPr>
        <w:ind w:firstLine="504"/>
        <w:spacing w:line="480" w:lineRule="exact"/>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ind w:firstLine="360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both"/>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both"/>
        <w:spacing w:line="480" w:lineRule="exact"/>
        <w:rPr>
          <w:rFonts w:hint="eastAsia" w:ascii="仿宋" w:hAnsi="仿宋" w:eastAsia="仿宋" w:cs="仿宋"/>
          <w:b/>
          <w:bCs/>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bCs/>
          <w:sz w:val="28"/>
          <w:szCs w:val="28"/>
          <w:highlight w:val="none"/>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八、关于符合本国产品标准的声明函</w:t>
      </w:r>
      <w:r>
        <w:rPr>
          <w:rFonts w:hint="eastAsia" w:ascii="宋体" w:hAnsi="宋体" w:eastAsia="宋体" w:cs="宋体"/>
        </w:rPr>
        <w:t xml:space="preserve"> </w:t>
      </w:r>
      <w:r/>
    </w:p>
    <w:p>
      <w:pPr>
        <w:pStyle w:val="76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8"/>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8"/>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775"/>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775"/>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6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6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68"/>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68"/>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768"/>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68"/>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68"/>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jc w:val="both"/>
        <w:spacing w:line="480" w:lineRule="exact"/>
        <w:rPr>
          <w:rFonts w:hint="eastAsia" w:ascii="仿宋" w:hAnsi="仿宋" w:eastAsia="仿宋" w:cs="仿宋"/>
          <w:b/>
          <w:bCs/>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bCs/>
          <w:sz w:val="28"/>
          <w:szCs w:val="28"/>
          <w:highlight w:val="none"/>
        </w:rPr>
      </w:r>
      <w:r/>
    </w:p>
    <w:p>
      <w:pPr>
        <w:jc w:val="both"/>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 xml:space="preserve">九</w:t>
      </w:r>
      <w:r>
        <w:rPr>
          <w:rFonts w:hint="eastAsia" w:ascii="仿宋" w:hAnsi="仿宋" w:eastAsia="仿宋" w:cs="仿宋"/>
          <w:b/>
          <w:bCs/>
          <w:sz w:val="32"/>
          <w:szCs w:val="32"/>
          <w:highlight w:val="none"/>
        </w:rPr>
        <w:t xml:space="preserve">、投标人参加政府采购活动前3年内在经营活动中没有重大违法记录的书面声明</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我单位在参加</w:t>
      </w:r>
      <w:r>
        <w:rPr>
          <w:rFonts w:hint="eastAsia" w:ascii="仿宋" w:hAnsi="仿宋" w:eastAsia="仿宋" w:cs="仿宋"/>
          <w:sz w:val="28"/>
          <w:szCs w:val="28"/>
          <w:highlight w:val="none"/>
          <w:lang w:val="en-US" w:eastAsia="zh-CN"/>
        </w:rPr>
        <w:t xml:space="preserve">丰县</w:t>
      </w:r>
      <w:r>
        <w:rPr>
          <w:rFonts w:hint="eastAsia" w:ascii="仿宋" w:hAnsi="仿宋" w:eastAsia="仿宋" w:cs="仿宋"/>
          <w:sz w:val="28"/>
          <w:szCs w:val="28"/>
          <w:highlight w:val="none"/>
          <w:lang w:eastAsia="zh-CN"/>
        </w:rPr>
        <w:t xml:space="preserve">区农业农村局2026年丰县玉米绿色高产高效行动县创建项目</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项目编号：JSZC-320321-SDGS-G2026-0002</w:t>
      </w:r>
      <w:r>
        <w:rPr>
          <w:rFonts w:hint="eastAsia" w:ascii="仿宋" w:hAnsi="仿宋" w:eastAsia="仿宋" w:cs="仿宋"/>
          <w:sz w:val="28"/>
          <w:szCs w:val="28"/>
          <w:highlight w:val="none"/>
          <w:lang w:eastAsia="zh-CN"/>
        </w:rPr>
        <w:tab/>
      </w:r>
      <w:r>
        <w:rPr>
          <w:rFonts w:hint="eastAsia" w:ascii="仿宋" w:hAnsi="仿宋" w:eastAsia="仿宋" w:cs="仿宋"/>
          <w:sz w:val="28"/>
          <w:szCs w:val="28"/>
          <w:highlight w:val="none"/>
          <w:lang w:eastAsia="zh-CN"/>
        </w:rPr>
        <w:t xml:space="preserve">）政</w:t>
      </w:r>
      <w:r>
        <w:rPr>
          <w:rFonts w:hint="eastAsia" w:ascii="仿宋" w:hAnsi="仿宋" w:eastAsia="仿宋" w:cs="仿宋"/>
          <w:sz w:val="28"/>
          <w:szCs w:val="28"/>
          <w:highlight w:val="none"/>
        </w:rPr>
        <w:t xml:space="preserve">府采购活动前3年内，在经营活动中没有重大违法记录。重大违法记录是指因违法经营受到刑事处罚或者责令停产停业、吊销许可证或者执照、较大数额罚款等行政处罚。</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我单位对上述声明的真实性负责。如有虚假，将依法承担相应责任。</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 xml:space="preserve">十、</w:t>
      </w:r>
      <w:r>
        <w:rPr>
          <w:rFonts w:hint="eastAsia" w:ascii="仿宋" w:hAnsi="仿宋" w:eastAsia="仿宋" w:cs="仿宋"/>
          <w:b/>
          <w:bCs/>
          <w:sz w:val="32"/>
          <w:szCs w:val="32"/>
          <w:highlight w:val="none"/>
        </w:rPr>
        <w:t xml:space="preserve">具备履行合同所必需的设备和专业技术能力的书面声明</w:t>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left="0" w:right="0"/>
        <w:jc w:val="both"/>
        <w:keepLines w:val="0"/>
        <w:keepNext w:val="0"/>
        <w:spacing w:before="0" w:beforeAutospacing="0" w:after="0" w:afterAutospacing="0" w:line="360" w:lineRule="auto"/>
        <w:widowControl w:val="off"/>
        <w:rPr>
          <w:rFonts w:hint="eastAsia" w:ascii="Times New Roman" w:hAnsi="Times New Roman" w:eastAsia="宋体" w:cs="Times New Roman"/>
          <w:sz w:val="21"/>
          <w:szCs w:val="21"/>
        </w:rPr>
        <w:suppressLineNumbers w:val="0"/>
      </w:pPr>
      <w:r>
        <w:rPr>
          <w:rFonts w:hint="eastAsia" w:ascii="仿宋" w:hAnsi="仿宋" w:eastAsia="仿宋" w:cs="仿宋"/>
          <w:color w:val="000000"/>
          <w:sz w:val="28"/>
          <w:szCs w:val="28"/>
          <w:lang w:val="en-US" w:eastAsia="zh-CN" w:bidi="ar"/>
        </w:rPr>
        <w:t xml:space="preserve">项目名称：2026年丰县玉米绿色高产高效行动县创建项目</w:t>
      </w:r>
      <w:r/>
    </w:p>
    <w:p>
      <w:pPr>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JSZC-320321-SDGS-G2026-0002</w:t>
      </w:r>
      <w:r>
        <w:rPr>
          <w:rFonts w:hint="eastAsia" w:ascii="仿宋" w:hAnsi="仿宋" w:eastAsia="仿宋" w:cs="仿宋"/>
          <w:color w:val="000000"/>
          <w:sz w:val="28"/>
          <w:szCs w:val="28"/>
          <w:highlight w:val="none"/>
          <w:lang w:eastAsia="zh-CN"/>
        </w:rPr>
        <w:tab/>
      </w:r>
      <w:r/>
    </w:p>
    <w:p>
      <w:pPr>
        <w:pStyle w:val="750"/>
        <w:rPr>
          <w:rFonts w:hint="eastAsia"/>
          <w:highlight w:val="none"/>
          <w:lang w:val="en-US" w:eastAsia="zh-CN"/>
        </w:rPr>
      </w:pPr>
      <w:r>
        <w:rPr>
          <w:rFonts w:hint="eastAsia"/>
          <w:highlight w:val="none"/>
          <w:lang w:val="en-US" w:eastAsia="zh-CN"/>
        </w:rPr>
      </w:r>
      <w:r/>
    </w:p>
    <w:p>
      <w:pPr>
        <w:pStyle w:val="781"/>
        <w:ind w:firstLine="56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投标人郑重声明：投标人具备履行合同（项目名称：</w:t>
      </w:r>
      <w:r>
        <w:rPr>
          <w:rFonts w:hint="eastAsia" w:ascii="仿宋" w:hAnsi="仿宋" w:eastAsia="仿宋" w:cs="仿宋"/>
          <w:color w:val="000000"/>
          <w:sz w:val="28"/>
          <w:szCs w:val="28"/>
          <w:highlight w:val="none"/>
          <w:lang w:eastAsia="zh-CN"/>
        </w:rPr>
        <w:t xml:space="preserve">2026年丰县玉米绿色高产高效行动县创建项目</w:t>
      </w:r>
      <w:r>
        <w:rPr>
          <w:rFonts w:hint="eastAsia" w:ascii="仿宋" w:hAnsi="仿宋" w:eastAsia="仿宋" w:cs="仿宋"/>
          <w:color w:val="000000"/>
          <w:sz w:val="28"/>
          <w:szCs w:val="28"/>
          <w:highlight w:val="non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项目编号：（JSZC-320321-SDGS-G2026-0002</w:t>
      </w:r>
      <w:r>
        <w:rPr>
          <w:rFonts w:hint="eastAsia" w:ascii="仿宋" w:hAnsi="仿宋" w:eastAsia="仿宋" w:cs="仿宋"/>
          <w:sz w:val="28"/>
          <w:szCs w:val="28"/>
          <w:highlight w:val="none"/>
          <w:lang w:eastAsia="zh-CN"/>
        </w:rPr>
        <w:tab/>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所必需的设备和专业技术能力</w:t>
      </w:r>
      <w:r>
        <w:rPr>
          <w:rFonts w:hint="eastAsia" w:ascii="仿宋" w:hAnsi="仿宋" w:eastAsia="仿宋" w:cs="仿宋"/>
          <w:sz w:val="28"/>
          <w:szCs w:val="28"/>
          <w:highlight w:val="none"/>
          <w:lang w:eastAsia="zh-CN"/>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特此声明。</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投标人对上述声明的真实性负责。如有虚假，将依法承担相应责任。</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ind w:firstLine="484"/>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br w:type="page" w:clear="all"/>
      </w:r>
      <w:r/>
    </w:p>
    <w:p>
      <w:pPr>
        <w:ind w:firstLine="484"/>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firstLine="1915"/>
        <w:spacing w:line="520" w:lineRule="exact"/>
        <w:widowControl/>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本章附件：</w:t>
      </w:r>
      <w:r>
        <w:rPr>
          <w:rFonts w:hint="eastAsia" w:ascii="宋体" w:hAnsi="宋体" w:eastAsia="宋体" w:cs="宋体"/>
          <w:b/>
          <w:color w:val="auto"/>
          <w:sz w:val="28"/>
          <w:szCs w:val="28"/>
          <w:highlight w:val="none"/>
        </w:rPr>
        <w:t xml:space="preserve">招标代理服务收费标准</w:t>
      </w:r>
      <w:r/>
    </w:p>
    <w:tbl>
      <w:tblPr>
        <w:tblStyle w:val="74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5"/>
        <w:gridCol w:w="2706"/>
      </w:tblGrid>
      <w:tr>
        <w:trPr>
          <w:jc w:val="center"/>
          <w:trHeight w:val="48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费率</w:t>
            </w:r>
            <w:r/>
          </w:p>
        </w:tc>
      </w:tr>
      <w:tr>
        <w:trPr>
          <w:jc w:val="cente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5000元</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1.6%</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0.8%</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0.25%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0.005%</w:t>
            </w:r>
            <w:r/>
          </w:p>
        </w:tc>
      </w:tr>
    </w:tbl>
    <w:p>
      <w:pPr>
        <w:ind w:firstLine="600"/>
        <w:keepLines w:val="0"/>
        <w:keepNext w:val="0"/>
        <w:pageBreakBefore w:val="0"/>
        <w:spacing w:line="340" w:lineRule="exact"/>
        <w:widowControl/>
        <w:rPr>
          <w:rFonts w:hint="eastAsia" w:ascii="宋体" w:hAnsi="宋体" w:eastAsia="宋体" w:cs="宋体"/>
          <w:bCs/>
          <w:color w:val="auto"/>
          <w:sz w:val="30"/>
          <w:szCs w:val="30"/>
          <w:highlight w:val="none"/>
          <w:lang w:val="en-US" w:eastAsia="zh-CN" w:bidi="ar-SA"/>
        </w:rPr>
      </w:pPr>
      <w:r>
        <w:rPr>
          <w:rFonts w:hint="eastAsia" w:ascii="宋体" w:hAnsi="宋体" w:eastAsia="宋体" w:cs="宋体"/>
          <w:bCs/>
          <w:color w:val="auto"/>
          <w:sz w:val="30"/>
          <w:szCs w:val="30"/>
          <w:highlight w:val="none"/>
          <w:lang w:val="en-US" w:eastAsia="zh-CN" w:bidi="ar-SA"/>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说明：</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1.按上表计算的收费为代理服务全过程的收费金额。各社会代理机构不再收取采购文件制作售卖费用。</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2.代理服务费按差额定率累进法计算。</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3.代理服务费基准金额（按差额定率累进法计算的）=中标金额（按差额定率累进法计算的）* 费率（%）</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4.代理服务费应收取金额=代理服务费基准金额（按差额定率累进法计算的）的合计数。</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5.定点类等无金额或事先不能计算出价格总额的项目，按中标（成交）金额100万元计算服务费。</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、政府采购代理费支付</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（一）采购人委托社会代理机构在政府采购活动中提供编制采购文件、组织开标、评标、定标，以及协调合同签订、协助质疑答复、履约验收等服务，应当支付代理费。</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（二）代理费原则上由采购人直接支付至社会代理机构，严禁采购人将代理费以各种形式转嫁给供应商。</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采购人要求由中标、成交供应商支付的，供应商报价应当包含代理费，且应在采购文件中说明原因并明示代理费收取方式、标准及确立标准的依据。采购文件中未明示上述内容的，不得在中标文件中要求中标、成交供应商代为支付代理费。</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（四）采购人在原项目采购预算中列支代理费，支付时分别申请用款计划。</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采购人在委托采购代理机构开展采购活动时，应在委托代理协议中明确代理费支付金额或标准、支付时间、支付主体等内容。代理费支付主体应当自代理服务履约完毕之日起30个工作日内支付款项；合同另有约定的，从其约定，但付款期限最长不得超过60个工作日。</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采购代理机构不得向采购人或供应商收取任何未在委托代理协议和采购文件中明示的费用。采购代理机构应在中标、成交结果公告中，一并公开本项目的代理费收取情况，包括具体收费标准及收费金额等，接受社会监督。</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（七）采购人应当与代理机构在代理服务合同中约定项目暂停、终止、废标等情况下代理费支付标准。因采购人原因导致代理费未能按合同约定支付，采购人应承担相应违约责任。</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评审专家参加省内政府采购项目评审时应获得的专家评审费按以下规定进行管理。</w:t>
      </w:r>
      <w:r/>
    </w:p>
    <w:p>
      <w:pPr>
        <w:numPr>
          <w:ilvl w:val="0"/>
          <w:numId w:val="2"/>
        </w:num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集中采购机构实施的项目，由集中采购机构支付评审费；非集中采购机构实施的项目，由采购人支付评审费，不得由其他单位或个人代为支付，严禁将专家评审费转嫁给代理机构或中标、成交供应商。</w:t>
      </w:r>
      <w:r/>
    </w:p>
    <w:p>
      <w:pPr>
        <w:numPr>
          <w:ilvl w:val="0"/>
          <w:numId w:val="2"/>
        </w:numPr>
        <w:ind w:left="0"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远程异地评标项目专家评审费按评审专家属地规定的标准支付。</w:t>
      </w:r>
      <w:r/>
    </w:p>
    <w:p>
      <w:pPr>
        <w:numPr>
          <w:ilvl w:val="0"/>
          <w:numId w:val="2"/>
        </w:numPr>
        <w:ind w:left="0"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专家评审费应在项目评审完成后30个工作日内支付专家。因专家原因导致项目废标，则不需要向应当承担责任的专家支付费用。</w:t>
      </w:r>
      <w:r/>
    </w:p>
    <w:p>
      <w:pPr>
        <w:numPr>
          <w:ilvl w:val="0"/>
          <w:numId w:val="3"/>
        </w:num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采购文件售价相关规定</w:t>
      </w:r>
      <w:r/>
    </w:p>
    <w:p>
      <w:pPr>
        <w:numPr>
          <w:ilvl w:val="0"/>
          <w:numId w:val="0"/>
        </w:num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采用电子交易方式采购的，采购代理机构应免费提供电子采购文件以及电子采购文件网上下载服务，不得以“平台服务费”等名义变相售卖电子采购文件获取利益。</w:t>
      </w:r>
      <w:r/>
    </w:p>
    <w:p>
      <w:pPr>
        <w:numPr>
          <w:ilvl w:val="0"/>
          <w:numId w:val="0"/>
        </w:num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采购文件售价应严格按照弥补制作成本（仅指印刷、纸张、装订等）、邮寄成本的原则确定，不得以营利为目的。制作采购文件的人力成本应计入代理费中，不得重复计入采购文件售价中。</w:t>
      </w:r>
      <w:r/>
    </w:p>
    <w:p>
      <w:pPr>
        <w:numPr>
          <w:ilvl w:val="0"/>
          <w:numId w:val="0"/>
        </w:numPr>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lang w:val="en-US" w:eastAsia="zh-CN"/>
        </w:rPr>
        <w:t xml:space="preserve">本项目代理服务费按照招徐州中介服务超市中标价格计算收取，本次代理服务费为</w:t>
      </w:r>
      <w:r>
        <w:rPr>
          <w:rFonts w:hint="eastAsia" w:ascii="宋体" w:hAnsi="宋体" w:cs="宋体"/>
          <w:b/>
          <w:bCs/>
          <w:color w:val="auto"/>
          <w:sz w:val="28"/>
          <w:szCs w:val="28"/>
          <w:lang w:val="en-US" w:eastAsia="zh-CN"/>
        </w:rPr>
        <w:t xml:space="preserve">30000</w:t>
      </w:r>
      <w:r>
        <w:rPr>
          <w:rFonts w:hint="eastAsia" w:ascii="宋体" w:hAnsi="宋体" w:eastAsia="宋体" w:cs="宋体"/>
          <w:b/>
          <w:bCs/>
          <w:color w:val="auto"/>
          <w:sz w:val="28"/>
          <w:szCs w:val="28"/>
          <w:lang w:val="en-US" w:eastAsia="zh-CN"/>
        </w:rPr>
        <w:t xml:space="preserve">元由中标人支付</w:t>
      </w:r>
      <w:r>
        <w:rPr>
          <w:rFonts w:hint="eastAsia" w:ascii="宋体" w:hAnsi="宋体" w:cs="宋体"/>
          <w:b/>
          <w:bCs/>
          <w:color w:val="auto"/>
          <w:sz w:val="28"/>
          <w:szCs w:val="28"/>
          <w:lang w:val="en-US" w:eastAsia="zh-CN"/>
        </w:rPr>
        <w:t xml:space="preserve">，</w:t>
      </w:r>
      <w:r>
        <w:rPr>
          <w:rFonts w:hint="eastAsia" w:ascii="宋体" w:hAnsi="宋体" w:eastAsia="宋体" w:cs="宋体"/>
          <w:b/>
          <w:bCs/>
          <w:color w:val="auto"/>
          <w:sz w:val="28"/>
          <w:szCs w:val="28"/>
          <w:lang w:val="en-US" w:eastAsia="zh-CN"/>
        </w:rPr>
        <w:t xml:space="preserve">评审专家费用甲方支付</w:t>
      </w:r>
      <w:r>
        <w:rPr>
          <w:rFonts w:hint="eastAsia" w:ascii="宋体" w:hAnsi="宋体" w:eastAsia="宋体" w:cs="宋体"/>
          <w:color w:val="auto"/>
          <w:sz w:val="28"/>
          <w:szCs w:val="28"/>
          <w:lang w:val="en-US" w:eastAsia="zh-CN"/>
        </w:rPr>
        <w:t xml:space="preserve">。</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、评审活动相关费用</w:t>
      </w:r>
      <w:r/>
    </w:p>
    <w:p>
      <w:pPr>
        <w:pStyle w:val="750"/>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账户名称：</w:t>
      </w:r>
      <w:r>
        <w:rPr>
          <w:rFonts w:hint="eastAsia" w:ascii="宋体" w:hAnsi="宋体" w:cs="宋体"/>
          <w:sz w:val="28"/>
          <w:szCs w:val="28"/>
          <w:lang w:val="en-US" w:eastAsia="zh-CN"/>
        </w:rPr>
        <w:t xml:space="preserve">盛鼎工程咨询有限公司</w:t>
      </w:r>
      <w:r/>
    </w:p>
    <w:p>
      <w:pPr>
        <w:pStyle w:val="750"/>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开户银行：中国建设银行股份有限公司郑州科技支行</w:t>
      </w:r>
      <w:r/>
    </w:p>
    <w:p>
      <w:pPr>
        <w:pStyle w:val="750"/>
        <w:ind w:left="0" w:firstLine="560"/>
        <w:keepLines w:val="0"/>
        <w:keepNext w:val="0"/>
        <w:pageBreakBefore w:val="0"/>
        <w:spacing w:before="3" w:line="360" w:lineRule="exact"/>
        <w:widowControl w:val="off"/>
        <w:rPr>
          <w:rFonts w:hint="eastAsia" w:ascii="宋体" w:hAnsi="宋体" w:eastAsia="宋体" w:cs="宋体"/>
          <w:b/>
          <w:color w:val="auto"/>
          <w:sz w:val="30"/>
        </w:rPr>
      </w:pPr>
      <w:r>
        <w:rPr>
          <w:rFonts w:hint="eastAsia" w:ascii="宋体" w:hAnsi="宋体" w:eastAsia="宋体" w:cs="宋体"/>
          <w:sz w:val="28"/>
          <w:szCs w:val="28"/>
        </w:rPr>
        <w:t xml:space="preserve">银行账号：41050167660800002738</w:t>
      </w:r>
      <w:r/>
    </w:p>
    <w:p>
      <w:pPr>
        <w:pStyle w:val="778"/>
        <w:rPr>
          <w:rFonts w:hint="eastAsia" w:ascii="仿宋" w:hAnsi="仿宋" w:eastAsia="仿宋" w:cs="仿宋"/>
          <w:sz w:val="28"/>
          <w:szCs w:val="28"/>
          <w:highlight w:val="none"/>
        </w:rPr>
      </w:pPr>
      <w:r>
        <w:rPr>
          <w:rFonts w:hint="eastAsia" w:ascii="仿宋" w:hAnsi="仿宋" w:eastAsia="仿宋" w:cs="仿宋"/>
          <w:sz w:val="28"/>
          <w:szCs w:val="28"/>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Courier New">
    <w:panose1 w:val="02070309020205020404"/>
  </w:font>
  <w:font w:name="Symbol">
    <w:panose1 w:val="05050102010706020507"/>
  </w:font>
  <w:font w:name="新宋体">
    <w:panose1 w:val="0201060903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link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7">
    <w:name w:val="Heading 1"/>
    <w:basedOn w:val="736"/>
    <w:next w:val="736"/>
    <w:link w:val="816"/>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817"/>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818"/>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819"/>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20"/>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821"/>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23"/>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24"/>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right="0" w:firstLine="0"/>
      <w:spacing w:after="57"/>
    </w:pPr>
  </w:style>
  <w:style w:type="paragraph" w:styleId="749">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Body Text"/>
    <w:basedOn w:val="736"/>
    <w:next w:val="736"/>
    <w:uiPriority w:val="0"/>
    <w:qFormat/>
    <w:pPr>
      <w:spacing w:after="120"/>
    </w:pPr>
    <w:rPr>
      <w:rFonts w:ascii="Calibri" w:hAnsi="Calibri"/>
    </w:rPr>
  </w:style>
  <w:style w:type="paragraph" w:styleId="751">
    <w:name w:val="Body Text Indent"/>
    <w:basedOn w:val="736"/>
    <w:next w:val="752"/>
    <w:uiPriority w:val="99"/>
    <w:qFormat/>
    <w:pPr>
      <w:ind w:left="420"/>
      <w:spacing w:after="120"/>
    </w:pPr>
  </w:style>
  <w:style w:type="paragraph" w:styleId="752">
    <w:name w:val="envelope return"/>
    <w:basedOn w:val="736"/>
    <w:uiPriority w:val="0"/>
    <w:qFormat/>
    <w:rPr>
      <w:rFonts w:ascii="Arial" w:hAnsi="Arial"/>
    </w:rPr>
  </w:style>
  <w:style w:type="paragraph" w:styleId="753">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754">
    <w:name w:val="toc 5"/>
    <w:basedOn w:val="736"/>
    <w:next w:val="736"/>
    <w:uiPriority w:val="39"/>
    <w:unhideWhenUsed/>
    <w:qFormat/>
    <w:pPr>
      <w:ind w:left="1134" w:right="0" w:firstLine="0"/>
      <w:spacing w:after="57"/>
    </w:pPr>
  </w:style>
  <w:style w:type="paragraph" w:styleId="755">
    <w:name w:val="toc 3"/>
    <w:basedOn w:val="736"/>
    <w:next w:val="736"/>
    <w:uiPriority w:val="39"/>
    <w:unhideWhenUsed/>
    <w:qFormat/>
    <w:pPr>
      <w:ind w:left="567" w:right="0" w:firstLine="0"/>
      <w:spacing w:after="57"/>
    </w:pPr>
  </w:style>
  <w:style w:type="paragraph" w:styleId="756">
    <w:name w:val="toc 8"/>
    <w:basedOn w:val="736"/>
    <w:next w:val="736"/>
    <w:uiPriority w:val="39"/>
    <w:unhideWhenUsed/>
    <w:qFormat/>
    <w:pPr>
      <w:ind w:left="1984" w:right="0" w:firstLine="0"/>
      <w:spacing w:after="57"/>
    </w:pPr>
  </w:style>
  <w:style w:type="paragraph" w:styleId="757">
    <w:name w:val="endnote text"/>
    <w:basedOn w:val="736"/>
    <w:link w:val="962"/>
    <w:uiPriority w:val="99"/>
    <w:semiHidden/>
    <w:unhideWhenUsed/>
    <w:qFormat/>
    <w:pPr>
      <w:spacing w:after="0" w:line="240" w:lineRule="auto"/>
    </w:pPr>
    <w:rPr>
      <w:sz w:val="20"/>
    </w:rPr>
  </w:style>
  <w:style w:type="paragraph" w:styleId="758">
    <w:name w:val="Footer"/>
    <w:basedOn w:val="736"/>
    <w:link w:val="835"/>
    <w:uiPriority w:val="99"/>
    <w:unhideWhenUsed/>
    <w:qFormat/>
    <w:pPr>
      <w:spacing w:after="0" w:line="240" w:lineRule="auto"/>
      <w:tabs>
        <w:tab w:val="center" w:pos="7143" w:leader="none"/>
        <w:tab w:val="right" w:pos="14287" w:leader="none"/>
      </w:tabs>
    </w:pPr>
  </w:style>
  <w:style w:type="paragraph" w:styleId="759">
    <w:name w:val="Header"/>
    <w:basedOn w:val="736"/>
    <w:link w:val="833"/>
    <w:uiPriority w:val="99"/>
    <w:unhideWhenUsed/>
    <w:qFormat/>
    <w:pPr>
      <w:spacing w:after="0" w:line="240" w:lineRule="auto"/>
      <w:tabs>
        <w:tab w:val="center" w:pos="7143" w:leader="none"/>
        <w:tab w:val="right" w:pos="14287" w:leader="none"/>
      </w:tabs>
    </w:pPr>
  </w:style>
  <w:style w:type="paragraph" w:styleId="760">
    <w:name w:val="toc 1"/>
    <w:basedOn w:val="736"/>
    <w:next w:val="736"/>
    <w:uiPriority w:val="39"/>
    <w:unhideWhenUsed/>
    <w:qFormat/>
    <w:pPr>
      <w:ind w:left="0" w:right="0" w:firstLine="0"/>
      <w:spacing w:after="57"/>
    </w:pPr>
  </w:style>
  <w:style w:type="paragraph" w:styleId="761">
    <w:name w:val="toc 4"/>
    <w:basedOn w:val="736"/>
    <w:next w:val="736"/>
    <w:uiPriority w:val="39"/>
    <w:unhideWhenUsed/>
    <w:qFormat/>
    <w:pPr>
      <w:ind w:left="850" w:right="0" w:firstLine="0"/>
      <w:spacing w:after="57"/>
    </w:pPr>
  </w:style>
  <w:style w:type="paragraph" w:styleId="762">
    <w:name w:val="Subtitle"/>
    <w:basedOn w:val="736"/>
    <w:next w:val="736"/>
    <w:link w:val="828"/>
    <w:uiPriority w:val="11"/>
    <w:qFormat/>
    <w:pPr>
      <w:spacing w:before="200" w:after="200"/>
    </w:pPr>
    <w:rPr>
      <w:sz w:val="24"/>
      <w:szCs w:val="24"/>
    </w:rPr>
  </w:style>
  <w:style w:type="paragraph" w:styleId="763">
    <w:name w:val="footnote text"/>
    <w:basedOn w:val="736"/>
    <w:link w:val="961"/>
    <w:uiPriority w:val="99"/>
    <w:semiHidden/>
    <w:unhideWhenUsed/>
    <w:qFormat/>
    <w:pPr>
      <w:spacing w:after="40" w:line="240" w:lineRule="auto"/>
    </w:pPr>
    <w:rPr>
      <w:sz w:val="18"/>
    </w:rPr>
  </w:style>
  <w:style w:type="paragraph" w:styleId="764">
    <w:name w:val="toc 6"/>
    <w:basedOn w:val="736"/>
    <w:next w:val="736"/>
    <w:uiPriority w:val="39"/>
    <w:unhideWhenUsed/>
    <w:qFormat/>
    <w:pPr>
      <w:ind w:left="1417" w:right="0" w:firstLine="0"/>
      <w:spacing w:after="57"/>
    </w:pPr>
  </w:style>
  <w:style w:type="paragraph" w:styleId="765">
    <w:name w:val="table of figures"/>
    <w:basedOn w:val="736"/>
    <w:next w:val="736"/>
    <w:uiPriority w:val="99"/>
    <w:unhideWhenUsed/>
    <w:qFormat/>
    <w:pPr>
      <w:spacing w:after="0" w:afterAutospacing="0"/>
    </w:pPr>
  </w:style>
  <w:style w:type="paragraph" w:styleId="766">
    <w:name w:val="toc 2"/>
    <w:basedOn w:val="736"/>
    <w:next w:val="736"/>
    <w:uiPriority w:val="39"/>
    <w:unhideWhenUsed/>
    <w:qFormat/>
    <w:pPr>
      <w:ind w:left="283" w:right="0" w:firstLine="0"/>
      <w:spacing w:after="57"/>
    </w:pPr>
  </w:style>
  <w:style w:type="paragraph" w:styleId="767">
    <w:name w:val="toc 9"/>
    <w:basedOn w:val="736"/>
    <w:next w:val="736"/>
    <w:uiPriority w:val="39"/>
    <w:unhideWhenUsed/>
    <w:qFormat/>
    <w:pPr>
      <w:ind w:left="2268" w:right="0" w:firstLine="0"/>
      <w:spacing w:after="57"/>
    </w:pPr>
  </w:style>
  <w:style w:type="paragraph" w:styleId="768">
    <w:name w:val="Normal (Web)"/>
    <w:basedOn w:val="736"/>
    <w:uiPriority w:val="99"/>
    <w:qFormat/>
    <w:pPr>
      <w:jc w:val="left"/>
      <w:spacing w:before="100" w:beforeAutospacing="1" w:after="100" w:afterAutospacing="1"/>
      <w:widowControl/>
    </w:pPr>
    <w:rPr>
      <w:rFonts w:ascii="宋体" w:hAnsi="宋体" w:cs="宋体"/>
      <w:color w:val="000000"/>
      <w:sz w:val="24"/>
      <w:szCs w:val="20"/>
    </w:rPr>
  </w:style>
  <w:style w:type="paragraph" w:styleId="769">
    <w:name w:val="Title"/>
    <w:basedOn w:val="736"/>
    <w:next w:val="736"/>
    <w:link w:val="827"/>
    <w:uiPriority w:val="10"/>
    <w:qFormat/>
    <w:pPr>
      <w:contextualSpacing/>
      <w:spacing w:before="300" w:after="200"/>
    </w:pPr>
    <w:rPr>
      <w:sz w:val="48"/>
      <w:szCs w:val="48"/>
    </w:rPr>
  </w:style>
  <w:style w:type="paragraph" w:styleId="770">
    <w:name w:val="Body Text First Indent"/>
    <w:basedOn w:val="750"/>
    <w:next w:val="771"/>
    <w:uiPriority w:val="0"/>
    <w:unhideWhenUsed/>
    <w:qFormat/>
    <w:pPr>
      <w:ind w:firstLine="498"/>
    </w:pPr>
    <w:rPr>
      <w:rFonts w:ascii="Times New Roman" w:hAnsi="Times New Roman" w:eastAsia="宋体" w:cs="Times New Roman"/>
      <w:sz w:val="24"/>
      <w:szCs w:val="20"/>
    </w:rPr>
  </w:style>
  <w:style w:type="paragraph" w:styleId="771">
    <w:name w:val="Body Text First Indent 2"/>
    <w:basedOn w:val="751"/>
    <w:next w:val="736"/>
    <w:uiPriority w:val="99"/>
    <w:qFormat/>
    <w:pPr>
      <w:ind w:left="0" w:firstLine="420"/>
      <w:spacing w:after="0" w:line="360" w:lineRule="auto"/>
    </w:pPr>
    <w:rPr>
      <w:rFonts w:ascii="宋体" w:hAnsi="宋体"/>
    </w:rPr>
  </w:style>
  <w:style w:type="table" w:styleId="7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Strong"/>
    <w:basedOn w:val="746"/>
    <w:uiPriority w:val="0"/>
    <w:qFormat/>
    <w:rPr>
      <w:b/>
    </w:rPr>
  </w:style>
  <w:style w:type="character" w:styleId="774">
    <w:name w:val="endnote reference"/>
    <w:uiPriority w:val="99"/>
    <w:semiHidden/>
    <w:unhideWhenUsed/>
    <w:qFormat/>
    <w:rPr>
      <w:vertAlign w:val="superscript"/>
    </w:rPr>
  </w:style>
  <w:style w:type="character" w:styleId="775">
    <w:name w:val="Emphasis"/>
    <w:basedOn w:val="746"/>
    <w:uiPriority w:val="20"/>
    <w:qFormat/>
    <w:rPr>
      <w:b/>
    </w:rPr>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footnote reference"/>
    <w:uiPriority w:val="99"/>
    <w:unhideWhenUsed/>
    <w:qFormat/>
    <w:rPr>
      <w:vertAlign w:val="superscript"/>
    </w:rPr>
  </w:style>
  <w:style w:type="paragraph" w:styleId="778" w:customStyle="1">
    <w:name w:val="文本块11"/>
    <w:basedOn w:val="779"/>
    <w:uiPriority w:val="99"/>
    <w:unhideWhenUsed/>
    <w:qFormat/>
    <w:pPr>
      <w:ind w:left="1440" w:right="1440"/>
      <w:spacing w:after="120"/>
    </w:pPr>
  </w:style>
  <w:style w:type="paragraph" w:styleId="779" w:customStyle="1">
    <w:name w:val="正文12"/>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0" w:customStyle="1">
    <w:name w:val="标题 21"/>
    <w:basedOn w:val="781"/>
    <w:next w:val="781"/>
    <w:uiPriority w:val="0"/>
    <w:qFormat/>
    <w:pPr>
      <w:jc w:val="left"/>
      <w:keepLines/>
      <w:keepNext/>
      <w:spacing w:before="50"/>
      <w:tabs>
        <w:tab w:val="left" w:pos="0" w:leader="none"/>
      </w:tabs>
    </w:pPr>
    <w:rPr>
      <w:rFonts w:ascii="Arial" w:hAnsi="Arial" w:eastAsia="黑体"/>
      <w:sz w:val="32"/>
      <w:szCs w:val="20"/>
    </w:rPr>
  </w:style>
  <w:style w:type="paragraph" w:styleId="781" w:customStyle="1">
    <w:name w:val="正文11"/>
    <w:next w:val="7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customStyle="1">
    <w:name w:val="目录 11"/>
    <w:basedOn w:val="779"/>
    <w:next w:val="781"/>
    <w:uiPriority w:val="0"/>
    <w:qFormat/>
    <w:pPr>
      <w:jc w:val="left"/>
      <w:spacing w:before="120" w:after="120"/>
    </w:pPr>
    <w:rPr>
      <w:rFonts w:ascii="Calibri" w:hAnsi="Calibri" w:eastAsia="宋体"/>
      <w:b/>
      <w:bCs/>
      <w:caps/>
      <w:sz w:val="20"/>
      <w:szCs w:val="20"/>
    </w:rPr>
  </w:style>
  <w:style w:type="paragraph" w:styleId="783" w:customStyle="1">
    <w:name w:val="正文1"/>
    <w:basedOn w:val="781"/>
    <w:next w:val="780"/>
    <w:uiPriority w:val="0"/>
    <w:qFormat/>
    <w:pPr>
      <w:jc w:val="left"/>
      <w:spacing w:line="360" w:lineRule="atLeast"/>
    </w:pPr>
    <w:rPr>
      <w:rFonts w:ascii="宋体" w:hAnsi="Calibri" w:eastAsia="宋体" w:cs="Times New Roman"/>
      <w:sz w:val="24"/>
      <w:szCs w:val="20"/>
    </w:rPr>
  </w:style>
  <w:style w:type="paragraph" w:styleId="784" w:customStyle="1">
    <w:name w:val="首行缩进"/>
    <w:basedOn w:val="785"/>
    <w:next w:val="736"/>
    <w:uiPriority w:val="0"/>
    <w:qFormat/>
    <w:pPr>
      <w:ind w:firstLine="480"/>
      <w:spacing w:line="360" w:lineRule="auto"/>
    </w:pPr>
    <w:rPr>
      <w:rFonts w:ascii="宋体" w:hAnsi="宋体"/>
      <w:sz w:val="24"/>
    </w:rPr>
  </w:style>
  <w:style w:type="paragraph" w:styleId="785" w:customStyle="1">
    <w:name w:val="正文13"/>
    <w:next w:val="7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customStyle="1">
    <w:name w:val="文本块1"/>
    <w:basedOn w:val="783"/>
    <w:next w:val="787"/>
    <w:uiPriority w:val="0"/>
    <w:qFormat/>
    <w:pPr>
      <w:ind w:left="420" w:right="33"/>
      <w:jc w:val="left"/>
    </w:pPr>
    <w:rPr>
      <w:sz w:val="24"/>
      <w:szCs w:val="20"/>
    </w:rPr>
  </w:style>
  <w:style w:type="paragraph" w:styleId="787" w:customStyle="1">
    <w:name w:val="标题 41"/>
    <w:basedOn w:val="788"/>
    <w:next w:val="781"/>
    <w:uiPriority w:val="0"/>
    <w:qFormat/>
    <w:pPr>
      <w:ind w:left="864" w:hanging="864"/>
      <w:keepLines/>
      <w:keepNext/>
      <w:spacing w:before="280" w:after="290" w:line="376" w:lineRule="auto"/>
      <w:outlineLvl w:val="3"/>
    </w:pPr>
    <w:rPr>
      <w:rFonts w:ascii="Cambria" w:hAnsi="Cambria"/>
      <w:sz w:val="28"/>
      <w:szCs w:val="28"/>
    </w:rPr>
  </w:style>
  <w:style w:type="paragraph" w:styleId="788" w:customStyle="1">
    <w:name w:val="标题1"/>
    <w:basedOn w:val="779"/>
    <w:next w:val="789"/>
    <w:uiPriority w:val="0"/>
    <w:qFormat/>
    <w:pPr>
      <w:jc w:val="center"/>
      <w:spacing w:before="240" w:after="60"/>
      <w:outlineLvl w:val="0"/>
    </w:pPr>
    <w:rPr>
      <w:rFonts w:ascii="Cambria" w:hAnsi="Cambria"/>
      <w:b/>
      <w:bCs/>
      <w:sz w:val="32"/>
      <w:szCs w:val="32"/>
    </w:rPr>
  </w:style>
  <w:style w:type="paragraph" w:styleId="789" w:customStyle="1">
    <w:name w:val="正文112"/>
    <w:next w:val="7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customStyle="1">
    <w:name w:val="页脚1"/>
    <w:basedOn w:val="791"/>
    <w:uiPriority w:val="0"/>
    <w:qFormat/>
    <w:pPr>
      <w:jc w:val="left"/>
      <w:tabs>
        <w:tab w:val="center" w:pos="4153" w:leader="none"/>
        <w:tab w:val="right" w:pos="8306" w:leader="none"/>
      </w:tabs>
    </w:pPr>
    <w:rPr>
      <w:sz w:val="18"/>
      <w:szCs w:val="18"/>
    </w:rPr>
  </w:style>
  <w:style w:type="paragraph" w:styleId="791" w:customStyle="1">
    <w:name w:val="正文113"/>
    <w:next w:val="792"/>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792" w:customStyle="1">
    <w:name w:val="BodyText1I21"/>
    <w:basedOn w:val="793"/>
    <w:uiPriority w:val="0"/>
    <w:qFormat/>
    <w:pPr>
      <w:ind w:firstLine="420"/>
      <w:spacing w:line="240" w:lineRule="auto"/>
    </w:pPr>
    <w:rPr>
      <w:sz w:val="21"/>
    </w:rPr>
  </w:style>
  <w:style w:type="paragraph" w:styleId="793" w:customStyle="1">
    <w:name w:val="BodyTextIndent1"/>
    <w:basedOn w:val="791"/>
    <w:next w:val="794"/>
    <w:uiPriority w:val="0"/>
    <w:qFormat/>
    <w:pPr>
      <w:ind w:left="420" w:firstLine="200"/>
      <w:spacing w:after="120" w:line="360" w:lineRule="auto"/>
    </w:pPr>
    <w:rPr>
      <w:rFonts w:ascii="Verdana" w:hAnsi="Verdana"/>
      <w:sz w:val="24"/>
      <w:szCs w:val="28"/>
    </w:rPr>
  </w:style>
  <w:style w:type="paragraph" w:styleId="794" w:customStyle="1">
    <w:name w:val="EnvelopeReturn1"/>
    <w:basedOn w:val="736"/>
    <w:uiPriority w:val="0"/>
    <w:qFormat/>
    <w:rPr>
      <w:rFonts w:ascii="Arial" w:hAnsi="Arial" w:eastAsia="宋体" w:cs="Times New Roman"/>
    </w:rPr>
  </w:style>
  <w:style w:type="paragraph" w:styleId="795" w:customStyle="1">
    <w:name w:val="索引 411"/>
    <w:basedOn w:val="736"/>
    <w:next w:val="736"/>
    <w:uiPriority w:val="0"/>
    <w:qFormat/>
    <w:pPr>
      <w:ind w:left="1260"/>
    </w:pPr>
  </w:style>
  <w:style w:type="paragraph" w:styleId="796" w:customStyle="1">
    <w:name w:val="一级条标题"/>
    <w:basedOn w:val="797"/>
    <w:next w:val="79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7" w:customStyle="1">
    <w:name w:val="章标题"/>
    <w:basedOn w:val="789"/>
    <w:next w:val="73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98" w:customStyle="1">
    <w:name w:val="段"/>
    <w:basedOn w:val="783"/>
    <w:next w:val="736"/>
    <w:uiPriority w:val="0"/>
    <w:qFormat/>
    <w:pPr>
      <w:ind w:firstLine="200"/>
      <w:widowControl/>
    </w:pPr>
    <w:rPr>
      <w:sz w:val="20"/>
    </w:rPr>
  </w:style>
  <w:style w:type="paragraph" w:styleId="799" w:customStyle="1">
    <w:name w:val="正文111"/>
    <w:next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0" w:customStyle="1">
    <w:name w:val="正文首行缩进1"/>
    <w:basedOn w:val="801"/>
    <w:next w:val="807"/>
    <w:uiPriority w:val="0"/>
    <w:qFormat/>
    <w:pPr>
      <w:ind w:firstLine="420"/>
      <w:spacing w:after="120"/>
    </w:pPr>
    <w:rPr>
      <w:rFonts w:ascii="Times New Roman" w:eastAsia="宋体"/>
      <w:sz w:val="24"/>
      <w:szCs w:val="24"/>
    </w:rPr>
  </w:style>
  <w:style w:type="paragraph" w:styleId="801" w:customStyle="1">
    <w:name w:val="正文文本11"/>
    <w:basedOn w:val="802"/>
    <w:next w:val="796"/>
    <w:uiPriority w:val="0"/>
    <w:qFormat/>
    <w:pPr>
      <w:spacing w:after="120"/>
    </w:pPr>
  </w:style>
  <w:style w:type="paragraph" w:styleId="802" w:customStyle="1">
    <w:name w:val="正文121"/>
    <w:next w:val="803"/>
    <w:uiPriority w:val="0"/>
    <w:qFormat/>
    <w:rPr>
      <w:rFonts w:hint="default" w:ascii="Times New Roman" w:hAnsi="Times New Roman" w:eastAsia="宋体" w:cs="Times New Roman"/>
    </w:rPr>
  </w:style>
  <w:style w:type="paragraph" w:styleId="803" w:customStyle="1">
    <w:name w:val="正文首行缩进 211"/>
    <w:basedOn w:val="804"/>
    <w:next w:val="802"/>
    <w:uiPriority w:val="0"/>
    <w:qFormat/>
    <w:pPr>
      <w:ind w:firstLine="420"/>
      <w:jc w:val="both"/>
    </w:pPr>
    <w:rPr>
      <w:lang w:val="en-US" w:eastAsia="en-US"/>
    </w:rPr>
  </w:style>
  <w:style w:type="paragraph" w:styleId="804" w:customStyle="1">
    <w:name w:val="正文文本缩进111"/>
    <w:basedOn w:val="802"/>
    <w:next w:val="805"/>
    <w:uiPriority w:val="0"/>
    <w:qFormat/>
    <w:pPr>
      <w:ind w:firstLine="538"/>
    </w:pPr>
    <w:rPr>
      <w:sz w:val="28"/>
    </w:rPr>
  </w:style>
  <w:style w:type="paragraph" w:styleId="805" w:customStyle="1">
    <w:name w:val="样式 正文文本缩进 + 首行缩进:  2 字符 行距: 1.5 倍行距"/>
    <w:basedOn w:val="806"/>
    <w:uiPriority w:val="0"/>
    <w:qFormat/>
    <w:pPr>
      <w:ind w:firstLine="645"/>
      <w:spacing w:before="156"/>
    </w:pPr>
    <w:rPr>
      <w:rFonts w:ascii="Calibri" w:hAnsi="Calibri"/>
      <w:sz w:val="28"/>
    </w:rPr>
  </w:style>
  <w:style w:type="paragraph" w:styleId="806" w:customStyle="1">
    <w:name w:val="正文文本缩进1"/>
    <w:basedOn w:val="781"/>
    <w:next w:val="805"/>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807" w:customStyle="1">
    <w:name w:val="正文首行缩进 21"/>
    <w:basedOn w:val="806"/>
    <w:next w:val="799"/>
    <w:uiPriority w:val="0"/>
    <w:qFormat/>
    <w:pPr>
      <w:ind w:firstLine="420"/>
    </w:pPr>
  </w:style>
  <w:style w:type="paragraph" w:styleId="808" w:customStyle="1">
    <w:name w:val="正文首行缩进11"/>
    <w:basedOn w:val="801"/>
    <w:uiPriority w:val="0"/>
    <w:qFormat/>
    <w:pPr>
      <w:ind w:firstLine="420"/>
    </w:pPr>
    <w:rPr>
      <w:sz w:val="24"/>
    </w:rPr>
  </w:style>
  <w:style w:type="paragraph" w:styleId="809" w:customStyle="1">
    <w:name w:val="正文1111"/>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目录 111"/>
    <w:basedOn w:val="799"/>
    <w:next w:val="799"/>
    <w:uiPriority w:val="0"/>
    <w:qFormat/>
    <w:pPr>
      <w:jc w:val="left"/>
      <w:spacing w:after="100" w:line="259" w:lineRule="auto"/>
      <w:widowControl/>
    </w:pPr>
    <w:rPr>
      <w:rFonts w:ascii="Calibri" w:hAnsi="Calibri" w:eastAsia="宋体"/>
      <w:sz w:val="22"/>
      <w:szCs w:val="22"/>
    </w:rPr>
  </w:style>
  <w:style w:type="paragraph" w:styleId="811" w:customStyle="1">
    <w:name w:val="正文文本111"/>
    <w:basedOn w:val="736"/>
    <w:next w:val="779"/>
    <w:uiPriority w:val="0"/>
    <w:qFormat/>
    <w:rPr>
      <w:rFonts w:ascii="楷体_GB2312" w:hAnsi="Arial" w:eastAsia="楷体_GB2312"/>
      <w:sz w:val="28"/>
      <w:szCs w:val="28"/>
      <w:lang w:eastAsia="en-US"/>
    </w:rPr>
  </w:style>
  <w:style w:type="paragraph" w:styleId="812" w:customStyle="1">
    <w:name w:val="正文缩进1"/>
    <w:basedOn w:val="736"/>
    <w:uiPriority w:val="0"/>
    <w:qFormat/>
    <w:pPr>
      <w:ind w:firstLine="420"/>
    </w:pPr>
  </w:style>
  <w:style w:type="paragraph" w:styleId="813" w:customStyle="1">
    <w:name w:val="寄信人地址1"/>
    <w:basedOn w:val="783"/>
    <w:uiPriority w:val="0"/>
    <w:qFormat/>
    <w:rPr>
      <w:rFonts w:ascii="Arial" w:hAnsi="Arial"/>
    </w:rPr>
  </w:style>
  <w:style w:type="paragraph" w:styleId="814" w:customStyle="1">
    <w:name w:val="BodyText1I2"/>
    <w:basedOn w:val="815"/>
    <w:uiPriority w:val="0"/>
    <w:qFormat/>
    <w:pPr>
      <w:ind w:firstLine="420"/>
      <w:spacing w:line="240" w:lineRule="auto"/>
    </w:pPr>
    <w:rPr>
      <w:sz w:val="21"/>
    </w:rPr>
  </w:style>
  <w:style w:type="paragraph" w:styleId="815" w:customStyle="1">
    <w:name w:val="BodyTextIndent"/>
    <w:basedOn w:val="791"/>
    <w:uiPriority w:val="0"/>
    <w:qFormat/>
    <w:pPr>
      <w:ind w:left="420" w:firstLine="200"/>
      <w:spacing w:after="120" w:line="360" w:lineRule="auto"/>
    </w:pPr>
    <w:rPr>
      <w:rFonts w:ascii="Verdana" w:hAnsi="Verdana"/>
      <w:sz w:val="24"/>
      <w:szCs w:val="28"/>
    </w:rPr>
  </w:style>
  <w:style w:type="character" w:styleId="816" w:customStyle="1">
    <w:name w:val="Heading 1 Char"/>
    <w:link w:val="737"/>
    <w:uiPriority w:val="9"/>
    <w:qFormat/>
    <w:rPr>
      <w:rFonts w:ascii="Arial" w:hAnsi="Arial" w:eastAsia="Arial" w:cs="Arial"/>
      <w:sz w:val="40"/>
      <w:szCs w:val="40"/>
    </w:rPr>
  </w:style>
  <w:style w:type="character" w:styleId="817" w:customStyle="1">
    <w:name w:val="Heading 2 Char"/>
    <w:link w:val="738"/>
    <w:uiPriority w:val="9"/>
    <w:qFormat/>
    <w:rPr>
      <w:rFonts w:ascii="Arial" w:hAnsi="Arial" w:eastAsia="Arial" w:cs="Arial"/>
      <w:sz w:val="34"/>
    </w:rPr>
  </w:style>
  <w:style w:type="character" w:styleId="818" w:customStyle="1">
    <w:name w:val="Heading 3 Char"/>
    <w:link w:val="739"/>
    <w:uiPriority w:val="9"/>
    <w:qFormat/>
    <w:rPr>
      <w:rFonts w:ascii="Arial" w:hAnsi="Arial" w:eastAsia="Arial" w:cs="Arial"/>
      <w:sz w:val="30"/>
      <w:szCs w:val="30"/>
    </w:rPr>
  </w:style>
  <w:style w:type="character" w:styleId="819" w:customStyle="1">
    <w:name w:val="Heading 4 Char"/>
    <w:link w:val="740"/>
    <w:uiPriority w:val="9"/>
    <w:qFormat/>
    <w:rPr>
      <w:rFonts w:ascii="Arial" w:hAnsi="Arial" w:eastAsia="Arial" w:cs="Arial"/>
      <w:b/>
      <w:bCs/>
      <w:sz w:val="26"/>
      <w:szCs w:val="26"/>
    </w:rPr>
  </w:style>
  <w:style w:type="character" w:styleId="820" w:customStyle="1">
    <w:name w:val="Heading 5 Char"/>
    <w:link w:val="741"/>
    <w:uiPriority w:val="9"/>
    <w:qFormat/>
    <w:rPr>
      <w:rFonts w:ascii="Arial" w:hAnsi="Arial" w:eastAsia="Arial" w:cs="Arial"/>
      <w:b/>
      <w:bCs/>
      <w:sz w:val="24"/>
      <w:szCs w:val="24"/>
    </w:rPr>
  </w:style>
  <w:style w:type="character" w:styleId="821" w:customStyle="1">
    <w:name w:val="Heading 6 Char"/>
    <w:link w:val="742"/>
    <w:uiPriority w:val="9"/>
    <w:qFormat/>
    <w:rPr>
      <w:rFonts w:ascii="Arial" w:hAnsi="Arial" w:eastAsia="Arial" w:cs="Arial"/>
      <w:b/>
      <w:bCs/>
      <w:sz w:val="22"/>
      <w:szCs w:val="22"/>
    </w:rPr>
  </w:style>
  <w:style w:type="character" w:styleId="822" w:customStyle="1">
    <w:name w:val="Heading 7 Char"/>
    <w:link w:val="743"/>
    <w:uiPriority w:val="9"/>
    <w:qFormat/>
    <w:rPr>
      <w:rFonts w:ascii="Arial" w:hAnsi="Arial" w:eastAsia="Arial" w:cs="Arial"/>
      <w:b/>
      <w:bCs/>
      <w:i/>
      <w:iCs/>
      <w:sz w:val="22"/>
      <w:szCs w:val="22"/>
    </w:rPr>
  </w:style>
  <w:style w:type="character" w:styleId="823" w:customStyle="1">
    <w:name w:val="Heading 8 Char"/>
    <w:link w:val="744"/>
    <w:uiPriority w:val="9"/>
    <w:qFormat/>
    <w:rPr>
      <w:rFonts w:ascii="Arial" w:hAnsi="Arial" w:eastAsia="Arial" w:cs="Arial"/>
      <w:i/>
      <w:iCs/>
      <w:sz w:val="22"/>
      <w:szCs w:val="22"/>
    </w:rPr>
  </w:style>
  <w:style w:type="character" w:styleId="824" w:customStyle="1">
    <w:name w:val="Heading 9 Char"/>
    <w:link w:val="745"/>
    <w:uiPriority w:val="9"/>
    <w:qFormat/>
    <w:rPr>
      <w:rFonts w:ascii="Arial" w:hAnsi="Arial" w:eastAsia="Arial" w:cs="Arial"/>
      <w:i/>
      <w:iCs/>
      <w:sz w:val="21"/>
      <w:szCs w:val="21"/>
    </w:rPr>
  </w:style>
  <w:style w:type="paragraph" w:styleId="825">
    <w:name w:val="List Paragraph"/>
    <w:basedOn w:val="736"/>
    <w:uiPriority w:val="34"/>
    <w:qFormat/>
    <w:pPr>
      <w:contextualSpacing/>
      <w:ind w:left="720"/>
    </w:pPr>
  </w:style>
  <w:style w:type="paragraph" w:styleId="826">
    <w:name w:val="No Spacing"/>
    <w:uiPriority w:val="1"/>
    <w:qFormat/>
    <w:pPr>
      <w:spacing w:before="0" w:after="0" w:line="240" w:lineRule="auto"/>
    </w:pPr>
    <w:rPr>
      <w:rFonts w:hint="default" w:ascii="Times New Roman" w:hAnsi="Times New Roman" w:eastAsia="宋体" w:cs="Times New Roman"/>
    </w:rPr>
  </w:style>
  <w:style w:type="character" w:styleId="827" w:customStyle="1">
    <w:name w:val="Title Char"/>
    <w:link w:val="769"/>
    <w:uiPriority w:val="10"/>
    <w:qFormat/>
    <w:rPr>
      <w:sz w:val="48"/>
      <w:szCs w:val="48"/>
    </w:rPr>
  </w:style>
  <w:style w:type="character" w:styleId="828" w:customStyle="1">
    <w:name w:val="Subtitle Char"/>
    <w:link w:val="762"/>
    <w:uiPriority w:val="11"/>
    <w:qFormat/>
    <w:rPr>
      <w:sz w:val="24"/>
      <w:szCs w:val="24"/>
    </w:rPr>
  </w:style>
  <w:style w:type="paragraph" w:styleId="829">
    <w:name w:val="Quote"/>
    <w:basedOn w:val="736"/>
    <w:next w:val="736"/>
    <w:link w:val="830"/>
    <w:uiPriority w:val="29"/>
    <w:qFormat/>
    <w:pPr>
      <w:ind w:left="720" w:right="720"/>
    </w:pPr>
    <w:rPr>
      <w:i/>
    </w:rPr>
  </w:style>
  <w:style w:type="character" w:styleId="830" w:customStyle="1">
    <w:name w:val="Quote Char"/>
    <w:link w:val="829"/>
    <w:uiPriority w:val="29"/>
    <w:qFormat/>
    <w:rPr>
      <w:i/>
    </w:rPr>
  </w:style>
  <w:style w:type="paragraph" w:styleId="831">
    <w:name w:val="Intense Quote"/>
    <w:basedOn w:val="736"/>
    <w:next w:val="736"/>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Intense Quote Char"/>
    <w:link w:val="831"/>
    <w:uiPriority w:val="30"/>
    <w:qFormat/>
    <w:rPr>
      <w:i/>
    </w:rPr>
  </w:style>
  <w:style w:type="character" w:styleId="833" w:customStyle="1">
    <w:name w:val="Header Char"/>
    <w:link w:val="759"/>
    <w:uiPriority w:val="99"/>
    <w:qFormat/>
  </w:style>
  <w:style w:type="character" w:styleId="834" w:customStyle="1">
    <w:name w:val="Footer Char"/>
    <w:link w:val="758"/>
    <w:uiPriority w:val="99"/>
    <w:qFormat/>
  </w:style>
  <w:style w:type="character" w:styleId="835" w:customStyle="1">
    <w:name w:val="Caption Char"/>
    <w:link w:val="758"/>
    <w:uiPriority w:val="99"/>
    <w:qFormat/>
  </w:style>
  <w:style w:type="table" w:styleId="8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Footnote Text Char"/>
    <w:link w:val="763"/>
    <w:uiPriority w:val="99"/>
    <w:qFormat/>
    <w:rPr>
      <w:sz w:val="18"/>
    </w:rPr>
  </w:style>
  <w:style w:type="character" w:styleId="962" w:customStyle="1">
    <w:name w:val="Endnote Text Char"/>
    <w:link w:val="757"/>
    <w:uiPriority w:val="99"/>
    <w:qFormat/>
    <w:rPr>
      <w:sz w:val="20"/>
    </w:rPr>
  </w:style>
  <w:style w:type="paragraph" w:styleId="963" w:customStyle="1">
    <w:name w:val="TOC Heading"/>
    <w:uiPriority w:val="39"/>
    <w:unhideWhenUsed/>
    <w:qFormat/>
    <w:rPr>
      <w:rFonts w:hint="default" w:ascii="Times New Roman" w:hAnsi="Times New Roman" w:eastAsia="宋体" w:cs="Times New Roman"/>
    </w:rPr>
  </w:style>
  <w:style w:type="paragraph" w:styleId="964" w:customStyle="1">
    <w:name w:val="标题 111"/>
    <w:basedOn w:val="736"/>
    <w:next w:val="736"/>
    <w:uiPriority w:val="0"/>
    <w:qFormat/>
    <w:pPr>
      <w:jc w:val="center"/>
      <w:keepLines/>
      <w:keepNext/>
      <w:spacing w:line="578" w:lineRule="auto"/>
      <w:outlineLvl w:val="0"/>
    </w:pPr>
    <w:rPr>
      <w:rFonts w:eastAsia="新宋体"/>
      <w:b/>
      <w:bCs/>
      <w:sz w:val="30"/>
      <w:szCs w:val="44"/>
    </w:rPr>
  </w:style>
  <w:style w:type="paragraph" w:styleId="965" w:customStyle="1">
    <w:name w:val="标题 211"/>
    <w:basedOn w:val="736"/>
    <w:next w:val="736"/>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966" w:customStyle="1">
    <w:name w:val="标题 31"/>
    <w:basedOn w:val="736"/>
    <w:next w:val="736"/>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67" w:customStyle="1">
    <w:name w:val="默认段落字体1"/>
    <w:link w:val="736"/>
    <w:uiPriority w:val="0"/>
    <w:semiHidden/>
    <w:qFormat/>
  </w:style>
  <w:style w:type="table" w:styleId="968" w:customStyle="1">
    <w:name w:val="普通表格111"/>
    <w:uiPriority w:val="0"/>
    <w:semiHidden/>
    <w:qFormat/>
    <w:tblPr/>
  </w:style>
  <w:style w:type="paragraph" w:styleId="969" w:customStyle="1">
    <w:name w:val="索引 511"/>
    <w:basedOn w:val="736"/>
    <w:next w:val="736"/>
    <w:uiPriority w:val="0"/>
    <w:qFormat/>
    <w:pPr>
      <w:ind w:left="798"/>
      <w:jc w:val="left"/>
    </w:pPr>
    <w:rPr>
      <w:rFonts w:ascii="Calibri" w:hAnsi="Calibri" w:eastAsia="宋体" w:cs="Times New Roman"/>
      <w:sz w:val="21"/>
      <w:szCs w:val="24"/>
    </w:rPr>
  </w:style>
  <w:style w:type="paragraph" w:styleId="970" w:customStyle="1">
    <w:name w:val="正文文本12"/>
    <w:basedOn w:val="736"/>
    <w:next w:val="736"/>
    <w:uiPriority w:val="99"/>
    <w:qFormat/>
    <w:pPr>
      <w:spacing w:after="120"/>
    </w:pPr>
    <w:rPr>
      <w:rFonts w:ascii="Calibri" w:hAnsi="Calibri"/>
    </w:rPr>
  </w:style>
  <w:style w:type="paragraph" w:styleId="971" w:customStyle="1">
    <w:name w:val="正文文本缩进12"/>
    <w:basedOn w:val="736"/>
    <w:next w:val="972"/>
    <w:uiPriority w:val="0"/>
    <w:qFormat/>
    <w:pPr>
      <w:ind w:left="420"/>
      <w:spacing w:after="120"/>
    </w:pPr>
    <w:rPr>
      <w:rFonts w:ascii="Calibri" w:hAnsi="Calibri"/>
    </w:rPr>
  </w:style>
  <w:style w:type="paragraph" w:styleId="972" w:customStyle="1">
    <w:name w:val="寄信人地址11"/>
    <w:basedOn w:val="736"/>
    <w:uiPriority w:val="0"/>
    <w:qFormat/>
    <w:rPr>
      <w:rFonts w:ascii="Arial" w:hAnsi="Arial" w:eastAsia="宋体" w:cs="Times New Roman"/>
    </w:rPr>
  </w:style>
  <w:style w:type="paragraph" w:styleId="973" w:customStyle="1">
    <w:name w:val="索引 412"/>
    <w:basedOn w:val="736"/>
    <w:next w:val="736"/>
    <w:uiPriority w:val="0"/>
    <w:qFormat/>
    <w:pPr>
      <w:ind w:left="1260"/>
    </w:pPr>
  </w:style>
  <w:style w:type="paragraph" w:styleId="974" w:customStyle="1">
    <w:name w:val="页脚11"/>
    <w:basedOn w:val="736"/>
    <w:uiPriority w:val="99"/>
    <w:qFormat/>
    <w:pPr>
      <w:jc w:val="left"/>
      <w:tabs>
        <w:tab w:val="center" w:pos="4153" w:leader="none"/>
        <w:tab w:val="right" w:pos="8306" w:leader="none"/>
      </w:tabs>
    </w:pPr>
    <w:rPr>
      <w:sz w:val="18"/>
      <w:szCs w:val="18"/>
    </w:rPr>
  </w:style>
  <w:style w:type="paragraph" w:styleId="975" w:customStyle="1">
    <w:name w:val="页眉11"/>
    <w:basedOn w:val="736"/>
    <w:uiPriority w:val="99"/>
    <w:qFormat/>
    <w:pPr>
      <w:jc w:val="center"/>
      <w:tabs>
        <w:tab w:val="center" w:pos="4153" w:leader="none"/>
        <w:tab w:val="right" w:pos="8306" w:leader="none"/>
      </w:tabs>
      <w:pBdr>
        <w:bottom w:val="single" w:color="000000" w:sz="6" w:space="1"/>
      </w:pBdr>
    </w:pPr>
    <w:rPr>
      <w:sz w:val="18"/>
      <w:szCs w:val="18"/>
    </w:rPr>
  </w:style>
  <w:style w:type="paragraph" w:styleId="976" w:customStyle="1">
    <w:name w:val="目录 1111"/>
    <w:basedOn w:val="736"/>
    <w:next w:val="736"/>
    <w:uiPriority w:val="39"/>
    <w:unhideWhenUsed/>
    <w:qFormat/>
    <w:pPr>
      <w:ind w:left="0" w:right="0" w:firstLine="0"/>
      <w:spacing w:after="57"/>
    </w:pPr>
  </w:style>
  <w:style w:type="paragraph" w:styleId="977" w:customStyle="1">
    <w:name w:val="脚注文本11"/>
    <w:basedOn w:val="736"/>
    <w:next w:val="969"/>
    <w:uiPriority w:val="0"/>
    <w:qFormat/>
    <w:pPr>
      <w:jc w:val="left"/>
    </w:pPr>
    <w:rPr>
      <w:rFonts w:ascii="Calibri" w:hAnsi="Calibri" w:eastAsia="宋体" w:cs="Times New Roman"/>
      <w:sz w:val="18"/>
      <w:szCs w:val="24"/>
    </w:rPr>
  </w:style>
  <w:style w:type="paragraph" w:styleId="978" w:customStyle="1">
    <w:name w:val="普通(网站)1"/>
    <w:basedOn w:val="736"/>
    <w:uiPriority w:val="0"/>
    <w:qFormat/>
    <w:pPr>
      <w:spacing w:before="100" w:beforeAutospacing="1" w:after="100" w:afterAutospacing="1"/>
    </w:pPr>
    <w:rPr>
      <w:rFonts w:ascii="宋体" w:hAnsi="宋体"/>
      <w:sz w:val="24"/>
    </w:rPr>
  </w:style>
  <w:style w:type="paragraph" w:styleId="979" w:customStyle="1">
    <w:name w:val="正文首行缩进12"/>
    <w:basedOn w:val="970"/>
    <w:next w:val="980"/>
    <w:uiPriority w:val="0"/>
    <w:qFormat/>
    <w:pPr>
      <w:ind w:firstLine="420"/>
    </w:pPr>
  </w:style>
  <w:style w:type="paragraph" w:styleId="980" w:customStyle="1">
    <w:name w:val="正文首行缩进 2111"/>
    <w:basedOn w:val="971"/>
    <w:next w:val="736"/>
    <w:uiPriority w:val="0"/>
    <w:qFormat/>
    <w:pPr>
      <w:ind w:firstLine="420"/>
      <w:spacing w:line="360" w:lineRule="auto"/>
    </w:pPr>
    <w:rPr>
      <w:color w:val="000000"/>
      <w:sz w:val="20"/>
    </w:rPr>
  </w:style>
  <w:style w:type="table" w:styleId="981" w:customStyle="1">
    <w:name w:val="网格型12"/>
    <w:basedOn w:val="968"/>
    <w:uiPriority w:val="39"/>
    <w:qFormat/>
    <w:tblPr/>
  </w:style>
  <w:style w:type="character" w:styleId="982" w:customStyle="1">
    <w:name w:val="页码1"/>
    <w:basedOn w:val="967"/>
    <w:link w:val="736"/>
    <w:uiPriority w:val="0"/>
    <w:qFormat/>
  </w:style>
  <w:style w:type="character" w:styleId="983" w:customStyle="1">
    <w:name w:val="超链接1"/>
    <w:basedOn w:val="967"/>
    <w:link w:val="736"/>
    <w:uiPriority w:val="99"/>
    <w:unhideWhenUsed/>
    <w:qFormat/>
    <w:rPr>
      <w:color w:val="0000ff"/>
      <w:u w:val="none"/>
    </w:rPr>
  </w:style>
  <w:style w:type="paragraph" w:styleId="984" w:customStyle="1">
    <w:name w:val="BodyText1I211"/>
    <w:basedOn w:val="985"/>
    <w:uiPriority w:val="0"/>
    <w:qFormat/>
    <w:pPr>
      <w:ind w:firstLine="420"/>
      <w:spacing w:line="240" w:lineRule="auto"/>
    </w:pPr>
    <w:rPr>
      <w:sz w:val="21"/>
    </w:rPr>
  </w:style>
  <w:style w:type="paragraph" w:styleId="985" w:customStyle="1">
    <w:name w:val="BodyTextIndent11"/>
    <w:basedOn w:val="791"/>
    <w:uiPriority w:val="0"/>
    <w:qFormat/>
    <w:pPr>
      <w:ind w:left="420" w:firstLine="200"/>
      <w:spacing w:after="120" w:line="360" w:lineRule="auto"/>
    </w:pPr>
    <w:rPr>
      <w:rFonts w:ascii="Verdana" w:hAnsi="Verdana"/>
      <w:sz w:val="24"/>
      <w:szCs w:val="28"/>
    </w:rPr>
  </w:style>
  <w:style w:type="character" w:styleId="986" w:customStyle="1">
    <w:name w:val="NormalCharacter1"/>
    <w:link w:val="736"/>
    <w:uiPriority w:val="0"/>
    <w:semiHidden/>
    <w:qFormat/>
    <w:rPr>
      <w:sz w:val="28"/>
      <w:lang w:val="en-US" w:eastAsia="zh-CN" w:bidi="ar-SA"/>
    </w:rPr>
  </w:style>
  <w:style w:type="paragraph" w:styleId="987" w:customStyle="1">
    <w:name w:val="正文文本缩进11"/>
    <w:basedOn w:val="781"/>
    <w:next w:val="789"/>
    <w:uiPriority w:val="0"/>
    <w:qFormat/>
    <w:pPr>
      <w:ind w:firstLine="425"/>
      <w:spacing w:line="360" w:lineRule="auto"/>
    </w:pPr>
  </w:style>
  <w:style w:type="paragraph" w:styleId="988" w:customStyle="1">
    <w:name w:val="标题 11"/>
    <w:basedOn w:val="799"/>
    <w:next w:val="799"/>
    <w:uiPriority w:val="0"/>
    <w:qFormat/>
    <w:pPr>
      <w:keepLines/>
      <w:keepNext/>
      <w:spacing w:before="340" w:after="330" w:line="578" w:lineRule="auto"/>
      <w:outlineLvl w:val="0"/>
    </w:pPr>
    <w:rPr>
      <w:b/>
      <w:bCs/>
      <w:sz w:val="44"/>
      <w:szCs w:val="44"/>
    </w:rPr>
  </w:style>
  <w:style w:type="paragraph" w:styleId="989" w:customStyle="1">
    <w:name w:val="BlockQuote1"/>
    <w:basedOn w:val="802"/>
    <w:uiPriority w:val="0"/>
    <w:qFormat/>
    <w:pPr>
      <w:ind w:left="256" w:right="6" w:firstLine="624"/>
    </w:pPr>
    <w:rPr>
      <w:rFonts w:eastAsia="仿宋_GB2312"/>
      <w:sz w:val="28"/>
    </w:rPr>
  </w:style>
  <w:style w:type="paragraph" w:styleId="990" w:customStyle="1">
    <w:name w:val="正文文本1"/>
    <w:basedOn w:val="779"/>
    <w:next w:val="796"/>
    <w:uiPriority w:val="0"/>
    <w:qFormat/>
    <w:pPr>
      <w:spacing w:after="120"/>
    </w:pPr>
    <w:rPr>
      <w:lang w:eastAsia="en-US"/>
    </w:rPr>
  </w:style>
  <w:style w:type="paragraph" w:styleId="991" w:customStyle="1">
    <w:name w:val="纯文本1"/>
    <w:basedOn w:val="781"/>
    <w:uiPriority w:val="0"/>
    <w:qFormat/>
    <w:rPr>
      <w:rFonts w:ascii="宋体" w:hAnsi="Courier New"/>
      <w:sz w:val="20"/>
      <w:szCs w:val="20"/>
    </w:rPr>
  </w:style>
  <w:style w:type="paragraph" w:styleId="992" w:customStyle="1">
    <w:name w:val="表格文字"/>
    <w:basedOn w:val="779"/>
    <w:next w:val="801"/>
    <w:uiPriority w:val="0"/>
    <w:qFormat/>
    <w:pPr>
      <w:jc w:val="left"/>
    </w:pPr>
    <w:rPr>
      <w:bCs/>
      <w:spacing w:val="10"/>
      <w:sz w:val="20"/>
      <w:szCs w:val="20"/>
    </w:rPr>
  </w:style>
  <w:style w:type="paragraph" w:styleId="993" w:customStyle="1">
    <w:name w:val="脚注文本1"/>
    <w:basedOn w:val="785"/>
    <w:next w:val="994"/>
    <w:uiPriority w:val="0"/>
    <w:qFormat/>
    <w:rPr>
      <w:rFonts w:eastAsia="Times New Roman"/>
      <w:sz w:val="18"/>
      <w:szCs w:val="18"/>
    </w:rPr>
  </w:style>
  <w:style w:type="paragraph" w:styleId="994" w:customStyle="1">
    <w:name w:val="索引 51"/>
    <w:basedOn w:val="783"/>
    <w:next w:val="783"/>
    <w:uiPriority w:val="0"/>
    <w:qFormat/>
    <w:pPr>
      <w:ind w:left="798"/>
    </w:pPr>
    <w:rPr>
      <w:rFonts w:ascii="Calibri" w:hAnsi="Calibri"/>
    </w:rPr>
  </w:style>
  <w:style w:type="paragraph" w:styleId="995" w:customStyle="1">
    <w:name w:val="列出段落1"/>
    <w:basedOn w:val="736"/>
    <w:uiPriority w:val="34"/>
    <w:qFormat/>
    <w:pPr>
      <w:ind w:left="480"/>
      <w:jc w:val="left"/>
    </w:pPr>
    <w:rPr>
      <w:rFonts w:ascii="Calibri" w:hAnsi="Calibri" w:eastAsia="PMingLiU"/>
      <w:sz w:val="24"/>
      <w:szCs w:val="20"/>
      <w:lang w:eastAsia="zh-TW"/>
    </w:rPr>
  </w:style>
  <w:style w:type="paragraph" w:styleId="996" w:customStyle="1">
    <w:name w:val="页眉1"/>
    <w:basedOn w:val="785"/>
    <w:uiPriority w:val="0"/>
    <w:qFormat/>
    <w:pPr>
      <w:jc w:val="center"/>
      <w:tabs>
        <w:tab w:val="center" w:pos="4153" w:leader="none"/>
        <w:tab w:val="right" w:pos="8306" w:leader="none"/>
      </w:tabs>
      <w:pBdr>
        <w:bottom w:val="single" w:color="000000" w:sz="6" w:space="1"/>
      </w:pBdr>
    </w:pPr>
    <w:rPr>
      <w:sz w:val="18"/>
      <w:szCs w:val="18"/>
    </w:rPr>
  </w:style>
  <w:style w:type="paragraph" w:styleId="997" w:customStyle="1">
    <w:name w:val="目录 12"/>
    <w:basedOn w:val="785"/>
    <w:next w:val="785"/>
    <w:uiPriority w:val="0"/>
    <w:qFormat/>
    <w:rPr>
      <w:sz w:val="20"/>
      <w:szCs w:val="20"/>
    </w:rPr>
  </w:style>
  <w:style w:type="paragraph" w:styleId="998" w:customStyle="1">
    <w:name w:val="索引 41"/>
    <w:basedOn w:val="783"/>
    <w:next w:val="783"/>
    <w:uiPriority w:val="0"/>
    <w:qFormat/>
    <w:pPr>
      <w:ind w:left="600"/>
    </w:pPr>
    <w:rPr>
      <w:rFonts w:ascii="Calibri" w:hAnsi="Calibri"/>
      <w:sz w:val="22"/>
      <w:szCs w:val="22"/>
    </w:rPr>
  </w:style>
  <w:style w:type="table" w:styleId="999" w:customStyle="1">
    <w:name w:val="网格型11"/>
    <w:basedOn w:val="1000"/>
    <w:uiPriority w:val="59"/>
    <w:qFormat/>
    <w:tblPr/>
  </w:style>
  <w:style w:type="table" w:styleId="1000" w:customStyle="1">
    <w:name w:val="普通表格1"/>
    <w:uiPriority w:val="99"/>
    <w:unhideWhenUsed/>
    <w:qFormat/>
    <w:tblPr/>
  </w:style>
  <w:style w:type="table" w:styleId="1001" w:customStyle="1">
    <w:name w:val="网格型1"/>
    <w:basedOn w:val="1002"/>
    <w:uiPriority w:val="39"/>
    <w:qFormat/>
    <w:tblPr/>
  </w:style>
  <w:style w:type="table" w:styleId="1002" w:customStyle="1">
    <w:name w:val="普通表格11"/>
    <w:uiPriority w:val="0"/>
    <w:semiHidden/>
    <w:qFormat/>
    <w:tblPr/>
  </w:style>
  <w:style w:type="paragraph" w:styleId="1003" w:customStyle="1">
    <w:name w:val="信息标题1"/>
    <w:basedOn w:val="736"/>
    <w:next w:val="970"/>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4" w:customStyle="1">
    <w:name w:val="AONormal"/>
    <w:uiPriority w:val="0"/>
    <w:qFormat/>
    <w:pPr>
      <w:ind w:firstLine="440"/>
      <w:spacing w:line="400" w:lineRule="exact"/>
    </w:pPr>
    <w:rPr>
      <w:rFonts w:hint="default" w:ascii="宋体" w:hAnsi="宋体" w:eastAsia="宋体" w:cs="宋体"/>
      <w:sz w:val="22"/>
      <w:szCs w:val="21"/>
      <w:lang w:val="en-US" w:eastAsia="zh-CN" w:bidi="ar-SA"/>
    </w:rPr>
  </w:style>
  <w:style w:type="table" w:styleId="1005" w:customStyle="1">
    <w:name w:val="Table Normal"/>
    <w:uiPriority w:val="0"/>
    <w:semiHidden/>
    <w:unhideWhenUsed/>
    <w:qFormat/>
    <w:tblPr>
      <w:tblCellMar>
        <w:left w:w="0" w:type="dxa"/>
        <w:top w:w="0" w:type="dxa"/>
        <w:right w:w="0" w:type="dxa"/>
        <w:bottom w:w="0" w:type="dxa"/>
      </w:tblCellMar>
    </w:tblPr>
  </w:style>
  <w:style w:type="character" w:styleId="1006" w:customStyle="1">
    <w:name w:val="NormalCharacter11"/>
    <w:link w:val="736"/>
    <w:uiPriority w:val="0"/>
    <w:qFormat/>
    <w:rPr>
      <w:rFonts w:ascii="Times New Roman" w:hAnsi="Times New Roman" w:eastAsia="宋体" w:cs="Times New Roman"/>
      <w:sz w:val="21"/>
      <w:szCs w:val="24"/>
      <w:lang w:val="en-US" w:eastAsia="zh-CN" w:bidi="ar-SA"/>
    </w:rPr>
  </w:style>
  <w:style w:type="paragraph" w:styleId="1007" w:customStyle="1">
    <w:name w:val="Table Paragraph"/>
    <w:basedOn w:val="781"/>
    <w:uiPriority w:val="0"/>
    <w:qFormat/>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张存</cp:lastModifiedBy>
  <cp:revision>4</cp:revision>
  <dcterms:created xsi:type="dcterms:W3CDTF">2014-10-29T12:08:00Z</dcterms:created>
  <dcterms:modified xsi:type="dcterms:W3CDTF">2026-10-15T07:24:53Z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C6343A8964AC40A4A79DEA04F36E7707_13</vt:lpwstr>
  </property>
  <property fmtid="{D5CDD505-2E9C-101B-9397-08002B2CF9AE}" pid="4" name="KSOTemplateDocerSaveRecord">
    <vt:lpwstr>eyJoZGlkIjoiOWViODE4MGM4MTJjNzM2ZGNmNjc3YTYxYTM0Nzk2YzciLCJ1c2VySWQiOiI5NDYyMjkyNDQifQ==</vt:lpwstr>
  </property>
</Properties>
</file>