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hint="eastAsia" w:ascii="宋体" w:hAnsi="宋体" w:eastAsia="宋体" w:cs="宋体"/>
          <w:b/>
          <w:kern w:val="0"/>
          <w:sz w:val="48"/>
          <w:szCs w:val="48"/>
        </w:rPr>
      </w:pPr>
      <w:bookmarkStart w:id="0" w:name="_Hlk74841385"/>
      <w:bookmarkStart w:id="1" w:name="_Hlk77778371"/>
    </w:p>
    <w:p w14:paraId="057CA20F">
      <w:pPr>
        <w:pStyle w:val="98"/>
        <w:rPr>
          <w:rFonts w:hint="eastAsia" w:ascii="宋体" w:hAnsi="宋体" w:eastAsia="宋体" w:cs="宋体"/>
        </w:rPr>
      </w:pPr>
    </w:p>
    <w:p w14:paraId="1961C8F5">
      <w:pPr>
        <w:pStyle w:val="98"/>
        <w:jc w:val="center"/>
        <w:rPr>
          <w:rFonts w:hint="eastAsia" w:ascii="宋体" w:hAnsi="宋体" w:eastAsia="宋体" w:cs="宋体"/>
          <w:sz w:val="24"/>
          <w:szCs w:val="28"/>
          <w:lang w:eastAsia="zh-CN"/>
        </w:rPr>
      </w:pPr>
      <w:r>
        <w:rPr>
          <w:rFonts w:hint="eastAsia" w:ascii="宋体" w:hAnsi="宋体" w:eastAsia="宋体" w:cs="宋体"/>
          <w:b/>
          <w:bCs/>
          <w:sz w:val="60"/>
          <w:szCs w:val="60"/>
          <w:lang w:eastAsia="zh-CN"/>
        </w:rPr>
        <w:t>南京医科大学血浆蛋白质组学纳米磁珠富集试剂采购项目</w:t>
      </w:r>
    </w:p>
    <w:p w14:paraId="5767189F">
      <w:pPr>
        <w:widowControl/>
        <w:spacing w:line="360" w:lineRule="auto"/>
        <w:jc w:val="center"/>
        <w:rPr>
          <w:rFonts w:hint="eastAsia" w:ascii="宋体" w:hAnsi="宋体" w:eastAsia="宋体" w:cs="宋体"/>
          <w:b/>
          <w:kern w:val="0"/>
          <w:sz w:val="72"/>
          <w:szCs w:val="72"/>
        </w:rPr>
      </w:pPr>
    </w:p>
    <w:p w14:paraId="29287FC1">
      <w:pPr>
        <w:pStyle w:val="22"/>
        <w:ind w:left="1260"/>
        <w:rPr>
          <w:rFonts w:hint="eastAsia" w:ascii="宋体" w:hAnsi="宋体" w:eastAsia="宋体" w:cs="宋体"/>
        </w:rPr>
      </w:pPr>
    </w:p>
    <w:p w14:paraId="11B9C97C">
      <w:pPr>
        <w:pStyle w:val="22"/>
        <w:ind w:left="1260"/>
        <w:rPr>
          <w:rFonts w:hint="eastAsia" w:ascii="宋体" w:hAnsi="宋体" w:eastAsia="宋体" w:cs="宋体"/>
        </w:rPr>
      </w:pPr>
    </w:p>
    <w:p w14:paraId="3724C3BE">
      <w:pPr>
        <w:rPr>
          <w:rFonts w:hint="eastAsia" w:ascii="宋体" w:hAnsi="宋体" w:eastAsia="宋体" w:cs="宋体"/>
        </w:rPr>
      </w:pPr>
    </w:p>
    <w:p w14:paraId="63ACC40B">
      <w:pPr>
        <w:rPr>
          <w:rFonts w:hint="eastAsia" w:ascii="宋体" w:hAnsi="宋体" w:eastAsia="宋体" w:cs="宋体"/>
        </w:rPr>
      </w:pPr>
    </w:p>
    <w:p w14:paraId="1F7360A2">
      <w:pPr>
        <w:rPr>
          <w:rFonts w:hint="eastAsia" w:ascii="宋体" w:hAnsi="宋体" w:eastAsia="宋体" w:cs="宋体"/>
        </w:rPr>
      </w:pPr>
    </w:p>
    <w:p w14:paraId="284EDE60">
      <w:pPr>
        <w:widowControl/>
        <w:spacing w:line="360" w:lineRule="auto"/>
        <w:jc w:val="center"/>
        <w:rPr>
          <w:rFonts w:hint="eastAsia" w:ascii="宋体" w:hAnsi="宋体" w:eastAsia="宋体" w:cs="宋体"/>
          <w:b/>
          <w:kern w:val="0"/>
          <w:sz w:val="72"/>
          <w:szCs w:val="72"/>
        </w:rPr>
      </w:pPr>
      <w:r>
        <w:rPr>
          <w:rFonts w:hint="eastAsia" w:ascii="宋体" w:hAnsi="宋体" w:eastAsia="宋体" w:cs="宋体"/>
          <w:b/>
          <w:kern w:val="0"/>
          <w:sz w:val="72"/>
          <w:szCs w:val="72"/>
        </w:rPr>
        <w:t>采购文件</w:t>
      </w:r>
    </w:p>
    <w:p w14:paraId="74B5D333">
      <w:pPr>
        <w:widowControl/>
        <w:spacing w:line="360" w:lineRule="auto"/>
        <w:jc w:val="center"/>
        <w:rPr>
          <w:rFonts w:hint="eastAsia" w:ascii="宋体" w:hAnsi="宋体" w:eastAsia="宋体" w:cs="宋体"/>
          <w:b/>
          <w:kern w:val="0"/>
          <w:sz w:val="36"/>
          <w:szCs w:val="36"/>
        </w:rPr>
      </w:pPr>
    </w:p>
    <w:p w14:paraId="7E7452EB">
      <w:pPr>
        <w:widowControl/>
        <w:spacing w:line="360" w:lineRule="auto"/>
        <w:jc w:val="center"/>
        <w:rPr>
          <w:rFonts w:hint="eastAsia" w:ascii="宋体" w:hAnsi="宋体" w:eastAsia="宋体" w:cs="宋体"/>
          <w:b/>
          <w:kern w:val="0"/>
          <w:sz w:val="40"/>
          <w:szCs w:val="40"/>
          <w:lang w:eastAsia="zh-CN"/>
        </w:rPr>
      </w:pPr>
      <w:r>
        <w:rPr>
          <w:rFonts w:hint="eastAsia" w:ascii="宋体" w:hAnsi="宋体" w:eastAsia="宋体" w:cs="宋体"/>
          <w:b/>
          <w:kern w:val="0"/>
          <w:sz w:val="32"/>
          <w:szCs w:val="32"/>
        </w:rPr>
        <w:t>项目编号：</w:t>
      </w:r>
      <w:r>
        <w:rPr>
          <w:rFonts w:hint="eastAsia" w:ascii="宋体" w:hAnsi="宋体" w:cs="宋体"/>
          <w:b/>
          <w:kern w:val="0"/>
          <w:sz w:val="32"/>
          <w:szCs w:val="32"/>
          <w:lang w:eastAsia="zh-CN"/>
        </w:rPr>
        <w:t>JSZC-320000-JCEC-G2026-0448</w:t>
      </w:r>
    </w:p>
    <w:p w14:paraId="4F9E0A44">
      <w:pPr>
        <w:widowControl/>
        <w:spacing w:line="360" w:lineRule="auto"/>
        <w:jc w:val="center"/>
        <w:rPr>
          <w:rFonts w:hint="eastAsia" w:ascii="宋体" w:hAnsi="宋体" w:eastAsia="宋体" w:cs="宋体"/>
          <w:b/>
          <w:kern w:val="0"/>
          <w:sz w:val="36"/>
          <w:szCs w:val="36"/>
        </w:rPr>
      </w:pPr>
    </w:p>
    <w:p w14:paraId="7CFCA725">
      <w:pPr>
        <w:widowControl/>
        <w:spacing w:line="360" w:lineRule="auto"/>
        <w:jc w:val="center"/>
        <w:rPr>
          <w:rFonts w:hint="eastAsia" w:ascii="宋体" w:hAnsi="宋体" w:eastAsia="宋体" w:cs="宋体"/>
          <w:b/>
          <w:kern w:val="0"/>
          <w:sz w:val="28"/>
          <w:szCs w:val="28"/>
        </w:rPr>
      </w:pPr>
    </w:p>
    <w:p w14:paraId="03A52B7C">
      <w:pPr>
        <w:widowControl/>
        <w:shd w:val="clear" w:color="auto" w:fill="FFFFFF"/>
        <w:spacing w:line="360" w:lineRule="auto"/>
        <w:rPr>
          <w:rFonts w:hint="eastAsia" w:ascii="宋体" w:hAnsi="宋体" w:eastAsia="宋体" w:cs="宋体"/>
          <w:kern w:val="0"/>
          <w:sz w:val="32"/>
          <w:szCs w:val="32"/>
        </w:rPr>
      </w:pPr>
      <w:r>
        <w:rPr>
          <w:rFonts w:hint="eastAsia" w:ascii="宋体" w:hAnsi="宋体" w:eastAsia="宋体" w:cs="宋体"/>
          <w:kern w:val="0"/>
          <w:sz w:val="32"/>
          <w:szCs w:val="32"/>
        </w:rPr>
        <w:t>  </w:t>
      </w:r>
    </w:p>
    <w:p w14:paraId="7281DD08">
      <w:pPr>
        <w:pStyle w:val="22"/>
        <w:ind w:left="1260"/>
        <w:rPr>
          <w:rFonts w:hint="eastAsia" w:ascii="宋体" w:hAnsi="宋体" w:eastAsia="宋体" w:cs="宋体"/>
          <w:kern w:val="0"/>
          <w:sz w:val="32"/>
          <w:szCs w:val="32"/>
        </w:rPr>
      </w:pPr>
    </w:p>
    <w:p w14:paraId="7B096374">
      <w:pPr>
        <w:pStyle w:val="22"/>
        <w:ind w:left="1260"/>
        <w:rPr>
          <w:rFonts w:hint="eastAsia" w:ascii="宋体" w:hAnsi="宋体" w:eastAsia="宋体" w:cs="宋体"/>
        </w:rPr>
      </w:pPr>
    </w:p>
    <w:p w14:paraId="32395A8B">
      <w:pPr>
        <w:widowControl/>
        <w:spacing w:line="360" w:lineRule="auto"/>
        <w:jc w:val="center"/>
        <w:rPr>
          <w:rFonts w:hint="eastAsia" w:ascii="宋体" w:hAnsi="宋体" w:eastAsia="宋体" w:cs="宋体"/>
          <w:b/>
          <w:kern w:val="0"/>
          <w:sz w:val="36"/>
          <w:szCs w:val="36"/>
        </w:rPr>
      </w:pPr>
    </w:p>
    <w:p w14:paraId="5D5354A5">
      <w:pPr>
        <w:widowControl/>
        <w:spacing w:line="360" w:lineRule="auto"/>
        <w:jc w:val="center"/>
        <w:rPr>
          <w:rFonts w:hint="eastAsia" w:ascii="宋体" w:hAnsi="宋体" w:eastAsia="宋体" w:cs="宋体"/>
          <w:b/>
          <w:kern w:val="0"/>
          <w:sz w:val="32"/>
          <w:szCs w:val="32"/>
        </w:rPr>
      </w:pPr>
      <w:r>
        <w:rPr>
          <w:rFonts w:hint="eastAsia" w:ascii="宋体" w:hAnsi="宋体" w:eastAsia="宋体" w:cs="宋体"/>
          <w:b/>
          <w:kern w:val="0"/>
          <w:sz w:val="32"/>
          <w:szCs w:val="32"/>
        </w:rPr>
        <w:t>采购人：南京医科大学</w:t>
      </w:r>
    </w:p>
    <w:p w14:paraId="60E32916">
      <w:pPr>
        <w:widowControl/>
        <w:spacing w:line="360" w:lineRule="auto"/>
        <w:jc w:val="center"/>
        <w:rPr>
          <w:rFonts w:hint="eastAsia" w:ascii="宋体" w:hAnsi="宋体" w:eastAsia="宋体" w:cs="宋体"/>
          <w:b/>
          <w:kern w:val="0"/>
          <w:sz w:val="32"/>
          <w:szCs w:val="32"/>
        </w:rPr>
      </w:pPr>
      <w:r>
        <w:rPr>
          <w:rFonts w:hint="eastAsia" w:ascii="宋体" w:hAnsi="宋体" w:eastAsia="宋体" w:cs="宋体"/>
          <w:b/>
          <w:kern w:val="0"/>
          <w:sz w:val="32"/>
          <w:szCs w:val="32"/>
        </w:rPr>
        <w:t>采购代理机构：江苏省设备成套股份有限公司</w:t>
      </w:r>
    </w:p>
    <w:p w14:paraId="38726DA6">
      <w:pPr>
        <w:widowControl/>
        <w:shd w:val="clear" w:color="auto" w:fill="FFFFFF"/>
        <w:spacing w:line="360" w:lineRule="auto"/>
        <w:jc w:val="center"/>
        <w:rPr>
          <w:rFonts w:hint="eastAsia" w:ascii="宋体" w:hAnsi="宋体" w:eastAsia="宋体" w:cs="宋体"/>
          <w:b/>
          <w:kern w:val="0"/>
          <w:sz w:val="32"/>
          <w:szCs w:val="32"/>
          <w:highlight w:val="yellow"/>
        </w:rPr>
      </w:pPr>
      <w:r>
        <w:rPr>
          <w:rFonts w:hint="eastAsia" w:ascii="宋体" w:hAnsi="宋体" w:eastAsia="宋体" w:cs="宋体"/>
          <w:b/>
          <w:kern w:val="0"/>
          <w:sz w:val="32"/>
          <w:szCs w:val="32"/>
        </w:rPr>
        <w:t>2026年</w:t>
      </w:r>
      <w:r>
        <w:rPr>
          <w:rFonts w:hint="eastAsia" w:ascii="宋体" w:hAnsi="宋体" w:cs="宋体"/>
          <w:b/>
          <w:kern w:val="0"/>
          <w:sz w:val="32"/>
          <w:szCs w:val="32"/>
          <w:lang w:val="en-US" w:eastAsia="zh-CN"/>
        </w:rPr>
        <w:t>10</w:t>
      </w:r>
      <w:r>
        <w:rPr>
          <w:rFonts w:hint="eastAsia" w:ascii="宋体" w:hAnsi="宋体" w:eastAsia="宋体" w:cs="宋体"/>
          <w:b/>
          <w:kern w:val="0"/>
          <w:sz w:val="32"/>
          <w:szCs w:val="32"/>
        </w:rPr>
        <w:t>月</w:t>
      </w:r>
    </w:p>
    <w:p w14:paraId="18E55159">
      <w:pPr>
        <w:widowControl/>
        <w:shd w:val="clear" w:color="auto" w:fill="FFFFFF"/>
        <w:spacing w:line="360" w:lineRule="auto"/>
        <w:jc w:val="center"/>
        <w:rPr>
          <w:rFonts w:hint="eastAsia" w:ascii="宋体" w:hAnsi="宋体" w:eastAsia="宋体" w:cs="宋体"/>
          <w:b/>
          <w:kern w:val="0"/>
          <w:sz w:val="36"/>
          <w:szCs w:val="36"/>
        </w:rPr>
      </w:pPr>
      <w:r>
        <w:rPr>
          <w:rFonts w:hint="eastAsia" w:ascii="宋体" w:hAnsi="宋体" w:eastAsia="宋体" w:cs="宋体"/>
          <w:b/>
          <w:kern w:val="0"/>
          <w:sz w:val="36"/>
          <w:szCs w:val="36"/>
        </w:rPr>
        <w:br w:type="page"/>
      </w:r>
    </w:p>
    <w:p w14:paraId="306E8738">
      <w:pPr>
        <w:pStyle w:val="76"/>
        <w:jc w:val="center"/>
        <w:rPr>
          <w:rFonts w:hint="eastAsia" w:ascii="宋体" w:hAnsi="宋体" w:eastAsia="宋体" w:cs="宋体"/>
          <w:color w:val="auto"/>
          <w:sz w:val="44"/>
          <w:szCs w:val="44"/>
        </w:rPr>
      </w:pPr>
      <w:r>
        <w:rPr>
          <w:rFonts w:hint="eastAsia" w:ascii="宋体" w:hAnsi="宋体" w:eastAsia="宋体" w:cs="宋体"/>
          <w:color w:val="auto"/>
          <w:sz w:val="44"/>
          <w:szCs w:val="44"/>
          <w:lang w:val="zh-CN"/>
        </w:rPr>
        <w:t>目录</w:t>
      </w:r>
    </w:p>
    <w:p w14:paraId="65103348">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_Toc1127 </w:instrText>
      </w:r>
      <w:r>
        <w:rPr>
          <w:rFonts w:hint="eastAsia" w:ascii="宋体" w:hAnsi="宋体" w:eastAsia="宋体" w:cs="宋体"/>
          <w:sz w:val="32"/>
          <w:szCs w:val="32"/>
        </w:rPr>
        <w:fldChar w:fldCharType="separate"/>
      </w:r>
      <w:r>
        <w:rPr>
          <w:rFonts w:hint="eastAsia" w:ascii="宋体" w:hAnsi="宋体" w:eastAsia="宋体" w:cs="宋体"/>
          <w:kern w:val="0"/>
          <w:sz w:val="32"/>
          <w:szCs w:val="32"/>
        </w:rPr>
        <w:t xml:space="preserve">第一章 </w:t>
      </w:r>
      <w:r>
        <w:rPr>
          <w:rFonts w:hint="eastAsia" w:ascii="宋体" w:hAnsi="宋体" w:eastAsia="宋体" w:cs="宋体"/>
          <w:sz w:val="32"/>
          <w:szCs w:val="32"/>
        </w:rPr>
        <w:t>采购公告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_Toc1127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1362F20">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_Toc17552 </w:instrText>
      </w:r>
      <w:r>
        <w:rPr>
          <w:rFonts w:hint="eastAsia" w:ascii="宋体" w:hAnsi="宋体" w:eastAsia="宋体" w:cs="宋体"/>
          <w:sz w:val="32"/>
          <w:szCs w:val="32"/>
        </w:rPr>
        <w:fldChar w:fldCharType="separate"/>
      </w:r>
      <w:r>
        <w:rPr>
          <w:rFonts w:hint="eastAsia" w:ascii="宋体" w:hAnsi="宋体" w:eastAsia="宋体" w:cs="宋体"/>
          <w:sz w:val="32"/>
          <w:szCs w:val="32"/>
        </w:rPr>
        <w:t>第二章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_Toc17552 \h </w:instrText>
      </w:r>
      <w:r>
        <w:rPr>
          <w:rFonts w:hint="eastAsia" w:ascii="宋体" w:hAnsi="宋体" w:eastAsia="宋体" w:cs="宋体"/>
          <w:sz w:val="32"/>
          <w:szCs w:val="32"/>
        </w:rPr>
        <w:fldChar w:fldCharType="separate"/>
      </w:r>
      <w:r>
        <w:rPr>
          <w:rFonts w:hint="eastAsia" w:ascii="宋体" w:hAnsi="宋体" w:eastAsia="宋体" w:cs="宋体"/>
          <w:sz w:val="32"/>
          <w:szCs w:val="32"/>
        </w:rPr>
        <w:t>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08EBD910">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_Toc5499 </w:instrText>
      </w:r>
      <w:r>
        <w:rPr>
          <w:rFonts w:hint="eastAsia" w:ascii="宋体" w:hAnsi="宋体" w:eastAsia="宋体" w:cs="宋体"/>
          <w:sz w:val="32"/>
          <w:szCs w:val="32"/>
        </w:rPr>
        <w:fldChar w:fldCharType="separate"/>
      </w:r>
      <w:r>
        <w:rPr>
          <w:rFonts w:hint="eastAsia" w:ascii="宋体" w:hAnsi="宋体" w:eastAsia="宋体" w:cs="宋体"/>
          <w:kern w:val="0"/>
          <w:sz w:val="32"/>
          <w:szCs w:val="32"/>
        </w:rPr>
        <w:t>第三章 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_Toc5499 \h </w:instrText>
      </w:r>
      <w:r>
        <w:rPr>
          <w:rFonts w:hint="eastAsia" w:ascii="宋体" w:hAnsi="宋体" w:eastAsia="宋体" w:cs="宋体"/>
          <w:sz w:val="32"/>
          <w:szCs w:val="32"/>
        </w:rPr>
        <w:fldChar w:fldCharType="separate"/>
      </w:r>
      <w:r>
        <w:rPr>
          <w:rFonts w:hint="eastAsia" w:ascii="宋体" w:hAnsi="宋体" w:eastAsia="宋体" w:cs="宋体"/>
          <w:sz w:val="32"/>
          <w:szCs w:val="32"/>
        </w:rPr>
        <w:t>19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CF9EBBE">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_Toc13046 </w:instrText>
      </w:r>
      <w:r>
        <w:rPr>
          <w:rFonts w:hint="eastAsia" w:ascii="宋体" w:hAnsi="宋体" w:eastAsia="宋体" w:cs="宋体"/>
          <w:sz w:val="32"/>
          <w:szCs w:val="32"/>
        </w:rPr>
        <w:fldChar w:fldCharType="separate"/>
      </w:r>
      <w:r>
        <w:rPr>
          <w:rFonts w:hint="eastAsia" w:ascii="宋体" w:hAnsi="宋体" w:eastAsia="宋体" w:cs="宋体"/>
          <w:kern w:val="0"/>
          <w:sz w:val="32"/>
          <w:szCs w:val="32"/>
        </w:rPr>
        <w:t>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_Toc13046 \h </w:instrText>
      </w:r>
      <w:r>
        <w:rPr>
          <w:rFonts w:hint="eastAsia" w:ascii="宋体" w:hAnsi="宋体" w:eastAsia="宋体" w:cs="宋体"/>
          <w:sz w:val="32"/>
          <w:szCs w:val="32"/>
        </w:rPr>
        <w:fldChar w:fldCharType="separate"/>
      </w:r>
      <w:r>
        <w:rPr>
          <w:rFonts w:hint="eastAsia" w:ascii="宋体" w:hAnsi="宋体" w:eastAsia="宋体" w:cs="宋体"/>
          <w:sz w:val="32"/>
          <w:szCs w:val="32"/>
        </w:rPr>
        <w:t>25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3BD3508">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_Toc7294 </w:instrText>
      </w:r>
      <w:r>
        <w:rPr>
          <w:rFonts w:hint="eastAsia" w:ascii="宋体" w:hAnsi="宋体" w:eastAsia="宋体" w:cs="宋体"/>
          <w:sz w:val="32"/>
          <w:szCs w:val="32"/>
        </w:rPr>
        <w:fldChar w:fldCharType="separate"/>
      </w:r>
      <w:r>
        <w:rPr>
          <w:rFonts w:hint="eastAsia" w:ascii="宋体" w:hAnsi="宋体" w:eastAsia="宋体" w:cs="宋体"/>
          <w:kern w:val="0"/>
          <w:sz w:val="32"/>
          <w:szCs w:val="32"/>
        </w:rPr>
        <w:t>第五章 合同主要条款及格式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_Toc7294 \h </w:instrText>
      </w:r>
      <w:r>
        <w:rPr>
          <w:rFonts w:hint="eastAsia" w:ascii="宋体" w:hAnsi="宋体" w:eastAsia="宋体" w:cs="宋体"/>
          <w:sz w:val="32"/>
          <w:szCs w:val="32"/>
        </w:rPr>
        <w:fldChar w:fldCharType="separate"/>
      </w:r>
      <w:r>
        <w:rPr>
          <w:rFonts w:hint="eastAsia" w:ascii="宋体" w:hAnsi="宋体" w:eastAsia="宋体" w:cs="宋体"/>
          <w:sz w:val="32"/>
          <w:szCs w:val="32"/>
        </w:rPr>
        <w:t>29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207F631">
      <w:pPr>
        <w:pStyle w:val="33"/>
        <w:tabs>
          <w:tab w:val="right" w:leader="dot" w:pos="8299"/>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_Toc492 </w:instrText>
      </w:r>
      <w:r>
        <w:rPr>
          <w:rFonts w:hint="eastAsia" w:ascii="宋体" w:hAnsi="宋体" w:eastAsia="宋体" w:cs="宋体"/>
          <w:sz w:val="32"/>
          <w:szCs w:val="32"/>
        </w:rPr>
        <w:fldChar w:fldCharType="separate"/>
      </w:r>
      <w:r>
        <w:rPr>
          <w:rFonts w:hint="eastAsia" w:ascii="宋体" w:hAnsi="宋体" w:eastAsia="宋体" w:cs="宋体"/>
          <w:sz w:val="32"/>
          <w:szCs w:val="32"/>
        </w:rPr>
        <w:t>第六章 附件</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_Toc492 \h </w:instrText>
      </w:r>
      <w:r>
        <w:rPr>
          <w:rFonts w:hint="eastAsia" w:ascii="宋体" w:hAnsi="宋体" w:eastAsia="宋体" w:cs="宋体"/>
          <w:sz w:val="32"/>
          <w:szCs w:val="32"/>
        </w:rPr>
        <w:fldChar w:fldCharType="separate"/>
      </w:r>
      <w:r>
        <w:rPr>
          <w:rFonts w:hint="eastAsia" w:ascii="宋体" w:hAnsi="宋体" w:eastAsia="宋体" w:cs="宋体"/>
          <w:sz w:val="32"/>
          <w:szCs w:val="32"/>
        </w:rPr>
        <w:t>37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15F657C">
      <w:pPr>
        <w:spacing w:line="480" w:lineRule="auto"/>
        <w:rPr>
          <w:rFonts w:hint="eastAsia" w:ascii="宋体" w:hAnsi="宋体" w:eastAsia="宋体" w:cs="宋体"/>
          <w:sz w:val="32"/>
          <w:szCs w:val="32"/>
        </w:rPr>
      </w:pPr>
      <w:r>
        <w:rPr>
          <w:rFonts w:hint="eastAsia" w:ascii="宋体" w:hAnsi="宋体" w:eastAsia="宋体" w:cs="宋体"/>
          <w:sz w:val="32"/>
          <w:szCs w:val="32"/>
        </w:rPr>
        <w:fldChar w:fldCharType="end"/>
      </w:r>
    </w:p>
    <w:p w14:paraId="33C50F2E">
      <w:pPr>
        <w:widowControl/>
        <w:shd w:val="clear" w:color="auto" w:fill="FFFFFF"/>
        <w:spacing w:line="360" w:lineRule="auto"/>
        <w:jc w:val="center"/>
        <w:rPr>
          <w:rFonts w:hint="eastAsia" w:ascii="宋体" w:hAnsi="宋体" w:eastAsia="宋体" w:cs="宋体"/>
          <w:b/>
          <w:kern w:val="0"/>
          <w:sz w:val="36"/>
          <w:szCs w:val="36"/>
        </w:rPr>
      </w:pPr>
    </w:p>
    <w:p w14:paraId="29E415FA">
      <w:pPr>
        <w:pStyle w:val="2"/>
        <w:rPr>
          <w:rFonts w:hint="eastAsia" w:ascii="宋体" w:hAnsi="宋体" w:eastAsia="宋体" w:cs="宋体"/>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2"/>
        <w:rPr>
          <w:rFonts w:hint="eastAsia" w:ascii="宋体" w:hAnsi="宋体" w:eastAsia="宋体" w:cs="宋体"/>
          <w:kern w:val="0"/>
          <w:szCs w:val="21"/>
        </w:rPr>
      </w:pPr>
      <w:r>
        <w:rPr>
          <w:rFonts w:hint="eastAsia" w:ascii="宋体" w:hAnsi="宋体" w:eastAsia="宋体" w:cs="宋体"/>
          <w:kern w:val="0"/>
          <w:sz w:val="36"/>
          <w:szCs w:val="36"/>
          <w:shd w:val="clear" w:color="auto" w:fill="FFFFFF"/>
        </w:rPr>
        <w:t xml:space="preserve"> </w:t>
      </w:r>
      <w:bookmarkStart w:id="3" w:name="_Toc1127"/>
      <w:bookmarkStart w:id="4" w:name="_Hlk85716974"/>
      <w:r>
        <w:rPr>
          <w:rFonts w:hint="eastAsia" w:ascii="宋体" w:hAnsi="宋体" w:eastAsia="宋体" w:cs="宋体"/>
        </w:rPr>
        <w:t>采购公告</w:t>
      </w:r>
      <w:bookmarkEnd w:id="2"/>
      <w:bookmarkEnd w:id="3"/>
      <w:bookmarkStart w:id="5" w:name="OLE_LINK7"/>
      <w:bookmarkStart w:id="6" w:name="OLE_LINK1"/>
      <w:bookmarkStart w:id="7" w:name="OLE_LINK6"/>
      <w:bookmarkStart w:id="8" w:name="OLE_LINK5"/>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bookmarkStart w:id="10" w:name="_Hlk74841176"/>
      <w:bookmarkStart w:id="11" w:name="OLE_LINK3"/>
      <w:bookmarkStart w:id="12" w:name="OLE_LINK2"/>
      <w:bookmarkStart w:id="13" w:name="OLE_LINK4"/>
      <w:r>
        <w:rPr>
          <w:rFonts w:hint="eastAsia" w:ascii="宋体" w:hAnsi="宋体" w:eastAsia="宋体" w:cs="宋体"/>
          <w:spacing w:val="8"/>
          <w:kern w:val="0"/>
          <w:szCs w:val="21"/>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r>
        <w:rPr>
          <w:rFonts w:hint="eastAsia" w:ascii="宋体" w:hAnsi="宋体" w:eastAsia="宋体" w:cs="宋体"/>
          <w:kern w:val="0"/>
          <w:szCs w:val="21"/>
          <w:u w:val="single"/>
          <w:lang w:eastAsia="zh-CN"/>
        </w:rPr>
        <w:t>南京医科大学血浆蛋白质组学纳米磁珠富集试剂采购项目</w:t>
      </w:r>
      <w:r>
        <w:rPr>
          <w:rFonts w:hint="eastAsia" w:ascii="宋体" w:hAnsi="宋体" w:eastAsia="宋体" w:cs="宋体"/>
          <w:spacing w:val="8"/>
          <w:kern w:val="0"/>
          <w:szCs w:val="21"/>
        </w:rPr>
        <w:t>的潜在供应商应在</w:t>
      </w:r>
      <w:r>
        <w:rPr>
          <w:rFonts w:hint="eastAsia" w:ascii="宋体" w:hAnsi="宋体" w:eastAsia="宋体" w:cs="宋体"/>
          <w:kern w:val="0"/>
          <w:szCs w:val="21"/>
          <w:u w:val="single"/>
        </w:rPr>
        <w:t>苏采云系统注册登记成功后系统内免费</w:t>
      </w:r>
      <w:r>
        <w:rPr>
          <w:rFonts w:hint="eastAsia" w:ascii="宋体" w:hAnsi="宋体" w:eastAsia="宋体" w:cs="宋体"/>
          <w:spacing w:val="8"/>
          <w:kern w:val="0"/>
          <w:szCs w:val="21"/>
        </w:rPr>
        <w:t>获取招标文件，并于</w:t>
      </w:r>
      <w:r>
        <w:rPr>
          <w:rFonts w:hint="eastAsia" w:ascii="宋体" w:hAnsi="宋体" w:eastAsia="宋体" w:cs="宋体"/>
          <w:color w:val="auto"/>
          <w:kern w:val="0"/>
          <w:szCs w:val="21"/>
          <w:u w:val="single"/>
        </w:rPr>
        <w:t>2026年</w:t>
      </w:r>
      <w:r>
        <w:rPr>
          <w:rFonts w:hint="eastAsia" w:ascii="宋体" w:hAnsi="宋体" w:eastAsia="宋体" w:cs="宋体"/>
          <w:color w:val="auto"/>
          <w:kern w:val="0"/>
          <w:szCs w:val="21"/>
          <w:u w:val="single"/>
          <w:lang w:val="en-US" w:eastAsia="zh-CN"/>
        </w:rPr>
        <w:t>1</w:t>
      </w:r>
      <w:r>
        <w:rPr>
          <w:rFonts w:hint="eastAsia" w:ascii="宋体" w:hAnsi="宋体" w:cs="宋体"/>
          <w:color w:val="auto"/>
          <w:kern w:val="0"/>
          <w:szCs w:val="21"/>
          <w:u w:val="single"/>
          <w:lang w:val="en-US" w:eastAsia="zh-CN"/>
        </w:rPr>
        <w:t>1</w:t>
      </w:r>
      <w:r>
        <w:rPr>
          <w:rFonts w:hint="eastAsia" w:ascii="宋体" w:hAnsi="宋体" w:eastAsia="宋体" w:cs="宋体"/>
          <w:color w:val="auto"/>
          <w:kern w:val="0"/>
          <w:szCs w:val="21"/>
          <w:u w:val="single"/>
        </w:rPr>
        <w:t>月</w:t>
      </w:r>
      <w:r>
        <w:rPr>
          <w:rFonts w:hint="eastAsia" w:ascii="宋体" w:hAnsi="宋体" w:cs="宋体"/>
          <w:color w:val="auto"/>
          <w:kern w:val="0"/>
          <w:szCs w:val="21"/>
          <w:u w:val="single"/>
          <w:lang w:val="en-US" w:eastAsia="zh-CN"/>
        </w:rPr>
        <w:t>20</w:t>
      </w:r>
      <w:r>
        <w:rPr>
          <w:rFonts w:hint="eastAsia" w:ascii="宋体" w:hAnsi="宋体" w:eastAsia="宋体" w:cs="宋体"/>
          <w:color w:val="auto"/>
          <w:kern w:val="0"/>
          <w:szCs w:val="21"/>
          <w:u w:val="single"/>
        </w:rPr>
        <w:t>日</w:t>
      </w:r>
      <w:r>
        <w:rPr>
          <w:rFonts w:hint="eastAsia" w:ascii="宋体" w:hAnsi="宋体" w:cs="宋体"/>
          <w:color w:val="auto"/>
          <w:kern w:val="0"/>
          <w:szCs w:val="21"/>
          <w:u w:val="single"/>
          <w:lang w:val="en-US" w:eastAsia="zh-CN"/>
        </w:rPr>
        <w:t>9</w:t>
      </w:r>
      <w:r>
        <w:rPr>
          <w:rFonts w:hint="eastAsia" w:ascii="宋体" w:hAnsi="宋体" w:eastAsia="宋体" w:cs="宋体"/>
          <w:color w:val="auto"/>
          <w:kern w:val="0"/>
          <w:szCs w:val="21"/>
          <w:u w:val="single"/>
        </w:rPr>
        <w:t>点30分</w:t>
      </w:r>
      <w:r>
        <w:rPr>
          <w:rFonts w:hint="eastAsia" w:ascii="宋体" w:hAnsi="宋体" w:eastAsia="宋体" w:cs="宋体"/>
          <w:spacing w:val="8"/>
          <w:kern w:val="0"/>
          <w:szCs w:val="21"/>
        </w:rPr>
        <w:t>（北京时间）前递交投标文件。</w:t>
      </w:r>
    </w:p>
    <w:p w14:paraId="4C7AE605">
      <w:pPr>
        <w:pStyle w:val="74"/>
        <w:rPr>
          <w:rFonts w:hint="eastAsia" w:ascii="宋体" w:hAnsi="宋体" w:eastAsia="宋体" w:cs="宋体"/>
        </w:rPr>
      </w:pPr>
    </w:p>
    <w:p w14:paraId="21D732F9">
      <w:pPr>
        <w:rPr>
          <w:rFonts w:hint="eastAsia" w:ascii="宋体" w:hAnsi="宋体" w:eastAsia="宋体" w:cs="宋体"/>
        </w:rPr>
      </w:pPr>
    </w:p>
    <w:p w14:paraId="57CB362C">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一、项目基本情况</w:t>
      </w:r>
    </w:p>
    <w:p w14:paraId="29EA2D46">
      <w:pPr>
        <w:widowControl/>
        <w:shd w:val="clear" w:color="auto" w:fill="FFFFFF" w:themeFill="background1"/>
        <w:spacing w:line="360" w:lineRule="auto"/>
        <w:ind w:firstLine="452" w:firstLineChars="200"/>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1.1项目编号：</w:t>
      </w:r>
      <w:r>
        <w:rPr>
          <w:rFonts w:hint="eastAsia" w:ascii="宋体" w:hAnsi="宋体" w:cs="宋体"/>
          <w:spacing w:val="8"/>
          <w:kern w:val="0"/>
          <w:szCs w:val="21"/>
          <w:lang w:eastAsia="zh-CN"/>
        </w:rPr>
        <w:t>JSZC-320000-JCEC-G2026-0448</w:t>
      </w:r>
    </w:p>
    <w:p w14:paraId="17D79080">
      <w:pPr>
        <w:widowControl/>
        <w:shd w:val="clear" w:color="auto" w:fill="FFFFFF" w:themeFill="background1"/>
        <w:spacing w:line="360" w:lineRule="auto"/>
        <w:ind w:firstLine="452" w:firstLineChars="200"/>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1.2项目名称：</w:t>
      </w:r>
      <w:r>
        <w:rPr>
          <w:rFonts w:hint="eastAsia" w:ascii="宋体" w:hAnsi="宋体" w:eastAsia="宋体" w:cs="宋体"/>
          <w:spacing w:val="8"/>
          <w:kern w:val="0"/>
          <w:szCs w:val="21"/>
          <w:lang w:eastAsia="zh-CN"/>
        </w:rPr>
        <w:t>南京医科大学血浆蛋白质组学纳米磁珠富集试剂采购项目</w:t>
      </w:r>
    </w:p>
    <w:p w14:paraId="43CF4F93">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1.3预算金额：人民币</w:t>
      </w:r>
      <w:r>
        <w:rPr>
          <w:rFonts w:hint="eastAsia" w:ascii="宋体" w:hAnsi="宋体" w:eastAsia="宋体" w:cs="宋体"/>
          <w:spacing w:val="8"/>
          <w:kern w:val="0"/>
          <w:sz w:val="21"/>
          <w:szCs w:val="21"/>
          <w:lang w:val="en-US" w:eastAsia="zh-CN"/>
        </w:rPr>
        <w:t>287.50</w:t>
      </w:r>
      <w:r>
        <w:rPr>
          <w:rFonts w:hint="eastAsia" w:ascii="宋体" w:hAnsi="宋体" w:eastAsia="宋体" w:cs="宋体"/>
          <w:spacing w:val="8"/>
          <w:kern w:val="0"/>
          <w:szCs w:val="21"/>
        </w:rPr>
        <w:t>万元</w:t>
      </w:r>
    </w:p>
    <w:p w14:paraId="032C826A">
      <w:pPr>
        <w:widowControl/>
        <w:shd w:val="clear" w:color="auto" w:fill="FFFFFF" w:themeFill="background1"/>
        <w:spacing w:line="360" w:lineRule="auto"/>
        <w:ind w:firstLine="452" w:firstLineChars="200"/>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1.4最高限价：</w:t>
      </w:r>
      <w:r>
        <w:rPr>
          <w:rFonts w:hint="eastAsia" w:ascii="宋体" w:hAnsi="宋体" w:cs="宋体"/>
          <w:spacing w:val="8"/>
          <w:kern w:val="0"/>
          <w:szCs w:val="21"/>
          <w:lang w:val="en-US" w:eastAsia="zh-CN"/>
        </w:rPr>
        <w:t>总价：</w:t>
      </w:r>
      <w:r>
        <w:rPr>
          <w:rFonts w:hint="eastAsia" w:ascii="宋体" w:hAnsi="宋体" w:eastAsia="宋体" w:cs="宋体"/>
          <w:spacing w:val="8"/>
          <w:kern w:val="0"/>
          <w:szCs w:val="21"/>
          <w:highlight w:val="none"/>
        </w:rPr>
        <w:t>人民币287.50万元，单价：人民币302元/人份</w:t>
      </w:r>
      <w:r>
        <w:rPr>
          <w:rFonts w:hint="eastAsia" w:ascii="宋体" w:hAnsi="宋体" w:eastAsia="宋体" w:cs="宋体"/>
          <w:spacing w:val="8"/>
          <w:kern w:val="0"/>
          <w:szCs w:val="21"/>
          <w:lang w:eastAsia="zh-CN"/>
        </w:rPr>
        <w:t>（注意：单价、总价均不可超出相应的最高限价）</w:t>
      </w:r>
    </w:p>
    <w:p w14:paraId="5D93BEF9">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1.5采购需求：南京医科大学为满足</w:t>
      </w:r>
      <w:r>
        <w:rPr>
          <w:rFonts w:hint="eastAsia" w:ascii="宋体" w:hAnsi="宋体" w:eastAsia="宋体" w:cs="宋体"/>
          <w:spacing w:val="8"/>
          <w:kern w:val="0"/>
          <w:szCs w:val="21"/>
          <w:lang w:val="en-US" w:eastAsia="zh-CN"/>
        </w:rPr>
        <w:t>科研项目</w:t>
      </w:r>
      <w:r>
        <w:rPr>
          <w:rFonts w:hint="eastAsia" w:ascii="宋体" w:hAnsi="宋体" w:eastAsia="宋体" w:cs="宋体"/>
          <w:spacing w:val="8"/>
          <w:kern w:val="0"/>
          <w:szCs w:val="21"/>
        </w:rPr>
        <w:t>需要。需采购</w:t>
      </w:r>
      <w:r>
        <w:rPr>
          <w:rFonts w:hint="eastAsia" w:ascii="宋体" w:hAnsi="宋体" w:eastAsia="宋体" w:cs="宋体"/>
          <w:spacing w:val="8"/>
          <w:kern w:val="0"/>
          <w:szCs w:val="21"/>
          <w:lang w:eastAsia="zh-CN"/>
        </w:rPr>
        <w:t>血浆蛋白质组学纳米磁珠富集试剂</w:t>
      </w:r>
      <w:r>
        <w:rPr>
          <w:rFonts w:hint="eastAsia" w:ascii="宋体" w:hAnsi="宋体" w:eastAsia="宋体" w:cs="宋体"/>
          <w:spacing w:val="8"/>
          <w:kern w:val="0"/>
          <w:szCs w:val="21"/>
        </w:rPr>
        <w:t>。具体服务需求详见采购文件 第四章 采购需求。</w:t>
      </w:r>
    </w:p>
    <w:p w14:paraId="08124595">
      <w:pPr>
        <w:pStyle w:val="25"/>
        <w:spacing w:line="360" w:lineRule="auto"/>
        <w:ind w:firstLine="45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pacing w:val="8"/>
          <w:kern w:val="0"/>
          <w:szCs w:val="21"/>
          <w:highlight w:val="none"/>
        </w:rPr>
        <w:t>1.6合同履行期限</w:t>
      </w:r>
      <w:r>
        <w:rPr>
          <w:rFonts w:hint="eastAsia" w:ascii="宋体" w:hAnsi="宋体" w:eastAsia="宋体" w:cs="宋体"/>
          <w:spacing w:val="8"/>
          <w:kern w:val="0"/>
          <w:szCs w:val="21"/>
          <w:highlight w:val="none"/>
          <w:lang w:eastAsia="zh-CN"/>
        </w:rPr>
        <w:t>：</w:t>
      </w:r>
      <w:r>
        <w:rPr>
          <w:rFonts w:hint="eastAsia" w:ascii="宋体" w:hAnsi="宋体" w:eastAsia="宋体" w:cs="宋体"/>
          <w:szCs w:val="21"/>
          <w:highlight w:val="none"/>
        </w:rPr>
        <w:t>按照</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年执行，</w:t>
      </w:r>
      <w:r>
        <w:rPr>
          <w:rFonts w:hint="eastAsia" w:ascii="宋体" w:hAnsi="宋体" w:eastAsia="宋体" w:cs="宋体"/>
          <w:spacing w:val="8"/>
          <w:kern w:val="0"/>
          <w:szCs w:val="21"/>
          <w:highlight w:val="none"/>
        </w:rPr>
        <w:t>在合同签订生效后，按照</w:t>
      </w:r>
      <w:r>
        <w:rPr>
          <w:rFonts w:hint="eastAsia" w:ascii="宋体" w:hAnsi="宋体" w:eastAsia="宋体" w:cs="宋体"/>
          <w:spacing w:val="8"/>
          <w:kern w:val="0"/>
          <w:szCs w:val="21"/>
          <w:highlight w:val="none"/>
          <w:lang w:val="en-US" w:eastAsia="zh-CN"/>
        </w:rPr>
        <w:t>采购人</w:t>
      </w:r>
      <w:r>
        <w:rPr>
          <w:rFonts w:hint="eastAsia" w:ascii="宋体" w:hAnsi="宋体" w:eastAsia="宋体" w:cs="宋体"/>
          <w:spacing w:val="8"/>
          <w:kern w:val="0"/>
          <w:szCs w:val="21"/>
          <w:highlight w:val="none"/>
        </w:rPr>
        <w:t>要求分批次送货到位。</w:t>
      </w:r>
    </w:p>
    <w:p w14:paraId="4004178E">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1.7本项目标的所属行业：工业。</w:t>
      </w:r>
    </w:p>
    <w:p w14:paraId="780885CA">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1.8本项目</w:t>
      </w:r>
      <w:r>
        <w:rPr>
          <w:rFonts w:hint="eastAsia" w:ascii="宋体" w:hAnsi="宋体" w:eastAsia="宋体" w:cs="宋体"/>
          <w:b/>
          <w:bCs/>
          <w:spacing w:val="8"/>
          <w:kern w:val="0"/>
          <w:szCs w:val="21"/>
        </w:rPr>
        <w:t>非专门</w:t>
      </w:r>
      <w:r>
        <w:rPr>
          <w:rFonts w:hint="eastAsia" w:ascii="宋体" w:hAnsi="宋体" w:eastAsia="宋体" w:cs="宋体"/>
          <w:spacing w:val="8"/>
          <w:kern w:val="0"/>
          <w:szCs w:val="21"/>
        </w:rPr>
        <w:t>面向中小企业采购。</w:t>
      </w:r>
    </w:p>
    <w:p w14:paraId="7A01831A">
      <w:pPr>
        <w:widowControl/>
        <w:shd w:val="clear" w:color="auto" w:fill="FFFFFF"/>
        <w:spacing w:line="360" w:lineRule="auto"/>
        <w:ind w:firstLine="452" w:firstLineChars="200"/>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1.9本项目</w:t>
      </w:r>
      <w:r>
        <w:rPr>
          <w:rFonts w:hint="eastAsia" w:ascii="宋体" w:hAnsi="宋体" w:eastAsia="宋体" w:cs="宋体"/>
          <w:b/>
          <w:bCs/>
          <w:spacing w:val="8"/>
          <w:kern w:val="0"/>
          <w:szCs w:val="21"/>
          <w:highlight w:val="none"/>
        </w:rPr>
        <w:t>接受</w:t>
      </w:r>
      <w:r>
        <w:rPr>
          <w:rFonts w:hint="eastAsia" w:ascii="宋体" w:hAnsi="宋体" w:eastAsia="宋体" w:cs="宋体"/>
          <w:spacing w:val="8"/>
          <w:kern w:val="0"/>
          <w:szCs w:val="21"/>
          <w:highlight w:val="none"/>
        </w:rPr>
        <w:t>进口产品（注：本文件所称进口产品是指通过中国海关报关验放进入中国境内且产自关境外的产品）。</w:t>
      </w:r>
    </w:p>
    <w:p w14:paraId="270F6BDE">
      <w:pPr>
        <w:widowControl/>
        <w:shd w:val="clear" w:color="auto" w:fill="FFFFFF" w:themeFill="background1"/>
        <w:spacing w:line="360" w:lineRule="auto"/>
        <w:ind w:firstLine="452" w:firstLineChars="200"/>
        <w:rPr>
          <w:rFonts w:hint="eastAsia" w:ascii="宋体" w:hAnsi="宋体" w:eastAsia="宋体" w:cs="宋体"/>
          <w:color w:val="FFFFFF" w:themeColor="background1"/>
          <w:spacing w:val="8"/>
          <w:kern w:val="0"/>
          <w:szCs w:val="21"/>
          <w14:textFill>
            <w14:solidFill>
              <w14:schemeClr w14:val="bg1"/>
            </w14:solidFill>
          </w14:textFill>
        </w:rPr>
      </w:pPr>
      <w:r>
        <w:rPr>
          <w:rFonts w:hint="eastAsia" w:ascii="宋体" w:hAnsi="宋体" w:eastAsia="宋体" w:cs="宋体"/>
          <w:spacing w:val="8"/>
          <w:kern w:val="0"/>
          <w:szCs w:val="21"/>
        </w:rPr>
        <w:t>1.10本项目</w:t>
      </w:r>
      <w:r>
        <w:rPr>
          <w:rFonts w:hint="eastAsia" w:ascii="宋体" w:hAnsi="宋体" w:eastAsia="宋体" w:cs="宋体"/>
          <w:b/>
          <w:bCs/>
          <w:spacing w:val="8"/>
          <w:kern w:val="0"/>
          <w:szCs w:val="21"/>
        </w:rPr>
        <w:t>不接受</w:t>
      </w:r>
      <w:r>
        <w:rPr>
          <w:rFonts w:hint="eastAsia" w:ascii="宋体" w:hAnsi="宋体" w:eastAsia="宋体" w:cs="宋体"/>
          <w:spacing w:val="8"/>
          <w:kern w:val="0"/>
          <w:szCs w:val="21"/>
        </w:rPr>
        <w:t>联合体投标。</w:t>
      </w:r>
    </w:p>
    <w:p w14:paraId="15A9DB06">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二、申请人的资格要求：</w:t>
      </w:r>
    </w:p>
    <w:p w14:paraId="30443193">
      <w:pPr>
        <w:widowControl/>
        <w:shd w:val="clear" w:color="auto" w:fill="FFFFFF" w:themeFill="background1"/>
        <w:spacing w:line="360" w:lineRule="auto"/>
        <w:ind w:firstLine="454" w:firstLineChars="200"/>
        <w:rPr>
          <w:rFonts w:hint="eastAsia" w:ascii="宋体" w:hAnsi="宋体" w:eastAsia="宋体" w:cs="宋体"/>
          <w:b/>
          <w:bCs/>
          <w:spacing w:val="8"/>
          <w:kern w:val="0"/>
          <w:szCs w:val="21"/>
        </w:rPr>
      </w:pPr>
      <w:r>
        <w:rPr>
          <w:rFonts w:hint="eastAsia" w:ascii="宋体" w:hAnsi="宋体" w:eastAsia="宋体" w:cs="宋体"/>
          <w:b/>
          <w:bCs/>
          <w:spacing w:val="8"/>
          <w:kern w:val="0"/>
          <w:szCs w:val="21"/>
        </w:rPr>
        <w:t>2.1满足《中华人民共和国政府采购法》第二十二条规定；</w:t>
      </w:r>
    </w:p>
    <w:p w14:paraId="432E9750">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（1）具有独立承担民事责任的能力</w:t>
      </w:r>
      <w:r>
        <w:rPr>
          <w:rFonts w:hint="eastAsia" w:ascii="宋体" w:hAnsi="宋体" w:eastAsia="宋体" w:cs="宋体"/>
          <w:b/>
          <w:szCs w:val="21"/>
        </w:rPr>
        <w:t>（提供法人或者其他组织的营业执照；供应商为自然人的提供其身份证）</w:t>
      </w:r>
      <w:r>
        <w:rPr>
          <w:rFonts w:hint="eastAsia" w:ascii="宋体" w:hAnsi="宋体" w:eastAsia="宋体" w:cs="宋体"/>
          <w:bCs/>
          <w:szCs w:val="21"/>
        </w:rPr>
        <w:t xml:space="preserve">； </w:t>
      </w:r>
    </w:p>
    <w:p w14:paraId="6D6FB9C4">
      <w:pPr>
        <w:spacing w:line="360" w:lineRule="auto"/>
        <w:ind w:firstLine="424" w:firstLineChars="202"/>
        <w:rPr>
          <w:rFonts w:hint="eastAsia" w:ascii="宋体" w:hAnsi="宋体" w:eastAsia="宋体" w:cs="宋体"/>
        </w:rPr>
      </w:pPr>
      <w:r>
        <w:rPr>
          <w:rFonts w:hint="eastAsia" w:ascii="宋体" w:hAnsi="宋体" w:eastAsia="宋体" w:cs="宋体"/>
          <w:bCs/>
          <w:szCs w:val="21"/>
        </w:rPr>
        <w:t>（2）具有良好的商业信誉和健全的财务会计制度</w:t>
      </w:r>
      <w:r>
        <w:rPr>
          <w:rFonts w:hint="eastAsia" w:ascii="宋体" w:hAnsi="宋体" w:eastAsia="宋体" w:cs="宋体"/>
          <w:b/>
          <w:szCs w:val="21"/>
        </w:rPr>
        <w:t>（提供2025年度的财务报告，至少包含资产负债表、利润表</w:t>
      </w:r>
      <w:r>
        <w:rPr>
          <w:rFonts w:hint="eastAsia" w:ascii="宋体" w:hAnsi="宋体" w:eastAsia="宋体" w:cs="宋体"/>
          <w:b/>
          <w:szCs w:val="21"/>
          <w:lang w:eastAsia="zh-CN"/>
        </w:rPr>
        <w:t>；</w:t>
      </w:r>
      <w:r>
        <w:rPr>
          <w:rFonts w:hint="eastAsia" w:ascii="宋体" w:hAnsi="宋体" w:eastAsia="宋体" w:cs="宋体"/>
          <w:b/>
          <w:szCs w:val="21"/>
        </w:rPr>
        <w:t>或投标截止时间前六个月内银行出具的资信证明</w:t>
      </w:r>
      <w:r>
        <w:rPr>
          <w:rFonts w:hint="eastAsia" w:ascii="宋体" w:hAnsi="宋体" w:eastAsia="宋体" w:cs="宋体"/>
          <w:b/>
          <w:szCs w:val="21"/>
          <w:lang w:eastAsia="zh-CN"/>
        </w:rPr>
        <w:t>；</w:t>
      </w:r>
      <w:r>
        <w:rPr>
          <w:rFonts w:hint="eastAsia" w:ascii="宋体" w:hAnsi="宋体" w:eastAsia="宋体" w:cs="宋体"/>
          <w:b/>
          <w:szCs w:val="21"/>
        </w:rPr>
        <w:t>成立不满一年无须提供）；</w:t>
      </w:r>
    </w:p>
    <w:p w14:paraId="72368F02">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（3）具有履行合同所必需的设备和专业技术能力</w:t>
      </w:r>
      <w:r>
        <w:rPr>
          <w:rFonts w:hint="eastAsia" w:ascii="宋体" w:hAnsi="宋体" w:eastAsia="宋体" w:cs="宋体"/>
          <w:b/>
          <w:szCs w:val="21"/>
        </w:rPr>
        <w:t>（供应商根据履行采购项目合同需要，提供履行合同所必需的设备和专业技术能力的证明材料或承诺书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rPr>
        <w:t>；</w:t>
      </w:r>
    </w:p>
    <w:p w14:paraId="321934D7">
      <w:pPr>
        <w:spacing w:line="360" w:lineRule="auto"/>
        <w:ind w:firstLine="424" w:firstLineChars="202"/>
        <w:rPr>
          <w:rFonts w:hint="eastAsia" w:ascii="宋体" w:hAnsi="宋体" w:eastAsia="宋体" w:cs="宋体"/>
          <w:bCs/>
          <w:szCs w:val="21"/>
          <w:lang w:eastAsia="zh-CN"/>
        </w:rPr>
      </w:pPr>
      <w:r>
        <w:rPr>
          <w:rFonts w:hint="eastAsia" w:ascii="宋体" w:hAnsi="宋体" w:eastAsia="宋体" w:cs="宋体"/>
          <w:bCs/>
          <w:szCs w:val="21"/>
        </w:rPr>
        <w:t>（4）有依法缴纳税收和社会保障资金的良好记录</w:t>
      </w:r>
      <w:r>
        <w:rPr>
          <w:rFonts w:hint="eastAsia" w:ascii="宋体" w:hAnsi="宋体" w:eastAsia="宋体" w:cs="宋体"/>
          <w:b/>
          <w:szCs w:val="21"/>
        </w:rPr>
        <w:t>（提供自投标截止时间前六个月内任意一个月份：①提供缴纳税收的凭证；②提供缴纳社会保险的凭据，依法享受免缴、缓缴的，提供证明材料）</w:t>
      </w:r>
      <w:r>
        <w:rPr>
          <w:rFonts w:hint="eastAsia" w:ascii="宋体" w:hAnsi="宋体" w:eastAsia="宋体" w:cs="宋体"/>
          <w:bCs/>
          <w:szCs w:val="21"/>
          <w:lang w:eastAsia="zh-CN"/>
        </w:rPr>
        <w:t>；</w:t>
      </w:r>
    </w:p>
    <w:p w14:paraId="0C0CF25A">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（5）参加政府采购活动前三年内，在经营活动中没有重大违法记录</w:t>
      </w:r>
      <w:r>
        <w:rPr>
          <w:rFonts w:hint="eastAsia" w:ascii="宋体" w:hAnsi="宋体" w:eastAsia="宋体" w:cs="宋体"/>
          <w:b/>
          <w:szCs w:val="21"/>
        </w:rPr>
        <w:t>（提供承诺书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rPr>
        <w:t>；</w:t>
      </w:r>
    </w:p>
    <w:p w14:paraId="67BA1CCB">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（6）法律、行政法规规定的其他条件：无。</w:t>
      </w:r>
    </w:p>
    <w:p w14:paraId="69EF7721">
      <w:pPr>
        <w:widowControl/>
        <w:shd w:val="clear" w:color="auto" w:fill="FFFFFF" w:themeFill="background1"/>
        <w:spacing w:line="360" w:lineRule="auto"/>
        <w:ind w:firstLine="454" w:firstLineChars="200"/>
        <w:rPr>
          <w:rFonts w:hint="eastAsia" w:ascii="宋体" w:hAnsi="宋体" w:eastAsia="宋体" w:cs="宋体"/>
          <w:b/>
          <w:bCs/>
          <w:spacing w:val="8"/>
          <w:kern w:val="0"/>
          <w:szCs w:val="21"/>
        </w:rPr>
      </w:pPr>
      <w:r>
        <w:rPr>
          <w:rFonts w:hint="eastAsia" w:ascii="宋体" w:hAnsi="宋体" w:eastAsia="宋体" w:cs="宋体"/>
          <w:b/>
          <w:bCs/>
          <w:spacing w:val="8"/>
          <w:kern w:val="0"/>
          <w:szCs w:val="21"/>
        </w:rPr>
        <w:t>2.2落实政府采购政策需满足的资格要求：无。</w:t>
      </w:r>
    </w:p>
    <w:p w14:paraId="22BA0F99">
      <w:pPr>
        <w:spacing w:line="360" w:lineRule="auto"/>
        <w:ind w:firstLine="454" w:firstLineChars="200"/>
        <w:rPr>
          <w:rFonts w:hint="eastAsia" w:ascii="宋体" w:hAnsi="宋体" w:eastAsia="宋体" w:cs="宋体"/>
          <w:b/>
          <w:spacing w:val="8"/>
          <w:kern w:val="0"/>
          <w:szCs w:val="21"/>
          <w:highlight w:val="none"/>
        </w:rPr>
      </w:pPr>
      <w:r>
        <w:rPr>
          <w:rFonts w:hint="eastAsia" w:ascii="宋体" w:hAnsi="宋体" w:eastAsia="宋体" w:cs="宋体"/>
          <w:b/>
          <w:spacing w:val="8"/>
          <w:kern w:val="0"/>
          <w:szCs w:val="21"/>
          <w:highlight w:val="none"/>
        </w:rPr>
        <w:t>2.3采购人根据采购项目的特殊要求规定的特定条件，并提供符合特殊要求的证明材料或者情况说明：代理商投标进口设备的，需提供所投产品制造商或其驻中国办事机构或制造商授权的中国境内最高级别代理机构的有效授权书（提供授权复印件加盖公章）。</w:t>
      </w:r>
    </w:p>
    <w:p w14:paraId="56F5158E">
      <w:pPr>
        <w:spacing w:line="360" w:lineRule="auto"/>
        <w:ind w:firstLine="454" w:firstLineChars="200"/>
        <w:rPr>
          <w:rFonts w:hint="eastAsia" w:ascii="宋体" w:hAnsi="宋体" w:eastAsia="宋体" w:cs="宋体"/>
          <w:bCs/>
          <w:szCs w:val="21"/>
        </w:rPr>
      </w:pPr>
      <w:r>
        <w:rPr>
          <w:rFonts w:hint="eastAsia" w:ascii="宋体" w:hAnsi="宋体" w:eastAsia="宋体" w:cs="宋体"/>
          <w:b/>
          <w:spacing w:val="8"/>
          <w:kern w:val="0"/>
          <w:szCs w:val="21"/>
        </w:rPr>
        <w:t>2.4第2.1（5）条所称重大违法记录，</w:t>
      </w:r>
      <w:r>
        <w:rPr>
          <w:rFonts w:hint="eastAsia" w:ascii="宋体" w:hAnsi="宋体" w:eastAsia="宋体" w:cs="宋体"/>
          <w:bCs/>
          <w:szCs w:val="21"/>
        </w:rPr>
        <w:t>是指供应商因违法经营受到刑事处罚或者责令停产停业、吊销许可证或者执照、较大数额罚款等行政处罚。</w:t>
      </w:r>
    </w:p>
    <w:p w14:paraId="1348D28A">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2.5 供应商在参加政府采购活动前3年内因违法经营被禁止在一定期限内参加政府采购活动，期限届满的，可以参加政府采购活动。</w:t>
      </w:r>
    </w:p>
    <w:p w14:paraId="6BC1A576">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2.6单位负责人为同一人或者存在直接控股、管理关系的不同供应商，不得参加同一合同项下的政府采购活动。</w:t>
      </w:r>
    </w:p>
    <w:p w14:paraId="7EF59BF2">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为采购项目提供整体设计、规范编制或者项目管理、监理、检测等服务的供应商，不得再参加该采购项目的其他采购活动。</w:t>
      </w:r>
    </w:p>
    <w:p w14:paraId="2F6C8B53">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7229C518">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3.1时间：</w:t>
      </w:r>
      <w:r>
        <w:rPr>
          <w:rFonts w:hint="eastAsia" w:ascii="宋体" w:hAnsi="宋体" w:eastAsia="宋体" w:cs="宋体"/>
          <w:b w:val="0"/>
          <w:bCs/>
          <w:color w:val="auto"/>
          <w:szCs w:val="21"/>
        </w:rPr>
        <w:t>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eastAsia="宋体" w:cs="宋体"/>
          <w:spacing w:val="15"/>
          <w:szCs w:val="21"/>
          <w:shd w:val="clear" w:color="auto" w:fill="FFFFFF"/>
        </w:rPr>
      </w:pPr>
      <w:r>
        <w:rPr>
          <w:rFonts w:hint="eastAsia" w:ascii="宋体" w:hAnsi="宋体" w:eastAsia="宋体" w:cs="宋体"/>
          <w:bCs/>
          <w:szCs w:val="21"/>
        </w:rPr>
        <w:t>3.3方式：</w:t>
      </w:r>
      <w:r>
        <w:rPr>
          <w:rFonts w:hint="eastAsia" w:ascii="宋体" w:hAnsi="宋体" w:eastAsia="宋体" w:cs="宋体"/>
          <w:szCs w:val="21"/>
        </w:rPr>
        <w:t>采用网上注册登记方式</w:t>
      </w:r>
    </w:p>
    <w:p w14:paraId="7CAB8C4A">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3.4</w:t>
      </w:r>
      <w:r>
        <w:rPr>
          <w:rFonts w:hint="eastAsia" w:ascii="宋体" w:hAnsi="宋体" w:eastAsia="宋体" w:cs="宋体"/>
          <w:spacing w:val="8"/>
          <w:kern w:val="0"/>
          <w:szCs w:val="21"/>
        </w:rPr>
        <w:t>售价</w:t>
      </w:r>
      <w:r>
        <w:rPr>
          <w:rFonts w:hint="eastAsia" w:ascii="宋体" w:hAnsi="宋体" w:eastAsia="宋体" w:cs="宋体"/>
          <w:spacing w:val="8"/>
          <w:kern w:val="0"/>
          <w:szCs w:val="21"/>
          <w:lang w:eastAsia="zh-CN"/>
        </w:rPr>
        <w:t>：</w:t>
      </w:r>
      <w:r>
        <w:rPr>
          <w:rFonts w:hint="eastAsia" w:ascii="宋体" w:hAnsi="宋体" w:eastAsia="宋体" w:cs="宋体"/>
          <w:spacing w:val="8"/>
          <w:kern w:val="0"/>
          <w:szCs w:val="21"/>
        </w:rPr>
        <w:t>0.00元</w:t>
      </w:r>
    </w:p>
    <w:bookmarkEnd w:id="4"/>
    <w:bookmarkEnd w:id="5"/>
    <w:bookmarkEnd w:id="6"/>
    <w:bookmarkEnd w:id="7"/>
    <w:bookmarkEnd w:id="8"/>
    <w:bookmarkEnd w:id="9"/>
    <w:bookmarkEnd w:id="10"/>
    <w:bookmarkEnd w:id="11"/>
    <w:bookmarkEnd w:id="12"/>
    <w:bookmarkEnd w:id="13"/>
    <w:p w14:paraId="3383C801">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四、提交投标文件截止时间、开标时间和地点</w:t>
      </w:r>
    </w:p>
    <w:p w14:paraId="33FAAD49">
      <w:pPr>
        <w:widowControl/>
        <w:spacing w:line="360" w:lineRule="auto"/>
        <w:ind w:firstLine="370"/>
        <w:rPr>
          <w:rFonts w:hint="eastAsia" w:ascii="宋体" w:hAnsi="宋体" w:eastAsia="宋体" w:cs="宋体"/>
          <w:spacing w:val="8"/>
          <w:kern w:val="0"/>
          <w:szCs w:val="21"/>
        </w:rPr>
      </w:pPr>
      <w:r>
        <w:rPr>
          <w:rFonts w:hint="eastAsia" w:ascii="宋体" w:hAnsi="宋体" w:eastAsia="宋体" w:cs="宋体"/>
          <w:spacing w:val="8"/>
          <w:kern w:val="0"/>
          <w:szCs w:val="21"/>
        </w:rPr>
        <w:t>4.1</w:t>
      </w:r>
      <w:r>
        <w:rPr>
          <w:rFonts w:hint="eastAsia" w:ascii="宋体" w:hAnsi="宋体" w:eastAsia="宋体" w:cs="宋体"/>
          <w:spacing w:val="15"/>
          <w:kern w:val="0"/>
          <w:szCs w:val="21"/>
          <w:shd w:val="clear" w:color="auto" w:fill="FFFFFF"/>
        </w:rPr>
        <w:t>提交投标文件截止时间、开标时间：</w:t>
      </w:r>
      <w:r>
        <w:rPr>
          <w:rFonts w:hint="eastAsia" w:ascii="宋体" w:hAnsi="宋体" w:eastAsia="宋体" w:cs="宋体"/>
          <w:b/>
          <w:bCs/>
        </w:rPr>
        <w:t>2026</w:t>
      </w:r>
      <w:r>
        <w:rPr>
          <w:rFonts w:hint="eastAsia" w:ascii="宋体" w:hAnsi="宋体" w:eastAsia="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eastAsia="宋体" w:cs="宋体"/>
          <w:b/>
          <w:bCs/>
          <w:spacing w:val="8"/>
          <w:kern w:val="0"/>
          <w:szCs w:val="21"/>
        </w:rPr>
        <w:t>月</w:t>
      </w:r>
      <w:r>
        <w:rPr>
          <w:rFonts w:hint="eastAsia" w:ascii="宋体" w:hAnsi="宋体" w:cs="宋体"/>
          <w:b/>
          <w:bCs/>
          <w:spacing w:val="8"/>
          <w:kern w:val="0"/>
          <w:szCs w:val="21"/>
          <w:lang w:val="en-US" w:eastAsia="zh-CN"/>
        </w:rPr>
        <w:t>20</w:t>
      </w:r>
      <w:r>
        <w:rPr>
          <w:rFonts w:hint="eastAsia" w:ascii="宋体" w:hAnsi="宋体" w:eastAsia="宋体" w:cs="宋体"/>
          <w:b/>
          <w:bCs/>
          <w:spacing w:val="8"/>
          <w:kern w:val="0"/>
          <w:szCs w:val="21"/>
        </w:rPr>
        <w:t>日</w:t>
      </w:r>
      <w:r>
        <w:rPr>
          <w:rFonts w:hint="eastAsia" w:ascii="宋体" w:hAnsi="宋体" w:cs="宋体"/>
          <w:b/>
          <w:bCs/>
          <w:lang w:val="en-US" w:eastAsia="zh-CN"/>
        </w:rPr>
        <w:t>9</w:t>
      </w:r>
      <w:r>
        <w:rPr>
          <w:rFonts w:hint="eastAsia" w:ascii="宋体" w:hAnsi="宋体" w:eastAsia="宋体" w:cs="宋体"/>
          <w:b/>
          <w:bCs/>
          <w:spacing w:val="8"/>
          <w:kern w:val="0"/>
          <w:szCs w:val="21"/>
        </w:rPr>
        <w:t>点</w:t>
      </w:r>
      <w:r>
        <w:rPr>
          <w:rFonts w:hint="eastAsia" w:ascii="宋体" w:hAnsi="宋体" w:eastAsia="宋体" w:cs="宋体"/>
          <w:b/>
          <w:bCs/>
        </w:rPr>
        <w:t>30</w:t>
      </w:r>
      <w:r>
        <w:rPr>
          <w:rFonts w:hint="eastAsia" w:ascii="宋体" w:hAnsi="宋体" w:eastAsia="宋体" w:cs="宋体"/>
          <w:b/>
          <w:bCs/>
          <w:spacing w:val="8"/>
          <w:kern w:val="0"/>
          <w:szCs w:val="21"/>
        </w:rPr>
        <w:t>分</w:t>
      </w:r>
      <w:r>
        <w:rPr>
          <w:rFonts w:hint="eastAsia" w:ascii="宋体" w:hAnsi="宋体" w:eastAsia="宋体" w:cs="宋体"/>
          <w:spacing w:val="8"/>
          <w:kern w:val="0"/>
          <w:szCs w:val="21"/>
        </w:rPr>
        <w:t>（北京时间）</w:t>
      </w:r>
    </w:p>
    <w:p w14:paraId="6D32AFF8">
      <w:pPr>
        <w:pStyle w:val="41"/>
        <w:spacing w:before="0" w:beforeAutospacing="0" w:after="0" w:afterAutospacing="0" w:line="360" w:lineRule="auto"/>
        <w:ind w:firstLine="375"/>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cs="宋体"/>
          <w:spacing w:val="15"/>
          <w:sz w:val="21"/>
          <w:szCs w:val="21"/>
          <w:shd w:val="clear" w:color="auto" w:fill="FFFFFF"/>
          <w:lang w:eastAsia="zh-CN"/>
        </w:rPr>
        <w:t>https://jszfcg.jsczt.cn/jszc/login</w:t>
      </w:r>
      <w:r>
        <w:rPr>
          <w:rFonts w:hint="eastAsia" w:ascii="宋体" w:hAnsi="宋体" w:eastAsia="宋体" w:cs="宋体"/>
          <w:spacing w:val="15"/>
          <w:sz w:val="21"/>
          <w:szCs w:val="21"/>
          <w:shd w:val="clear" w:color="auto" w:fill="FFFFFF"/>
        </w:rPr>
        <w:t>）</w:t>
      </w:r>
      <w:r>
        <w:rPr>
          <w:rFonts w:hint="eastAsia" w:ascii="宋体" w:hAnsi="宋体" w:eastAsia="宋体" w:cs="宋体"/>
          <w:spacing w:val="15"/>
          <w:sz w:val="21"/>
          <w:szCs w:val="21"/>
          <w:shd w:val="clear" w:color="auto" w:fill="FFFFFF"/>
        </w:rPr>
        <w:fldChar w:fldCharType="end"/>
      </w:r>
    </w:p>
    <w:p w14:paraId="4C95A9D0">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五、公告期限</w:t>
      </w:r>
    </w:p>
    <w:p w14:paraId="24A07FFC">
      <w:pPr>
        <w:widowControl/>
        <w:shd w:val="clear" w:color="auto" w:fill="FFFFFF" w:themeFill="background1"/>
        <w:spacing w:line="360" w:lineRule="auto"/>
        <w:ind w:firstLine="370"/>
        <w:rPr>
          <w:rFonts w:hint="eastAsia" w:ascii="宋体" w:hAnsi="宋体" w:eastAsia="宋体" w:cs="宋体"/>
          <w:spacing w:val="8"/>
          <w:kern w:val="0"/>
          <w:szCs w:val="21"/>
        </w:rPr>
      </w:pPr>
      <w:r>
        <w:rPr>
          <w:rFonts w:hint="eastAsia" w:ascii="宋体" w:hAnsi="宋体" w:eastAsia="宋体" w:cs="宋体"/>
          <w:spacing w:val="8"/>
          <w:kern w:val="0"/>
          <w:szCs w:val="21"/>
        </w:rPr>
        <w:t>自本公告发布之日起5个工作日。</w:t>
      </w:r>
      <w:bookmarkStart w:id="34" w:name="_GoBack"/>
      <w:bookmarkEnd w:id="34"/>
    </w:p>
    <w:p w14:paraId="3C5A9DD8">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六、其他补充事宜</w:t>
      </w:r>
    </w:p>
    <w:p w14:paraId="7B664341">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6.1本项目在</w:t>
      </w:r>
      <w:r>
        <w:rPr>
          <w:rFonts w:hint="eastAsia" w:ascii="宋体" w:hAnsi="宋体" w:eastAsia="宋体" w:cs="宋体"/>
          <w:b/>
          <w:szCs w:val="21"/>
          <w:u w:val="single"/>
        </w:rPr>
        <w:t>江苏政府采购网、中国政府采购网</w:t>
      </w:r>
      <w:r>
        <w:rPr>
          <w:rFonts w:hint="eastAsia" w:ascii="宋体" w:hAnsi="宋体" w:eastAsia="宋体" w:cs="宋体"/>
          <w:bCs/>
          <w:szCs w:val="21"/>
          <w:lang w:val="zh-CN"/>
        </w:rPr>
        <w:t>发布公告。</w:t>
      </w:r>
    </w:p>
    <w:p w14:paraId="2F6CE80F">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6.2勘察现场或答疑地点：无。</w:t>
      </w:r>
    </w:p>
    <w:p w14:paraId="1769EC01">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6.3获取招标文件方式补充：本项目采用网上注册登记方式。</w:t>
      </w:r>
    </w:p>
    <w:p w14:paraId="47447B94">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①潜在供应商访问电子招标响应交易平台的网络地址和方法：</w:t>
      </w:r>
    </w:p>
    <w:p w14:paraId="220A6590">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②潜在供应商访问“苏采云”系统的网络地址和方法：“苏采云”系统的网址：</w:t>
      </w:r>
      <w:r>
        <w:rPr>
          <w:rFonts w:hint="eastAsia" w:ascii="宋体" w:hAnsi="宋体" w:cs="宋体"/>
          <w:bCs/>
          <w:szCs w:val="21"/>
          <w:lang w:eastAsia="zh-CN"/>
        </w:rPr>
        <w:t>https://jszfcg.jsczt.cn/jszc/login</w:t>
      </w:r>
      <w:r>
        <w:rPr>
          <w:rFonts w:hint="eastAsia" w:ascii="宋体" w:hAnsi="宋体" w:eastAsia="宋体" w:cs="宋体"/>
          <w:bCs/>
          <w:szCs w:val="21"/>
        </w:rPr>
        <w:t>。</w:t>
      </w:r>
    </w:p>
    <w:p w14:paraId="4062FEE0">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③“CA数字证书”的获取：</w:t>
      </w:r>
    </w:p>
    <w:p w14:paraId="331139FA">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通过苏采云系统首页（</w:t>
      </w:r>
      <w:r>
        <w:rPr>
          <w:rFonts w:hint="eastAsia" w:ascii="宋体" w:hAnsi="宋体" w:cs="宋体"/>
          <w:bCs/>
          <w:szCs w:val="21"/>
          <w:lang w:eastAsia="zh-CN"/>
        </w:rPr>
        <w:t>https://jszfcg.jsczt.cn/jszc/login</w:t>
      </w:r>
      <w:r>
        <w:rPr>
          <w:rFonts w:hint="eastAsia" w:ascii="宋体" w:hAnsi="宋体" w:eastAsia="宋体" w:cs="宋体"/>
          <w:bCs/>
          <w:szCs w:val="21"/>
        </w:rPr>
        <w:t>）的“苏采云控件驱动下载”，选择“政务CA、方正签章控件驱动安装包及安装说明”下载安装，具体安装方法详见下载文件内的《安装说明》。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⑤采购人或采购代理机构将数据电文形式的采购文件加载至“苏采云”系统，供潜在供应商下载或者查阅。</w:t>
      </w:r>
    </w:p>
    <w:p w14:paraId="04897C07">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⑥请潜在供应商提前安装相应的控件（详见《江苏省政府采购管理交易系统（苏采云）供应商操作手册》）并使用谷歌浏览器登录“苏采云”系统参与不见面开评标。</w:t>
      </w:r>
    </w:p>
    <w:p w14:paraId="4DD9B741">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注：如潜在供应商未按上述要求操作，将自行承担所产生的风险。</w:t>
      </w:r>
    </w:p>
    <w:p w14:paraId="000F5F6B">
      <w:pPr>
        <w:widowControl/>
        <w:shd w:val="clear" w:color="auto" w:fill="FFFFFF" w:themeFill="background1"/>
        <w:spacing w:line="360" w:lineRule="auto"/>
        <w:rPr>
          <w:rFonts w:hint="eastAsia" w:ascii="宋体" w:hAnsi="宋体" w:eastAsia="宋体" w:cs="宋体"/>
          <w:b/>
          <w:spacing w:val="8"/>
          <w:kern w:val="0"/>
          <w:sz w:val="24"/>
        </w:rPr>
      </w:pPr>
      <w:r>
        <w:rPr>
          <w:rFonts w:hint="eastAsia" w:ascii="宋体" w:hAnsi="宋体" w:eastAsia="宋体" w:cs="宋体"/>
          <w:b/>
          <w:spacing w:val="8"/>
          <w:kern w:val="0"/>
          <w:sz w:val="24"/>
        </w:rPr>
        <w:t>七、对本次招标提出询问，请按以下方式联系</w:t>
      </w:r>
    </w:p>
    <w:p w14:paraId="68CC48C9">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7.1采购人信息</w:t>
      </w:r>
    </w:p>
    <w:p w14:paraId="00113AB7">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名 称：南京医科大学</w:t>
      </w:r>
    </w:p>
    <w:p w14:paraId="30062A9D">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地址：南京市江宁区龙眠大道101号</w:t>
      </w:r>
    </w:p>
    <w:p w14:paraId="779DA259">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联系方式：</w:t>
      </w:r>
      <w:r>
        <w:rPr>
          <w:rFonts w:hint="eastAsia" w:ascii="宋体" w:hAnsi="宋体" w:eastAsia="宋体" w:cs="宋体"/>
          <w:bCs/>
          <w:szCs w:val="21"/>
        </w:rPr>
        <w:t>陈</w:t>
      </w:r>
      <w:r>
        <w:rPr>
          <w:rFonts w:hint="eastAsia" w:ascii="宋体" w:hAnsi="宋体" w:eastAsia="宋体" w:cs="宋体"/>
          <w:bCs/>
          <w:szCs w:val="21"/>
          <w:lang w:val="zh-CN"/>
        </w:rPr>
        <w:t xml:space="preserve">老师 </w:t>
      </w:r>
      <w:r>
        <w:rPr>
          <w:rFonts w:hint="eastAsia" w:ascii="宋体" w:hAnsi="宋体" w:eastAsia="宋体" w:cs="宋体"/>
          <w:bCs/>
          <w:szCs w:val="21"/>
        </w:rPr>
        <w:t>025-86868572</w:t>
      </w:r>
    </w:p>
    <w:p w14:paraId="756A2B96">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7.2采购代理机构信息</w:t>
      </w:r>
    </w:p>
    <w:p w14:paraId="0517120E">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名 称：江苏省设备成套股份有限公司</w:t>
      </w:r>
    </w:p>
    <w:p w14:paraId="611C609A">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地　址：南京市鼓楼区清江南路18号鼓楼创新广场10楼100</w:t>
      </w:r>
      <w:r>
        <w:rPr>
          <w:rFonts w:hint="eastAsia" w:ascii="宋体" w:hAnsi="宋体" w:eastAsia="宋体" w:cs="宋体"/>
          <w:bCs/>
          <w:szCs w:val="21"/>
        </w:rPr>
        <w:t>1</w:t>
      </w:r>
      <w:r>
        <w:rPr>
          <w:rFonts w:hint="eastAsia" w:ascii="宋体" w:hAnsi="宋体" w:eastAsia="宋体" w:cs="宋体"/>
          <w:bCs/>
          <w:szCs w:val="21"/>
          <w:lang w:val="zh-CN"/>
        </w:rPr>
        <w:t>室</w:t>
      </w:r>
    </w:p>
    <w:p w14:paraId="18B2D2A8">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lang w:val="zh-CN"/>
        </w:rPr>
        <w:t>联系方式：</w:t>
      </w:r>
      <w:r>
        <w:rPr>
          <w:rFonts w:hint="eastAsia" w:ascii="宋体" w:hAnsi="宋体" w:eastAsia="宋体" w:cs="宋体"/>
          <w:bCs/>
          <w:szCs w:val="21"/>
        </w:rPr>
        <w:t>古南明</w:t>
      </w:r>
      <w:r>
        <w:rPr>
          <w:rFonts w:hint="eastAsia" w:ascii="宋体" w:hAnsi="宋体" w:eastAsia="宋体" w:cs="宋体"/>
          <w:bCs/>
          <w:szCs w:val="21"/>
          <w:lang w:val="zh-CN"/>
        </w:rPr>
        <w:t xml:space="preserve"> 025-</w:t>
      </w:r>
      <w:r>
        <w:rPr>
          <w:rFonts w:hint="eastAsia" w:ascii="宋体" w:hAnsi="宋体" w:eastAsia="宋体" w:cs="宋体"/>
          <w:bCs/>
          <w:szCs w:val="21"/>
        </w:rPr>
        <w:t>83306855</w:t>
      </w:r>
    </w:p>
    <w:p w14:paraId="1F48414A">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7.3项目联系方式</w:t>
      </w:r>
    </w:p>
    <w:p w14:paraId="31FD6796">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项目联系人：</w:t>
      </w:r>
      <w:r>
        <w:rPr>
          <w:rFonts w:hint="eastAsia" w:ascii="宋体" w:hAnsi="宋体" w:eastAsia="宋体" w:cs="宋体"/>
          <w:bCs/>
          <w:szCs w:val="21"/>
        </w:rPr>
        <w:t>古南明</w:t>
      </w:r>
    </w:p>
    <w:p w14:paraId="617BA5B4">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lang w:val="zh-CN"/>
        </w:rPr>
        <w:t>电　话：025-</w:t>
      </w:r>
      <w:r>
        <w:rPr>
          <w:rFonts w:hint="eastAsia" w:ascii="宋体" w:hAnsi="宋体" w:eastAsia="宋体" w:cs="宋体"/>
          <w:bCs/>
          <w:szCs w:val="21"/>
        </w:rPr>
        <w:t>83306855</w:t>
      </w:r>
    </w:p>
    <w:p w14:paraId="5F90DDC7">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邮箱：gunm@jcec.cn</w:t>
      </w:r>
    </w:p>
    <w:p w14:paraId="6E71A5E2">
      <w:pPr>
        <w:widowControl/>
        <w:jc w:val="left"/>
        <w:rPr>
          <w:rFonts w:hint="eastAsia" w:ascii="宋体" w:hAnsi="宋体" w:eastAsia="宋体" w:cs="宋体"/>
          <w:szCs w:val="21"/>
        </w:rPr>
      </w:pPr>
      <w:r>
        <w:rPr>
          <w:rFonts w:hint="eastAsia" w:ascii="宋体" w:hAnsi="宋体" w:eastAsia="宋体" w:cs="宋体"/>
          <w:szCs w:val="21"/>
        </w:rPr>
        <w:br w:type="page"/>
      </w:r>
    </w:p>
    <w:p w14:paraId="18F5B9CD">
      <w:pPr>
        <w:pStyle w:val="2"/>
        <w:numPr>
          <w:ilvl w:val="0"/>
          <w:numId w:val="0"/>
        </w:numPr>
        <w:rPr>
          <w:rFonts w:hint="eastAsia" w:ascii="宋体" w:hAnsi="宋体" w:eastAsia="宋体" w:cs="宋体"/>
        </w:rPr>
      </w:pPr>
      <w:bookmarkStart w:id="14" w:name="_Toc17552"/>
      <w:r>
        <w:rPr>
          <w:rFonts w:hint="eastAsia" w:ascii="宋体" w:hAnsi="宋体" w:eastAsia="宋体" w:cs="宋体"/>
        </w:rPr>
        <w:t>第二章</w:t>
      </w:r>
      <w:bookmarkStart w:id="15" w:name="_Toc452625218"/>
      <w:r>
        <w:rPr>
          <w:rFonts w:hint="eastAsia" w:ascii="宋体" w:hAnsi="宋体" w:eastAsia="宋体" w:cs="宋体"/>
        </w:rPr>
        <w:t xml:space="preserve"> 供应商须知</w:t>
      </w:r>
      <w:bookmarkEnd w:id="14"/>
      <w:bookmarkEnd w:id="15"/>
    </w:p>
    <w:p w14:paraId="25E5BA20">
      <w:pPr>
        <w:widowControl/>
        <w:shd w:val="clear" w:color="auto" w:fill="FFFFFF"/>
        <w:spacing w:line="360" w:lineRule="auto"/>
        <w:ind w:firstLine="424" w:firstLineChars="201"/>
        <w:rPr>
          <w:rFonts w:hint="eastAsia" w:ascii="宋体" w:hAnsi="宋体" w:eastAsia="宋体" w:cs="宋体"/>
          <w:kern w:val="0"/>
          <w:szCs w:val="21"/>
        </w:rPr>
      </w:pPr>
      <w:bookmarkStart w:id="16" w:name="_Toc25340"/>
      <w:bookmarkStart w:id="17" w:name="_Toc481057145"/>
      <w:r>
        <w:rPr>
          <w:rFonts w:hint="eastAsia" w:ascii="宋体" w:hAnsi="宋体" w:eastAsia="宋体" w:cs="宋体"/>
          <w:b/>
          <w:bCs/>
          <w:kern w:val="0"/>
          <w:szCs w:val="21"/>
        </w:rPr>
        <w:t>一、总 则</w:t>
      </w:r>
    </w:p>
    <w:p w14:paraId="7922307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1、适用法律</w:t>
      </w:r>
    </w:p>
    <w:p w14:paraId="2FAB4DE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2、定义</w:t>
      </w:r>
    </w:p>
    <w:p w14:paraId="078C05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2.1“采购人”是指依法进行政府采购的国家机关、事业单位、团体组织。</w:t>
      </w:r>
    </w:p>
    <w:p w14:paraId="21CCA4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2.2“供应商（供应商）”是指参加投标竞争，并符合招标文件规定资格条件的法人、其他组织或者自然人。</w:t>
      </w:r>
    </w:p>
    <w:p w14:paraId="42CCB41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2.3“采购代理机构”是指集中采购机构和集中采购机构以外的采购代理机构，集中采购机构以外的采购代理机构，是从事采购代理业务的社会中介机构。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2.4“货物和服务”指本招标文件中所述</w:t>
      </w:r>
      <w:r>
        <w:rPr>
          <w:rFonts w:hint="eastAsia" w:ascii="宋体" w:hAnsi="宋体" w:eastAsia="宋体" w:cs="宋体"/>
          <w:bCs/>
          <w:kern w:val="0"/>
          <w:szCs w:val="21"/>
        </w:rPr>
        <w:t>产品</w:t>
      </w:r>
      <w:r>
        <w:rPr>
          <w:rFonts w:hint="eastAsia" w:ascii="宋体" w:hAnsi="宋体" w:eastAsia="宋体" w:cs="宋体"/>
          <w:kern w:val="0"/>
          <w:szCs w:val="21"/>
        </w:rPr>
        <w:t>及相关服务。</w:t>
      </w:r>
    </w:p>
    <w:p w14:paraId="2710E43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2.5“用户或使用单位”是指使用货物，接受服务的单位。</w:t>
      </w:r>
    </w:p>
    <w:p w14:paraId="4E10533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3、政策功能</w:t>
      </w:r>
    </w:p>
    <w:p w14:paraId="635576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3.6进口产品政策</w:t>
      </w:r>
    </w:p>
    <w:p w14:paraId="56847D8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（2）允许进口产品参加的，满足需求的国内产品可以参加。</w:t>
      </w:r>
    </w:p>
    <w:p w14:paraId="4E496A4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3.7本国产品支持政策</w:t>
      </w:r>
    </w:p>
    <w:p w14:paraId="0DBB483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6A93919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B9E206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3.8未按要求提供相关材料的，不享受相关政策。</w:t>
      </w:r>
    </w:p>
    <w:p w14:paraId="3C4F12CC">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
          <w:bCs/>
          <w:kern w:val="0"/>
          <w:szCs w:val="21"/>
        </w:rPr>
        <w:t>二、招标文件构成</w:t>
      </w:r>
    </w:p>
    <w:p w14:paraId="4090F91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4、招标文件组成</w:t>
      </w:r>
    </w:p>
    <w:p w14:paraId="14B0F7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4.1招标文件包括以下主要内容：采购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p>
    <w:p w14:paraId="64146F1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4.2招标的最小单位是</w:t>
      </w:r>
      <w:r>
        <w:rPr>
          <w:rFonts w:hint="eastAsia" w:ascii="宋体" w:hAnsi="宋体" w:eastAsia="宋体" w:cs="宋体"/>
          <w:kern w:val="0"/>
          <w:szCs w:val="21"/>
          <w:lang w:val="en-US" w:eastAsia="zh-CN"/>
        </w:rPr>
        <w:t>包</w:t>
      </w:r>
      <w:r>
        <w:rPr>
          <w:rFonts w:hint="eastAsia" w:ascii="宋体" w:hAnsi="宋体" w:eastAsia="宋体" w:cs="宋体"/>
          <w:kern w:val="0"/>
          <w:szCs w:val="21"/>
        </w:rPr>
        <w:t>。招标货物数量及技术要求中未分</w:t>
      </w:r>
      <w:r>
        <w:rPr>
          <w:rFonts w:hint="eastAsia" w:ascii="宋体" w:hAnsi="宋体" w:eastAsia="宋体" w:cs="宋体"/>
          <w:kern w:val="0"/>
          <w:szCs w:val="21"/>
          <w:lang w:val="en-US" w:eastAsia="zh-CN"/>
        </w:rPr>
        <w:t>包</w:t>
      </w:r>
      <w:r>
        <w:rPr>
          <w:rFonts w:hint="eastAsia" w:ascii="宋体" w:hAnsi="宋体" w:eastAsia="宋体" w:cs="宋体"/>
          <w:kern w:val="0"/>
          <w:szCs w:val="21"/>
        </w:rPr>
        <w:t>的，供应商对要求提供的货物和服务不得部分投标；招标货物数量及技术要求中已经分</w:t>
      </w:r>
      <w:r>
        <w:rPr>
          <w:rFonts w:hint="eastAsia" w:ascii="宋体" w:hAnsi="宋体" w:eastAsia="宋体" w:cs="宋体"/>
          <w:kern w:val="0"/>
          <w:szCs w:val="21"/>
          <w:lang w:val="en-US" w:eastAsia="zh-CN"/>
        </w:rPr>
        <w:t>包</w:t>
      </w:r>
      <w:r>
        <w:rPr>
          <w:rFonts w:hint="eastAsia" w:ascii="宋体" w:hAnsi="宋体" w:eastAsia="宋体" w:cs="宋体"/>
          <w:kern w:val="0"/>
          <w:szCs w:val="21"/>
        </w:rPr>
        <w:t>的，可以以</w:t>
      </w:r>
      <w:r>
        <w:rPr>
          <w:rFonts w:hint="eastAsia" w:ascii="宋体" w:hAnsi="宋体" w:eastAsia="宋体" w:cs="宋体"/>
          <w:kern w:val="0"/>
          <w:szCs w:val="21"/>
          <w:lang w:val="en-US" w:eastAsia="zh-CN"/>
        </w:rPr>
        <w:t>包</w:t>
      </w:r>
      <w:r>
        <w:rPr>
          <w:rFonts w:hint="eastAsia" w:ascii="宋体" w:hAnsi="宋体" w:eastAsia="宋体" w:cs="宋体"/>
          <w:kern w:val="0"/>
          <w:szCs w:val="21"/>
        </w:rPr>
        <w:t>为单位投标。</w:t>
      </w:r>
    </w:p>
    <w:p w14:paraId="7EF609D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4.3采购代理机构如果要求供应商按照招标文件规定提交备选投标方案的，供应商可以提交备选方案；否则，备选方案将被拒绝。</w:t>
      </w:r>
    </w:p>
    <w:p w14:paraId="3FE5349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4.4招标文件中要求的产品品牌或型号，是采购人根据项目所要实现的功能推荐的品牌或型号，仅供供应商参考，并不是限制条件。</w:t>
      </w:r>
    </w:p>
    <w:p w14:paraId="571F151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5、招标文件的澄清或者修改</w:t>
      </w:r>
    </w:p>
    <w:p w14:paraId="5E79E35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513200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49BF7DF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三、投标文件的编制</w:t>
      </w:r>
    </w:p>
    <w:p w14:paraId="525017A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6、投标文件的语言、计量单位、货币和编制</w:t>
      </w:r>
    </w:p>
    <w:p w14:paraId="65A8B1A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6.2供应商所使用的计量单位应为国家法定计量单位。</w:t>
      </w:r>
    </w:p>
    <w:p w14:paraId="1A9A8D8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6.3供应商应用人民币报价。投标产品如果是进口产品的，应提供人民币与</w:t>
      </w:r>
      <w:r>
        <w:rPr>
          <w:rFonts w:hint="eastAsia" w:ascii="宋体" w:hAnsi="宋体" w:eastAsia="宋体" w:cs="宋体"/>
          <w:b/>
          <w:bCs/>
          <w:kern w:val="0"/>
          <w:szCs w:val="21"/>
        </w:rPr>
        <w:t>外币之间的汇率。</w:t>
      </w:r>
    </w:p>
    <w:p w14:paraId="04ACE6B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6.4供应商应在投标文件中写清相应的项目编号、项目名称、供应商全称、地址、电话、传真等。</w:t>
      </w:r>
    </w:p>
    <w:p w14:paraId="781CABCF">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6.</w:t>
      </w:r>
      <w:r>
        <w:rPr>
          <w:rFonts w:hint="eastAsia" w:ascii="宋体" w:hAnsi="宋体" w:eastAsia="宋体" w:cs="宋体"/>
          <w:bCs/>
          <w:kern w:val="0"/>
          <w:szCs w:val="21"/>
          <w:lang w:val="en-US" w:eastAsia="zh-CN"/>
        </w:rPr>
        <w:t>5</w:t>
      </w:r>
      <w:r>
        <w:rPr>
          <w:rFonts w:hint="eastAsia" w:ascii="宋体" w:hAnsi="宋体" w:eastAsia="宋体" w:cs="宋体"/>
          <w:kern w:val="0"/>
          <w:szCs w:val="21"/>
        </w:rPr>
        <w:t>供应商根据招标文件载明的标的采购项目实际情况，拟在中标后将中标项目的非主体、非关键性工作交由他人完成的，应当在投标文件中载明。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7、联合体投标</w:t>
      </w:r>
    </w:p>
    <w:p w14:paraId="11AA68F5">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7.1 两个以上的自然人、法人或者其他组织可以组成一个联合体，以一个供应商的身份共同参加政府采购。</w:t>
      </w:r>
    </w:p>
    <w:p w14:paraId="5189382C">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7.2 联合体中有同类资质的供应商按照联合体分工承担相同工作的，按照资质等级较低的供应商确定资质等级。</w:t>
      </w:r>
    </w:p>
    <w:p w14:paraId="183CE088">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7.4 以联合体形式参加政府采购活动的，联合体各方不得再单独参加或者与其他供应商另外组成联合体参加同一合同项下的政府采购活动。</w:t>
      </w:r>
    </w:p>
    <w:p w14:paraId="77541F6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8、投标文件的组成</w:t>
      </w:r>
    </w:p>
    <w:p w14:paraId="7145F228">
      <w:pPr>
        <w:widowControl/>
        <w:shd w:val="clear" w:color="auto" w:fill="FFFFFF"/>
        <w:spacing w:line="360" w:lineRule="auto"/>
        <w:ind w:firstLine="420"/>
        <w:jc w:val="left"/>
        <w:rPr>
          <w:rFonts w:hint="eastAsia" w:ascii="宋体" w:hAnsi="宋体" w:eastAsia="宋体" w:cs="宋体"/>
          <w:b/>
          <w:kern w:val="0"/>
          <w:szCs w:val="21"/>
        </w:rPr>
      </w:pPr>
      <w:r>
        <w:rPr>
          <w:rFonts w:hint="eastAsia" w:ascii="宋体" w:hAnsi="宋体" w:eastAsia="宋体" w:cs="宋体"/>
          <w:kern w:val="0"/>
          <w:szCs w:val="21"/>
        </w:rPr>
        <w:t>8.1供应商应当根据招标文件要求编制投标文件，投标文件应对招标文件提出的要求和条件作出实质性响应，并在《商务条款偏离表》和《技术条款偏离表》等处逐条标明满足与否。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kern w:val="0"/>
          <w:szCs w:val="21"/>
        </w:rPr>
        <w:t>对带</w:t>
      </w:r>
      <w:r>
        <w:rPr>
          <w:rFonts w:hint="eastAsia" w:ascii="宋体" w:hAnsi="宋体" w:eastAsia="宋体" w:cs="宋体"/>
          <w:b/>
          <w:bCs/>
          <w:kern w:val="0"/>
          <w:szCs w:val="21"/>
        </w:rPr>
        <w:t>星号（“</w:t>
      </w:r>
      <w:r>
        <w:rPr>
          <w:rFonts w:hint="eastAsia" w:ascii="宋体" w:hAnsi="宋体" w:eastAsia="宋体" w:cs="宋体"/>
          <w:szCs w:val="21"/>
        </w:rPr>
        <w:t>★</w:t>
      </w:r>
      <w:r>
        <w:rPr>
          <w:rFonts w:hint="eastAsia" w:ascii="宋体" w:hAnsi="宋体" w:eastAsia="宋体" w:cs="宋体"/>
          <w:b/>
          <w:bCs/>
          <w:kern w:val="0"/>
          <w:szCs w:val="21"/>
        </w:rPr>
        <w:t>”）的技术条款必须在投标文件中提供技术支持资料（如彩页、手册、检测报告等，具体详见技术参数要求），未提供技术支持资料的，视为未对招标文件实质性要求作出响应，评审时不予认可。</w:t>
      </w:r>
    </w:p>
    <w:p w14:paraId="2367E1D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8.2 投标文件由商务、技术、价格以及其他部分内容组成。投标文件目录及有关格式按招标文件“第六章 投标文件格式及附件”的要求编制。</w:t>
      </w:r>
    </w:p>
    <w:p w14:paraId="634FD1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9、投标文件的商务内容</w:t>
      </w:r>
    </w:p>
    <w:p w14:paraId="0835E66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9.1商务部分内容是证明供应商有资格参加投标和中标后有能力履行合同的文件，这些文件应能满足招标的要求，包括但不限于下列文件（</w:t>
      </w:r>
      <w:r>
        <w:rPr>
          <w:rFonts w:hint="eastAsia" w:ascii="宋体" w:hAnsi="宋体" w:eastAsia="宋体" w:cs="宋体"/>
          <w:b/>
          <w:kern w:val="0"/>
          <w:szCs w:val="21"/>
        </w:rPr>
        <w:t>（1）-（</w:t>
      </w:r>
      <w:r>
        <w:rPr>
          <w:rFonts w:hint="eastAsia" w:ascii="宋体" w:hAnsi="宋体" w:eastAsia="宋体" w:cs="宋体"/>
          <w:b/>
          <w:kern w:val="0"/>
          <w:szCs w:val="21"/>
          <w:lang w:val="en-US" w:eastAsia="zh-CN"/>
        </w:rPr>
        <w:t>4</w:t>
      </w:r>
      <w:r>
        <w:rPr>
          <w:rFonts w:hint="eastAsia" w:ascii="宋体" w:hAnsi="宋体" w:eastAsia="宋体" w:cs="宋体"/>
          <w:b/>
          <w:kern w:val="0"/>
          <w:szCs w:val="21"/>
        </w:rPr>
        <w:t>）所述材料不得有缺失或提供不全或不满足招标文件的实质性要求</w:t>
      </w:r>
      <w:r>
        <w:rPr>
          <w:rFonts w:hint="eastAsia" w:ascii="宋体" w:hAnsi="宋体" w:eastAsia="宋体" w:cs="宋体"/>
          <w:kern w:val="0"/>
          <w:szCs w:val="21"/>
        </w:rPr>
        <w:t>）：</w:t>
      </w:r>
    </w:p>
    <w:p w14:paraId="16D53E8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（1）投标函（投标申请及声明）</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0DCBDE71">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（2）法定代表人授权书及委托代理人的身份证明文件的复印件</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6121470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（3）供应商资格资信证明文件：</w:t>
      </w:r>
    </w:p>
    <w:p w14:paraId="54AEB74D">
      <w:pPr>
        <w:pStyle w:val="162"/>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2.1《中华人民共和国政府采购法》规定的资格条件证明文件；</w:t>
      </w:r>
    </w:p>
    <w:p w14:paraId="4DBAE40E">
      <w:pPr>
        <w:pStyle w:val="162"/>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2.2</w:t>
      </w:r>
      <w:r>
        <w:rPr>
          <w:rFonts w:hint="eastAsia" w:ascii="宋体" w:hAnsi="宋体" w:eastAsia="宋体" w:cs="宋体"/>
          <w:spacing w:val="8"/>
          <w:kern w:val="0"/>
          <w:szCs w:val="21"/>
        </w:rPr>
        <w:t>落实政府采购政策需满足的资格要求；</w:t>
      </w:r>
    </w:p>
    <w:p w14:paraId="15CBDA2F">
      <w:pPr>
        <w:pStyle w:val="162"/>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2.3 采购人根据采购项目的特殊要求规定的特定条件证明文件。</w:t>
      </w:r>
    </w:p>
    <w:p w14:paraId="487E0288">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（4）开标一览表</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p>
    <w:p w14:paraId="253403DC">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（5）《商务条款偏离表》；</w:t>
      </w:r>
    </w:p>
    <w:p w14:paraId="5784CA57">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（6）第三章评标标准中对应的所需证明材料；</w:t>
      </w:r>
    </w:p>
    <w:p w14:paraId="1C534705">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（7）其它。</w:t>
      </w:r>
    </w:p>
    <w:p w14:paraId="41D8555F">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b/>
          <w:bCs/>
          <w:kern w:val="0"/>
          <w:szCs w:val="21"/>
        </w:rPr>
        <w:t>10、投标文件的技术内容</w:t>
      </w:r>
    </w:p>
    <w:p w14:paraId="234FED16">
      <w:pPr>
        <w:widowControl/>
        <w:adjustRightInd w:val="0"/>
        <w:spacing w:line="360" w:lineRule="auto"/>
        <w:ind w:firstLine="420"/>
        <w:jc w:val="left"/>
        <w:rPr>
          <w:rFonts w:hint="eastAsia" w:ascii="宋体" w:hAnsi="宋体" w:eastAsia="宋体" w:cs="宋体"/>
          <w:szCs w:val="21"/>
          <w:lang w:val="zh-CN"/>
        </w:rPr>
      </w:pPr>
      <w:r>
        <w:rPr>
          <w:rFonts w:hint="eastAsia" w:ascii="宋体" w:hAnsi="宋体" w:eastAsia="宋体" w:cs="宋体"/>
          <w:szCs w:val="21"/>
          <w:lang w:val="zh-CN"/>
        </w:rPr>
        <w:t>技术部分</w:t>
      </w:r>
      <w:r>
        <w:rPr>
          <w:rFonts w:hint="eastAsia" w:ascii="宋体" w:hAnsi="宋体" w:eastAsia="宋体" w:cs="宋体"/>
          <w:kern w:val="0"/>
          <w:szCs w:val="21"/>
        </w:rPr>
        <w:t>内容</w:t>
      </w:r>
      <w:r>
        <w:rPr>
          <w:rFonts w:hint="eastAsia" w:ascii="宋体" w:hAnsi="宋体" w:eastAsia="宋体" w:cs="宋体"/>
          <w:szCs w:val="21"/>
          <w:lang w:val="zh-CN"/>
        </w:rPr>
        <w:t>是证明</w:t>
      </w:r>
      <w:r>
        <w:rPr>
          <w:rFonts w:hint="eastAsia" w:ascii="宋体" w:hAnsi="宋体" w:eastAsia="宋体" w:cs="宋体"/>
          <w:szCs w:val="21"/>
        </w:rPr>
        <w:t>供应商提供的货物和服务是合格的、并符合招标文件要求的证明文件，以及</w:t>
      </w:r>
      <w:r>
        <w:rPr>
          <w:rFonts w:hint="eastAsia" w:ascii="宋体" w:hAnsi="宋体" w:eastAsia="宋体" w:cs="宋体"/>
          <w:szCs w:val="21"/>
          <w:lang w:val="zh-CN"/>
        </w:rPr>
        <w:t>对货物和服务的详细说明，这些文件可以是文字资料、图纸、数据</w:t>
      </w:r>
      <w:r>
        <w:rPr>
          <w:rFonts w:hint="eastAsia" w:ascii="宋体" w:hAnsi="宋体" w:eastAsia="宋体" w:cs="宋体"/>
          <w:szCs w:val="21"/>
        </w:rPr>
        <w:t>或其他证明文件</w:t>
      </w:r>
      <w:r>
        <w:rPr>
          <w:rFonts w:hint="eastAsia" w:ascii="宋体" w:hAnsi="宋体" w:eastAsia="宋体" w:cs="宋体"/>
          <w:szCs w:val="21"/>
          <w:lang w:val="zh-CN"/>
        </w:rPr>
        <w:t>等。提供的货物和服务如与招标文件要求有不符之处，应说明其差别之所在。包括但不限于下列文件：</w:t>
      </w:r>
    </w:p>
    <w:p w14:paraId="4C473B1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（1）技术说明或服务方案；</w:t>
      </w:r>
    </w:p>
    <w:p w14:paraId="63B2898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（2）《技术条款偏离表》；</w:t>
      </w:r>
    </w:p>
    <w:p w14:paraId="5352749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（3）服务承诺；</w:t>
      </w:r>
    </w:p>
    <w:p w14:paraId="1D4F33A0">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（4）供应商拟投入本项目的设备、人员情况一览表；</w:t>
      </w:r>
    </w:p>
    <w:p w14:paraId="027C3D2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（5）供应商认为需要提供的其他技术资料。</w:t>
      </w:r>
    </w:p>
    <w:p w14:paraId="73427A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11、投标文件的价格内容</w:t>
      </w:r>
    </w:p>
    <w:p w14:paraId="5870B35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11.1价格部分内容是对采购标的价格构成的说明，招标文件如无特别说明，每一项货物及服务仅接受一个价格。</w:t>
      </w:r>
    </w:p>
    <w:p w14:paraId="769C60B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11.2报价应包含为履行本项目合同项下所有义务的全部含税费用（包括但不限于</w:t>
      </w:r>
      <w:r>
        <w:rPr>
          <w:rFonts w:hint="eastAsia" w:ascii="宋体" w:hAnsi="宋体" w:eastAsia="宋体" w:cs="宋体"/>
          <w:szCs w:val="21"/>
        </w:rPr>
        <w:t>货物设计、制造、包装、仓储、运输装</w:t>
      </w:r>
      <w:r>
        <w:rPr>
          <w:rFonts w:hint="eastAsia" w:ascii="宋体" w:hAnsi="宋体" w:eastAsia="宋体" w:cs="宋体"/>
          <w:szCs w:val="21"/>
          <w:lang w:val="en-US" w:eastAsia="zh-CN"/>
        </w:rPr>
        <w:t>卸</w:t>
      </w:r>
      <w:r>
        <w:rPr>
          <w:rFonts w:hint="eastAsia" w:ascii="宋体" w:hAnsi="宋体" w:eastAsia="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kern w:val="0"/>
          <w:szCs w:val="21"/>
        </w:rPr>
        <w:t>）</w:t>
      </w:r>
      <w:r>
        <w:rPr>
          <w:rFonts w:hint="eastAsia" w:ascii="宋体" w:hAnsi="宋体" w:eastAsia="宋体" w:cs="宋体"/>
          <w:kern w:val="0"/>
          <w:szCs w:val="21"/>
          <w:lang w:val="zh-CN"/>
        </w:rPr>
        <w:t>，</w:t>
      </w:r>
      <w:r>
        <w:rPr>
          <w:rFonts w:hint="eastAsia" w:ascii="宋体" w:hAnsi="宋体" w:eastAsia="宋体" w:cs="宋体"/>
          <w:bCs/>
          <w:szCs w:val="21"/>
        </w:rPr>
        <w:t>以</w:t>
      </w:r>
      <w:r>
        <w:rPr>
          <w:rFonts w:hint="eastAsia" w:ascii="宋体" w:hAnsi="宋体" w:eastAsia="宋体" w:cs="宋体"/>
          <w:szCs w:val="21"/>
        </w:rPr>
        <w:t>及供应商认为需要的其他费用等</w:t>
      </w:r>
      <w:r>
        <w:rPr>
          <w:rFonts w:hint="eastAsia" w:ascii="宋体" w:hAnsi="宋体" w:eastAsia="宋体" w:cs="宋体"/>
          <w:b/>
          <w:szCs w:val="21"/>
        </w:rPr>
        <w:t>。</w:t>
      </w:r>
    </w:p>
    <w:p w14:paraId="683796C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11.3供应商的任何错漏、优惠、竞争性报价不得作为减轻责任、减少服务、增加收费、降低质量的理由。</w:t>
      </w:r>
    </w:p>
    <w:p w14:paraId="37A0875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kern w:val="0"/>
          <w:szCs w:val="21"/>
        </w:rPr>
        <w:t>无效投标处理</w:t>
      </w:r>
      <w:r>
        <w:rPr>
          <w:rFonts w:hint="eastAsia" w:ascii="宋体" w:hAnsi="宋体" w:eastAsia="宋体" w:cs="宋体"/>
          <w:kern w:val="0"/>
          <w:szCs w:val="21"/>
        </w:rPr>
        <w:t>。</w:t>
      </w:r>
    </w:p>
    <w:p w14:paraId="24750B2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11.5 供应商应在《开标一览表》《分项报价表》等标明投标货物和服务的单价、总价以及分项报价等。</w:t>
      </w:r>
    </w:p>
    <w:p w14:paraId="39394B8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11.6本项目预算为：详见第一章。</w:t>
      </w:r>
    </w:p>
    <w:p w14:paraId="66145A8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12、投标文件的其他部分</w:t>
      </w:r>
    </w:p>
    <w:p w14:paraId="35E0F1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12.1 其他部分由供应商根据编制投标文件需要提供的其他相关文件组成。</w:t>
      </w:r>
    </w:p>
    <w:p w14:paraId="738070A3">
      <w:pPr>
        <w:widowControl/>
        <w:shd w:val="clear"/>
        <w:autoSpaceDE w:val="0"/>
        <w:autoSpaceDN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如标书制作工具中格式和内容与“江苏政府采购网、中国政府采购网”发布的</w:t>
      </w:r>
      <w:r>
        <w:rPr>
          <w:rFonts w:hint="eastAsia" w:ascii="宋体" w:hAnsi="宋体" w:eastAsia="宋体" w:cs="宋体"/>
          <w:color w:val="000000"/>
          <w:szCs w:val="21"/>
          <w:lang w:val="en-US" w:eastAsia="zh-CN"/>
        </w:rPr>
        <w:t>采购</w:t>
      </w:r>
      <w:r>
        <w:rPr>
          <w:rFonts w:hint="eastAsia" w:ascii="宋体" w:hAnsi="宋体" w:eastAsia="宋体" w:cs="宋体"/>
          <w:color w:val="000000"/>
          <w:szCs w:val="21"/>
          <w:lang w:val="zh-CN"/>
        </w:rPr>
        <w:t>文件不一致，以</w:t>
      </w:r>
      <w:r>
        <w:rPr>
          <w:rFonts w:hint="eastAsia" w:ascii="宋体" w:hAnsi="宋体" w:eastAsia="宋体" w:cs="宋体"/>
          <w:color w:val="000000"/>
          <w:szCs w:val="21"/>
        </w:rPr>
        <w:t>上述网站</w:t>
      </w:r>
      <w:r>
        <w:rPr>
          <w:rFonts w:hint="eastAsia" w:ascii="宋体" w:hAnsi="宋体" w:eastAsia="宋体" w:cs="宋体"/>
          <w:color w:val="000000"/>
          <w:szCs w:val="21"/>
          <w:lang w:val="zh-CN"/>
        </w:rPr>
        <w:t>发布的</w:t>
      </w:r>
      <w:r>
        <w:rPr>
          <w:rFonts w:hint="eastAsia" w:ascii="宋体" w:hAnsi="宋体" w:eastAsia="宋体" w:cs="宋体"/>
          <w:color w:val="000000"/>
          <w:szCs w:val="21"/>
          <w:lang w:val="en-US" w:eastAsia="zh-CN"/>
        </w:rPr>
        <w:t>采购</w:t>
      </w:r>
      <w:r>
        <w:rPr>
          <w:rFonts w:hint="eastAsia" w:ascii="宋体" w:hAnsi="宋体" w:eastAsia="宋体" w:cs="宋体"/>
          <w:color w:val="000000"/>
          <w:szCs w:val="21"/>
          <w:lang w:val="zh-CN"/>
        </w:rPr>
        <w:t>文件为准。</w:t>
      </w:r>
    </w:p>
    <w:p w14:paraId="119D0E1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13、投标保证金：本项目无需缴纳投标保证金。</w:t>
      </w:r>
    </w:p>
    <w:p w14:paraId="513285B6">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14、投标有效期</w:t>
      </w:r>
    </w:p>
    <w:p w14:paraId="1A406C8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14.1 自开标之日起</w:t>
      </w:r>
      <w:r>
        <w:rPr>
          <w:rFonts w:hint="eastAsia" w:ascii="宋体" w:hAnsi="宋体" w:eastAsia="宋体" w:cs="宋体"/>
          <w:b/>
          <w:kern w:val="0"/>
          <w:szCs w:val="21"/>
        </w:rPr>
        <w:t>90</w:t>
      </w:r>
      <w:r>
        <w:rPr>
          <w:rFonts w:hint="eastAsia" w:ascii="宋体" w:hAnsi="宋体" w:eastAsia="宋体" w:cs="宋体"/>
          <w:kern w:val="0"/>
          <w:szCs w:val="21"/>
        </w:rPr>
        <w:t>天内投标有效</w:t>
      </w:r>
      <w:r>
        <w:rPr>
          <w:rFonts w:hint="eastAsia" w:ascii="宋体" w:hAnsi="宋体" w:eastAsia="宋体" w:cs="宋体"/>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14.2 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2B62B6B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15、投标文件签署</w:t>
      </w:r>
    </w:p>
    <w:p w14:paraId="05075C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15.1 投标文件应按照招标文件要求加盖电子公章，否则视为无效投标。</w:t>
      </w:r>
    </w:p>
    <w:p w14:paraId="067176F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16、投标费用</w:t>
      </w:r>
    </w:p>
    <w:p w14:paraId="49ED085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16.1 供应商应承担所有与准备和参加投标有关的费用，无论招标结果如何，采购代理机构和采购人在任何情况下均无义务和责任承担这些费用。</w:t>
      </w:r>
    </w:p>
    <w:p w14:paraId="2565D70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16.2 招标代理服务费：</w:t>
      </w:r>
    </w:p>
    <w:p w14:paraId="4EF8320A">
      <w:pPr>
        <w:widowControl/>
        <w:shd w:val="clear" w:color="auto" w:fill="FFFFFF"/>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1E45D44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四、投标文件的递交</w:t>
      </w:r>
    </w:p>
    <w:p w14:paraId="5F1A5E8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17、投标文件的递交</w:t>
      </w:r>
    </w:p>
    <w:p w14:paraId="009CDA6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18、投标文件的解密</w:t>
      </w:r>
    </w:p>
    <w:p w14:paraId="2070B1A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19、投标文件的修改和撤回</w:t>
      </w:r>
    </w:p>
    <w:p w14:paraId="7E04D88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20、诚实信用</w:t>
      </w:r>
    </w:p>
    <w:p w14:paraId="4B3528A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20.1供应商应当遵循公平竞争的原则，不得恶意串通，不得妨碍其他供应商的竞争行为，不得损害采购人或者其他供应商的合法权益。</w:t>
      </w:r>
    </w:p>
    <w:p w14:paraId="516638B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20.2在评标过程中发现供应商有上述情形的，评标委员会应当认定其投标无效。</w:t>
      </w:r>
    </w:p>
    <w:p w14:paraId="599B4D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五、开标、评标与定标</w:t>
      </w:r>
    </w:p>
    <w:p w14:paraId="256E5DC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21、开标</w:t>
      </w:r>
    </w:p>
    <w:p w14:paraId="161148E2">
      <w:pPr>
        <w:spacing w:line="360" w:lineRule="auto"/>
        <w:ind w:firstLine="420" w:firstLineChars="200"/>
        <w:rPr>
          <w:rFonts w:hint="eastAsia" w:ascii="宋体" w:hAnsi="宋体" w:eastAsia="宋体" w:cs="宋体"/>
        </w:rPr>
      </w:pPr>
      <w:r>
        <w:rPr>
          <w:rFonts w:hint="eastAsia" w:ascii="宋体" w:hAnsi="宋体" w:eastAsia="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eastAsia="宋体" w:cs="宋体"/>
        </w:rPr>
      </w:pPr>
      <w:r>
        <w:rPr>
          <w:rFonts w:hint="eastAsia" w:ascii="宋体" w:hAnsi="宋体" w:eastAsia="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eastAsia="宋体" w:cs="宋体"/>
        </w:rPr>
      </w:pPr>
      <w:r>
        <w:rPr>
          <w:rFonts w:hint="eastAsia" w:ascii="宋体" w:hAnsi="宋体" w:eastAsia="宋体" w:cs="宋体"/>
        </w:rPr>
        <w:t>21.3投标人不足3家的，不得开标。</w:t>
      </w:r>
    </w:p>
    <w:p w14:paraId="2B757249">
      <w:pPr>
        <w:spacing w:line="360" w:lineRule="auto"/>
        <w:ind w:firstLine="420" w:firstLineChars="200"/>
        <w:rPr>
          <w:rFonts w:hint="eastAsia" w:ascii="宋体" w:hAnsi="宋体" w:eastAsia="宋体" w:cs="宋体"/>
        </w:rPr>
      </w:pPr>
      <w:r>
        <w:rPr>
          <w:rFonts w:hint="eastAsia" w:ascii="宋体" w:hAnsi="宋体" w:eastAsia="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eastAsia="宋体" w:cs="宋体"/>
        </w:rPr>
      </w:pPr>
      <w:r>
        <w:rPr>
          <w:rFonts w:hint="eastAsia" w:ascii="宋体" w:hAnsi="宋体" w:eastAsia="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eastAsia="宋体" w:cs="宋体"/>
        </w:rPr>
      </w:pPr>
      <w:r>
        <w:rPr>
          <w:rFonts w:hint="eastAsia" w:ascii="宋体" w:hAnsi="宋体" w:eastAsia="宋体" w:cs="宋体"/>
        </w:rPr>
        <w:t>（1）招标文件存在不合理条款或者招标程序不符合规定的，采购人、采购代理机构改正后依法重新招标；</w:t>
      </w:r>
    </w:p>
    <w:p w14:paraId="58554D0F">
      <w:pPr>
        <w:widowControl/>
        <w:shd w:val="clear"/>
        <w:spacing w:line="360" w:lineRule="auto"/>
        <w:ind w:firstLine="420" w:firstLineChars="200"/>
        <w:rPr>
          <w:rFonts w:hint="eastAsia" w:ascii="宋体" w:hAnsi="宋体" w:eastAsia="宋体" w:cs="宋体"/>
          <w:kern w:val="0"/>
          <w:szCs w:val="21"/>
        </w:rPr>
      </w:pPr>
      <w:r>
        <w:rPr>
          <w:rFonts w:hint="eastAsia" w:ascii="宋体" w:hAnsi="宋体" w:eastAsia="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22、评标</w:t>
      </w:r>
    </w:p>
    <w:p w14:paraId="7925C65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 评标委员会</w:t>
      </w:r>
    </w:p>
    <w:p w14:paraId="03D662A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22.1.1评标委员会负责具体评标事务，并独立履行下列职责：</w:t>
      </w:r>
    </w:p>
    <w:p w14:paraId="1372FBE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（一）审查、评价投标文件是否符合招标文件的商务、技术等实质性要求；</w:t>
      </w:r>
    </w:p>
    <w:p w14:paraId="1459DAE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（二）要求投标人对投标文件有关事项作出澄清或者说明；</w:t>
      </w:r>
    </w:p>
    <w:p w14:paraId="2664E06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（三）对投标文件进行比较和评价；</w:t>
      </w:r>
    </w:p>
    <w:p w14:paraId="7E3E79D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（四）确定中标候选人名单，以及根据采购人委托直接确定中标人；</w:t>
      </w:r>
    </w:p>
    <w:p w14:paraId="3A8BA64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（五）向采购人、采购代理机构或者有关部门报告评标中发现的违法行为。</w:t>
      </w:r>
    </w:p>
    <w:p w14:paraId="13A6096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  评标程序</w:t>
      </w:r>
    </w:p>
    <w:p w14:paraId="0DC2657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（1）同一投标人提交两个（含两个）以上不同的投标报价的；</w:t>
      </w:r>
    </w:p>
    <w:p w14:paraId="5E9C6CC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（2）投标文件未按照招标文件要求加盖电子公章的；</w:t>
      </w:r>
    </w:p>
    <w:p w14:paraId="35FE76F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（3）报价超过招标文件中规定的预算金额或者最高限价的；</w:t>
      </w:r>
    </w:p>
    <w:p w14:paraId="1BCFC10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（4）投标文件含有采购人不能接受的附加条件的；</w:t>
      </w:r>
    </w:p>
    <w:p w14:paraId="4C5CCAF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（5）投标文件内容不全或不符合招标文件中规定的其他实质性要求的；</w:t>
      </w:r>
    </w:p>
    <w:p w14:paraId="094E4A8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（6）现行法律、法规、规章和招标文件规定的其他无效情形。</w:t>
      </w:r>
    </w:p>
    <w:p w14:paraId="7748914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22.2.2.1 实质性要求是指本招标文件中用带星号（“</w:t>
      </w:r>
      <w:r>
        <w:rPr>
          <w:rFonts w:hint="eastAsia" w:ascii="宋体" w:hAnsi="宋体" w:eastAsia="宋体" w:cs="宋体"/>
          <w:b w:val="0"/>
          <w:bCs w:val="0"/>
          <w:szCs w:val="21"/>
        </w:rPr>
        <w:t>★</w:t>
      </w:r>
      <w:r>
        <w:rPr>
          <w:rFonts w:hint="eastAsia" w:ascii="宋体" w:hAnsi="宋体" w:eastAsia="宋体" w:cs="宋体"/>
          <w:b w:val="0"/>
          <w:bCs w:val="0"/>
          <w:kern w:val="0"/>
          <w:szCs w:val="21"/>
        </w:rPr>
        <w:t>”）</w:t>
      </w:r>
      <w:r>
        <w:rPr>
          <w:rFonts w:hint="eastAsia" w:ascii="宋体" w:hAnsi="宋体" w:eastAsia="宋体" w:cs="宋体"/>
          <w:b w:val="0"/>
          <w:bCs w:val="0"/>
          <w:kern w:val="0"/>
          <w:szCs w:val="21"/>
          <w:lang w:val="en-US" w:eastAsia="zh-CN"/>
        </w:rPr>
        <w:t>或</w:t>
      </w:r>
      <w:r>
        <w:rPr>
          <w:rFonts w:hint="eastAsia" w:ascii="宋体" w:hAnsi="宋体" w:eastAsia="宋体" w:cs="宋体"/>
          <w:b w:val="0"/>
          <w:bCs w:val="0"/>
          <w:kern w:val="0"/>
          <w:szCs w:val="21"/>
        </w:rPr>
        <w:t>其他文字说明的商务和技术要求。</w:t>
      </w:r>
    </w:p>
    <w:p w14:paraId="6377D6C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22.2.2.3有下列情形之一的予以废标：</w:t>
      </w:r>
    </w:p>
    <w:p w14:paraId="2E76877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（2）出现影响采购公正的违法、违规行为的；</w:t>
      </w:r>
    </w:p>
    <w:p w14:paraId="096E2CC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（3）投标人的报价均超过了采购预算，采购人不能支付的；</w:t>
      </w:r>
    </w:p>
    <w:p w14:paraId="12F6712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（4）因苏采云系统故障造成开标不成功的；</w:t>
      </w:r>
    </w:p>
    <w:p w14:paraId="363F559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（5）因重大变故，采购任务取消的。</w:t>
      </w:r>
    </w:p>
    <w:p w14:paraId="5A5FFDD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22.2.3澄清有关问题。</w:t>
      </w:r>
    </w:p>
    <w:p w14:paraId="55F28863">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评委会并非对每个投标人都做澄清要求。</w:t>
      </w:r>
    </w:p>
    <w:p w14:paraId="13C78D1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（2）大写金额和小写金额不一致的，以大写金额为准；</w:t>
      </w:r>
    </w:p>
    <w:p w14:paraId="391E934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（4）总价金额与按单价汇总金额不一致的，以单价金额计算结果为准。</w:t>
      </w:r>
    </w:p>
    <w:p w14:paraId="7B17B7C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w:t>
      </w:r>
      <w:r>
        <w:rPr>
          <w:rFonts w:hint="eastAsia" w:ascii="宋体" w:hAnsi="宋体" w:eastAsia="宋体" w:cs="宋体"/>
          <w:b w:val="0"/>
          <w:bCs w:val="0"/>
          <w:kern w:val="0"/>
          <w:szCs w:val="21"/>
          <w:lang w:val="en-US" w:eastAsia="zh-CN"/>
        </w:rPr>
        <w:t>2.</w:t>
      </w:r>
      <w:r>
        <w:rPr>
          <w:rFonts w:hint="eastAsia" w:ascii="宋体" w:hAnsi="宋体" w:eastAsia="宋体" w:cs="宋体"/>
          <w:b w:val="0"/>
          <w:bCs w:val="0"/>
          <w:kern w:val="0"/>
          <w:szCs w:val="21"/>
        </w:rPr>
        <w:t>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 评标方法和标准</w:t>
      </w:r>
    </w:p>
    <w:p w14:paraId="61B695E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评审因素，包括价格、技术、商务等。</w:t>
      </w:r>
    </w:p>
    <w:p w14:paraId="5BFD10F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评标总得分＝F1×A1＋F2×A2＋……＋Fn×An</w:t>
      </w:r>
    </w:p>
    <w:p w14:paraId="521B8BD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F1、F2……Fn分别为各项评审因素的得分；</w:t>
      </w:r>
    </w:p>
    <w:p w14:paraId="1259016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A1、A2、……An 分别为各项评审因素所占的权重(A1＋A2＋……＋An＝1)。</w:t>
      </w:r>
    </w:p>
    <w:p w14:paraId="2BA84BE7">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因落实政府采购政策进行价格调整的，以调整后的价格计算评标基准价和投标报价。</w:t>
      </w:r>
    </w:p>
    <w:p w14:paraId="71EAB7A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 评标委员会启动异常低价投标审查的情形和具体要求</w:t>
      </w:r>
    </w:p>
    <w:p w14:paraId="1DC8F5C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 xml:space="preserve">22.4.1评标过程中出现下列情形之一的，评标委员会应当启动异常低价投标审查程序： </w:t>
      </w:r>
    </w:p>
    <w:p w14:paraId="3038B837">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（1）投标报价低于全部通过符合性审查投标人投标报价平均值50%的，即投标报价&lt;全部通过符合性审查投标人投标报价平均值×50%；</w:t>
      </w:r>
    </w:p>
    <w:p w14:paraId="6355053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（2）投标报价低于通过符合性审查的次低报价投标人投标报价50%的，即投标报价&lt;通过符合性审查的次低报价投标人投标报价×50%；</w:t>
      </w:r>
    </w:p>
    <w:p w14:paraId="2DDA0AC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（3）投标报价低于本项目最高限价45%的，即投标报价&lt;本项目最高限价×45%；</w:t>
      </w:r>
    </w:p>
    <w:p w14:paraId="6309514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（4）评标委员会基于专业判断，认为投标人报价过低，有可能影响产品质量或者不能诚信履约的其他情形。</w:t>
      </w:r>
    </w:p>
    <w:p w14:paraId="397DAAA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0DC0317">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23、确定中标人</w:t>
      </w:r>
    </w:p>
    <w:p w14:paraId="336334B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23.5 所有投标文件不论中标与否，均不退回。</w:t>
      </w:r>
    </w:p>
    <w:p w14:paraId="13A1235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24、编写评标报告</w:t>
      </w:r>
    </w:p>
    <w:p w14:paraId="06DED832">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25、评标过程的保密性</w:t>
      </w:r>
    </w:p>
    <w:p w14:paraId="58A0E35A">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六、签订合同</w:t>
      </w:r>
    </w:p>
    <w:p w14:paraId="72275F11">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26、签订合同</w:t>
      </w:r>
    </w:p>
    <w:p w14:paraId="532586B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26.3采购人不得向中标人提出任何不合理的要求作为签订合同的条件。</w:t>
      </w:r>
    </w:p>
    <w:p w14:paraId="4A50BA7B">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26.6 采购人与中标人应当根据合同的约定依法履行合同义务。</w:t>
      </w:r>
    </w:p>
    <w:p w14:paraId="6707122F">
      <w:pPr>
        <w:widowControl/>
        <w:shd w:val="clear" w:color="auto" w:fill="FFFFFF"/>
        <w:spacing w:line="360" w:lineRule="auto"/>
        <w:ind w:firstLine="420"/>
        <w:rPr>
          <w:rFonts w:hint="eastAsia" w:ascii="宋体" w:hAnsi="宋体" w:eastAsia="宋体" w:cs="宋体"/>
          <w:b w:val="0"/>
          <w:bCs w:val="0"/>
          <w:kern w:val="0"/>
          <w:szCs w:val="21"/>
        </w:rPr>
      </w:pPr>
      <w:r>
        <w:rPr>
          <w:rFonts w:hint="eastAsia" w:ascii="宋体" w:hAnsi="宋体" w:eastAsia="宋体" w:cs="宋体"/>
          <w:b w:val="0"/>
          <w:bCs w:val="0"/>
          <w:kern w:val="0"/>
          <w:szCs w:val="21"/>
        </w:rPr>
        <w:t>七、质疑和投诉</w:t>
      </w:r>
    </w:p>
    <w:p w14:paraId="5BD11AE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27、质疑</w:t>
      </w:r>
    </w:p>
    <w:p w14:paraId="129326D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27.1供应商对招标活动事项有疑问的，可以向采购代理机构提出询问，采购代理机构将依法作出答复，但答复的内容不涉及商业秘密。</w:t>
      </w:r>
    </w:p>
    <w:p w14:paraId="310949F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27.2提出质疑的供应商应当是参与所质疑项目采购活动的供应商。潜在供应商已依法获取其可质疑的采购文件的，可以对该文件提出质疑。</w:t>
      </w:r>
    </w:p>
    <w:p w14:paraId="2D2ADF8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7AA9560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A9DF0A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供应商必须在法定质疑期内一次性提出针对同一采购程序环节的质疑。</w:t>
      </w:r>
    </w:p>
    <w:p w14:paraId="499B108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27.4 供应商提出质疑应当提交质疑函和必要的证明材料。质疑函应当包括下列内容：</w:t>
      </w:r>
    </w:p>
    <w:p w14:paraId="539F055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（一）供应商的姓名或者名称、地址、邮编、联系人及联系电话；</w:t>
      </w:r>
    </w:p>
    <w:p w14:paraId="068EBE5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（二）质疑项目的名称、编号；</w:t>
      </w:r>
    </w:p>
    <w:p w14:paraId="03BD5CD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（三）具体、明确的质疑事项和与质疑事项相关的请求（具体条款）；</w:t>
      </w:r>
    </w:p>
    <w:p w14:paraId="7078C45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（四）事实依据（具体条款）；</w:t>
      </w:r>
    </w:p>
    <w:p w14:paraId="09C4A4C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（五）必要的法律依据（具体条款）；</w:t>
      </w:r>
    </w:p>
    <w:p w14:paraId="453E4C4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（六）提出质疑的日期。</w:t>
      </w:r>
    </w:p>
    <w:p w14:paraId="688967A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F54EDE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质疑函应当使用中文。相关当事人提供外文书证或者外国语视听资料的，应当附有中文译本，由翻译机构盖章或者翻译人员签名。</w:t>
      </w:r>
    </w:p>
    <w:p w14:paraId="033472EC">
      <w:pPr>
        <w:widowControl/>
        <w:shd w:val="clear" w:color="auto" w:fill="FFFFFF"/>
        <w:spacing w:line="360" w:lineRule="auto"/>
        <w:ind w:firstLine="420"/>
        <w:rPr>
          <w:rFonts w:hint="eastAsia" w:ascii="宋体" w:hAnsi="宋体" w:eastAsia="宋体" w:cs="宋体"/>
        </w:rPr>
      </w:pPr>
      <w:r>
        <w:rPr>
          <w:rFonts w:hint="eastAsia" w:ascii="宋体" w:hAnsi="宋体" w:eastAsia="宋体" w:cs="宋体"/>
          <w:kern w:val="0"/>
          <w:szCs w:val="21"/>
        </w:rPr>
        <w:t>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61544EB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27.6采购代理机构在收到投标人的书面质疑后将及时组织调查核实，在</w:t>
      </w:r>
      <w:r>
        <w:rPr>
          <w:rFonts w:hint="eastAsia" w:ascii="宋体" w:hAnsi="宋体" w:eastAsia="宋体" w:cs="宋体"/>
          <w:b/>
          <w:bCs/>
          <w:kern w:val="0"/>
          <w:szCs w:val="21"/>
        </w:rPr>
        <w:t>七个工作日内</w:t>
      </w:r>
      <w:r>
        <w:rPr>
          <w:rFonts w:hint="eastAsia" w:ascii="宋体" w:hAnsi="宋体" w:eastAsia="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eastAsia="宋体" w:cs="宋体"/>
          <w:kern w:val="0"/>
          <w:szCs w:val="21"/>
        </w:rPr>
      </w:pPr>
      <w:r>
        <w:rPr>
          <w:rFonts w:hint="eastAsia" w:ascii="宋体" w:hAnsi="宋体" w:eastAsia="宋体" w:cs="宋体"/>
          <w:b/>
          <w:bCs/>
          <w:kern w:val="0"/>
          <w:szCs w:val="21"/>
        </w:rPr>
        <w:t>28、投诉</w:t>
      </w:r>
    </w:p>
    <w:p w14:paraId="297E6CB8">
      <w:pPr>
        <w:spacing w:line="420" w:lineRule="exact"/>
        <w:ind w:firstLine="420" w:firstLineChars="200"/>
        <w:rPr>
          <w:rFonts w:hint="eastAsia" w:ascii="宋体" w:hAnsi="宋体" w:eastAsia="宋体" w:cs="宋体"/>
        </w:rPr>
      </w:pPr>
      <w:r>
        <w:rPr>
          <w:rFonts w:hint="eastAsia" w:ascii="宋体" w:hAnsi="宋体" w:eastAsia="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eastAsia="宋体" w:cs="宋体"/>
        </w:rPr>
      </w:pPr>
      <w:r>
        <w:rPr>
          <w:rFonts w:hint="eastAsia" w:ascii="宋体" w:hAnsi="宋体" w:eastAsia="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eastAsia="宋体" w:cs="宋体"/>
        </w:rPr>
      </w:pPr>
      <w:r>
        <w:rPr>
          <w:rFonts w:hint="eastAsia" w:ascii="宋体" w:hAnsi="宋体" w:eastAsia="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eastAsia="宋体" w:cs="宋体"/>
          <w:szCs w:val="21"/>
        </w:rPr>
      </w:pPr>
      <w:r>
        <w:rPr>
          <w:rFonts w:hint="eastAsia" w:ascii="宋体" w:hAnsi="宋体" w:eastAsia="宋体" w:cs="宋体"/>
        </w:rPr>
        <w:t>28.4 投诉人有下列行为之一的，属于严重失信行为，</w:t>
      </w:r>
      <w:r>
        <w:rPr>
          <w:rFonts w:hint="eastAsia" w:ascii="宋体" w:hAnsi="宋体" w:eastAsia="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eastAsia="宋体" w:cs="宋体"/>
        </w:rPr>
      </w:pPr>
      <w:r>
        <w:rPr>
          <w:rFonts w:hint="eastAsia" w:ascii="宋体" w:hAnsi="宋体" w:eastAsia="宋体" w:cs="宋体"/>
        </w:rPr>
        <w:t>（1）投诉人在全国范围12个月内三次以上投诉查无实据的；</w:t>
      </w:r>
    </w:p>
    <w:p w14:paraId="177D29CD">
      <w:pPr>
        <w:spacing w:line="420" w:lineRule="exact"/>
        <w:ind w:firstLine="420" w:firstLineChars="200"/>
        <w:rPr>
          <w:rFonts w:hint="eastAsia" w:ascii="宋体" w:hAnsi="宋体" w:eastAsia="宋体" w:cs="宋体"/>
        </w:rPr>
      </w:pPr>
      <w:r>
        <w:rPr>
          <w:rFonts w:hint="eastAsia" w:ascii="宋体" w:hAnsi="宋体" w:eastAsia="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eastAsia="宋体" w:cs="宋体"/>
        </w:rPr>
      </w:pPr>
      <w:r>
        <w:rPr>
          <w:rFonts w:hint="eastAsia" w:ascii="宋体" w:hAnsi="宋体" w:eastAsia="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eastAsia="宋体" w:cs="宋体"/>
          <w:b/>
          <w:bCs/>
          <w:kern w:val="0"/>
          <w:szCs w:val="21"/>
        </w:rPr>
      </w:pPr>
      <w:r>
        <w:rPr>
          <w:rFonts w:hint="eastAsia" w:ascii="宋体" w:hAnsi="宋体" w:eastAsia="宋体" w:cs="宋体"/>
          <w:b/>
          <w:bCs/>
          <w:kern w:val="0"/>
          <w:szCs w:val="21"/>
        </w:rPr>
        <w:t>29、其他</w:t>
      </w:r>
    </w:p>
    <w:p w14:paraId="7B73B383">
      <w:pPr>
        <w:spacing w:line="360" w:lineRule="auto"/>
        <w:ind w:firstLine="420" w:firstLineChars="200"/>
        <w:rPr>
          <w:rFonts w:hint="eastAsia" w:ascii="宋体" w:hAnsi="宋体" w:eastAsia="宋体" w:cs="宋体"/>
          <w:szCs w:val="20"/>
        </w:rPr>
      </w:pPr>
      <w:r>
        <w:rPr>
          <w:rFonts w:hint="eastAsia" w:ascii="宋体" w:hAnsi="宋体" w:eastAsia="宋体" w:cs="宋体"/>
          <w:szCs w:val="20"/>
        </w:rPr>
        <w:t>29.1本项目根据江苏省财政厅关于加强政府绿色采购有关事项的通知（苏财购</w:t>
      </w:r>
      <w:r>
        <w:rPr>
          <w:rFonts w:hint="eastAsia" w:ascii="宋体" w:hAnsi="宋体" w:eastAsia="宋体" w:cs="宋体"/>
          <w:kern w:val="0"/>
          <w:szCs w:val="21"/>
        </w:rPr>
        <w:t>〔2023〕65号</w:t>
      </w:r>
      <w:r>
        <w:rPr>
          <w:rFonts w:hint="eastAsia" w:ascii="宋体" w:hAnsi="宋体" w:eastAsia="宋体" w:cs="宋体"/>
          <w:szCs w:val="20"/>
        </w:rPr>
        <w:t>）规定，执行绿色采购需求标准。</w:t>
      </w:r>
    </w:p>
    <w:p w14:paraId="245D9C52">
      <w:pPr>
        <w:widowControl/>
        <w:shd w:val="clear" w:color="auto" w:fill="FFFFFF"/>
        <w:spacing w:line="360" w:lineRule="auto"/>
        <w:ind w:firstLine="420"/>
        <w:rPr>
          <w:rFonts w:hint="eastAsia" w:ascii="宋体" w:hAnsi="宋体" w:eastAsia="宋体" w:cs="宋体"/>
          <w:kern w:val="0"/>
          <w:szCs w:val="21"/>
        </w:rPr>
      </w:pPr>
    </w:p>
    <w:p w14:paraId="3642BF5F">
      <w:pPr>
        <w:rPr>
          <w:rFonts w:hint="eastAsia" w:ascii="宋体" w:hAnsi="宋体" w:eastAsia="宋体" w:cs="宋体"/>
          <w:kern w:val="0"/>
        </w:rPr>
      </w:pPr>
      <w:r>
        <w:rPr>
          <w:rFonts w:hint="eastAsia" w:ascii="宋体" w:hAnsi="宋体" w:eastAsia="宋体" w:cs="宋体"/>
          <w:kern w:val="0"/>
        </w:rPr>
        <w:br w:type="page"/>
      </w:r>
    </w:p>
    <w:p w14:paraId="39B46139">
      <w:pPr>
        <w:pStyle w:val="2"/>
        <w:numPr>
          <w:ilvl w:val="0"/>
          <w:numId w:val="0"/>
        </w:numPr>
        <w:rPr>
          <w:rFonts w:hint="eastAsia" w:ascii="宋体" w:hAnsi="宋体" w:eastAsia="宋体" w:cs="宋体"/>
          <w:kern w:val="0"/>
        </w:rPr>
      </w:pPr>
      <w:bookmarkStart w:id="18" w:name="_Toc5499"/>
      <w:r>
        <w:rPr>
          <w:rFonts w:hint="eastAsia" w:ascii="宋体" w:hAnsi="宋体" w:eastAsia="宋体" w:cs="宋体"/>
          <w:kern w:val="0"/>
        </w:rPr>
        <w:t>第三章 评标标准</w:t>
      </w:r>
      <w:bookmarkEnd w:id="16"/>
      <w:bookmarkEnd w:id="18"/>
    </w:p>
    <w:bookmarkEnd w:id="17"/>
    <w:p w14:paraId="5802AD02">
      <w:pPr>
        <w:keepNext w:val="0"/>
        <w:keepLines w:val="0"/>
        <w:pageBreakBefore w:val="0"/>
        <w:widowControl w:val="0"/>
        <w:tabs>
          <w:tab w:val="left" w:pos="960"/>
        </w:tabs>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rPr>
      </w:pPr>
      <w:r>
        <w:rPr>
          <w:rFonts w:hint="eastAsia" w:ascii="宋体" w:hAnsi="宋体" w:eastAsia="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技术响应情况得分</w:t>
      </w:r>
      <w:r>
        <w:rPr>
          <w:rFonts w:hint="eastAsia" w:ascii="宋体" w:hAnsi="宋体" w:eastAsia="宋体" w:cs="宋体"/>
          <w:bCs/>
        </w:rPr>
        <w:t>高低</w:t>
      </w:r>
      <w:r>
        <w:rPr>
          <w:rFonts w:hint="eastAsia" w:ascii="宋体" w:hAnsi="宋体" w:eastAsia="宋体" w:cs="宋体"/>
        </w:rPr>
        <w:t>顺序排列，由评标委员会</w:t>
      </w:r>
      <w:r>
        <w:rPr>
          <w:rFonts w:hint="eastAsia" w:ascii="宋体" w:hAnsi="宋体" w:cs="宋体"/>
          <w:lang w:val="en-US" w:eastAsia="zh-CN"/>
        </w:rPr>
        <w:t>投票</w:t>
      </w:r>
      <w:r>
        <w:rPr>
          <w:rFonts w:hint="eastAsia" w:ascii="宋体" w:hAnsi="宋体" w:eastAsia="宋体" w:cs="宋体"/>
        </w:rPr>
        <w:t>确定中标人。</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007"/>
        <w:gridCol w:w="5944"/>
        <w:gridCol w:w="663"/>
      </w:tblGrid>
      <w:tr w14:paraId="0C4F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Pr>
          <w:p w14:paraId="5C987DC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1007" w:type="dxa"/>
          </w:tcPr>
          <w:p w14:paraId="4F7034F6">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评分项目</w:t>
            </w:r>
          </w:p>
        </w:tc>
        <w:tc>
          <w:tcPr>
            <w:tcW w:w="5944" w:type="dxa"/>
          </w:tcPr>
          <w:p w14:paraId="4DE00E04">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评分标准及细则</w:t>
            </w:r>
          </w:p>
        </w:tc>
        <w:tc>
          <w:tcPr>
            <w:tcW w:w="663" w:type="dxa"/>
          </w:tcPr>
          <w:p w14:paraId="29C630B4">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分值</w:t>
            </w:r>
          </w:p>
        </w:tc>
      </w:tr>
      <w:tr w14:paraId="5669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6768A1C0">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1</w:t>
            </w:r>
          </w:p>
        </w:tc>
        <w:tc>
          <w:tcPr>
            <w:tcW w:w="1007" w:type="dxa"/>
            <w:vAlign w:val="center"/>
          </w:tcPr>
          <w:p w14:paraId="10B1D1F2">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价格分</w:t>
            </w:r>
          </w:p>
        </w:tc>
        <w:tc>
          <w:tcPr>
            <w:tcW w:w="5944" w:type="dxa"/>
          </w:tcPr>
          <w:p w14:paraId="5A753A19">
            <w:pPr>
              <w:spacing w:after="0" w:line="240" w:lineRule="auto"/>
              <w:rPr>
                <w:rFonts w:hint="eastAsia" w:ascii="宋体" w:hAnsi="宋体" w:eastAsia="宋体" w:cs="宋体"/>
                <w:b w:val="0"/>
                <w:sz w:val="21"/>
                <w:szCs w:val="21"/>
              </w:rPr>
            </w:pPr>
            <w:r>
              <w:rPr>
                <w:rFonts w:hint="eastAsia" w:ascii="宋体" w:hAnsi="宋体" w:eastAsia="宋体" w:cs="宋体"/>
                <w:b w:val="0"/>
                <w:sz w:val="21"/>
                <w:szCs w:val="21"/>
              </w:rPr>
              <w:t>价格分采用低价优先法计算，即满足采购文件要求且报价最低的投标人的最终报价为评审基准价，其价格分为满分 30 分，其它投标人的价格分统一按照以下公式计算：报价得分=(评审基准价/该投标人的报价)× 30分。</w:t>
            </w:r>
          </w:p>
        </w:tc>
        <w:tc>
          <w:tcPr>
            <w:tcW w:w="663" w:type="dxa"/>
            <w:vAlign w:val="center"/>
          </w:tcPr>
          <w:p w14:paraId="679E144B">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30</w:t>
            </w:r>
          </w:p>
        </w:tc>
      </w:tr>
      <w:tr w14:paraId="42FA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1A89927A">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2</w:t>
            </w:r>
          </w:p>
        </w:tc>
        <w:tc>
          <w:tcPr>
            <w:tcW w:w="1007" w:type="dxa"/>
            <w:vAlign w:val="center"/>
          </w:tcPr>
          <w:p w14:paraId="35F3DF09">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技术指标</w:t>
            </w:r>
          </w:p>
        </w:tc>
        <w:tc>
          <w:tcPr>
            <w:tcW w:w="5944" w:type="dxa"/>
          </w:tcPr>
          <w:p w14:paraId="22C040D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投标人对招标文件第四章 采购需求</w:t>
            </w:r>
            <w:r>
              <w:rPr>
                <w:rFonts w:hint="eastAsia" w:ascii="宋体" w:hAnsi="宋体" w:eastAsia="宋体" w:cs="宋体"/>
                <w:b w:val="0"/>
                <w:sz w:val="21"/>
                <w:szCs w:val="21"/>
                <w:lang w:eastAsia="zh-CN"/>
              </w:rPr>
              <w:t>，二、技术指标及要求</w:t>
            </w:r>
            <w:r>
              <w:rPr>
                <w:rFonts w:hint="eastAsia" w:ascii="宋体" w:hAnsi="宋体" w:eastAsia="宋体" w:cs="宋体"/>
                <w:b w:val="0"/>
                <w:sz w:val="21"/>
                <w:szCs w:val="21"/>
              </w:rPr>
              <w:t>的响应程度：全部响应的得4</w:t>
            </w:r>
            <w:r>
              <w:rPr>
                <w:rFonts w:hint="eastAsia" w:ascii="宋体" w:hAnsi="宋体" w:cs="宋体"/>
                <w:b w:val="0"/>
                <w:sz w:val="21"/>
                <w:szCs w:val="21"/>
                <w:lang w:val="en-US" w:eastAsia="zh-CN"/>
              </w:rPr>
              <w:t>7</w:t>
            </w:r>
            <w:r>
              <w:rPr>
                <w:rFonts w:hint="eastAsia" w:ascii="宋体" w:hAnsi="宋体" w:eastAsia="宋体" w:cs="宋体"/>
                <w:b w:val="0"/>
                <w:sz w:val="21"/>
                <w:szCs w:val="21"/>
              </w:rPr>
              <w:t>分，加“★”为实质性需求参数，有一项负偏离视为无效投标，其他参数按下列子项逐项量化计分，各子项得分之和为该投标人技术得分：</w:t>
            </w:r>
          </w:p>
          <w:p w14:paraId="1A6E6A70">
            <w:pPr>
              <w:numPr>
                <w:ilvl w:val="0"/>
                <w:numId w:val="6"/>
              </w:numPr>
              <w:spacing w:after="0" w:line="240" w:lineRule="auto"/>
              <w:ind w:left="425" w:hanging="425"/>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对应参数★1试剂盒套装：试剂盒</w:t>
            </w:r>
            <w:r>
              <w:rPr>
                <w:rFonts w:hint="eastAsia" w:ascii="宋体" w:hAnsi="宋体" w:eastAsia="宋体" w:cs="宋体"/>
                <w:b w:val="0"/>
                <w:sz w:val="21"/>
                <w:szCs w:val="21"/>
                <w:highlight w:val="none"/>
                <w:lang w:val="en-US" w:eastAsia="zh-CN"/>
              </w:rPr>
              <w:t>套装需</w:t>
            </w:r>
            <w:r>
              <w:rPr>
                <w:rFonts w:hint="eastAsia" w:ascii="宋体" w:hAnsi="宋体" w:eastAsia="宋体" w:cs="宋体"/>
                <w:b w:val="0"/>
                <w:sz w:val="21"/>
                <w:szCs w:val="21"/>
                <w:highlight w:val="none"/>
              </w:rPr>
              <w:t>覆盖血浆低丰度蛋白富集、还原、烷基化、酶解、</w:t>
            </w:r>
            <w:r>
              <w:rPr>
                <w:rFonts w:hint="eastAsia" w:ascii="宋体" w:hAnsi="宋体" w:cs="宋体"/>
                <w:b w:val="0"/>
                <w:sz w:val="21"/>
                <w:szCs w:val="21"/>
                <w:highlight w:val="none"/>
                <w:lang w:val="en-US" w:eastAsia="zh-CN"/>
              </w:rPr>
              <w:t>磁珠法</w:t>
            </w:r>
            <w:r>
              <w:rPr>
                <w:rFonts w:hint="eastAsia" w:ascii="宋体" w:hAnsi="宋体" w:eastAsia="宋体" w:cs="宋体"/>
                <w:b w:val="0"/>
                <w:sz w:val="21"/>
                <w:szCs w:val="21"/>
                <w:highlight w:val="none"/>
              </w:rPr>
              <w:t>脱盐五个环节，且上述全部环节可在自动化工作站上全自动完成的，所需人工操作时间少于30分钟</w:t>
            </w:r>
            <w:r>
              <w:rPr>
                <w:rFonts w:hint="eastAsia" w:ascii="宋体" w:hAnsi="宋体" w:eastAsia="宋体" w:cs="宋体"/>
                <w:b w:val="0"/>
                <w:sz w:val="21"/>
                <w:szCs w:val="21"/>
                <w:highlight w:val="none"/>
                <w:lang w:eastAsia="zh-CN"/>
              </w:rPr>
              <w:t>。</w:t>
            </w:r>
          </w:p>
          <w:p w14:paraId="57F8B0C0">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对应参数2血浆蛋白质组纳米磁珠富集试剂，</w:t>
            </w:r>
            <w:r>
              <w:rPr>
                <w:rFonts w:hint="eastAsia" w:ascii="宋体" w:hAnsi="宋体" w:cs="宋体"/>
                <w:b w:val="0"/>
                <w:sz w:val="21"/>
                <w:szCs w:val="21"/>
                <w:lang w:val="en-US" w:eastAsia="zh-CN"/>
              </w:rPr>
              <w:t>1</w:t>
            </w:r>
            <w:r>
              <w:rPr>
                <w:rFonts w:hint="eastAsia" w:ascii="宋体" w:hAnsi="宋体" w:eastAsia="宋体" w:cs="宋体"/>
                <w:b w:val="0"/>
                <w:sz w:val="21"/>
                <w:szCs w:val="21"/>
              </w:rPr>
              <w:t>分：包含低丰度富集专用纳米磁珠、</w:t>
            </w:r>
            <w:r>
              <w:rPr>
                <w:rFonts w:hint="eastAsia" w:ascii="宋体" w:hAnsi="宋体" w:eastAsia="宋体" w:cs="宋体"/>
                <w:b w:val="0"/>
                <w:sz w:val="21"/>
                <w:szCs w:val="21"/>
                <w:lang w:val="en-US" w:eastAsia="zh-CN"/>
              </w:rPr>
              <w:t>富集结合液/</w:t>
            </w:r>
            <w:r>
              <w:rPr>
                <w:rFonts w:hint="eastAsia" w:ascii="宋体" w:hAnsi="宋体" w:eastAsia="宋体" w:cs="宋体"/>
                <w:b w:val="0"/>
                <w:sz w:val="21"/>
                <w:szCs w:val="21"/>
              </w:rPr>
              <w:t>Binding buffer、</w:t>
            </w:r>
            <w:r>
              <w:rPr>
                <w:rFonts w:hint="eastAsia" w:ascii="宋体" w:hAnsi="宋体" w:eastAsia="宋体" w:cs="宋体"/>
                <w:b w:val="0"/>
                <w:sz w:val="21"/>
                <w:szCs w:val="21"/>
                <w:lang w:val="en-US" w:eastAsia="zh-CN"/>
              </w:rPr>
              <w:t>清洗液/</w:t>
            </w:r>
            <w:r>
              <w:rPr>
                <w:rFonts w:hint="eastAsia" w:ascii="宋体" w:hAnsi="宋体" w:eastAsia="宋体" w:cs="宋体"/>
                <w:b w:val="0"/>
                <w:sz w:val="21"/>
                <w:szCs w:val="21"/>
              </w:rPr>
              <w:t>Wash buffer、复合酶、</w:t>
            </w:r>
            <w:r>
              <w:rPr>
                <w:rFonts w:hint="eastAsia" w:ascii="宋体" w:hAnsi="宋体" w:eastAsia="宋体" w:cs="宋体"/>
                <w:b w:val="0"/>
                <w:sz w:val="21"/>
                <w:szCs w:val="21"/>
                <w:lang w:val="en-US" w:eastAsia="zh-CN"/>
              </w:rPr>
              <w:t>终止液/</w:t>
            </w:r>
            <w:r>
              <w:rPr>
                <w:rFonts w:hint="eastAsia" w:ascii="宋体" w:hAnsi="宋体" w:eastAsia="宋体" w:cs="宋体"/>
                <w:b w:val="0"/>
                <w:sz w:val="21"/>
                <w:szCs w:val="21"/>
              </w:rPr>
              <w:t>Ending buffer五项组分的，得</w:t>
            </w:r>
            <w:r>
              <w:rPr>
                <w:rFonts w:hint="eastAsia" w:ascii="宋体" w:hAnsi="宋体" w:cs="宋体"/>
                <w:b w:val="0"/>
                <w:sz w:val="21"/>
                <w:szCs w:val="21"/>
                <w:lang w:val="en-US" w:eastAsia="zh-CN"/>
              </w:rPr>
              <w:t>1</w:t>
            </w:r>
            <w:r>
              <w:rPr>
                <w:rFonts w:hint="eastAsia" w:ascii="宋体" w:hAnsi="宋体" w:eastAsia="宋体" w:cs="宋体"/>
                <w:b w:val="0"/>
                <w:sz w:val="21"/>
                <w:szCs w:val="21"/>
              </w:rPr>
              <w:t>分；</w:t>
            </w:r>
            <w:r>
              <w:rPr>
                <w:rFonts w:hint="eastAsia" w:ascii="宋体" w:hAnsi="宋体" w:cs="宋体"/>
                <w:b w:val="0"/>
                <w:sz w:val="21"/>
                <w:szCs w:val="21"/>
                <w:lang w:val="en-US" w:eastAsia="zh-CN"/>
              </w:rPr>
              <w:t>否则得0分</w:t>
            </w:r>
            <w:r>
              <w:rPr>
                <w:rFonts w:hint="eastAsia" w:ascii="宋体" w:hAnsi="宋体" w:eastAsia="宋体" w:cs="宋体"/>
                <w:b w:val="0"/>
                <w:sz w:val="21"/>
                <w:szCs w:val="21"/>
              </w:rPr>
              <w:t>。</w:t>
            </w:r>
          </w:p>
          <w:p w14:paraId="75C53A5F">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对应参数3血浆蛋白质组磁珠法除盐试剂，</w:t>
            </w:r>
            <w:r>
              <w:rPr>
                <w:rFonts w:hint="eastAsia" w:ascii="宋体" w:hAnsi="宋体" w:cs="宋体"/>
                <w:b w:val="0"/>
                <w:sz w:val="21"/>
                <w:szCs w:val="21"/>
                <w:lang w:val="en-US" w:eastAsia="zh-CN"/>
              </w:rPr>
              <w:t>1</w:t>
            </w:r>
            <w:r>
              <w:rPr>
                <w:rFonts w:hint="eastAsia" w:ascii="宋体" w:hAnsi="宋体" w:eastAsia="宋体" w:cs="宋体"/>
                <w:b w:val="0"/>
                <w:sz w:val="21"/>
                <w:szCs w:val="21"/>
              </w:rPr>
              <w:t>分：包含除盐磁珠、</w:t>
            </w:r>
            <w:r>
              <w:rPr>
                <w:rFonts w:hint="eastAsia" w:ascii="宋体" w:hAnsi="宋体" w:eastAsia="宋体" w:cs="宋体"/>
                <w:b w:val="0"/>
                <w:sz w:val="21"/>
                <w:szCs w:val="21"/>
                <w:lang w:val="en-US" w:eastAsia="zh-CN"/>
              </w:rPr>
              <w:t>清洗液/</w:t>
            </w:r>
            <w:r>
              <w:rPr>
                <w:rFonts w:hint="eastAsia" w:ascii="宋体" w:hAnsi="宋体" w:eastAsia="宋体" w:cs="宋体"/>
                <w:b w:val="0"/>
                <w:sz w:val="21"/>
                <w:szCs w:val="21"/>
              </w:rPr>
              <w:t>Wash buffer、</w:t>
            </w:r>
            <w:r>
              <w:rPr>
                <w:rFonts w:hint="eastAsia" w:ascii="宋体" w:hAnsi="宋体" w:eastAsia="宋体" w:cs="宋体"/>
                <w:b w:val="0"/>
                <w:sz w:val="21"/>
                <w:szCs w:val="21"/>
                <w:lang w:val="en-US" w:eastAsia="zh-CN"/>
              </w:rPr>
              <w:t>洗脱液/</w:t>
            </w:r>
            <w:r>
              <w:rPr>
                <w:rFonts w:hint="eastAsia" w:ascii="宋体" w:hAnsi="宋体" w:eastAsia="宋体" w:cs="宋体"/>
                <w:b w:val="0"/>
                <w:sz w:val="21"/>
                <w:szCs w:val="21"/>
              </w:rPr>
              <w:t>Elution buffer三项组分</w:t>
            </w:r>
            <w:r>
              <w:rPr>
                <w:rFonts w:hint="eastAsia" w:ascii="宋体" w:hAnsi="宋体" w:cs="宋体"/>
                <w:b w:val="0"/>
                <w:sz w:val="21"/>
                <w:szCs w:val="21"/>
                <w:lang w:eastAsia="zh-CN"/>
              </w:rPr>
              <w:t>，</w:t>
            </w:r>
            <w:r>
              <w:rPr>
                <w:rFonts w:hint="eastAsia" w:ascii="宋体" w:hAnsi="宋体" w:cs="宋体"/>
                <w:b w:val="0"/>
                <w:sz w:val="21"/>
                <w:szCs w:val="21"/>
                <w:lang w:val="en-US" w:eastAsia="zh-CN"/>
              </w:rPr>
              <w:t>且</w:t>
            </w:r>
            <w:r>
              <w:rPr>
                <w:rFonts w:hint="eastAsia" w:ascii="宋体" w:hAnsi="宋体" w:cs="宋体"/>
                <w:b w:val="0"/>
                <w:sz w:val="21"/>
                <w:szCs w:val="21"/>
                <w:lang w:eastAsia="zh-CN"/>
              </w:rPr>
              <w:t>除盐产物可直接上机检测，无需浓缩复溶</w:t>
            </w:r>
            <w:r>
              <w:rPr>
                <w:rFonts w:hint="eastAsia" w:ascii="宋体" w:hAnsi="宋体" w:eastAsia="宋体" w:cs="宋体"/>
                <w:b w:val="0"/>
                <w:sz w:val="21"/>
                <w:szCs w:val="21"/>
              </w:rPr>
              <w:t>的得</w:t>
            </w:r>
            <w:r>
              <w:rPr>
                <w:rFonts w:hint="eastAsia" w:ascii="宋体" w:hAnsi="宋体" w:cs="宋体"/>
                <w:b w:val="0"/>
                <w:sz w:val="21"/>
                <w:szCs w:val="21"/>
                <w:lang w:val="en-US" w:eastAsia="zh-CN"/>
              </w:rPr>
              <w:t>1</w:t>
            </w:r>
            <w:r>
              <w:rPr>
                <w:rFonts w:hint="eastAsia" w:ascii="宋体" w:hAnsi="宋体" w:eastAsia="宋体" w:cs="宋体"/>
                <w:b w:val="0"/>
                <w:sz w:val="21"/>
                <w:szCs w:val="21"/>
              </w:rPr>
              <w:t>分；否则得0分。</w:t>
            </w:r>
          </w:p>
          <w:p w14:paraId="636C8636">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对应参数4血浆蛋白质组标准质控试剂，1</w:t>
            </w:r>
            <w:r>
              <w:rPr>
                <w:rFonts w:hint="eastAsia" w:ascii="宋体" w:hAnsi="宋体" w:eastAsia="宋体" w:cs="宋体"/>
                <w:b w:val="0"/>
                <w:sz w:val="21"/>
                <w:szCs w:val="21"/>
                <w:lang w:val="en-US" w:eastAsia="zh-CN"/>
              </w:rPr>
              <w:t>0</w:t>
            </w:r>
            <w:r>
              <w:rPr>
                <w:rFonts w:hint="eastAsia" w:ascii="宋体" w:hAnsi="宋体" w:eastAsia="宋体" w:cs="宋体"/>
                <w:b w:val="0"/>
                <w:sz w:val="21"/>
                <w:szCs w:val="21"/>
              </w:rPr>
              <w:t>分：按下列三类组分分别计分，缺某一类组分的，该类组分对应分值不得分（其余类别照常计分）：包含质控血浆的得2分；包含等量人份标准蛋白的得2分；包含等量人份重标肽段的按条数分档计分——条数＜100条的得</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分、100—179条的得</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分、≥180条的得</w:t>
            </w:r>
            <w:r>
              <w:rPr>
                <w:rFonts w:hint="eastAsia" w:ascii="宋体" w:hAnsi="宋体" w:eastAsia="宋体" w:cs="宋体"/>
                <w:b w:val="0"/>
                <w:sz w:val="21"/>
                <w:szCs w:val="21"/>
                <w:lang w:val="en-US" w:eastAsia="zh-CN"/>
              </w:rPr>
              <w:t>4</w:t>
            </w:r>
            <w:r>
              <w:rPr>
                <w:rFonts w:hint="eastAsia" w:ascii="宋体" w:hAnsi="宋体" w:eastAsia="宋体" w:cs="宋体"/>
                <w:b w:val="0"/>
                <w:sz w:val="21"/>
                <w:szCs w:val="21"/>
              </w:rPr>
              <w:t>分，在此基础上重标肽段</w:t>
            </w:r>
            <w:r>
              <w:rPr>
                <w:rFonts w:hint="eastAsia" w:ascii="宋体" w:hAnsi="宋体" w:eastAsia="宋体" w:cs="宋体"/>
                <w:b w:val="0"/>
                <w:sz w:val="21"/>
                <w:szCs w:val="21"/>
                <w:lang w:val="en-US" w:eastAsia="zh-CN"/>
              </w:rPr>
              <w:t>全部</w:t>
            </w:r>
            <w:r>
              <w:rPr>
                <w:rFonts w:hint="eastAsia" w:ascii="宋体" w:hAnsi="宋体" w:eastAsia="宋体" w:cs="宋体"/>
                <w:b w:val="0"/>
                <w:sz w:val="21"/>
                <w:szCs w:val="21"/>
              </w:rPr>
              <w:t>序列经比对可匹配人血浆内源性蛋白的再加</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分，不含重标肽段的得0分</w:t>
            </w:r>
          </w:p>
          <w:p w14:paraId="21E09DEA">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对应参数5血浆蛋白质组标准质控分析软件</w:t>
            </w:r>
            <w:r>
              <w:rPr>
                <w:rFonts w:hint="eastAsia" w:ascii="宋体" w:hAnsi="宋体" w:eastAsia="宋体" w:cs="宋体"/>
                <w:b w:val="0"/>
                <w:sz w:val="21"/>
                <w:szCs w:val="21"/>
                <w:lang w:val="en-US" w:eastAsia="zh-CN"/>
              </w:rPr>
              <w:t>或算法</w:t>
            </w:r>
            <w:r>
              <w:rPr>
                <w:rFonts w:hint="eastAsia" w:ascii="宋体" w:hAnsi="宋体" w:eastAsia="宋体" w:cs="宋体"/>
                <w:b w:val="0"/>
                <w:sz w:val="21"/>
                <w:szCs w:val="21"/>
              </w:rPr>
              <w:t>，8分：提供质控分析软件</w:t>
            </w:r>
            <w:r>
              <w:rPr>
                <w:rFonts w:hint="eastAsia" w:ascii="宋体" w:hAnsi="宋体" w:cs="宋体"/>
                <w:b w:val="0"/>
                <w:sz w:val="21"/>
                <w:szCs w:val="21"/>
                <w:lang w:val="en-US" w:eastAsia="zh-CN"/>
              </w:rPr>
              <w:t>或算法</w:t>
            </w:r>
            <w:r>
              <w:rPr>
                <w:rFonts w:hint="eastAsia" w:ascii="宋体" w:hAnsi="宋体" w:eastAsia="宋体" w:cs="宋体"/>
                <w:b w:val="0"/>
                <w:sz w:val="21"/>
                <w:szCs w:val="21"/>
              </w:rPr>
              <w:t>的得2分</w:t>
            </w:r>
            <w:r>
              <w:rPr>
                <w:rFonts w:hint="eastAsia" w:ascii="宋体" w:hAnsi="宋体" w:cs="宋体"/>
                <w:b w:val="0"/>
                <w:sz w:val="21"/>
                <w:szCs w:val="21"/>
                <w:lang w:eastAsia="zh-CN"/>
              </w:rPr>
              <w:t>，</w:t>
            </w:r>
            <w:r>
              <w:rPr>
                <w:rFonts w:hint="eastAsia" w:ascii="宋体" w:hAnsi="宋体" w:cs="宋体"/>
                <w:b w:val="0"/>
                <w:sz w:val="21"/>
                <w:szCs w:val="21"/>
                <w:lang w:val="en-US" w:eastAsia="zh-CN"/>
              </w:rPr>
              <w:t>并能够提供软件或算法本地部署的再得3分</w:t>
            </w:r>
            <w:r>
              <w:rPr>
                <w:rFonts w:hint="eastAsia" w:ascii="宋体" w:hAnsi="宋体" w:eastAsia="宋体" w:cs="宋体"/>
                <w:b w:val="0"/>
                <w:sz w:val="21"/>
                <w:szCs w:val="21"/>
              </w:rPr>
              <w:t>；支持</w:t>
            </w:r>
            <w:r>
              <w:rPr>
                <w:rFonts w:hint="eastAsia" w:ascii="宋体" w:hAnsi="宋体" w:cs="宋体"/>
                <w:b w:val="0"/>
                <w:sz w:val="21"/>
                <w:szCs w:val="21"/>
                <w:lang w:val="en-US" w:eastAsia="zh-CN"/>
              </w:rPr>
              <w:t>使用血浆蛋白质组标准质控试剂</w:t>
            </w:r>
            <w:r>
              <w:rPr>
                <w:rFonts w:hint="eastAsia" w:ascii="宋体" w:hAnsi="宋体" w:eastAsia="宋体" w:cs="宋体"/>
                <w:b w:val="0"/>
                <w:sz w:val="21"/>
                <w:szCs w:val="21"/>
              </w:rPr>
              <w:t>对队列</w:t>
            </w:r>
            <w:r>
              <w:rPr>
                <w:rFonts w:hint="eastAsia" w:ascii="宋体" w:hAnsi="宋体" w:cs="宋体"/>
                <w:b w:val="0"/>
                <w:sz w:val="21"/>
                <w:szCs w:val="21"/>
                <w:lang w:val="en-US" w:eastAsia="zh-CN"/>
              </w:rPr>
              <w:t>数据</w:t>
            </w:r>
            <w:r>
              <w:rPr>
                <w:rFonts w:hint="eastAsia" w:ascii="宋体" w:hAnsi="宋体" w:eastAsia="宋体" w:cs="宋体"/>
                <w:b w:val="0"/>
                <w:sz w:val="21"/>
                <w:szCs w:val="21"/>
                <w:lang w:val="en-US" w:eastAsia="zh-CN"/>
              </w:rPr>
              <w:t>不同批次</w:t>
            </w:r>
            <w:r>
              <w:rPr>
                <w:rFonts w:hint="eastAsia" w:ascii="宋体" w:hAnsi="宋体" w:eastAsia="宋体" w:cs="宋体"/>
                <w:b w:val="0"/>
                <w:sz w:val="21"/>
                <w:szCs w:val="21"/>
              </w:rPr>
              <w:t>、</w:t>
            </w:r>
            <w:r>
              <w:rPr>
                <w:rFonts w:hint="eastAsia" w:ascii="宋体" w:hAnsi="宋体" w:eastAsia="宋体" w:cs="宋体"/>
                <w:b w:val="0"/>
                <w:sz w:val="21"/>
                <w:szCs w:val="21"/>
                <w:lang w:val="en-US" w:eastAsia="zh-CN"/>
              </w:rPr>
              <w:t>板间、</w:t>
            </w:r>
            <w:r>
              <w:rPr>
                <w:rFonts w:hint="eastAsia" w:ascii="宋体" w:hAnsi="宋体" w:eastAsia="宋体" w:cs="宋体"/>
                <w:b w:val="0"/>
                <w:sz w:val="21"/>
                <w:szCs w:val="21"/>
              </w:rPr>
              <w:t>样本</w:t>
            </w:r>
            <w:r>
              <w:rPr>
                <w:rFonts w:hint="eastAsia" w:ascii="宋体" w:hAnsi="宋体" w:eastAsia="宋体" w:cs="宋体"/>
                <w:b w:val="0"/>
                <w:sz w:val="21"/>
                <w:szCs w:val="21"/>
                <w:lang w:val="en-US" w:eastAsia="zh-CN"/>
              </w:rPr>
              <w:t>间</w:t>
            </w:r>
            <w:r>
              <w:rPr>
                <w:rFonts w:hint="eastAsia" w:ascii="宋体" w:hAnsi="宋体" w:eastAsia="宋体" w:cs="宋体"/>
                <w:b w:val="0"/>
                <w:sz w:val="21"/>
                <w:szCs w:val="21"/>
              </w:rPr>
              <w:t>进行归一化处理的，三类场景全覆盖得3分、覆盖两类得1分、覆盖一类及以下得0分</w:t>
            </w:r>
            <w:r>
              <w:rPr>
                <w:rFonts w:hint="eastAsia" w:ascii="宋体" w:hAnsi="宋体" w:cs="宋体"/>
                <w:b w:val="0"/>
                <w:sz w:val="21"/>
                <w:szCs w:val="21"/>
                <w:lang w:eastAsia="zh-CN"/>
              </w:rPr>
              <w:t>；</w:t>
            </w:r>
          </w:p>
          <w:p w14:paraId="40A348E9">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对应参数6样本用量，2分：单样本血浆用量≤20 μL的得2分；＞20 μL且≤50 μL的得1分；＞50 μL的得0分。</w:t>
            </w:r>
          </w:p>
          <w:p w14:paraId="63CE0D16">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对应参数7实验效率，</w:t>
            </w:r>
            <w:r>
              <w:rPr>
                <w:rFonts w:hint="eastAsia" w:ascii="宋体" w:hAnsi="宋体" w:cs="宋体"/>
                <w:b w:val="0"/>
                <w:sz w:val="21"/>
                <w:szCs w:val="21"/>
                <w:lang w:val="en-US" w:eastAsia="zh-CN"/>
              </w:rPr>
              <w:t>1</w:t>
            </w:r>
            <w:r>
              <w:rPr>
                <w:rFonts w:hint="eastAsia" w:ascii="宋体" w:hAnsi="宋体" w:eastAsia="宋体" w:cs="宋体"/>
                <w:b w:val="0"/>
                <w:sz w:val="21"/>
                <w:szCs w:val="21"/>
              </w:rPr>
              <w:t>分：低丰度蛋白富集时间不超过30分钟</w:t>
            </w:r>
            <w:r>
              <w:rPr>
                <w:rFonts w:hint="eastAsia" w:ascii="宋体" w:hAnsi="宋体" w:cs="宋体"/>
                <w:b w:val="0"/>
                <w:sz w:val="21"/>
                <w:szCs w:val="21"/>
                <w:lang w:eastAsia="zh-CN"/>
              </w:rPr>
              <w:t>；</w:t>
            </w:r>
            <w:r>
              <w:rPr>
                <w:rFonts w:hint="eastAsia" w:ascii="宋体" w:hAnsi="宋体" w:eastAsia="宋体" w:cs="宋体"/>
                <w:b w:val="0"/>
                <w:sz w:val="21"/>
                <w:szCs w:val="21"/>
              </w:rPr>
              <w:t>还原、烷基化和酶解总时长≤2小时；除盐时间≤1小时且总前处理时间≤4小时的得1分；各子项未达标的得0分。</w:t>
            </w:r>
          </w:p>
          <w:p w14:paraId="7AFDF690">
            <w:pPr>
              <w:numPr>
                <w:ilvl w:val="0"/>
                <w:numId w:val="6"/>
              </w:numPr>
              <w:spacing w:after="0" w:line="240" w:lineRule="auto"/>
              <w:ind w:left="425" w:hanging="425"/>
              <w:rPr>
                <w:rFonts w:hint="eastAsia" w:ascii="宋体" w:hAnsi="宋体" w:eastAsia="宋体" w:cs="宋体"/>
                <w:b w:val="0"/>
                <w:sz w:val="21"/>
                <w:szCs w:val="21"/>
                <w:highlight w:val="none"/>
              </w:rPr>
            </w:pPr>
            <w:r>
              <w:rPr>
                <w:rFonts w:hint="eastAsia" w:ascii="宋体" w:hAnsi="宋体" w:eastAsia="宋体" w:cs="宋体"/>
                <w:b w:val="0"/>
                <w:sz w:val="21"/>
                <w:szCs w:val="21"/>
              </w:rPr>
              <w:t>对应参数8试剂质量及批间稳定性，</w:t>
            </w:r>
            <w:r>
              <w:rPr>
                <w:rFonts w:hint="eastAsia" w:ascii="宋体" w:hAnsi="宋体" w:cs="宋体"/>
                <w:b w:val="0"/>
                <w:sz w:val="21"/>
                <w:szCs w:val="21"/>
                <w:lang w:val="en-US" w:eastAsia="zh-CN"/>
              </w:rPr>
              <w:t>8</w:t>
            </w:r>
            <w:r>
              <w:rPr>
                <w:rFonts w:hint="eastAsia" w:ascii="宋体" w:hAnsi="宋体" w:eastAsia="宋体" w:cs="宋体"/>
                <w:b w:val="0"/>
                <w:sz w:val="21"/>
                <w:szCs w:val="21"/>
              </w:rPr>
              <w:t>分：纳米磁珠平均粒径≤350 nm的得</w:t>
            </w:r>
            <w:r>
              <w:rPr>
                <w:rFonts w:hint="eastAsia" w:ascii="宋体" w:hAnsi="宋体" w:cs="宋体"/>
                <w:b w:val="0"/>
                <w:sz w:val="21"/>
                <w:szCs w:val="21"/>
                <w:lang w:val="en-US" w:eastAsia="zh-CN"/>
              </w:rPr>
              <w:t>3</w:t>
            </w:r>
            <w:r>
              <w:rPr>
                <w:rFonts w:hint="eastAsia" w:ascii="宋体" w:hAnsi="宋体" w:eastAsia="宋体" w:cs="宋体"/>
                <w:b w:val="0"/>
                <w:sz w:val="21"/>
                <w:szCs w:val="21"/>
              </w:rPr>
              <w:t>分；多分散指数（PDI）＜0.2的得</w:t>
            </w:r>
            <w:r>
              <w:rPr>
                <w:rFonts w:hint="eastAsia" w:ascii="宋体" w:hAnsi="宋体" w:cs="宋体"/>
                <w:b w:val="0"/>
                <w:sz w:val="21"/>
                <w:szCs w:val="21"/>
                <w:lang w:val="en-US" w:eastAsia="zh-CN"/>
              </w:rPr>
              <w:t>2</w:t>
            </w:r>
            <w:r>
              <w:rPr>
                <w:rFonts w:hint="eastAsia" w:ascii="宋体" w:hAnsi="宋体" w:eastAsia="宋体" w:cs="宋体"/>
                <w:b w:val="0"/>
                <w:sz w:val="21"/>
                <w:szCs w:val="21"/>
              </w:rPr>
              <w:t>分；不同批次纳米磁珠粒径CV≤</w:t>
            </w:r>
            <w:r>
              <w:rPr>
                <w:rFonts w:hint="eastAsia" w:ascii="宋体" w:hAnsi="宋体" w:eastAsia="宋体" w:cs="宋体"/>
                <w:b w:val="0"/>
                <w:sz w:val="21"/>
                <w:szCs w:val="21"/>
                <w:lang w:val="en-US" w:eastAsia="zh-CN"/>
              </w:rPr>
              <w:t>5</w:t>
            </w:r>
            <w:r>
              <w:rPr>
                <w:rFonts w:hint="eastAsia" w:ascii="宋体" w:hAnsi="宋体" w:eastAsia="宋体" w:cs="宋体"/>
                <w:b w:val="0"/>
                <w:sz w:val="21"/>
                <w:szCs w:val="21"/>
              </w:rPr>
              <w:t>%的得1分</w:t>
            </w:r>
            <w:r>
              <w:rPr>
                <w:rFonts w:hint="eastAsia" w:ascii="宋体" w:hAnsi="宋体" w:cs="宋体"/>
                <w:b w:val="0"/>
                <w:sz w:val="21"/>
                <w:szCs w:val="21"/>
                <w:lang w:eastAsia="zh-CN"/>
              </w:rPr>
              <w:t>；</w:t>
            </w:r>
            <w:r>
              <w:rPr>
                <w:rFonts w:hint="eastAsia" w:ascii="宋体" w:hAnsi="宋体" w:cs="宋体"/>
                <w:b w:val="0"/>
                <w:sz w:val="21"/>
                <w:szCs w:val="21"/>
                <w:lang w:val="en-US" w:eastAsia="zh-CN"/>
              </w:rPr>
              <w:t>提供TEM报告的得1分</w:t>
            </w:r>
            <w:r>
              <w:rPr>
                <w:rFonts w:hint="eastAsia" w:ascii="宋体" w:hAnsi="宋体" w:eastAsia="宋体" w:cs="宋体"/>
                <w:b w:val="0"/>
                <w:sz w:val="21"/>
                <w:szCs w:val="21"/>
              </w:rPr>
              <w:t>；不同批次纳米磁珠蛋白鉴定量CV≤5%的得1分；上述</w:t>
            </w:r>
            <w:r>
              <w:rPr>
                <w:rFonts w:hint="eastAsia" w:ascii="宋体" w:hAnsi="宋体" w:cs="宋体"/>
                <w:b w:val="0"/>
                <w:sz w:val="21"/>
                <w:szCs w:val="21"/>
                <w:lang w:val="en-US" w:eastAsia="zh-CN"/>
              </w:rPr>
              <w:t>参数</w:t>
            </w:r>
            <w:r>
              <w:rPr>
                <w:rFonts w:hint="eastAsia" w:ascii="宋体" w:hAnsi="宋体" w:eastAsia="宋体" w:cs="宋体"/>
                <w:b w:val="0"/>
                <w:sz w:val="21"/>
                <w:szCs w:val="21"/>
              </w:rPr>
              <w:t>均须提供相应</w:t>
            </w:r>
            <w:r>
              <w:rPr>
                <w:rFonts w:hint="eastAsia" w:ascii="宋体" w:hAnsi="宋体" w:eastAsia="宋体" w:cs="宋体"/>
                <w:b w:val="0"/>
                <w:strike w:val="0"/>
                <w:dstrike w:val="0"/>
                <w:sz w:val="21"/>
                <w:szCs w:val="21"/>
                <w:highlight w:val="none"/>
                <w:lang w:val="en-US" w:eastAsia="zh-CN"/>
              </w:rPr>
              <w:t>第三方测试数据</w:t>
            </w:r>
            <w:r>
              <w:rPr>
                <w:rFonts w:hint="eastAsia" w:ascii="宋体" w:hAnsi="宋体" w:eastAsia="宋体" w:cs="宋体"/>
                <w:b w:val="0"/>
                <w:sz w:val="21"/>
                <w:szCs w:val="21"/>
                <w:highlight w:val="none"/>
              </w:rPr>
              <w:t>佐证。</w:t>
            </w:r>
          </w:p>
          <w:p w14:paraId="003D90C7">
            <w:pPr>
              <w:numPr>
                <w:ilvl w:val="0"/>
                <w:numId w:val="6"/>
              </w:numPr>
              <w:spacing w:after="0" w:line="240" w:lineRule="auto"/>
              <w:ind w:left="425" w:hanging="425"/>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对应参数</w:t>
            </w:r>
            <w:r>
              <w:rPr>
                <w:rFonts w:hint="eastAsia" w:ascii="宋体" w:hAnsi="宋体" w:cs="宋体"/>
                <w:b w:val="0"/>
                <w:sz w:val="21"/>
                <w:szCs w:val="21"/>
                <w:highlight w:val="none"/>
                <w:lang w:val="en-US" w:eastAsia="zh-CN"/>
              </w:rPr>
              <w:t>9试剂背景鉴定量要求，1分：以第三方或厂家报告证明空白样（超纯水）经过所投试剂处理后的蛋白鉴定量≤200个Protein Groups的得1分，否则得0分。</w:t>
            </w:r>
          </w:p>
          <w:p w14:paraId="5DD0848E">
            <w:pPr>
              <w:numPr>
                <w:ilvl w:val="0"/>
                <w:numId w:val="6"/>
              </w:numPr>
              <w:spacing w:after="0" w:line="240" w:lineRule="auto"/>
              <w:ind w:left="425" w:hanging="425"/>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对应参数</w:t>
            </w:r>
            <w:r>
              <w:rPr>
                <w:rFonts w:hint="eastAsia" w:ascii="宋体" w:hAnsi="宋体" w:cs="宋体"/>
                <w:b w:val="0"/>
                <w:sz w:val="21"/>
                <w:szCs w:val="21"/>
                <w:lang w:val="en-US" w:eastAsia="zh-CN"/>
              </w:rPr>
              <w:t>10</w:t>
            </w:r>
            <w:r>
              <w:rPr>
                <w:rFonts w:hint="eastAsia" w:ascii="宋体" w:hAnsi="宋体" w:eastAsia="宋体" w:cs="宋体"/>
                <w:b w:val="0"/>
                <w:sz w:val="21"/>
                <w:szCs w:val="21"/>
                <w:lang w:val="en-US" w:eastAsia="zh-CN"/>
              </w:rPr>
              <w:t>检测灵敏度要求，3分：检测指标能全部覆盖以下指标</w:t>
            </w:r>
            <w:r>
              <w:rPr>
                <w:rFonts w:hint="eastAsia" w:ascii="宋体" w:hAnsi="宋体" w:cs="宋体"/>
                <w:b w:val="0"/>
                <w:sz w:val="21"/>
                <w:szCs w:val="21"/>
                <w:lang w:val="en-US" w:eastAsia="zh-CN"/>
              </w:rPr>
              <w:t>（ACTR3，PECAM1，CLTC，ACTR2，CAPZB，S100A4，EMILIN1，RAN，RAB14，PABPC1，TIMP3）</w:t>
            </w:r>
            <w:r>
              <w:rPr>
                <w:rFonts w:hint="eastAsia" w:ascii="宋体" w:hAnsi="宋体" w:eastAsia="宋体" w:cs="宋体"/>
                <w:b w:val="0"/>
                <w:sz w:val="21"/>
                <w:szCs w:val="21"/>
                <w:lang w:val="en-US" w:eastAsia="zh-CN"/>
              </w:rPr>
              <w:t>的得3分，只能覆盖8-</w:t>
            </w:r>
            <w:r>
              <w:rPr>
                <w:rFonts w:hint="eastAsia" w:ascii="宋体" w:hAnsi="宋体" w:cs="宋体"/>
                <w:b w:val="0"/>
                <w:sz w:val="21"/>
                <w:szCs w:val="21"/>
                <w:lang w:val="en-US" w:eastAsia="zh-CN"/>
              </w:rPr>
              <w:t>10</w:t>
            </w:r>
            <w:r>
              <w:rPr>
                <w:rFonts w:hint="eastAsia" w:ascii="宋体" w:hAnsi="宋体" w:eastAsia="宋体" w:cs="宋体"/>
                <w:b w:val="0"/>
                <w:sz w:val="21"/>
                <w:szCs w:val="21"/>
                <w:lang w:val="en-US" w:eastAsia="zh-CN"/>
              </w:rPr>
              <w:t>个指标的，得1分，低于8个指标的，不得分。</w:t>
            </w:r>
          </w:p>
          <w:p w14:paraId="52F60655">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w:t>
            </w:r>
            <w:r>
              <w:rPr>
                <w:rFonts w:hint="eastAsia" w:ascii="宋体" w:hAnsi="宋体" w:cs="宋体"/>
                <w:b w:val="0"/>
                <w:sz w:val="21"/>
                <w:szCs w:val="21"/>
                <w:lang w:val="en-US" w:eastAsia="zh-CN"/>
              </w:rPr>
              <w:t>11</w:t>
            </w:r>
            <w:r>
              <w:rPr>
                <w:rFonts w:hint="eastAsia" w:ascii="宋体" w:hAnsi="宋体" w:eastAsia="宋体" w:cs="宋体"/>
                <w:b w:val="0"/>
                <w:sz w:val="21"/>
                <w:szCs w:val="21"/>
              </w:rPr>
              <w:t>实测大队列应用经验，</w:t>
            </w:r>
            <w:r>
              <w:rPr>
                <w:rFonts w:hint="eastAsia" w:ascii="宋体" w:hAnsi="宋体" w:cs="宋体"/>
                <w:b w:val="0"/>
                <w:sz w:val="21"/>
                <w:szCs w:val="21"/>
                <w:lang w:val="en-US" w:eastAsia="zh-CN"/>
              </w:rPr>
              <w:t>3</w:t>
            </w:r>
            <w:r>
              <w:rPr>
                <w:rFonts w:hint="eastAsia" w:ascii="宋体" w:hAnsi="宋体" w:eastAsia="宋体" w:cs="宋体"/>
                <w:b w:val="0"/>
                <w:sz w:val="21"/>
                <w:szCs w:val="21"/>
              </w:rPr>
              <w:t>分：</w:t>
            </w:r>
            <w:r>
              <w:rPr>
                <w:rFonts w:hint="eastAsia" w:ascii="宋体" w:hAnsi="宋体" w:eastAsia="宋体" w:cs="宋体"/>
                <w:b w:val="0"/>
                <w:sz w:val="21"/>
                <w:szCs w:val="21"/>
                <w:lang w:val="en-US" w:eastAsia="zh-CN"/>
              </w:rPr>
              <w:t>投标人须以队列检测报告</w:t>
            </w:r>
            <w:r>
              <w:rPr>
                <w:rFonts w:hint="eastAsia" w:ascii="宋体" w:hAnsi="宋体" w:cs="宋体"/>
                <w:b w:val="0"/>
                <w:sz w:val="21"/>
                <w:szCs w:val="21"/>
                <w:lang w:val="en-US" w:eastAsia="zh-CN"/>
              </w:rPr>
              <w:t>和合同等证明材料，</w:t>
            </w:r>
            <w:r>
              <w:rPr>
                <w:rFonts w:hint="eastAsia" w:ascii="宋体" w:hAnsi="宋体" w:eastAsia="宋体" w:cs="宋体"/>
                <w:b w:val="0"/>
                <w:sz w:val="21"/>
                <w:szCs w:val="21"/>
              </w:rPr>
              <w:t>提供大队列血液蛋白组实测数据，大队列样本数量</w:t>
            </w:r>
            <w:r>
              <w:rPr>
                <w:rFonts w:hint="eastAsia" w:ascii="宋体" w:hAnsi="宋体" w:cs="宋体"/>
                <w:b w:val="0"/>
                <w:sz w:val="21"/>
                <w:szCs w:val="21"/>
                <w:lang w:val="en-US" w:eastAsia="zh-CN"/>
              </w:rPr>
              <w:t>＜1000</w:t>
            </w:r>
            <w:r>
              <w:rPr>
                <w:rFonts w:hint="eastAsia" w:ascii="宋体" w:hAnsi="宋体" w:eastAsia="宋体" w:cs="宋体"/>
                <w:b w:val="0"/>
                <w:sz w:val="21"/>
                <w:szCs w:val="21"/>
              </w:rPr>
              <w:t>例或未提供的得0分、</w:t>
            </w:r>
            <w:r>
              <w:rPr>
                <w:rFonts w:hint="eastAsia" w:ascii="宋体" w:hAnsi="宋体" w:cs="宋体"/>
                <w:b w:val="0"/>
                <w:sz w:val="21"/>
                <w:szCs w:val="21"/>
                <w:lang w:val="en-US" w:eastAsia="zh-CN"/>
              </w:rPr>
              <w:t>≥1000</w:t>
            </w:r>
            <w:r>
              <w:rPr>
                <w:rFonts w:hint="eastAsia" w:ascii="宋体" w:hAnsi="宋体" w:eastAsia="宋体" w:cs="宋体"/>
                <w:b w:val="0"/>
                <w:sz w:val="21"/>
                <w:szCs w:val="21"/>
              </w:rPr>
              <w:t>例且</w:t>
            </w:r>
            <w:r>
              <w:rPr>
                <w:rFonts w:hint="eastAsia" w:ascii="宋体" w:hAnsi="宋体" w:cs="宋体"/>
                <w:b w:val="0"/>
                <w:sz w:val="21"/>
                <w:szCs w:val="21"/>
                <w:lang w:val="en-US" w:eastAsia="zh-CN"/>
              </w:rPr>
              <w:t>＜3000</w:t>
            </w:r>
            <w:r>
              <w:rPr>
                <w:rFonts w:hint="eastAsia" w:ascii="宋体" w:hAnsi="宋体" w:eastAsia="宋体" w:cs="宋体"/>
                <w:b w:val="0"/>
                <w:sz w:val="21"/>
                <w:szCs w:val="21"/>
              </w:rPr>
              <w:t>例的得1分、</w:t>
            </w:r>
            <w:r>
              <w:rPr>
                <w:rFonts w:hint="eastAsia" w:ascii="宋体" w:hAnsi="宋体" w:cs="宋体"/>
                <w:b w:val="0"/>
                <w:sz w:val="21"/>
                <w:szCs w:val="21"/>
                <w:lang w:val="en-US" w:eastAsia="zh-CN"/>
              </w:rPr>
              <w:t>≥3000</w:t>
            </w:r>
            <w:r>
              <w:rPr>
                <w:rFonts w:hint="eastAsia" w:ascii="宋体" w:hAnsi="宋体" w:eastAsia="宋体" w:cs="宋体"/>
                <w:b w:val="0"/>
                <w:sz w:val="21"/>
                <w:szCs w:val="21"/>
              </w:rPr>
              <w:t>例的得2分；蛋白鉴定量≥5000个</w:t>
            </w:r>
            <w:r>
              <w:rPr>
                <w:rFonts w:hint="eastAsia" w:ascii="宋体" w:hAnsi="宋体" w:cs="宋体"/>
                <w:b w:val="0"/>
                <w:sz w:val="21"/>
                <w:szCs w:val="21"/>
                <w:lang w:val="en-US" w:eastAsia="zh-CN"/>
              </w:rPr>
              <w:t>且</w:t>
            </w:r>
            <w:r>
              <w:rPr>
                <w:rFonts w:hint="eastAsia" w:ascii="宋体" w:hAnsi="宋体" w:eastAsia="宋体" w:cs="宋体"/>
                <w:b w:val="0"/>
                <w:sz w:val="21"/>
                <w:szCs w:val="21"/>
              </w:rPr>
              <w:t>重复样本蛋白鉴定量CV≤</w:t>
            </w:r>
            <w:r>
              <w:rPr>
                <w:rFonts w:hint="eastAsia" w:ascii="宋体" w:hAnsi="宋体" w:cs="宋体"/>
                <w:b w:val="0"/>
                <w:sz w:val="21"/>
                <w:szCs w:val="21"/>
                <w:lang w:val="en-US" w:eastAsia="zh-CN"/>
              </w:rPr>
              <w:t>10</w:t>
            </w:r>
            <w:r>
              <w:rPr>
                <w:rFonts w:hint="eastAsia" w:ascii="宋体" w:hAnsi="宋体" w:eastAsia="宋体" w:cs="宋体"/>
                <w:b w:val="0"/>
                <w:sz w:val="21"/>
                <w:szCs w:val="21"/>
              </w:rPr>
              <w:t>%的得1分，＞</w:t>
            </w:r>
            <w:r>
              <w:rPr>
                <w:rFonts w:hint="eastAsia" w:ascii="宋体" w:hAnsi="宋体" w:cs="宋体"/>
                <w:b w:val="0"/>
                <w:sz w:val="21"/>
                <w:szCs w:val="21"/>
                <w:lang w:val="en-US" w:eastAsia="zh-CN"/>
              </w:rPr>
              <w:t>10</w:t>
            </w:r>
            <w:r>
              <w:rPr>
                <w:rFonts w:hint="eastAsia" w:ascii="宋体" w:hAnsi="宋体" w:eastAsia="宋体" w:cs="宋体"/>
                <w:b w:val="0"/>
                <w:sz w:val="21"/>
                <w:szCs w:val="21"/>
              </w:rPr>
              <w:t>%或未开展重复样本评价的得0分。</w:t>
            </w:r>
          </w:p>
          <w:p w14:paraId="60B544A5">
            <w:pPr>
              <w:numPr>
                <w:ilvl w:val="0"/>
                <w:numId w:val="6"/>
              </w:numPr>
              <w:spacing w:after="0" w:line="240" w:lineRule="auto"/>
              <w:ind w:left="425" w:hanging="425"/>
              <w:rPr>
                <w:rFonts w:hint="eastAsia" w:ascii="宋体" w:hAnsi="宋体" w:eastAsia="宋体" w:cs="宋体"/>
                <w:sz w:val="21"/>
                <w:szCs w:val="21"/>
              </w:rPr>
            </w:pPr>
            <w:r>
              <w:rPr>
                <w:rFonts w:hint="eastAsia" w:ascii="宋体" w:hAnsi="宋体" w:eastAsia="宋体" w:cs="宋体"/>
                <w:b w:val="0"/>
                <w:sz w:val="21"/>
                <w:szCs w:val="21"/>
              </w:rPr>
              <w:t>对应参数</w:t>
            </w:r>
            <w:r>
              <w:rPr>
                <w:rFonts w:hint="eastAsia" w:ascii="宋体" w:hAnsi="宋体" w:cs="宋体"/>
                <w:b w:val="0"/>
                <w:sz w:val="21"/>
                <w:szCs w:val="21"/>
                <w:lang w:val="en-US" w:eastAsia="zh-CN"/>
              </w:rPr>
              <w:t>12</w:t>
            </w:r>
            <w:r>
              <w:rPr>
                <w:rFonts w:hint="eastAsia" w:ascii="宋体" w:hAnsi="宋体" w:eastAsia="宋体" w:cs="宋体"/>
                <w:b w:val="0"/>
                <w:sz w:val="21"/>
                <w:szCs w:val="21"/>
              </w:rPr>
              <w:t>灵活度，</w:t>
            </w:r>
            <w:r>
              <w:rPr>
                <w:rFonts w:hint="eastAsia" w:ascii="宋体" w:hAnsi="宋体" w:cs="宋体"/>
                <w:b w:val="0"/>
                <w:sz w:val="21"/>
                <w:szCs w:val="21"/>
                <w:lang w:val="en-US" w:eastAsia="zh-CN"/>
              </w:rPr>
              <w:t>5</w:t>
            </w:r>
            <w:r>
              <w:rPr>
                <w:rFonts w:hint="eastAsia" w:ascii="宋体" w:hAnsi="宋体" w:eastAsia="宋体" w:cs="宋体"/>
                <w:b w:val="0"/>
                <w:sz w:val="21"/>
                <w:szCs w:val="21"/>
              </w:rPr>
              <w:t>分：可支持客户自定义靶向Panel富集试剂</w:t>
            </w:r>
            <w:r>
              <w:rPr>
                <w:rFonts w:hint="eastAsia" w:ascii="宋体" w:hAnsi="宋体" w:cs="宋体"/>
                <w:b w:val="0"/>
                <w:sz w:val="21"/>
                <w:szCs w:val="21"/>
                <w:lang w:val="en-US" w:eastAsia="zh-CN"/>
              </w:rPr>
              <w:t>盒</w:t>
            </w:r>
            <w:r>
              <w:rPr>
                <w:rFonts w:hint="eastAsia" w:ascii="宋体" w:hAnsi="宋体" w:eastAsia="宋体" w:cs="宋体"/>
                <w:b w:val="0"/>
                <w:sz w:val="21"/>
                <w:szCs w:val="21"/>
              </w:rPr>
              <w:t>开发的得</w:t>
            </w:r>
            <w:r>
              <w:rPr>
                <w:rFonts w:hint="eastAsia" w:ascii="宋体" w:hAnsi="宋体" w:cs="宋体"/>
                <w:b w:val="0"/>
                <w:sz w:val="21"/>
                <w:szCs w:val="21"/>
                <w:lang w:val="en-US" w:eastAsia="zh-CN"/>
              </w:rPr>
              <w:t>2</w:t>
            </w:r>
            <w:r>
              <w:rPr>
                <w:rFonts w:hint="eastAsia" w:ascii="宋体" w:hAnsi="宋体" w:eastAsia="宋体" w:cs="宋体"/>
                <w:b w:val="0"/>
                <w:sz w:val="21"/>
                <w:szCs w:val="21"/>
              </w:rPr>
              <w:t>分；</w:t>
            </w:r>
            <w:r>
              <w:rPr>
                <w:rFonts w:hint="eastAsia" w:ascii="宋体" w:hAnsi="宋体" w:cs="宋体"/>
                <w:b w:val="0"/>
                <w:sz w:val="21"/>
                <w:szCs w:val="21"/>
                <w:lang w:val="en-US" w:eastAsia="zh-CN"/>
              </w:rPr>
              <w:t>有相关靶向Panel富集试剂盒开发成功案例的得3分</w:t>
            </w:r>
            <w:r>
              <w:rPr>
                <w:rFonts w:hint="eastAsia" w:ascii="宋体" w:hAnsi="宋体" w:eastAsia="宋体" w:cs="宋体"/>
                <w:b w:val="0"/>
                <w:sz w:val="21"/>
                <w:szCs w:val="21"/>
              </w:rPr>
              <w:t>；否则得0分。</w:t>
            </w:r>
          </w:p>
          <w:p w14:paraId="29801A54">
            <w:pPr>
              <w:numPr>
                <w:ilvl w:val="0"/>
                <w:numId w:val="6"/>
              </w:numPr>
              <w:spacing w:after="0" w:line="240" w:lineRule="auto"/>
              <w:ind w:left="425" w:hanging="425"/>
              <w:rPr>
                <w:rFonts w:hint="eastAsia" w:ascii="宋体" w:hAnsi="宋体" w:eastAsia="宋体" w:cs="宋体"/>
                <w:b w:val="0"/>
                <w:sz w:val="21"/>
                <w:szCs w:val="21"/>
              </w:rPr>
            </w:pPr>
            <w:r>
              <w:rPr>
                <w:rFonts w:hint="eastAsia" w:ascii="宋体" w:hAnsi="宋体" w:eastAsia="宋体" w:cs="宋体"/>
                <w:b w:val="0"/>
                <w:sz w:val="21"/>
                <w:szCs w:val="21"/>
              </w:rPr>
              <w:t>对应参数</w:t>
            </w:r>
            <w:r>
              <w:rPr>
                <w:rFonts w:hint="eastAsia" w:ascii="宋体" w:hAnsi="宋体" w:cs="宋体"/>
                <w:b w:val="0"/>
                <w:sz w:val="21"/>
                <w:szCs w:val="21"/>
                <w:lang w:val="en-US" w:eastAsia="zh-CN"/>
              </w:rPr>
              <w:t>13</w:t>
            </w:r>
            <w:r>
              <w:rPr>
                <w:rFonts w:hint="eastAsia" w:ascii="宋体" w:hAnsi="宋体" w:eastAsia="宋体" w:cs="宋体"/>
                <w:b w:val="0"/>
                <w:sz w:val="21"/>
                <w:szCs w:val="21"/>
              </w:rPr>
              <w:t>试剂状态，</w:t>
            </w:r>
            <w:r>
              <w:rPr>
                <w:rFonts w:hint="eastAsia" w:ascii="宋体" w:hAnsi="宋体" w:cs="宋体"/>
                <w:b w:val="0"/>
                <w:sz w:val="21"/>
                <w:szCs w:val="21"/>
                <w:lang w:val="en-US" w:eastAsia="zh-CN"/>
              </w:rPr>
              <w:t>1</w:t>
            </w:r>
            <w:r>
              <w:rPr>
                <w:rFonts w:hint="eastAsia" w:ascii="宋体" w:hAnsi="宋体" w:eastAsia="宋体" w:cs="宋体"/>
                <w:b w:val="0"/>
                <w:sz w:val="21"/>
                <w:szCs w:val="21"/>
              </w:rPr>
              <w:t>分：试剂可在4℃条件下储存</w:t>
            </w:r>
            <w:r>
              <w:rPr>
                <w:rFonts w:hint="eastAsia" w:ascii="宋体" w:hAnsi="宋体" w:cs="宋体"/>
                <w:b w:val="0"/>
                <w:sz w:val="21"/>
                <w:szCs w:val="21"/>
                <w:lang w:val="en-US" w:eastAsia="zh-CN"/>
              </w:rPr>
              <w:t>和</w:t>
            </w:r>
            <w:r>
              <w:rPr>
                <w:rFonts w:hint="eastAsia" w:ascii="宋体" w:hAnsi="宋体" w:eastAsia="宋体" w:cs="宋体"/>
                <w:b w:val="0"/>
                <w:sz w:val="21"/>
                <w:szCs w:val="21"/>
              </w:rPr>
              <w:t>运输的得1分；否则得0分。</w:t>
            </w:r>
          </w:p>
          <w:p w14:paraId="2721D3E4">
            <w:pPr>
              <w:numPr>
                <w:ilvl w:val="0"/>
                <w:numId w:val="6"/>
              </w:numPr>
              <w:spacing w:after="0" w:line="240" w:lineRule="auto"/>
              <w:ind w:left="425" w:hanging="425"/>
              <w:rPr>
                <w:rFonts w:hint="default" w:ascii="宋体" w:hAnsi="宋体" w:eastAsia="宋体" w:cs="宋体"/>
                <w:b w:val="0"/>
                <w:sz w:val="21"/>
                <w:szCs w:val="21"/>
                <w:lang w:val="en-US" w:eastAsia="zh-CN"/>
              </w:rPr>
            </w:pPr>
            <w:r>
              <w:rPr>
                <w:rFonts w:hint="eastAsia" w:ascii="宋体" w:hAnsi="宋体" w:cs="宋体"/>
                <w:b w:val="0"/>
                <w:sz w:val="21"/>
                <w:szCs w:val="21"/>
                <w:lang w:eastAsia="zh-CN"/>
              </w:rPr>
              <w:t>对应参数</w:t>
            </w:r>
            <w:r>
              <w:rPr>
                <w:rFonts w:hint="eastAsia" w:ascii="宋体" w:hAnsi="宋体" w:cs="宋体"/>
                <w:b w:val="0"/>
                <w:sz w:val="21"/>
                <w:szCs w:val="21"/>
                <w:lang w:val="en-US" w:eastAsia="zh-CN"/>
              </w:rPr>
              <w:t>14供应商服务能力</w:t>
            </w:r>
            <w:r>
              <w:rPr>
                <w:rFonts w:hint="eastAsia" w:ascii="宋体" w:hAnsi="宋体" w:eastAsia="宋体" w:cs="宋体"/>
                <w:b w:val="0"/>
                <w:sz w:val="21"/>
                <w:szCs w:val="21"/>
              </w:rPr>
              <w:t>，</w:t>
            </w:r>
            <w:r>
              <w:rPr>
                <w:rFonts w:hint="eastAsia" w:ascii="宋体" w:hAnsi="宋体" w:cs="宋体"/>
                <w:b w:val="0"/>
                <w:sz w:val="21"/>
                <w:szCs w:val="21"/>
                <w:lang w:val="en-US" w:eastAsia="zh-CN"/>
              </w:rPr>
              <w:t>3</w:t>
            </w:r>
            <w:r>
              <w:rPr>
                <w:rFonts w:hint="eastAsia" w:ascii="宋体" w:hAnsi="宋体" w:eastAsia="宋体" w:cs="宋体"/>
                <w:b w:val="0"/>
                <w:sz w:val="21"/>
                <w:szCs w:val="21"/>
              </w:rPr>
              <w:t>分：</w:t>
            </w:r>
            <w:r>
              <w:rPr>
                <w:rFonts w:hint="eastAsia" w:ascii="宋体" w:hAnsi="宋体" w:cs="宋体"/>
                <w:b w:val="0"/>
                <w:sz w:val="21"/>
                <w:szCs w:val="21"/>
                <w:lang w:val="en-US" w:eastAsia="zh-CN"/>
              </w:rPr>
              <w:t>能够提供试剂盒原厂工作站的得3分，其他主流自动化工作站的得1分，否则不得分。</w:t>
            </w:r>
          </w:p>
          <w:p w14:paraId="3C69D246">
            <w:pPr>
              <w:spacing w:after="0" w:line="240" w:lineRule="auto"/>
              <w:rPr>
                <w:rFonts w:hint="eastAsia" w:ascii="宋体" w:hAnsi="宋体" w:eastAsia="宋体" w:cs="宋体"/>
                <w:b/>
                <w:bCs/>
                <w:sz w:val="21"/>
                <w:szCs w:val="21"/>
              </w:rPr>
            </w:pPr>
            <w:r>
              <w:rPr>
                <w:rFonts w:hint="eastAsia" w:ascii="宋体" w:hAnsi="宋体" w:eastAsia="宋体" w:cs="宋体"/>
                <w:b/>
                <w:bCs/>
                <w:sz w:val="21"/>
                <w:szCs w:val="21"/>
              </w:rPr>
              <w:t>上述各子项均须提供与所投产品品牌、型号完全一致的支撑材料，未提供或所附材料经评标委员会认定不能佐证技术指标有效性的，该子项得0分并计为负偏离。</w:t>
            </w:r>
          </w:p>
          <w:p w14:paraId="4A63BB9A">
            <w:pPr>
              <w:spacing w:after="0" w:line="240" w:lineRule="auto"/>
              <w:rPr>
                <w:rFonts w:hint="eastAsia" w:ascii="宋体" w:hAnsi="宋体" w:eastAsia="宋体" w:cs="宋体"/>
                <w:sz w:val="21"/>
                <w:szCs w:val="21"/>
                <w:lang w:eastAsia="zh-CN"/>
              </w:rPr>
            </w:pPr>
            <w:r>
              <w:rPr>
                <w:rFonts w:hint="eastAsia" w:ascii="宋体" w:hAnsi="宋体" w:eastAsia="宋体" w:cs="宋体"/>
                <w:b/>
                <w:bCs/>
                <w:sz w:val="21"/>
                <w:szCs w:val="21"/>
                <w:highlight w:val="none"/>
              </w:rPr>
              <w:t>（评标委员会根据投标文件格式【技术条款偏离表】进行评审，请供应商根据第四章采购需求中【二、技术指标及要求】的条款响应，如实填列所投产品的技术指标响应内容。“★”的内容为实质性要求，有一项不符合的，作无效投标处理。对“★”</w:t>
            </w:r>
            <w:r>
              <w:rPr>
                <w:rFonts w:hint="eastAsia" w:ascii="宋体" w:hAnsi="宋体" w:eastAsia="宋体" w:cs="宋体"/>
                <w:b/>
                <w:bCs/>
                <w:sz w:val="21"/>
                <w:szCs w:val="21"/>
                <w:highlight w:val="none"/>
                <w:lang w:val="en-US" w:eastAsia="zh-CN"/>
              </w:rPr>
              <w:t>及“其他”</w:t>
            </w:r>
            <w:r>
              <w:rPr>
                <w:rFonts w:hint="eastAsia" w:ascii="宋体" w:hAnsi="宋体" w:eastAsia="宋体" w:cs="宋体"/>
                <w:b/>
                <w:bCs/>
                <w:sz w:val="21"/>
                <w:szCs w:val="21"/>
                <w:highlight w:val="none"/>
              </w:rPr>
              <w:t>技术参数</w:t>
            </w:r>
            <w:r>
              <w:rPr>
                <w:rFonts w:hint="eastAsia" w:ascii="宋体" w:hAnsi="宋体" w:eastAsia="宋体" w:cs="宋体"/>
                <w:b/>
                <w:bCs/>
                <w:sz w:val="21"/>
                <w:szCs w:val="21"/>
                <w:highlight w:val="none"/>
                <w:lang w:val="en-US" w:eastAsia="zh-CN"/>
              </w:rPr>
              <w:t>需要</w:t>
            </w:r>
            <w:r>
              <w:rPr>
                <w:rFonts w:hint="eastAsia" w:ascii="宋体" w:hAnsi="宋体" w:eastAsia="宋体" w:cs="宋体"/>
                <w:b/>
                <w:bCs/>
                <w:sz w:val="21"/>
                <w:szCs w:val="21"/>
                <w:highlight w:val="none"/>
              </w:rPr>
              <w:t>提供支撑资料（提供与所投产品品牌、型号完全一致的以下材料之一或组合：①公开发行的产品技术说明书（datasheet）或公开发行的产品彩页；②官网公开资料（含链接）；③第三方检测机构出具的检测报告或技术白皮书，复印件加盖公章。证明材料载明型号与投标型号不一致的，视为负偏离；如未附有效支撑材料或者所附的支撑材料由评标委员会认为不能佐证技术指标的有效性的，则视为负偏离。如文件中要求提供证明材料，建议采用箭头、标红、下划线或页码等进行明显标注，方便评委查看。在签订合同前，采购人有权要求供应商到用户现场验证，功能、性能需与技术要求一致，否则视为虚假应标，采购人有权追究其相应法律责任。</w:t>
            </w:r>
            <w:r>
              <w:rPr>
                <w:rFonts w:hint="eastAsia" w:ascii="宋体" w:hAnsi="宋体" w:eastAsia="宋体" w:cs="宋体"/>
                <w:b/>
                <w:bCs/>
                <w:sz w:val="21"/>
                <w:szCs w:val="21"/>
                <w:highlight w:val="none"/>
                <w:lang w:eastAsia="zh-CN"/>
              </w:rPr>
              <w:t>）</w:t>
            </w:r>
          </w:p>
        </w:tc>
        <w:tc>
          <w:tcPr>
            <w:tcW w:w="663" w:type="dxa"/>
            <w:vAlign w:val="center"/>
          </w:tcPr>
          <w:p w14:paraId="7191C6D4">
            <w:pPr>
              <w:spacing w:after="0" w:line="24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rPr>
              <w:t>4</w:t>
            </w:r>
            <w:r>
              <w:rPr>
                <w:rFonts w:hint="eastAsia" w:ascii="宋体" w:hAnsi="宋体" w:cs="宋体"/>
                <w:b w:val="0"/>
                <w:sz w:val="21"/>
                <w:szCs w:val="21"/>
                <w:lang w:val="en-US" w:eastAsia="zh-CN"/>
              </w:rPr>
              <w:t>7</w:t>
            </w:r>
          </w:p>
        </w:tc>
      </w:tr>
      <w:tr w14:paraId="5EEE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7D91EC7E">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3</w:t>
            </w:r>
          </w:p>
        </w:tc>
        <w:tc>
          <w:tcPr>
            <w:tcW w:w="1007" w:type="dxa"/>
            <w:vAlign w:val="center"/>
          </w:tcPr>
          <w:p w14:paraId="5EB9D9D5">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业绩</w:t>
            </w:r>
          </w:p>
        </w:tc>
        <w:tc>
          <w:tcPr>
            <w:tcW w:w="5944" w:type="dxa"/>
          </w:tcPr>
          <w:p w14:paraId="309C5934">
            <w:pPr>
              <w:spacing w:after="0" w:line="240" w:lineRule="auto"/>
              <w:rPr>
                <w:rFonts w:hint="eastAsia" w:ascii="宋体" w:hAnsi="宋体" w:eastAsia="宋体" w:cs="宋体"/>
                <w:b w:val="0"/>
                <w:sz w:val="21"/>
                <w:szCs w:val="21"/>
              </w:rPr>
            </w:pPr>
            <w:r>
              <w:rPr>
                <w:rFonts w:hint="eastAsia" w:ascii="宋体" w:hAnsi="宋体" w:eastAsia="宋体" w:cs="宋体"/>
                <w:b w:val="0"/>
                <w:sz w:val="21"/>
                <w:szCs w:val="21"/>
              </w:rPr>
              <w:t>根据所投同类产品（202</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rPr>
              <w:t>年1月1日至今）在国内的销售业绩，提供客户相关试剂合同，每提供1个业绩得</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分，本项最多得</w:t>
            </w:r>
            <w:r>
              <w:rPr>
                <w:rFonts w:hint="eastAsia" w:ascii="宋体" w:hAnsi="宋体" w:cs="宋体"/>
                <w:b w:val="0"/>
                <w:sz w:val="21"/>
                <w:szCs w:val="21"/>
                <w:lang w:val="en-US" w:eastAsia="zh-CN"/>
              </w:rPr>
              <w:t>3</w:t>
            </w:r>
            <w:r>
              <w:rPr>
                <w:rFonts w:hint="eastAsia" w:ascii="宋体" w:hAnsi="宋体" w:eastAsia="宋体" w:cs="宋体"/>
                <w:b w:val="0"/>
                <w:sz w:val="21"/>
                <w:szCs w:val="21"/>
              </w:rPr>
              <w:t>分。</w:t>
            </w:r>
          </w:p>
          <w:p w14:paraId="0BD933D8">
            <w:pPr>
              <w:spacing w:after="0" w:line="240" w:lineRule="auto"/>
              <w:rPr>
                <w:rFonts w:hint="eastAsia" w:ascii="宋体" w:hAnsi="宋体" w:eastAsia="宋体" w:cs="宋体"/>
                <w:sz w:val="21"/>
                <w:szCs w:val="21"/>
              </w:rPr>
            </w:pPr>
            <w:r>
              <w:rPr>
                <w:rFonts w:hint="eastAsia" w:ascii="宋体" w:hAnsi="宋体" w:eastAsia="宋体" w:cs="宋体"/>
                <w:b/>
                <w:bCs/>
                <w:sz w:val="21"/>
                <w:szCs w:val="21"/>
              </w:rPr>
              <w:t>（须提供合同复印件</w:t>
            </w:r>
            <w:r>
              <w:rPr>
                <w:rFonts w:hint="eastAsia" w:ascii="宋体" w:hAnsi="宋体" w:cs="宋体"/>
                <w:b/>
                <w:bCs/>
                <w:sz w:val="21"/>
                <w:szCs w:val="21"/>
                <w:lang w:val="en-US" w:eastAsia="zh-CN"/>
              </w:rPr>
              <w:t>或</w:t>
            </w:r>
            <w:r>
              <w:rPr>
                <w:rFonts w:hint="eastAsia" w:ascii="宋体" w:hAnsi="宋体" w:eastAsia="宋体" w:cs="宋体"/>
                <w:b/>
                <w:bCs/>
                <w:sz w:val="21"/>
                <w:szCs w:val="21"/>
              </w:rPr>
              <w:t>发票，以及采购单位联系人、联系电话备查；评标委员会及采购人可对业绩真实性进行核实，核实不符的按虚假应标处理并报告财政部门。）</w:t>
            </w:r>
          </w:p>
        </w:tc>
        <w:tc>
          <w:tcPr>
            <w:tcW w:w="663" w:type="dxa"/>
            <w:vAlign w:val="center"/>
          </w:tcPr>
          <w:p w14:paraId="74F4C75D">
            <w:pPr>
              <w:spacing w:after="0" w:line="240" w:lineRule="auto"/>
              <w:jc w:val="center"/>
              <w:rPr>
                <w:rFonts w:hint="eastAsia" w:ascii="宋体" w:hAnsi="宋体" w:eastAsia="宋体" w:cs="宋体"/>
                <w:sz w:val="21"/>
                <w:szCs w:val="21"/>
                <w:lang w:eastAsia="zh-CN"/>
              </w:rPr>
            </w:pPr>
            <w:r>
              <w:rPr>
                <w:rFonts w:hint="eastAsia" w:ascii="宋体" w:hAnsi="宋体" w:cs="宋体"/>
                <w:b w:val="0"/>
                <w:sz w:val="21"/>
                <w:szCs w:val="21"/>
                <w:lang w:val="en-US" w:eastAsia="zh-CN"/>
              </w:rPr>
              <w:t>3</w:t>
            </w:r>
          </w:p>
        </w:tc>
      </w:tr>
      <w:tr w14:paraId="5513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444A5174">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4</w:t>
            </w:r>
          </w:p>
        </w:tc>
        <w:tc>
          <w:tcPr>
            <w:tcW w:w="1007" w:type="dxa"/>
            <w:vAlign w:val="center"/>
          </w:tcPr>
          <w:p w14:paraId="24450D89">
            <w:pPr>
              <w:spacing w:after="0" w:line="240" w:lineRule="auto"/>
              <w:jc w:val="center"/>
              <w:rPr>
                <w:rFonts w:hint="eastAsia" w:ascii="宋体" w:hAnsi="宋体" w:eastAsia="宋体" w:cs="宋体"/>
                <w:sz w:val="21"/>
                <w:szCs w:val="21"/>
                <w:highlight w:val="yellow"/>
              </w:rPr>
            </w:pPr>
            <w:r>
              <w:rPr>
                <w:rFonts w:hint="eastAsia" w:ascii="宋体" w:hAnsi="宋体" w:eastAsia="宋体" w:cs="宋体"/>
                <w:b w:val="0"/>
                <w:sz w:val="21"/>
                <w:szCs w:val="21"/>
                <w:highlight w:val="none"/>
              </w:rPr>
              <w:t>实施方案</w:t>
            </w:r>
          </w:p>
        </w:tc>
        <w:tc>
          <w:tcPr>
            <w:tcW w:w="5944" w:type="dxa"/>
          </w:tcPr>
          <w:p w14:paraId="6E3C905B">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投标人应根据招标文件要求提供项目实施方案，方案包含以下内容：</w:t>
            </w:r>
          </w:p>
          <w:p w14:paraId="061E9BC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① 供货进度安排：需明确从合同签订到完成全部供货的各阶段时间节点，并提供具体的时间表或甘特图；</w:t>
            </w:r>
          </w:p>
          <w:p w14:paraId="7736B23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② 配送组织架构：需明确配送团队的人员配置、岗位职责、车辆及设备投入情况，并提供组织架构图；</w:t>
            </w:r>
          </w:p>
          <w:p w14:paraId="07710509">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③ 进度控制措施：需包含进度跟踪方式、报告周期、异常情况处理流程；</w:t>
            </w:r>
          </w:p>
          <w:p w14:paraId="0671D542">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④ 风险控制管理：需列出可能影响供货的风险类型，并针对每种风险提供应对预案；</w:t>
            </w:r>
          </w:p>
          <w:p w14:paraId="3C0E05B9">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⑤ 质量保障措施：需明确质量标准、检验方法、不合格品处理机制。</w:t>
            </w:r>
          </w:p>
          <w:p w14:paraId="03E1CD35">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评分规则：</w:t>
            </w:r>
          </w:p>
          <w:p w14:paraId="729B3C2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上述五项内容均完整提供，且每项内容均具体、可操作，得5分；</w:t>
            </w:r>
          </w:p>
          <w:p w14:paraId="3BEA89E6">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缺少上述任一项内容，或某项内容过于笼统，得3分；</w:t>
            </w:r>
          </w:p>
          <w:p w14:paraId="06A20A17">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缺少上述任两项及以上内容，或所有内容均严重缺失、明显不合理，得1分；</w:t>
            </w:r>
          </w:p>
          <w:p w14:paraId="491A31F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未提供实施方案，得 0分。</w:t>
            </w:r>
          </w:p>
        </w:tc>
        <w:tc>
          <w:tcPr>
            <w:tcW w:w="663" w:type="dxa"/>
            <w:vAlign w:val="center"/>
          </w:tcPr>
          <w:p w14:paraId="78519D67">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5</w:t>
            </w:r>
          </w:p>
        </w:tc>
      </w:tr>
      <w:tr w14:paraId="5120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4D74E427">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5</w:t>
            </w:r>
          </w:p>
        </w:tc>
        <w:tc>
          <w:tcPr>
            <w:tcW w:w="1007" w:type="dxa"/>
            <w:vAlign w:val="center"/>
          </w:tcPr>
          <w:p w14:paraId="6AA0D098">
            <w:pPr>
              <w:spacing w:after="0" w:line="240" w:lineRule="auto"/>
              <w:jc w:val="center"/>
              <w:rPr>
                <w:rFonts w:hint="eastAsia" w:ascii="宋体" w:hAnsi="宋体" w:eastAsia="宋体" w:cs="宋体"/>
                <w:sz w:val="21"/>
                <w:szCs w:val="21"/>
                <w:highlight w:val="yellow"/>
              </w:rPr>
            </w:pPr>
            <w:r>
              <w:rPr>
                <w:rFonts w:hint="eastAsia" w:ascii="宋体" w:hAnsi="宋体" w:eastAsia="宋体" w:cs="宋体"/>
                <w:b w:val="0"/>
                <w:sz w:val="21"/>
                <w:szCs w:val="21"/>
                <w:highlight w:val="none"/>
              </w:rPr>
              <w:t>验收配合方案</w:t>
            </w:r>
          </w:p>
        </w:tc>
        <w:tc>
          <w:tcPr>
            <w:tcW w:w="5944" w:type="dxa"/>
          </w:tcPr>
          <w:p w14:paraId="029478CF">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供应商应根据招标文件要求提供项目验收配合方案，方案包含以下内容：</w:t>
            </w:r>
          </w:p>
          <w:p w14:paraId="40324BE1">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①验收配合流程：明确设备安装完成后，供应商配合采购人从提请验收至完成最终验收签字的全部工作步骤，可附流程图或步骤说明；</w:t>
            </w:r>
          </w:p>
          <w:p w14:paraId="30DE1625">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②验收指标配合响应：针对本项目各项技术指标，列明供应商配合采购人开展核验、测试的工作方式，可配套提供供应商准备的检查核对样表；</w:t>
            </w:r>
          </w:p>
          <w:p w14:paraId="6A4F33FF">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③验收资料提交清单：列明验收环节供应商需向采购人提交的全部资料名称，明确资料的来源、编制及提供责任；</w:t>
            </w:r>
          </w:p>
          <w:p w14:paraId="62ED4A4C">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④供应商验收配合人员安排：明确本项目负责验收配合工作人员的姓名、职务、相关项目经验，提供人员配置表；</w:t>
            </w:r>
          </w:p>
          <w:p w14:paraId="288B304B">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⑤设备安装过程记录管理：说明安装过程中供应商需要留存的记录内容、记录方式、资料保存期限，以及向采购人提交验收资料前的整理归档要求。</w:t>
            </w:r>
          </w:p>
          <w:p w14:paraId="20E07E12">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评分规则：</w:t>
            </w:r>
          </w:p>
          <w:p w14:paraId="5791172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上述五项内容均完整提供，且每项内容具体、可操作，得5分；</w:t>
            </w:r>
          </w:p>
          <w:p w14:paraId="11869957">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缺少上述任一项内容，或某项内容过于笼统，得3分；</w:t>
            </w:r>
          </w:p>
          <w:p w14:paraId="4AD74CFB">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缺少上述任两项及以上内容，或所有内容均明显不合理，得1分；</w:t>
            </w:r>
          </w:p>
          <w:p w14:paraId="38263591">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未提供验收方案，得0分。</w:t>
            </w:r>
          </w:p>
        </w:tc>
        <w:tc>
          <w:tcPr>
            <w:tcW w:w="663" w:type="dxa"/>
            <w:vAlign w:val="center"/>
          </w:tcPr>
          <w:p w14:paraId="253D043E">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5</w:t>
            </w:r>
          </w:p>
        </w:tc>
      </w:tr>
      <w:tr w14:paraId="5D04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06BC6167">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6</w:t>
            </w:r>
          </w:p>
        </w:tc>
        <w:tc>
          <w:tcPr>
            <w:tcW w:w="1007" w:type="dxa"/>
            <w:vAlign w:val="center"/>
          </w:tcPr>
          <w:p w14:paraId="0DB1D338">
            <w:pPr>
              <w:spacing w:after="0" w:line="240" w:lineRule="auto"/>
              <w:jc w:val="center"/>
              <w:rPr>
                <w:rFonts w:hint="eastAsia" w:ascii="宋体" w:hAnsi="宋体" w:eastAsia="宋体" w:cs="宋体"/>
                <w:sz w:val="21"/>
                <w:szCs w:val="21"/>
                <w:highlight w:val="yellow"/>
              </w:rPr>
            </w:pPr>
            <w:r>
              <w:rPr>
                <w:rFonts w:hint="eastAsia" w:ascii="宋体" w:hAnsi="宋体" w:eastAsia="宋体" w:cs="宋体"/>
                <w:b w:val="0"/>
                <w:sz w:val="21"/>
                <w:szCs w:val="21"/>
                <w:highlight w:val="none"/>
              </w:rPr>
              <w:t>服务</w:t>
            </w:r>
            <w:r>
              <w:rPr>
                <w:rFonts w:hint="eastAsia" w:ascii="宋体" w:hAnsi="宋体" w:eastAsia="宋体" w:cs="宋体"/>
                <w:b w:val="0"/>
                <w:sz w:val="21"/>
                <w:szCs w:val="21"/>
                <w:highlight w:val="none"/>
                <w:lang w:val="en-US" w:eastAsia="zh-CN"/>
              </w:rPr>
              <w:t>和</w:t>
            </w:r>
            <w:r>
              <w:rPr>
                <w:rFonts w:hint="eastAsia" w:ascii="宋体" w:hAnsi="宋体" w:eastAsia="宋体" w:cs="宋体"/>
                <w:b w:val="0"/>
                <w:sz w:val="21"/>
                <w:szCs w:val="21"/>
                <w:highlight w:val="none"/>
              </w:rPr>
              <w:t>售后方案</w:t>
            </w:r>
          </w:p>
        </w:tc>
        <w:tc>
          <w:tcPr>
            <w:tcW w:w="5944" w:type="dxa"/>
          </w:tcPr>
          <w:p w14:paraId="794398A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供应商应根据招标文件要求提供售后服务承诺方案，方案包含以下内容：</w:t>
            </w:r>
          </w:p>
          <w:p w14:paraId="7D162CEF">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①售后服务响应时间：需明确售后服务的联系方式、响应时限、到达现场时间、解决问题的时间承诺；</w:t>
            </w:r>
          </w:p>
          <w:p w14:paraId="1A24CF1A">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②售后服务人员配置：需明确售后服务团队的人员数量、资质、分工及联系方式；</w:t>
            </w:r>
          </w:p>
          <w:p w14:paraId="62F2863F">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③质保期内服务内容：需明确质保期内免费提供的服务项目；</w:t>
            </w:r>
          </w:p>
          <w:p w14:paraId="0E71963F">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④质保期后服务方案：需明确质保期满后的服务提供方式；</w:t>
            </w:r>
          </w:p>
          <w:p w14:paraId="4F974CC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⑤备品备件清单：需列出常用备品、配件、耗材的名称、品牌、规格型号、单价，并提供价格清单；</w:t>
            </w:r>
          </w:p>
          <w:p w14:paraId="62F341AC">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⑥维修服务明细：需明确维修项目的收费标准或折扣率；</w:t>
            </w:r>
          </w:p>
          <w:p w14:paraId="534FFF34">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⑦技术指导方案：需说明对采购方人员的培训计划以及日常技术支持的渠道。</w:t>
            </w:r>
          </w:p>
          <w:p w14:paraId="05BF31D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评分规则：</w:t>
            </w:r>
          </w:p>
          <w:p w14:paraId="5365416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上述七项内容均完整提供，且每项内容具体、可量化，得5分；</w:t>
            </w:r>
          </w:p>
          <w:p w14:paraId="3931E20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缺少上述任意一项内容，或某项内容过于笼统，得3分；</w:t>
            </w:r>
          </w:p>
          <w:p w14:paraId="15445E2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缺少上述任意两项及以上内容，或所有内容均明显不完整、不具可操作性，得1分；</w:t>
            </w:r>
          </w:p>
          <w:p w14:paraId="789625E5">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未提供售后服务承诺方案，得0分。</w:t>
            </w:r>
          </w:p>
        </w:tc>
        <w:tc>
          <w:tcPr>
            <w:tcW w:w="663" w:type="dxa"/>
            <w:vAlign w:val="center"/>
          </w:tcPr>
          <w:p w14:paraId="316DFC10">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5</w:t>
            </w:r>
          </w:p>
        </w:tc>
      </w:tr>
      <w:tr w14:paraId="13DB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E931F45">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7</w:t>
            </w:r>
          </w:p>
        </w:tc>
        <w:tc>
          <w:tcPr>
            <w:tcW w:w="1007" w:type="dxa"/>
            <w:vAlign w:val="center"/>
          </w:tcPr>
          <w:p w14:paraId="2B9955CC">
            <w:pPr>
              <w:spacing w:after="0" w:line="240" w:lineRule="auto"/>
              <w:jc w:val="center"/>
              <w:rPr>
                <w:rFonts w:hint="eastAsia" w:ascii="宋体" w:hAnsi="宋体" w:eastAsia="宋体" w:cs="宋体"/>
                <w:sz w:val="21"/>
                <w:szCs w:val="21"/>
                <w:highlight w:val="yellow"/>
              </w:rPr>
            </w:pPr>
            <w:r>
              <w:rPr>
                <w:rFonts w:hint="eastAsia" w:ascii="宋体" w:hAnsi="宋体" w:eastAsia="宋体" w:cs="宋体"/>
                <w:b w:val="0"/>
                <w:sz w:val="21"/>
                <w:szCs w:val="21"/>
                <w:highlight w:val="none"/>
              </w:rPr>
              <w:t>培训方案</w:t>
            </w:r>
          </w:p>
        </w:tc>
        <w:tc>
          <w:tcPr>
            <w:tcW w:w="5944" w:type="dxa"/>
          </w:tcPr>
          <w:p w14:paraId="037EB7D1">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供应商应根据招标文件要求提供培训方案，方案包含以下内容：</w:t>
            </w:r>
          </w:p>
          <w:p w14:paraId="56886A9A">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①培训对象：需明确接受培训的人员类别及预计人数；</w:t>
            </w:r>
          </w:p>
          <w:p w14:paraId="6EDC86C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②培训内容：需列出具体培训课程或模块，并说明每项内容的教学目标；</w:t>
            </w:r>
          </w:p>
          <w:p w14:paraId="6AF2E0C0">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③培训时间与课时：需明确培训总时长，以及各培训模块的课时分配；</w:t>
            </w:r>
          </w:p>
          <w:p w14:paraId="7FC356C8">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④培训方式：需说明培训形式，并提供相应安排；</w:t>
            </w:r>
          </w:p>
          <w:p w14:paraId="209068E3">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⑤培训材料：需列出将提供的培训资料，并注明是否免费提供及提供份数；</w:t>
            </w:r>
          </w:p>
          <w:p w14:paraId="5FAC0DC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⑥培训人员资质：需明确授课人员的姓名、相关认证、从业年限及同类项目培训经验。</w:t>
            </w:r>
          </w:p>
          <w:p w14:paraId="1CCA73D7">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评分规则：</w:t>
            </w:r>
          </w:p>
          <w:p w14:paraId="2B658084">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上述六项内容均完整提供，且每项内容具体、可量化，得5分；</w:t>
            </w:r>
          </w:p>
          <w:p w14:paraId="7BB22A4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缺少上述任意一项内容，或某项内容过于笼统，得3分；</w:t>
            </w:r>
          </w:p>
          <w:p w14:paraId="09E6627D">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缺少上述任意两项及以上内容，或所有内容均明显不完整、不具操作性，得1分；</w:t>
            </w:r>
          </w:p>
          <w:p w14:paraId="73B1FBBE">
            <w:pPr>
              <w:spacing w:after="0" w:line="240" w:lineRule="auto"/>
              <w:rPr>
                <w:rFonts w:hint="eastAsia" w:ascii="宋体" w:hAnsi="宋体" w:eastAsia="宋体" w:cs="宋体"/>
                <w:sz w:val="21"/>
                <w:szCs w:val="21"/>
              </w:rPr>
            </w:pPr>
            <w:r>
              <w:rPr>
                <w:rFonts w:hint="eastAsia" w:ascii="宋体" w:hAnsi="宋体" w:eastAsia="宋体" w:cs="宋体"/>
                <w:b w:val="0"/>
                <w:sz w:val="21"/>
                <w:szCs w:val="21"/>
              </w:rPr>
              <w:t>未提供培训方案，得0分。</w:t>
            </w:r>
          </w:p>
        </w:tc>
        <w:tc>
          <w:tcPr>
            <w:tcW w:w="663" w:type="dxa"/>
            <w:vAlign w:val="center"/>
          </w:tcPr>
          <w:p w14:paraId="4353E193">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5</w:t>
            </w:r>
          </w:p>
        </w:tc>
      </w:tr>
      <w:tr w14:paraId="048A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tcPr>
          <w:p w14:paraId="7071E427">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8</w:t>
            </w:r>
          </w:p>
        </w:tc>
        <w:tc>
          <w:tcPr>
            <w:tcW w:w="6951" w:type="dxa"/>
            <w:gridSpan w:val="2"/>
          </w:tcPr>
          <w:p w14:paraId="3C827C21">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合计</w:t>
            </w:r>
          </w:p>
        </w:tc>
        <w:tc>
          <w:tcPr>
            <w:tcW w:w="663" w:type="dxa"/>
          </w:tcPr>
          <w:p w14:paraId="0247F488">
            <w:pPr>
              <w:spacing w:after="0" w:line="240" w:lineRule="auto"/>
              <w:jc w:val="center"/>
              <w:rPr>
                <w:rFonts w:hint="eastAsia" w:ascii="宋体" w:hAnsi="宋体" w:eastAsia="宋体" w:cs="宋体"/>
                <w:sz w:val="21"/>
                <w:szCs w:val="21"/>
              </w:rPr>
            </w:pPr>
            <w:r>
              <w:rPr>
                <w:rFonts w:hint="eastAsia" w:ascii="宋体" w:hAnsi="宋体" w:eastAsia="宋体" w:cs="宋体"/>
                <w:b w:val="0"/>
                <w:sz w:val="21"/>
                <w:szCs w:val="21"/>
              </w:rPr>
              <w:t>100</w:t>
            </w:r>
          </w:p>
        </w:tc>
      </w:tr>
    </w:tbl>
    <w:p w14:paraId="6404D9F8">
      <w:pPr>
        <w:tabs>
          <w:tab w:val="left" w:pos="960"/>
        </w:tabs>
        <w:adjustRightInd w:val="0"/>
        <w:snapToGrid w:val="0"/>
        <w:spacing w:line="360" w:lineRule="auto"/>
        <w:ind w:left="420" w:firstLine="420" w:firstLineChars="200"/>
        <w:rPr>
          <w:rFonts w:hint="eastAsia" w:ascii="宋体" w:hAnsi="宋体" w:eastAsia="宋体" w:cs="宋体"/>
        </w:rPr>
      </w:pPr>
    </w:p>
    <w:p w14:paraId="59CB73A0">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szCs w:val="21"/>
        </w:rPr>
      </w:pPr>
      <w:r>
        <w:rPr>
          <w:rFonts w:hint="eastAsia" w:ascii="宋体" w:hAnsi="宋体" w:eastAsia="宋体" w:cs="宋体"/>
          <w:b/>
          <w:szCs w:val="21"/>
        </w:rPr>
        <w:t>说明：1.所有认证、证明和业绩均以有效清晰的证明文件的复印件为依据，原件备查。</w:t>
      </w:r>
    </w:p>
    <w:p w14:paraId="6D1FB08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2.小微企业价格扣除</w:t>
      </w:r>
    </w:p>
    <w:p w14:paraId="73C4A22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Cs w:val="21"/>
        </w:rPr>
      </w:pPr>
      <w:r>
        <w:rPr>
          <w:rFonts w:hint="eastAsia" w:ascii="宋体" w:hAnsi="宋体" w:eastAsia="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598DB47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3.监狱和戒毒企业的价格扣除</w:t>
      </w:r>
    </w:p>
    <w:p w14:paraId="425D314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3.1 本项目对监狱和戒毒企业，给予10%的价格扣除，用扣除后的价格参与评审。</w:t>
      </w:r>
    </w:p>
    <w:p w14:paraId="0C381F0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3.2 监狱企业需提供由省级以上监狱管理局、戒毒管理局（含新疆生产建设兵团）出具的属于监狱企业的证明文件。</w:t>
      </w:r>
    </w:p>
    <w:p w14:paraId="600B05C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3.3 监狱企业标准请参照《关于政府采购支持监狱企业发展有关问题的通知》（财库〔2014〕68号）。</w:t>
      </w:r>
    </w:p>
    <w:p w14:paraId="21EA03B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4.残疾人福利性单位的价格扣除</w:t>
      </w:r>
    </w:p>
    <w:p w14:paraId="299CEAC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4.1 本项目对残疾人福利性单位，给予10%的价格扣除，用扣除后的价格参与评审。</w:t>
      </w:r>
    </w:p>
    <w:p w14:paraId="03E6CA3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4.2 残疾人福利性单位需提供《残疾人福利性单位声明函》</w:t>
      </w:r>
    </w:p>
    <w:p w14:paraId="47E7E96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4.3 残疾人福利性单位标准请参照《关于促进残疾人就业政府采购政策的通知》（财库〔2017〕141号）。</w:t>
      </w:r>
    </w:p>
    <w:p w14:paraId="26F3182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5. 监狱企业、残疾人福利性单位属于小型、微型企业的，不重复享受政策。</w:t>
      </w:r>
    </w:p>
    <w:p w14:paraId="56F3297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6.本国产品的价格扣除</w:t>
      </w:r>
    </w:p>
    <w:p w14:paraId="4989F5F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6.1本国产品标准、本国产品标准的适用范围、对本国产品的支持政策等详见《国务院办公厅关于在政府采购中实施本国产品标准及相关政策的通知》（国办发〔2025〕34号）。</w:t>
      </w:r>
    </w:p>
    <w:p w14:paraId="4CAE191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6.2 政府采购活动中既有本国产品又有非本国产品参与竞争的，依法对本国产品给予价格评审优惠，对本国产品的报价给予20%的价格扣除，用扣除后的价格参与评审。</w:t>
      </w:r>
    </w:p>
    <w:p w14:paraId="7AD69D4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kern w:val="0"/>
        </w:rPr>
      </w:pPr>
      <w:r>
        <w:rPr>
          <w:rFonts w:hint="eastAsia" w:ascii="宋体" w:hAnsi="宋体" w:eastAsia="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kern w:val="0"/>
        </w:rPr>
        <w:br w:type="page"/>
      </w:r>
    </w:p>
    <w:p w14:paraId="3D69241D">
      <w:pPr>
        <w:pStyle w:val="2"/>
        <w:numPr>
          <w:ilvl w:val="0"/>
          <w:numId w:val="0"/>
        </w:numPr>
        <w:rPr>
          <w:rFonts w:hint="eastAsia" w:ascii="宋体" w:hAnsi="宋体" w:eastAsia="宋体" w:cs="宋体"/>
          <w:kern w:val="0"/>
          <w:highlight w:val="green"/>
        </w:rPr>
      </w:pPr>
      <w:bookmarkStart w:id="19" w:name="_Toc13046"/>
      <w:r>
        <w:rPr>
          <w:rFonts w:hint="eastAsia" w:ascii="宋体" w:hAnsi="宋体" w:eastAsia="宋体" w:cs="宋体"/>
          <w:kern w:val="0"/>
        </w:rPr>
        <w:t>第四章 采购需求</w:t>
      </w:r>
      <w:bookmarkEnd w:id="19"/>
    </w:p>
    <w:p w14:paraId="059B52D1">
      <w:pPr>
        <w:spacing w:line="360" w:lineRule="auto"/>
        <w:ind w:firstLine="422" w:firstLineChars="200"/>
        <w:rPr>
          <w:rFonts w:hint="eastAsia" w:ascii="宋体" w:hAnsi="宋体" w:eastAsia="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eastAsia="宋体" w:cs="宋体"/>
          <w:b/>
          <w:color w:val="000000" w:themeColor="text1"/>
          <w:szCs w:val="21"/>
          <w14:textFill>
            <w14:solidFill>
              <w14:schemeClr w14:val="tx1"/>
            </w14:solidFill>
          </w14:textFill>
        </w:rPr>
        <w:t>一、项目</w:t>
      </w:r>
      <w:bookmarkEnd w:id="20"/>
      <w:r>
        <w:rPr>
          <w:rFonts w:hint="eastAsia" w:ascii="宋体" w:hAnsi="宋体" w:eastAsia="宋体" w:cs="宋体"/>
          <w:b/>
          <w:color w:val="000000" w:themeColor="text1"/>
          <w:szCs w:val="21"/>
          <w14:textFill>
            <w14:solidFill>
              <w14:schemeClr w14:val="tx1"/>
            </w14:solidFill>
          </w14:textFill>
        </w:rPr>
        <w:t>概述</w:t>
      </w:r>
      <w:bookmarkEnd w:id="21"/>
      <w:bookmarkStart w:id="23" w:name="_Toc32119"/>
      <w:bookmarkStart w:id="24" w:name="_Toc311"/>
      <w:bookmarkStart w:id="25" w:name="_Toc18449"/>
      <w:bookmarkStart w:id="26" w:name="_Toc4968"/>
    </w:p>
    <w:p w14:paraId="054E0CB0">
      <w:pPr>
        <w:pStyle w:val="74"/>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项目拟采购血浆蛋白质组学纳米磁珠富集试剂9500人份、血浆蛋白质组磁珠法除盐试剂9500人份、血浆蛋白质组标准质控试剂9500人份、血浆蛋白质组标准质控分析软件1套。总预算【287.5】万元，样品单价不高于【302】元/人份。</w:t>
      </w:r>
    </w:p>
    <w:p w14:paraId="7B88E60E">
      <w:pPr>
        <w:pStyle w:val="74"/>
        <w:spacing w:line="360" w:lineRule="auto"/>
        <w:rPr>
          <w:rFonts w:hint="eastAsia" w:ascii="宋体" w:hAnsi="宋体" w:eastAsia="宋体" w:cs="宋体"/>
          <w:color w:val="000000" w:themeColor="text1"/>
          <w:szCs w:val="21"/>
          <w14:textFill>
            <w14:solidFill>
              <w14:schemeClr w14:val="tx1"/>
            </w14:solidFill>
          </w14:textFill>
        </w:rPr>
      </w:pPr>
    </w:p>
    <w:bookmarkEnd w:id="23"/>
    <w:bookmarkEnd w:id="24"/>
    <w:p w14:paraId="6E1CF274">
      <w:pPr>
        <w:pStyle w:val="286"/>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bookmarkStart w:id="27" w:name="OLE_LINK12"/>
      <w:r>
        <w:rPr>
          <w:rFonts w:hint="eastAsia" w:ascii="宋体" w:hAnsi="宋体" w:eastAsia="宋体" w:cs="宋体"/>
          <w:color w:val="000000" w:themeColor="text1"/>
          <w:sz w:val="21"/>
          <w:szCs w:val="21"/>
          <w14:textFill>
            <w14:solidFill>
              <w14:schemeClr w14:val="tx1"/>
            </w14:solidFill>
          </w14:textFill>
        </w:rPr>
        <w:t>二、技术指标及要求</w:t>
      </w:r>
      <w:bookmarkEnd w:id="25"/>
      <w:bookmarkEnd w:id="26"/>
      <w:bookmarkStart w:id="28" w:name="_Toc29315"/>
      <w:bookmarkStart w:id="29" w:name="_Toc2652"/>
      <w:bookmarkStart w:id="30" w:name="_Toc9991"/>
    </w:p>
    <w:bookmarkEnd w:id="27"/>
    <w:p w14:paraId="31953270">
      <w:pPr>
        <w:spacing w:after="80" w:line="360" w:lineRule="auto"/>
        <w:ind w:firstLine="420"/>
        <w:rPr>
          <w:rFonts w:hint="eastAsia" w:ascii="宋体" w:hAnsi="宋体" w:eastAsia="宋体" w:cs="宋体"/>
          <w:b/>
          <w:bCs/>
          <w:sz w:val="21"/>
          <w:highlight w:val="none"/>
        </w:rPr>
      </w:pPr>
      <w:r>
        <w:rPr>
          <w:rFonts w:hint="eastAsia" w:ascii="宋体" w:hAnsi="宋体" w:eastAsia="宋体" w:cs="宋体"/>
          <w:b/>
          <w:bCs/>
          <w:sz w:val="21"/>
          <w:highlight w:val="none"/>
        </w:rPr>
        <w:t>评标委员会根据投标文件格式【技术条款偏离表】进行评审，请供应商根据第四章采购需求中【二、技术指标及要求】的条款响应，如实填列所投产品的技术指标响应内容。“★”的内容为实质性要求，有一项不符合的，作无效投标处理。对“★”及“其他”技术参数需要提供支撑资料（提供与所投产品品牌、型号完全一致的以下材料之一或组合：①公开发行的产品技术说明书（datasheet）或公开发行的产品彩页；②官网公开资料（含链接）；③第三方检测机构出具的检测报告或技术白皮书，复印件加盖公章。证明材料载明型号与投标型号不一致的，视为负偏离；如未附有效支撑材料或者所附的支撑材料由评标委员会认为不能佐证技术指标的有效性的，则视为负偏离。如文件中要求提供证明材料，建议采用箭头、标红、下划线或页码等进行明显标注，方便评委查看。在签订合同前，采购人有权要求供应商到用户现场验证，功能、性能需与技术要求一致，否则视为虚假应标，采购人有权追究其相应法律责任。</w:t>
      </w:r>
    </w:p>
    <w:p w14:paraId="122806ED">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1.</w:t>
      </w:r>
      <w:r>
        <w:rPr>
          <w:rFonts w:hint="eastAsia" w:ascii="宋体" w:hAnsi="宋体" w:eastAsia="宋体" w:cs="宋体"/>
          <w:b/>
          <w:sz w:val="21"/>
        </w:rPr>
        <w:t>★试剂盒套装要求：</w:t>
      </w:r>
      <w:r>
        <w:rPr>
          <w:rFonts w:hint="eastAsia" w:ascii="宋体" w:hAnsi="宋体" w:eastAsia="宋体" w:cs="宋体"/>
          <w:b w:val="0"/>
          <w:sz w:val="21"/>
        </w:rPr>
        <w:t>试剂盒组合须完成血浆低丰度蛋白富集、还原、烷基化、酶解及</w:t>
      </w:r>
      <w:r>
        <w:rPr>
          <w:rFonts w:hint="eastAsia" w:ascii="宋体" w:hAnsi="宋体" w:cs="宋体"/>
          <w:b w:val="0"/>
          <w:sz w:val="21"/>
          <w:lang w:val="en-US" w:eastAsia="zh-CN"/>
        </w:rPr>
        <w:t>磁珠法</w:t>
      </w:r>
      <w:r>
        <w:rPr>
          <w:rFonts w:hint="eastAsia" w:ascii="宋体" w:hAnsi="宋体" w:eastAsia="宋体" w:cs="宋体"/>
          <w:b w:val="0"/>
          <w:sz w:val="21"/>
        </w:rPr>
        <w:t>脱盐全流程，且上述全部流程可在自动化工作站上全自动完成，所需人工操作</w:t>
      </w:r>
      <w:r>
        <w:rPr>
          <w:rFonts w:hint="eastAsia" w:ascii="宋体" w:hAnsi="宋体" w:eastAsia="宋体" w:cs="宋体"/>
          <w:b w:val="0"/>
          <w:sz w:val="21"/>
          <w:lang w:eastAsia="zh-CN"/>
        </w:rPr>
        <w:t>（</w:t>
      </w:r>
      <w:r>
        <w:rPr>
          <w:rFonts w:hint="eastAsia" w:ascii="宋体" w:hAnsi="宋体" w:eastAsia="宋体" w:cs="宋体"/>
          <w:b w:val="0"/>
          <w:sz w:val="21"/>
          <w:lang w:val="en-US" w:eastAsia="zh-CN"/>
        </w:rPr>
        <w:t>试剂耗材准备和清场工作</w:t>
      </w:r>
      <w:r>
        <w:rPr>
          <w:rFonts w:hint="eastAsia" w:ascii="宋体" w:hAnsi="宋体" w:eastAsia="宋体" w:cs="宋体"/>
          <w:b w:val="0"/>
          <w:sz w:val="21"/>
          <w:lang w:eastAsia="zh-CN"/>
        </w:rPr>
        <w:t>）</w:t>
      </w:r>
      <w:r>
        <w:rPr>
          <w:rFonts w:hint="eastAsia" w:ascii="宋体" w:hAnsi="宋体" w:eastAsia="宋体" w:cs="宋体"/>
          <w:b w:val="0"/>
          <w:sz w:val="21"/>
        </w:rPr>
        <w:t>少于30分钟。</w:t>
      </w:r>
    </w:p>
    <w:p w14:paraId="051239C0">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2.</w:t>
      </w:r>
      <w:r>
        <w:rPr>
          <w:rFonts w:hint="eastAsia" w:ascii="宋体" w:hAnsi="宋体" w:eastAsia="宋体" w:cs="宋体"/>
          <w:b/>
          <w:sz w:val="21"/>
        </w:rPr>
        <w:t>血浆蛋白质组纳米磁珠富集试剂要求：</w:t>
      </w:r>
      <w:r>
        <w:rPr>
          <w:rFonts w:hint="eastAsia" w:ascii="宋体" w:hAnsi="宋体" w:eastAsia="宋体" w:cs="宋体"/>
          <w:b w:val="0"/>
          <w:sz w:val="21"/>
        </w:rPr>
        <w:t>包含低丰度富集专用纳米磁珠、</w:t>
      </w:r>
      <w:r>
        <w:rPr>
          <w:rFonts w:hint="eastAsia" w:ascii="宋体" w:hAnsi="宋体" w:eastAsia="宋体" w:cs="宋体"/>
          <w:b w:val="0"/>
          <w:sz w:val="21"/>
          <w:lang w:val="en-US" w:eastAsia="zh-CN"/>
        </w:rPr>
        <w:t>富集结合液/</w:t>
      </w:r>
      <w:r>
        <w:rPr>
          <w:rFonts w:hint="eastAsia" w:ascii="宋体" w:hAnsi="宋体" w:eastAsia="宋体" w:cs="宋体"/>
          <w:b w:val="0"/>
          <w:sz w:val="21"/>
        </w:rPr>
        <w:t>Binding buffer、</w:t>
      </w:r>
      <w:r>
        <w:rPr>
          <w:rFonts w:hint="eastAsia" w:ascii="宋体" w:hAnsi="宋体" w:eastAsia="宋体" w:cs="宋体"/>
          <w:b w:val="0"/>
          <w:sz w:val="21"/>
          <w:lang w:val="en-US" w:eastAsia="zh-CN"/>
        </w:rPr>
        <w:t>清洗液/</w:t>
      </w:r>
      <w:r>
        <w:rPr>
          <w:rFonts w:hint="eastAsia" w:ascii="宋体" w:hAnsi="宋体" w:eastAsia="宋体" w:cs="宋体"/>
          <w:b w:val="0"/>
          <w:sz w:val="21"/>
        </w:rPr>
        <w:t>Wash buffer、复合酶、</w:t>
      </w:r>
      <w:r>
        <w:rPr>
          <w:rFonts w:hint="eastAsia" w:ascii="宋体" w:hAnsi="宋体" w:eastAsia="宋体" w:cs="宋体"/>
          <w:b w:val="0"/>
          <w:sz w:val="21"/>
          <w:lang w:val="en-US" w:eastAsia="zh-CN"/>
        </w:rPr>
        <w:t>终止液/</w:t>
      </w:r>
      <w:r>
        <w:rPr>
          <w:rFonts w:hint="eastAsia" w:ascii="宋体" w:hAnsi="宋体" w:eastAsia="宋体" w:cs="宋体"/>
          <w:b w:val="0"/>
          <w:sz w:val="21"/>
        </w:rPr>
        <w:t>Ending buffer。</w:t>
      </w:r>
    </w:p>
    <w:p w14:paraId="62EB9975">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3.</w:t>
      </w:r>
      <w:r>
        <w:rPr>
          <w:rFonts w:hint="eastAsia" w:ascii="宋体" w:hAnsi="宋体" w:eastAsia="宋体" w:cs="宋体"/>
          <w:b/>
          <w:sz w:val="21"/>
        </w:rPr>
        <w:t>血浆蛋白质组磁珠法除盐试剂要求：</w:t>
      </w:r>
      <w:r>
        <w:rPr>
          <w:rFonts w:hint="eastAsia" w:ascii="宋体" w:hAnsi="宋体" w:eastAsia="宋体" w:cs="宋体"/>
          <w:b w:val="0"/>
          <w:sz w:val="21"/>
        </w:rPr>
        <w:t>包含除盐磁珠、Wash buffer、Elution buffer，除盐产物可直接上机检测，无需浓缩复溶。</w:t>
      </w:r>
    </w:p>
    <w:p w14:paraId="3AEAF207">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4.</w:t>
      </w:r>
      <w:r>
        <w:rPr>
          <w:rFonts w:hint="eastAsia" w:ascii="宋体" w:hAnsi="宋体" w:eastAsia="宋体" w:cs="宋体"/>
          <w:b/>
          <w:sz w:val="21"/>
        </w:rPr>
        <w:t>血浆蛋白质组标准质控试剂要求：</w:t>
      </w:r>
      <w:r>
        <w:rPr>
          <w:rFonts w:hint="eastAsia" w:ascii="宋体" w:hAnsi="宋体" w:eastAsia="宋体" w:cs="宋体"/>
          <w:b w:val="0"/>
          <w:sz w:val="21"/>
        </w:rPr>
        <w:t>包含质控血浆、</w:t>
      </w:r>
      <w:r>
        <w:rPr>
          <w:rFonts w:hint="eastAsia" w:ascii="宋体" w:hAnsi="宋体" w:cs="宋体"/>
          <w:b w:val="0"/>
          <w:sz w:val="21"/>
          <w:lang w:val="en-US" w:eastAsia="zh-CN"/>
        </w:rPr>
        <w:t>等量人份的</w:t>
      </w:r>
      <w:r>
        <w:rPr>
          <w:rFonts w:hint="eastAsia" w:ascii="宋体" w:hAnsi="宋体" w:eastAsia="宋体" w:cs="宋体"/>
          <w:b w:val="0"/>
          <w:sz w:val="21"/>
        </w:rPr>
        <w:t>标准蛋白和</w:t>
      </w:r>
      <w:r>
        <w:rPr>
          <w:rFonts w:hint="eastAsia" w:ascii="宋体" w:hAnsi="宋体" w:eastAsia="宋体" w:cs="宋体"/>
          <w:b w:val="0"/>
          <w:sz w:val="21"/>
          <w:lang w:val="en-US" w:eastAsia="zh-CN"/>
        </w:rPr>
        <w:t>等量人份的</w:t>
      </w:r>
      <w:r>
        <w:rPr>
          <w:rFonts w:hint="eastAsia" w:ascii="宋体" w:hAnsi="宋体" w:eastAsia="宋体" w:cs="宋体"/>
          <w:b w:val="0"/>
          <w:sz w:val="21"/>
        </w:rPr>
        <w:t>重标肽段三类组分，用于监控及评价实验前处理的可靠性与检测平台的稳定性。</w:t>
      </w:r>
    </w:p>
    <w:p w14:paraId="51AD30CD">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5.</w:t>
      </w:r>
      <w:r>
        <w:rPr>
          <w:rFonts w:hint="eastAsia" w:ascii="宋体" w:hAnsi="宋体" w:eastAsia="宋体" w:cs="宋体"/>
          <w:b/>
          <w:sz w:val="21"/>
        </w:rPr>
        <w:t>血浆蛋白质组标准质控分析软件</w:t>
      </w:r>
      <w:r>
        <w:rPr>
          <w:rFonts w:hint="eastAsia" w:ascii="宋体" w:hAnsi="宋体" w:cs="宋体"/>
          <w:b/>
          <w:sz w:val="21"/>
          <w:lang w:val="en-US" w:eastAsia="zh-CN"/>
        </w:rPr>
        <w:t>或算法</w:t>
      </w:r>
      <w:r>
        <w:rPr>
          <w:rFonts w:hint="eastAsia" w:ascii="宋体" w:hAnsi="宋体" w:eastAsia="宋体" w:cs="宋体"/>
          <w:b/>
          <w:sz w:val="21"/>
        </w:rPr>
        <w:t>要求：</w:t>
      </w:r>
      <w:r>
        <w:rPr>
          <w:rFonts w:hint="eastAsia" w:ascii="宋体" w:hAnsi="宋体" w:eastAsia="宋体" w:cs="宋体"/>
          <w:b w:val="0"/>
          <w:bCs/>
          <w:sz w:val="21"/>
          <w:lang w:val="en-US" w:eastAsia="zh-CN"/>
        </w:rPr>
        <w:t>分析软件或算法支持本地部署运行，</w:t>
      </w:r>
      <w:r>
        <w:rPr>
          <w:rFonts w:hint="eastAsia" w:ascii="宋体" w:hAnsi="宋体" w:eastAsia="宋体" w:cs="宋体"/>
          <w:b w:val="0"/>
          <w:sz w:val="21"/>
        </w:rPr>
        <w:t>能根据质控血浆、标准蛋白和重标肽段的检测结果，对检测平台及前处理环节引入的结果偏差进行校正；同时支持对队列</w:t>
      </w:r>
      <w:r>
        <w:rPr>
          <w:rFonts w:hint="eastAsia" w:ascii="宋体" w:hAnsi="宋体" w:cs="宋体"/>
          <w:b w:val="0"/>
          <w:sz w:val="21"/>
          <w:lang w:val="en-US" w:eastAsia="zh-CN"/>
        </w:rPr>
        <w:t>数据</w:t>
      </w:r>
      <w:r>
        <w:rPr>
          <w:rFonts w:hint="eastAsia" w:ascii="宋体" w:hAnsi="宋体" w:eastAsia="宋体" w:cs="宋体"/>
          <w:b w:val="0"/>
          <w:sz w:val="21"/>
          <w:lang w:val="en-US" w:eastAsia="zh-CN"/>
        </w:rPr>
        <w:t>不同批次间、板间、样本间</w:t>
      </w:r>
      <w:r>
        <w:rPr>
          <w:rFonts w:hint="eastAsia" w:ascii="宋体" w:hAnsi="宋体" w:eastAsia="宋体" w:cs="宋体"/>
          <w:b w:val="0"/>
          <w:sz w:val="21"/>
        </w:rPr>
        <w:t>进行归一化处理</w:t>
      </w:r>
      <w:r>
        <w:rPr>
          <w:rFonts w:hint="eastAsia" w:ascii="宋体" w:hAnsi="宋体" w:cs="宋体"/>
          <w:b w:val="0"/>
          <w:sz w:val="21"/>
          <w:highlight w:val="none"/>
          <w:lang w:val="en-US" w:eastAsia="zh-CN"/>
        </w:rPr>
        <w:t>。</w:t>
      </w:r>
    </w:p>
    <w:p w14:paraId="62CEB81C">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6.</w:t>
      </w:r>
      <w:r>
        <w:rPr>
          <w:rFonts w:hint="eastAsia" w:ascii="宋体" w:hAnsi="宋体" w:eastAsia="宋体" w:cs="宋体"/>
          <w:b/>
          <w:sz w:val="21"/>
        </w:rPr>
        <w:t>样本用量要求：</w:t>
      </w:r>
      <w:r>
        <w:rPr>
          <w:rFonts w:hint="eastAsia" w:ascii="宋体" w:hAnsi="宋体" w:eastAsia="宋体" w:cs="宋体"/>
          <w:b w:val="0"/>
          <w:sz w:val="21"/>
        </w:rPr>
        <w:t>单样本血浆用量不高于50 μL。</w:t>
      </w:r>
    </w:p>
    <w:p w14:paraId="6CB166EE">
      <w:pPr>
        <w:numPr>
          <w:ilvl w:val="0"/>
          <w:numId w:val="0"/>
        </w:numPr>
        <w:spacing w:after="80" w:line="360" w:lineRule="auto"/>
        <w:ind w:left="425" w:leftChars="0" w:hanging="425" w:firstLineChars="0"/>
        <w:rPr>
          <w:rFonts w:hint="default" w:ascii="宋体" w:hAnsi="宋体" w:eastAsia="宋体" w:cs="宋体"/>
          <w:b w:val="0"/>
          <w:sz w:val="21"/>
          <w:lang w:val="en-US" w:eastAsia="zh-CN"/>
        </w:rPr>
      </w:pPr>
      <w:r>
        <w:rPr>
          <w:rFonts w:hint="default" w:ascii="宋体" w:hAnsi="宋体" w:eastAsia="宋体" w:cs="宋体"/>
          <w:b w:val="0"/>
          <w:kern w:val="2"/>
          <w:sz w:val="21"/>
          <w:szCs w:val="24"/>
          <w:highlight w:val="none"/>
          <w:lang w:val="en-US" w:eastAsia="zh-CN" w:bidi="ar-SA"/>
        </w:rPr>
        <w:t>7.</w:t>
      </w:r>
      <w:r>
        <w:rPr>
          <w:rFonts w:hint="eastAsia" w:ascii="宋体" w:hAnsi="宋体" w:eastAsia="宋体" w:cs="宋体"/>
          <w:b/>
          <w:sz w:val="21"/>
        </w:rPr>
        <w:t>实验效率要求：</w:t>
      </w:r>
      <w:r>
        <w:rPr>
          <w:rFonts w:hint="eastAsia" w:ascii="宋体" w:hAnsi="宋体" w:eastAsia="宋体" w:cs="宋体"/>
          <w:b w:val="0"/>
          <w:sz w:val="21"/>
        </w:rPr>
        <w:t>低丰度蛋白富集时间不超过30分钟；还原、烷基化和酶解总时长不超过2小时；除盐时间不超过1小时；总前处理时间不超过4小时。</w:t>
      </w:r>
    </w:p>
    <w:p w14:paraId="270F108B">
      <w:pPr>
        <w:numPr>
          <w:ilvl w:val="0"/>
          <w:numId w:val="0"/>
        </w:numPr>
        <w:spacing w:after="80" w:line="360" w:lineRule="auto"/>
        <w:ind w:left="425" w:leftChars="0" w:hanging="425" w:firstLineChars="0"/>
        <w:rPr>
          <w:rFonts w:hint="eastAsia" w:ascii="宋体" w:hAnsi="宋体" w:eastAsia="宋体" w:cs="宋体"/>
          <w:b w:val="0"/>
          <w:sz w:val="21"/>
        </w:rPr>
      </w:pPr>
      <w:r>
        <w:rPr>
          <w:rFonts w:hint="default" w:ascii="宋体" w:hAnsi="宋体" w:eastAsia="宋体" w:cs="宋体"/>
          <w:b w:val="0"/>
          <w:kern w:val="2"/>
          <w:sz w:val="21"/>
          <w:szCs w:val="24"/>
          <w:highlight w:val="none"/>
          <w:lang w:val="en-US" w:eastAsia="zh-CN" w:bidi="ar-SA"/>
        </w:rPr>
        <w:t>8.</w:t>
      </w:r>
      <w:r>
        <w:rPr>
          <w:rFonts w:hint="eastAsia" w:ascii="宋体" w:hAnsi="宋体" w:eastAsia="宋体" w:cs="宋体"/>
          <w:b/>
          <w:sz w:val="21"/>
        </w:rPr>
        <w:t>试剂质量及批间稳定性要求：</w:t>
      </w:r>
      <w:r>
        <w:rPr>
          <w:rFonts w:hint="eastAsia" w:ascii="宋体" w:hAnsi="宋体" w:eastAsia="宋体" w:cs="宋体"/>
          <w:b w:val="0"/>
          <w:sz w:val="21"/>
        </w:rPr>
        <w:t>纳米磁珠平均粒径≤350 nm，多分散指数（PDI）&lt;0.2，不同批次纳米磁珠粒径CV≤</w:t>
      </w:r>
      <w:r>
        <w:rPr>
          <w:rFonts w:hint="eastAsia" w:ascii="宋体" w:hAnsi="宋体" w:eastAsia="宋体" w:cs="宋体"/>
          <w:b w:val="0"/>
          <w:sz w:val="21"/>
          <w:lang w:val="en-US" w:eastAsia="zh-CN"/>
        </w:rPr>
        <w:t>5</w:t>
      </w:r>
      <w:r>
        <w:rPr>
          <w:rFonts w:hint="eastAsia" w:ascii="宋体" w:hAnsi="宋体" w:eastAsia="宋体" w:cs="宋体"/>
          <w:b w:val="0"/>
          <w:sz w:val="21"/>
        </w:rPr>
        <w:t>%，不同批次纳米磁珠蛋白鉴定量CV≤5%。</w:t>
      </w:r>
    </w:p>
    <w:p w14:paraId="286FFB4F">
      <w:pPr>
        <w:numPr>
          <w:ilvl w:val="0"/>
          <w:numId w:val="0"/>
        </w:numPr>
        <w:spacing w:after="80" w:line="360" w:lineRule="auto"/>
        <w:ind w:left="425" w:leftChars="0" w:hanging="425" w:firstLineChars="0"/>
        <w:rPr>
          <w:rFonts w:hint="eastAsia" w:ascii="宋体" w:hAnsi="宋体" w:eastAsia="宋体" w:cs="宋体"/>
          <w:b w:val="0"/>
          <w:sz w:val="21"/>
        </w:rPr>
      </w:pPr>
      <w:r>
        <w:rPr>
          <w:rFonts w:hint="default" w:ascii="宋体" w:hAnsi="宋体" w:eastAsia="宋体" w:cs="宋体"/>
          <w:b w:val="0"/>
          <w:kern w:val="2"/>
          <w:sz w:val="21"/>
          <w:szCs w:val="24"/>
          <w:highlight w:val="none"/>
          <w:lang w:val="en-US" w:eastAsia="zh-CN" w:bidi="ar-SA"/>
        </w:rPr>
        <w:t>9.</w:t>
      </w:r>
      <w:r>
        <w:rPr>
          <w:rFonts w:hint="eastAsia" w:ascii="宋体" w:hAnsi="宋体" w:cs="宋体"/>
          <w:b/>
          <w:bCs/>
          <w:sz w:val="21"/>
          <w:lang w:val="en-US" w:eastAsia="zh-CN"/>
        </w:rPr>
        <w:t>试剂</w:t>
      </w:r>
      <w:r>
        <w:rPr>
          <w:rFonts w:hint="eastAsia" w:ascii="宋体" w:hAnsi="宋体" w:eastAsia="宋体" w:cs="宋体"/>
          <w:b/>
          <w:bCs/>
          <w:sz w:val="21"/>
          <w:lang w:val="en-US" w:eastAsia="zh-CN"/>
        </w:rPr>
        <w:t>背景鉴定量要求：</w:t>
      </w:r>
      <w:r>
        <w:rPr>
          <w:rFonts w:hint="eastAsia" w:ascii="宋体" w:hAnsi="宋体" w:eastAsia="宋体" w:cs="宋体"/>
          <w:b w:val="0"/>
          <w:sz w:val="21"/>
          <w:lang w:val="en-US" w:eastAsia="zh-CN"/>
        </w:rPr>
        <w:t>空白样</w:t>
      </w:r>
      <w:r>
        <w:rPr>
          <w:rFonts w:hint="eastAsia" w:ascii="宋体" w:hAnsi="宋体" w:cs="宋体"/>
          <w:b w:val="0"/>
          <w:sz w:val="21"/>
          <w:lang w:val="en-US" w:eastAsia="zh-CN"/>
        </w:rPr>
        <w:t>（超纯水）</w:t>
      </w:r>
      <w:r>
        <w:rPr>
          <w:rFonts w:hint="eastAsia" w:ascii="宋体" w:hAnsi="宋体" w:eastAsia="宋体" w:cs="宋体"/>
          <w:b w:val="0"/>
          <w:sz w:val="21"/>
          <w:lang w:val="en-US" w:eastAsia="zh-CN"/>
        </w:rPr>
        <w:t>经过所投试剂处理后的蛋白鉴定量不超过</w:t>
      </w:r>
      <w:r>
        <w:rPr>
          <w:rFonts w:hint="eastAsia" w:ascii="宋体" w:hAnsi="宋体" w:cs="宋体"/>
          <w:b w:val="0"/>
          <w:sz w:val="21"/>
          <w:lang w:val="en-US" w:eastAsia="zh-CN"/>
        </w:rPr>
        <w:t>2</w:t>
      </w:r>
      <w:r>
        <w:rPr>
          <w:rFonts w:hint="eastAsia" w:ascii="宋体" w:hAnsi="宋体" w:eastAsia="宋体" w:cs="宋体"/>
          <w:b w:val="0"/>
          <w:sz w:val="21"/>
          <w:lang w:val="en-US" w:eastAsia="zh-CN"/>
        </w:rPr>
        <w:t>00个Protein Groups。</w:t>
      </w:r>
    </w:p>
    <w:p w14:paraId="279ABD3E">
      <w:pPr>
        <w:numPr>
          <w:ilvl w:val="0"/>
          <w:numId w:val="0"/>
        </w:numPr>
        <w:spacing w:after="80" w:line="360" w:lineRule="auto"/>
        <w:ind w:left="425" w:leftChars="0" w:hanging="425" w:firstLineChars="0"/>
        <w:rPr>
          <w:rFonts w:hint="eastAsia" w:ascii="宋体" w:hAnsi="宋体" w:eastAsia="宋体" w:cs="宋体"/>
          <w:b w:val="0"/>
          <w:sz w:val="21"/>
          <w:lang w:val="en-US" w:eastAsia="zh-CN"/>
        </w:rPr>
      </w:pPr>
      <w:r>
        <w:rPr>
          <w:rFonts w:hint="default" w:ascii="宋体" w:hAnsi="宋体" w:eastAsia="宋体" w:cs="宋体"/>
          <w:b w:val="0"/>
          <w:kern w:val="2"/>
          <w:sz w:val="21"/>
          <w:szCs w:val="24"/>
          <w:highlight w:val="none"/>
          <w:lang w:val="en-US" w:eastAsia="zh-CN" w:bidi="ar-SA"/>
        </w:rPr>
        <w:t>10.</w:t>
      </w:r>
      <w:r>
        <w:rPr>
          <w:rFonts w:hint="eastAsia" w:ascii="宋体" w:hAnsi="宋体" w:eastAsia="宋体" w:cs="宋体"/>
          <w:b/>
          <w:sz w:val="21"/>
          <w:lang w:val="en-US" w:eastAsia="zh-CN"/>
        </w:rPr>
        <w:t>检测灵敏度要求</w:t>
      </w:r>
      <w:r>
        <w:rPr>
          <w:rFonts w:hint="eastAsia" w:ascii="宋体" w:hAnsi="宋体" w:eastAsia="宋体" w:cs="宋体"/>
          <w:b w:val="0"/>
          <w:sz w:val="21"/>
          <w:lang w:val="en-US" w:eastAsia="zh-CN"/>
        </w:rPr>
        <w:t>：蛋白定量水平可以达到ng/mL级别，以实现目标标志物蛋白的检出，标志物蛋白需包括：ACTR3，PECAM1，CLTC，ACTR2，CAPZB，S100A4，EMILIN1，RAN， RAB14，PABPC1，TIMP3等重要指标。</w:t>
      </w:r>
    </w:p>
    <w:p w14:paraId="0A09C675">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11.</w:t>
      </w:r>
      <w:r>
        <w:rPr>
          <w:rFonts w:hint="eastAsia" w:ascii="宋体" w:hAnsi="宋体" w:eastAsia="宋体" w:cs="宋体"/>
          <w:b/>
          <w:sz w:val="21"/>
        </w:rPr>
        <w:t>实测大队列应用经验要求：</w:t>
      </w:r>
      <w:r>
        <w:rPr>
          <w:rFonts w:hint="eastAsia" w:ascii="宋体" w:hAnsi="宋体" w:eastAsia="宋体" w:cs="宋体"/>
          <w:b w:val="0"/>
          <w:sz w:val="21"/>
        </w:rPr>
        <w:t>须提供大队列血液蛋白组实测数据，样本数量超过</w:t>
      </w:r>
      <w:r>
        <w:rPr>
          <w:rFonts w:hint="eastAsia" w:ascii="宋体" w:hAnsi="宋体" w:cs="宋体"/>
          <w:b w:val="0"/>
          <w:sz w:val="21"/>
          <w:lang w:val="en-US" w:eastAsia="zh-CN"/>
        </w:rPr>
        <w:t>1000</w:t>
      </w:r>
      <w:r>
        <w:rPr>
          <w:rFonts w:hint="eastAsia" w:ascii="宋体" w:hAnsi="宋体" w:eastAsia="宋体" w:cs="宋体"/>
          <w:b w:val="0"/>
          <w:sz w:val="21"/>
        </w:rPr>
        <w:t>例，其中蛋白鉴定量≥5000个，重复样本蛋白鉴定量CV≤</w:t>
      </w:r>
      <w:r>
        <w:rPr>
          <w:rFonts w:hint="eastAsia" w:ascii="宋体" w:hAnsi="宋体" w:cs="宋体"/>
          <w:b w:val="0"/>
          <w:sz w:val="21"/>
          <w:lang w:val="en-US" w:eastAsia="zh-CN"/>
        </w:rPr>
        <w:t>10</w:t>
      </w:r>
      <w:r>
        <w:rPr>
          <w:rFonts w:hint="eastAsia" w:ascii="宋体" w:hAnsi="宋体" w:eastAsia="宋体" w:cs="宋体"/>
          <w:b w:val="0"/>
          <w:sz w:val="21"/>
        </w:rPr>
        <w:t>%。</w:t>
      </w:r>
    </w:p>
    <w:p w14:paraId="2F919B45">
      <w:pPr>
        <w:numPr>
          <w:ilvl w:val="0"/>
          <w:numId w:val="0"/>
        </w:numPr>
        <w:spacing w:after="80" w:line="360" w:lineRule="auto"/>
        <w:ind w:left="425" w:leftChars="0" w:hanging="425" w:firstLineChars="0"/>
        <w:rPr>
          <w:rFonts w:hint="eastAsia" w:ascii="宋体" w:hAnsi="宋体" w:eastAsia="宋体" w:cs="宋体"/>
        </w:rPr>
      </w:pPr>
      <w:r>
        <w:rPr>
          <w:rFonts w:hint="default" w:ascii="宋体" w:hAnsi="宋体" w:eastAsia="宋体" w:cs="宋体"/>
          <w:kern w:val="2"/>
          <w:sz w:val="21"/>
          <w:szCs w:val="24"/>
          <w:highlight w:val="none"/>
          <w:lang w:val="en-US" w:eastAsia="zh-CN" w:bidi="ar-SA"/>
        </w:rPr>
        <w:t>12.</w:t>
      </w:r>
      <w:r>
        <w:rPr>
          <w:rFonts w:hint="eastAsia" w:ascii="宋体" w:hAnsi="宋体" w:eastAsia="宋体" w:cs="宋体"/>
          <w:b/>
          <w:sz w:val="21"/>
        </w:rPr>
        <w:t>灵活度要求：</w:t>
      </w:r>
      <w:r>
        <w:rPr>
          <w:rFonts w:hint="eastAsia" w:ascii="宋体" w:hAnsi="宋体" w:eastAsia="宋体" w:cs="宋体"/>
          <w:b w:val="0"/>
          <w:bCs/>
          <w:sz w:val="21"/>
        </w:rPr>
        <w:t>具备自定义靶向Panel开发能力</w:t>
      </w:r>
      <w:r>
        <w:rPr>
          <w:rFonts w:hint="eastAsia" w:ascii="宋体" w:hAnsi="宋体" w:eastAsia="宋体" w:cs="宋体"/>
          <w:b w:val="0"/>
          <w:bCs/>
          <w:sz w:val="21"/>
          <w:lang w:eastAsia="zh-CN"/>
        </w:rPr>
        <w:t>，</w:t>
      </w:r>
      <w:r>
        <w:rPr>
          <w:rFonts w:hint="eastAsia" w:ascii="宋体" w:hAnsi="宋体" w:eastAsia="宋体" w:cs="宋体"/>
          <w:b w:val="0"/>
          <w:sz w:val="21"/>
        </w:rPr>
        <w:t>可支持客户自定义靶向Panel富集试剂开发及实验检测。</w:t>
      </w:r>
    </w:p>
    <w:p w14:paraId="367BCCF6">
      <w:pPr>
        <w:numPr>
          <w:ilvl w:val="0"/>
          <w:numId w:val="0"/>
        </w:numPr>
        <w:spacing w:after="80" w:line="360" w:lineRule="auto"/>
        <w:ind w:left="425" w:leftChars="0" w:hanging="425" w:firstLineChars="0"/>
        <w:rPr>
          <w:rFonts w:hint="eastAsia" w:ascii="宋体" w:hAnsi="宋体" w:eastAsia="宋体" w:cs="宋体"/>
          <w:b w:val="0"/>
          <w:sz w:val="21"/>
        </w:rPr>
      </w:pPr>
      <w:r>
        <w:rPr>
          <w:rFonts w:hint="default" w:ascii="宋体" w:hAnsi="宋体" w:eastAsia="宋体" w:cs="宋体"/>
          <w:b w:val="0"/>
          <w:kern w:val="2"/>
          <w:sz w:val="21"/>
          <w:szCs w:val="24"/>
          <w:highlight w:val="none"/>
          <w:lang w:val="en-US" w:eastAsia="zh-CN" w:bidi="ar-SA"/>
        </w:rPr>
        <w:t>13.</w:t>
      </w:r>
      <w:r>
        <w:rPr>
          <w:rFonts w:hint="eastAsia" w:ascii="宋体" w:hAnsi="宋体" w:eastAsia="宋体" w:cs="宋体"/>
          <w:b/>
          <w:sz w:val="21"/>
        </w:rPr>
        <w:t>试剂状态要求：</w:t>
      </w:r>
      <w:r>
        <w:rPr>
          <w:rFonts w:hint="eastAsia" w:ascii="宋体" w:hAnsi="宋体" w:eastAsia="宋体" w:cs="宋体"/>
          <w:b w:val="0"/>
          <w:sz w:val="21"/>
        </w:rPr>
        <w:t>试剂状态稳定，可4℃储存和运输。</w:t>
      </w:r>
    </w:p>
    <w:p w14:paraId="55B367D0">
      <w:pPr>
        <w:numPr>
          <w:ilvl w:val="0"/>
          <w:numId w:val="0"/>
        </w:numPr>
        <w:spacing w:after="80" w:line="360" w:lineRule="auto"/>
        <w:ind w:left="425" w:leftChars="0" w:hanging="425" w:firstLineChars="0"/>
        <w:rPr>
          <w:rFonts w:hint="default" w:ascii="宋体" w:hAnsi="宋体" w:eastAsia="宋体" w:cs="宋体"/>
          <w:b w:val="0"/>
          <w:sz w:val="21"/>
          <w:highlight w:val="yellow"/>
          <w:lang w:val="en-US" w:eastAsia="zh-CN"/>
        </w:rPr>
      </w:pPr>
      <w:r>
        <w:rPr>
          <w:rFonts w:hint="default" w:ascii="宋体" w:hAnsi="宋体" w:eastAsia="宋体" w:cs="宋体"/>
          <w:b w:val="0"/>
          <w:kern w:val="2"/>
          <w:sz w:val="21"/>
          <w:szCs w:val="24"/>
          <w:highlight w:val="none"/>
          <w:lang w:val="en-US" w:eastAsia="zh-CN" w:bidi="ar-SA"/>
        </w:rPr>
        <w:t>14.</w:t>
      </w:r>
      <w:r>
        <w:rPr>
          <w:rFonts w:hint="eastAsia" w:ascii="宋体" w:hAnsi="宋体" w:eastAsia="宋体" w:cs="宋体"/>
          <w:b/>
          <w:bCs/>
          <w:sz w:val="21"/>
          <w:highlight w:val="none"/>
        </w:rPr>
        <w:t>供应商服务能力要求</w:t>
      </w:r>
      <w:r>
        <w:rPr>
          <w:rFonts w:hint="eastAsia" w:ascii="宋体" w:hAnsi="宋体" w:cs="宋体"/>
          <w:b/>
          <w:bCs/>
          <w:sz w:val="21"/>
          <w:highlight w:val="none"/>
          <w:lang w:eastAsia="zh-CN"/>
        </w:rPr>
        <w:t>：</w:t>
      </w:r>
      <w:r>
        <w:rPr>
          <w:rFonts w:hint="eastAsia" w:ascii="宋体" w:hAnsi="宋体" w:cs="宋体"/>
          <w:b w:val="0"/>
          <w:sz w:val="21"/>
          <w:highlight w:val="none"/>
          <w:lang w:val="en-US" w:eastAsia="zh-CN"/>
        </w:rPr>
        <w:t>投标方或所投产品厂家需在项目期间提供适配试剂盒的原厂工作站或者其他主流自动化工作站；</w:t>
      </w:r>
    </w:p>
    <w:p w14:paraId="4619F5F0">
      <w:pPr>
        <w:pStyle w:val="286"/>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p>
    <w:p w14:paraId="6AAB84D3">
      <w:pPr>
        <w:pStyle w:val="286"/>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三、服务要求</w:t>
      </w:r>
      <w:bookmarkEnd w:id="28"/>
      <w:bookmarkEnd w:id="29"/>
      <w:bookmarkEnd w:id="30"/>
    </w:p>
    <w:p w14:paraId="0AF7D3D1">
      <w:pPr>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lang w:val="en-US" w:eastAsia="zh-CN"/>
        </w:rPr>
        <w:t>1.免费质保</w:t>
      </w:r>
      <w:r>
        <w:rPr>
          <w:rFonts w:hint="eastAsia" w:ascii="宋体" w:hAnsi="宋体" w:eastAsia="宋体" w:cs="宋体"/>
          <w:szCs w:val="21"/>
        </w:rPr>
        <w:t>期：</w:t>
      </w:r>
      <w:r>
        <w:rPr>
          <w:rFonts w:ascii="宋体" w:hAnsi="宋体" w:eastAsia="宋体"/>
          <w:b w:val="0"/>
          <w:sz w:val="21"/>
        </w:rPr>
        <w:t>到货后试剂免费质保期（试剂有效期）≥10个月</w:t>
      </w:r>
      <w:r>
        <w:rPr>
          <w:rFonts w:hint="eastAsia" w:ascii="宋体" w:hAnsi="宋体" w:eastAsia="宋体" w:cs="宋体"/>
          <w:szCs w:val="21"/>
          <w:lang w:eastAsia="zh-CN"/>
        </w:rPr>
        <w:t>。</w:t>
      </w:r>
    </w:p>
    <w:p w14:paraId="2C033C7E">
      <w:pPr>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szCs w:val="21"/>
        </w:rPr>
        <w:t>售后技术服务要求：</w:t>
      </w:r>
      <w:r>
        <w:rPr>
          <w:rFonts w:hint="eastAsia" w:ascii="宋体" w:hAnsi="宋体" w:eastAsia="宋体" w:cs="宋体"/>
          <w:szCs w:val="21"/>
          <w:lang w:val="en-US" w:eastAsia="zh-CN"/>
        </w:rPr>
        <w:t>①对实际使用中发现的存在有包装瑕疵、性能瑕疵和超过有效期的试剂盒，投标人无条件免费更换，且承诺提供的产品均无瑕疵且在有效使用期内。</w:t>
      </w:r>
    </w:p>
    <w:p w14:paraId="73FC86C5">
      <w:pPr>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②响应时间：投标人在接到用户请求后1小时内响应，需上门的售后问题须24小时内到达现场解决问题。在质量保证期内货品出现质量问题（人为除外），无条件更换。</w:t>
      </w:r>
    </w:p>
    <w:p w14:paraId="1047B38C">
      <w:pPr>
        <w:spacing w:line="360" w:lineRule="auto"/>
        <w:ind w:firstLine="420" w:firstLineChars="200"/>
        <w:rPr>
          <w:rFonts w:hint="default" w:ascii="宋体" w:hAnsi="宋体" w:eastAsia="宋体" w:cs="宋体"/>
          <w:szCs w:val="21"/>
          <w:lang w:val="en-US"/>
        </w:rPr>
      </w:pPr>
      <w:r>
        <w:rPr>
          <w:rFonts w:hint="eastAsia" w:ascii="宋体" w:hAnsi="宋体" w:cs="宋体"/>
          <w:szCs w:val="21"/>
          <w:lang w:val="en-US" w:eastAsia="zh-CN"/>
        </w:rPr>
        <w:t>3.</w:t>
      </w:r>
      <w:r>
        <w:rPr>
          <w:rFonts w:hint="eastAsia"/>
          <w:b w:val="0"/>
          <w:sz w:val="21"/>
          <w:highlight w:val="none"/>
          <w:lang w:val="en-US" w:eastAsia="zh-CN"/>
        </w:rPr>
        <w:t>投标人需要随投标文件提供具体售后服务方案，涵盖售后服务响应时间、售后服务人员配置、质保期内服务内容、质保期后服务方案、备品备件清单、维修服务明细、技术指导方案。</w:t>
      </w:r>
      <w:r>
        <w:rPr>
          <w:rFonts w:hint="eastAsia" w:ascii="宋体" w:hAnsi="宋体" w:cs="宋体"/>
          <w:szCs w:val="21"/>
          <w:lang w:val="en-US" w:eastAsia="zh-CN"/>
        </w:rPr>
        <w:tab/>
      </w:r>
    </w:p>
    <w:p w14:paraId="44AB1B5C">
      <w:pPr>
        <w:ind w:firstLine="420"/>
        <w:rPr>
          <w:rFonts w:hint="eastAsia" w:ascii="宋体" w:hAnsi="宋体" w:eastAsia="宋体" w:cs="宋体"/>
          <w:b w:val="0"/>
          <w:bCs w:val="0"/>
          <w:spacing w:val="0"/>
          <w:kern w:val="2"/>
          <w:szCs w:val="21"/>
          <w:highlight w:val="none"/>
        </w:rPr>
      </w:pPr>
    </w:p>
    <w:p w14:paraId="703CDF90">
      <w:pPr>
        <w:pStyle w:val="25"/>
        <w:spacing w:line="360" w:lineRule="auto"/>
        <w:ind w:firstLine="454"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8"/>
          <w:kern w:val="0"/>
          <w:szCs w:val="21"/>
          <w14:textFill>
            <w14:solidFill>
              <w14:schemeClr w14:val="tx1"/>
            </w14:solidFill>
          </w14:textFill>
        </w:rPr>
        <w:t>四、</w:t>
      </w:r>
      <w:r>
        <w:rPr>
          <w:rFonts w:hint="eastAsia" w:ascii="宋体" w:hAnsi="宋体" w:eastAsia="宋体" w:cs="宋体"/>
          <w:b/>
          <w:bCs/>
          <w:color w:val="000000" w:themeColor="text1"/>
          <w:szCs w:val="21"/>
          <w14:textFill>
            <w14:solidFill>
              <w14:schemeClr w14:val="tx1"/>
            </w14:solidFill>
          </w14:textFill>
        </w:rPr>
        <w:t>交货期、交货方式及交货地点</w:t>
      </w:r>
    </w:p>
    <w:p w14:paraId="6A599C62">
      <w:pPr>
        <w:spacing w:line="360" w:lineRule="auto"/>
        <w:ind w:firstLine="420" w:firstLineChars="200"/>
        <w:rPr>
          <w:rFonts w:hint="eastAsia" w:ascii="宋体" w:hAnsi="宋体" w:eastAsia="宋体" w:cs="宋体"/>
          <w:szCs w:val="21"/>
          <w:highlight w:val="yellow"/>
          <w:lang w:val="zh-CN"/>
        </w:rPr>
      </w:pPr>
      <w:r>
        <w:rPr>
          <w:rFonts w:hint="eastAsia" w:ascii="宋体" w:hAnsi="宋体" w:eastAsia="宋体" w:cs="宋体"/>
          <w:szCs w:val="21"/>
          <w:lang w:val="zh-CN"/>
        </w:rPr>
        <w:t>1.交货期：</w:t>
      </w:r>
      <w:r>
        <w:rPr>
          <w:rFonts w:hint="eastAsia" w:ascii="宋体" w:hAnsi="宋体" w:eastAsia="宋体" w:cs="宋体"/>
          <w:szCs w:val="21"/>
          <w:highlight w:val="none"/>
          <w:lang w:val="zh-CN"/>
        </w:rPr>
        <w:t>按照</w:t>
      </w:r>
      <w:r>
        <w:rPr>
          <w:rFonts w:hint="eastAsia" w:ascii="宋体" w:hAnsi="宋体" w:eastAsia="宋体" w:cs="宋体"/>
          <w:szCs w:val="21"/>
          <w:highlight w:val="none"/>
          <w:lang w:val="en-US" w:eastAsia="zh-CN"/>
        </w:rPr>
        <w:t>2年</w:t>
      </w:r>
      <w:r>
        <w:rPr>
          <w:rFonts w:hint="eastAsia" w:ascii="宋体" w:hAnsi="宋体" w:eastAsia="宋体" w:cs="宋体"/>
          <w:szCs w:val="21"/>
          <w:highlight w:val="none"/>
          <w:lang w:val="zh-CN"/>
        </w:rPr>
        <w:t>执行，在合同签订生效后，按照采购人要求分批次送货到位。</w:t>
      </w:r>
    </w:p>
    <w:p w14:paraId="0AD14C39">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w:t>
      </w:r>
      <w:r>
        <w:rPr>
          <w:rFonts w:hint="eastAsia" w:ascii="宋体" w:hAnsi="宋体" w:eastAsia="宋体" w:cs="宋体"/>
          <w:szCs w:val="21"/>
          <w:lang w:val="en-US" w:eastAsia="zh-CN"/>
        </w:rPr>
        <w:t>.</w:t>
      </w:r>
      <w:r>
        <w:rPr>
          <w:rFonts w:hint="eastAsia" w:ascii="宋体" w:hAnsi="宋体" w:eastAsia="宋体" w:cs="宋体"/>
          <w:szCs w:val="21"/>
          <w:lang w:val="zh-CN"/>
        </w:rPr>
        <w:t>交货方式：试剂盒可一次性发货，也可根据实验进度分批发货，供应商需给出明确送货方案文件。</w:t>
      </w:r>
    </w:p>
    <w:p w14:paraId="1A65DA69">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3</w:t>
      </w:r>
      <w:r>
        <w:rPr>
          <w:rFonts w:hint="eastAsia" w:ascii="宋体" w:hAnsi="宋体" w:eastAsia="宋体" w:cs="宋体"/>
          <w:szCs w:val="21"/>
          <w:lang w:val="en-US" w:eastAsia="zh-CN"/>
        </w:rPr>
        <w:t>.</w:t>
      </w:r>
      <w:r>
        <w:rPr>
          <w:rFonts w:hint="eastAsia" w:ascii="宋体" w:hAnsi="宋体" w:eastAsia="宋体" w:cs="宋体"/>
          <w:szCs w:val="21"/>
          <w:lang w:val="zh-CN"/>
        </w:rPr>
        <w:t>交货地点：南京医科大学指定地点。</w:t>
      </w:r>
    </w:p>
    <w:p w14:paraId="5078AE5B">
      <w:pPr>
        <w:pStyle w:val="22"/>
        <w:spacing w:line="360" w:lineRule="auto"/>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40C5CC73">
      <w:pPr>
        <w:pStyle w:val="22"/>
        <w:spacing w:line="360" w:lineRule="auto"/>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r>
        <w:rPr>
          <w:rFonts w:hint="eastAsia" w:ascii="宋体" w:hAnsi="宋体" w:eastAsia="宋体" w:cs="宋体"/>
          <w:b/>
          <w:bCs/>
          <w:color w:val="000000" w:themeColor="text1"/>
          <w:spacing w:val="8"/>
          <w:kern w:val="0"/>
          <w:szCs w:val="21"/>
          <w:lang w:val="en-US" w:eastAsia="zh-CN"/>
          <w14:textFill>
            <w14:solidFill>
              <w14:schemeClr w14:val="tx1"/>
            </w14:solidFill>
          </w14:textFill>
        </w:rPr>
        <w:t>五</w:t>
      </w:r>
      <w:r>
        <w:rPr>
          <w:rFonts w:hint="eastAsia" w:ascii="宋体" w:hAnsi="宋体" w:eastAsia="宋体" w:cs="宋体"/>
          <w:b/>
          <w:bCs/>
          <w:color w:val="000000" w:themeColor="text1"/>
          <w:spacing w:val="8"/>
          <w:kern w:val="0"/>
          <w:szCs w:val="21"/>
          <w14:textFill>
            <w14:solidFill>
              <w14:schemeClr w14:val="tx1"/>
            </w14:solidFill>
          </w14:textFill>
        </w:rPr>
        <w:t>、其他技术服务要求</w:t>
      </w:r>
    </w:p>
    <w:p w14:paraId="6D69218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投标人需要随投标文件提供具体可落地的实施方案，涵盖供货进度安排、配送组织架构、进度控制措施、风险控制管理和质量保障措施。</w:t>
      </w:r>
    </w:p>
    <w:p w14:paraId="48B59E1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免费送货上门，免费提供有关技术咨询和技术培训，定期上门回访。</w:t>
      </w:r>
    </w:p>
    <w:p w14:paraId="262D28E4">
      <w:pPr>
        <w:keepNext w:val="0"/>
        <w:keepLines w:val="0"/>
        <w:pageBreakBefore w:val="0"/>
        <w:kinsoku/>
        <w:wordWrap/>
        <w:overflowPunct/>
        <w:topLinePunct w:val="0"/>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Cs w:val="21"/>
          <w:lang w:val="en-US" w:eastAsia="zh-CN"/>
        </w:rPr>
        <w:t>3.</w:t>
      </w:r>
      <w:r>
        <w:rPr>
          <w:rFonts w:hint="eastAsia" w:ascii="宋体" w:hAnsi="宋体" w:eastAsia="宋体" w:cs="宋体"/>
          <w:sz w:val="21"/>
          <w:szCs w:val="21"/>
        </w:rPr>
        <w:t>验收标准：设备安装后，采购</w:t>
      </w:r>
      <w:r>
        <w:rPr>
          <w:rFonts w:hint="eastAsia" w:ascii="宋体" w:hAnsi="宋体" w:cs="宋体"/>
          <w:sz w:val="21"/>
          <w:szCs w:val="21"/>
          <w:lang w:val="en-US" w:eastAsia="zh-CN"/>
        </w:rPr>
        <w:t>人</w:t>
      </w:r>
      <w:r>
        <w:rPr>
          <w:rFonts w:hint="eastAsia" w:ascii="宋体" w:hAnsi="宋体" w:eastAsia="宋体" w:cs="宋体"/>
          <w:sz w:val="21"/>
          <w:szCs w:val="21"/>
        </w:rPr>
        <w:t>按国际和国家标准及厂方标准进行质量验收。供应商在投标文件中应注明验收标准，并在交货时附货物交付采购方以下资料：货物的验收标准、验收手册、使用说明（中、英文）、国内产品合格证、进口产品的还须提供进关报关资料、产品注册证等。当双方对验收标准有争议时，可委托双方一致认可的国家相关权威检测中心进行检测，费用由供货方承担，只有在仪器完全正常运转和买方确认后，仪器的安装工作才能认为已全部完成。</w:t>
      </w:r>
    </w:p>
    <w:p w14:paraId="66D00A91">
      <w:pPr>
        <w:keepNext w:val="0"/>
        <w:keepLines w:val="0"/>
        <w:pageBreakBefore w:val="0"/>
        <w:kinsoku/>
        <w:wordWrap/>
        <w:overflowPunct/>
        <w:topLinePunct w:val="0"/>
        <w:bidi w:val="0"/>
        <w:spacing w:line="360"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en-US" w:eastAsia="zh-CN"/>
        </w:rPr>
        <w:t>4.技术培训：投标人需提供培训方案，并在供货后1周内组织不少于5个工作日的上门培训，确保项目顺利开展。培训方案需要涵盖培训对象、培训内容、培训时间与课时、培训方式、培训材料和培训人员资质。</w:t>
      </w:r>
    </w:p>
    <w:p w14:paraId="2E063F63">
      <w:pPr>
        <w:spacing w:line="360" w:lineRule="auto"/>
        <w:ind w:firstLine="420" w:firstLineChars="200"/>
        <w:rPr>
          <w:rFonts w:hint="eastAsia" w:ascii="宋体" w:hAnsi="宋体" w:eastAsia="宋体" w:cs="宋体"/>
          <w:szCs w:val="21"/>
          <w:lang w:val="zh-CN"/>
        </w:rPr>
      </w:pPr>
    </w:p>
    <w:p w14:paraId="40BA870B">
      <w:pPr>
        <w:spacing w:line="360" w:lineRule="auto"/>
        <w:ind w:firstLine="422" w:firstLineChars="200"/>
        <w:rPr>
          <w:rFonts w:hint="eastAsia" w:ascii="宋体" w:hAnsi="宋体" w:eastAsia="宋体" w:cs="宋体"/>
          <w:b/>
          <w:bCs/>
          <w:color w:val="000000" w:themeColor="text1"/>
          <w:spacing w:val="8"/>
          <w:kern w:val="0"/>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六</w:t>
      </w:r>
      <w:r>
        <w:rPr>
          <w:rFonts w:hint="eastAsia" w:ascii="宋体" w:hAnsi="宋体" w:eastAsia="宋体" w:cs="宋体"/>
          <w:b/>
          <w:color w:val="000000" w:themeColor="text1"/>
          <w:szCs w:val="21"/>
          <w14:textFill>
            <w14:solidFill>
              <w14:schemeClr w14:val="tx1"/>
            </w14:solidFill>
          </w14:textFill>
        </w:rPr>
        <w:t>、</w:t>
      </w:r>
      <w:r>
        <w:rPr>
          <w:rFonts w:hint="eastAsia" w:ascii="宋体" w:hAnsi="宋体" w:eastAsia="宋体" w:cs="宋体"/>
          <w:b/>
          <w:bCs/>
          <w:color w:val="000000" w:themeColor="text1"/>
          <w:spacing w:val="8"/>
          <w:kern w:val="0"/>
          <w:szCs w:val="21"/>
          <w14:textFill>
            <w14:solidFill>
              <w14:schemeClr w14:val="tx1"/>
            </w14:solidFill>
          </w14:textFill>
        </w:rPr>
        <w:t>货款支付</w:t>
      </w:r>
    </w:p>
    <w:p w14:paraId="25D72E9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szCs w:val="21"/>
          <w14:textFill>
            <w14:solidFill>
              <w14:schemeClr w14:val="tx1"/>
            </w14:solidFill>
          </w14:textFill>
        </w:rPr>
      </w:pPr>
      <w:bookmarkStart w:id="31" w:name="OLE_LINK11"/>
      <w:r>
        <w:rPr>
          <w:rFonts w:hint="eastAsia" w:ascii="宋体" w:hAnsi="宋体" w:eastAsia="宋体" w:cs="宋体"/>
          <w:b/>
          <w:bCs w:val="0"/>
          <w:color w:val="000000" w:themeColor="text1"/>
          <w:szCs w:val="21"/>
          <w14:textFill>
            <w14:solidFill>
              <w14:schemeClr w14:val="tx1"/>
            </w14:solidFill>
          </w14:textFill>
        </w:rPr>
        <w:t>A[国产设备及进口设备(非免税)]:</w:t>
      </w:r>
      <w:r>
        <w:rPr>
          <w:rFonts w:hint="eastAsia" w:ascii="宋体" w:hAnsi="宋体" w:eastAsia="宋体" w:cs="宋体"/>
          <w:bCs/>
          <w:color w:val="000000" w:themeColor="text1"/>
          <w:szCs w:val="21"/>
          <w14:textFill>
            <w14:solidFill>
              <w14:schemeClr w14:val="tx1"/>
            </w14:solidFill>
          </w14:textFill>
        </w:rPr>
        <w:t>货物交付、安装、调试后一月内(遇寒暑假和法定节假日顺延)采购人支付合同总金额的90%，付款之前需收到中标单位开具的合法有效的相应全额发票。验收合格后，支付剩余合同总金额的10%。</w:t>
      </w:r>
    </w:p>
    <w:p w14:paraId="3D9D430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eastAsia="宋体" w:cs="宋体"/>
          <w:b/>
          <w:bCs w:val="0"/>
          <w:color w:val="000000" w:themeColor="text1"/>
          <w:szCs w:val="21"/>
          <w14:textFill>
            <w14:solidFill>
              <w14:schemeClr w14:val="tx1"/>
            </w14:solidFill>
          </w14:textFill>
        </w:rPr>
        <w:t>B[进口设备(免税)]:</w:t>
      </w:r>
      <w:r>
        <w:rPr>
          <w:rFonts w:hint="eastAsia" w:ascii="宋体" w:hAnsi="宋体" w:eastAsia="宋体" w:cs="宋体"/>
          <w:bCs/>
          <w:color w:val="000000" w:themeColor="text1"/>
          <w:szCs w:val="21"/>
          <w14:textFill>
            <w14:solidFill>
              <w14:schemeClr w14:val="tx1"/>
            </w14:solidFill>
          </w14:textFill>
        </w:rPr>
        <w:t>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3个月后的一周内，支付剩余合同总金额的10%(无息))</w:t>
      </w:r>
      <w:r>
        <w:rPr>
          <w:rFonts w:hint="eastAsia" w:ascii="宋体" w:hAnsi="宋体" w:cs="宋体"/>
          <w:bCs/>
          <w:color w:val="000000" w:themeColor="text1"/>
          <w:szCs w:val="21"/>
          <w:lang w:eastAsia="zh-CN"/>
          <w14:textFill>
            <w14:solidFill>
              <w14:schemeClr w14:val="tx1"/>
            </w14:solidFill>
          </w14:textFill>
        </w:rPr>
        <w:t>。</w:t>
      </w:r>
    </w:p>
    <w:bookmarkEnd w:id="31"/>
    <w:p w14:paraId="0929313E">
      <w:pPr>
        <w:numPr>
          <w:ilvl w:val="0"/>
          <w:numId w:val="0"/>
        </w:numPr>
        <w:spacing w:line="360" w:lineRule="auto"/>
        <w:ind w:firstLine="454" w:firstLineChars="200"/>
        <w:rPr>
          <w:rFonts w:hint="eastAsia" w:ascii="宋体" w:hAnsi="宋体" w:cs="宋体"/>
          <w:b/>
          <w:bCs/>
          <w:color w:val="000000" w:themeColor="text1"/>
          <w:spacing w:val="8"/>
          <w:kern w:val="0"/>
          <w:sz w:val="21"/>
          <w:szCs w:val="21"/>
          <w:lang w:val="en-US" w:eastAsia="zh-CN" w:bidi="ar-SA"/>
          <w14:textFill>
            <w14:solidFill>
              <w14:schemeClr w14:val="tx1"/>
            </w14:solidFill>
          </w14:textFill>
        </w:rPr>
      </w:pPr>
    </w:p>
    <w:p w14:paraId="384968A6">
      <w:pPr>
        <w:numPr>
          <w:ilvl w:val="0"/>
          <w:numId w:val="0"/>
        </w:numPr>
        <w:spacing w:line="360" w:lineRule="auto"/>
        <w:ind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 w:val="21"/>
          <w:szCs w:val="21"/>
          <w:lang w:val="en-US" w:eastAsia="zh-CN" w:bidi="ar-SA"/>
          <w14:textFill>
            <w14:solidFill>
              <w14:schemeClr w14:val="tx1"/>
            </w14:solidFill>
          </w14:textFill>
        </w:rPr>
        <w:t>七</w:t>
      </w:r>
      <w:r>
        <w:rPr>
          <w:rFonts w:hint="eastAsia" w:ascii="宋体" w:hAnsi="宋体" w:eastAsia="宋体" w:cs="宋体"/>
          <w:b/>
          <w:bCs/>
          <w:color w:val="000000" w:themeColor="text1"/>
          <w:spacing w:val="8"/>
          <w:kern w:val="0"/>
          <w:sz w:val="21"/>
          <w:szCs w:val="21"/>
          <w:lang w:val="en-US" w:eastAsia="zh-CN" w:bidi="ar-SA"/>
          <w14:textFill>
            <w14:solidFill>
              <w14:schemeClr w14:val="tx1"/>
            </w14:solidFill>
          </w14:textFill>
        </w:rPr>
        <w:t>、</w:t>
      </w:r>
      <w:r>
        <w:rPr>
          <w:rFonts w:hint="eastAsia" w:ascii="宋体" w:hAnsi="宋体" w:eastAsia="宋体" w:cs="宋体"/>
          <w:b/>
          <w:bCs/>
          <w:color w:val="000000" w:themeColor="text1"/>
          <w:spacing w:val="8"/>
          <w:kern w:val="0"/>
          <w:szCs w:val="21"/>
          <w14:textFill>
            <w14:solidFill>
              <w14:schemeClr w14:val="tx1"/>
            </w14:solidFill>
          </w14:textFill>
        </w:rPr>
        <w:t>报价要求</w:t>
      </w:r>
    </w:p>
    <w:p w14:paraId="73407002">
      <w:pP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1</w:t>
      </w:r>
      <w:r>
        <w:rPr>
          <w:rFonts w:hint="eastAsia" w:ascii="宋体" w:hAnsi="宋体" w:eastAsia="宋体" w:cs="宋体"/>
          <w:bCs/>
          <w:color w:val="000000" w:themeColor="text1"/>
          <w:szCs w:val="21"/>
          <w:lang w:val="en-US" w:eastAsia="zh-CN"/>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p>
    <w:p w14:paraId="0A15F66A">
      <w:pP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如进口免税货物在国务院税委会公告的加征关税商品清单中，加征的关税应包含在投标总价中，即采购人在按照政府采购合同规定的付款方式和金额支付完货款后，不承担任何其他的或后续的费用。</w:t>
      </w:r>
    </w:p>
    <w:p w14:paraId="079AF363">
      <w:pP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2</w:t>
      </w:r>
      <w:r>
        <w:rPr>
          <w:rFonts w:hint="eastAsia" w:ascii="宋体" w:hAnsi="宋体" w:eastAsia="宋体" w:cs="宋体"/>
          <w:bCs/>
          <w:color w:val="000000" w:themeColor="text1"/>
          <w:szCs w:val="21"/>
          <w:lang w:val="en-US" w:eastAsia="zh-CN"/>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报价时应充分考虑所有可能影响到报价的因素，一旦评审结束最终成交，如发生漏、缺、少项都将被认为是成交供应商的报价让利行为，损失自负。</w:t>
      </w:r>
    </w:p>
    <w:p w14:paraId="5E77DD40">
      <w:pP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3</w:t>
      </w:r>
      <w:r>
        <w:rPr>
          <w:rFonts w:hint="eastAsia" w:ascii="宋体" w:hAnsi="宋体" w:eastAsia="宋体" w:cs="宋体"/>
          <w:bCs/>
          <w:color w:val="000000" w:themeColor="text1"/>
          <w:szCs w:val="21"/>
          <w:lang w:val="en-US" w:eastAsia="zh-CN"/>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p>
    <w:p w14:paraId="376FDA9C">
      <w:pPr>
        <w:pStyle w:val="22"/>
        <w:spacing w:line="360" w:lineRule="auto"/>
        <w:ind w:left="0" w:leftChars="0"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0977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9225DE6">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1679287C">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4112CE0D">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每段代理费率</w:t>
            </w:r>
          </w:p>
        </w:tc>
      </w:tr>
      <w:tr w14:paraId="58CE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C738DB1">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080FA788">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5B9AB2EB">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0.13</w:t>
            </w:r>
          </w:p>
        </w:tc>
      </w:tr>
      <w:tr w14:paraId="310A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007803D">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0ACF57F0">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4F6D595E">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0.11</w:t>
            </w:r>
          </w:p>
        </w:tc>
      </w:tr>
      <w:tr w14:paraId="094B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53B8A98">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0840CD40">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390ED69C">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0.07</w:t>
            </w:r>
          </w:p>
        </w:tc>
      </w:tr>
      <w:tr w14:paraId="0ED9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002C85C">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45CD5154">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70B5F089">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0.05</w:t>
            </w:r>
          </w:p>
        </w:tc>
      </w:tr>
      <w:tr w14:paraId="3FFE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D5A6C7B">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21009A07">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2F21D53D">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0.04</w:t>
            </w:r>
          </w:p>
        </w:tc>
      </w:tr>
      <w:tr w14:paraId="1923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17B86C6A">
            <w:pPr>
              <w:pStyle w:val="22"/>
              <w:spacing w:line="320" w:lineRule="exact"/>
              <w:ind w:left="0" w:leftChars="0"/>
              <w:jc w:val="center"/>
              <w:rPr>
                <w:rFonts w:hint="eastAsia" w:ascii="宋体" w:hAnsi="宋体" w:eastAsia="宋体" w:cs="宋体"/>
                <w:color w:val="000000"/>
                <w:szCs w:val="21"/>
              </w:rPr>
            </w:pPr>
            <w:r>
              <w:rPr>
                <w:rFonts w:hint="eastAsia" w:ascii="宋体" w:hAnsi="宋体" w:eastAsia="宋体" w:cs="宋体"/>
                <w:color w:val="000000"/>
                <w:szCs w:val="21"/>
              </w:rPr>
              <w:t>合同价为20万美元及以上的，代理费率不高于上述代理费中最低一档。</w:t>
            </w:r>
          </w:p>
        </w:tc>
      </w:tr>
    </w:tbl>
    <w:p w14:paraId="0FE20F3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如潜在供应商所投产品为进口产品，请自行综合考虑外贸代理费等报价事宜。</w:t>
      </w:r>
    </w:p>
    <w:p w14:paraId="6E6E45A8">
      <w:pPr>
        <w:spacing w:line="360" w:lineRule="auto"/>
        <w:ind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17734355">
      <w:pPr>
        <w:pStyle w:val="2"/>
        <w:numPr>
          <w:ilvl w:val="0"/>
          <w:numId w:val="0"/>
        </w:numPr>
        <w:rPr>
          <w:rFonts w:hint="eastAsia" w:ascii="宋体" w:hAnsi="宋体" w:eastAsia="宋体" w:cs="宋体"/>
        </w:rPr>
      </w:pPr>
      <w:r>
        <w:rPr>
          <w:rFonts w:hint="eastAsia" w:ascii="宋体" w:hAnsi="宋体" w:eastAsia="宋体" w:cs="宋体"/>
        </w:rPr>
        <w:br w:type="page"/>
      </w:r>
      <w:bookmarkStart w:id="32" w:name="_Toc7294"/>
      <w:r>
        <w:rPr>
          <w:rFonts w:hint="eastAsia" w:ascii="宋体" w:hAnsi="宋体" w:eastAsia="宋体" w:cs="宋体"/>
          <w:kern w:val="0"/>
        </w:rPr>
        <w:t>第五章 合同主要条款及格式</w:t>
      </w:r>
      <w:bookmarkEnd w:id="22"/>
      <w:bookmarkEnd w:id="32"/>
    </w:p>
    <w:p w14:paraId="39BDB66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22"/>
          <w:szCs w:val="22"/>
          <w:u w:val="single"/>
        </w:rPr>
      </w:pPr>
      <w:r>
        <w:rPr>
          <w:rFonts w:hint="eastAsia" w:ascii="宋体" w:hAnsi="宋体" w:eastAsia="宋体" w:cs="宋体"/>
          <w:b/>
          <w:bCs/>
          <w:sz w:val="28"/>
          <w:szCs w:val="28"/>
        </w:rPr>
        <w:t> </w:t>
      </w:r>
      <w:r>
        <w:rPr>
          <w:rFonts w:hint="eastAsia" w:ascii="宋体" w:hAnsi="宋体" w:eastAsia="宋体" w:cs="宋体"/>
          <w:b/>
          <w:bCs/>
          <w:sz w:val="28"/>
          <w:szCs w:val="28"/>
          <w:lang w:eastAsia="zh-CN"/>
        </w:rPr>
        <w:t>南京医科大学血浆蛋白质组学纳米磁珠富集试剂采购项目</w:t>
      </w:r>
      <w:r>
        <w:rPr>
          <w:rFonts w:hint="eastAsia" w:ascii="宋体" w:hAnsi="宋体" w:eastAsia="宋体" w:cs="宋体"/>
          <w:b/>
          <w:bCs/>
          <w:sz w:val="28"/>
          <w:szCs w:val="28"/>
        </w:rPr>
        <w:t xml:space="preserve">合同 </w:t>
      </w:r>
    </w:p>
    <w:p w14:paraId="773C90D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甲方：（买方）_________         乙方：（卖方）_________ </w:t>
      </w:r>
    </w:p>
    <w:p w14:paraId="2DF0732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p>
    <w:p w14:paraId="24E0F3C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地址：</w:t>
      </w:r>
      <w:r>
        <w:rPr>
          <w:rFonts w:hint="eastAsia" w:ascii="宋体" w:hAnsi="宋体" w:eastAsia="宋体" w:cs="宋体"/>
          <w:sz w:val="21"/>
          <w:szCs w:val="21"/>
          <w:u w:val="single"/>
        </w:rPr>
        <w:t xml:space="preserve">                 </w:t>
      </w:r>
    </w:p>
    <w:p w14:paraId="64E2F1E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联系人：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联系人：</w:t>
      </w:r>
      <w:r>
        <w:rPr>
          <w:rFonts w:hint="eastAsia" w:ascii="宋体" w:hAnsi="宋体" w:eastAsia="宋体" w:cs="宋体"/>
          <w:sz w:val="21"/>
          <w:szCs w:val="21"/>
          <w:u w:val="single"/>
        </w:rPr>
        <w:t xml:space="preserve">                </w:t>
      </w:r>
    </w:p>
    <w:p w14:paraId="7A7DAB4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57CBD9F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甲、乙双方根据南京医科大学</w:t>
      </w:r>
      <w:r>
        <w:rPr>
          <w:rFonts w:hint="eastAsia" w:ascii="宋体" w:hAnsi="宋体" w:eastAsia="宋体" w:cs="宋体"/>
          <w:sz w:val="21"/>
          <w:szCs w:val="21"/>
          <w:u w:val="single"/>
        </w:rPr>
        <w:t xml:space="preserve"> 南京医科大学血浆蛋白质组学纳米磁珠富集试剂采购项目 </w:t>
      </w:r>
      <w:r>
        <w:rPr>
          <w:rFonts w:hint="eastAsia" w:ascii="宋体" w:hAnsi="宋体" w:eastAsia="宋体" w:cs="宋体"/>
          <w:sz w:val="21"/>
          <w:szCs w:val="21"/>
        </w:rPr>
        <w:t>公开招标的结果，本着自愿及平等互利的原则，就甲方向乙方购买本合同约定的货物事宜，签署本合同。</w:t>
      </w:r>
    </w:p>
    <w:p w14:paraId="683F2C13">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222"/>
        <w:gridCol w:w="862"/>
        <w:gridCol w:w="862"/>
        <w:gridCol w:w="862"/>
        <w:gridCol w:w="869"/>
        <w:gridCol w:w="1359"/>
        <w:gridCol w:w="1364"/>
      </w:tblGrid>
      <w:tr w14:paraId="3585D60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117D007E">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1ACB10BD">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EF69805">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E72525B">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EDE04BA">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08485483">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140B14C3">
            <w:pPr>
              <w:spacing w:line="240" w:lineRule="atLeas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04DE3E67">
            <w:pPr>
              <w:rPr>
                <w:rFonts w:hint="eastAsia" w:ascii="宋体" w:hAnsi="宋体" w:eastAsia="宋体" w:cs="宋体"/>
                <w:b/>
                <w:sz w:val="21"/>
                <w:szCs w:val="21"/>
                <w:highlight w:val="none"/>
              </w:rPr>
            </w:pPr>
            <w:r>
              <w:rPr>
                <w:rFonts w:hint="eastAsia" w:ascii="宋体" w:hAnsi="宋体" w:eastAsia="宋体" w:cs="宋体"/>
                <w:b/>
                <w:sz w:val="21"/>
                <w:szCs w:val="21"/>
                <w:highlight w:val="none"/>
              </w:rPr>
              <w:t>总价（元）</w:t>
            </w:r>
          </w:p>
        </w:tc>
      </w:tr>
      <w:tr w14:paraId="4F40EAC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82" w:type="dxa"/>
            <w:tcBorders>
              <w:top w:val="single" w:color="auto" w:sz="4" w:space="0"/>
              <w:left w:val="single" w:color="auto" w:sz="12" w:space="0"/>
              <w:bottom w:val="single" w:color="auto" w:sz="4" w:space="0"/>
              <w:right w:val="single" w:color="auto" w:sz="4" w:space="0"/>
            </w:tcBorders>
            <w:vAlign w:val="center"/>
          </w:tcPr>
          <w:p w14:paraId="37505DA8">
            <w:pPr>
              <w:spacing w:line="600" w:lineRule="atLeast"/>
              <w:jc w:val="center"/>
              <w:rPr>
                <w:rFonts w:hint="eastAsia" w:ascii="宋体" w:hAnsi="宋体" w:eastAsia="宋体" w:cs="宋体"/>
                <w:b/>
                <w:sz w:val="21"/>
                <w:szCs w:val="21"/>
              </w:rPr>
            </w:pPr>
            <w:r>
              <w:rPr>
                <w:rFonts w:hint="eastAsia" w:ascii="宋体" w:hAnsi="宋体" w:eastAsia="宋体" w:cs="宋体"/>
                <w:b/>
                <w:sz w:val="21"/>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34111C43">
            <w:pPr>
              <w:spacing w:line="600" w:lineRule="atLeast"/>
              <w:jc w:val="center"/>
              <w:rPr>
                <w:rFonts w:hint="eastAsia" w:ascii="宋体" w:hAnsi="宋体" w:eastAsia="宋体" w:cs="宋体"/>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29B36D5">
            <w:pPr>
              <w:jc w:val="center"/>
              <w:rPr>
                <w:rFonts w:hint="eastAsia" w:ascii="宋体" w:hAnsi="宋体" w:eastAsia="宋体" w:cs="宋体"/>
                <w:color w:val="000000"/>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916104E">
            <w:pPr>
              <w:spacing w:line="600" w:lineRule="atLeast"/>
              <w:ind w:firstLine="103" w:firstLineChars="49"/>
              <w:jc w:val="center"/>
              <w:rPr>
                <w:rFonts w:hint="eastAsia" w:ascii="宋体" w:hAnsi="宋体" w:eastAsia="宋体" w:cs="宋体"/>
                <w:b/>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D20A46F">
            <w:pPr>
              <w:spacing w:line="240" w:lineRule="atLeast"/>
              <w:jc w:val="center"/>
              <w:rPr>
                <w:rFonts w:hint="eastAsia" w:ascii="宋体" w:hAnsi="宋体" w:eastAsia="宋体" w:cs="宋体"/>
                <w:b/>
                <w:sz w:val="21"/>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69B9366A">
            <w:pPr>
              <w:jc w:val="center"/>
              <w:rPr>
                <w:rFonts w:hint="eastAsia" w:ascii="宋体" w:hAnsi="宋体" w:eastAsia="宋体" w:cs="宋体"/>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4183CC7F">
            <w:pPr>
              <w:jc w:val="center"/>
              <w:rPr>
                <w:rFonts w:hint="eastAsia" w:ascii="宋体" w:hAnsi="宋体" w:eastAsia="宋体" w:cs="宋体"/>
                <w:sz w:val="21"/>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5F18AAD8">
            <w:pPr>
              <w:jc w:val="center"/>
              <w:rPr>
                <w:rFonts w:hint="eastAsia" w:ascii="宋体" w:hAnsi="宋体" w:eastAsia="宋体" w:cs="宋体"/>
                <w:sz w:val="21"/>
                <w:szCs w:val="21"/>
              </w:rPr>
            </w:pPr>
          </w:p>
        </w:tc>
      </w:tr>
      <w:tr w14:paraId="00F5288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1277D124">
            <w:pPr>
              <w:spacing w:line="600" w:lineRule="atLeast"/>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7635A19D">
            <w:pPr>
              <w:spacing w:line="600" w:lineRule="atLeast"/>
              <w:jc w:val="center"/>
              <w:rPr>
                <w:rFonts w:hint="eastAsia" w:ascii="宋体" w:hAnsi="宋体" w:eastAsia="宋体" w:cs="宋体"/>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F8A8D76">
            <w:pPr>
              <w:jc w:val="center"/>
              <w:rPr>
                <w:rFonts w:hint="eastAsia" w:ascii="宋体" w:hAnsi="宋体" w:eastAsia="宋体" w:cs="宋体"/>
                <w:color w:val="000000"/>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72B7C">
            <w:pPr>
              <w:spacing w:line="600" w:lineRule="atLeast"/>
              <w:ind w:firstLine="103" w:firstLineChars="49"/>
              <w:jc w:val="center"/>
              <w:rPr>
                <w:rFonts w:hint="eastAsia" w:ascii="宋体" w:hAnsi="宋体" w:eastAsia="宋体" w:cs="宋体"/>
                <w:b/>
                <w:sz w:val="21"/>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A335FF5">
            <w:pPr>
              <w:spacing w:line="240" w:lineRule="atLeast"/>
              <w:jc w:val="center"/>
              <w:rPr>
                <w:rFonts w:hint="eastAsia" w:ascii="宋体" w:hAnsi="宋体" w:eastAsia="宋体" w:cs="宋体"/>
                <w:b/>
                <w:sz w:val="21"/>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2892774F">
            <w:pPr>
              <w:jc w:val="center"/>
              <w:rPr>
                <w:rFonts w:hint="eastAsia" w:ascii="宋体" w:hAnsi="宋体" w:eastAsia="宋体" w:cs="宋体"/>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50A5C86">
            <w:pPr>
              <w:jc w:val="center"/>
              <w:rPr>
                <w:rFonts w:hint="eastAsia" w:ascii="宋体" w:hAnsi="宋体" w:eastAsia="宋体" w:cs="宋体"/>
                <w:sz w:val="21"/>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A9523A9">
            <w:pPr>
              <w:jc w:val="center"/>
              <w:rPr>
                <w:rFonts w:hint="eastAsia" w:ascii="宋体" w:hAnsi="宋体" w:eastAsia="宋体" w:cs="宋体"/>
                <w:sz w:val="21"/>
                <w:szCs w:val="21"/>
              </w:rPr>
            </w:pPr>
          </w:p>
        </w:tc>
      </w:tr>
      <w:tr w14:paraId="479771E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70B23A26">
            <w:pPr>
              <w:spacing w:line="300" w:lineRule="exact"/>
              <w:rPr>
                <w:rFonts w:hint="eastAsia" w:ascii="宋体" w:hAnsi="宋体" w:eastAsia="宋体" w:cs="宋体"/>
                <w:color w:val="000000"/>
                <w:sz w:val="21"/>
                <w:szCs w:val="21"/>
              </w:rPr>
            </w:pPr>
            <w:r>
              <w:rPr>
                <w:rFonts w:hint="eastAsia" w:ascii="宋体" w:hAnsi="宋体" w:eastAsia="宋体" w:cs="宋体"/>
                <w:b/>
                <w:sz w:val="21"/>
                <w:szCs w:val="21"/>
              </w:rPr>
              <w:t xml:space="preserve">总价（人民币大写）：                         </w:t>
            </w:r>
            <w:r>
              <w:rPr>
                <w:rFonts w:hint="eastAsia" w:ascii="宋体" w:hAnsi="宋体" w:eastAsia="宋体" w:cs="宋体"/>
                <w:sz w:val="21"/>
                <w:szCs w:val="21"/>
              </w:rPr>
              <w:t>合计（小写）：</w:t>
            </w:r>
          </w:p>
        </w:tc>
      </w:tr>
      <w:tr w14:paraId="79B7680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37BBB3D8">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p w14:paraId="451F1590">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74721D54">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此外，</w:t>
            </w:r>
          </w:p>
          <w:p w14:paraId="3A70C00F">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（1）若合同在履行过程中因国家政策调整，不在进口货物免税清单内，加征的关税亦包含在本合同总价款中。</w:t>
            </w:r>
          </w:p>
          <w:p w14:paraId="7AD8E57A">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1D2CB6A6">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以上两种情况，甲方按照采购合同约定的付款方式支付给委托的外贸公司后，甲方即完成向乙方付款义务，乙方不得再向甲方追索本项目款项。</w:t>
            </w:r>
          </w:p>
          <w:p w14:paraId="25B065E9">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4CDE2B95">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27B0281B">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二、结算方式</w:t>
      </w:r>
    </w:p>
    <w:p w14:paraId="43417E4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2.1结算方式：</w:t>
      </w:r>
    </w:p>
    <w:p w14:paraId="742A9CC3">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A[国产设备及进口设备(非免税)]:</w:t>
      </w:r>
      <w:r>
        <w:rPr>
          <w:rFonts w:hint="eastAsia" w:ascii="宋体" w:hAnsi="宋体" w:eastAsia="宋体" w:cs="宋体"/>
          <w:kern w:val="0"/>
          <w:sz w:val="21"/>
          <w:szCs w:val="21"/>
          <w:highlight w:val="none"/>
        </w:rPr>
        <w:t>货物交付、安装、调试后一月内(遇寒暑假和法定节假日顺延)采购人支付合同总金额的90%，付款之前需收到中标单位开具的合法有效的相应全额发票。验收合格后，支付剩余合同总金额的10%。</w:t>
      </w:r>
    </w:p>
    <w:p w14:paraId="52256C74">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kern w:val="0"/>
          <w:sz w:val="21"/>
          <w:szCs w:val="21"/>
          <w:highlight w:val="none"/>
        </w:rPr>
      </w:pPr>
      <w:r>
        <w:rPr>
          <w:rFonts w:hint="eastAsia" w:ascii="宋体" w:hAnsi="宋体" w:eastAsia="宋体" w:cs="宋体"/>
          <w:b/>
          <w:bCs/>
          <w:kern w:val="0"/>
          <w:sz w:val="21"/>
          <w:szCs w:val="21"/>
          <w:highlight w:val="none"/>
        </w:rPr>
        <w:t>B[进口设备(免税)]:</w:t>
      </w:r>
      <w:r>
        <w:rPr>
          <w:rFonts w:hint="eastAsia" w:ascii="宋体" w:hAnsi="宋体" w:eastAsia="宋体" w:cs="宋体"/>
          <w:kern w:val="0"/>
          <w:sz w:val="21"/>
          <w:szCs w:val="21"/>
          <w:highlight w:val="none"/>
        </w:rPr>
        <w:t>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3个月后的一周内，支付剩余合同总金额的10%(无息))。</w:t>
      </w:r>
    </w:p>
    <w:p w14:paraId="69221E1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2.2履约保证金（根据招标文件要求选用）</w:t>
      </w:r>
    </w:p>
    <w:p w14:paraId="6BBA10B8">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2" w:char="0052"/>
      </w:r>
      <w:r>
        <w:rPr>
          <w:rFonts w:hint="eastAsia" w:ascii="宋体" w:hAnsi="宋体" w:eastAsia="宋体" w:cs="宋体"/>
          <w:sz w:val="21"/>
          <w:szCs w:val="21"/>
          <w:highlight w:val="none"/>
        </w:rPr>
        <w:t>本项目不需要缴纳履约保证金。</w:t>
      </w:r>
    </w:p>
    <w:p w14:paraId="6C5E677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2" w:char="00A3"/>
      </w:r>
      <w:r>
        <w:rPr>
          <w:rFonts w:hint="eastAsia" w:ascii="宋体" w:hAnsi="宋体" w:eastAsia="宋体" w:cs="宋体"/>
          <w:sz w:val="21"/>
          <w:szCs w:val="21"/>
          <w:highlight w:val="none"/>
        </w:rPr>
        <w:t>本项目需要缴纳履约保证金，具体要求如下：</w:t>
      </w:r>
    </w:p>
    <w:p w14:paraId="48B0794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（1）供应商中标后7个工作日内，将中标合同金额10%的履约保证金以银行对公转账形式支付至</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指定账户，并将加盖单位公章的银行回执单或网银截图递交至</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凭付款凭证及到款情况办理合同签订相关手续。</w:t>
      </w:r>
    </w:p>
    <w:p w14:paraId="3D5716E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南京医科大学指定账户信息具体如下：</w:t>
      </w:r>
    </w:p>
    <w:p w14:paraId="5CF55E8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单位名称：南京医科大学</w:t>
      </w:r>
    </w:p>
    <w:p w14:paraId="25CAAB5D">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 户 行：南京市工行汉中门支行                          </w:t>
      </w:r>
    </w:p>
    <w:p w14:paraId="595FD34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账    号：4301010109001038622</w:t>
      </w:r>
    </w:p>
    <w:p w14:paraId="2394F92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注：请在转账时备注“项目名称+履约保证保金”字样。</w:t>
      </w:r>
    </w:p>
    <w:p w14:paraId="140A71E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合同履行过程中，若经</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核实存在货物质量问题或</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违约情形，</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有权在通知</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后，从履约保证金中抵扣相应的补偿或赔偿款项。</w:t>
      </w:r>
    </w:p>
    <w:p w14:paraId="5A43061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履约保证金退还流程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自货物验收合格之日起12个月后，</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可向</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出具货物最终验收单，并同步提交填写完整的《履约保证金退还申请单》。经最终用户签字确认，核实无质量问题且</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无违约情形后，</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rPr>
        <w:t>于确认完成后一个月内，将履约保证金一次性无息退还</w:t>
      </w:r>
      <w:r>
        <w:rPr>
          <w:rFonts w:hint="eastAsia" w:ascii="宋体" w:hAnsi="宋体" w:eastAsia="宋体" w:cs="宋体"/>
          <w:sz w:val="21"/>
          <w:szCs w:val="21"/>
          <w:highlight w:val="none"/>
          <w:lang w:val="en-US" w:eastAsia="zh-CN"/>
        </w:rPr>
        <w:t>乙方</w:t>
      </w:r>
      <w:r>
        <w:rPr>
          <w:rFonts w:hint="eastAsia" w:ascii="宋体" w:hAnsi="宋体" w:eastAsia="宋体" w:cs="宋体"/>
          <w:sz w:val="21"/>
          <w:szCs w:val="21"/>
          <w:highlight w:val="none"/>
        </w:rPr>
        <w:t>。</w:t>
      </w:r>
    </w:p>
    <w:p w14:paraId="42481D2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2.3当采购数量与实际使用数量不一致时，乙方应根据实际使用量供货，合同的最终结算金额按实际使用量乘以本合同约定的成交单价</w:t>
      </w:r>
      <w:r>
        <w:rPr>
          <w:rFonts w:hint="eastAsia" w:ascii="宋体" w:hAnsi="宋体" w:eastAsia="宋体" w:cs="宋体"/>
          <w:sz w:val="21"/>
          <w:szCs w:val="21"/>
        </w:rPr>
        <w:t>进行计算。</w:t>
      </w:r>
    </w:p>
    <w:p w14:paraId="2BD25D4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2.4乙方指定账户信息：</w:t>
      </w:r>
    </w:p>
    <w:p w14:paraId="1DCF05B1">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开户行：</w:t>
      </w:r>
    </w:p>
    <w:p w14:paraId="5E7D0FB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户名：</w:t>
      </w:r>
    </w:p>
    <w:p w14:paraId="4CC731BF">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账号：</w:t>
      </w:r>
    </w:p>
    <w:p w14:paraId="15455B80">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上述账户信息，如有变更，乙方应在变更前3日内书面通知甲方。否则，由此产生的后果由乙方承担。</w:t>
      </w:r>
    </w:p>
    <w:p w14:paraId="650600E1">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三、交付方式、时间及地点</w:t>
      </w:r>
    </w:p>
    <w:p w14:paraId="16DC1B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w:t>
      </w:r>
      <w:r>
        <w:rPr>
          <w:rFonts w:hint="eastAsia" w:ascii="宋体" w:hAnsi="宋体" w:eastAsia="宋体" w:cs="宋体"/>
          <w:sz w:val="21"/>
          <w:szCs w:val="21"/>
        </w:rPr>
        <w:t>1</w:t>
      </w:r>
      <w:r>
        <w:rPr>
          <w:rFonts w:hint="eastAsia" w:ascii="宋体" w:hAnsi="宋体" w:eastAsia="宋体" w:cs="宋体"/>
          <w:sz w:val="21"/>
          <w:szCs w:val="21"/>
          <w:lang w:val="zh-CN"/>
        </w:rPr>
        <w:t>）交货期：按照2年执行，在合同签订生效后，按照采购人采纳的送货方案送货。</w:t>
      </w:r>
    </w:p>
    <w:p w14:paraId="5544B28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zh-CN"/>
        </w:rPr>
        <w:t>）交货方式：试剂盒可一次性发货，也可根据实验进度分批发货，供应商需给出明确送货方案文件。</w:t>
      </w:r>
    </w:p>
    <w:p w14:paraId="5A4C180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val="zh-CN"/>
        </w:rPr>
        <w:t>）交货地点</w:t>
      </w:r>
      <w:r>
        <w:rPr>
          <w:rFonts w:hint="eastAsia" w:ascii="宋体" w:hAnsi="宋体" w:eastAsia="宋体" w:cs="宋体"/>
          <w:b w:val="0"/>
          <w:bCs w:val="0"/>
          <w:sz w:val="21"/>
          <w:szCs w:val="21"/>
          <w:highlight w:val="none"/>
          <w:lang w:val="zh-CN"/>
        </w:rPr>
        <w:t>：南京医科大学指定地点。</w:t>
      </w:r>
    </w:p>
    <w:p w14:paraId="0222E83D">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四、货物包装、发运及运输</w:t>
      </w:r>
    </w:p>
    <w:p w14:paraId="434FA6B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乙方应在货物发运前根据运输距离、防潮、防震、防锈和防破损装卸等要求进行相应的包装，以保证货物安全运达甲方指定地点。</w:t>
      </w:r>
    </w:p>
    <w:p w14:paraId="0DB8B7D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 使用说明书、质量检验证明书、随配附件和工具以及清单一并附于货物内。</w:t>
      </w:r>
    </w:p>
    <w:p w14:paraId="2A98813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4.3 乙方在货物发运手续办理完毕后24小时内或货到甲方48小时前通知甲方，以准备接货。</w:t>
      </w:r>
    </w:p>
    <w:p w14:paraId="066E911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4.4 货物在交付甲方前发生的风险均由乙方负责。</w:t>
      </w:r>
    </w:p>
    <w:p w14:paraId="34C80A36">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五、质量保证及售后服务</w:t>
      </w:r>
    </w:p>
    <w:p w14:paraId="20973D9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7E8DC6D0">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5C98C8D">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5.3上述货物的质保期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年。（自交货验收合格次日起计算），因人为因素出现的故障不在免费保修范围内。</w:t>
      </w:r>
    </w:p>
    <w:p w14:paraId="66C7A268">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5.4在质保期内，如在使用过程中发生质量问题，乙方在接到甲方通知后在_________小时内响应，并在_________小时内赶到甲方现场，免费予以排除故障、修复或者更换零部件。如未及时维修的，甲方</w:t>
      </w:r>
      <w:r>
        <w:rPr>
          <w:rFonts w:hint="eastAsia" w:ascii="宋体" w:hAnsi="宋体" w:eastAsia="宋体" w:cs="宋体"/>
          <w:sz w:val="21"/>
          <w:szCs w:val="21"/>
          <w:highlight w:val="none"/>
        </w:rPr>
        <w:t>委托他人维修，维修费优先从履约保证金中直接扣除，履约保证金不足的，甲方有权向乙方追偿；甲方无需经乙方同意即可单方委托第三方维修，维修费用按实际发生额计算。</w:t>
      </w:r>
    </w:p>
    <w:p w14:paraId="35BB02B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5.5 在质保期内，乙方应对货物出现的质量及安全问题负责</w:t>
      </w:r>
      <w:r>
        <w:rPr>
          <w:rFonts w:hint="eastAsia" w:ascii="宋体" w:hAnsi="宋体" w:eastAsia="宋体" w:cs="宋体"/>
          <w:sz w:val="21"/>
          <w:szCs w:val="21"/>
        </w:rPr>
        <w:t>处理解决并承担一切费用。</w:t>
      </w:r>
    </w:p>
    <w:p w14:paraId="36E0FE8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05C9BBC1">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六、调试和验收</w:t>
      </w:r>
    </w:p>
    <w:p w14:paraId="150BF94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6.1 乙方交货前应对货物全面检查并对验收文件进行整理，列出清单提交甲方，检验的结果亦应随货物交甲方。</w:t>
      </w:r>
    </w:p>
    <w:p w14:paraId="09A3B0A1">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6.2 甲方对乙方提供的货物在使用前进行调试时，乙方需负责安装并培训甲方的使用操作人员，并协助甲方一起调试，直到符合技术要求。</w:t>
      </w:r>
    </w:p>
    <w:p w14:paraId="538ABEA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6.3 在安装、调试和验收过程中，如发现有漏件、缺件，乙方应无条件、无偿补齐，所发生的一切费用，视为已包含在投标时的投标报价中，且并不因此而影响交付甲方使用的时间。</w:t>
      </w:r>
    </w:p>
    <w:p w14:paraId="0CE6814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6.4 甲方对乙方提</w:t>
      </w:r>
      <w:r>
        <w:rPr>
          <w:rFonts w:hint="eastAsia" w:ascii="宋体" w:hAnsi="宋体" w:eastAsia="宋体" w:cs="宋体"/>
          <w:sz w:val="21"/>
          <w:szCs w:val="21"/>
          <w:highlight w:val="none"/>
        </w:rPr>
        <w:t>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37742F2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6.5 设备、材料安装、调试结束，甲、乙双方派员共同验收，达到验收标准则验收合格。验收完毕后出具验收结果报告并经双方签字确认；</w:t>
      </w:r>
      <w:r>
        <w:rPr>
          <w:rFonts w:hint="eastAsia" w:ascii="宋体" w:hAnsi="宋体" w:eastAsia="宋体" w:cs="宋体"/>
          <w:sz w:val="21"/>
          <w:szCs w:val="21"/>
        </w:rPr>
        <w:t>验收相关费用由乙方承担。</w:t>
      </w:r>
    </w:p>
    <w:p w14:paraId="53791D5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1729E941">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七、技术资料</w:t>
      </w:r>
    </w:p>
    <w:p w14:paraId="689F3E8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rPr>
      </w:pPr>
      <w:r>
        <w:rPr>
          <w:rFonts w:hint="eastAsia" w:ascii="宋体" w:hAnsi="宋体" w:eastAsia="宋体" w:cs="宋体"/>
          <w:sz w:val="21"/>
          <w:szCs w:val="21"/>
        </w:rPr>
        <w:t>7.1乙方应按招标文件规定的时间向甲方提供使用货物的有关技术资料。</w:t>
      </w:r>
    </w:p>
    <w:p w14:paraId="1100BCD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69A82F1E">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八、知识产权</w:t>
      </w:r>
    </w:p>
    <w:p w14:paraId="16EC73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5C36C1DE">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九、违约责任</w:t>
      </w:r>
    </w:p>
    <w:p w14:paraId="2549338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9.1 乙方履约的前提下，甲方无正当理由拒收货物的，甲方向乙方偿付拒收货款总值的万分之五违约金。甲方未按合同规定的时间和要求向乙方提供相关安装条件，乙方交付时间顺延。</w:t>
      </w:r>
    </w:p>
    <w:p w14:paraId="3130C25C">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9.2 乙方履约的前提下，甲方无故迟延支付货款的,甲方应按逾期付款总额每日万分之五向乙方支付违约金。</w:t>
      </w:r>
    </w:p>
    <w:p w14:paraId="46F5DA27">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6685F8B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61D41DE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DC3AA8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22A16E4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79F68E53">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9.8 乙方履行义务不符合合同约定时，甲方有权扣减总货款的10%作为违约金。</w:t>
      </w:r>
    </w:p>
    <w:p w14:paraId="01BE001F">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0231DE50">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十、不可抗力事件处理</w:t>
      </w:r>
    </w:p>
    <w:p w14:paraId="7419AD7B">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10.1 在合同有效期内，任何一方因不可抗力事件导致不能履行合同，则合同履行期可延长，其延长期与不可</w:t>
      </w:r>
      <w:r>
        <w:rPr>
          <w:rFonts w:hint="eastAsia" w:ascii="宋体" w:hAnsi="宋体" w:eastAsia="宋体" w:cs="宋体"/>
          <w:sz w:val="21"/>
          <w:szCs w:val="21"/>
        </w:rPr>
        <w:t>抗力影响期相同。</w:t>
      </w:r>
    </w:p>
    <w:p w14:paraId="3AFEFA5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 不可抗力事件发生后，应立即通知对方，并寄送有关权威机构出具的证明。</w:t>
      </w:r>
    </w:p>
    <w:p w14:paraId="2A4B783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 不可抗力事件延续30天以上，双方应通过友好协商，确定是否继续履行合同。</w:t>
      </w:r>
    </w:p>
    <w:p w14:paraId="1B1821B5">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十一、诉讼</w:t>
      </w:r>
    </w:p>
    <w:p w14:paraId="1E9BF8B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B9B629F">
      <w:pPr>
        <w:pStyle w:val="25"/>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十二、合同生效及其它</w:t>
      </w:r>
    </w:p>
    <w:p w14:paraId="3DD4DD1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12.1招投标文件、中标通知书作为合同的附件，与本合同具有同等法律效力。合同经双方法定代表人或授权委托代表人签字、盖章后生效。</w:t>
      </w:r>
    </w:p>
    <w:p w14:paraId="6B0CE08E">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12.2本合同未尽事宜，遵照《中华人民共和国民法典》有关条文执行。</w:t>
      </w:r>
    </w:p>
    <w:p w14:paraId="2EB3A132">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12.3 本合同正本一式</w:t>
      </w:r>
      <w:r>
        <w:rPr>
          <w:rFonts w:hint="eastAsia" w:ascii="宋体" w:hAnsi="宋体" w:eastAsia="宋体" w:cs="宋体"/>
          <w:sz w:val="21"/>
          <w:szCs w:val="21"/>
          <w:u w:val="single"/>
        </w:rPr>
        <w:t xml:space="preserve">     </w:t>
      </w:r>
      <w:r>
        <w:rPr>
          <w:rFonts w:hint="eastAsia" w:ascii="宋体" w:hAnsi="宋体" w:eastAsia="宋体" w:cs="宋体"/>
          <w:sz w:val="21"/>
          <w:szCs w:val="21"/>
        </w:rPr>
        <w:t>份，甲方</w:t>
      </w:r>
      <w:r>
        <w:rPr>
          <w:rFonts w:hint="eastAsia" w:ascii="宋体" w:hAnsi="宋体" w:eastAsia="宋体" w:cs="宋体"/>
          <w:sz w:val="21"/>
          <w:szCs w:val="21"/>
          <w:u w:val="single"/>
        </w:rPr>
        <w:t xml:space="preserve">     </w:t>
      </w:r>
      <w:r>
        <w:rPr>
          <w:rFonts w:hint="eastAsia" w:ascii="宋体" w:hAnsi="宋体" w:eastAsia="宋体" w:cs="宋体"/>
          <w:sz w:val="21"/>
          <w:szCs w:val="21"/>
        </w:rPr>
        <w:t>份，乙方</w:t>
      </w:r>
      <w:r>
        <w:rPr>
          <w:rFonts w:hint="eastAsia" w:ascii="宋体" w:hAnsi="宋体" w:eastAsia="宋体" w:cs="宋体"/>
          <w:sz w:val="21"/>
          <w:szCs w:val="21"/>
          <w:u w:val="single"/>
        </w:rPr>
        <w:t xml:space="preserve">    </w:t>
      </w:r>
      <w:r>
        <w:rPr>
          <w:rFonts w:hint="eastAsia" w:ascii="宋体" w:hAnsi="宋体" w:eastAsia="宋体" w:cs="宋体"/>
          <w:sz w:val="21"/>
          <w:szCs w:val="21"/>
        </w:rPr>
        <w:t>份，具有同等法律效力。</w:t>
      </w:r>
    </w:p>
    <w:p w14:paraId="4C78E9F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12.4 其他：</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CCF982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（以下无正文，为签字盖章处）</w:t>
      </w:r>
    </w:p>
    <w:p w14:paraId="37F47AD8">
      <w:pPr>
        <w:pStyle w:val="25"/>
        <w:spacing w:before="120" w:after="120"/>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1BAC6841">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甲方： 南京医科大学（盖章）                 乙方： （盖章）</w:t>
      </w:r>
    </w:p>
    <w:p w14:paraId="507C300E">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地址：南京市江宁区龙眠大道101号            地址： </w:t>
      </w:r>
    </w:p>
    <w:p w14:paraId="2E5588B2">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法定代表人/授权代表：（签字）               法定代表人/授权代表：（签字）</w:t>
      </w:r>
    </w:p>
    <w:p w14:paraId="1E0BC8A8">
      <w:pPr>
        <w:pStyle w:val="25"/>
        <w:spacing w:before="120" w:after="120" w:line="300" w:lineRule="auto"/>
        <w:rPr>
          <w:rFonts w:hint="eastAsia" w:ascii="宋体" w:hAnsi="宋体" w:eastAsia="宋体" w:cs="宋体"/>
          <w:sz w:val="21"/>
          <w:szCs w:val="21"/>
        </w:rPr>
      </w:pPr>
      <w:r>
        <w:rPr>
          <w:rFonts w:hint="eastAsia" w:ascii="宋体" w:hAnsi="宋体" w:eastAsia="宋体" w:cs="宋体"/>
          <w:sz w:val="21"/>
          <w:szCs w:val="21"/>
        </w:rPr>
        <w:t>签订日期：   年    月    日                 签订日期：   年    月    日</w:t>
      </w:r>
    </w:p>
    <w:p w14:paraId="12B97006">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br w:type="page"/>
      </w:r>
    </w:p>
    <w:p w14:paraId="4AF1FB8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附件1：分项报价表</w:t>
      </w:r>
    </w:p>
    <w:tbl>
      <w:tblPr>
        <w:tblStyle w:val="47"/>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292"/>
        <w:gridCol w:w="773"/>
        <w:gridCol w:w="776"/>
        <w:gridCol w:w="773"/>
        <w:gridCol w:w="1294"/>
        <w:gridCol w:w="1299"/>
        <w:gridCol w:w="1294"/>
      </w:tblGrid>
      <w:tr w14:paraId="0181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466" w:type="pct"/>
            <w:tcBorders>
              <w:top w:val="single" w:color="auto" w:sz="4" w:space="0"/>
              <w:left w:val="single" w:color="auto" w:sz="4" w:space="0"/>
              <w:bottom w:val="single" w:color="auto" w:sz="4" w:space="0"/>
              <w:right w:val="single" w:color="auto" w:sz="4" w:space="0"/>
            </w:tcBorders>
            <w:vAlign w:val="center"/>
          </w:tcPr>
          <w:p w14:paraId="3C0166DC">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781" w:type="pct"/>
            <w:tcBorders>
              <w:top w:val="single" w:color="auto" w:sz="4" w:space="0"/>
              <w:left w:val="single" w:color="auto" w:sz="4" w:space="0"/>
              <w:bottom w:val="single" w:color="auto" w:sz="4" w:space="0"/>
              <w:right w:val="single" w:color="auto" w:sz="4" w:space="0"/>
            </w:tcBorders>
            <w:vAlign w:val="center"/>
          </w:tcPr>
          <w:p w14:paraId="7F41696E">
            <w:pPr>
              <w:jc w:val="center"/>
              <w:rPr>
                <w:rFonts w:hint="eastAsia" w:ascii="宋体" w:hAnsi="宋体" w:eastAsia="宋体" w:cs="宋体"/>
                <w:sz w:val="21"/>
                <w:szCs w:val="21"/>
              </w:rPr>
            </w:pPr>
            <w:r>
              <w:rPr>
                <w:rFonts w:hint="eastAsia" w:ascii="宋体" w:hAnsi="宋体" w:eastAsia="宋体" w:cs="宋体"/>
                <w:sz w:val="21"/>
                <w:szCs w:val="21"/>
              </w:rPr>
              <w:t>标的名称</w:t>
            </w:r>
          </w:p>
        </w:tc>
        <w:tc>
          <w:tcPr>
            <w:tcW w:w="467" w:type="pct"/>
            <w:tcBorders>
              <w:top w:val="single" w:color="auto" w:sz="4" w:space="0"/>
              <w:left w:val="single" w:color="auto" w:sz="4" w:space="0"/>
              <w:bottom w:val="single" w:color="auto" w:sz="4" w:space="0"/>
              <w:right w:val="single" w:color="auto" w:sz="4" w:space="0"/>
            </w:tcBorders>
            <w:vAlign w:val="center"/>
          </w:tcPr>
          <w:p w14:paraId="0FEF1189">
            <w:pPr>
              <w:jc w:val="center"/>
              <w:rPr>
                <w:rFonts w:hint="eastAsia" w:ascii="宋体" w:hAnsi="宋体" w:eastAsia="宋体" w:cs="宋体"/>
                <w:sz w:val="21"/>
                <w:szCs w:val="21"/>
              </w:rPr>
            </w:pPr>
            <w:r>
              <w:rPr>
                <w:rFonts w:hint="eastAsia" w:ascii="宋体" w:hAnsi="宋体" w:eastAsia="宋体" w:cs="宋体"/>
                <w:sz w:val="21"/>
                <w:szCs w:val="21"/>
              </w:rPr>
              <w:t>数量</w:t>
            </w:r>
          </w:p>
        </w:tc>
        <w:tc>
          <w:tcPr>
            <w:tcW w:w="469" w:type="pct"/>
            <w:tcBorders>
              <w:top w:val="single" w:color="auto" w:sz="4" w:space="0"/>
              <w:left w:val="single" w:color="auto" w:sz="4" w:space="0"/>
              <w:bottom w:val="single" w:color="auto" w:sz="4" w:space="0"/>
              <w:right w:val="single" w:color="auto" w:sz="4" w:space="0"/>
            </w:tcBorders>
            <w:vAlign w:val="center"/>
          </w:tcPr>
          <w:p w14:paraId="525457D5">
            <w:pPr>
              <w:jc w:val="center"/>
              <w:rPr>
                <w:rFonts w:hint="eastAsia" w:ascii="宋体" w:hAnsi="宋体" w:eastAsia="宋体" w:cs="宋体"/>
                <w:sz w:val="21"/>
                <w:szCs w:val="21"/>
              </w:rPr>
            </w:pPr>
            <w:r>
              <w:rPr>
                <w:rFonts w:hint="eastAsia" w:ascii="宋体" w:hAnsi="宋体" w:eastAsia="宋体" w:cs="宋体"/>
                <w:sz w:val="21"/>
                <w:szCs w:val="21"/>
              </w:rPr>
              <w:t>单位</w:t>
            </w:r>
          </w:p>
        </w:tc>
        <w:tc>
          <w:tcPr>
            <w:tcW w:w="467" w:type="pct"/>
            <w:tcBorders>
              <w:top w:val="single" w:color="auto" w:sz="4" w:space="0"/>
              <w:left w:val="single" w:color="auto" w:sz="4" w:space="0"/>
              <w:bottom w:val="single" w:color="auto" w:sz="4" w:space="0"/>
              <w:right w:val="single" w:color="auto" w:sz="4" w:space="0"/>
            </w:tcBorders>
            <w:vAlign w:val="center"/>
          </w:tcPr>
          <w:p w14:paraId="6B059586">
            <w:pPr>
              <w:jc w:val="center"/>
              <w:rPr>
                <w:rFonts w:hint="eastAsia" w:ascii="宋体" w:hAnsi="宋体" w:eastAsia="宋体" w:cs="宋体"/>
                <w:sz w:val="21"/>
                <w:szCs w:val="21"/>
              </w:rPr>
            </w:pPr>
            <w:r>
              <w:rPr>
                <w:rFonts w:hint="eastAsia" w:ascii="宋体" w:hAnsi="宋体" w:eastAsia="宋体" w:cs="宋体"/>
                <w:sz w:val="21"/>
                <w:szCs w:val="21"/>
              </w:rPr>
              <w:t>品牌</w:t>
            </w:r>
          </w:p>
        </w:tc>
        <w:tc>
          <w:tcPr>
            <w:tcW w:w="782" w:type="pct"/>
            <w:tcBorders>
              <w:top w:val="single" w:color="auto" w:sz="4" w:space="0"/>
              <w:left w:val="single" w:color="auto" w:sz="4" w:space="0"/>
              <w:bottom w:val="single" w:color="auto" w:sz="4" w:space="0"/>
              <w:right w:val="single" w:color="auto" w:sz="4" w:space="0"/>
            </w:tcBorders>
            <w:vAlign w:val="center"/>
          </w:tcPr>
          <w:p w14:paraId="15D0B57F">
            <w:pPr>
              <w:jc w:val="center"/>
              <w:rPr>
                <w:rFonts w:hint="eastAsia" w:ascii="宋体" w:hAnsi="宋体" w:eastAsia="宋体" w:cs="宋体"/>
                <w:sz w:val="21"/>
                <w:szCs w:val="21"/>
              </w:rPr>
            </w:pPr>
            <w:r>
              <w:rPr>
                <w:rFonts w:hint="eastAsia" w:ascii="宋体" w:hAnsi="宋体" w:eastAsia="宋体" w:cs="宋体"/>
                <w:sz w:val="21"/>
                <w:szCs w:val="21"/>
              </w:rPr>
              <w:t>规格型号</w:t>
            </w:r>
          </w:p>
        </w:tc>
        <w:tc>
          <w:tcPr>
            <w:tcW w:w="782" w:type="pct"/>
            <w:tcBorders>
              <w:top w:val="single" w:color="auto" w:sz="4" w:space="0"/>
              <w:left w:val="single" w:color="auto" w:sz="4" w:space="0"/>
              <w:bottom w:val="single" w:color="auto" w:sz="4" w:space="0"/>
              <w:right w:val="single" w:color="auto" w:sz="4" w:space="0"/>
            </w:tcBorders>
            <w:vAlign w:val="center"/>
          </w:tcPr>
          <w:p w14:paraId="4F88E03C">
            <w:pPr>
              <w:jc w:val="center"/>
              <w:rPr>
                <w:rFonts w:hint="eastAsia" w:ascii="宋体" w:hAnsi="宋体" w:eastAsia="宋体" w:cs="宋体"/>
                <w:sz w:val="21"/>
                <w:szCs w:val="21"/>
              </w:rPr>
            </w:pPr>
            <w:r>
              <w:rPr>
                <w:rFonts w:hint="eastAsia" w:ascii="宋体" w:hAnsi="宋体" w:eastAsia="宋体" w:cs="宋体"/>
                <w:sz w:val="21"/>
                <w:szCs w:val="21"/>
              </w:rPr>
              <w:t>单价</w:t>
            </w:r>
          </w:p>
          <w:p w14:paraId="35E4B01C">
            <w:pPr>
              <w:jc w:val="center"/>
              <w:rPr>
                <w:rFonts w:hint="eastAsia" w:ascii="宋体" w:hAnsi="宋体" w:eastAsia="宋体" w:cs="宋体"/>
                <w:sz w:val="21"/>
                <w:szCs w:val="21"/>
              </w:rPr>
            </w:pPr>
            <w:r>
              <w:rPr>
                <w:rFonts w:hint="eastAsia" w:ascii="宋体" w:hAnsi="宋体" w:eastAsia="宋体" w:cs="宋体"/>
                <w:sz w:val="21"/>
                <w:szCs w:val="21"/>
              </w:rPr>
              <w:t>（万元）</w:t>
            </w:r>
          </w:p>
        </w:tc>
        <w:tc>
          <w:tcPr>
            <w:tcW w:w="782" w:type="pct"/>
            <w:tcBorders>
              <w:top w:val="single" w:color="auto" w:sz="4" w:space="0"/>
              <w:left w:val="single" w:color="auto" w:sz="4" w:space="0"/>
              <w:bottom w:val="single" w:color="auto" w:sz="4" w:space="0"/>
              <w:right w:val="single" w:color="auto" w:sz="4" w:space="0"/>
            </w:tcBorders>
            <w:vAlign w:val="center"/>
          </w:tcPr>
          <w:p w14:paraId="30BE85E1">
            <w:pPr>
              <w:jc w:val="center"/>
              <w:rPr>
                <w:rFonts w:hint="eastAsia" w:ascii="宋体" w:hAnsi="宋体" w:eastAsia="宋体" w:cs="宋体"/>
                <w:sz w:val="21"/>
                <w:szCs w:val="21"/>
              </w:rPr>
            </w:pPr>
            <w:r>
              <w:rPr>
                <w:rFonts w:hint="eastAsia" w:ascii="宋体" w:hAnsi="宋体" w:eastAsia="宋体" w:cs="宋体"/>
                <w:sz w:val="21"/>
                <w:szCs w:val="21"/>
              </w:rPr>
              <w:t>总价</w:t>
            </w:r>
          </w:p>
          <w:p w14:paraId="0777D88D">
            <w:pPr>
              <w:jc w:val="center"/>
              <w:rPr>
                <w:rFonts w:hint="eastAsia" w:ascii="宋体" w:hAnsi="宋体" w:eastAsia="宋体" w:cs="宋体"/>
                <w:sz w:val="21"/>
                <w:szCs w:val="21"/>
              </w:rPr>
            </w:pPr>
            <w:r>
              <w:rPr>
                <w:rFonts w:hint="eastAsia" w:ascii="宋体" w:hAnsi="宋体" w:eastAsia="宋体" w:cs="宋体"/>
                <w:sz w:val="21"/>
                <w:szCs w:val="21"/>
              </w:rPr>
              <w:t>（万元）</w:t>
            </w:r>
          </w:p>
        </w:tc>
      </w:tr>
      <w:tr w14:paraId="1906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66" w:type="pct"/>
            <w:tcBorders>
              <w:top w:val="single" w:color="auto" w:sz="4" w:space="0"/>
              <w:left w:val="single" w:color="auto" w:sz="4" w:space="0"/>
              <w:bottom w:val="single" w:color="auto" w:sz="4" w:space="0"/>
              <w:right w:val="single" w:color="auto" w:sz="4" w:space="0"/>
            </w:tcBorders>
            <w:vAlign w:val="center"/>
          </w:tcPr>
          <w:p w14:paraId="5DF709C5">
            <w:pPr>
              <w:jc w:val="center"/>
              <w:rPr>
                <w:rFonts w:hint="eastAsia" w:ascii="宋体" w:hAnsi="宋体" w:eastAsia="宋体" w:cs="宋体"/>
                <w:sz w:val="21"/>
                <w:szCs w:val="21"/>
              </w:rPr>
            </w:pPr>
          </w:p>
        </w:tc>
        <w:tc>
          <w:tcPr>
            <w:tcW w:w="781" w:type="pct"/>
            <w:tcBorders>
              <w:top w:val="single" w:color="auto" w:sz="4" w:space="0"/>
              <w:left w:val="single" w:color="auto" w:sz="4" w:space="0"/>
              <w:bottom w:val="single" w:color="auto" w:sz="4" w:space="0"/>
              <w:right w:val="single" w:color="auto" w:sz="4" w:space="0"/>
            </w:tcBorders>
            <w:vAlign w:val="center"/>
          </w:tcPr>
          <w:p w14:paraId="71FC848C">
            <w:pPr>
              <w:jc w:val="center"/>
              <w:rPr>
                <w:rFonts w:hint="eastAsia" w:ascii="宋体" w:hAnsi="宋体" w:eastAsia="宋体" w:cs="宋体"/>
                <w:sz w:val="21"/>
                <w:szCs w:val="21"/>
              </w:rPr>
            </w:pPr>
          </w:p>
        </w:tc>
        <w:tc>
          <w:tcPr>
            <w:tcW w:w="467" w:type="pct"/>
            <w:tcBorders>
              <w:top w:val="single" w:color="auto" w:sz="4" w:space="0"/>
              <w:left w:val="single" w:color="auto" w:sz="4" w:space="0"/>
              <w:bottom w:val="single" w:color="auto" w:sz="4" w:space="0"/>
              <w:right w:val="single" w:color="auto" w:sz="4" w:space="0"/>
            </w:tcBorders>
            <w:vAlign w:val="center"/>
          </w:tcPr>
          <w:p w14:paraId="38D8E535">
            <w:pPr>
              <w:jc w:val="center"/>
              <w:rPr>
                <w:rFonts w:hint="eastAsia" w:ascii="宋体" w:hAnsi="宋体" w:eastAsia="宋体" w:cs="宋体"/>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1DCC8367">
            <w:pPr>
              <w:jc w:val="center"/>
              <w:rPr>
                <w:rFonts w:hint="eastAsia" w:ascii="宋体" w:hAnsi="宋体" w:eastAsia="宋体" w:cs="宋体"/>
                <w:sz w:val="21"/>
                <w:szCs w:val="21"/>
              </w:rPr>
            </w:pPr>
          </w:p>
        </w:tc>
        <w:tc>
          <w:tcPr>
            <w:tcW w:w="467" w:type="pct"/>
            <w:tcBorders>
              <w:top w:val="single" w:color="auto" w:sz="4" w:space="0"/>
              <w:left w:val="single" w:color="auto" w:sz="4" w:space="0"/>
              <w:bottom w:val="single" w:color="auto" w:sz="4" w:space="0"/>
              <w:right w:val="single" w:color="auto" w:sz="4" w:space="0"/>
            </w:tcBorders>
            <w:vAlign w:val="center"/>
          </w:tcPr>
          <w:p w14:paraId="4D7D04C1">
            <w:pPr>
              <w:jc w:val="center"/>
              <w:rPr>
                <w:rFonts w:hint="eastAsia" w:ascii="宋体" w:hAnsi="宋体" w:eastAsia="宋体" w:cs="宋体"/>
                <w:sz w:val="21"/>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78743958">
            <w:pPr>
              <w:jc w:val="center"/>
              <w:rPr>
                <w:rFonts w:hint="eastAsia" w:ascii="宋体" w:hAnsi="宋体" w:eastAsia="宋体" w:cs="宋体"/>
                <w:sz w:val="21"/>
                <w:szCs w:val="21"/>
                <w:highlight w:val="green"/>
              </w:rPr>
            </w:pPr>
          </w:p>
        </w:tc>
        <w:tc>
          <w:tcPr>
            <w:tcW w:w="782" w:type="pct"/>
            <w:tcBorders>
              <w:top w:val="single" w:color="auto" w:sz="4" w:space="0"/>
              <w:left w:val="single" w:color="auto" w:sz="4" w:space="0"/>
              <w:bottom w:val="single" w:color="auto" w:sz="4" w:space="0"/>
              <w:right w:val="single" w:color="auto" w:sz="4" w:space="0"/>
            </w:tcBorders>
            <w:vAlign w:val="center"/>
          </w:tcPr>
          <w:p w14:paraId="075458AE">
            <w:pPr>
              <w:jc w:val="center"/>
              <w:rPr>
                <w:rFonts w:hint="eastAsia" w:ascii="宋体" w:hAnsi="宋体" w:eastAsia="宋体" w:cs="宋体"/>
                <w:sz w:val="21"/>
                <w:szCs w:val="21"/>
                <w:highlight w:val="green"/>
              </w:rPr>
            </w:pPr>
          </w:p>
        </w:tc>
        <w:tc>
          <w:tcPr>
            <w:tcW w:w="782" w:type="pct"/>
            <w:tcBorders>
              <w:top w:val="single" w:color="auto" w:sz="4" w:space="0"/>
              <w:left w:val="single" w:color="auto" w:sz="4" w:space="0"/>
              <w:bottom w:val="single" w:color="auto" w:sz="4" w:space="0"/>
              <w:right w:val="single" w:color="auto" w:sz="4" w:space="0"/>
            </w:tcBorders>
            <w:vAlign w:val="center"/>
          </w:tcPr>
          <w:p w14:paraId="2DF2A09D">
            <w:pPr>
              <w:jc w:val="center"/>
              <w:rPr>
                <w:rFonts w:hint="eastAsia" w:ascii="宋体" w:hAnsi="宋体" w:eastAsia="宋体" w:cs="宋体"/>
                <w:sz w:val="21"/>
                <w:szCs w:val="21"/>
                <w:highlight w:val="green"/>
              </w:rPr>
            </w:pPr>
          </w:p>
        </w:tc>
      </w:tr>
      <w:tr w14:paraId="368D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217" w:type="pct"/>
            <w:gridSpan w:val="7"/>
            <w:tcBorders>
              <w:top w:val="single" w:color="auto" w:sz="4" w:space="0"/>
              <w:left w:val="single" w:color="auto" w:sz="4" w:space="0"/>
              <w:bottom w:val="single" w:color="auto" w:sz="4" w:space="0"/>
              <w:right w:val="single" w:color="auto" w:sz="4" w:space="0"/>
            </w:tcBorders>
            <w:vAlign w:val="center"/>
          </w:tcPr>
          <w:p w14:paraId="6E9A2E72">
            <w:pPr>
              <w:jc w:val="center"/>
              <w:rPr>
                <w:rFonts w:hint="eastAsia" w:ascii="宋体" w:hAnsi="宋体" w:eastAsia="宋体" w:cs="宋体"/>
                <w:sz w:val="21"/>
                <w:szCs w:val="21"/>
                <w:highlight w:val="green"/>
              </w:rPr>
            </w:pPr>
            <w:r>
              <w:rPr>
                <w:rFonts w:hint="eastAsia" w:ascii="宋体" w:hAnsi="宋体" w:eastAsia="宋体" w:cs="宋体"/>
                <w:sz w:val="21"/>
                <w:szCs w:val="21"/>
              </w:rPr>
              <w:t>合计</w:t>
            </w:r>
          </w:p>
        </w:tc>
        <w:tc>
          <w:tcPr>
            <w:tcW w:w="782" w:type="pct"/>
            <w:tcBorders>
              <w:top w:val="single" w:color="auto" w:sz="4" w:space="0"/>
              <w:left w:val="single" w:color="auto" w:sz="4" w:space="0"/>
              <w:bottom w:val="single" w:color="auto" w:sz="4" w:space="0"/>
              <w:right w:val="single" w:color="auto" w:sz="4" w:space="0"/>
            </w:tcBorders>
            <w:vAlign w:val="center"/>
          </w:tcPr>
          <w:p w14:paraId="4AB0C011">
            <w:pPr>
              <w:jc w:val="center"/>
              <w:rPr>
                <w:rFonts w:hint="eastAsia" w:ascii="宋体" w:hAnsi="宋体" w:eastAsia="宋体" w:cs="宋体"/>
                <w:sz w:val="21"/>
                <w:szCs w:val="21"/>
                <w:highlight w:val="green"/>
              </w:rPr>
            </w:pPr>
          </w:p>
        </w:tc>
      </w:tr>
    </w:tbl>
    <w:p w14:paraId="73847B98">
      <w:pPr>
        <w:rPr>
          <w:rFonts w:hint="eastAsia" w:ascii="宋体" w:hAnsi="宋体" w:eastAsia="宋体" w:cs="宋体"/>
          <w:sz w:val="21"/>
          <w:szCs w:val="21"/>
        </w:rPr>
      </w:pPr>
    </w:p>
    <w:p w14:paraId="0497662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2B4F09F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p>
    <w:p w14:paraId="5187372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附件2：货物配置清单</w:t>
      </w:r>
    </w:p>
    <w:p w14:paraId="2FAA8852">
      <w:pPr>
        <w:pStyle w:val="22"/>
        <w:ind w:left="0" w:leftChars="0"/>
        <w:rPr>
          <w:rFonts w:hint="eastAsia" w:ascii="宋体" w:hAnsi="宋体" w:eastAsia="宋体" w:cs="宋体"/>
          <w:kern w:val="2"/>
          <w:sz w:val="21"/>
          <w:szCs w:val="21"/>
          <w:lang w:val="en-US" w:eastAsia="zh-CN" w:bidi="ar-SA"/>
        </w:rPr>
      </w:pPr>
    </w:p>
    <w:p w14:paraId="02061AF1">
      <w:pPr>
        <w:pStyle w:val="22"/>
        <w:ind w:left="0" w:leftChars="0"/>
        <w:rPr>
          <w:rFonts w:hint="eastAsia" w:ascii="宋体" w:hAnsi="宋体" w:eastAsia="宋体" w:cs="宋体"/>
          <w:kern w:val="2"/>
          <w:sz w:val="21"/>
          <w:szCs w:val="21"/>
          <w:lang w:val="en-US" w:eastAsia="zh-CN" w:bidi="ar-SA"/>
        </w:rPr>
      </w:pPr>
    </w:p>
    <w:p w14:paraId="63EBB5B9">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br w:type="page"/>
      </w:r>
    </w:p>
    <w:p w14:paraId="20497813">
      <w:pPr>
        <w:pStyle w:val="22"/>
        <w:ind w:left="0" w:lef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附件3：履约保证金退还申请单</w:t>
      </w:r>
    </w:p>
    <w:p w14:paraId="7B86984C">
      <w:pPr>
        <w:spacing w:line="480" w:lineRule="auto"/>
        <w:rPr>
          <w:rFonts w:hint="eastAsia" w:ascii="宋体" w:hAnsi="宋体" w:eastAsia="宋体" w:cs="宋体"/>
          <w:kern w:val="1"/>
          <w:sz w:val="21"/>
          <w:szCs w:val="21"/>
        </w:rPr>
      </w:pPr>
      <w:r>
        <w:rPr>
          <w:rFonts w:hint="eastAsia" w:ascii="宋体" w:hAnsi="宋体" w:eastAsia="宋体" w:cs="宋体"/>
          <w:kern w:val="1"/>
          <w:sz w:val="21"/>
          <w:szCs w:val="21"/>
        </w:rPr>
        <w:t xml:space="preserve">制表单位：                                               </w:t>
      </w:r>
    </w:p>
    <w:tbl>
      <w:tblPr>
        <w:tblStyle w:val="47"/>
        <w:tblW w:w="8583" w:type="dxa"/>
        <w:jc w:val="center"/>
        <w:tblLayout w:type="autofit"/>
        <w:tblCellMar>
          <w:top w:w="0" w:type="dxa"/>
          <w:left w:w="108" w:type="dxa"/>
          <w:bottom w:w="0" w:type="dxa"/>
          <w:right w:w="108" w:type="dxa"/>
        </w:tblCellMar>
      </w:tblPr>
      <w:tblGrid>
        <w:gridCol w:w="2647"/>
        <w:gridCol w:w="5936"/>
      </w:tblGrid>
      <w:tr w14:paraId="0496B96D">
        <w:tblPrEx>
          <w:tblCellMar>
            <w:top w:w="0" w:type="dxa"/>
            <w:left w:w="108" w:type="dxa"/>
            <w:bottom w:w="0" w:type="dxa"/>
            <w:right w:w="108" w:type="dxa"/>
          </w:tblCellMar>
        </w:tblPrEx>
        <w:trPr>
          <w:trHeight w:val="759" w:hRule="atLeast"/>
          <w:jc w:val="center"/>
        </w:trPr>
        <w:tc>
          <w:tcPr>
            <w:tcW w:w="8583" w:type="dxa"/>
            <w:gridSpan w:val="2"/>
            <w:tcBorders>
              <w:top w:val="single" w:color="000000" w:sz="4" w:space="0"/>
              <w:left w:val="single" w:color="000000" w:sz="4" w:space="0"/>
              <w:bottom w:val="single" w:color="000000" w:sz="4" w:space="0"/>
              <w:right w:val="single" w:color="000000" w:sz="4" w:space="0"/>
            </w:tcBorders>
            <w:noWrap w:val="0"/>
            <w:vAlign w:val="center"/>
          </w:tcPr>
          <w:p w14:paraId="7ABC0D82">
            <w:pPr>
              <w:jc w:val="center"/>
              <w:rPr>
                <w:rFonts w:hint="eastAsia" w:ascii="宋体" w:hAnsi="宋体" w:eastAsia="宋体" w:cs="宋体"/>
                <w:kern w:val="1"/>
                <w:sz w:val="21"/>
                <w:szCs w:val="21"/>
              </w:rPr>
            </w:pPr>
            <w:r>
              <w:rPr>
                <w:rFonts w:hint="eastAsia" w:ascii="宋体" w:hAnsi="宋体" w:eastAsia="宋体" w:cs="宋体"/>
                <w:kern w:val="1"/>
                <w:sz w:val="21"/>
                <w:szCs w:val="21"/>
              </w:rPr>
              <w:t>南京医科大学履约保证金退还申请单</w:t>
            </w:r>
          </w:p>
        </w:tc>
      </w:tr>
      <w:tr w14:paraId="5D041791">
        <w:tblPrEx>
          <w:tblCellMar>
            <w:top w:w="0" w:type="dxa"/>
            <w:left w:w="108" w:type="dxa"/>
            <w:bottom w:w="0" w:type="dxa"/>
            <w:right w:w="108" w:type="dxa"/>
          </w:tblCellMar>
        </w:tblPrEx>
        <w:trPr>
          <w:trHeight w:val="549"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77DB1B7A">
            <w:pPr>
              <w:jc w:val="center"/>
              <w:rPr>
                <w:rFonts w:hint="eastAsia" w:ascii="宋体" w:hAnsi="宋体" w:eastAsia="宋体" w:cs="宋体"/>
                <w:kern w:val="1"/>
                <w:sz w:val="21"/>
                <w:szCs w:val="21"/>
              </w:rPr>
            </w:pPr>
            <w:r>
              <w:rPr>
                <w:rFonts w:hint="eastAsia" w:ascii="宋体" w:hAnsi="宋体" w:eastAsia="宋体" w:cs="宋体"/>
                <w:kern w:val="1"/>
                <w:sz w:val="21"/>
                <w:szCs w:val="21"/>
              </w:rPr>
              <w:t>采购项目</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4EBB4361">
            <w:pPr>
              <w:rPr>
                <w:rFonts w:hint="eastAsia" w:ascii="宋体" w:hAnsi="宋体" w:eastAsia="宋体" w:cs="宋体"/>
                <w:kern w:val="1"/>
                <w:sz w:val="21"/>
                <w:szCs w:val="21"/>
              </w:rPr>
            </w:pPr>
          </w:p>
        </w:tc>
      </w:tr>
      <w:tr w14:paraId="7E4F18EF">
        <w:tblPrEx>
          <w:tblCellMar>
            <w:top w:w="0" w:type="dxa"/>
            <w:left w:w="108" w:type="dxa"/>
            <w:bottom w:w="0" w:type="dxa"/>
            <w:right w:w="108" w:type="dxa"/>
          </w:tblCellMar>
        </w:tblPrEx>
        <w:trPr>
          <w:trHeight w:val="630"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4735B49">
            <w:pPr>
              <w:jc w:val="center"/>
              <w:rPr>
                <w:rFonts w:hint="eastAsia" w:ascii="宋体" w:hAnsi="宋体" w:eastAsia="宋体" w:cs="宋体"/>
                <w:kern w:val="1"/>
                <w:sz w:val="21"/>
                <w:szCs w:val="21"/>
              </w:rPr>
            </w:pPr>
            <w:r>
              <w:rPr>
                <w:rFonts w:hint="eastAsia" w:ascii="宋体" w:hAnsi="宋体" w:eastAsia="宋体" w:cs="宋体"/>
                <w:kern w:val="1"/>
                <w:sz w:val="21"/>
                <w:szCs w:val="21"/>
              </w:rPr>
              <w:t>合同编号</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340B924C">
            <w:pPr>
              <w:rPr>
                <w:rFonts w:hint="eastAsia" w:ascii="宋体" w:hAnsi="宋体" w:eastAsia="宋体" w:cs="宋体"/>
                <w:kern w:val="1"/>
                <w:sz w:val="21"/>
                <w:szCs w:val="21"/>
              </w:rPr>
            </w:pPr>
          </w:p>
        </w:tc>
      </w:tr>
      <w:tr w14:paraId="4C986126">
        <w:tblPrEx>
          <w:tblCellMar>
            <w:top w:w="0" w:type="dxa"/>
            <w:left w:w="108" w:type="dxa"/>
            <w:bottom w:w="0" w:type="dxa"/>
            <w:right w:w="108" w:type="dxa"/>
          </w:tblCellMar>
        </w:tblPrEx>
        <w:trPr>
          <w:trHeight w:val="928" w:hRule="atLeast"/>
          <w:jc w:val="center"/>
        </w:trPr>
        <w:tc>
          <w:tcPr>
            <w:tcW w:w="2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6A9BDEF9">
            <w:pPr>
              <w:jc w:val="center"/>
              <w:rPr>
                <w:rFonts w:hint="eastAsia" w:ascii="宋体" w:hAnsi="宋体" w:eastAsia="宋体" w:cs="宋体"/>
                <w:kern w:val="1"/>
                <w:sz w:val="21"/>
                <w:szCs w:val="21"/>
              </w:rPr>
            </w:pPr>
            <w:r>
              <w:rPr>
                <w:rFonts w:hint="eastAsia" w:ascii="宋体" w:hAnsi="宋体" w:eastAsia="宋体" w:cs="宋体"/>
                <w:kern w:val="1"/>
                <w:sz w:val="21"/>
                <w:szCs w:val="21"/>
              </w:rPr>
              <w:t>合同总货款</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46C63D44">
            <w:pPr>
              <w:rPr>
                <w:rFonts w:hint="eastAsia" w:ascii="宋体" w:hAnsi="宋体" w:eastAsia="宋体" w:cs="宋体"/>
                <w:kern w:val="1"/>
                <w:sz w:val="21"/>
                <w:szCs w:val="21"/>
              </w:rPr>
            </w:pPr>
            <w:r>
              <w:rPr>
                <w:rFonts w:hint="eastAsia" w:ascii="宋体" w:hAnsi="宋体" w:eastAsia="宋体" w:cs="宋体"/>
                <w:kern w:val="1"/>
                <w:sz w:val="21"/>
                <w:szCs w:val="21"/>
              </w:rPr>
              <w:t>人民币：             元</w:t>
            </w:r>
          </w:p>
        </w:tc>
      </w:tr>
      <w:tr w14:paraId="61D6BAB6">
        <w:tblPrEx>
          <w:tblCellMar>
            <w:top w:w="0" w:type="dxa"/>
            <w:left w:w="108" w:type="dxa"/>
            <w:bottom w:w="0" w:type="dxa"/>
            <w:right w:w="108" w:type="dxa"/>
          </w:tblCellMar>
        </w:tblPrEx>
        <w:trPr>
          <w:trHeight w:val="869"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72F72794">
            <w:pPr>
              <w:jc w:val="center"/>
              <w:rPr>
                <w:rFonts w:hint="eastAsia" w:ascii="宋体" w:hAnsi="宋体" w:eastAsia="宋体" w:cs="宋体"/>
                <w:kern w:val="1"/>
                <w:sz w:val="21"/>
                <w:szCs w:val="21"/>
              </w:rPr>
            </w:pPr>
            <w:r>
              <w:rPr>
                <w:rFonts w:hint="eastAsia" w:ascii="宋体" w:hAnsi="宋体" w:eastAsia="宋体" w:cs="宋体"/>
                <w:kern w:val="1"/>
                <w:sz w:val="21"/>
                <w:szCs w:val="21"/>
              </w:rPr>
              <w:t>履约保证金金额</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1E008FF0">
            <w:pPr>
              <w:rPr>
                <w:rFonts w:hint="eastAsia" w:ascii="宋体" w:hAnsi="宋体" w:eastAsia="宋体" w:cs="宋体"/>
                <w:kern w:val="1"/>
                <w:sz w:val="21"/>
                <w:szCs w:val="21"/>
              </w:rPr>
            </w:pPr>
            <w:r>
              <w:rPr>
                <w:rFonts w:hint="eastAsia" w:ascii="宋体" w:hAnsi="宋体" w:eastAsia="宋体" w:cs="宋体"/>
                <w:kern w:val="1"/>
                <w:sz w:val="21"/>
                <w:szCs w:val="21"/>
              </w:rPr>
              <w:t>人民币：             元</w:t>
            </w:r>
          </w:p>
        </w:tc>
      </w:tr>
      <w:tr w14:paraId="341F2D48">
        <w:tblPrEx>
          <w:tblCellMar>
            <w:top w:w="0" w:type="dxa"/>
            <w:left w:w="108" w:type="dxa"/>
            <w:bottom w:w="0" w:type="dxa"/>
            <w:right w:w="108" w:type="dxa"/>
          </w:tblCellMar>
        </w:tblPrEx>
        <w:trPr>
          <w:trHeight w:val="551"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2A626836">
            <w:pPr>
              <w:jc w:val="center"/>
              <w:rPr>
                <w:rFonts w:hint="eastAsia" w:ascii="宋体" w:hAnsi="宋体" w:eastAsia="宋体" w:cs="宋体"/>
                <w:kern w:val="1"/>
                <w:sz w:val="21"/>
                <w:szCs w:val="21"/>
              </w:rPr>
            </w:pPr>
            <w:r>
              <w:rPr>
                <w:rFonts w:hint="eastAsia" w:ascii="宋体" w:hAnsi="宋体" w:eastAsia="宋体" w:cs="宋体"/>
                <w:kern w:val="1"/>
                <w:sz w:val="21"/>
                <w:szCs w:val="21"/>
              </w:rPr>
              <w:t>收款单位</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1B6FFF47">
            <w:pPr>
              <w:rPr>
                <w:rFonts w:hint="eastAsia" w:ascii="宋体" w:hAnsi="宋体" w:eastAsia="宋体" w:cs="宋体"/>
                <w:kern w:val="1"/>
                <w:sz w:val="21"/>
                <w:szCs w:val="21"/>
              </w:rPr>
            </w:pPr>
          </w:p>
        </w:tc>
      </w:tr>
      <w:tr w14:paraId="672CBEBB">
        <w:tblPrEx>
          <w:tblCellMar>
            <w:top w:w="0" w:type="dxa"/>
            <w:left w:w="108" w:type="dxa"/>
            <w:bottom w:w="0" w:type="dxa"/>
            <w:right w:w="108" w:type="dxa"/>
          </w:tblCellMar>
        </w:tblPrEx>
        <w:trPr>
          <w:trHeight w:val="586" w:hRule="atLeast"/>
          <w:jc w:val="center"/>
        </w:trPr>
        <w:tc>
          <w:tcPr>
            <w:tcW w:w="2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51620DF6">
            <w:pPr>
              <w:jc w:val="center"/>
              <w:rPr>
                <w:rFonts w:hint="eastAsia" w:ascii="宋体" w:hAnsi="宋体" w:eastAsia="宋体" w:cs="宋体"/>
                <w:kern w:val="1"/>
                <w:sz w:val="21"/>
                <w:szCs w:val="21"/>
              </w:rPr>
            </w:pPr>
            <w:r>
              <w:rPr>
                <w:rFonts w:hint="eastAsia" w:ascii="宋体" w:hAnsi="宋体" w:eastAsia="宋体" w:cs="宋体"/>
                <w:kern w:val="1"/>
                <w:sz w:val="21"/>
                <w:szCs w:val="21"/>
              </w:rPr>
              <w:t>开户行账号</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5112FB71">
            <w:pPr>
              <w:rPr>
                <w:rFonts w:hint="eastAsia" w:ascii="宋体" w:hAnsi="宋体" w:eastAsia="宋体" w:cs="宋体"/>
                <w:kern w:val="1"/>
                <w:sz w:val="21"/>
                <w:szCs w:val="21"/>
              </w:rPr>
            </w:pPr>
            <w:r>
              <w:rPr>
                <w:rFonts w:hint="eastAsia" w:ascii="宋体" w:hAnsi="宋体" w:eastAsia="宋体" w:cs="宋体"/>
                <w:kern w:val="1"/>
                <w:sz w:val="21"/>
                <w:szCs w:val="21"/>
              </w:rPr>
              <w:t xml:space="preserve">开户行： </w:t>
            </w:r>
          </w:p>
        </w:tc>
      </w:tr>
      <w:tr w14:paraId="01B58BF4">
        <w:tblPrEx>
          <w:tblCellMar>
            <w:top w:w="0" w:type="dxa"/>
            <w:left w:w="108" w:type="dxa"/>
            <w:bottom w:w="0" w:type="dxa"/>
            <w:right w:w="108" w:type="dxa"/>
          </w:tblCellMar>
        </w:tblPrEx>
        <w:trPr>
          <w:trHeight w:val="594" w:hRule="atLeast"/>
          <w:jc w:val="center"/>
        </w:trPr>
        <w:tc>
          <w:tcPr>
            <w:tcW w:w="26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00A4E">
            <w:pPr>
              <w:jc w:val="center"/>
              <w:rPr>
                <w:rFonts w:hint="eastAsia" w:ascii="宋体" w:hAnsi="宋体" w:eastAsia="宋体" w:cs="宋体"/>
                <w:kern w:val="1"/>
                <w:sz w:val="21"/>
                <w:szCs w:val="21"/>
              </w:rPr>
            </w:pP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75002552">
            <w:pPr>
              <w:rPr>
                <w:rFonts w:hint="eastAsia" w:ascii="宋体" w:hAnsi="宋体" w:eastAsia="宋体" w:cs="宋体"/>
                <w:kern w:val="1"/>
                <w:sz w:val="21"/>
                <w:szCs w:val="21"/>
              </w:rPr>
            </w:pPr>
            <w:r>
              <w:rPr>
                <w:rFonts w:hint="eastAsia" w:ascii="宋体" w:hAnsi="宋体" w:eastAsia="宋体" w:cs="宋体"/>
                <w:kern w:val="1"/>
                <w:sz w:val="21"/>
                <w:szCs w:val="21"/>
              </w:rPr>
              <w:t>账  号：</w:t>
            </w:r>
          </w:p>
        </w:tc>
      </w:tr>
      <w:tr w14:paraId="0596763D">
        <w:tblPrEx>
          <w:tblCellMar>
            <w:top w:w="0" w:type="dxa"/>
            <w:left w:w="108" w:type="dxa"/>
            <w:bottom w:w="0" w:type="dxa"/>
            <w:right w:w="108" w:type="dxa"/>
          </w:tblCellMar>
        </w:tblPrEx>
        <w:trPr>
          <w:trHeight w:val="1488"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74B48D86">
            <w:pPr>
              <w:jc w:val="center"/>
              <w:rPr>
                <w:rFonts w:hint="eastAsia" w:ascii="宋体" w:hAnsi="宋体" w:eastAsia="宋体" w:cs="宋体"/>
                <w:kern w:val="1"/>
                <w:sz w:val="21"/>
                <w:szCs w:val="21"/>
              </w:rPr>
            </w:pPr>
            <w:r>
              <w:rPr>
                <w:rFonts w:hint="eastAsia" w:ascii="宋体" w:hAnsi="宋体" w:eastAsia="宋体" w:cs="宋体"/>
                <w:kern w:val="1"/>
                <w:sz w:val="21"/>
                <w:szCs w:val="21"/>
              </w:rPr>
              <w:t>实验室（系）意见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5444C854">
            <w:pPr>
              <w:ind w:firstLine="420" w:firstLineChars="200"/>
              <w:rPr>
                <w:rFonts w:hint="eastAsia" w:ascii="宋体" w:hAnsi="宋体" w:eastAsia="宋体" w:cs="宋体"/>
                <w:kern w:val="1"/>
                <w:sz w:val="21"/>
                <w:szCs w:val="21"/>
              </w:rPr>
            </w:pPr>
            <w:r>
              <w:rPr>
                <w:rFonts w:hint="eastAsia" w:ascii="宋体" w:hAnsi="宋体" w:eastAsia="宋体" w:cs="宋体"/>
                <w:kern w:val="1"/>
                <w:sz w:val="21"/>
                <w:szCs w:val="21"/>
              </w:rPr>
              <w:t>自验收合格之日起，已正常使用满一年且无违约情况发生。</w:t>
            </w:r>
          </w:p>
          <w:p w14:paraId="2D8AC589">
            <w:pPr>
              <w:rPr>
                <w:rFonts w:hint="eastAsia" w:ascii="宋体" w:hAnsi="宋体" w:eastAsia="宋体" w:cs="宋体"/>
                <w:kern w:val="1"/>
                <w:sz w:val="21"/>
                <w:szCs w:val="21"/>
              </w:rPr>
            </w:pPr>
          </w:p>
          <w:p w14:paraId="4EDD9306">
            <w:pPr>
              <w:ind w:right="960" w:firstLine="315" w:firstLineChars="150"/>
              <w:jc w:val="center"/>
              <w:rPr>
                <w:rFonts w:hint="eastAsia" w:ascii="宋体" w:hAnsi="宋体" w:eastAsia="宋体" w:cs="宋体"/>
                <w:kern w:val="1"/>
                <w:sz w:val="21"/>
                <w:szCs w:val="21"/>
              </w:rPr>
            </w:pPr>
            <w:r>
              <w:rPr>
                <w:rFonts w:hint="eastAsia" w:ascii="宋体" w:hAnsi="宋体" w:eastAsia="宋体" w:cs="宋体"/>
                <w:kern w:val="1"/>
                <w:sz w:val="21"/>
                <w:szCs w:val="21"/>
              </w:rPr>
              <w:t xml:space="preserve">                           签名：</w:t>
            </w:r>
          </w:p>
        </w:tc>
      </w:tr>
      <w:tr w14:paraId="26C96C3D">
        <w:tblPrEx>
          <w:tblCellMar>
            <w:top w:w="0" w:type="dxa"/>
            <w:left w:w="108" w:type="dxa"/>
            <w:bottom w:w="0" w:type="dxa"/>
            <w:right w:w="108" w:type="dxa"/>
          </w:tblCellMar>
        </w:tblPrEx>
        <w:trPr>
          <w:trHeight w:val="1279"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5E2A0719">
            <w:pPr>
              <w:jc w:val="center"/>
              <w:rPr>
                <w:rFonts w:hint="eastAsia" w:ascii="宋体" w:hAnsi="宋体" w:eastAsia="宋体" w:cs="宋体"/>
                <w:kern w:val="1"/>
                <w:sz w:val="21"/>
                <w:szCs w:val="21"/>
              </w:rPr>
            </w:pPr>
            <w:r>
              <w:rPr>
                <w:rFonts w:hint="eastAsia" w:ascii="宋体" w:hAnsi="宋体" w:eastAsia="宋体" w:cs="宋体"/>
                <w:kern w:val="1"/>
                <w:sz w:val="21"/>
                <w:szCs w:val="21"/>
              </w:rPr>
              <w:t>物资保障科意见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6A26628A">
            <w:pPr>
              <w:rPr>
                <w:rFonts w:hint="eastAsia" w:ascii="宋体" w:hAnsi="宋体" w:eastAsia="宋体" w:cs="宋体"/>
                <w:kern w:val="1"/>
                <w:sz w:val="21"/>
                <w:szCs w:val="21"/>
              </w:rPr>
            </w:pPr>
          </w:p>
        </w:tc>
      </w:tr>
      <w:tr w14:paraId="79B8E35A">
        <w:tblPrEx>
          <w:tblCellMar>
            <w:top w:w="0" w:type="dxa"/>
            <w:left w:w="108" w:type="dxa"/>
            <w:bottom w:w="0" w:type="dxa"/>
            <w:right w:w="108" w:type="dxa"/>
          </w:tblCellMar>
        </w:tblPrEx>
        <w:trPr>
          <w:trHeight w:val="1525" w:hRule="atLeast"/>
          <w:jc w:val="center"/>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64C09B93">
            <w:pPr>
              <w:jc w:val="center"/>
              <w:rPr>
                <w:rFonts w:hint="eastAsia" w:ascii="宋体" w:hAnsi="宋体" w:eastAsia="宋体" w:cs="宋体"/>
                <w:kern w:val="1"/>
                <w:sz w:val="21"/>
                <w:szCs w:val="21"/>
              </w:rPr>
            </w:pPr>
            <w:r>
              <w:rPr>
                <w:rFonts w:hint="eastAsia" w:ascii="宋体" w:hAnsi="宋体" w:eastAsia="宋体" w:cs="宋体"/>
                <w:kern w:val="1"/>
                <w:sz w:val="21"/>
                <w:szCs w:val="21"/>
              </w:rPr>
              <w:t>资产与产业管理处意见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305CCF90">
            <w:pPr>
              <w:rPr>
                <w:rFonts w:hint="eastAsia" w:ascii="宋体" w:hAnsi="宋体" w:eastAsia="宋体" w:cs="宋体"/>
                <w:kern w:val="1"/>
                <w:sz w:val="21"/>
                <w:szCs w:val="21"/>
              </w:rPr>
            </w:pPr>
          </w:p>
          <w:p w14:paraId="0B479B28">
            <w:pPr>
              <w:rPr>
                <w:rFonts w:hint="eastAsia" w:ascii="宋体" w:hAnsi="宋体" w:eastAsia="宋体" w:cs="宋体"/>
                <w:kern w:val="1"/>
                <w:sz w:val="21"/>
                <w:szCs w:val="21"/>
              </w:rPr>
            </w:pPr>
          </w:p>
          <w:p w14:paraId="12D39A89">
            <w:pPr>
              <w:ind w:firstLine="3960"/>
              <w:rPr>
                <w:rFonts w:hint="eastAsia" w:ascii="宋体" w:hAnsi="宋体" w:eastAsia="宋体" w:cs="宋体"/>
                <w:kern w:val="1"/>
                <w:sz w:val="21"/>
                <w:szCs w:val="21"/>
              </w:rPr>
            </w:pPr>
          </w:p>
        </w:tc>
      </w:tr>
    </w:tbl>
    <w:p w14:paraId="1A0537BA">
      <w:pPr>
        <w:pStyle w:val="201"/>
        <w:ind w:firstLine="0"/>
        <w:rPr>
          <w:rFonts w:hint="eastAsia" w:ascii="宋体" w:hAnsi="宋体" w:eastAsia="宋体" w:cs="宋体"/>
          <w:sz w:val="21"/>
          <w:szCs w:val="21"/>
        </w:rPr>
      </w:pPr>
    </w:p>
    <w:p w14:paraId="384F3473">
      <w:pPr>
        <w:rPr>
          <w:rFonts w:hint="eastAsia" w:ascii="宋体" w:hAnsi="宋体" w:eastAsia="宋体" w:cs="宋体"/>
          <w:sz w:val="21"/>
          <w:szCs w:val="21"/>
        </w:rPr>
      </w:pPr>
      <w:r>
        <w:rPr>
          <w:rFonts w:hint="eastAsia" w:ascii="宋体" w:hAnsi="宋体" w:eastAsia="宋体" w:cs="宋体"/>
          <w:sz w:val="21"/>
          <w:szCs w:val="21"/>
        </w:rPr>
        <w:br w:type="page"/>
      </w:r>
    </w:p>
    <w:p w14:paraId="0CC74FF0">
      <w:pPr>
        <w:pStyle w:val="2"/>
        <w:keepNext/>
        <w:keepLines/>
        <w:pageBreakBefore w:val="0"/>
        <w:widowControl w:val="0"/>
        <w:numPr>
          <w:ilvl w:val="0"/>
          <w:numId w:val="0"/>
        </w:numPr>
        <w:kinsoku/>
        <w:wordWrap/>
        <w:overflowPunct/>
        <w:topLinePunct w:val="0"/>
        <w:autoSpaceDE/>
        <w:autoSpaceDN/>
        <w:bidi w:val="0"/>
        <w:adjustRightInd/>
        <w:snapToGrid/>
        <w:spacing w:line="579" w:lineRule="auto"/>
        <w:textAlignment w:val="auto"/>
        <w:rPr>
          <w:rFonts w:hint="eastAsia" w:ascii="宋体" w:hAnsi="宋体" w:eastAsia="宋体" w:cs="宋体"/>
        </w:rPr>
      </w:pPr>
      <w:bookmarkStart w:id="33" w:name="_Toc492"/>
      <w:r>
        <w:rPr>
          <w:rFonts w:hint="eastAsia" w:ascii="宋体" w:hAnsi="宋体" w:eastAsia="宋体" w:cs="宋体"/>
        </w:rPr>
        <w:t>第六章 附件</w:t>
      </w:r>
      <w:bookmarkEnd w:id="33"/>
    </w:p>
    <w:p w14:paraId="55526335">
      <w:pPr>
        <w:widowControl/>
        <w:adjustRightInd w:val="0"/>
        <w:spacing w:line="240" w:lineRule="atLeast"/>
        <w:jc w:val="left"/>
        <w:rPr>
          <w:rFonts w:hint="eastAsia" w:ascii="宋体" w:hAnsi="宋体" w:eastAsia="宋体" w:cs="宋体"/>
          <w:b/>
          <w:bCs/>
          <w:szCs w:val="21"/>
        </w:rPr>
      </w:pPr>
    </w:p>
    <w:p w14:paraId="54B4CADC">
      <w:pPr>
        <w:spacing w:line="440" w:lineRule="exact"/>
        <w:rPr>
          <w:rFonts w:hint="eastAsia" w:ascii="宋体" w:hAnsi="宋体" w:eastAsia="宋体" w:cs="宋体"/>
          <w:sz w:val="20"/>
          <w:szCs w:val="20"/>
        </w:rPr>
      </w:pPr>
    </w:p>
    <w:p w14:paraId="36D73543">
      <w:pPr>
        <w:spacing w:line="440" w:lineRule="exact"/>
        <w:rPr>
          <w:rFonts w:hint="eastAsia" w:ascii="宋体" w:hAnsi="宋体" w:eastAsia="宋体" w:cs="宋体"/>
          <w:sz w:val="20"/>
          <w:szCs w:val="20"/>
        </w:rPr>
      </w:pPr>
    </w:p>
    <w:bookmarkEnd w:id="0"/>
    <w:p w14:paraId="234A048B">
      <w:pPr>
        <w:jc w:val="center"/>
        <w:rPr>
          <w:rFonts w:hint="eastAsia" w:ascii="宋体" w:hAnsi="宋体" w:eastAsia="宋体" w:cs="宋体"/>
          <w:sz w:val="52"/>
          <w:szCs w:val="52"/>
        </w:rPr>
      </w:pPr>
      <w:r>
        <w:rPr>
          <w:rFonts w:hint="eastAsia" w:ascii="宋体" w:hAnsi="宋体" w:eastAsia="宋体" w:cs="宋体"/>
          <w:sz w:val="52"/>
          <w:szCs w:val="52"/>
        </w:rPr>
        <w:t>投标文件</w:t>
      </w:r>
    </w:p>
    <w:p w14:paraId="699D0423">
      <w:pPr>
        <w:rPr>
          <w:rFonts w:hint="eastAsia" w:ascii="宋体" w:hAnsi="宋体" w:eastAsia="宋体" w:cs="宋体"/>
          <w:sz w:val="36"/>
          <w:szCs w:val="36"/>
        </w:rPr>
      </w:pPr>
    </w:p>
    <w:p w14:paraId="47B4A308">
      <w:pPr>
        <w:rPr>
          <w:rFonts w:hint="eastAsia" w:ascii="宋体" w:hAnsi="宋体" w:eastAsia="宋体" w:cs="宋体"/>
          <w:sz w:val="36"/>
          <w:szCs w:val="36"/>
        </w:rPr>
      </w:pPr>
    </w:p>
    <w:p w14:paraId="77DF4E75">
      <w:pPr>
        <w:rPr>
          <w:rFonts w:hint="eastAsia" w:ascii="宋体" w:hAnsi="宋体" w:eastAsia="宋体" w:cs="宋体"/>
          <w:sz w:val="36"/>
          <w:szCs w:val="36"/>
        </w:rPr>
      </w:pPr>
    </w:p>
    <w:p w14:paraId="4CD1D591">
      <w:p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项目名称：</w:t>
      </w:r>
    </w:p>
    <w:p w14:paraId="14740758">
      <w:p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招标编号：</w:t>
      </w:r>
    </w:p>
    <w:p w14:paraId="3C877333">
      <w:pPr>
        <w:ind w:firstLine="720" w:firstLineChars="200"/>
        <w:jc w:val="both"/>
        <w:rPr>
          <w:rFonts w:hint="eastAsia" w:ascii="宋体" w:hAnsi="宋体" w:eastAsia="宋体" w:cs="宋体"/>
          <w:sz w:val="36"/>
          <w:szCs w:val="36"/>
          <w:u w:val="single"/>
        </w:rPr>
      </w:pPr>
      <w:r>
        <w:rPr>
          <w:rFonts w:hint="eastAsia" w:ascii="宋体" w:hAnsi="宋体" w:eastAsia="宋体" w:cs="宋体"/>
          <w:sz w:val="36"/>
          <w:szCs w:val="36"/>
        </w:rPr>
        <w:t>投标人</w:t>
      </w:r>
      <w:r>
        <w:rPr>
          <w:rFonts w:hint="eastAsia" w:ascii="宋体" w:hAnsi="宋体" w:eastAsia="宋体" w:cs="宋体"/>
          <w:sz w:val="36"/>
          <w:szCs w:val="36"/>
          <w:lang w:val="en-US" w:eastAsia="zh-CN"/>
        </w:rPr>
        <w:t>名称</w:t>
      </w:r>
      <w:r>
        <w:rPr>
          <w:rFonts w:hint="eastAsia" w:ascii="宋体" w:hAnsi="宋体" w:eastAsia="宋体" w:cs="宋体"/>
          <w:sz w:val="36"/>
          <w:szCs w:val="36"/>
        </w:rPr>
        <w:t>：（加盖电子公章）</w:t>
      </w:r>
    </w:p>
    <w:p w14:paraId="751F035A">
      <w:pPr>
        <w:widowControl/>
        <w:ind w:firstLine="720" w:firstLineChars="200"/>
        <w:jc w:val="left"/>
        <w:rPr>
          <w:rFonts w:hint="eastAsia" w:ascii="宋体" w:hAnsi="宋体" w:eastAsia="宋体" w:cs="宋体"/>
          <w:sz w:val="28"/>
          <w:szCs w:val="28"/>
        </w:rPr>
      </w:pPr>
      <w:r>
        <w:rPr>
          <w:rFonts w:hint="eastAsia" w:ascii="宋体" w:hAnsi="宋体" w:eastAsia="宋体" w:cs="宋体"/>
          <w:sz w:val="36"/>
          <w:szCs w:val="36"/>
          <w:lang w:val="en-US" w:eastAsia="zh-CN"/>
        </w:rPr>
        <w:t>日期：</w:t>
      </w:r>
    </w:p>
    <w:p w14:paraId="67B7FAA2">
      <w:pPr>
        <w:rPr>
          <w:rFonts w:hint="eastAsia" w:ascii="宋体" w:hAnsi="宋体" w:eastAsia="宋体" w:cs="宋体"/>
          <w:sz w:val="32"/>
          <w:szCs w:val="32"/>
        </w:rPr>
      </w:pPr>
      <w:r>
        <w:rPr>
          <w:rFonts w:hint="eastAsia" w:ascii="宋体" w:hAnsi="宋体" w:eastAsia="宋体" w:cs="宋体"/>
          <w:sz w:val="32"/>
          <w:szCs w:val="32"/>
        </w:rPr>
        <w:br w:type="page"/>
      </w:r>
    </w:p>
    <w:p w14:paraId="18170367">
      <w:pPr>
        <w:spacing w:before="317" w:beforeLines="100" w:after="317" w:afterLines="100"/>
        <w:jc w:val="center"/>
        <w:rPr>
          <w:rFonts w:hint="eastAsia" w:ascii="宋体" w:hAnsi="宋体" w:eastAsia="宋体" w:cs="宋体"/>
          <w:sz w:val="32"/>
          <w:szCs w:val="32"/>
        </w:rPr>
      </w:pPr>
      <w:r>
        <w:rPr>
          <w:rFonts w:hint="eastAsia" w:ascii="宋体" w:hAnsi="宋体" w:eastAsia="宋体" w:cs="宋体"/>
          <w:sz w:val="32"/>
          <w:szCs w:val="32"/>
        </w:rPr>
        <w:t>目录</w:t>
      </w:r>
    </w:p>
    <w:p w14:paraId="6D3FEBD8">
      <w:pPr>
        <w:jc w:val="center"/>
        <w:rPr>
          <w:rFonts w:hint="eastAsia" w:ascii="宋体" w:hAnsi="宋体" w:eastAsia="宋体" w:cs="宋体"/>
          <w:szCs w:val="21"/>
        </w:rPr>
      </w:pPr>
      <w:r>
        <w:rPr>
          <w:rFonts w:hint="eastAsia" w:ascii="宋体" w:hAnsi="宋体" w:eastAsia="宋体" w:cs="宋体"/>
          <w:szCs w:val="21"/>
        </w:rPr>
        <w:t>（注：供应商根据附件顺序编制投标文件并制作目录）</w:t>
      </w:r>
    </w:p>
    <w:p w14:paraId="596B2AB5">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rPr>
        <w:br w:type="page"/>
      </w:r>
      <w:r>
        <w:rPr>
          <w:rFonts w:hint="eastAsia" w:ascii="宋体" w:hAnsi="宋体" w:eastAsia="宋体" w:cs="宋体"/>
          <w:b/>
          <w:bCs/>
          <w:kern w:val="0"/>
          <w:sz w:val="24"/>
        </w:rPr>
        <w:t>附件一、投标申请及声明格式</w:t>
      </w:r>
    </w:p>
    <w:p w14:paraId="65C4072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kern w:val="0"/>
          <w:sz w:val="36"/>
          <w:szCs w:val="36"/>
        </w:rPr>
      </w:pPr>
    </w:p>
    <w:p w14:paraId="7F524AC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kern w:val="0"/>
          <w:sz w:val="36"/>
          <w:szCs w:val="36"/>
        </w:rPr>
      </w:pPr>
      <w:r>
        <w:rPr>
          <w:rFonts w:hint="eastAsia" w:ascii="宋体" w:hAnsi="宋体" w:eastAsia="宋体" w:cs="宋体"/>
          <w:b/>
          <w:kern w:val="0"/>
          <w:sz w:val="36"/>
          <w:szCs w:val="36"/>
        </w:rPr>
        <w:t>投标申请及声明</w:t>
      </w:r>
    </w:p>
    <w:p w14:paraId="130C8DA4">
      <w:pPr>
        <w:widowControl/>
        <w:shd w:val="clear" w:color="auto" w:fill="FFFFFF"/>
        <w:spacing w:line="400" w:lineRule="exact"/>
        <w:rPr>
          <w:rFonts w:hint="eastAsia" w:ascii="宋体" w:hAnsi="宋体" w:eastAsia="宋体" w:cs="宋体"/>
          <w:kern w:val="0"/>
          <w:szCs w:val="21"/>
        </w:rPr>
      </w:pPr>
      <w:r>
        <w:rPr>
          <w:rFonts w:hint="eastAsia" w:ascii="宋体" w:hAnsi="宋体" w:eastAsia="宋体" w:cs="宋体"/>
          <w:kern w:val="0"/>
          <w:szCs w:val="21"/>
        </w:rPr>
        <w:t> 致：江苏省设备成套股份有限公司</w:t>
      </w:r>
    </w:p>
    <w:p w14:paraId="63A28718">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根据贵方</w:t>
      </w:r>
      <w:r>
        <w:rPr>
          <w:rFonts w:hint="eastAsia" w:ascii="宋体" w:hAnsi="宋体" w:eastAsia="宋体" w:cs="宋体"/>
          <w:kern w:val="0"/>
          <w:szCs w:val="21"/>
          <w:u w:val="single"/>
        </w:rPr>
        <w:t>           </w:t>
      </w:r>
      <w:r>
        <w:rPr>
          <w:rFonts w:hint="eastAsia" w:ascii="宋体" w:hAnsi="宋体" w:eastAsia="宋体" w:cs="宋体"/>
          <w:kern w:val="0"/>
          <w:szCs w:val="21"/>
        </w:rPr>
        <w:t>（项目名称） </w:t>
      </w:r>
      <w:r>
        <w:rPr>
          <w:rFonts w:hint="eastAsia" w:ascii="宋体" w:hAnsi="宋体" w:eastAsia="宋体" w:cs="宋体"/>
          <w:kern w:val="0"/>
          <w:szCs w:val="21"/>
          <w:u w:val="single"/>
        </w:rPr>
        <w:t>       </w:t>
      </w:r>
      <w:r>
        <w:rPr>
          <w:rFonts w:hint="eastAsia" w:ascii="宋体" w:hAnsi="宋体" w:eastAsia="宋体" w:cs="宋体"/>
          <w:kern w:val="0"/>
          <w:szCs w:val="21"/>
        </w:rPr>
        <w:t>（项目编号）投标邀请，正式授权下述签字人</w:t>
      </w:r>
      <w:r>
        <w:rPr>
          <w:rFonts w:hint="eastAsia" w:ascii="宋体" w:hAnsi="宋体" w:eastAsia="宋体" w:cs="宋体"/>
          <w:kern w:val="0"/>
          <w:szCs w:val="21"/>
          <w:u w:val="single"/>
        </w:rPr>
        <w:t>           </w:t>
      </w:r>
      <w:r>
        <w:rPr>
          <w:rFonts w:hint="eastAsia" w:ascii="宋体" w:hAnsi="宋体" w:eastAsia="宋体" w:cs="宋体"/>
          <w:kern w:val="0"/>
          <w:szCs w:val="21"/>
        </w:rPr>
        <w:t>(姓名和职务)代表供应商</w:t>
      </w:r>
      <w:r>
        <w:rPr>
          <w:rFonts w:hint="eastAsia" w:ascii="宋体" w:hAnsi="宋体" w:eastAsia="宋体" w:cs="宋体"/>
          <w:kern w:val="0"/>
          <w:szCs w:val="21"/>
          <w:u w:val="single"/>
        </w:rPr>
        <w:t>     </w:t>
      </w:r>
      <w:r>
        <w:rPr>
          <w:rFonts w:hint="eastAsia" w:ascii="宋体" w:hAnsi="宋体" w:eastAsia="宋体" w:cs="宋体"/>
          <w:kern w:val="0"/>
          <w:szCs w:val="21"/>
        </w:rPr>
        <w:t>（供应商名称），提交投标文件。</w:t>
      </w:r>
    </w:p>
    <w:p w14:paraId="6D259E99">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据此函，签字人兹宣布声明和承诺如下：</w:t>
      </w:r>
    </w:p>
    <w:p w14:paraId="57424F96">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b/>
          <w:bCs/>
          <w:kern w:val="0"/>
          <w:szCs w:val="21"/>
        </w:rPr>
        <w:t>我们的资格条件完全符合政府采购法和本次招标要求</w:t>
      </w:r>
      <w:r>
        <w:rPr>
          <w:rFonts w:hint="eastAsia" w:ascii="宋体" w:hAnsi="宋体" w:eastAsia="宋体" w:cs="宋体"/>
          <w:kern w:val="0"/>
          <w:szCs w:val="21"/>
        </w:rPr>
        <w:t>，我们同意并向贵方提供了与投标有关的所有证据和资料。</w:t>
      </w:r>
    </w:p>
    <w:p w14:paraId="25F41F03">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2、按招标要求，我们的投标总报价详见开标一览表。</w:t>
      </w:r>
    </w:p>
    <w:p w14:paraId="215670B0">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3、本项目交付时间为：满足采购文件要求。</w:t>
      </w:r>
    </w:p>
    <w:p w14:paraId="0C2DC511">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4、我们已详细阅读全部招标文件及其有效补充文件，我们放弃对招标文件任何误解的权利，提交投标文件后，</w:t>
      </w:r>
      <w:r>
        <w:rPr>
          <w:rFonts w:hint="eastAsia" w:ascii="宋体" w:hAnsi="宋体" w:eastAsia="宋体" w:cs="宋体"/>
          <w:b/>
          <w:bCs/>
          <w:kern w:val="0"/>
          <w:szCs w:val="21"/>
        </w:rPr>
        <w:t>不对招标文件本身提出质疑</w:t>
      </w:r>
      <w:r>
        <w:rPr>
          <w:rFonts w:hint="eastAsia" w:ascii="宋体" w:hAnsi="宋体" w:eastAsia="宋体" w:cs="宋体"/>
          <w:kern w:val="0"/>
          <w:szCs w:val="21"/>
        </w:rPr>
        <w:t>。</w:t>
      </w:r>
    </w:p>
    <w:p w14:paraId="52EDC85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rPr>
        <w:t>贵方组织的其他采购方式采购</w:t>
      </w:r>
      <w:r>
        <w:rPr>
          <w:rFonts w:hint="eastAsia" w:ascii="宋体" w:hAnsi="宋体" w:eastAsia="宋体" w:cs="宋体"/>
          <w:kern w:val="0"/>
          <w:szCs w:val="21"/>
        </w:rPr>
        <w:t>。</w:t>
      </w:r>
    </w:p>
    <w:p w14:paraId="24A9C122">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9、与本投标有关的正式联系方式为：</w:t>
      </w:r>
    </w:p>
    <w:p w14:paraId="1CEBC0FF">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地   址：</w:t>
      </w:r>
      <w:r>
        <w:rPr>
          <w:rFonts w:hint="eastAsia" w:ascii="宋体" w:hAnsi="宋体" w:eastAsia="宋体" w:cs="宋体"/>
          <w:kern w:val="0"/>
          <w:szCs w:val="21"/>
          <w:u w:val="single"/>
        </w:rPr>
        <w:t>                      </w:t>
      </w:r>
    </w:p>
    <w:p w14:paraId="1B57C769">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电   话：</w:t>
      </w:r>
      <w:r>
        <w:rPr>
          <w:rFonts w:hint="eastAsia" w:ascii="宋体" w:hAnsi="宋体" w:eastAsia="宋体" w:cs="宋体"/>
          <w:kern w:val="0"/>
          <w:szCs w:val="21"/>
          <w:u w:val="single"/>
        </w:rPr>
        <w:t>                      </w:t>
      </w:r>
    </w:p>
    <w:p w14:paraId="1189D9A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传   真：</w:t>
      </w:r>
      <w:r>
        <w:rPr>
          <w:rFonts w:hint="eastAsia" w:ascii="宋体" w:hAnsi="宋体" w:eastAsia="宋体" w:cs="宋体"/>
          <w:kern w:val="0"/>
          <w:szCs w:val="21"/>
          <w:u w:val="single"/>
        </w:rPr>
        <w:t>                      </w:t>
      </w:r>
    </w:p>
    <w:p w14:paraId="706F41E4">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开户银行：</w:t>
      </w:r>
    </w:p>
    <w:p w14:paraId="773FB572">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银行账号：</w:t>
      </w:r>
    </w:p>
    <w:p w14:paraId="1F5ACE38">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供应商名称：</w:t>
      </w:r>
      <w:r>
        <w:rPr>
          <w:rFonts w:hint="eastAsia" w:ascii="宋体" w:hAnsi="宋体" w:eastAsia="宋体" w:cs="宋体"/>
          <w:kern w:val="0"/>
          <w:szCs w:val="21"/>
          <w:u w:val="single"/>
        </w:rPr>
        <w:t>                 </w:t>
      </w:r>
      <w:r>
        <w:rPr>
          <w:rFonts w:hint="eastAsia" w:ascii="宋体" w:hAnsi="宋体" w:eastAsia="宋体" w:cs="宋体"/>
          <w:kern w:val="0"/>
          <w:szCs w:val="21"/>
        </w:rPr>
        <w:t>（加盖电子公章）</w:t>
      </w:r>
    </w:p>
    <w:p w14:paraId="79A5FB3A">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日    期：</w:t>
      </w:r>
      <w:r>
        <w:rPr>
          <w:rFonts w:hint="eastAsia" w:ascii="宋体" w:hAnsi="宋体" w:eastAsia="宋体" w:cs="宋体"/>
          <w:kern w:val="0"/>
          <w:szCs w:val="21"/>
          <w:u w:val="single"/>
        </w:rPr>
        <w:t>     </w:t>
      </w:r>
      <w:r>
        <w:rPr>
          <w:rFonts w:hint="eastAsia" w:ascii="宋体" w:hAnsi="宋体" w:eastAsia="宋体" w:cs="宋体"/>
          <w:kern w:val="0"/>
          <w:szCs w:val="21"/>
        </w:rPr>
        <w:t>年</w:t>
      </w:r>
      <w:r>
        <w:rPr>
          <w:rFonts w:hint="eastAsia" w:ascii="宋体" w:hAnsi="宋体" w:eastAsia="宋体" w:cs="宋体"/>
          <w:kern w:val="0"/>
          <w:szCs w:val="21"/>
          <w:u w:val="single"/>
        </w:rPr>
        <w:t>    </w:t>
      </w:r>
      <w:r>
        <w:rPr>
          <w:rFonts w:hint="eastAsia" w:ascii="宋体" w:hAnsi="宋体" w:eastAsia="宋体" w:cs="宋体"/>
          <w:kern w:val="0"/>
          <w:szCs w:val="21"/>
        </w:rPr>
        <w:t>月</w:t>
      </w:r>
      <w:r>
        <w:rPr>
          <w:rFonts w:hint="eastAsia" w:ascii="宋体" w:hAnsi="宋体" w:eastAsia="宋体" w:cs="宋体"/>
          <w:kern w:val="0"/>
          <w:szCs w:val="21"/>
          <w:u w:val="single"/>
        </w:rPr>
        <w:t>    </w:t>
      </w:r>
      <w:r>
        <w:rPr>
          <w:rFonts w:hint="eastAsia" w:ascii="宋体" w:hAnsi="宋体" w:eastAsia="宋体" w:cs="宋体"/>
          <w:kern w:val="0"/>
          <w:szCs w:val="21"/>
        </w:rPr>
        <w:t>日</w:t>
      </w:r>
    </w:p>
    <w:p w14:paraId="6FA3EBC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b/>
          <w:bCs/>
          <w:kern w:val="0"/>
          <w:szCs w:val="21"/>
        </w:rPr>
        <w:br w:type="page"/>
      </w:r>
      <w:r>
        <w:rPr>
          <w:rFonts w:hint="eastAsia" w:ascii="宋体" w:hAnsi="宋体" w:eastAsia="宋体" w:cs="宋体"/>
          <w:b/>
          <w:bCs/>
          <w:kern w:val="0"/>
          <w:sz w:val="24"/>
        </w:rPr>
        <w:t>附件二、法定代表人授权委托书格式</w:t>
      </w:r>
    </w:p>
    <w:p w14:paraId="7E9A5B42">
      <w:pPr>
        <w:widowControl/>
        <w:shd w:val="clear" w:color="auto" w:fill="FFFFFF"/>
        <w:spacing w:line="360" w:lineRule="auto"/>
        <w:ind w:firstLine="720"/>
        <w:jc w:val="center"/>
        <w:rPr>
          <w:rFonts w:hint="eastAsia" w:ascii="宋体" w:hAnsi="宋体" w:eastAsia="宋体" w:cs="宋体"/>
          <w:kern w:val="0"/>
          <w:sz w:val="36"/>
          <w:szCs w:val="36"/>
        </w:rPr>
      </w:pPr>
    </w:p>
    <w:p w14:paraId="59CD7B2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kern w:val="0"/>
          <w:szCs w:val="21"/>
        </w:rPr>
      </w:pPr>
      <w:r>
        <w:rPr>
          <w:rFonts w:hint="eastAsia" w:ascii="宋体" w:hAnsi="宋体" w:eastAsia="宋体" w:cs="宋体"/>
          <w:b/>
          <w:kern w:val="0"/>
          <w:sz w:val="36"/>
          <w:szCs w:val="36"/>
        </w:rPr>
        <w:t>法人授权书</w:t>
      </w:r>
    </w:p>
    <w:p w14:paraId="3AFA49E4">
      <w:pPr>
        <w:widowControl/>
        <w:shd w:val="clear" w:color="auto" w:fill="FFFFFF"/>
        <w:spacing w:line="360" w:lineRule="auto"/>
        <w:jc w:val="left"/>
        <w:rPr>
          <w:rFonts w:hint="eastAsia" w:ascii="宋体" w:hAnsi="宋体" w:eastAsia="宋体" w:cs="宋体"/>
          <w:kern w:val="0"/>
          <w:szCs w:val="21"/>
        </w:rPr>
      </w:pPr>
    </w:p>
    <w:p w14:paraId="666364A6">
      <w:pPr>
        <w:spacing w:line="480" w:lineRule="exact"/>
        <w:ind w:firstLine="48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w:t>
      </w:r>
      <w:r>
        <w:rPr>
          <w:rFonts w:hint="eastAsia" w:ascii="宋体" w:hAnsi="宋体" w:eastAsia="宋体" w:cs="宋体"/>
          <w:szCs w:val="21"/>
        </w:rPr>
        <w:t>（投标人名称）授权</w:t>
      </w:r>
      <w:r>
        <w:rPr>
          <w:rFonts w:hint="eastAsia" w:ascii="宋体" w:hAnsi="宋体" w:eastAsia="宋体" w:cs="宋体"/>
          <w:szCs w:val="21"/>
          <w:u w:val="single"/>
        </w:rPr>
        <w:t xml:space="preserve">                 </w:t>
      </w:r>
      <w:r>
        <w:rPr>
          <w:rFonts w:hint="eastAsia" w:ascii="宋体" w:hAnsi="宋体" w:eastAsia="宋体" w:cs="宋体"/>
          <w:szCs w:val="21"/>
        </w:rPr>
        <w:t>（被授权人姓名）作为我方参加编号为</w:t>
      </w:r>
      <w:r>
        <w:rPr>
          <w:rFonts w:hint="eastAsia" w:ascii="宋体" w:hAnsi="宋体" w:eastAsia="宋体" w:cs="宋体"/>
          <w:szCs w:val="21"/>
          <w:u w:val="single"/>
        </w:rPr>
        <w:t xml:space="preserve">                             </w:t>
      </w:r>
      <w:r>
        <w:rPr>
          <w:rFonts w:hint="eastAsia" w:ascii="宋体" w:hAnsi="宋体" w:eastAsia="宋体" w:cs="宋体"/>
          <w:szCs w:val="21"/>
        </w:rPr>
        <w:t>项目采购活动的合法代理人，以本单位名义全权处理一切与该项目采购有关的事务。</w:t>
      </w:r>
    </w:p>
    <w:p w14:paraId="0E1913B1">
      <w:pPr>
        <w:spacing w:line="480" w:lineRule="exact"/>
        <w:ind w:firstLine="480"/>
        <w:rPr>
          <w:rFonts w:hint="eastAsia" w:ascii="宋体" w:hAnsi="宋体" w:eastAsia="宋体" w:cs="宋体"/>
          <w:szCs w:val="21"/>
        </w:rPr>
      </w:pPr>
      <w:r>
        <w:rPr>
          <w:rFonts w:hint="eastAsia" w:ascii="宋体" w:hAnsi="宋体" w:eastAsia="宋体" w:cs="宋体"/>
          <w:szCs w:val="21"/>
        </w:rPr>
        <w:t>本授权书自______年____月____日起生效，特此声明。</w:t>
      </w:r>
    </w:p>
    <w:p w14:paraId="7315298A">
      <w:pPr>
        <w:spacing w:line="480" w:lineRule="exact"/>
        <w:ind w:firstLine="480"/>
        <w:rPr>
          <w:rFonts w:hint="eastAsia" w:ascii="宋体" w:hAnsi="宋体" w:eastAsia="宋体" w:cs="宋体"/>
          <w:szCs w:val="21"/>
        </w:rPr>
      </w:pPr>
      <w:r>
        <w:rPr>
          <w:rFonts w:hint="eastAsia" w:ascii="宋体" w:hAnsi="宋体" w:eastAsia="宋体" w:cs="宋体"/>
          <w:szCs w:val="21"/>
        </w:rPr>
        <w:t>被授权人身份证号码：</w:t>
      </w:r>
    </w:p>
    <w:p w14:paraId="66093FD8">
      <w:pPr>
        <w:spacing w:line="480" w:lineRule="exact"/>
        <w:ind w:firstLine="480"/>
        <w:rPr>
          <w:rFonts w:hint="eastAsia" w:ascii="宋体" w:hAnsi="宋体" w:eastAsia="宋体" w:cs="宋体"/>
          <w:szCs w:val="21"/>
          <w:u w:val="single"/>
        </w:rPr>
      </w:pPr>
      <w:r>
        <w:rPr>
          <w:rFonts w:hint="eastAsia" w:ascii="宋体" w:hAnsi="宋体" w:eastAsia="宋体" w:cs="宋体"/>
          <w:szCs w:val="21"/>
        </w:rPr>
        <w:t>被授权人联系电话：           （手机）</w:t>
      </w:r>
    </w:p>
    <w:p w14:paraId="08459968">
      <w:pPr>
        <w:spacing w:line="480" w:lineRule="exact"/>
        <w:ind w:firstLine="480"/>
        <w:rPr>
          <w:rFonts w:hint="eastAsia" w:ascii="宋体" w:hAnsi="宋体" w:eastAsia="宋体" w:cs="宋体"/>
          <w:szCs w:val="21"/>
          <w:u w:val="single"/>
        </w:rPr>
      </w:pPr>
      <w:r>
        <w:rPr>
          <w:rFonts w:hint="eastAsia" w:ascii="宋体" w:hAnsi="宋体" w:eastAsia="宋体" w:cs="宋体"/>
          <w:szCs w:val="21"/>
        </w:rPr>
        <w:t>投标人名称：              （加盖电子公章）</w:t>
      </w:r>
    </w:p>
    <w:p w14:paraId="711ADF14">
      <w:pPr>
        <w:spacing w:line="480" w:lineRule="exact"/>
        <w:ind w:firstLine="480"/>
        <w:rPr>
          <w:rFonts w:hint="eastAsia" w:ascii="宋体" w:hAnsi="宋体" w:eastAsia="宋体" w:cs="宋体"/>
          <w:szCs w:val="21"/>
          <w:u w:val="single"/>
        </w:rPr>
      </w:pPr>
      <w:r>
        <w:rPr>
          <w:rFonts w:hint="eastAsia" w:ascii="宋体" w:hAnsi="宋体" w:eastAsia="宋体" w:cs="宋体"/>
          <w:szCs w:val="21"/>
        </w:rPr>
        <w:t>单位地址：</w:t>
      </w:r>
    </w:p>
    <w:p w14:paraId="2EECFA3A">
      <w:pPr>
        <w:spacing w:line="480" w:lineRule="exact"/>
        <w:ind w:firstLine="480"/>
        <w:rPr>
          <w:rFonts w:hint="eastAsia" w:ascii="宋体" w:hAnsi="宋体" w:eastAsia="宋体" w:cs="宋体"/>
          <w:szCs w:val="21"/>
        </w:rPr>
      </w:pPr>
      <w:r>
        <w:rPr>
          <w:rFonts w:hint="eastAsia" w:ascii="宋体" w:hAnsi="宋体" w:eastAsia="宋体" w:cs="宋体"/>
          <w:szCs w:val="21"/>
        </w:rPr>
        <w:t>日    期：</w:t>
      </w:r>
    </w:p>
    <w:p w14:paraId="425395A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1BA135D0">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129A26A3">
      <w:pPr>
        <w:widowControl/>
        <w:shd w:val="clear" w:color="auto" w:fill="FFFFFF"/>
        <w:spacing w:line="360" w:lineRule="auto"/>
        <w:jc w:val="left"/>
        <w:rPr>
          <w:rFonts w:hint="eastAsia" w:ascii="宋体" w:hAnsi="宋体" w:eastAsia="宋体" w:cs="宋体"/>
          <w:lang w:val="zh-CN"/>
        </w:rPr>
      </w:pPr>
      <w:r>
        <w:rPr>
          <w:rFonts w:hint="eastAsia" w:ascii="宋体" w:hAnsi="宋体" w:eastAsia="宋体" w:cs="宋体"/>
          <w:b/>
          <w:bCs/>
          <w:kern w:val="0"/>
          <w:szCs w:val="21"/>
        </w:rPr>
        <w:br w:type="page"/>
      </w:r>
      <w:r>
        <w:rPr>
          <w:rFonts w:hint="eastAsia" w:ascii="宋体" w:hAnsi="宋体" w:eastAsia="宋体" w:cs="宋体"/>
          <w:b/>
          <w:bCs/>
          <w:kern w:val="0"/>
          <w:sz w:val="24"/>
          <w:lang w:val="zh-CN"/>
        </w:rPr>
        <w:t>附件三、开标一览表</w:t>
      </w:r>
    </w:p>
    <w:p w14:paraId="3EC8E5ED">
      <w:pPr>
        <w:keepNext w:val="0"/>
        <w:keepLines w:val="0"/>
        <w:pageBreakBefore w:val="0"/>
        <w:widowControl w:val="0"/>
        <w:kinsoku/>
        <w:wordWrap/>
        <w:overflowPunct/>
        <w:topLinePunct w:val="0"/>
        <w:autoSpaceDE w:val="0"/>
        <w:autoSpaceDN w:val="0"/>
        <w:bidi w:val="0"/>
        <w:adjustRightInd w:val="0"/>
        <w:snapToGrid/>
        <w:textAlignment w:val="auto"/>
        <w:rPr>
          <w:rFonts w:hint="eastAsia" w:ascii="宋体" w:hAnsi="宋体" w:eastAsia="宋体" w:cs="宋体"/>
          <w:b/>
          <w:bCs/>
          <w:lang w:val="zh-CN"/>
        </w:rPr>
      </w:pPr>
    </w:p>
    <w:p w14:paraId="3C297D1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kern w:val="0"/>
          <w:sz w:val="36"/>
          <w:szCs w:val="36"/>
        </w:rPr>
      </w:pPr>
      <w:r>
        <w:rPr>
          <w:rFonts w:hint="eastAsia" w:ascii="宋体" w:hAnsi="宋体" w:eastAsia="宋体" w:cs="宋体"/>
          <w:b/>
          <w:kern w:val="0"/>
          <w:sz w:val="36"/>
          <w:szCs w:val="36"/>
          <w:lang w:val="en-US" w:eastAsia="zh-CN"/>
        </w:rPr>
        <w:t>详见苏采云系统</w:t>
      </w:r>
      <w:r>
        <w:rPr>
          <w:rFonts w:hint="eastAsia" w:ascii="宋体" w:hAnsi="宋体" w:eastAsia="宋体" w:cs="宋体"/>
          <w:b/>
          <w:kern w:val="0"/>
          <w:sz w:val="36"/>
          <w:szCs w:val="36"/>
        </w:rPr>
        <w:t>开标一览表</w:t>
      </w:r>
    </w:p>
    <w:p w14:paraId="2E3CF87E">
      <w:pPr>
        <w:widowControl/>
        <w:shd w:val="clear" w:color="auto" w:fill="FFFFFF"/>
        <w:spacing w:line="360" w:lineRule="auto"/>
        <w:jc w:val="left"/>
        <w:rPr>
          <w:rFonts w:hint="eastAsia" w:ascii="宋体" w:hAnsi="宋体" w:eastAsia="宋体" w:cs="宋体"/>
          <w:kern w:val="0"/>
          <w:szCs w:val="21"/>
        </w:rPr>
      </w:pPr>
    </w:p>
    <w:p w14:paraId="40F5F346">
      <w:pPr>
        <w:widowControl/>
        <w:shd w:val="clear" w:color="auto" w:fill="FFFFFF"/>
        <w:spacing w:line="360" w:lineRule="auto"/>
        <w:jc w:val="left"/>
        <w:rPr>
          <w:rFonts w:hint="eastAsia" w:ascii="宋体" w:hAnsi="宋体" w:eastAsia="宋体" w:cs="宋体"/>
          <w:b/>
          <w:bCs/>
          <w:kern w:val="0"/>
          <w:szCs w:val="21"/>
        </w:rPr>
      </w:pPr>
      <w:r>
        <w:rPr>
          <w:rFonts w:hint="eastAsia" w:ascii="宋体" w:hAnsi="宋体" w:eastAsia="宋体" w:cs="宋体"/>
          <w:b/>
          <w:bCs/>
          <w:kern w:val="0"/>
          <w:szCs w:val="21"/>
        </w:rPr>
        <w:t>说明：本项目仅接受一个价格，不得填报有选择性报价方案。若有优惠条款须注明，但不得影响报价，影响产品整体功能。</w:t>
      </w:r>
    </w:p>
    <w:p w14:paraId="49EAC6AA">
      <w:pPr>
        <w:widowControl/>
        <w:shd w:val="clear" w:color="auto" w:fill="FFFFFF"/>
        <w:spacing w:line="360" w:lineRule="auto"/>
        <w:ind w:firstLine="420"/>
        <w:jc w:val="left"/>
        <w:rPr>
          <w:rFonts w:hint="eastAsia" w:ascii="宋体" w:hAnsi="宋体" w:eastAsia="宋体" w:cs="宋体"/>
          <w:b/>
          <w:bCs/>
          <w:kern w:val="0"/>
          <w:szCs w:val="21"/>
          <w:lang w:val="zh-CN"/>
        </w:rPr>
      </w:pPr>
      <w:r>
        <w:rPr>
          <w:rFonts w:hint="eastAsia" w:ascii="宋体" w:hAnsi="宋体" w:eastAsia="宋体" w:cs="宋体"/>
          <w:b/>
          <w:bCs/>
          <w:kern w:val="0"/>
          <w:szCs w:val="21"/>
          <w:lang w:val="zh-CN"/>
        </w:rPr>
        <w:br w:type="page"/>
      </w:r>
    </w:p>
    <w:p w14:paraId="4ED43C47">
      <w:pPr>
        <w:widowControl/>
        <w:shd w:val="clear" w:color="auto" w:fill="FFFFFF"/>
        <w:spacing w:line="360" w:lineRule="auto"/>
        <w:jc w:val="left"/>
        <w:rPr>
          <w:rFonts w:hint="eastAsia" w:ascii="宋体" w:hAnsi="宋体" w:eastAsia="宋体" w:cs="宋体"/>
          <w:b/>
          <w:bCs/>
          <w:kern w:val="0"/>
          <w:sz w:val="24"/>
          <w:lang w:val="zh-CN"/>
        </w:rPr>
      </w:pPr>
      <w:r>
        <w:rPr>
          <w:rFonts w:hint="eastAsia" w:ascii="宋体" w:hAnsi="宋体" w:eastAsia="宋体" w:cs="宋体"/>
          <w:b/>
          <w:bCs/>
          <w:kern w:val="0"/>
          <w:sz w:val="24"/>
          <w:lang w:val="zh-CN"/>
        </w:rPr>
        <w:t>附件四、分项报价表</w:t>
      </w: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4789A4C4">
            <w:pPr>
              <w:jc w:val="center"/>
              <w:rPr>
                <w:rFonts w:hint="eastAsia" w:ascii="宋体" w:hAnsi="宋体" w:eastAsia="宋体" w:cs="宋体"/>
              </w:rPr>
            </w:pPr>
            <w:r>
              <w:rPr>
                <w:rFonts w:hint="eastAsia" w:ascii="宋体" w:hAnsi="宋体" w:eastAsia="宋体" w:cs="宋体"/>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82CD32">
            <w:pPr>
              <w:jc w:val="center"/>
              <w:rPr>
                <w:rFonts w:hint="eastAsia" w:ascii="宋体" w:hAnsi="宋体" w:eastAsia="宋体" w:cs="宋体"/>
              </w:rPr>
            </w:pPr>
            <w:r>
              <w:rPr>
                <w:rFonts w:hint="eastAsia" w:ascii="宋体" w:hAnsi="宋体" w:eastAsia="宋体" w:cs="宋体"/>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6306B068">
            <w:pPr>
              <w:jc w:val="center"/>
              <w:rPr>
                <w:rFonts w:hint="eastAsia" w:ascii="宋体" w:hAnsi="宋体" w:eastAsia="宋体" w:cs="宋体"/>
                <w:highlight w:val="green"/>
              </w:rPr>
            </w:pPr>
            <w:r>
              <w:rPr>
                <w:rFonts w:hint="eastAsia" w:ascii="宋体" w:hAnsi="宋体" w:eastAsia="宋体" w:cs="宋体"/>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2AA7D4C">
            <w:pPr>
              <w:jc w:val="center"/>
              <w:rPr>
                <w:rFonts w:hint="eastAsia" w:ascii="宋体" w:hAnsi="宋体" w:eastAsia="宋体" w:cs="宋体"/>
              </w:rPr>
            </w:pPr>
            <w:r>
              <w:rPr>
                <w:rFonts w:hint="eastAsia" w:ascii="宋体" w:hAnsi="宋体" w:eastAsia="宋体" w:cs="宋体"/>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31957539">
            <w:pPr>
              <w:jc w:val="center"/>
              <w:rPr>
                <w:rFonts w:hint="eastAsia" w:ascii="宋体" w:hAnsi="宋体" w:eastAsia="宋体" w:cs="宋体"/>
              </w:rPr>
            </w:pPr>
            <w:r>
              <w:rPr>
                <w:rFonts w:hint="eastAsia" w:ascii="宋体" w:hAnsi="宋体" w:eastAsia="宋体" w:cs="宋体"/>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4DBED06A">
            <w:pPr>
              <w:jc w:val="center"/>
              <w:rPr>
                <w:rFonts w:hint="eastAsia" w:ascii="宋体" w:hAnsi="宋体" w:eastAsia="宋体" w:cs="宋体"/>
              </w:rPr>
            </w:pPr>
            <w:r>
              <w:rPr>
                <w:rFonts w:hint="eastAsia" w:ascii="宋体" w:hAnsi="宋体" w:eastAsia="宋体" w:cs="宋体"/>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2C4E6201">
            <w:pPr>
              <w:jc w:val="center"/>
              <w:rPr>
                <w:rFonts w:hint="eastAsia" w:ascii="宋体" w:hAnsi="宋体" w:eastAsia="宋体" w:cs="宋体"/>
              </w:rPr>
            </w:pPr>
            <w:r>
              <w:rPr>
                <w:rFonts w:hint="eastAsia" w:ascii="宋体" w:hAnsi="宋体" w:eastAsia="宋体" w:cs="宋体"/>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56127EA1">
            <w:pPr>
              <w:jc w:val="center"/>
              <w:rPr>
                <w:rFonts w:hint="eastAsia" w:ascii="宋体" w:hAnsi="宋体" w:eastAsia="宋体" w:cs="宋体"/>
              </w:rPr>
            </w:pPr>
            <w:r>
              <w:rPr>
                <w:rFonts w:hint="eastAsia" w:ascii="宋体" w:hAnsi="宋体" w:eastAsia="宋体" w:cs="宋体"/>
              </w:rPr>
              <w:t>单价</w:t>
            </w:r>
          </w:p>
          <w:p w14:paraId="1E90BE28">
            <w:pPr>
              <w:jc w:val="center"/>
              <w:rPr>
                <w:rFonts w:hint="eastAsia" w:ascii="宋体" w:hAnsi="宋体" w:eastAsia="宋体" w:cs="宋体"/>
              </w:rPr>
            </w:pPr>
            <w:r>
              <w:rPr>
                <w:rFonts w:hint="eastAsia" w:ascii="宋体" w:hAnsi="宋体" w:eastAsia="宋体" w:cs="宋体"/>
              </w:rPr>
              <w:t>（元）</w:t>
            </w:r>
          </w:p>
        </w:tc>
        <w:tc>
          <w:tcPr>
            <w:tcW w:w="1128" w:type="dxa"/>
            <w:tcBorders>
              <w:top w:val="single" w:color="auto" w:sz="4" w:space="0"/>
              <w:left w:val="single" w:color="auto" w:sz="4" w:space="0"/>
              <w:bottom w:val="single" w:color="auto" w:sz="4" w:space="0"/>
              <w:right w:val="single" w:color="auto" w:sz="4" w:space="0"/>
            </w:tcBorders>
            <w:vAlign w:val="center"/>
          </w:tcPr>
          <w:p w14:paraId="31DBCBF0">
            <w:pPr>
              <w:jc w:val="center"/>
              <w:rPr>
                <w:rFonts w:hint="eastAsia" w:ascii="宋体" w:hAnsi="宋体" w:eastAsia="宋体" w:cs="宋体"/>
              </w:rPr>
            </w:pPr>
            <w:r>
              <w:rPr>
                <w:rFonts w:hint="eastAsia" w:ascii="宋体" w:hAnsi="宋体" w:eastAsia="宋体" w:cs="宋体"/>
              </w:rPr>
              <w:t>总价</w:t>
            </w:r>
          </w:p>
          <w:p w14:paraId="582B93FF">
            <w:pPr>
              <w:jc w:val="center"/>
              <w:rPr>
                <w:rFonts w:hint="eastAsia" w:ascii="宋体" w:hAnsi="宋体" w:eastAsia="宋体" w:cs="宋体"/>
              </w:rPr>
            </w:pPr>
            <w:r>
              <w:rPr>
                <w:rFonts w:hint="eastAsia" w:ascii="宋体" w:hAnsi="宋体" w:eastAsia="宋体" w:cs="宋体"/>
              </w:rPr>
              <w:t>（元）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62AB994">
            <w:pPr>
              <w:jc w:val="center"/>
              <w:rPr>
                <w:rFonts w:hint="eastAsia" w:ascii="宋体" w:hAnsi="宋体" w:eastAsia="宋体" w:cs="宋体"/>
              </w:rPr>
            </w:pPr>
            <w:r>
              <w:rPr>
                <w:rFonts w:hint="eastAsia" w:ascii="宋体" w:hAnsi="宋体" w:eastAsia="宋体" w:cs="宋体"/>
              </w:rPr>
              <w:t>1</w:t>
            </w:r>
          </w:p>
        </w:tc>
        <w:tc>
          <w:tcPr>
            <w:tcW w:w="1278" w:type="dxa"/>
            <w:tcBorders>
              <w:top w:val="single" w:color="auto" w:sz="4" w:space="0"/>
              <w:left w:val="single" w:color="auto" w:sz="4" w:space="0"/>
              <w:bottom w:val="single" w:color="auto" w:sz="4" w:space="0"/>
              <w:right w:val="single" w:color="auto" w:sz="4" w:space="0"/>
            </w:tcBorders>
            <w:vAlign w:val="center"/>
          </w:tcPr>
          <w:p w14:paraId="501E1E7C">
            <w:pPr>
              <w:spacing w:line="360" w:lineRule="auto"/>
              <w:jc w:val="center"/>
              <w:rPr>
                <w:rFonts w:hint="eastAsia" w:ascii="宋体" w:hAnsi="宋体" w:eastAsia="宋体" w:cs="宋体"/>
              </w:rPr>
            </w:pPr>
          </w:p>
        </w:tc>
        <w:tc>
          <w:tcPr>
            <w:tcW w:w="953" w:type="dxa"/>
            <w:tcBorders>
              <w:top w:val="single" w:color="auto" w:sz="4" w:space="0"/>
              <w:left w:val="single" w:color="auto" w:sz="4" w:space="0"/>
              <w:bottom w:val="single" w:color="auto" w:sz="4" w:space="0"/>
              <w:right w:val="single" w:color="auto" w:sz="4" w:space="0"/>
            </w:tcBorders>
            <w:vAlign w:val="center"/>
          </w:tcPr>
          <w:p w14:paraId="2E844BF9">
            <w:pPr>
              <w:spacing w:line="360" w:lineRule="auto"/>
              <w:jc w:val="center"/>
              <w:rPr>
                <w:rFonts w:hint="eastAsia" w:ascii="宋体" w:hAnsi="宋体" w:eastAsia="宋体" w:cs="宋体"/>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4634987">
            <w:pPr>
              <w:spacing w:line="360" w:lineRule="auto"/>
              <w:jc w:val="center"/>
              <w:rPr>
                <w:rFonts w:hint="eastAsia" w:ascii="宋体" w:hAnsi="宋体" w:eastAsia="宋体" w:cs="宋体"/>
              </w:rPr>
            </w:pPr>
          </w:p>
        </w:tc>
        <w:tc>
          <w:tcPr>
            <w:tcW w:w="68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rPr>
                <w:rFonts w:hint="eastAsia" w:ascii="宋体" w:hAnsi="宋体" w:eastAsia="宋体" w:cs="宋体"/>
              </w:rPr>
            </w:pPr>
          </w:p>
        </w:tc>
        <w:tc>
          <w:tcPr>
            <w:tcW w:w="1183"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rPr>
                <w:rFonts w:hint="eastAsia" w:ascii="宋体" w:hAnsi="宋体" w:eastAsia="宋体" w:cs="宋体"/>
              </w:rPr>
            </w:pPr>
          </w:p>
        </w:tc>
        <w:tc>
          <w:tcPr>
            <w:tcW w:w="982"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rPr>
                <w:rFonts w:hint="eastAsia" w:ascii="宋体" w:hAnsi="宋体" w:eastAsia="宋体" w:cs="宋体"/>
              </w:rPr>
            </w:pPr>
          </w:p>
        </w:tc>
        <w:tc>
          <w:tcPr>
            <w:tcW w:w="989" w:type="dxa"/>
            <w:tcBorders>
              <w:top w:val="single" w:color="auto" w:sz="4" w:space="0"/>
              <w:left w:val="single" w:color="auto" w:sz="4" w:space="0"/>
              <w:bottom w:val="single" w:color="auto" w:sz="4" w:space="0"/>
              <w:right w:val="single" w:color="auto" w:sz="4" w:space="0"/>
            </w:tcBorders>
            <w:vAlign w:val="center"/>
          </w:tcPr>
          <w:p w14:paraId="49F6254A">
            <w:pPr>
              <w:jc w:val="center"/>
              <w:rPr>
                <w:rFonts w:hint="eastAsia" w:ascii="宋体" w:hAnsi="宋体" w:eastAsia="宋体" w:cs="宋体"/>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301700A">
            <w:pPr>
              <w:jc w:val="center"/>
              <w:rPr>
                <w:rFonts w:hint="eastAsia" w:ascii="宋体" w:hAnsi="宋体" w:eastAsia="宋体" w:cs="宋体"/>
                <w:highlight w:val="green"/>
              </w:rPr>
            </w:pPr>
          </w:p>
        </w:tc>
      </w:tr>
      <w:tr w14:paraId="3952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32AB2DFD">
            <w:pPr>
              <w:jc w:val="center"/>
              <w:rPr>
                <w:rFonts w:hint="eastAsia" w:ascii="宋体" w:hAnsi="宋体" w:eastAsia="宋体" w:cs="宋体"/>
                <w:lang w:val="en-US" w:eastAsia="zh-CN"/>
              </w:rPr>
            </w:pPr>
            <w:r>
              <w:rPr>
                <w:rFonts w:hint="eastAsia" w:ascii="宋体" w:hAnsi="宋体" w:eastAsia="宋体" w:cs="宋体"/>
                <w:lang w:val="en-US" w:eastAsia="zh-CN"/>
              </w:rPr>
              <w:t>....</w:t>
            </w:r>
          </w:p>
        </w:tc>
        <w:tc>
          <w:tcPr>
            <w:tcW w:w="1278" w:type="dxa"/>
            <w:tcBorders>
              <w:top w:val="single" w:color="auto" w:sz="4" w:space="0"/>
              <w:left w:val="single" w:color="auto" w:sz="4" w:space="0"/>
              <w:bottom w:val="single" w:color="auto" w:sz="4" w:space="0"/>
              <w:right w:val="single" w:color="auto" w:sz="4" w:space="0"/>
            </w:tcBorders>
            <w:vAlign w:val="center"/>
          </w:tcPr>
          <w:p w14:paraId="0AED76DE">
            <w:pPr>
              <w:spacing w:line="360" w:lineRule="auto"/>
              <w:jc w:val="center"/>
              <w:rPr>
                <w:rFonts w:hint="eastAsia" w:ascii="宋体" w:hAnsi="宋体" w:eastAsia="宋体" w:cs="宋体"/>
              </w:rPr>
            </w:pPr>
          </w:p>
        </w:tc>
        <w:tc>
          <w:tcPr>
            <w:tcW w:w="953" w:type="dxa"/>
            <w:tcBorders>
              <w:top w:val="single" w:color="auto" w:sz="4" w:space="0"/>
              <w:left w:val="single" w:color="auto" w:sz="4" w:space="0"/>
              <w:bottom w:val="single" w:color="auto" w:sz="4" w:space="0"/>
              <w:right w:val="single" w:color="auto" w:sz="4" w:space="0"/>
            </w:tcBorders>
            <w:vAlign w:val="center"/>
          </w:tcPr>
          <w:p w14:paraId="0063ECE2">
            <w:pPr>
              <w:spacing w:line="360" w:lineRule="auto"/>
              <w:jc w:val="center"/>
              <w:rPr>
                <w:rFonts w:hint="eastAsia" w:ascii="宋体" w:hAnsi="宋体" w:eastAsia="宋体" w:cs="宋体"/>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35103AED">
            <w:pPr>
              <w:spacing w:line="360" w:lineRule="auto"/>
              <w:jc w:val="center"/>
              <w:rPr>
                <w:rFonts w:hint="eastAsia" w:ascii="宋体" w:hAnsi="宋体" w:eastAsia="宋体" w:cs="宋体"/>
              </w:rPr>
            </w:pPr>
          </w:p>
        </w:tc>
        <w:tc>
          <w:tcPr>
            <w:tcW w:w="685" w:type="dxa"/>
            <w:tcBorders>
              <w:top w:val="single" w:color="auto" w:sz="4" w:space="0"/>
              <w:left w:val="single" w:color="auto" w:sz="4" w:space="0"/>
              <w:bottom w:val="single" w:color="auto" w:sz="4" w:space="0"/>
              <w:right w:val="single" w:color="auto" w:sz="4" w:space="0"/>
            </w:tcBorders>
            <w:vAlign w:val="center"/>
          </w:tcPr>
          <w:p w14:paraId="6817A9EB">
            <w:pPr>
              <w:spacing w:line="360" w:lineRule="auto"/>
              <w:jc w:val="center"/>
              <w:rPr>
                <w:rFonts w:hint="eastAsia" w:ascii="宋体" w:hAnsi="宋体" w:eastAsia="宋体" w:cs="宋体"/>
              </w:rPr>
            </w:pPr>
          </w:p>
        </w:tc>
        <w:tc>
          <w:tcPr>
            <w:tcW w:w="1183" w:type="dxa"/>
            <w:tcBorders>
              <w:top w:val="single" w:color="auto" w:sz="4" w:space="0"/>
              <w:left w:val="single" w:color="auto" w:sz="4" w:space="0"/>
              <w:bottom w:val="single" w:color="auto" w:sz="4" w:space="0"/>
              <w:right w:val="single" w:color="auto" w:sz="4" w:space="0"/>
            </w:tcBorders>
            <w:vAlign w:val="center"/>
          </w:tcPr>
          <w:p w14:paraId="17708586">
            <w:pPr>
              <w:spacing w:line="360" w:lineRule="auto"/>
              <w:jc w:val="center"/>
              <w:rPr>
                <w:rFonts w:hint="eastAsia" w:ascii="宋体" w:hAnsi="宋体" w:eastAsia="宋体" w:cs="宋体"/>
              </w:rPr>
            </w:pPr>
          </w:p>
        </w:tc>
        <w:tc>
          <w:tcPr>
            <w:tcW w:w="982" w:type="dxa"/>
            <w:tcBorders>
              <w:top w:val="single" w:color="auto" w:sz="4" w:space="0"/>
              <w:left w:val="single" w:color="auto" w:sz="4" w:space="0"/>
              <w:bottom w:val="single" w:color="auto" w:sz="4" w:space="0"/>
              <w:right w:val="single" w:color="auto" w:sz="4" w:space="0"/>
            </w:tcBorders>
            <w:vAlign w:val="center"/>
          </w:tcPr>
          <w:p w14:paraId="421E4F9C">
            <w:pPr>
              <w:spacing w:line="360" w:lineRule="auto"/>
              <w:jc w:val="center"/>
              <w:rPr>
                <w:rFonts w:hint="eastAsia" w:ascii="宋体" w:hAnsi="宋体" w:eastAsia="宋体" w:cs="宋体"/>
              </w:rPr>
            </w:pPr>
          </w:p>
        </w:tc>
        <w:tc>
          <w:tcPr>
            <w:tcW w:w="989" w:type="dxa"/>
            <w:tcBorders>
              <w:top w:val="single" w:color="auto" w:sz="4" w:space="0"/>
              <w:left w:val="single" w:color="auto" w:sz="4" w:space="0"/>
              <w:bottom w:val="single" w:color="auto" w:sz="4" w:space="0"/>
              <w:right w:val="single" w:color="auto" w:sz="4" w:space="0"/>
            </w:tcBorders>
            <w:vAlign w:val="center"/>
          </w:tcPr>
          <w:p w14:paraId="0D60C300">
            <w:pPr>
              <w:jc w:val="center"/>
              <w:rPr>
                <w:rFonts w:hint="eastAsia" w:ascii="宋体" w:hAnsi="宋体" w:eastAsia="宋体" w:cs="宋体"/>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131DCF48">
            <w:pPr>
              <w:jc w:val="center"/>
              <w:rPr>
                <w:rFonts w:hint="eastAsia" w:ascii="宋体" w:hAnsi="宋体" w:eastAsia="宋体" w:cs="宋体"/>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rFonts w:hint="eastAsia" w:ascii="宋体" w:hAnsi="宋体" w:eastAsia="宋体" w:cs="宋体"/>
                <w:highlight w:val="green"/>
              </w:rPr>
            </w:pPr>
            <w:r>
              <w:rPr>
                <w:rFonts w:hint="eastAsia" w:ascii="宋体" w:hAnsi="宋体" w:eastAsia="宋体" w:cs="宋体"/>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6F799F2">
            <w:pPr>
              <w:jc w:val="center"/>
              <w:rPr>
                <w:rFonts w:hint="eastAsia" w:ascii="宋体" w:hAnsi="宋体" w:eastAsia="宋体" w:cs="宋体"/>
                <w:highlight w:val="green"/>
              </w:rPr>
            </w:pPr>
          </w:p>
        </w:tc>
      </w:tr>
    </w:tbl>
    <w:p w14:paraId="22F37F5C">
      <w:pPr>
        <w:widowControl/>
        <w:shd w:val="clear" w:color="auto" w:fill="FFFFFF"/>
        <w:spacing w:line="360" w:lineRule="auto"/>
        <w:jc w:val="left"/>
        <w:rPr>
          <w:rFonts w:hint="eastAsia" w:ascii="宋体" w:hAnsi="宋体" w:eastAsia="宋体" w:cs="宋体"/>
          <w:kern w:val="0"/>
          <w:szCs w:val="21"/>
        </w:rPr>
      </w:pPr>
    </w:p>
    <w:p w14:paraId="63B88574">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1DCF73F2">
      <w:pPr>
        <w:pStyle w:val="98"/>
        <w:rPr>
          <w:rFonts w:hint="eastAsia" w:ascii="宋体" w:hAnsi="宋体" w:eastAsia="宋体" w:cs="宋体"/>
          <w:kern w:val="0"/>
          <w:szCs w:val="21"/>
        </w:rPr>
      </w:pPr>
    </w:p>
    <w:p w14:paraId="7749932C">
      <w:pPr>
        <w:widowControl/>
        <w:shd w:val="clear" w:color="auto" w:fill="FFFFFF"/>
        <w:spacing w:line="360" w:lineRule="auto"/>
        <w:jc w:val="left"/>
        <w:rPr>
          <w:rFonts w:hint="eastAsia" w:ascii="宋体" w:hAnsi="宋体" w:eastAsia="宋体" w:cs="宋体"/>
          <w:b/>
          <w:bCs/>
          <w:kern w:val="0"/>
          <w:szCs w:val="21"/>
        </w:rPr>
      </w:pPr>
      <w:r>
        <w:rPr>
          <w:rFonts w:hint="eastAsia" w:ascii="宋体" w:hAnsi="宋体" w:eastAsia="宋体" w:cs="宋体"/>
          <w:kern w:val="0"/>
          <w:szCs w:val="21"/>
        </w:rPr>
        <w:t>说明：</w:t>
      </w:r>
      <w:r>
        <w:rPr>
          <w:rFonts w:hint="eastAsia" w:ascii="宋体" w:hAnsi="宋体" w:eastAsia="宋体" w:cs="宋体"/>
          <w:b/>
          <w:bCs/>
          <w:kern w:val="0"/>
          <w:szCs w:val="21"/>
        </w:rPr>
        <w:t>本项目仅接受一个价格，不得填报有选择性报价方案。若有优惠条款须注明，但不得影响报价，影响产品整体功能；</w:t>
      </w:r>
    </w:p>
    <w:p w14:paraId="0163E24F">
      <w:pPr>
        <w:widowControl/>
        <w:shd w:val="clear" w:color="auto" w:fill="FFFFFF"/>
        <w:spacing w:line="360" w:lineRule="auto"/>
        <w:jc w:val="left"/>
        <w:rPr>
          <w:rFonts w:hint="eastAsia" w:ascii="宋体" w:hAnsi="宋体" w:eastAsia="宋体" w:cs="宋体"/>
          <w:kern w:val="0"/>
          <w:szCs w:val="21"/>
        </w:rPr>
      </w:pPr>
    </w:p>
    <w:p w14:paraId="6FEDA226">
      <w:pPr>
        <w:widowControl/>
        <w:shd w:val="clear" w:color="auto" w:fill="FFFFFF"/>
        <w:spacing w:line="360" w:lineRule="auto"/>
        <w:jc w:val="left"/>
        <w:rPr>
          <w:rFonts w:hint="eastAsia" w:ascii="宋体" w:hAnsi="宋体" w:eastAsia="宋体" w:cs="宋体"/>
          <w:kern w:val="0"/>
          <w:szCs w:val="21"/>
        </w:rPr>
      </w:pPr>
    </w:p>
    <w:p w14:paraId="0A728784">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66C58DC5">
      <w:pPr>
        <w:widowControl/>
        <w:jc w:val="left"/>
        <w:rPr>
          <w:rFonts w:hint="eastAsia" w:ascii="宋体" w:hAnsi="宋体" w:eastAsia="宋体" w:cs="宋体"/>
          <w:kern w:val="0"/>
          <w:szCs w:val="21"/>
        </w:rPr>
      </w:pPr>
      <w:r>
        <w:rPr>
          <w:rFonts w:hint="eastAsia" w:ascii="宋体" w:hAnsi="宋体" w:eastAsia="宋体" w:cs="宋体"/>
          <w:kern w:val="0"/>
          <w:szCs w:val="21"/>
        </w:rPr>
        <w:br w:type="page"/>
      </w:r>
    </w:p>
    <w:p w14:paraId="43DCAEF5">
      <w:pPr>
        <w:widowControl/>
        <w:shd w:val="clear" w:color="auto" w:fill="FFFFFF"/>
        <w:spacing w:line="360" w:lineRule="auto"/>
        <w:jc w:val="left"/>
        <w:rPr>
          <w:rFonts w:hint="eastAsia" w:ascii="宋体" w:hAnsi="宋体" w:eastAsia="宋体" w:cs="宋体"/>
          <w:b/>
          <w:bCs/>
          <w:kern w:val="0"/>
          <w:sz w:val="24"/>
        </w:rPr>
      </w:pPr>
      <w:r>
        <w:rPr>
          <w:rFonts w:hint="eastAsia" w:ascii="宋体" w:hAnsi="宋体" w:eastAsia="宋体" w:cs="宋体"/>
          <w:b/>
          <w:bCs/>
          <w:kern w:val="0"/>
          <w:sz w:val="24"/>
        </w:rPr>
        <w:t> 附件五、技术条款偏离表</w:t>
      </w:r>
    </w:p>
    <w:p w14:paraId="0430D888">
      <w:pPr>
        <w:widowControl/>
        <w:shd w:val="clear" w:color="auto" w:fill="FFFFFF"/>
        <w:spacing w:line="360" w:lineRule="auto"/>
        <w:ind w:left="435"/>
        <w:jc w:val="left"/>
        <w:rPr>
          <w:rFonts w:hint="eastAsia" w:ascii="宋体" w:hAnsi="宋体" w:eastAsia="宋体" w:cs="宋体"/>
          <w:kern w:val="0"/>
          <w:szCs w:val="21"/>
        </w:rPr>
      </w:pPr>
      <w:r>
        <w:rPr>
          <w:rFonts w:hint="eastAsia" w:ascii="宋体" w:hAnsi="宋体" w:eastAsia="宋体" w:cs="宋体"/>
          <w:kern w:val="0"/>
          <w:sz w:val="24"/>
        </w:rPr>
        <w:t> </w:t>
      </w:r>
    </w:p>
    <w:p w14:paraId="5EFFC2A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kern w:val="0"/>
          <w:szCs w:val="21"/>
        </w:rPr>
      </w:pPr>
      <w:r>
        <w:rPr>
          <w:rFonts w:hint="eastAsia" w:ascii="宋体" w:hAnsi="宋体" w:eastAsia="宋体" w:cs="宋体"/>
          <w:b/>
          <w:kern w:val="0"/>
          <w:sz w:val="36"/>
          <w:szCs w:val="36"/>
        </w:rPr>
        <w:t>技术条款偏离表</w:t>
      </w:r>
    </w:p>
    <w:p w14:paraId="14DBCDAD">
      <w:pPr>
        <w:widowControl/>
        <w:tabs>
          <w:tab w:val="left" w:pos="5397"/>
        </w:tabs>
        <w:spacing w:line="360" w:lineRule="auto"/>
        <w:ind w:firstLine="84" w:firstLineChars="40"/>
        <w:jc w:val="left"/>
        <w:rPr>
          <w:rFonts w:hint="eastAsia" w:ascii="宋体" w:hAnsi="宋体" w:eastAsia="宋体" w:cs="宋体"/>
          <w:kern w:val="0"/>
          <w:szCs w:val="21"/>
        </w:rPr>
      </w:pPr>
      <w:r>
        <w:rPr>
          <w:rFonts w:hint="eastAsia" w:ascii="宋体" w:hAnsi="宋体" w:eastAsia="宋体" w:cs="宋体"/>
          <w:kern w:val="0"/>
          <w:szCs w:val="21"/>
        </w:rPr>
        <w:t>项目名称：</w:t>
      </w:r>
      <w:r>
        <w:rPr>
          <w:rFonts w:hint="eastAsia" w:ascii="宋体" w:hAnsi="宋体" w:eastAsia="宋体" w:cs="宋体"/>
          <w:kern w:val="0"/>
          <w:szCs w:val="21"/>
        </w:rPr>
        <w:tab/>
      </w:r>
      <w:r>
        <w:rPr>
          <w:rFonts w:hint="eastAsia" w:ascii="宋体" w:hAnsi="宋体" w:eastAsia="宋体" w:cs="宋体"/>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0"/>
        <w:gridCol w:w="1858"/>
        <w:gridCol w:w="2139"/>
        <w:gridCol w:w="2417"/>
        <w:gridCol w:w="1162"/>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lang w:val="en-US" w:eastAsia="zh-CN"/>
              </w:rPr>
              <w:t>....</w:t>
            </w:r>
          </w:p>
        </w:tc>
        <w:tc>
          <w:tcPr>
            <w:tcW w:w="1121" w:type="pct"/>
            <w:tcMar>
              <w:top w:w="0" w:type="dxa"/>
              <w:left w:w="10" w:type="dxa"/>
              <w:bottom w:w="0" w:type="dxa"/>
              <w:right w:w="10" w:type="dxa"/>
            </w:tcMar>
            <w:vAlign w:val="center"/>
          </w:tcPr>
          <w:p w14:paraId="77F7FE6B">
            <w:pPr>
              <w:widowControl/>
              <w:spacing w:line="360" w:lineRule="auto"/>
              <w:jc w:val="center"/>
              <w:rPr>
                <w:rFonts w:hint="eastAsia" w:ascii="宋体" w:hAnsi="宋体" w:eastAsia="宋体" w:cs="宋体"/>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hint="eastAsia" w:ascii="宋体" w:hAnsi="宋体" w:eastAsia="宋体" w:cs="宋体"/>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hint="eastAsia" w:ascii="宋体" w:hAnsi="宋体" w:eastAsia="宋体" w:cs="宋体"/>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hint="eastAsia" w:ascii="宋体" w:hAnsi="宋体" w:eastAsia="宋体" w:cs="宋体"/>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lang w:val="en-US" w:eastAsia="zh-CN"/>
              </w:rPr>
              <w:t>....</w:t>
            </w:r>
          </w:p>
        </w:tc>
        <w:tc>
          <w:tcPr>
            <w:tcW w:w="2411" w:type="pct"/>
            <w:gridSpan w:val="2"/>
            <w:tcMar>
              <w:top w:w="0" w:type="dxa"/>
              <w:left w:w="10" w:type="dxa"/>
              <w:bottom w:w="0" w:type="dxa"/>
              <w:right w:w="10" w:type="dxa"/>
            </w:tcMar>
            <w:vAlign w:val="center"/>
          </w:tcPr>
          <w:p w14:paraId="40B467A5">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我单位承诺，其余普通条款</w:t>
            </w:r>
            <w:r>
              <w:rPr>
                <w:rFonts w:hint="eastAsia" w:ascii="宋体" w:hAnsi="宋体" w:eastAsia="宋体" w:cs="宋体"/>
                <w:kern w:val="0"/>
                <w:szCs w:val="21"/>
                <w:lang w:eastAsia="zh-CN"/>
              </w:rPr>
              <w:t>（</w:t>
            </w:r>
            <w:r>
              <w:rPr>
                <w:rFonts w:hint="eastAsia" w:ascii="宋体" w:hAnsi="宋体" w:eastAsia="宋体" w:cs="宋体"/>
                <w:kern w:val="0"/>
                <w:szCs w:val="21"/>
              </w:rPr>
              <w:t>除了要求证明材料的</w:t>
            </w:r>
            <w:r>
              <w:rPr>
                <w:rFonts w:hint="eastAsia" w:ascii="宋体" w:hAnsi="宋体" w:eastAsia="宋体" w:cs="宋体"/>
                <w:kern w:val="0"/>
                <w:szCs w:val="21"/>
                <w:lang w:eastAsia="zh-CN"/>
              </w:rPr>
              <w:t>）</w:t>
            </w:r>
            <w:r>
              <w:rPr>
                <w:rFonts w:hint="eastAsia" w:ascii="宋体" w:hAnsi="宋体" w:eastAsia="宋体" w:cs="宋体"/>
                <w:kern w:val="0"/>
                <w:szCs w:val="21"/>
              </w:rPr>
              <w:t>均满足采购文件要求，无偏离</w:t>
            </w:r>
          </w:p>
        </w:tc>
        <w:tc>
          <w:tcPr>
            <w:tcW w:w="1458" w:type="pct"/>
            <w:tcMar>
              <w:top w:w="0" w:type="dxa"/>
              <w:left w:w="10" w:type="dxa"/>
              <w:bottom w:w="0" w:type="dxa"/>
              <w:right w:w="10" w:type="dxa"/>
            </w:tcMar>
            <w:vAlign w:val="center"/>
          </w:tcPr>
          <w:p w14:paraId="63F8E8D3">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均满足采购文件要求，无偏离</w:t>
            </w:r>
          </w:p>
        </w:tc>
        <w:tc>
          <w:tcPr>
            <w:tcW w:w="701" w:type="pct"/>
            <w:tcMar>
              <w:top w:w="0" w:type="dxa"/>
              <w:left w:w="10" w:type="dxa"/>
              <w:bottom w:w="0" w:type="dxa"/>
              <w:right w:w="10" w:type="dxa"/>
            </w:tcMar>
            <w:vAlign w:val="center"/>
          </w:tcPr>
          <w:p w14:paraId="5F08D63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无偏离</w:t>
            </w:r>
          </w:p>
        </w:tc>
      </w:tr>
    </w:tbl>
    <w:p w14:paraId="540848F0">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说明：</w:t>
      </w:r>
    </w:p>
    <w:p w14:paraId="2E6887DF">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Cs w:val="21"/>
          <w:highlight w:val="none"/>
        </w:rPr>
      </w:pPr>
      <w:r>
        <w:rPr>
          <w:rFonts w:hint="eastAsia" w:ascii="宋体" w:hAnsi="宋体" w:cs="宋体"/>
          <w:b/>
          <w:bCs/>
          <w:kern w:val="0"/>
          <w:szCs w:val="21"/>
          <w:highlight w:val="none"/>
          <w:lang w:val="en-US" w:eastAsia="zh-CN"/>
        </w:rPr>
        <w:t>1</w:t>
      </w:r>
      <w:r>
        <w:rPr>
          <w:rFonts w:hint="eastAsia" w:ascii="宋体" w:hAnsi="宋体" w:eastAsia="宋体" w:cs="宋体"/>
          <w:b/>
          <w:bCs/>
          <w:kern w:val="0"/>
          <w:szCs w:val="21"/>
          <w:highlight w:val="none"/>
        </w:rPr>
        <w:t>、评标委员会根据投标文件格式【技术条款偏离表】进行评审，请供应商根据第四章采购需求中【二、技术指标及要求】的条款响应，如实填列所投产品的技术指标响应内容。“★”的内容为实质性要求，有一项不符合的，作无效投标处理。对“★”及“其他”技术参数需要提供支撑资料（提供与所投产品品牌、型号完全一致的以下材料之一或组合：①公开发行的产品技术说明书（datasheet）或公开发行的产品彩页；②官网公开资料（含链接）；③第三方检测机构出具的检测报告或技术白皮书，复印件加盖公章。证明材料载明型号与投标型号不一致的，视为负偏离；如未附有效支撑材料或者所附的支撑材料由评标委员会认为不能佐证技术指标的有效性的，则视为负偏离。如文件中要求提供证明材料，建议采用箭头、标红、下划线或页码等进行明显标注，方便评委查看。在签订合同前，采购人有权要求供应商到用户现场验证，功能、性能需与技术要求一致，否则视为虚假应标，采购人有权追究其相应法律责任。</w:t>
      </w:r>
    </w:p>
    <w:p w14:paraId="5CE30071">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Cs w:val="21"/>
        </w:rPr>
      </w:pPr>
      <w:r>
        <w:rPr>
          <w:rFonts w:hint="eastAsia" w:ascii="宋体" w:hAnsi="宋体" w:cs="宋体"/>
          <w:kern w:val="0"/>
          <w:szCs w:val="21"/>
          <w:lang w:val="en-US" w:eastAsia="zh-CN"/>
        </w:rPr>
        <w:t>2、</w:t>
      </w:r>
      <w:r>
        <w:rPr>
          <w:rFonts w:hint="eastAsia" w:ascii="宋体" w:hAnsi="宋体" w:eastAsia="宋体" w:cs="宋体"/>
          <w:kern w:val="0"/>
          <w:szCs w:val="21"/>
        </w:rPr>
        <w:t>如果行数不够，请自行增加。</w:t>
      </w:r>
    </w:p>
    <w:p w14:paraId="0B94E66A">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Cs w:val="21"/>
        </w:rPr>
      </w:pPr>
      <w:r>
        <w:rPr>
          <w:rFonts w:hint="eastAsia" w:ascii="宋体" w:hAnsi="宋体" w:cs="宋体"/>
          <w:kern w:val="0"/>
          <w:szCs w:val="21"/>
          <w:lang w:val="en-US" w:eastAsia="zh-CN"/>
        </w:rPr>
        <w:t>3</w:t>
      </w:r>
      <w:r>
        <w:rPr>
          <w:rFonts w:hint="eastAsia" w:ascii="宋体" w:hAnsi="宋体" w:eastAsia="宋体" w:cs="宋体"/>
          <w:kern w:val="0"/>
          <w:szCs w:val="21"/>
        </w:rPr>
        <w:t>、“偏离”栏应注明“无偏离”或“正偏离”或“负偏离”。</w:t>
      </w:r>
    </w:p>
    <w:p w14:paraId="6A58318B">
      <w:pPr>
        <w:keepNext w:val="0"/>
        <w:keepLines w:val="0"/>
        <w:pageBreakBefore w:val="0"/>
        <w:widowControl/>
        <w:shd w:val="clear" w:color="auto" w:fill="FFFFFF"/>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Cs w:val="21"/>
        </w:rPr>
      </w:pPr>
      <w:r>
        <w:rPr>
          <w:rFonts w:hint="eastAsia" w:ascii="宋体" w:hAnsi="宋体" w:cs="宋体"/>
          <w:kern w:val="0"/>
          <w:szCs w:val="21"/>
          <w:lang w:val="en-US" w:eastAsia="zh-CN"/>
        </w:rPr>
        <w:t>4</w:t>
      </w:r>
      <w:r>
        <w:rPr>
          <w:rFonts w:hint="eastAsia" w:ascii="宋体" w:hAnsi="宋体" w:eastAsia="宋体" w:cs="宋体"/>
          <w:kern w:val="0"/>
          <w:szCs w:val="21"/>
        </w:rPr>
        <w:t>、内容响应存在正偏离或无偏离或负偏离的，请在本表中列出。如果行数不够，请自行增加。</w:t>
      </w:r>
    </w:p>
    <w:p w14:paraId="547194CF">
      <w:pPr>
        <w:widowControl/>
        <w:shd w:val="clear" w:color="auto" w:fill="FFFFFF"/>
        <w:spacing w:line="360" w:lineRule="auto"/>
        <w:jc w:val="left"/>
        <w:rPr>
          <w:rFonts w:hint="eastAsia" w:ascii="宋体" w:hAnsi="宋体" w:eastAsia="宋体" w:cs="宋体"/>
          <w:kern w:val="0"/>
          <w:szCs w:val="21"/>
        </w:rPr>
      </w:pPr>
    </w:p>
    <w:p w14:paraId="238B8C2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2CF7A35E">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r>
        <w:rPr>
          <w:rFonts w:hint="eastAsia" w:ascii="宋体" w:hAnsi="宋体" w:eastAsia="宋体" w:cs="宋体"/>
          <w:kern w:val="0"/>
          <w:szCs w:val="21"/>
        </w:rPr>
        <w:br w:type="page"/>
      </w:r>
    </w:p>
    <w:p w14:paraId="334327D0">
      <w:pPr>
        <w:widowControl/>
        <w:shd w:val="clear" w:color="auto" w:fill="FFFFFF"/>
        <w:spacing w:line="360" w:lineRule="auto"/>
        <w:jc w:val="left"/>
        <w:rPr>
          <w:rFonts w:hint="eastAsia" w:ascii="宋体" w:hAnsi="宋体" w:eastAsia="宋体" w:cs="宋体"/>
          <w:b/>
          <w:bCs/>
          <w:kern w:val="0"/>
          <w:sz w:val="24"/>
        </w:rPr>
      </w:pPr>
      <w:r>
        <w:rPr>
          <w:rFonts w:hint="eastAsia" w:ascii="宋体" w:hAnsi="宋体" w:eastAsia="宋体" w:cs="宋体"/>
          <w:b/>
          <w:bCs/>
          <w:kern w:val="0"/>
          <w:sz w:val="24"/>
        </w:rPr>
        <w:t>附件六、商务条款偏离表格式</w:t>
      </w:r>
    </w:p>
    <w:p w14:paraId="325B2829">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6E207F50">
      <w:pPr>
        <w:keepNext w:val="0"/>
        <w:keepLines w:val="0"/>
        <w:pageBreakBefore w:val="0"/>
        <w:widowControl/>
        <w:shd w:val="clear" w:color="auto" w:fill="FFFFFF"/>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kern w:val="0"/>
          <w:szCs w:val="21"/>
        </w:rPr>
      </w:pPr>
      <w:r>
        <w:rPr>
          <w:rFonts w:hint="eastAsia" w:ascii="宋体" w:hAnsi="宋体" w:eastAsia="宋体" w:cs="宋体"/>
          <w:b/>
          <w:kern w:val="0"/>
          <w:sz w:val="36"/>
          <w:szCs w:val="36"/>
        </w:rPr>
        <w:t>商务条款偏离表</w:t>
      </w:r>
    </w:p>
    <w:p w14:paraId="6FC118C5">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 w:val="24"/>
        </w:rPr>
        <w:t> </w:t>
      </w:r>
    </w:p>
    <w:p w14:paraId="5DE02F62">
      <w:pPr>
        <w:widowControl/>
        <w:tabs>
          <w:tab w:val="left" w:pos="5366"/>
        </w:tabs>
        <w:spacing w:line="360" w:lineRule="auto"/>
        <w:ind w:firstLine="96" w:firstLineChars="46"/>
        <w:jc w:val="left"/>
        <w:rPr>
          <w:rFonts w:hint="eastAsia" w:ascii="宋体" w:hAnsi="宋体" w:eastAsia="宋体" w:cs="宋体"/>
          <w:kern w:val="0"/>
          <w:szCs w:val="21"/>
        </w:rPr>
      </w:pPr>
      <w:r>
        <w:rPr>
          <w:rFonts w:hint="eastAsia" w:ascii="宋体" w:hAnsi="宋体" w:eastAsia="宋体" w:cs="宋体"/>
          <w:kern w:val="0"/>
          <w:szCs w:val="21"/>
        </w:rPr>
        <w:t>项目名称：</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hint="eastAsia" w:ascii="宋体" w:hAnsi="宋体" w:eastAsia="宋体" w:cs="宋体"/>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hint="eastAsia" w:ascii="宋体" w:hAnsi="宋体" w:eastAsia="宋体" w:cs="宋体"/>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hint="eastAsia" w:ascii="宋体" w:hAnsi="宋体" w:eastAsia="宋体" w:cs="宋体"/>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hint="eastAsia" w:ascii="宋体" w:hAnsi="宋体" w:eastAsia="宋体" w:cs="宋体"/>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hint="eastAsia" w:ascii="宋体" w:hAnsi="宋体" w:eastAsia="宋体" w:cs="宋体"/>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hint="eastAsia" w:ascii="宋体" w:hAnsi="宋体" w:eastAsia="宋体" w:cs="宋体"/>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hint="eastAsia" w:ascii="宋体" w:hAnsi="宋体" w:eastAsia="宋体" w:cs="宋体"/>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hint="eastAsia" w:ascii="宋体" w:hAnsi="宋体" w:eastAsia="宋体" w:cs="宋体"/>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hint="eastAsia" w:ascii="宋体" w:hAnsi="宋体" w:eastAsia="宋体" w:cs="宋体"/>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hint="eastAsia" w:ascii="宋体" w:hAnsi="宋体" w:eastAsia="宋体" w:cs="宋体"/>
                <w:kern w:val="0"/>
                <w:szCs w:val="21"/>
              </w:rPr>
            </w:pPr>
          </w:p>
        </w:tc>
      </w:tr>
    </w:tbl>
    <w:p w14:paraId="0C876C6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说明：</w:t>
      </w:r>
    </w:p>
    <w:p w14:paraId="4257892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1、如果行数不够，请自行增加。</w:t>
      </w:r>
    </w:p>
    <w:p w14:paraId="3336A605">
      <w:pPr>
        <w:widowControl/>
        <w:shd w:val="clear" w:color="auto" w:fill="FFFFFF"/>
        <w:spacing w:line="360" w:lineRule="auto"/>
        <w:jc w:val="lef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2、内容响应存在正偏离或无偏离或负偏离的，请在本表中列出。未列出的，也视为响应招标文件要求，无偏离。如果行数不够，请自行增加。</w:t>
      </w:r>
    </w:p>
    <w:p w14:paraId="528BCE67">
      <w:pPr>
        <w:widowControl/>
        <w:shd w:val="clear" w:color="auto" w:fill="FFFFFF"/>
        <w:spacing w:line="360" w:lineRule="auto"/>
        <w:jc w:val="left"/>
        <w:rPr>
          <w:rFonts w:hint="eastAsia" w:ascii="宋体" w:hAnsi="宋体" w:eastAsia="宋体" w:cs="宋体"/>
          <w:kern w:val="0"/>
          <w:szCs w:val="21"/>
        </w:rPr>
      </w:pPr>
    </w:p>
    <w:p w14:paraId="7EC4C5AC">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4F274FC9">
      <w:pPr>
        <w:widowControl/>
        <w:shd w:val="clear" w:color="auto" w:fill="FFFFFF"/>
        <w:spacing w:line="360" w:lineRule="auto"/>
        <w:jc w:val="left"/>
        <w:rPr>
          <w:rFonts w:hint="eastAsia" w:ascii="宋体" w:hAnsi="宋体" w:eastAsia="宋体" w:cs="宋体"/>
          <w:kern w:val="0"/>
          <w:szCs w:val="21"/>
        </w:rPr>
      </w:pPr>
    </w:p>
    <w:p w14:paraId="1E058381">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5492B810">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1BAC339A">
      <w:pPr>
        <w:widowControl/>
        <w:shd w:val="clear" w:color="auto" w:fill="FFFFFF"/>
        <w:spacing w:line="360" w:lineRule="auto"/>
        <w:jc w:val="left"/>
        <w:rPr>
          <w:rFonts w:hint="eastAsia" w:ascii="宋体" w:hAnsi="宋体" w:eastAsia="宋体" w:cs="宋体"/>
          <w:kern w:val="0"/>
          <w:szCs w:val="21"/>
        </w:rPr>
      </w:pPr>
    </w:p>
    <w:p w14:paraId="3844631A">
      <w:pPr>
        <w:widowControl/>
        <w:shd w:val="clear" w:color="auto" w:fill="FFFFFF"/>
        <w:spacing w:line="360" w:lineRule="auto"/>
        <w:jc w:val="left"/>
        <w:rPr>
          <w:rFonts w:hint="eastAsia" w:ascii="宋体" w:hAnsi="宋体" w:eastAsia="宋体" w:cs="宋体"/>
          <w:b/>
          <w:szCs w:val="21"/>
        </w:rPr>
      </w:pPr>
      <w:r>
        <w:rPr>
          <w:rFonts w:hint="eastAsia" w:ascii="宋体" w:hAnsi="宋体" w:eastAsia="宋体" w:cs="宋体"/>
          <w:b/>
          <w:bCs/>
          <w:kern w:val="0"/>
          <w:szCs w:val="21"/>
        </w:rPr>
        <w:br w:type="page"/>
      </w:r>
      <w:r>
        <w:rPr>
          <w:rFonts w:hint="eastAsia" w:ascii="宋体" w:hAnsi="宋体" w:eastAsia="宋体" w:cs="宋体"/>
          <w:b/>
          <w:bCs/>
          <w:kern w:val="0"/>
          <w:sz w:val="24"/>
        </w:rPr>
        <w:t>附件七、方案</w:t>
      </w:r>
    </w:p>
    <w:p w14:paraId="329AB337">
      <w:pPr>
        <w:widowControl/>
        <w:shd w:val="clear" w:color="auto" w:fill="FFFFFF"/>
        <w:spacing w:line="360" w:lineRule="auto"/>
        <w:jc w:val="left"/>
        <w:rPr>
          <w:rFonts w:hint="eastAsia" w:ascii="宋体" w:hAnsi="宋体" w:eastAsia="宋体" w:cs="宋体"/>
          <w:b/>
          <w:szCs w:val="21"/>
          <w:lang w:val="zh-CN"/>
        </w:rPr>
      </w:pPr>
    </w:p>
    <w:p w14:paraId="40F558C9">
      <w:pPr>
        <w:pStyle w:val="201"/>
        <w:snapToGrid w:val="0"/>
        <w:spacing w:before="0" w:after="0"/>
        <w:ind w:firstLine="0"/>
        <w:rPr>
          <w:rFonts w:hint="eastAsia" w:ascii="宋体" w:hAnsi="宋体" w:eastAsia="宋体" w:cs="宋体"/>
          <w:kern w:val="2"/>
          <w:sz w:val="21"/>
          <w:szCs w:val="21"/>
        </w:rPr>
      </w:pPr>
      <w:r>
        <w:rPr>
          <w:rFonts w:hint="eastAsia" w:ascii="宋体" w:hAnsi="宋体" w:eastAsia="宋体" w:cs="宋体"/>
          <w:kern w:val="2"/>
          <w:sz w:val="21"/>
          <w:szCs w:val="21"/>
        </w:rPr>
        <w:t>方案应根据</w:t>
      </w:r>
      <w:r>
        <w:rPr>
          <w:rFonts w:hint="eastAsia" w:ascii="宋体" w:hAnsi="宋体" w:cs="宋体"/>
          <w:kern w:val="2"/>
          <w:sz w:val="21"/>
          <w:szCs w:val="21"/>
          <w:lang w:eastAsia="zh-CN"/>
        </w:rPr>
        <w:t>采购人</w:t>
      </w:r>
      <w:r>
        <w:rPr>
          <w:rFonts w:hint="eastAsia" w:ascii="宋体" w:hAnsi="宋体" w:eastAsia="宋体" w:cs="宋体"/>
          <w:kern w:val="2"/>
          <w:sz w:val="21"/>
          <w:szCs w:val="21"/>
        </w:rPr>
        <w:t>对项目的要求、评标标准的要求及项目本身的特点编写。</w:t>
      </w:r>
    </w:p>
    <w:p w14:paraId="7706FD82">
      <w:pPr>
        <w:pStyle w:val="201"/>
        <w:snapToGrid w:val="0"/>
        <w:spacing w:before="0" w:after="0"/>
        <w:ind w:firstLine="420" w:firstLineChars="200"/>
        <w:rPr>
          <w:rFonts w:hint="eastAsia" w:ascii="宋体" w:hAnsi="宋体" w:eastAsia="宋体" w:cs="宋体"/>
          <w:kern w:val="2"/>
          <w:sz w:val="21"/>
          <w:szCs w:val="21"/>
        </w:rPr>
      </w:pPr>
    </w:p>
    <w:p w14:paraId="0E119BAD">
      <w:pPr>
        <w:widowControl/>
        <w:shd w:val="clear" w:color="auto" w:fill="FFFFFF"/>
        <w:spacing w:line="360" w:lineRule="auto"/>
        <w:jc w:val="left"/>
        <w:rPr>
          <w:rFonts w:hint="eastAsia" w:ascii="宋体" w:hAnsi="宋体" w:eastAsia="宋体" w:cs="宋体"/>
          <w:b/>
          <w:bCs/>
          <w:kern w:val="0"/>
          <w:sz w:val="22"/>
          <w:szCs w:val="22"/>
          <w:lang w:eastAsia="zh-CN"/>
        </w:rPr>
      </w:pPr>
      <w:r>
        <w:rPr>
          <w:rFonts w:hint="eastAsia" w:ascii="宋体" w:hAnsi="宋体" w:eastAsia="宋体" w:cs="宋体"/>
          <w:b/>
          <w:bCs/>
          <w:kern w:val="0"/>
          <w:sz w:val="22"/>
          <w:szCs w:val="22"/>
        </w:rPr>
        <w:t>相关内容请在苏采云平台对应模块填写</w:t>
      </w:r>
      <w:r>
        <w:rPr>
          <w:rFonts w:hint="eastAsia" w:ascii="宋体" w:hAnsi="宋体" w:eastAsia="宋体" w:cs="宋体"/>
          <w:b/>
          <w:bCs/>
          <w:kern w:val="0"/>
          <w:sz w:val="22"/>
          <w:szCs w:val="22"/>
          <w:lang w:eastAsia="zh-CN"/>
        </w:rPr>
        <w:t>！</w:t>
      </w:r>
    </w:p>
    <w:p w14:paraId="1962EBBF">
      <w:pPr>
        <w:widowControl/>
        <w:shd w:val="clear" w:color="auto" w:fill="FFFFFF"/>
        <w:spacing w:line="360" w:lineRule="auto"/>
        <w:jc w:val="left"/>
        <w:rPr>
          <w:rFonts w:hint="eastAsia" w:ascii="宋体" w:hAnsi="宋体" w:eastAsia="宋体" w:cs="宋体"/>
          <w:kern w:val="0"/>
          <w:szCs w:val="21"/>
        </w:rPr>
      </w:pPr>
    </w:p>
    <w:p w14:paraId="548DFAB6">
      <w:pPr>
        <w:widowControl/>
        <w:shd w:val="clear" w:color="auto" w:fill="FFFFFF"/>
        <w:spacing w:line="360" w:lineRule="auto"/>
        <w:jc w:val="left"/>
        <w:rPr>
          <w:rFonts w:hint="eastAsia" w:ascii="宋体" w:hAnsi="宋体" w:eastAsia="宋体" w:cs="宋体"/>
          <w:kern w:val="0"/>
          <w:szCs w:val="21"/>
        </w:rPr>
      </w:pPr>
    </w:p>
    <w:p w14:paraId="65D8012A">
      <w:pPr>
        <w:widowControl/>
        <w:shd w:val="clear" w:color="auto" w:fill="FFFFFF"/>
        <w:spacing w:line="360" w:lineRule="auto"/>
        <w:jc w:val="left"/>
        <w:rPr>
          <w:rFonts w:hint="eastAsia" w:ascii="宋体" w:hAnsi="宋体" w:eastAsia="宋体" w:cs="宋体"/>
          <w:b/>
          <w:bCs/>
          <w:kern w:val="0"/>
          <w:szCs w:val="21"/>
        </w:rPr>
      </w:pPr>
      <w:r>
        <w:rPr>
          <w:rFonts w:hint="eastAsia" w:ascii="宋体" w:hAnsi="宋体" w:eastAsia="宋体" w:cs="宋体"/>
          <w:b/>
          <w:bCs/>
          <w:kern w:val="0"/>
          <w:szCs w:val="21"/>
        </w:rPr>
        <w:t> </w:t>
      </w:r>
    </w:p>
    <w:p w14:paraId="2AB19B6D">
      <w:pPr>
        <w:widowControl/>
        <w:adjustRightInd w:val="0"/>
        <w:spacing w:line="460" w:lineRule="atLeast"/>
        <w:rPr>
          <w:rFonts w:hint="eastAsia" w:ascii="宋体" w:hAnsi="宋体" w:eastAsia="宋体" w:cs="宋体"/>
          <w:b/>
          <w:bCs/>
          <w:kern w:val="0"/>
          <w:sz w:val="24"/>
        </w:rPr>
      </w:pPr>
      <w:r>
        <w:rPr>
          <w:rFonts w:hint="eastAsia" w:ascii="宋体" w:hAnsi="宋体" w:eastAsia="宋体" w:cs="宋体"/>
        </w:rPr>
        <w:br w:type="page"/>
      </w:r>
      <w:r>
        <w:rPr>
          <w:rFonts w:hint="eastAsia" w:ascii="宋体" w:hAnsi="宋体" w:eastAsia="宋体" w:cs="宋体"/>
          <w:b/>
          <w:bCs/>
          <w:kern w:val="0"/>
          <w:sz w:val="24"/>
        </w:rPr>
        <w:t>附件八、拟参与本项目服务人员一览表</w:t>
      </w:r>
    </w:p>
    <w:p w14:paraId="7AA45F0A">
      <w:pPr>
        <w:widowControl/>
        <w:adjustRightInd w:val="0"/>
        <w:spacing w:line="460" w:lineRule="atLeast"/>
        <w:rPr>
          <w:rFonts w:hint="eastAsia" w:ascii="宋体" w:hAnsi="宋体" w:eastAsia="宋体" w:cs="宋体"/>
          <w:b/>
          <w:bCs/>
          <w:kern w:val="0"/>
          <w:sz w:val="24"/>
        </w:rPr>
      </w:pPr>
    </w:p>
    <w:p w14:paraId="0EDEF68D">
      <w:pPr>
        <w:widowControl/>
        <w:adjustRightInd w:val="0"/>
        <w:jc w:val="center"/>
        <w:rPr>
          <w:rFonts w:hint="eastAsia" w:ascii="宋体" w:hAnsi="宋体" w:eastAsia="宋体" w:cs="宋体"/>
          <w:b/>
          <w:bCs/>
          <w:kern w:val="0"/>
          <w:sz w:val="24"/>
        </w:rPr>
      </w:pPr>
      <w:r>
        <w:rPr>
          <w:rFonts w:hint="eastAsia" w:ascii="宋体" w:hAnsi="宋体" w:eastAsia="宋体" w:cs="宋体"/>
          <w:b/>
          <w:bCs/>
          <w:kern w:val="0"/>
          <w:sz w:val="24"/>
        </w:rPr>
        <w:t>拟参与本项目服务人员一览表</w:t>
      </w:r>
    </w:p>
    <w:p w14:paraId="1AA532B3">
      <w:pPr>
        <w:widowControl/>
        <w:adjustRightInd w:val="0"/>
        <w:jc w:val="center"/>
        <w:rPr>
          <w:rFonts w:hint="eastAsia" w:ascii="宋体" w:hAnsi="宋体" w:eastAsia="宋体" w:cs="宋体"/>
          <w:b/>
          <w:bCs/>
          <w:kern w:val="0"/>
          <w:sz w:val="24"/>
        </w:rPr>
      </w:pPr>
    </w:p>
    <w:p w14:paraId="4E96CEB3">
      <w:pPr>
        <w:widowControl/>
        <w:adjustRightInd w:val="0"/>
        <w:rPr>
          <w:rFonts w:hint="eastAsia" w:ascii="宋体" w:hAnsi="宋体" w:eastAsia="宋体" w:cs="宋体"/>
          <w:kern w:val="0"/>
          <w:szCs w:val="21"/>
        </w:rPr>
      </w:pPr>
      <w:r>
        <w:rPr>
          <w:rFonts w:hint="eastAsia" w:ascii="宋体" w:hAnsi="宋体" w:eastAsia="宋体" w:cs="宋体"/>
          <w:kern w:val="0"/>
          <w:szCs w:val="21"/>
        </w:rPr>
        <w:t>项目名称：</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执业</w:t>
            </w:r>
          </w:p>
          <w:p w14:paraId="55D35E14">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hint="eastAsia" w:ascii="宋体" w:hAnsi="宋体" w:eastAsia="宋体" w:cs="宋体"/>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hint="eastAsia" w:ascii="宋体" w:hAnsi="宋体" w:eastAsia="宋体" w:cs="宋体"/>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hint="eastAsia" w:ascii="宋体" w:hAnsi="宋体" w:eastAsia="宋体" w:cs="宋体"/>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hint="eastAsia" w:ascii="宋体" w:hAnsi="宋体" w:eastAsia="宋体" w:cs="宋体"/>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hint="eastAsia" w:ascii="宋体" w:hAnsi="宋体" w:eastAsia="宋体" w:cs="宋体"/>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hint="eastAsia" w:ascii="宋体" w:hAnsi="宋体" w:eastAsia="宋体" w:cs="宋体"/>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hint="eastAsia" w:ascii="宋体" w:hAnsi="宋体" w:eastAsia="宋体" w:cs="宋体"/>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hint="eastAsia" w:ascii="宋体" w:hAnsi="宋体" w:eastAsia="宋体" w:cs="宋体"/>
                <w:kern w:val="0"/>
                <w:szCs w:val="21"/>
              </w:rPr>
            </w:pPr>
          </w:p>
        </w:tc>
      </w:tr>
    </w:tbl>
    <w:p w14:paraId="1AB77746">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43B82C85">
      <w:pPr>
        <w:widowControl/>
        <w:adjustRightInd w:val="0"/>
        <w:rPr>
          <w:rFonts w:hint="eastAsia" w:ascii="宋体" w:hAnsi="宋体" w:eastAsia="宋体" w:cs="宋体"/>
          <w:kern w:val="0"/>
          <w:szCs w:val="21"/>
        </w:rPr>
      </w:pPr>
    </w:p>
    <w:p w14:paraId="15E1CB95">
      <w:pPr>
        <w:widowControl/>
        <w:adjustRightInd w:val="0"/>
        <w:rPr>
          <w:rFonts w:hint="eastAsia" w:ascii="宋体" w:hAnsi="宋体" w:eastAsia="宋体" w:cs="宋体"/>
          <w:b/>
          <w:bCs/>
          <w:kern w:val="0"/>
          <w:szCs w:val="21"/>
        </w:rPr>
      </w:pPr>
    </w:p>
    <w:p w14:paraId="124BE208">
      <w:pPr>
        <w:widowControl/>
        <w:adjustRightInd w:val="0"/>
        <w:spacing w:line="360" w:lineRule="auto"/>
        <w:rPr>
          <w:rFonts w:hint="eastAsia" w:ascii="宋体" w:hAnsi="宋体" w:eastAsia="宋体" w:cs="宋体"/>
          <w:b/>
          <w:bCs/>
          <w:kern w:val="0"/>
          <w:sz w:val="24"/>
        </w:rPr>
      </w:pPr>
      <w:r>
        <w:rPr>
          <w:rFonts w:hint="eastAsia" w:ascii="宋体" w:hAnsi="宋体" w:eastAsia="宋体" w:cs="宋体"/>
          <w:b/>
          <w:bCs/>
          <w:kern w:val="0"/>
          <w:sz w:val="24"/>
        </w:rPr>
        <w:br w:type="page"/>
      </w:r>
      <w:r>
        <w:rPr>
          <w:rFonts w:hint="eastAsia" w:ascii="宋体" w:hAnsi="宋体" w:eastAsia="宋体" w:cs="宋体"/>
          <w:b/>
          <w:bCs/>
          <w:kern w:val="0"/>
          <w:sz w:val="24"/>
        </w:rPr>
        <w:t>附件九、供应商类似业绩情况表</w:t>
      </w:r>
    </w:p>
    <w:p w14:paraId="042B0AA7">
      <w:pPr>
        <w:widowControl/>
        <w:adjustRightInd w:val="0"/>
        <w:spacing w:line="360" w:lineRule="auto"/>
        <w:jc w:val="center"/>
        <w:rPr>
          <w:rFonts w:hint="eastAsia" w:ascii="宋体" w:hAnsi="宋体" w:eastAsia="宋体" w:cs="宋体"/>
          <w:b/>
          <w:bCs/>
          <w:kern w:val="0"/>
          <w:sz w:val="24"/>
        </w:rPr>
      </w:pPr>
    </w:p>
    <w:p w14:paraId="02444F8F">
      <w:pPr>
        <w:widowControl/>
        <w:adjustRightInd w:val="0"/>
        <w:spacing w:line="360" w:lineRule="auto"/>
        <w:jc w:val="center"/>
        <w:rPr>
          <w:rFonts w:hint="eastAsia" w:ascii="宋体" w:hAnsi="宋体" w:eastAsia="宋体" w:cs="宋体"/>
          <w:b/>
          <w:bCs/>
          <w:kern w:val="0"/>
          <w:sz w:val="24"/>
        </w:rPr>
      </w:pPr>
      <w:r>
        <w:rPr>
          <w:rFonts w:hint="eastAsia" w:ascii="宋体" w:hAnsi="宋体" w:eastAsia="宋体" w:cs="宋体"/>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签约及服务</w:t>
            </w:r>
          </w:p>
          <w:p w14:paraId="5213F2A4">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hint="eastAsia" w:ascii="宋体" w:hAnsi="宋体" w:eastAsia="宋体" w:cs="宋体"/>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hint="eastAsia" w:ascii="宋体" w:hAnsi="宋体" w:eastAsia="宋体" w:cs="宋体"/>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hint="eastAsia" w:ascii="宋体" w:hAnsi="宋体" w:eastAsia="宋体" w:cs="宋体"/>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hint="eastAsia" w:ascii="宋体" w:hAnsi="宋体" w:eastAsia="宋体" w:cs="宋体"/>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hint="eastAsia" w:ascii="宋体" w:hAnsi="宋体" w:eastAsia="宋体" w:cs="宋体"/>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hint="eastAsia" w:ascii="宋体" w:hAnsi="宋体" w:eastAsia="宋体" w:cs="宋体"/>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hint="eastAsia" w:ascii="宋体" w:hAnsi="宋体" w:eastAsia="宋体" w:cs="宋体"/>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hint="eastAsia" w:ascii="宋体" w:hAnsi="宋体" w:eastAsia="宋体" w:cs="宋体"/>
                <w:kern w:val="0"/>
                <w:szCs w:val="21"/>
              </w:rPr>
            </w:pPr>
          </w:p>
        </w:tc>
      </w:tr>
    </w:tbl>
    <w:p w14:paraId="550E382A">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02F5B705">
      <w:pPr>
        <w:widowControl/>
        <w:adjustRightInd w:val="0"/>
        <w:spacing w:line="460" w:lineRule="atLeast"/>
        <w:rPr>
          <w:rFonts w:hint="eastAsia" w:ascii="宋体" w:hAnsi="宋体" w:eastAsia="宋体" w:cs="宋体"/>
          <w:b/>
          <w:bCs/>
        </w:rPr>
      </w:pPr>
      <w:r>
        <w:rPr>
          <w:rFonts w:hint="eastAsia" w:ascii="宋体" w:hAnsi="宋体" w:eastAsia="宋体" w:cs="宋体"/>
          <w:kern w:val="0"/>
          <w:szCs w:val="21"/>
          <w:u w:val="single"/>
        </w:rPr>
        <w:br w:type="page"/>
      </w:r>
      <w:r>
        <w:rPr>
          <w:rFonts w:hint="eastAsia" w:ascii="宋体" w:hAnsi="宋体" w:eastAsia="宋体" w:cs="宋体"/>
          <w:b/>
          <w:bCs/>
          <w:kern w:val="0"/>
          <w:sz w:val="24"/>
        </w:rPr>
        <w:t>附件十</w:t>
      </w:r>
      <w:r>
        <w:rPr>
          <w:rFonts w:hint="eastAsia" w:ascii="宋体" w:hAnsi="宋体" w:eastAsia="宋体" w:cs="宋体"/>
          <w:b/>
          <w:bCs/>
          <w:kern w:val="0"/>
          <w:sz w:val="24"/>
          <w:lang w:eastAsia="zh-CN"/>
        </w:rPr>
        <w:t>、</w:t>
      </w:r>
      <w:r>
        <w:rPr>
          <w:rFonts w:hint="eastAsia" w:ascii="宋体" w:hAnsi="宋体" w:eastAsia="宋体" w:cs="宋体"/>
          <w:b/>
          <w:bCs/>
          <w:kern w:val="0"/>
          <w:sz w:val="24"/>
        </w:rPr>
        <w:t>企业声明函格式</w:t>
      </w:r>
    </w:p>
    <w:p w14:paraId="0727662B">
      <w:pPr>
        <w:spacing w:line="360" w:lineRule="auto"/>
        <w:jc w:val="center"/>
        <w:rPr>
          <w:rFonts w:hint="eastAsia" w:ascii="宋体" w:hAnsi="宋体" w:eastAsia="宋体" w:cs="宋体"/>
          <w:b/>
          <w:bCs/>
          <w:sz w:val="28"/>
        </w:rPr>
      </w:pPr>
    </w:p>
    <w:p w14:paraId="05EFBDE3">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宋体" w:hAnsi="宋体" w:eastAsia="宋体" w:cs="宋体"/>
          <w:b/>
          <w:sz w:val="24"/>
          <w:szCs w:val="21"/>
        </w:rPr>
      </w:pPr>
      <w:r>
        <w:rPr>
          <w:rFonts w:hint="eastAsia" w:ascii="宋体" w:hAnsi="宋体" w:eastAsia="宋体" w:cs="宋体"/>
          <w:b/>
          <w:sz w:val="24"/>
          <w:szCs w:val="21"/>
        </w:rPr>
        <w:t>中小微企业声明函（货物类项目）</w:t>
      </w:r>
    </w:p>
    <w:p w14:paraId="6F74E894">
      <w:pPr>
        <w:spacing w:line="560" w:lineRule="exact"/>
        <w:ind w:firstLine="240"/>
        <w:jc w:val="center"/>
        <w:rPr>
          <w:rFonts w:hint="eastAsia" w:ascii="宋体" w:hAnsi="宋体" w:eastAsia="宋体" w:cs="宋体"/>
          <w:b/>
          <w:sz w:val="24"/>
          <w:szCs w:val="21"/>
        </w:rPr>
      </w:pPr>
    </w:p>
    <w:p w14:paraId="6FF1EB76">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采购编号为</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采购编号</w:t>
      </w:r>
      <w:r>
        <w:rPr>
          <w:rFonts w:hint="eastAsia" w:ascii="宋体" w:hAnsi="宋体" w:eastAsia="宋体" w:cs="宋体"/>
          <w:sz w:val="21"/>
          <w:szCs w:val="21"/>
          <w:u w:val="single"/>
        </w:rPr>
        <w:t>）</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u w:val="none"/>
        </w:rPr>
        <w:t>（项目名称）</w:t>
      </w:r>
      <w:r>
        <w:rPr>
          <w:rFonts w:hint="eastAsia" w:ascii="宋体" w:hAnsi="宋体" w:eastAsia="宋体" w:cs="宋体"/>
          <w:sz w:val="21"/>
          <w:szCs w:val="21"/>
        </w:rPr>
        <w:t>的采购活动，提供的货物全部由符合政策要求的中小微企业制造。相关企业（含联合体中的中小微企业、签订采购包意向协议的中小微企业）的具体情况如下：</w:t>
      </w:r>
    </w:p>
    <w:p w14:paraId="0E12AB2B">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微型企业）；</w:t>
      </w:r>
    </w:p>
    <w:p w14:paraId="03313591">
      <w:pPr>
        <w:spacing w:line="360" w:lineRule="auto"/>
        <w:ind w:firstLine="360"/>
        <w:rPr>
          <w:rFonts w:hint="eastAsia" w:ascii="宋体" w:hAnsi="宋体" w:eastAsia="宋体" w:cs="宋体"/>
          <w:i/>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（标的名称）</w:t>
      </w:r>
      <w:r>
        <w:rPr>
          <w:rFonts w:hint="eastAsia" w:ascii="宋体" w:hAnsi="宋体" w:eastAsia="宋体" w:cs="宋体"/>
          <w:i/>
          <w:sz w:val="21"/>
          <w:szCs w:val="21"/>
        </w:rPr>
        <w:t>，</w:t>
      </w:r>
      <w:r>
        <w:rPr>
          <w:rFonts w:hint="eastAsia" w:ascii="宋体" w:hAnsi="宋体" w:eastAsia="宋体" w:cs="宋体"/>
          <w:sz w:val="21"/>
          <w:szCs w:val="21"/>
        </w:rPr>
        <w:t>属于</w:t>
      </w:r>
      <w:r>
        <w:rPr>
          <w:rFonts w:hint="eastAsia" w:ascii="宋体" w:hAnsi="宋体" w:eastAsia="宋体" w:cs="宋体"/>
          <w:sz w:val="21"/>
          <w:szCs w:val="21"/>
          <w:u w:val="single"/>
        </w:rPr>
        <w:t>（供应商填写招标文件中明确的所属行业）</w:t>
      </w:r>
      <w:r>
        <w:rPr>
          <w:rFonts w:hint="eastAsia" w:ascii="宋体" w:hAnsi="宋体" w:eastAsia="宋体" w:cs="宋体"/>
          <w:sz w:val="21"/>
          <w:szCs w:val="21"/>
        </w:rPr>
        <w:t>行业；投标产品制造商为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 □小型企业 □微型企业）；</w:t>
      </w:r>
    </w:p>
    <w:p w14:paraId="691B6BE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w:t>
      </w:r>
    </w:p>
    <w:p w14:paraId="28685CFA">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BEFE741">
      <w:pPr>
        <w:spacing w:line="360" w:lineRule="auto"/>
        <w:ind w:firstLine="36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7507AD40">
      <w:pPr>
        <w:spacing w:line="360" w:lineRule="auto"/>
        <w:ind w:right="180" w:firstLine="360"/>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企业名称（加盖CA电子公章）：</w:t>
      </w:r>
    </w:p>
    <w:p w14:paraId="1E8DB78A">
      <w:pPr>
        <w:spacing w:line="360" w:lineRule="auto"/>
        <w:ind w:right="480" w:firstLine="4560"/>
        <w:rPr>
          <w:rFonts w:hint="eastAsia" w:ascii="宋体" w:hAnsi="宋体" w:eastAsia="宋体" w:cs="宋体"/>
          <w:sz w:val="21"/>
          <w:szCs w:val="21"/>
        </w:rPr>
      </w:pPr>
      <w:r>
        <w:rPr>
          <w:rFonts w:hint="eastAsia" w:ascii="宋体" w:hAnsi="宋体" w:eastAsia="宋体" w:cs="宋体"/>
          <w:sz w:val="21"/>
          <w:szCs w:val="21"/>
        </w:rPr>
        <w:t>日  期：</w:t>
      </w:r>
      <w:r>
        <w:rPr>
          <w:rFonts w:hint="eastAsia" w:ascii="宋体" w:hAnsi="宋体" w:eastAsia="宋体" w:cs="宋体"/>
          <w:color w:val="000000"/>
          <w:sz w:val="21"/>
          <w:szCs w:val="21"/>
        </w:rPr>
        <w:t>___年____月____日</w:t>
      </w:r>
    </w:p>
    <w:p w14:paraId="3E269B19">
      <w:pPr>
        <w:spacing w:line="400" w:lineRule="exact"/>
        <w:rPr>
          <w:rFonts w:hint="eastAsia" w:ascii="宋体" w:hAnsi="宋体" w:eastAsia="宋体" w:cs="宋体"/>
          <w:sz w:val="21"/>
          <w:szCs w:val="21"/>
        </w:rPr>
      </w:pPr>
    </w:p>
    <w:p w14:paraId="2F83CB1D">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备注：</w:t>
      </w:r>
    </w:p>
    <w:p w14:paraId="067317C9">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11995835">
      <w:pPr>
        <w:spacing w:line="400" w:lineRule="exact"/>
        <w:ind w:firstLine="480"/>
        <w:rPr>
          <w:rFonts w:hint="eastAsia" w:ascii="宋体" w:hAnsi="宋体" w:eastAsia="宋体" w:cs="宋体"/>
          <w:sz w:val="21"/>
          <w:szCs w:val="21"/>
        </w:rPr>
      </w:pPr>
      <w:r>
        <w:rPr>
          <w:rFonts w:hint="eastAsia" w:ascii="宋体" w:hAnsi="宋体" w:eastAsia="宋体" w:cs="宋体"/>
          <w:sz w:val="21"/>
          <w:szCs w:val="21"/>
        </w:rPr>
        <w:t>2.专门面向中小微型企业采购的项目，供应商如不提供此声明函，则不能通过资格审查；非专门面向中小微型企业采购的项目，供应商如不提供此声明函，价格将不做相应扣除。</w:t>
      </w:r>
    </w:p>
    <w:p w14:paraId="235155E9">
      <w:pPr>
        <w:spacing w:line="400" w:lineRule="exact"/>
        <w:ind w:left="540" w:hanging="120"/>
        <w:rPr>
          <w:rFonts w:hint="eastAsia" w:ascii="宋体" w:hAnsi="宋体" w:eastAsia="宋体" w:cs="宋体"/>
          <w:sz w:val="21"/>
          <w:szCs w:val="21"/>
        </w:rPr>
      </w:pPr>
      <w:r>
        <w:rPr>
          <w:rFonts w:hint="eastAsia" w:ascii="宋体" w:hAnsi="宋体" w:eastAsia="宋体" w:cs="宋体"/>
          <w:sz w:val="21"/>
          <w:szCs w:val="21"/>
        </w:rPr>
        <w:t>3.供应商应对照《工业和信息化部、国家统计局、国家发展和改革委员会、</w:t>
      </w:r>
    </w:p>
    <w:p w14:paraId="7FEDB33C">
      <w:pPr>
        <w:rPr>
          <w:rFonts w:hint="eastAsia" w:ascii="宋体" w:hAnsi="宋体" w:eastAsia="宋体" w:cs="宋体"/>
          <w:sz w:val="21"/>
          <w:szCs w:val="21"/>
        </w:rPr>
      </w:pPr>
      <w:r>
        <w:rPr>
          <w:rFonts w:hint="eastAsia" w:ascii="宋体" w:hAnsi="宋体" w:eastAsia="宋体" w:cs="宋体"/>
          <w:sz w:val="21"/>
          <w:szCs w:val="21"/>
        </w:rPr>
        <w:t>财政部关于印发中小企业划型标准规定的通知》(工信部联企业〔2011〕300号)《国家统计局关于印发〈统计上大中小微型企业划分办法（2017）〉的通知》（国统字〔2017〕213号）的规定，自行勾选制造商的企业规模类型。</w:t>
      </w:r>
    </w:p>
    <w:p w14:paraId="1B1D8C8E">
      <w:pPr>
        <w:pageBreakBefore w:val="0"/>
        <w:kinsoku/>
        <w:wordWrap/>
        <w:overflowPunct/>
        <w:topLinePunct w:val="0"/>
        <w:autoSpaceDE/>
        <w:autoSpaceDN/>
        <w:bidi w:val="0"/>
        <w:adjustRightInd/>
        <w:snapToGrid/>
        <w:textAlignment w:val="auto"/>
        <w:outlineLvl w:val="9"/>
        <w:rPr>
          <w:rFonts w:hint="eastAsia" w:ascii="宋体" w:hAnsi="宋体" w:eastAsia="宋体" w:cs="宋体"/>
          <w:b/>
          <w:kern w:val="0"/>
        </w:rPr>
      </w:pPr>
      <w:r>
        <w:rPr>
          <w:rFonts w:hint="eastAsia" w:ascii="宋体" w:hAnsi="宋体" w:eastAsia="宋体" w:cs="宋体"/>
          <w:b/>
          <w:kern w:val="0"/>
        </w:rPr>
        <w:br w:type="page"/>
      </w:r>
    </w:p>
    <w:p w14:paraId="57A5E359">
      <w:pPr>
        <w:pageBreakBefore w:val="0"/>
        <w:kinsoku/>
        <w:wordWrap/>
        <w:overflowPunct/>
        <w:topLinePunct w:val="0"/>
        <w:autoSpaceDE/>
        <w:autoSpaceDN/>
        <w:bidi w:val="0"/>
        <w:adjustRightInd/>
        <w:snapToGrid/>
        <w:textAlignment w:val="auto"/>
        <w:outlineLvl w:val="9"/>
        <w:rPr>
          <w:rFonts w:hint="eastAsia" w:ascii="宋体" w:hAnsi="宋体" w:eastAsia="宋体" w:cs="宋体"/>
          <w:b/>
          <w:kern w:val="0"/>
        </w:rPr>
      </w:pPr>
      <w:r>
        <w:rPr>
          <w:rFonts w:hint="eastAsia" w:ascii="宋体" w:hAnsi="宋体" w:eastAsia="宋体" w:cs="宋体"/>
          <w:b/>
          <w:kern w:val="0"/>
        </w:rPr>
        <w:t>附：中小企业划型标准规定</w:t>
      </w:r>
    </w:p>
    <w:p w14:paraId="120FBD47">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（一）农、林、牧、渔业。</w:t>
      </w:r>
      <w:r>
        <w:rPr>
          <w:rFonts w:hint="eastAsia" w:ascii="宋体" w:hAnsi="宋体" w:eastAsia="宋体" w:cs="宋体"/>
          <w:kern w:val="0"/>
        </w:rPr>
        <w:t>营业收入20000万元以下的为中小微型企业。其中，营业收入500万元及以上的为中型企业，营业收入50万元及以上的为小型企业，营业收入50万元以下的为微型企业。</w:t>
      </w:r>
    </w:p>
    <w:p w14:paraId="00DD0E82">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（二）工业。</w:t>
      </w:r>
      <w:r>
        <w:rPr>
          <w:rFonts w:hint="eastAsia" w:ascii="宋体" w:hAnsi="宋体" w:eastAsia="宋体" w:cs="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（三）建筑业。</w:t>
      </w:r>
      <w:r>
        <w:rPr>
          <w:rFonts w:hint="eastAsia" w:ascii="宋体" w:hAnsi="宋体" w:eastAsia="宋体" w:cs="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（四）批发业。</w:t>
      </w:r>
      <w:r>
        <w:rPr>
          <w:rFonts w:hint="eastAsia" w:ascii="宋体" w:hAnsi="宋体" w:eastAsia="宋体" w:cs="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（五）零售业。</w:t>
      </w:r>
      <w:r>
        <w:rPr>
          <w:rFonts w:hint="eastAsia" w:ascii="宋体" w:hAnsi="宋体" w:eastAsia="宋体" w:cs="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（六）交通运输业。</w:t>
      </w:r>
      <w:r>
        <w:rPr>
          <w:rFonts w:hint="eastAsia" w:ascii="宋体" w:hAnsi="宋体" w:eastAsia="宋体" w:cs="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（七）仓储业。</w:t>
      </w:r>
      <w:r>
        <w:rPr>
          <w:rFonts w:hint="eastAsia" w:ascii="宋体" w:hAnsi="宋体" w:eastAsia="宋体" w:cs="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（八）邮政业。</w:t>
      </w:r>
      <w:r>
        <w:rPr>
          <w:rFonts w:hint="eastAsia" w:ascii="宋体" w:hAnsi="宋体" w:eastAsia="宋体" w:cs="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（九）住宿业。</w:t>
      </w:r>
      <w:r>
        <w:rPr>
          <w:rFonts w:hint="eastAsia" w:ascii="宋体" w:hAnsi="宋体" w:eastAsia="宋体" w:cs="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（十）餐饮业。</w:t>
      </w:r>
      <w:r>
        <w:rPr>
          <w:rFonts w:hint="eastAsia" w:ascii="宋体" w:hAnsi="宋体" w:eastAsia="宋体" w:cs="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（十一）信息传输业。</w:t>
      </w:r>
      <w:r>
        <w:rPr>
          <w:rFonts w:hint="eastAsia" w:ascii="宋体" w:hAnsi="宋体" w:eastAsia="宋体" w:cs="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（十二）软件和信息技术服务业。</w:t>
      </w:r>
      <w:r>
        <w:rPr>
          <w:rFonts w:hint="eastAsia" w:ascii="宋体" w:hAnsi="宋体" w:eastAsia="宋体" w:cs="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（十三）房地产开发经营。</w:t>
      </w:r>
      <w:r>
        <w:rPr>
          <w:rFonts w:hint="eastAsia" w:ascii="宋体" w:hAnsi="宋体" w:eastAsia="宋体" w:cs="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（十四）物业管理。</w:t>
      </w:r>
      <w:r>
        <w:rPr>
          <w:rFonts w:hint="eastAsia" w:ascii="宋体" w:hAnsi="宋体" w:eastAsia="宋体" w:cs="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（十五）租赁和商务服务业。</w:t>
      </w:r>
      <w:r>
        <w:rPr>
          <w:rFonts w:hint="eastAsia" w:ascii="宋体" w:hAnsi="宋体" w:eastAsia="宋体" w:cs="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pageBreakBefore w:val="0"/>
        <w:kinsoku/>
        <w:wordWrap/>
        <w:overflowPunct/>
        <w:topLinePunct w:val="0"/>
        <w:autoSpaceDE/>
        <w:autoSpaceDN/>
        <w:bidi w:val="0"/>
        <w:adjustRightInd/>
        <w:snapToGrid/>
        <w:ind w:firstLine="422"/>
        <w:textAlignment w:val="auto"/>
        <w:outlineLvl w:val="9"/>
        <w:rPr>
          <w:rFonts w:hint="eastAsia" w:ascii="宋体" w:hAnsi="宋体" w:eastAsia="宋体" w:cs="宋体"/>
          <w:kern w:val="0"/>
        </w:rPr>
      </w:pPr>
      <w:r>
        <w:rPr>
          <w:rFonts w:hint="eastAsia" w:ascii="宋体" w:hAnsi="宋体" w:eastAsia="宋体" w:cs="宋体"/>
          <w:b/>
          <w:kern w:val="0"/>
        </w:rPr>
        <w:t>（十六）其他未列明行业。</w:t>
      </w:r>
      <w:r>
        <w:rPr>
          <w:rFonts w:hint="eastAsia" w:ascii="宋体" w:hAnsi="宋体" w:eastAsia="宋体" w:cs="宋体"/>
          <w:kern w:val="0"/>
        </w:rPr>
        <w:t>从业人员300人以下的为中小微型企业。其中，从业人员100人及以上的为中型企业；从业人员10人及以上的为小型企业；从业人员10人以下的为微型企业。</w:t>
      </w:r>
    </w:p>
    <w:p w14:paraId="03D82906">
      <w:pPr>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snapToGrid w:val="0"/>
          <w:kern w:val="0"/>
          <w:szCs w:val="21"/>
        </w:rPr>
      </w:pPr>
    </w:p>
    <w:p w14:paraId="16AA761E">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napToGrid w:val="0"/>
          <w:kern w:val="0"/>
          <w:szCs w:val="21"/>
        </w:rPr>
      </w:pPr>
    </w:p>
    <w:p w14:paraId="24821373">
      <w:pPr>
        <w:spacing w:line="360" w:lineRule="auto"/>
        <w:jc w:val="center"/>
        <w:rPr>
          <w:rFonts w:hint="eastAsia" w:ascii="宋体" w:hAnsi="宋体" w:eastAsia="宋体" w:cs="宋体"/>
          <w:b/>
          <w:bCs/>
          <w:sz w:val="28"/>
        </w:rPr>
      </w:pPr>
    </w:p>
    <w:p w14:paraId="2D30DF3F">
      <w:pPr>
        <w:rPr>
          <w:rFonts w:hint="eastAsia" w:ascii="宋体" w:hAnsi="宋体" w:eastAsia="宋体" w:cs="宋体"/>
          <w:b/>
          <w:bCs/>
          <w:sz w:val="28"/>
        </w:rPr>
      </w:pPr>
      <w:r>
        <w:rPr>
          <w:rFonts w:hint="eastAsia" w:ascii="宋体" w:hAnsi="宋体" w:eastAsia="宋体" w:cs="宋体"/>
          <w:b/>
          <w:bCs/>
          <w:sz w:val="28"/>
        </w:rPr>
        <w:br w:type="page"/>
      </w:r>
    </w:p>
    <w:p w14:paraId="1523242B">
      <w:pPr>
        <w:spacing w:line="360" w:lineRule="auto"/>
        <w:jc w:val="center"/>
        <w:rPr>
          <w:rFonts w:hint="eastAsia" w:ascii="宋体" w:hAnsi="宋体" w:eastAsia="宋体" w:cs="宋体"/>
          <w:b/>
          <w:bCs/>
          <w:sz w:val="28"/>
        </w:rPr>
      </w:pPr>
      <w:r>
        <w:rPr>
          <w:rFonts w:hint="eastAsia" w:ascii="宋体" w:hAnsi="宋体" w:eastAsia="宋体" w:cs="宋体"/>
          <w:b/>
          <w:bCs/>
          <w:sz w:val="28"/>
        </w:rPr>
        <w:t>关于符合本国产品标准的声明函</w:t>
      </w:r>
    </w:p>
    <w:p w14:paraId="3CB294F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 w:beforeAutospacing="0" w:after="15" w:afterAutospacing="0"/>
        <w:ind w:left="0" w:right="0" w:firstLine="420"/>
        <w:rPr>
          <w:rFonts w:hint="eastAsia" w:ascii="宋体" w:hAnsi="宋体" w:eastAsia="宋体" w:cs="宋体"/>
          <w:i w:val="0"/>
          <w:iCs w:val="0"/>
          <w:caps w:val="0"/>
          <w:color w:val="333333"/>
          <w:spacing w:val="0"/>
          <w:sz w:val="12"/>
          <w:szCs w:val="12"/>
        </w:rPr>
      </w:pPr>
    </w:p>
    <w:p w14:paraId="6B8D789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8D4930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（产品名称1）</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72309A7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2</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32EE604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p>
    <w:p w14:paraId="243576A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本公司（单位）对上述声明内容的真实性负责。如有虚假，愿承担相应法律责任。</w:t>
      </w:r>
    </w:p>
    <w:p w14:paraId="226CC9E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rPr>
          <w:rFonts w:hint="eastAsia" w:ascii="宋体" w:hAnsi="宋体" w:eastAsia="宋体" w:cs="宋体"/>
          <w:i w:val="0"/>
          <w:iCs w:val="0"/>
          <w:caps w:val="0"/>
          <w:color w:val="000000" w:themeColor="text1"/>
          <w:spacing w:val="0"/>
          <w:sz w:val="21"/>
          <w:szCs w:val="21"/>
          <w14:textFill>
            <w14:solidFill>
              <w14:schemeClr w14:val="tx1"/>
            </w14:solidFill>
          </w14:textFill>
        </w:rPr>
      </w:pPr>
    </w:p>
    <w:p w14:paraId="1249B5BF">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righ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w:t>
      </w:r>
    </w:p>
    <w:p w14:paraId="00603F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0"/>
        <w:jc w:val="center"/>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日期：　     年　  月　  日         </w:t>
      </w:r>
    </w:p>
    <w:p w14:paraId="4C75C81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8B1C3CC">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p>
    <w:p w14:paraId="619CEC9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0" w:lineRule="atLeast"/>
        <w:ind w:left="0" w:right="0" w:firstLine="0"/>
        <w:jc w:val="left"/>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_________________</w:t>
      </w:r>
    </w:p>
    <w:p w14:paraId="2562E580">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1.产品如有型号，请在“产品名称”栏一并填写。</w:t>
      </w:r>
    </w:p>
    <w:p w14:paraId="094A654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2.生产厂名与厂址应与生产厂营业执照载明的相关信息保持一致。</w:t>
      </w:r>
    </w:p>
    <w:p w14:paraId="6293C24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3.该产品的中国境内生产的组件成本占比相关要求实施前，“规定比例”栏可不填，下同。</w:t>
      </w:r>
    </w:p>
    <w:p w14:paraId="510A31D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4.该产品的关键组件要求实施前，“关键组件”栏可不填，下同。</w:t>
      </w:r>
    </w:p>
    <w:p w14:paraId="26759943">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5.该产品的关键工序要求实施前，“关键工序”栏可不填，下同。</w:t>
      </w:r>
    </w:p>
    <w:p w14:paraId="13CDC4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right="0"/>
        <w:rPr>
          <w:rFonts w:hint="eastAsia" w:ascii="宋体" w:hAnsi="宋体" w:eastAsia="宋体" w:cs="宋体"/>
          <w:b/>
          <w:bCs/>
          <w:sz w:val="28"/>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”的地方无需填写。</w:t>
      </w:r>
    </w:p>
    <w:p w14:paraId="1AA51114">
      <w:pPr>
        <w:spacing w:line="360" w:lineRule="auto"/>
        <w:jc w:val="center"/>
        <w:rPr>
          <w:rStyle w:val="50"/>
          <w:rFonts w:hint="eastAsia" w:ascii="宋体" w:hAnsi="宋体" w:eastAsia="宋体" w:cs="宋体"/>
          <w:sz w:val="21"/>
          <w:szCs w:val="21"/>
        </w:rPr>
      </w:pPr>
      <w:r>
        <w:rPr>
          <w:rFonts w:hint="eastAsia" w:ascii="宋体" w:hAnsi="宋体" w:eastAsia="宋体" w:cs="宋体"/>
          <w:b/>
          <w:sz w:val="24"/>
          <w:szCs w:val="24"/>
        </w:rPr>
        <w:br w:type="page"/>
      </w:r>
      <w:r>
        <w:rPr>
          <w:rFonts w:hint="eastAsia" w:ascii="宋体" w:hAnsi="宋体" w:eastAsia="宋体" w:cs="宋体"/>
          <w:b/>
          <w:bCs/>
          <w:sz w:val="28"/>
          <w:lang w:val="en-US" w:eastAsia="zh-CN"/>
        </w:rPr>
        <w:t>产品成本占比承诺函</w:t>
      </w:r>
    </w:p>
    <w:p w14:paraId="15B4D5F3">
      <w:pPr>
        <w:pStyle w:val="41"/>
        <w:shd w:val="clear" w:color="auto" w:fill="FFFFFF"/>
        <w:spacing w:before="30" w:beforeAutospacing="0" w:after="30" w:afterAutospacing="0"/>
        <w:rPr>
          <w:rStyle w:val="50"/>
          <w:rFonts w:hint="eastAsia" w:ascii="宋体" w:hAnsi="宋体" w:eastAsia="宋体" w:cs="宋体"/>
          <w:sz w:val="21"/>
          <w:szCs w:val="21"/>
        </w:rPr>
      </w:pPr>
    </w:p>
    <w:p w14:paraId="4FF5E2B9">
      <w:pPr>
        <w:widowControl/>
        <w:spacing w:line="360" w:lineRule="auto"/>
        <w:ind w:firstLine="420" w:firstLineChars="20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我公司（单位）郑重承诺，我公司已阅读并理解《国务院办公厅关于在政府采购中实施本国产品标准及相关政策的通知》（国办发〔2025〕34号）的规定。据此承诺如下：</w:t>
      </w:r>
    </w:p>
    <w:p w14:paraId="3299C424">
      <w:pPr>
        <w:widowControl/>
        <w:spacing w:line="360" w:lineRule="auto"/>
        <w:ind w:firstLine="420" w:firstLineChars="200"/>
        <w:jc w:val="left"/>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为本采购项目或者采购包提供的符合本国产品标准的产品成本之和占提供的全部产品成本之和的比例为</w:t>
      </w:r>
      <w:r>
        <w:rPr>
          <w:rFonts w:hint="eastAsia" w:ascii="宋体" w:hAnsi="宋体" w:eastAsia="宋体" w:cs="宋体"/>
          <w:spacing w:val="6"/>
          <w:sz w:val="21"/>
          <w:szCs w:val="21"/>
        </w:rPr>
        <w:t>______%。</w:t>
      </w:r>
    </w:p>
    <w:p w14:paraId="3D44A684">
      <w:pPr>
        <w:widowControl/>
        <w:spacing w:line="360" w:lineRule="auto"/>
        <w:ind w:firstLine="420" w:firstLineChars="200"/>
        <w:jc w:val="left"/>
        <w:rPr>
          <w:rFonts w:hint="eastAsia" w:ascii="宋体" w:hAnsi="宋体" w:eastAsia="宋体" w:cs="宋体"/>
          <w:color w:val="000000"/>
          <w:sz w:val="21"/>
          <w:szCs w:val="21"/>
        </w:rPr>
      </w:pPr>
    </w:p>
    <w:p w14:paraId="4E0D38EF">
      <w:pPr>
        <w:pStyle w:val="41"/>
        <w:shd w:val="clear" w:color="auto" w:fill="FFFFFF"/>
        <w:spacing w:before="0" w:beforeAutospacing="0" w:after="0" w:afterAutospacing="0" w:line="360" w:lineRule="auto"/>
        <w:jc w:val="right"/>
        <w:rPr>
          <w:rFonts w:hint="eastAsia" w:ascii="宋体" w:hAnsi="宋体" w:eastAsia="宋体" w:cs="宋体"/>
          <w:color w:val="333333"/>
          <w:sz w:val="21"/>
          <w:szCs w:val="21"/>
        </w:rPr>
      </w:pPr>
      <w:r>
        <w:rPr>
          <w:rFonts w:hint="eastAsia" w:ascii="宋体" w:hAnsi="宋体" w:eastAsia="宋体" w:cs="宋体"/>
          <w:color w:val="333333"/>
          <w:kern w:val="2"/>
          <w:sz w:val="21"/>
          <w:szCs w:val="21"/>
          <w:shd w:val="clear" w:color="auto" w:fill="FFFFFF"/>
          <w:lang w:val="en-US" w:eastAsia="zh-CN" w:bidi="ar-SA"/>
        </w:rPr>
        <w:t>供应商全称（加盖CA电子公章）：　  </w:t>
      </w:r>
      <w:r>
        <w:rPr>
          <w:rFonts w:hint="eastAsia" w:ascii="宋体" w:hAnsi="宋体" w:eastAsia="宋体" w:cs="宋体"/>
          <w:color w:val="333333"/>
          <w:sz w:val="21"/>
          <w:szCs w:val="21"/>
          <w:shd w:val="clear" w:color="auto" w:fill="FFFFFF"/>
        </w:rPr>
        <w:t>      </w:t>
      </w:r>
    </w:p>
    <w:p w14:paraId="5324631F">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日期：　     年　  月　  日    </w:t>
      </w:r>
    </w:p>
    <w:p w14:paraId="01B97788">
      <w:pPr>
        <w:jc w:val="center"/>
        <w:rPr>
          <w:rFonts w:hint="eastAsia" w:ascii="宋体" w:hAnsi="宋体" w:eastAsia="宋体" w:cs="宋体"/>
          <w:color w:val="333333"/>
          <w:sz w:val="21"/>
          <w:szCs w:val="21"/>
          <w:shd w:val="clear" w:color="auto" w:fill="FFFFFF"/>
        </w:rPr>
      </w:pPr>
    </w:p>
    <w:p w14:paraId="40355D7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lang w:val="en-US" w:eastAsia="zh-CN"/>
        </w:rPr>
        <w:t>注：</w:t>
      </w:r>
      <w:r>
        <w:rPr>
          <w:rFonts w:hint="eastAsia" w:ascii="宋体" w:hAnsi="宋体" w:eastAsia="宋体" w:cs="宋体"/>
          <w:b/>
          <w:bCs/>
          <w:color w:val="333333"/>
          <w:sz w:val="21"/>
          <w:szCs w:val="21"/>
          <w:shd w:val="clear" w:color="auto" w:fill="FFFFFF"/>
        </w:rPr>
        <w:t>采购本国产品的支持政策</w:t>
      </w:r>
    </w:p>
    <w:p w14:paraId="58AE52E4">
      <w:pPr>
        <w:keepNext w:val="0"/>
        <w:keepLines w:val="0"/>
        <w:pageBreakBefore w:val="0"/>
        <w:widowControl/>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（1）本项目政府采购活动中既有本国产品又有非本国产品参与竞争的，依法对本国产品给予价格评审优惠，对本国产品的报价给予20%的价格扣除，用扣除后的价格参与评审。</w:t>
      </w:r>
    </w:p>
    <w:p w14:paraId="7DB9C8F5">
      <w:pPr>
        <w:keepNext w:val="0"/>
        <w:keepLines w:val="0"/>
        <w:pageBreakBefore w:val="0"/>
        <w:widowControl/>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847DD3B">
      <w:pPr>
        <w:keepNext w:val="0"/>
        <w:keepLines w:val="0"/>
        <w:pageBreakBefore w:val="0"/>
        <w:widowControl/>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（3）供应商需按照招标文件的要求提供《关于符合本国产品标准的声明函》（以下简称《声明函》），如不提供将不享受本国产品价格评审优惠。</w:t>
      </w:r>
    </w:p>
    <w:p w14:paraId="351394DB">
      <w:pPr>
        <w:keepNext w:val="0"/>
        <w:keepLines w:val="0"/>
        <w:pageBreakBefore w:val="0"/>
        <w:widowControl/>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（4）供应商需在《声明函》中逐一、准确填写产品名称、厂名、生产厂址三项信息（《声明函》中标注“/ ”的地方无需填写）。</w:t>
      </w:r>
    </w:p>
    <w:p w14:paraId="49F1C39F">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4AFA8A3">
      <w:pPr>
        <w:spacing w:line="360" w:lineRule="auto"/>
        <w:jc w:val="center"/>
        <w:rPr>
          <w:rFonts w:hint="eastAsia" w:ascii="宋体" w:hAnsi="宋体" w:eastAsia="宋体" w:cs="宋体"/>
          <w:b/>
          <w:bCs/>
          <w:color w:val="333333"/>
          <w:sz w:val="21"/>
          <w:szCs w:val="21"/>
          <w:shd w:val="clear" w:color="auto" w:fill="FFFFFF"/>
        </w:rPr>
      </w:pPr>
    </w:p>
    <w:p w14:paraId="4256070D">
      <w:pPr>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br w:type="page"/>
      </w:r>
    </w:p>
    <w:p w14:paraId="652AEBB0">
      <w:pPr>
        <w:spacing w:line="360" w:lineRule="auto"/>
        <w:jc w:val="center"/>
        <w:rPr>
          <w:rFonts w:hint="eastAsia" w:ascii="宋体" w:hAnsi="宋体" w:eastAsia="宋体" w:cs="宋体"/>
          <w:b/>
          <w:bCs/>
          <w:sz w:val="28"/>
          <w:lang w:val="en-US" w:eastAsia="zh-CN"/>
        </w:rPr>
      </w:pPr>
      <w:r>
        <w:rPr>
          <w:rFonts w:hint="eastAsia" w:ascii="宋体" w:hAnsi="宋体" w:eastAsia="宋体" w:cs="宋体"/>
          <w:b/>
          <w:bCs/>
          <w:sz w:val="28"/>
          <w:lang w:val="en-US" w:eastAsia="zh-CN"/>
        </w:rPr>
        <w:t>残疾人福利性单位声明函</w:t>
      </w:r>
    </w:p>
    <w:p w14:paraId="3AA0BCE5">
      <w:pPr>
        <w:widowControl/>
        <w:spacing w:line="440" w:lineRule="exact"/>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7B5DA1">
      <w:pPr>
        <w:widowControl/>
        <w:spacing w:line="440" w:lineRule="exact"/>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本单位对上述声明的真实性负责。如有虚假，将依法承担相应责任。</w:t>
      </w:r>
    </w:p>
    <w:p w14:paraId="6EC3CB6B">
      <w:pPr>
        <w:widowControl/>
        <w:spacing w:line="440" w:lineRule="exact"/>
        <w:ind w:firstLine="5040" w:firstLineChars="24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单位名称（</w:t>
      </w:r>
      <w:r>
        <w:rPr>
          <w:rFonts w:hint="eastAsia" w:ascii="宋体" w:hAnsi="宋体" w:eastAsia="宋体" w:cs="宋体"/>
          <w:kern w:val="0"/>
          <w:szCs w:val="21"/>
          <w:highlight w:val="none"/>
        </w:rPr>
        <w:t>加盖电子公章</w:t>
      </w:r>
      <w:r>
        <w:rPr>
          <w:rFonts w:hint="eastAsia" w:ascii="宋体" w:hAnsi="宋体" w:eastAsia="宋体" w:cs="宋体"/>
          <w:snapToGrid w:val="0"/>
          <w:kern w:val="0"/>
          <w:szCs w:val="21"/>
        </w:rPr>
        <w:t>）：</w:t>
      </w:r>
    </w:p>
    <w:p w14:paraId="685FB138">
      <w:pPr>
        <w:widowControl/>
        <w:spacing w:line="440" w:lineRule="exact"/>
        <w:ind w:firstLine="5040" w:firstLineChars="24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日期：</w:t>
      </w:r>
    </w:p>
    <w:p w14:paraId="3A1E9A2B">
      <w:pPr>
        <w:spacing w:line="360" w:lineRule="auto"/>
        <w:rPr>
          <w:rFonts w:hint="eastAsia" w:ascii="宋体" w:hAnsi="宋体" w:eastAsia="宋体" w:cs="宋体"/>
          <w:b/>
          <w:bCs/>
        </w:rPr>
      </w:pPr>
    </w:p>
    <w:p w14:paraId="6EA541E8">
      <w:pPr>
        <w:spacing w:line="360" w:lineRule="auto"/>
        <w:rPr>
          <w:rFonts w:hint="eastAsia" w:ascii="宋体" w:hAnsi="宋体" w:eastAsia="宋体" w:cs="宋体"/>
          <w:b/>
          <w:bCs/>
        </w:rPr>
      </w:pPr>
    </w:p>
    <w:p w14:paraId="54DE5412">
      <w:pPr>
        <w:spacing w:line="360" w:lineRule="auto"/>
        <w:jc w:val="center"/>
        <w:rPr>
          <w:rFonts w:hint="eastAsia" w:ascii="宋体" w:hAnsi="宋体" w:eastAsia="宋体" w:cs="宋体"/>
          <w:b/>
          <w:bCs/>
          <w:sz w:val="28"/>
          <w:lang w:val="en-US" w:eastAsia="zh-CN"/>
        </w:rPr>
      </w:pPr>
      <w:r>
        <w:rPr>
          <w:rFonts w:hint="eastAsia" w:ascii="宋体" w:hAnsi="宋体" w:eastAsia="宋体" w:cs="宋体"/>
          <w:b/>
          <w:bCs/>
          <w:sz w:val="28"/>
          <w:lang w:val="en-US" w:eastAsia="zh-CN"/>
        </w:rPr>
        <w:t>属于监狱企业的证明文件</w:t>
      </w:r>
    </w:p>
    <w:p w14:paraId="704C1ADE">
      <w:pPr>
        <w:spacing w:line="360" w:lineRule="auto"/>
        <w:rPr>
          <w:rFonts w:hint="eastAsia" w:ascii="宋体" w:hAnsi="宋体" w:eastAsia="宋体" w:cs="宋体"/>
        </w:rPr>
      </w:pPr>
      <w:r>
        <w:rPr>
          <w:rFonts w:hint="eastAsia" w:ascii="宋体" w:hAnsi="宋体" w:eastAsia="宋体" w:cs="宋体"/>
        </w:rPr>
        <w:t>（提供由省级以上监狱管理局、戒毒管理局(含新疆生产建设兵团)出具的属于监狱企业的证明文件）</w:t>
      </w:r>
    </w:p>
    <w:p w14:paraId="32AF98CE">
      <w:pPr>
        <w:spacing w:line="360" w:lineRule="auto"/>
        <w:rPr>
          <w:rFonts w:hint="eastAsia" w:ascii="宋体" w:hAnsi="宋体" w:eastAsia="宋体" w:cs="宋体"/>
          <w:b/>
          <w:bCs/>
        </w:rPr>
      </w:pPr>
    </w:p>
    <w:p w14:paraId="1B8F3615">
      <w:pPr>
        <w:spacing w:line="360" w:lineRule="auto"/>
        <w:jc w:val="center"/>
        <w:rPr>
          <w:rFonts w:hint="eastAsia" w:ascii="宋体" w:hAnsi="宋体" w:eastAsia="宋体" w:cs="宋体"/>
          <w:b/>
          <w:bCs/>
          <w:sz w:val="28"/>
          <w:lang w:val="en-US" w:eastAsia="zh-CN"/>
        </w:rPr>
      </w:pPr>
      <w:r>
        <w:rPr>
          <w:rFonts w:hint="eastAsia" w:ascii="宋体" w:hAnsi="宋体" w:eastAsia="宋体" w:cs="宋体"/>
          <w:b/>
          <w:bCs/>
          <w:sz w:val="28"/>
          <w:lang w:val="en-US" w:eastAsia="zh-CN"/>
        </w:rPr>
        <w:t>节能产品认证证书</w:t>
      </w:r>
    </w:p>
    <w:p w14:paraId="601A8B69">
      <w:pPr>
        <w:spacing w:line="360" w:lineRule="auto"/>
        <w:rPr>
          <w:rFonts w:hint="eastAsia" w:ascii="宋体" w:hAnsi="宋体" w:eastAsia="宋体" w:cs="宋体"/>
          <w:bCs/>
        </w:rPr>
      </w:pPr>
      <w:r>
        <w:rPr>
          <w:rFonts w:hint="eastAsia" w:ascii="宋体" w:hAnsi="宋体" w:eastAsia="宋体" w:cs="宋体"/>
          <w:bCs/>
        </w:rPr>
        <w:t>（提供国家确定的认证机构出具的、处于有效期之内的产品认证证书）</w:t>
      </w:r>
    </w:p>
    <w:p w14:paraId="7563156E">
      <w:pPr>
        <w:spacing w:line="360" w:lineRule="auto"/>
        <w:rPr>
          <w:rFonts w:hint="eastAsia" w:ascii="宋体" w:hAnsi="宋体" w:eastAsia="宋体" w:cs="宋体"/>
          <w:b/>
          <w:bCs/>
        </w:rPr>
      </w:pPr>
    </w:p>
    <w:p w14:paraId="753A1871">
      <w:pPr>
        <w:spacing w:line="360" w:lineRule="auto"/>
        <w:rPr>
          <w:rFonts w:hint="eastAsia" w:ascii="宋体" w:hAnsi="宋体" w:eastAsia="宋体" w:cs="宋体"/>
          <w:b/>
          <w:bCs/>
        </w:rPr>
      </w:pPr>
    </w:p>
    <w:p w14:paraId="4041A5FC">
      <w:pPr>
        <w:spacing w:line="360" w:lineRule="auto"/>
        <w:jc w:val="center"/>
        <w:rPr>
          <w:rFonts w:hint="eastAsia" w:ascii="宋体" w:hAnsi="宋体" w:eastAsia="宋体" w:cs="宋体"/>
          <w:b/>
          <w:bCs/>
        </w:rPr>
      </w:pPr>
      <w:r>
        <w:rPr>
          <w:rFonts w:hint="eastAsia" w:ascii="宋体" w:hAnsi="宋体" w:eastAsia="宋体" w:cs="宋体"/>
          <w:b/>
          <w:bCs/>
          <w:sz w:val="28"/>
        </w:rPr>
        <w:t>环境标志产品认证证书</w:t>
      </w:r>
    </w:p>
    <w:p w14:paraId="31898EFD">
      <w:pPr>
        <w:spacing w:line="360" w:lineRule="auto"/>
        <w:rPr>
          <w:rFonts w:hint="eastAsia" w:ascii="宋体" w:hAnsi="宋体" w:eastAsia="宋体" w:cs="宋体"/>
        </w:rPr>
      </w:pPr>
      <w:r>
        <w:rPr>
          <w:rFonts w:hint="eastAsia" w:ascii="宋体" w:hAnsi="宋体" w:eastAsia="宋体" w:cs="宋体"/>
          <w:bCs/>
        </w:rPr>
        <w:t>（提供国家确定的认证机构出具的、处于有效期之内的产品认证证书）</w:t>
      </w:r>
    </w:p>
    <w:p w14:paraId="053F3C9B">
      <w:pPr>
        <w:spacing w:line="360" w:lineRule="auto"/>
        <w:rPr>
          <w:rFonts w:hint="eastAsia" w:ascii="宋体" w:hAnsi="宋体" w:eastAsia="宋体" w:cs="宋体"/>
          <w:b/>
          <w:bCs/>
        </w:rPr>
      </w:pPr>
    </w:p>
    <w:p w14:paraId="6BC191E8">
      <w:pPr>
        <w:spacing w:line="360" w:lineRule="auto"/>
        <w:rPr>
          <w:rFonts w:hint="eastAsia" w:ascii="宋体" w:hAnsi="宋体" w:eastAsia="宋体" w:cs="宋体"/>
          <w:b/>
          <w:bCs/>
        </w:rPr>
      </w:pPr>
    </w:p>
    <w:p w14:paraId="7C076125">
      <w:pPr>
        <w:spacing w:line="360" w:lineRule="auto"/>
        <w:jc w:val="center"/>
        <w:rPr>
          <w:rFonts w:hint="eastAsia" w:ascii="宋体" w:hAnsi="宋体" w:eastAsia="宋体" w:cs="宋体"/>
          <w:b/>
          <w:bCs/>
          <w:sz w:val="28"/>
        </w:rPr>
      </w:pPr>
      <w:r>
        <w:rPr>
          <w:rFonts w:hint="eastAsia" w:ascii="宋体" w:hAnsi="宋体" w:eastAsia="宋体" w:cs="宋体"/>
          <w:b/>
          <w:bCs/>
          <w:sz w:val="28"/>
        </w:rPr>
        <w:t>进口产品转让技术、消化吸收再创新方案</w:t>
      </w:r>
    </w:p>
    <w:p w14:paraId="4226CFFD">
      <w:pPr>
        <w:spacing w:line="360" w:lineRule="auto"/>
        <w:rPr>
          <w:rFonts w:hint="eastAsia" w:ascii="宋体" w:hAnsi="宋体" w:eastAsia="宋体" w:cs="宋体"/>
          <w:bCs/>
        </w:rPr>
      </w:pPr>
      <w:r>
        <w:rPr>
          <w:rFonts w:hint="eastAsia" w:ascii="宋体" w:hAnsi="宋体" w:eastAsia="宋体" w:cs="宋体"/>
          <w:bCs/>
        </w:rPr>
        <w:t>（对于允许进口产品参加的项目）</w:t>
      </w:r>
    </w:p>
    <w:p w14:paraId="6605E703">
      <w:pPr>
        <w:spacing w:line="360" w:lineRule="auto"/>
        <w:rPr>
          <w:rFonts w:hint="eastAsia" w:ascii="宋体" w:hAnsi="宋体" w:eastAsia="宋体" w:cs="宋体"/>
          <w:b/>
          <w:bCs/>
        </w:rPr>
      </w:pPr>
    </w:p>
    <w:p w14:paraId="0B7C5095">
      <w:pPr>
        <w:widowControl/>
        <w:adjustRightInd w:val="0"/>
        <w:spacing w:line="460" w:lineRule="atLeast"/>
        <w:rPr>
          <w:rFonts w:hint="eastAsia" w:ascii="宋体" w:hAnsi="宋体" w:eastAsia="宋体" w:cs="宋体"/>
          <w:b/>
        </w:rPr>
      </w:pPr>
      <w:r>
        <w:rPr>
          <w:rFonts w:hint="eastAsia" w:ascii="宋体" w:hAnsi="宋体" w:eastAsia="宋体" w:cs="宋体"/>
          <w:b/>
          <w:szCs w:val="21"/>
          <w:lang w:val="zh-CN"/>
        </w:rPr>
        <w:br w:type="page"/>
      </w:r>
      <w:r>
        <w:rPr>
          <w:rFonts w:hint="eastAsia" w:ascii="宋体" w:hAnsi="宋体" w:eastAsia="宋体" w:cs="宋体"/>
          <w:b/>
          <w:bCs/>
          <w:kern w:val="0"/>
          <w:sz w:val="24"/>
        </w:rPr>
        <w:t>附件十一、无重大违法记录声明格式</w:t>
      </w:r>
    </w:p>
    <w:p w14:paraId="3B2C2C96">
      <w:pPr>
        <w:spacing w:line="240" w:lineRule="atLeast"/>
        <w:jc w:val="center"/>
        <w:rPr>
          <w:rFonts w:hint="eastAsia" w:ascii="宋体" w:hAnsi="宋体" w:eastAsia="宋体" w:cs="宋体"/>
          <w:sz w:val="28"/>
          <w:szCs w:val="36"/>
        </w:rPr>
      </w:pPr>
    </w:p>
    <w:p w14:paraId="28B742C5">
      <w:pPr>
        <w:spacing w:line="360" w:lineRule="auto"/>
        <w:jc w:val="center"/>
        <w:rPr>
          <w:rFonts w:hint="eastAsia" w:ascii="宋体" w:hAnsi="宋体" w:eastAsia="宋体" w:cs="宋体"/>
          <w:b/>
          <w:bCs/>
          <w:sz w:val="28"/>
          <w:lang w:val="en-US" w:eastAsia="zh-CN"/>
        </w:rPr>
      </w:pPr>
      <w:r>
        <w:rPr>
          <w:rFonts w:hint="eastAsia" w:ascii="宋体" w:hAnsi="宋体" w:eastAsia="宋体" w:cs="宋体"/>
          <w:b/>
          <w:bCs/>
          <w:sz w:val="28"/>
          <w:lang w:val="en-US" w:eastAsia="zh-CN"/>
        </w:rPr>
        <w:t>无重大违法记录声明</w:t>
      </w:r>
    </w:p>
    <w:p w14:paraId="44B38267">
      <w:pPr>
        <w:spacing w:line="360" w:lineRule="auto"/>
        <w:rPr>
          <w:rFonts w:hint="eastAsia" w:ascii="宋体" w:hAnsi="宋体" w:eastAsia="宋体" w:cs="宋体"/>
          <w:szCs w:val="21"/>
        </w:rPr>
      </w:pPr>
      <w:r>
        <w:rPr>
          <w:rFonts w:hint="eastAsia" w:ascii="宋体" w:hAnsi="宋体" w:eastAsia="宋体" w:cs="宋体"/>
          <w:szCs w:val="21"/>
        </w:rPr>
        <w:t>江苏省设备成套股份有限公司：</w:t>
      </w:r>
    </w:p>
    <w:p w14:paraId="1CB6D14E">
      <w:pPr>
        <w:spacing w:line="360" w:lineRule="auto"/>
        <w:ind w:firstLine="336" w:firstLineChars="160"/>
        <w:rPr>
          <w:rFonts w:hint="eastAsia" w:ascii="宋体" w:hAnsi="宋体" w:eastAsia="宋体" w:cs="宋体"/>
        </w:rPr>
      </w:pPr>
      <w:r>
        <w:rPr>
          <w:rFonts w:hint="eastAsia" w:ascii="宋体" w:hAnsi="宋体" w:eastAsia="宋体" w:cs="宋体"/>
        </w:rPr>
        <w:t>我单位（供应商名称）郑重声明：</w:t>
      </w:r>
    </w:p>
    <w:p w14:paraId="2C8871A2">
      <w:pPr>
        <w:widowControl/>
        <w:shd w:val="clear" w:color="auto" w:fill="FFFFFF"/>
        <w:spacing w:line="360" w:lineRule="auto"/>
        <w:ind w:firstLine="308" w:firstLineChars="147"/>
        <w:rPr>
          <w:rFonts w:hint="eastAsia" w:ascii="宋体" w:hAnsi="宋体" w:eastAsia="宋体" w:cs="宋体"/>
          <w:b/>
          <w:kern w:val="0"/>
          <w:szCs w:val="21"/>
        </w:rPr>
      </w:pPr>
      <w:r>
        <w:rPr>
          <w:rFonts w:hint="eastAsia" w:ascii="宋体" w:hAnsi="宋体" w:eastAsia="宋体" w:cs="宋体"/>
          <w:kern w:val="0"/>
          <w:szCs w:val="21"/>
        </w:rPr>
        <w:t>我单位</w:t>
      </w:r>
      <w:r>
        <w:rPr>
          <w:rFonts w:hint="eastAsia" w:ascii="宋体" w:hAnsi="宋体" w:eastAsia="宋体" w:cs="宋体"/>
        </w:rPr>
        <w:t>参加政府采购活动前3年内在经营活动中（</w:t>
      </w:r>
      <w:r>
        <w:rPr>
          <w:rFonts w:hint="eastAsia" w:ascii="宋体" w:hAnsi="宋体" w:eastAsia="宋体" w:cs="宋体"/>
          <w:b/>
          <w:i/>
          <w:u w:val="single"/>
        </w:rPr>
        <w:t>在下划线上如实填写：有或没有</w:t>
      </w:r>
      <w:r>
        <w:rPr>
          <w:rFonts w:hint="eastAsia" w:ascii="宋体" w:hAnsi="宋体" w:eastAsia="宋体" w:cs="宋体"/>
        </w:rPr>
        <w:t>）</w:t>
      </w:r>
      <w:r>
        <w:rPr>
          <w:rFonts w:hint="eastAsia" w:ascii="宋体" w:hAnsi="宋体" w:eastAsia="宋体" w:cs="宋体"/>
          <w:b/>
        </w:rPr>
        <w:t>重大违法记录</w:t>
      </w:r>
      <w:r>
        <w:rPr>
          <w:rFonts w:hint="eastAsia" w:ascii="宋体" w:hAnsi="宋体" w:eastAsia="宋体" w:cs="宋体"/>
          <w:b/>
          <w:kern w:val="0"/>
          <w:szCs w:val="21"/>
        </w:rPr>
        <w:t>，且不是失信被执行人、重大税收违法失信主体名单、政府采购严重违法失信行为记录名单的供应商。</w:t>
      </w:r>
    </w:p>
    <w:p w14:paraId="097C1498">
      <w:pPr>
        <w:spacing w:line="360" w:lineRule="auto"/>
        <w:ind w:firstLine="420" w:firstLineChars="200"/>
        <w:rPr>
          <w:rFonts w:hint="eastAsia" w:ascii="宋体" w:hAnsi="宋体" w:eastAsia="宋体" w:cs="宋体"/>
        </w:rPr>
      </w:pPr>
    </w:p>
    <w:p w14:paraId="782EBC4B">
      <w:pPr>
        <w:spacing w:line="360" w:lineRule="auto"/>
        <w:ind w:firstLine="315" w:firstLineChars="150"/>
        <w:rPr>
          <w:rFonts w:hint="eastAsia" w:ascii="宋体" w:hAnsi="宋体" w:eastAsia="宋体" w:cs="宋体"/>
        </w:rPr>
      </w:pPr>
      <w:r>
        <w:rPr>
          <w:rFonts w:hint="eastAsia" w:ascii="宋体" w:hAnsi="宋体" w:eastAsia="宋体" w:cs="宋体"/>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hint="eastAsia" w:ascii="宋体" w:hAnsi="宋体" w:eastAsia="宋体" w:cs="宋体"/>
        </w:rPr>
      </w:pPr>
    </w:p>
    <w:p w14:paraId="2D527448">
      <w:pPr>
        <w:spacing w:line="360" w:lineRule="auto"/>
        <w:rPr>
          <w:rFonts w:hint="eastAsia" w:ascii="宋体" w:hAnsi="宋体" w:eastAsia="宋体" w:cs="宋体"/>
        </w:rPr>
      </w:pPr>
    </w:p>
    <w:p w14:paraId="4F43BE54">
      <w:pPr>
        <w:spacing w:line="360" w:lineRule="auto"/>
        <w:ind w:firstLine="5310" w:firstLineChars="2529"/>
        <w:rPr>
          <w:rFonts w:hint="eastAsia" w:ascii="宋体" w:hAnsi="宋体" w:eastAsia="宋体" w:cs="宋体"/>
        </w:rPr>
      </w:pPr>
      <w:r>
        <w:rPr>
          <w:rFonts w:hint="eastAsia" w:ascii="宋体" w:hAnsi="宋体" w:eastAsia="宋体" w:cs="宋体"/>
        </w:rPr>
        <w:t>声明人：（</w:t>
      </w:r>
      <w:r>
        <w:rPr>
          <w:rFonts w:hint="eastAsia" w:ascii="宋体" w:hAnsi="宋体" w:eastAsia="宋体" w:cs="宋体"/>
          <w:kern w:val="0"/>
          <w:szCs w:val="21"/>
          <w:highlight w:val="none"/>
        </w:rPr>
        <w:t>加盖电子公章</w:t>
      </w:r>
      <w:r>
        <w:rPr>
          <w:rFonts w:hint="eastAsia" w:ascii="宋体" w:hAnsi="宋体" w:eastAsia="宋体" w:cs="宋体"/>
        </w:rPr>
        <w:t>）</w:t>
      </w:r>
    </w:p>
    <w:p w14:paraId="33343651">
      <w:pPr>
        <w:autoSpaceDE w:val="0"/>
        <w:autoSpaceDN w:val="0"/>
        <w:adjustRightInd w:val="0"/>
        <w:spacing w:line="360" w:lineRule="auto"/>
        <w:ind w:firstLine="5250" w:firstLineChars="2500"/>
        <w:rPr>
          <w:rFonts w:hint="eastAsia" w:ascii="宋体" w:hAnsi="宋体" w:eastAsia="宋体" w:cs="宋体"/>
          <w:szCs w:val="21"/>
          <w:lang w:val="zh-CN"/>
        </w:rPr>
      </w:pPr>
      <w:r>
        <w:rPr>
          <w:rFonts w:hint="eastAsia" w:ascii="宋体" w:hAnsi="宋体" w:eastAsia="宋体" w:cs="宋体"/>
          <w:szCs w:val="21"/>
          <w:lang w:val="zh-CN"/>
        </w:rPr>
        <w:t>日期：年月</w:t>
      </w:r>
    </w:p>
    <w:p w14:paraId="4F759495">
      <w:pPr>
        <w:autoSpaceDE w:val="0"/>
        <w:autoSpaceDN w:val="0"/>
        <w:adjustRightInd w:val="0"/>
        <w:spacing w:line="360" w:lineRule="auto"/>
        <w:rPr>
          <w:rFonts w:hint="eastAsia" w:ascii="宋体" w:hAnsi="宋体" w:eastAsia="宋体" w:cs="宋体"/>
          <w:szCs w:val="21"/>
          <w:lang w:val="zh-CN"/>
        </w:rPr>
      </w:pPr>
    </w:p>
    <w:p w14:paraId="08FB0288">
      <w:pPr>
        <w:autoSpaceDE w:val="0"/>
        <w:autoSpaceDN w:val="0"/>
        <w:adjustRightInd w:val="0"/>
        <w:spacing w:line="360" w:lineRule="auto"/>
        <w:rPr>
          <w:rFonts w:hint="eastAsia" w:ascii="宋体" w:hAnsi="宋体" w:eastAsia="宋体" w:cs="宋体"/>
          <w:szCs w:val="21"/>
          <w:lang w:val="zh-CN"/>
        </w:rPr>
      </w:pPr>
    </w:p>
    <w:p w14:paraId="74E983FD">
      <w:pPr>
        <w:autoSpaceDE w:val="0"/>
        <w:autoSpaceDN w:val="0"/>
        <w:adjustRightInd w:val="0"/>
        <w:spacing w:line="360" w:lineRule="auto"/>
        <w:rPr>
          <w:rFonts w:hint="eastAsia" w:ascii="宋体" w:hAnsi="宋体" w:eastAsia="宋体" w:cs="宋体"/>
          <w:b/>
        </w:rPr>
      </w:pPr>
      <w:r>
        <w:rPr>
          <w:rFonts w:hint="eastAsia" w:ascii="宋体" w:hAnsi="宋体" w:eastAsia="宋体" w:cs="宋体"/>
          <w:b/>
          <w:bCs/>
          <w:kern w:val="0"/>
          <w:sz w:val="24"/>
        </w:rPr>
        <w:t>附件十二、资格资信证明文件</w:t>
      </w:r>
    </w:p>
    <w:p w14:paraId="3D797B32">
      <w:pPr>
        <w:autoSpaceDE w:val="0"/>
        <w:autoSpaceDN w:val="0"/>
        <w:adjustRightInd w:val="0"/>
        <w:spacing w:line="360" w:lineRule="auto"/>
        <w:rPr>
          <w:rFonts w:hint="eastAsia" w:ascii="宋体" w:hAnsi="宋体" w:eastAsia="宋体" w:cs="宋体"/>
          <w:b/>
        </w:rPr>
      </w:pPr>
    </w:p>
    <w:p w14:paraId="453D45F3">
      <w:pPr>
        <w:autoSpaceDE w:val="0"/>
        <w:autoSpaceDN w:val="0"/>
        <w:adjustRightInd w:val="0"/>
        <w:spacing w:line="360" w:lineRule="auto"/>
        <w:jc w:val="center"/>
        <w:rPr>
          <w:rFonts w:hint="eastAsia" w:ascii="宋体" w:hAnsi="宋体" w:eastAsia="宋体" w:cs="宋体"/>
          <w:b/>
          <w:bCs w:val="0"/>
        </w:rPr>
      </w:pPr>
      <w:r>
        <w:rPr>
          <w:rFonts w:hint="eastAsia" w:ascii="宋体" w:hAnsi="宋体" w:eastAsia="宋体" w:cs="宋体"/>
          <w:b/>
          <w:bCs w:val="0"/>
        </w:rPr>
        <w:t>根据采购公告中</w:t>
      </w:r>
      <w:r>
        <w:rPr>
          <w:rFonts w:hint="eastAsia" w:ascii="宋体" w:hAnsi="宋体" w:eastAsia="宋体" w:cs="宋体"/>
          <w:b/>
          <w:bCs w:val="0"/>
          <w:lang w:eastAsia="zh-CN"/>
        </w:rPr>
        <w:t>“</w:t>
      </w:r>
      <w:r>
        <w:rPr>
          <w:rFonts w:hint="eastAsia" w:ascii="宋体" w:hAnsi="宋体" w:eastAsia="宋体" w:cs="宋体"/>
          <w:b/>
          <w:bCs w:val="0"/>
        </w:rPr>
        <w:t>二、申请人的资格要求</w:t>
      </w:r>
      <w:r>
        <w:rPr>
          <w:rFonts w:hint="eastAsia" w:ascii="宋体" w:hAnsi="宋体" w:eastAsia="宋体" w:cs="宋体"/>
          <w:b/>
          <w:bCs w:val="0"/>
          <w:lang w:eastAsia="zh-CN"/>
        </w:rPr>
        <w:t>”</w:t>
      </w:r>
      <w:r>
        <w:rPr>
          <w:rFonts w:hint="eastAsia" w:ascii="宋体" w:hAnsi="宋体" w:eastAsia="宋体" w:cs="宋体"/>
          <w:b/>
          <w:bCs w:val="0"/>
        </w:rPr>
        <w:t>在苏采云平台对应模块填写</w:t>
      </w:r>
    </w:p>
    <w:p w14:paraId="03CEBE79">
      <w:pPr>
        <w:autoSpaceDE w:val="0"/>
        <w:autoSpaceDN w:val="0"/>
        <w:adjustRightInd w:val="0"/>
        <w:spacing w:line="360" w:lineRule="auto"/>
        <w:rPr>
          <w:rFonts w:hint="eastAsia" w:ascii="宋体" w:hAnsi="宋体" w:eastAsia="宋体" w:cs="宋体"/>
          <w:b/>
        </w:rPr>
      </w:pPr>
    </w:p>
    <w:p w14:paraId="38C5A94C">
      <w:pPr>
        <w:autoSpaceDE w:val="0"/>
        <w:autoSpaceDN w:val="0"/>
        <w:adjustRightInd w:val="0"/>
        <w:spacing w:line="360" w:lineRule="auto"/>
        <w:rPr>
          <w:rFonts w:hint="eastAsia" w:ascii="宋体" w:hAnsi="宋体" w:eastAsia="宋体" w:cs="宋体"/>
          <w:b/>
        </w:rPr>
      </w:pPr>
    </w:p>
    <w:p w14:paraId="11FCABF8">
      <w:pPr>
        <w:autoSpaceDE w:val="0"/>
        <w:autoSpaceDN w:val="0"/>
        <w:adjustRightInd w:val="0"/>
        <w:spacing w:line="360" w:lineRule="auto"/>
        <w:rPr>
          <w:rFonts w:hint="eastAsia" w:ascii="宋体" w:hAnsi="宋体" w:eastAsia="宋体" w:cs="宋体"/>
          <w:b/>
        </w:rPr>
      </w:pPr>
    </w:p>
    <w:p w14:paraId="255DF707">
      <w:pPr>
        <w:rPr>
          <w:rFonts w:hint="eastAsia" w:ascii="宋体" w:hAnsi="宋体" w:eastAsia="宋体" w:cs="宋体"/>
          <w:b/>
        </w:rPr>
      </w:pPr>
    </w:p>
    <w:p w14:paraId="20DA8849">
      <w:pPr>
        <w:widowControl/>
        <w:adjustRightInd w:val="0"/>
        <w:spacing w:line="460" w:lineRule="atLeast"/>
        <w:rPr>
          <w:rFonts w:hint="eastAsia" w:ascii="宋体" w:hAnsi="宋体" w:eastAsia="宋体" w:cs="宋体"/>
          <w:b/>
          <w:bCs/>
          <w:kern w:val="0"/>
          <w:sz w:val="24"/>
        </w:rPr>
      </w:pPr>
      <w:r>
        <w:rPr>
          <w:rFonts w:hint="eastAsia" w:ascii="宋体" w:hAnsi="宋体" w:eastAsia="宋体" w:cs="宋体"/>
          <w:b/>
          <w:bCs/>
          <w:kern w:val="0"/>
          <w:sz w:val="24"/>
        </w:rPr>
        <w:t>附件十三、其他</w:t>
      </w:r>
    </w:p>
    <w:p w14:paraId="344C7764">
      <w:pPr>
        <w:autoSpaceDE w:val="0"/>
        <w:autoSpaceDN w:val="0"/>
        <w:adjustRightInd w:val="0"/>
        <w:spacing w:line="360" w:lineRule="auto"/>
        <w:jc w:val="center"/>
        <w:rPr>
          <w:rFonts w:hint="eastAsia" w:ascii="宋体" w:hAnsi="宋体" w:eastAsia="宋体" w:cs="宋体"/>
          <w:b/>
          <w:bCs w:val="0"/>
          <w:lang w:val="en-US" w:eastAsia="zh-CN"/>
        </w:rPr>
      </w:pPr>
    </w:p>
    <w:p w14:paraId="0DB1C8B0">
      <w:pPr>
        <w:autoSpaceDE w:val="0"/>
        <w:autoSpaceDN w:val="0"/>
        <w:adjustRightInd w:val="0"/>
        <w:spacing w:line="360" w:lineRule="auto"/>
        <w:jc w:val="center"/>
        <w:rPr>
          <w:rFonts w:hint="eastAsia" w:ascii="宋体" w:hAnsi="宋体" w:eastAsia="宋体" w:cs="宋体"/>
          <w:b/>
          <w:bCs/>
          <w:kern w:val="0"/>
          <w:szCs w:val="21"/>
          <w:lang w:val="zh-CN"/>
        </w:rPr>
      </w:pPr>
      <w:r>
        <w:rPr>
          <w:rFonts w:hint="eastAsia" w:ascii="宋体" w:hAnsi="宋体" w:eastAsia="宋体" w:cs="宋体"/>
          <w:b/>
          <w:bCs w:val="0"/>
          <w:lang w:val="en-US" w:eastAsia="zh-CN"/>
        </w:rPr>
        <w:t>供应商需要补充的其他内容</w:t>
      </w:r>
    </w:p>
    <w:bookmarkEnd w:id="1"/>
    <w:p w14:paraId="4A8C68D5">
      <w:pPr>
        <w:spacing w:line="440" w:lineRule="exact"/>
        <w:rPr>
          <w:rFonts w:hint="eastAsia" w:ascii="宋体" w:hAnsi="宋体" w:eastAsia="宋体" w:cs="宋体"/>
          <w:b/>
          <w:bCs/>
          <w:kern w:val="0"/>
          <w:szCs w:val="21"/>
        </w:rPr>
      </w:pP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Noto Sans SC">
    <w:panose1 w:val="020B0200000000000000"/>
    <w:charset w:val="86"/>
    <w:family w:val="swiss"/>
    <w:pitch w:val="default"/>
    <w:sig w:usb0="20000083" w:usb1="2ADF3C10" w:usb2="00000016" w:usb3="00000000" w:csb0="60060107" w:csb1="00000000"/>
  </w:font>
  <w:font w:name="Helvetica">
    <w:altName w:val="Arial"/>
    <w:panose1 w:val="020B0604020202020204"/>
    <w:charset w:val="00"/>
    <w:family w:val="swiss"/>
    <w:pitch w:val="default"/>
    <w:sig w:usb0="00000000" w:usb1="00000000" w:usb2="00000009" w:usb3="00000000" w:csb0="0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BF1BD5"/>
    <w:multiLevelType w:val="singleLevel"/>
    <w:tmpl w:val="E7BF1BD5"/>
    <w:lvl w:ilvl="0" w:tentative="0">
      <w:start w:val="1"/>
      <w:numFmt w:val="decimal"/>
      <w:lvlText w:val="(%1)"/>
      <w:lvlJc w:val="left"/>
      <w:pPr>
        <w:ind w:left="425" w:hanging="425"/>
      </w:pPr>
      <w:rPr>
        <w:rFonts w:hint="default"/>
      </w:rPr>
    </w:lvl>
  </w:abstractNum>
  <w:abstractNum w:abstractNumId="1">
    <w:nsid w:val="00000002"/>
    <w:multiLevelType w:val="multilevel"/>
    <w:tmpl w:val="00000002"/>
    <w:lvl w:ilvl="0" w:tentative="0">
      <w:start w:val="1"/>
      <w:numFmt w:val="japaneseCounting"/>
      <w:pStyle w:val="286"/>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68"/>
      <w:lvlText w:val="%1"/>
      <w:lvlJc w:val="left"/>
      <w:pPr>
        <w:ind w:left="425" w:hanging="425"/>
      </w:pPr>
      <w:rPr>
        <w:rFonts w:hint="eastAsia" w:ascii="Arial Unicode MS" w:hAnsi="Arial Unicode MS" w:eastAsia="微软雅黑"/>
        <w:b/>
        <w:i w:val="0"/>
        <w:lang w:val="en-US"/>
      </w:rPr>
    </w:lvl>
    <w:lvl w:ilvl="1" w:tentative="0">
      <w:start w:val="1"/>
      <w:numFmt w:val="decimal"/>
      <w:pStyle w:val="185"/>
      <w:isLgl/>
      <w:lvlText w:val="%1.%2"/>
      <w:lvlJc w:val="left"/>
      <w:pPr>
        <w:ind w:left="425" w:hanging="425"/>
      </w:pPr>
      <w:rPr>
        <w:rFonts w:hint="eastAsia" w:ascii="Arial Unicode MS" w:hAnsi="Arial Unicode MS" w:eastAsia="微软雅黑"/>
        <w:b/>
        <w:i w:val="0"/>
      </w:rPr>
    </w:lvl>
    <w:lvl w:ilvl="2" w:tentative="0">
      <w:start w:val="1"/>
      <w:numFmt w:val="decimal"/>
      <w:pStyle w:val="19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8D4"/>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1E0236"/>
    <w:rsid w:val="01214A1E"/>
    <w:rsid w:val="0132265F"/>
    <w:rsid w:val="0136557F"/>
    <w:rsid w:val="013B5608"/>
    <w:rsid w:val="014533E5"/>
    <w:rsid w:val="014F1B49"/>
    <w:rsid w:val="015360F5"/>
    <w:rsid w:val="0161201C"/>
    <w:rsid w:val="01674AD8"/>
    <w:rsid w:val="017B15F7"/>
    <w:rsid w:val="018502B5"/>
    <w:rsid w:val="018B0123"/>
    <w:rsid w:val="0194102D"/>
    <w:rsid w:val="019B2A51"/>
    <w:rsid w:val="01B64B5A"/>
    <w:rsid w:val="01BB069A"/>
    <w:rsid w:val="01BB3CD7"/>
    <w:rsid w:val="01BD17FD"/>
    <w:rsid w:val="01CA09D6"/>
    <w:rsid w:val="01E4322D"/>
    <w:rsid w:val="01EE6DBE"/>
    <w:rsid w:val="020C008E"/>
    <w:rsid w:val="020E7F3F"/>
    <w:rsid w:val="021A6004"/>
    <w:rsid w:val="022C24DE"/>
    <w:rsid w:val="022E08B9"/>
    <w:rsid w:val="023A07E4"/>
    <w:rsid w:val="023C3F99"/>
    <w:rsid w:val="025D291A"/>
    <w:rsid w:val="0261662C"/>
    <w:rsid w:val="027202B1"/>
    <w:rsid w:val="02721F48"/>
    <w:rsid w:val="0273635F"/>
    <w:rsid w:val="02805163"/>
    <w:rsid w:val="02815E8D"/>
    <w:rsid w:val="0290724D"/>
    <w:rsid w:val="0299522D"/>
    <w:rsid w:val="02E41BF4"/>
    <w:rsid w:val="02F07CB0"/>
    <w:rsid w:val="02FF3087"/>
    <w:rsid w:val="03045209"/>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D10304"/>
    <w:rsid w:val="03E8294D"/>
    <w:rsid w:val="03F10150"/>
    <w:rsid w:val="040020A7"/>
    <w:rsid w:val="0414147C"/>
    <w:rsid w:val="0419566F"/>
    <w:rsid w:val="041E1308"/>
    <w:rsid w:val="042747BE"/>
    <w:rsid w:val="043A5387"/>
    <w:rsid w:val="04473247"/>
    <w:rsid w:val="044D2B93"/>
    <w:rsid w:val="04833676"/>
    <w:rsid w:val="04930DBB"/>
    <w:rsid w:val="04954308"/>
    <w:rsid w:val="049F77B2"/>
    <w:rsid w:val="04A1730E"/>
    <w:rsid w:val="04A2371F"/>
    <w:rsid w:val="04A53BA4"/>
    <w:rsid w:val="04AA1834"/>
    <w:rsid w:val="04D17C83"/>
    <w:rsid w:val="04E374DE"/>
    <w:rsid w:val="04FF00EB"/>
    <w:rsid w:val="050140F6"/>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83EA4"/>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5651D"/>
    <w:rsid w:val="079A523F"/>
    <w:rsid w:val="07A36C6C"/>
    <w:rsid w:val="07AC2FBC"/>
    <w:rsid w:val="07B63E56"/>
    <w:rsid w:val="07BE2A34"/>
    <w:rsid w:val="07D43E3E"/>
    <w:rsid w:val="07D94EB6"/>
    <w:rsid w:val="07DE24CD"/>
    <w:rsid w:val="07DF1893"/>
    <w:rsid w:val="07E46E2F"/>
    <w:rsid w:val="07E53F70"/>
    <w:rsid w:val="07EF04BD"/>
    <w:rsid w:val="07F03CBF"/>
    <w:rsid w:val="07F42B67"/>
    <w:rsid w:val="080D0CE3"/>
    <w:rsid w:val="08234384"/>
    <w:rsid w:val="082425D6"/>
    <w:rsid w:val="084C38DA"/>
    <w:rsid w:val="086626CB"/>
    <w:rsid w:val="086C45C5"/>
    <w:rsid w:val="087522BE"/>
    <w:rsid w:val="08790814"/>
    <w:rsid w:val="08817F9A"/>
    <w:rsid w:val="08892439"/>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20D22"/>
    <w:rsid w:val="09363D16"/>
    <w:rsid w:val="09835B7C"/>
    <w:rsid w:val="09963667"/>
    <w:rsid w:val="09CA0506"/>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27258E"/>
    <w:rsid w:val="0B305355"/>
    <w:rsid w:val="0B3771AD"/>
    <w:rsid w:val="0B3C5E11"/>
    <w:rsid w:val="0B462EC8"/>
    <w:rsid w:val="0B493559"/>
    <w:rsid w:val="0B4B7099"/>
    <w:rsid w:val="0B53165C"/>
    <w:rsid w:val="0B747542"/>
    <w:rsid w:val="0B807D10"/>
    <w:rsid w:val="0B974E6D"/>
    <w:rsid w:val="0B9E1A60"/>
    <w:rsid w:val="0BA825A3"/>
    <w:rsid w:val="0BAD70EA"/>
    <w:rsid w:val="0BE60C5C"/>
    <w:rsid w:val="0C296CAE"/>
    <w:rsid w:val="0C365370"/>
    <w:rsid w:val="0C41127C"/>
    <w:rsid w:val="0C442C80"/>
    <w:rsid w:val="0C4B30F1"/>
    <w:rsid w:val="0C600706"/>
    <w:rsid w:val="0C7376A8"/>
    <w:rsid w:val="0C801F53"/>
    <w:rsid w:val="0C8076E1"/>
    <w:rsid w:val="0C923562"/>
    <w:rsid w:val="0CA97841"/>
    <w:rsid w:val="0CF22F65"/>
    <w:rsid w:val="0CFD3771"/>
    <w:rsid w:val="0CFF0F1B"/>
    <w:rsid w:val="0D001BEA"/>
    <w:rsid w:val="0D0A7F77"/>
    <w:rsid w:val="0D167C75"/>
    <w:rsid w:val="0D200F78"/>
    <w:rsid w:val="0D33542E"/>
    <w:rsid w:val="0D455E22"/>
    <w:rsid w:val="0D4D0748"/>
    <w:rsid w:val="0D4E7041"/>
    <w:rsid w:val="0D5F5515"/>
    <w:rsid w:val="0D6D057B"/>
    <w:rsid w:val="0D8943DC"/>
    <w:rsid w:val="0D8A04E4"/>
    <w:rsid w:val="0D932BB8"/>
    <w:rsid w:val="0D98461B"/>
    <w:rsid w:val="0D9C676A"/>
    <w:rsid w:val="0DB00467"/>
    <w:rsid w:val="0DB904D9"/>
    <w:rsid w:val="0DBB0918"/>
    <w:rsid w:val="0DC23F5E"/>
    <w:rsid w:val="0DC70662"/>
    <w:rsid w:val="0DC83A03"/>
    <w:rsid w:val="0DD44F7A"/>
    <w:rsid w:val="0DE25782"/>
    <w:rsid w:val="0DEE271A"/>
    <w:rsid w:val="0DF148E8"/>
    <w:rsid w:val="0E044A22"/>
    <w:rsid w:val="0E143F24"/>
    <w:rsid w:val="0E210D90"/>
    <w:rsid w:val="0E280BF1"/>
    <w:rsid w:val="0E2A2732"/>
    <w:rsid w:val="0E2F7B01"/>
    <w:rsid w:val="0E333017"/>
    <w:rsid w:val="0E4B5699"/>
    <w:rsid w:val="0E512E80"/>
    <w:rsid w:val="0E6C0832"/>
    <w:rsid w:val="0E6E1A32"/>
    <w:rsid w:val="0E6F34CF"/>
    <w:rsid w:val="0E7F7EE9"/>
    <w:rsid w:val="0E834E7D"/>
    <w:rsid w:val="0E85507A"/>
    <w:rsid w:val="0E8A0E0C"/>
    <w:rsid w:val="0E915BD0"/>
    <w:rsid w:val="0E940398"/>
    <w:rsid w:val="0EAA2F5B"/>
    <w:rsid w:val="0EB61AAE"/>
    <w:rsid w:val="0ECD4128"/>
    <w:rsid w:val="0ED40186"/>
    <w:rsid w:val="0ED73668"/>
    <w:rsid w:val="0EE52393"/>
    <w:rsid w:val="0EEE1C53"/>
    <w:rsid w:val="0EF05635"/>
    <w:rsid w:val="0F0913A4"/>
    <w:rsid w:val="0F360DD3"/>
    <w:rsid w:val="0F545EB6"/>
    <w:rsid w:val="0F6B1793"/>
    <w:rsid w:val="0F7B5DFB"/>
    <w:rsid w:val="0F7C2FDF"/>
    <w:rsid w:val="0F953DB9"/>
    <w:rsid w:val="0FCD39F7"/>
    <w:rsid w:val="0FE46ECC"/>
    <w:rsid w:val="0FF37EF3"/>
    <w:rsid w:val="0FFE4C46"/>
    <w:rsid w:val="10024DAE"/>
    <w:rsid w:val="10064480"/>
    <w:rsid w:val="100930B7"/>
    <w:rsid w:val="10156FD1"/>
    <w:rsid w:val="102045BD"/>
    <w:rsid w:val="10235C2C"/>
    <w:rsid w:val="10371F2F"/>
    <w:rsid w:val="105A6D80"/>
    <w:rsid w:val="106863F7"/>
    <w:rsid w:val="107B23CF"/>
    <w:rsid w:val="107C0AD5"/>
    <w:rsid w:val="107E1871"/>
    <w:rsid w:val="10824E25"/>
    <w:rsid w:val="10AA2979"/>
    <w:rsid w:val="10BB79B4"/>
    <w:rsid w:val="10BD5626"/>
    <w:rsid w:val="10C34956"/>
    <w:rsid w:val="10C85301"/>
    <w:rsid w:val="10CF32FA"/>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4D0AAB"/>
    <w:rsid w:val="135D3CC0"/>
    <w:rsid w:val="135E2A54"/>
    <w:rsid w:val="13716BB4"/>
    <w:rsid w:val="13821EE1"/>
    <w:rsid w:val="13890B9C"/>
    <w:rsid w:val="138A52B7"/>
    <w:rsid w:val="139525D9"/>
    <w:rsid w:val="13963C5C"/>
    <w:rsid w:val="13AD487E"/>
    <w:rsid w:val="13CB4137"/>
    <w:rsid w:val="13CB5D21"/>
    <w:rsid w:val="13D11AEC"/>
    <w:rsid w:val="13D42386"/>
    <w:rsid w:val="13F27FD8"/>
    <w:rsid w:val="13F53078"/>
    <w:rsid w:val="13FA3C10"/>
    <w:rsid w:val="141334FE"/>
    <w:rsid w:val="14197590"/>
    <w:rsid w:val="141C7AF8"/>
    <w:rsid w:val="142D5867"/>
    <w:rsid w:val="14311C3C"/>
    <w:rsid w:val="147B3F3C"/>
    <w:rsid w:val="147D18D0"/>
    <w:rsid w:val="148F7029"/>
    <w:rsid w:val="14990D3A"/>
    <w:rsid w:val="14A05CEA"/>
    <w:rsid w:val="14AA450A"/>
    <w:rsid w:val="14B60A59"/>
    <w:rsid w:val="14BA7BD0"/>
    <w:rsid w:val="14BE0DA8"/>
    <w:rsid w:val="14C10F31"/>
    <w:rsid w:val="14C17A01"/>
    <w:rsid w:val="14C77765"/>
    <w:rsid w:val="14C81165"/>
    <w:rsid w:val="14D94748"/>
    <w:rsid w:val="14DF2DE8"/>
    <w:rsid w:val="14E20E88"/>
    <w:rsid w:val="14E71B9C"/>
    <w:rsid w:val="14ED24C4"/>
    <w:rsid w:val="14FE6E45"/>
    <w:rsid w:val="15030DD2"/>
    <w:rsid w:val="151246C1"/>
    <w:rsid w:val="15155054"/>
    <w:rsid w:val="15190BB8"/>
    <w:rsid w:val="15300534"/>
    <w:rsid w:val="153D4CD7"/>
    <w:rsid w:val="15430081"/>
    <w:rsid w:val="1549179A"/>
    <w:rsid w:val="155855A0"/>
    <w:rsid w:val="15760A82"/>
    <w:rsid w:val="15842905"/>
    <w:rsid w:val="15885993"/>
    <w:rsid w:val="158A3C94"/>
    <w:rsid w:val="15943580"/>
    <w:rsid w:val="15993399"/>
    <w:rsid w:val="159F71E4"/>
    <w:rsid w:val="15DA54BE"/>
    <w:rsid w:val="15DE1A29"/>
    <w:rsid w:val="15F15AC1"/>
    <w:rsid w:val="16091932"/>
    <w:rsid w:val="160C2F38"/>
    <w:rsid w:val="16305FE2"/>
    <w:rsid w:val="1638549E"/>
    <w:rsid w:val="16527642"/>
    <w:rsid w:val="166636FC"/>
    <w:rsid w:val="16883ABF"/>
    <w:rsid w:val="169D3553"/>
    <w:rsid w:val="16A26BF5"/>
    <w:rsid w:val="16A90098"/>
    <w:rsid w:val="16AA3EEF"/>
    <w:rsid w:val="16AD19E8"/>
    <w:rsid w:val="16BB65F1"/>
    <w:rsid w:val="16C30E50"/>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296111"/>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44A3F"/>
    <w:rsid w:val="197B5636"/>
    <w:rsid w:val="19864E1F"/>
    <w:rsid w:val="198C7FDB"/>
    <w:rsid w:val="198D30EC"/>
    <w:rsid w:val="19956766"/>
    <w:rsid w:val="199646B5"/>
    <w:rsid w:val="199926F8"/>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5395E"/>
    <w:rsid w:val="1AF77FAB"/>
    <w:rsid w:val="1AFB020E"/>
    <w:rsid w:val="1AFC6661"/>
    <w:rsid w:val="1B324BB2"/>
    <w:rsid w:val="1B46240B"/>
    <w:rsid w:val="1B492FF3"/>
    <w:rsid w:val="1B4950A4"/>
    <w:rsid w:val="1B556620"/>
    <w:rsid w:val="1B6D5BEA"/>
    <w:rsid w:val="1B703F63"/>
    <w:rsid w:val="1B734B45"/>
    <w:rsid w:val="1B924A70"/>
    <w:rsid w:val="1BA324C2"/>
    <w:rsid w:val="1BA61267"/>
    <w:rsid w:val="1BA710FC"/>
    <w:rsid w:val="1BAF2B44"/>
    <w:rsid w:val="1BB43819"/>
    <w:rsid w:val="1BB47800"/>
    <w:rsid w:val="1BB76E65"/>
    <w:rsid w:val="1BE0460E"/>
    <w:rsid w:val="1BE37C5A"/>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124A43"/>
    <w:rsid w:val="1D13456F"/>
    <w:rsid w:val="1D1A4F19"/>
    <w:rsid w:val="1D2A3966"/>
    <w:rsid w:val="1D325942"/>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E036173"/>
    <w:rsid w:val="1E060554"/>
    <w:rsid w:val="1E0F6E32"/>
    <w:rsid w:val="1E2A1B70"/>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507CD"/>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1123A"/>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47C5E"/>
    <w:rsid w:val="20857532"/>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20346"/>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FD3792"/>
    <w:rsid w:val="220B121B"/>
    <w:rsid w:val="22136A87"/>
    <w:rsid w:val="222C0C93"/>
    <w:rsid w:val="222F1E4B"/>
    <w:rsid w:val="22427CC5"/>
    <w:rsid w:val="224A3FC7"/>
    <w:rsid w:val="224B3D5F"/>
    <w:rsid w:val="2258252F"/>
    <w:rsid w:val="225E4F1E"/>
    <w:rsid w:val="22785BA0"/>
    <w:rsid w:val="228F63A9"/>
    <w:rsid w:val="22A177E6"/>
    <w:rsid w:val="22A9070B"/>
    <w:rsid w:val="22C73E32"/>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871813"/>
    <w:rsid w:val="239B1C02"/>
    <w:rsid w:val="23AB3435"/>
    <w:rsid w:val="23AB3963"/>
    <w:rsid w:val="23AF49DD"/>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6F3379"/>
    <w:rsid w:val="257239B5"/>
    <w:rsid w:val="2573525C"/>
    <w:rsid w:val="2573603F"/>
    <w:rsid w:val="25781413"/>
    <w:rsid w:val="257A3E03"/>
    <w:rsid w:val="258C3DF5"/>
    <w:rsid w:val="25A36BFD"/>
    <w:rsid w:val="25E1786F"/>
    <w:rsid w:val="25E83AD3"/>
    <w:rsid w:val="25EB11E1"/>
    <w:rsid w:val="25F252DE"/>
    <w:rsid w:val="25F453F1"/>
    <w:rsid w:val="25F501AD"/>
    <w:rsid w:val="25F574EA"/>
    <w:rsid w:val="260B280F"/>
    <w:rsid w:val="261C6242"/>
    <w:rsid w:val="262B2929"/>
    <w:rsid w:val="263F3EBB"/>
    <w:rsid w:val="26435EC5"/>
    <w:rsid w:val="26574DB8"/>
    <w:rsid w:val="26691EF1"/>
    <w:rsid w:val="26693330"/>
    <w:rsid w:val="266A3CEA"/>
    <w:rsid w:val="266E1364"/>
    <w:rsid w:val="268E2249"/>
    <w:rsid w:val="269229A8"/>
    <w:rsid w:val="269A7E54"/>
    <w:rsid w:val="26A67D94"/>
    <w:rsid w:val="26C52C94"/>
    <w:rsid w:val="26D703BB"/>
    <w:rsid w:val="26E51871"/>
    <w:rsid w:val="26E56F7C"/>
    <w:rsid w:val="26EC52C4"/>
    <w:rsid w:val="26FD1062"/>
    <w:rsid w:val="270C4509"/>
    <w:rsid w:val="270F5DA7"/>
    <w:rsid w:val="2712322F"/>
    <w:rsid w:val="27224B0F"/>
    <w:rsid w:val="272F1E9F"/>
    <w:rsid w:val="27313F6F"/>
    <w:rsid w:val="2742617D"/>
    <w:rsid w:val="274E1A68"/>
    <w:rsid w:val="2764417B"/>
    <w:rsid w:val="27795A37"/>
    <w:rsid w:val="278476CC"/>
    <w:rsid w:val="27B04698"/>
    <w:rsid w:val="27B54BA0"/>
    <w:rsid w:val="27B55939"/>
    <w:rsid w:val="27DA4607"/>
    <w:rsid w:val="27E965F8"/>
    <w:rsid w:val="27EE11CB"/>
    <w:rsid w:val="27F710A0"/>
    <w:rsid w:val="27FC457D"/>
    <w:rsid w:val="280653FC"/>
    <w:rsid w:val="280E2503"/>
    <w:rsid w:val="282E0D0A"/>
    <w:rsid w:val="283659E1"/>
    <w:rsid w:val="28372507"/>
    <w:rsid w:val="284F7247"/>
    <w:rsid w:val="2851741F"/>
    <w:rsid w:val="2854115A"/>
    <w:rsid w:val="286744CD"/>
    <w:rsid w:val="287B2854"/>
    <w:rsid w:val="2887096F"/>
    <w:rsid w:val="28891A68"/>
    <w:rsid w:val="288C3EFB"/>
    <w:rsid w:val="28AD2EF5"/>
    <w:rsid w:val="28B0142C"/>
    <w:rsid w:val="28B031C4"/>
    <w:rsid w:val="28B813D8"/>
    <w:rsid w:val="28C05393"/>
    <w:rsid w:val="28C15F16"/>
    <w:rsid w:val="28C46D91"/>
    <w:rsid w:val="28C8217E"/>
    <w:rsid w:val="28D13A25"/>
    <w:rsid w:val="28D8259C"/>
    <w:rsid w:val="28DC615D"/>
    <w:rsid w:val="28DE402A"/>
    <w:rsid w:val="28E23AA6"/>
    <w:rsid w:val="28E274CE"/>
    <w:rsid w:val="28FC235B"/>
    <w:rsid w:val="291433AE"/>
    <w:rsid w:val="292274D8"/>
    <w:rsid w:val="29432A42"/>
    <w:rsid w:val="2946101E"/>
    <w:rsid w:val="294D2BB7"/>
    <w:rsid w:val="294F62D4"/>
    <w:rsid w:val="2950363D"/>
    <w:rsid w:val="2957261A"/>
    <w:rsid w:val="29712D49"/>
    <w:rsid w:val="2976043F"/>
    <w:rsid w:val="297A24D3"/>
    <w:rsid w:val="29826D04"/>
    <w:rsid w:val="29834CA6"/>
    <w:rsid w:val="298429E5"/>
    <w:rsid w:val="29891E41"/>
    <w:rsid w:val="299627B0"/>
    <w:rsid w:val="299C340E"/>
    <w:rsid w:val="29A20242"/>
    <w:rsid w:val="29A94291"/>
    <w:rsid w:val="29AA7F26"/>
    <w:rsid w:val="29C70BBB"/>
    <w:rsid w:val="29D250A3"/>
    <w:rsid w:val="29D97152"/>
    <w:rsid w:val="29DA563F"/>
    <w:rsid w:val="29EA6773"/>
    <w:rsid w:val="29F51284"/>
    <w:rsid w:val="29FD45DD"/>
    <w:rsid w:val="2A0D0CC4"/>
    <w:rsid w:val="2A1757C0"/>
    <w:rsid w:val="2A222FE8"/>
    <w:rsid w:val="2A2622F9"/>
    <w:rsid w:val="2A285241"/>
    <w:rsid w:val="2A2E7A7E"/>
    <w:rsid w:val="2A323B4A"/>
    <w:rsid w:val="2A411D8E"/>
    <w:rsid w:val="2A4735A8"/>
    <w:rsid w:val="2A4A20BE"/>
    <w:rsid w:val="2A596630"/>
    <w:rsid w:val="2A5F40B6"/>
    <w:rsid w:val="2A66617B"/>
    <w:rsid w:val="2A755953"/>
    <w:rsid w:val="2A7C3754"/>
    <w:rsid w:val="2A9456D6"/>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1444B9"/>
    <w:rsid w:val="2D1E0AF2"/>
    <w:rsid w:val="2D297BC6"/>
    <w:rsid w:val="2D377655"/>
    <w:rsid w:val="2D391440"/>
    <w:rsid w:val="2D403484"/>
    <w:rsid w:val="2D44170C"/>
    <w:rsid w:val="2D651E34"/>
    <w:rsid w:val="2DAB5DC1"/>
    <w:rsid w:val="2DB85006"/>
    <w:rsid w:val="2DBB1E1A"/>
    <w:rsid w:val="2DDA090D"/>
    <w:rsid w:val="2DEE2D62"/>
    <w:rsid w:val="2DF14475"/>
    <w:rsid w:val="2DF83CAE"/>
    <w:rsid w:val="2E1036F7"/>
    <w:rsid w:val="2E2760CC"/>
    <w:rsid w:val="2E2F76FC"/>
    <w:rsid w:val="2E306395"/>
    <w:rsid w:val="2E3507E9"/>
    <w:rsid w:val="2E3B3187"/>
    <w:rsid w:val="2E422DCC"/>
    <w:rsid w:val="2E424CB4"/>
    <w:rsid w:val="2E516CA5"/>
    <w:rsid w:val="2E751378"/>
    <w:rsid w:val="2E754540"/>
    <w:rsid w:val="2E783031"/>
    <w:rsid w:val="2E905186"/>
    <w:rsid w:val="2E96672A"/>
    <w:rsid w:val="2EA313FB"/>
    <w:rsid w:val="2EAF3631"/>
    <w:rsid w:val="2EC13E2B"/>
    <w:rsid w:val="2EC519AD"/>
    <w:rsid w:val="2ED2330B"/>
    <w:rsid w:val="2ED705EB"/>
    <w:rsid w:val="2EDC447A"/>
    <w:rsid w:val="2EDE45E5"/>
    <w:rsid w:val="2EE5733A"/>
    <w:rsid w:val="2EEE11AC"/>
    <w:rsid w:val="2EF22236"/>
    <w:rsid w:val="2EF2784E"/>
    <w:rsid w:val="2EFC1307"/>
    <w:rsid w:val="2EFE35E8"/>
    <w:rsid w:val="2F0A451D"/>
    <w:rsid w:val="2F29621C"/>
    <w:rsid w:val="2F315682"/>
    <w:rsid w:val="2F4E6128"/>
    <w:rsid w:val="2F513423"/>
    <w:rsid w:val="2F593497"/>
    <w:rsid w:val="2F80221D"/>
    <w:rsid w:val="2F805A94"/>
    <w:rsid w:val="2FA6202F"/>
    <w:rsid w:val="2FBE1AB6"/>
    <w:rsid w:val="2FDB47FA"/>
    <w:rsid w:val="2FEC4ED7"/>
    <w:rsid w:val="2FFB4CA4"/>
    <w:rsid w:val="30222090"/>
    <w:rsid w:val="302C79CA"/>
    <w:rsid w:val="303F08C7"/>
    <w:rsid w:val="30412492"/>
    <w:rsid w:val="304704C5"/>
    <w:rsid w:val="305A4537"/>
    <w:rsid w:val="30615FED"/>
    <w:rsid w:val="306B04F2"/>
    <w:rsid w:val="30717AD3"/>
    <w:rsid w:val="3086532C"/>
    <w:rsid w:val="308F3CE9"/>
    <w:rsid w:val="30933F17"/>
    <w:rsid w:val="309713C6"/>
    <w:rsid w:val="30981D7F"/>
    <w:rsid w:val="309B5A24"/>
    <w:rsid w:val="30A14E5D"/>
    <w:rsid w:val="30A232E4"/>
    <w:rsid w:val="30B11567"/>
    <w:rsid w:val="30B2344F"/>
    <w:rsid w:val="30C50C66"/>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E0453"/>
    <w:rsid w:val="319F465C"/>
    <w:rsid w:val="31BB30A3"/>
    <w:rsid w:val="31C32FA3"/>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2235BE"/>
    <w:rsid w:val="34476B80"/>
    <w:rsid w:val="34491953"/>
    <w:rsid w:val="344F1FA8"/>
    <w:rsid w:val="345614B9"/>
    <w:rsid w:val="345721E6"/>
    <w:rsid w:val="34621C0C"/>
    <w:rsid w:val="34751483"/>
    <w:rsid w:val="347A51A8"/>
    <w:rsid w:val="34825689"/>
    <w:rsid w:val="348778C5"/>
    <w:rsid w:val="349C3B73"/>
    <w:rsid w:val="34A118FF"/>
    <w:rsid w:val="34A20947"/>
    <w:rsid w:val="34A91197"/>
    <w:rsid w:val="34AD0D0B"/>
    <w:rsid w:val="34B44B7E"/>
    <w:rsid w:val="34B57235"/>
    <w:rsid w:val="34C77A45"/>
    <w:rsid w:val="34DC6C43"/>
    <w:rsid w:val="34E84C40"/>
    <w:rsid w:val="35056F41"/>
    <w:rsid w:val="350A4AD0"/>
    <w:rsid w:val="350F0702"/>
    <w:rsid w:val="35232B6D"/>
    <w:rsid w:val="35345E60"/>
    <w:rsid w:val="35417A73"/>
    <w:rsid w:val="35537C83"/>
    <w:rsid w:val="3558300F"/>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083033"/>
    <w:rsid w:val="383046D1"/>
    <w:rsid w:val="38316343"/>
    <w:rsid w:val="38540962"/>
    <w:rsid w:val="38602906"/>
    <w:rsid w:val="38727B02"/>
    <w:rsid w:val="38812AD7"/>
    <w:rsid w:val="389F5CD8"/>
    <w:rsid w:val="38AA6BDA"/>
    <w:rsid w:val="38B163EE"/>
    <w:rsid w:val="38B279EB"/>
    <w:rsid w:val="38B82AF5"/>
    <w:rsid w:val="38C379DB"/>
    <w:rsid w:val="38C7204D"/>
    <w:rsid w:val="38EA6C83"/>
    <w:rsid w:val="3925145A"/>
    <w:rsid w:val="392B1828"/>
    <w:rsid w:val="39415A8A"/>
    <w:rsid w:val="3942200C"/>
    <w:rsid w:val="394D58E5"/>
    <w:rsid w:val="39684010"/>
    <w:rsid w:val="398656D3"/>
    <w:rsid w:val="399027B5"/>
    <w:rsid w:val="39933B19"/>
    <w:rsid w:val="39A33CED"/>
    <w:rsid w:val="39A44A75"/>
    <w:rsid w:val="39B34CB8"/>
    <w:rsid w:val="39B63F14"/>
    <w:rsid w:val="39BB11C0"/>
    <w:rsid w:val="39BE1D8D"/>
    <w:rsid w:val="39C236BE"/>
    <w:rsid w:val="39C306DF"/>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8E22A7"/>
    <w:rsid w:val="3AB331C1"/>
    <w:rsid w:val="3ABB3E24"/>
    <w:rsid w:val="3ABD57F2"/>
    <w:rsid w:val="3AC7029B"/>
    <w:rsid w:val="3AC7728A"/>
    <w:rsid w:val="3ACB380C"/>
    <w:rsid w:val="3ADB2271"/>
    <w:rsid w:val="3AE64634"/>
    <w:rsid w:val="3AF6115B"/>
    <w:rsid w:val="3AF6205F"/>
    <w:rsid w:val="3B050D2B"/>
    <w:rsid w:val="3B0A6B5A"/>
    <w:rsid w:val="3B117EE8"/>
    <w:rsid w:val="3B1D2FE9"/>
    <w:rsid w:val="3B1F566C"/>
    <w:rsid w:val="3B265D2B"/>
    <w:rsid w:val="3B3433F9"/>
    <w:rsid w:val="3B343BD6"/>
    <w:rsid w:val="3B384250"/>
    <w:rsid w:val="3B497D60"/>
    <w:rsid w:val="3B4D0406"/>
    <w:rsid w:val="3B4E2EEA"/>
    <w:rsid w:val="3B4F3729"/>
    <w:rsid w:val="3B5C1C29"/>
    <w:rsid w:val="3B716F78"/>
    <w:rsid w:val="3B7364AD"/>
    <w:rsid w:val="3B7B1805"/>
    <w:rsid w:val="3B8725C8"/>
    <w:rsid w:val="3B9119EE"/>
    <w:rsid w:val="3BB54638"/>
    <w:rsid w:val="3BCB557E"/>
    <w:rsid w:val="3BCE402D"/>
    <w:rsid w:val="3BD62991"/>
    <w:rsid w:val="3BD95935"/>
    <w:rsid w:val="3BE55FE8"/>
    <w:rsid w:val="3BEE198D"/>
    <w:rsid w:val="3BF3499E"/>
    <w:rsid w:val="3BF34A5A"/>
    <w:rsid w:val="3BFD046C"/>
    <w:rsid w:val="3BFE376A"/>
    <w:rsid w:val="3C0331DD"/>
    <w:rsid w:val="3C0812EB"/>
    <w:rsid w:val="3C0B2B89"/>
    <w:rsid w:val="3C264489"/>
    <w:rsid w:val="3C2A50F0"/>
    <w:rsid w:val="3C2B11E4"/>
    <w:rsid w:val="3C40286C"/>
    <w:rsid w:val="3C410359"/>
    <w:rsid w:val="3C4373C4"/>
    <w:rsid w:val="3C6329C5"/>
    <w:rsid w:val="3C6F4FF8"/>
    <w:rsid w:val="3C7050E2"/>
    <w:rsid w:val="3C9508B9"/>
    <w:rsid w:val="3CA94FAB"/>
    <w:rsid w:val="3CAD3C40"/>
    <w:rsid w:val="3CBC20D5"/>
    <w:rsid w:val="3CBE1861"/>
    <w:rsid w:val="3CBF7969"/>
    <w:rsid w:val="3CC15468"/>
    <w:rsid w:val="3CC9460F"/>
    <w:rsid w:val="3CCB2319"/>
    <w:rsid w:val="3CD06F1D"/>
    <w:rsid w:val="3CD9405C"/>
    <w:rsid w:val="3CDB019A"/>
    <w:rsid w:val="3CE31410"/>
    <w:rsid w:val="3CE83CA8"/>
    <w:rsid w:val="3CEA65E2"/>
    <w:rsid w:val="3CF672F5"/>
    <w:rsid w:val="3D0A1433"/>
    <w:rsid w:val="3D11065F"/>
    <w:rsid w:val="3D32517E"/>
    <w:rsid w:val="3D364DBF"/>
    <w:rsid w:val="3D4A2EAB"/>
    <w:rsid w:val="3D5B4B1B"/>
    <w:rsid w:val="3D6267D9"/>
    <w:rsid w:val="3D7778E1"/>
    <w:rsid w:val="3D7D0CF0"/>
    <w:rsid w:val="3DD0510F"/>
    <w:rsid w:val="3DD11700"/>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A1979"/>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786313"/>
    <w:rsid w:val="408847A8"/>
    <w:rsid w:val="40A86353"/>
    <w:rsid w:val="40B41A41"/>
    <w:rsid w:val="40CA3AFC"/>
    <w:rsid w:val="40CC47B9"/>
    <w:rsid w:val="40D47A4A"/>
    <w:rsid w:val="40D62FCA"/>
    <w:rsid w:val="40DA369D"/>
    <w:rsid w:val="40E41DEF"/>
    <w:rsid w:val="40F17FA1"/>
    <w:rsid w:val="40F2485A"/>
    <w:rsid w:val="40F410CA"/>
    <w:rsid w:val="40FC47E1"/>
    <w:rsid w:val="411C4B49"/>
    <w:rsid w:val="41345493"/>
    <w:rsid w:val="4138297C"/>
    <w:rsid w:val="415E0AA4"/>
    <w:rsid w:val="41610010"/>
    <w:rsid w:val="4186659F"/>
    <w:rsid w:val="418802C8"/>
    <w:rsid w:val="4188317F"/>
    <w:rsid w:val="41924FB9"/>
    <w:rsid w:val="419D091D"/>
    <w:rsid w:val="41A03D74"/>
    <w:rsid w:val="41B34DF1"/>
    <w:rsid w:val="41B62002"/>
    <w:rsid w:val="41BB0480"/>
    <w:rsid w:val="41BD1DAF"/>
    <w:rsid w:val="41BF708C"/>
    <w:rsid w:val="41CD5A95"/>
    <w:rsid w:val="41D46BCA"/>
    <w:rsid w:val="41D91E7D"/>
    <w:rsid w:val="41F85FC5"/>
    <w:rsid w:val="42041BE8"/>
    <w:rsid w:val="42097713"/>
    <w:rsid w:val="420D033D"/>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D5ED7"/>
    <w:rsid w:val="436E61ED"/>
    <w:rsid w:val="43784FA8"/>
    <w:rsid w:val="43804E58"/>
    <w:rsid w:val="43843FDD"/>
    <w:rsid w:val="438C2802"/>
    <w:rsid w:val="439253D7"/>
    <w:rsid w:val="439F0E69"/>
    <w:rsid w:val="43CF5FD3"/>
    <w:rsid w:val="43D7406A"/>
    <w:rsid w:val="43DB1093"/>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514912"/>
    <w:rsid w:val="457C4123"/>
    <w:rsid w:val="45855844"/>
    <w:rsid w:val="458B69F6"/>
    <w:rsid w:val="458D5460"/>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40402F"/>
    <w:rsid w:val="47454177"/>
    <w:rsid w:val="474B6530"/>
    <w:rsid w:val="474D4ED2"/>
    <w:rsid w:val="474F15D8"/>
    <w:rsid w:val="475278BE"/>
    <w:rsid w:val="4754049B"/>
    <w:rsid w:val="475E7C0D"/>
    <w:rsid w:val="476415D8"/>
    <w:rsid w:val="47701558"/>
    <w:rsid w:val="47710A73"/>
    <w:rsid w:val="477426A5"/>
    <w:rsid w:val="477E5086"/>
    <w:rsid w:val="47857C94"/>
    <w:rsid w:val="47873BD6"/>
    <w:rsid w:val="47B03AF7"/>
    <w:rsid w:val="47B2336A"/>
    <w:rsid w:val="47BA4F6E"/>
    <w:rsid w:val="47D7366E"/>
    <w:rsid w:val="47E12DA0"/>
    <w:rsid w:val="47E26E94"/>
    <w:rsid w:val="48057437"/>
    <w:rsid w:val="48084421"/>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D520C0"/>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C01457"/>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3D6D8F"/>
    <w:rsid w:val="4C471D74"/>
    <w:rsid w:val="4C520360"/>
    <w:rsid w:val="4C696745"/>
    <w:rsid w:val="4C737423"/>
    <w:rsid w:val="4C83051A"/>
    <w:rsid w:val="4C885B30"/>
    <w:rsid w:val="4C955322"/>
    <w:rsid w:val="4C987A51"/>
    <w:rsid w:val="4C993ABE"/>
    <w:rsid w:val="4CA66B89"/>
    <w:rsid w:val="4CAA2DCE"/>
    <w:rsid w:val="4CAA3CF8"/>
    <w:rsid w:val="4CB37051"/>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6178F6"/>
    <w:rsid w:val="4F647CAE"/>
    <w:rsid w:val="4F694BCC"/>
    <w:rsid w:val="4F7F4759"/>
    <w:rsid w:val="4F8A3560"/>
    <w:rsid w:val="4F8A6E9D"/>
    <w:rsid w:val="4FA00EA1"/>
    <w:rsid w:val="4FA7410F"/>
    <w:rsid w:val="4FAD422B"/>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A0EAA"/>
    <w:rsid w:val="504C6018"/>
    <w:rsid w:val="50500C93"/>
    <w:rsid w:val="505C17AE"/>
    <w:rsid w:val="50603DEC"/>
    <w:rsid w:val="506E1264"/>
    <w:rsid w:val="50717230"/>
    <w:rsid w:val="507408A5"/>
    <w:rsid w:val="50812D7E"/>
    <w:rsid w:val="508B7406"/>
    <w:rsid w:val="509F73B0"/>
    <w:rsid w:val="50B10CEB"/>
    <w:rsid w:val="50B26A6B"/>
    <w:rsid w:val="50B4221A"/>
    <w:rsid w:val="50BA2236"/>
    <w:rsid w:val="50BB0A33"/>
    <w:rsid w:val="50C20F4E"/>
    <w:rsid w:val="50CA4969"/>
    <w:rsid w:val="50CE19FC"/>
    <w:rsid w:val="50D17AA6"/>
    <w:rsid w:val="50D40C4B"/>
    <w:rsid w:val="50D43A3A"/>
    <w:rsid w:val="50DB0910"/>
    <w:rsid w:val="50E46F54"/>
    <w:rsid w:val="5100482F"/>
    <w:rsid w:val="51070C7A"/>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8D6949"/>
    <w:rsid w:val="52A02DF3"/>
    <w:rsid w:val="52AC28BC"/>
    <w:rsid w:val="52B05067"/>
    <w:rsid w:val="52CC23E6"/>
    <w:rsid w:val="52D71E9D"/>
    <w:rsid w:val="52D7787C"/>
    <w:rsid w:val="52E07238"/>
    <w:rsid w:val="52EA11D5"/>
    <w:rsid w:val="52F97788"/>
    <w:rsid w:val="530254EA"/>
    <w:rsid w:val="531D3476"/>
    <w:rsid w:val="53266D5D"/>
    <w:rsid w:val="5329120F"/>
    <w:rsid w:val="53355CDF"/>
    <w:rsid w:val="533C1545"/>
    <w:rsid w:val="533E1CE6"/>
    <w:rsid w:val="536F68C7"/>
    <w:rsid w:val="5382736B"/>
    <w:rsid w:val="539E491F"/>
    <w:rsid w:val="53A771E4"/>
    <w:rsid w:val="53B24EEA"/>
    <w:rsid w:val="53B90702"/>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13999"/>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5DE580D"/>
    <w:rsid w:val="56081747"/>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406EC"/>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EE718F"/>
    <w:rsid w:val="57FD673B"/>
    <w:rsid w:val="583A7FA8"/>
    <w:rsid w:val="584E40D2"/>
    <w:rsid w:val="58544955"/>
    <w:rsid w:val="58566AE7"/>
    <w:rsid w:val="585962B5"/>
    <w:rsid w:val="585C4D9F"/>
    <w:rsid w:val="585F5B75"/>
    <w:rsid w:val="5875165E"/>
    <w:rsid w:val="587A4269"/>
    <w:rsid w:val="58825B29"/>
    <w:rsid w:val="588C7486"/>
    <w:rsid w:val="589A5A5F"/>
    <w:rsid w:val="58A3441E"/>
    <w:rsid w:val="58B303D9"/>
    <w:rsid w:val="58B94375"/>
    <w:rsid w:val="58BA4A70"/>
    <w:rsid w:val="58C17CFE"/>
    <w:rsid w:val="58CD1F3D"/>
    <w:rsid w:val="58D0365B"/>
    <w:rsid w:val="58E46830"/>
    <w:rsid w:val="59017396"/>
    <w:rsid w:val="5902444F"/>
    <w:rsid w:val="591A2206"/>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73349D"/>
    <w:rsid w:val="5B8859A0"/>
    <w:rsid w:val="5B9F7743"/>
    <w:rsid w:val="5BA80AA7"/>
    <w:rsid w:val="5BB522B5"/>
    <w:rsid w:val="5BB94B97"/>
    <w:rsid w:val="5BB95F56"/>
    <w:rsid w:val="5BBA4618"/>
    <w:rsid w:val="5BCD19A9"/>
    <w:rsid w:val="5BD448EE"/>
    <w:rsid w:val="5BE32D83"/>
    <w:rsid w:val="5BF72757"/>
    <w:rsid w:val="5BF84DDB"/>
    <w:rsid w:val="5C0C22DA"/>
    <w:rsid w:val="5C0F3B78"/>
    <w:rsid w:val="5C111338"/>
    <w:rsid w:val="5C3A6E47"/>
    <w:rsid w:val="5C466E0C"/>
    <w:rsid w:val="5C691941"/>
    <w:rsid w:val="5C7919DF"/>
    <w:rsid w:val="5C885591"/>
    <w:rsid w:val="5C903C36"/>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A0135"/>
    <w:rsid w:val="5DCD5DE5"/>
    <w:rsid w:val="5DD437EF"/>
    <w:rsid w:val="5DF16302"/>
    <w:rsid w:val="5DF94AE0"/>
    <w:rsid w:val="5DF954D4"/>
    <w:rsid w:val="5DFF4B46"/>
    <w:rsid w:val="5E06795D"/>
    <w:rsid w:val="5E11708E"/>
    <w:rsid w:val="5E243943"/>
    <w:rsid w:val="5E27164D"/>
    <w:rsid w:val="5E333195"/>
    <w:rsid w:val="5E3653EC"/>
    <w:rsid w:val="5E3B0A10"/>
    <w:rsid w:val="5E3B49F5"/>
    <w:rsid w:val="5E424B71"/>
    <w:rsid w:val="5E5B06A8"/>
    <w:rsid w:val="5E68756F"/>
    <w:rsid w:val="5E6B0BF4"/>
    <w:rsid w:val="5E7128C8"/>
    <w:rsid w:val="5E881A80"/>
    <w:rsid w:val="5E9C42BD"/>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895ABF"/>
    <w:rsid w:val="5F946A7C"/>
    <w:rsid w:val="5FAA42E4"/>
    <w:rsid w:val="5FB54A36"/>
    <w:rsid w:val="5FBA79B0"/>
    <w:rsid w:val="5FBB029F"/>
    <w:rsid w:val="5FC61813"/>
    <w:rsid w:val="5FD57CF6"/>
    <w:rsid w:val="5FF50EAD"/>
    <w:rsid w:val="5FFF5CB2"/>
    <w:rsid w:val="600676E3"/>
    <w:rsid w:val="60087405"/>
    <w:rsid w:val="600C3E51"/>
    <w:rsid w:val="600F12A4"/>
    <w:rsid w:val="60125733"/>
    <w:rsid w:val="601C5687"/>
    <w:rsid w:val="601D636B"/>
    <w:rsid w:val="60207038"/>
    <w:rsid w:val="602B7B91"/>
    <w:rsid w:val="602D6CC3"/>
    <w:rsid w:val="60391C4C"/>
    <w:rsid w:val="603B021E"/>
    <w:rsid w:val="60584683"/>
    <w:rsid w:val="605E3C41"/>
    <w:rsid w:val="60647840"/>
    <w:rsid w:val="606F768E"/>
    <w:rsid w:val="6085265B"/>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064A"/>
    <w:rsid w:val="62117133"/>
    <w:rsid w:val="62162FF2"/>
    <w:rsid w:val="62167684"/>
    <w:rsid w:val="621B5631"/>
    <w:rsid w:val="62215048"/>
    <w:rsid w:val="626B762E"/>
    <w:rsid w:val="626D5F91"/>
    <w:rsid w:val="627B6A9C"/>
    <w:rsid w:val="627E7D9D"/>
    <w:rsid w:val="628232F6"/>
    <w:rsid w:val="628407FE"/>
    <w:rsid w:val="62880405"/>
    <w:rsid w:val="629073C4"/>
    <w:rsid w:val="62996318"/>
    <w:rsid w:val="629C7308"/>
    <w:rsid w:val="62AA6D2C"/>
    <w:rsid w:val="62B0179B"/>
    <w:rsid w:val="62CC094F"/>
    <w:rsid w:val="62D96C8E"/>
    <w:rsid w:val="62EC0F65"/>
    <w:rsid w:val="62F10837"/>
    <w:rsid w:val="62FF66F4"/>
    <w:rsid w:val="630334E9"/>
    <w:rsid w:val="6313173E"/>
    <w:rsid w:val="63242B23"/>
    <w:rsid w:val="63564BD4"/>
    <w:rsid w:val="635C73A1"/>
    <w:rsid w:val="63743838"/>
    <w:rsid w:val="637455EF"/>
    <w:rsid w:val="637509AF"/>
    <w:rsid w:val="638F4A5D"/>
    <w:rsid w:val="639859D5"/>
    <w:rsid w:val="63A1155A"/>
    <w:rsid w:val="63A23228"/>
    <w:rsid w:val="63AB5D44"/>
    <w:rsid w:val="63B04CF8"/>
    <w:rsid w:val="63BA7188"/>
    <w:rsid w:val="63DF59C2"/>
    <w:rsid w:val="63E6136F"/>
    <w:rsid w:val="63EA625B"/>
    <w:rsid w:val="63ED5BB1"/>
    <w:rsid w:val="63F975E8"/>
    <w:rsid w:val="63FC6F31"/>
    <w:rsid w:val="641B0AB8"/>
    <w:rsid w:val="642B2B02"/>
    <w:rsid w:val="642D6A88"/>
    <w:rsid w:val="642E4F72"/>
    <w:rsid w:val="64591E34"/>
    <w:rsid w:val="646469D4"/>
    <w:rsid w:val="646507D9"/>
    <w:rsid w:val="647A419D"/>
    <w:rsid w:val="647E189B"/>
    <w:rsid w:val="64813139"/>
    <w:rsid w:val="64846083"/>
    <w:rsid w:val="64851089"/>
    <w:rsid w:val="648D7E50"/>
    <w:rsid w:val="64947640"/>
    <w:rsid w:val="64970918"/>
    <w:rsid w:val="64983CC9"/>
    <w:rsid w:val="649A7A6D"/>
    <w:rsid w:val="64A73F2B"/>
    <w:rsid w:val="64AF414A"/>
    <w:rsid w:val="64B109D5"/>
    <w:rsid w:val="64D10534"/>
    <w:rsid w:val="64D92F75"/>
    <w:rsid w:val="64E43E7F"/>
    <w:rsid w:val="64EA5182"/>
    <w:rsid w:val="64FE5C71"/>
    <w:rsid w:val="64FF4F0B"/>
    <w:rsid w:val="6509385A"/>
    <w:rsid w:val="65107E36"/>
    <w:rsid w:val="652C12F7"/>
    <w:rsid w:val="653B5A04"/>
    <w:rsid w:val="654E476E"/>
    <w:rsid w:val="654E74BF"/>
    <w:rsid w:val="65640A91"/>
    <w:rsid w:val="657A4758"/>
    <w:rsid w:val="657B11CD"/>
    <w:rsid w:val="6582705D"/>
    <w:rsid w:val="658A6BCD"/>
    <w:rsid w:val="65942372"/>
    <w:rsid w:val="659D0782"/>
    <w:rsid w:val="659D7C90"/>
    <w:rsid w:val="65A75FC0"/>
    <w:rsid w:val="65C459D3"/>
    <w:rsid w:val="65D04EEB"/>
    <w:rsid w:val="65D424B9"/>
    <w:rsid w:val="66001BA4"/>
    <w:rsid w:val="66025947"/>
    <w:rsid w:val="6619127A"/>
    <w:rsid w:val="66327C36"/>
    <w:rsid w:val="663C7469"/>
    <w:rsid w:val="664408C2"/>
    <w:rsid w:val="664E494D"/>
    <w:rsid w:val="6651279A"/>
    <w:rsid w:val="66846F11"/>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A4358"/>
    <w:rsid w:val="676C3006"/>
    <w:rsid w:val="67827A7F"/>
    <w:rsid w:val="67851192"/>
    <w:rsid w:val="67A667D3"/>
    <w:rsid w:val="67A74C82"/>
    <w:rsid w:val="67A95111"/>
    <w:rsid w:val="67B90A82"/>
    <w:rsid w:val="67BD1F65"/>
    <w:rsid w:val="67C365BF"/>
    <w:rsid w:val="67D8341E"/>
    <w:rsid w:val="67E46FF5"/>
    <w:rsid w:val="67ED6C16"/>
    <w:rsid w:val="680A6C82"/>
    <w:rsid w:val="6810315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C5088"/>
    <w:rsid w:val="68BE2C7A"/>
    <w:rsid w:val="68CC10BC"/>
    <w:rsid w:val="68D04C43"/>
    <w:rsid w:val="68D128E1"/>
    <w:rsid w:val="68E04998"/>
    <w:rsid w:val="68F44B09"/>
    <w:rsid w:val="68FA1B9A"/>
    <w:rsid w:val="69197DE4"/>
    <w:rsid w:val="692631BE"/>
    <w:rsid w:val="69307272"/>
    <w:rsid w:val="694E046E"/>
    <w:rsid w:val="69652D27"/>
    <w:rsid w:val="69782D5D"/>
    <w:rsid w:val="69831701"/>
    <w:rsid w:val="69952A0C"/>
    <w:rsid w:val="699A1218"/>
    <w:rsid w:val="699B4BDB"/>
    <w:rsid w:val="69A51678"/>
    <w:rsid w:val="69BB329B"/>
    <w:rsid w:val="69BD4C61"/>
    <w:rsid w:val="69C77525"/>
    <w:rsid w:val="69E26AA4"/>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CE3652"/>
    <w:rsid w:val="6ADB41F3"/>
    <w:rsid w:val="6ADD5CCB"/>
    <w:rsid w:val="6ADF0BB9"/>
    <w:rsid w:val="6AFB4F4A"/>
    <w:rsid w:val="6B12444F"/>
    <w:rsid w:val="6B1B6095"/>
    <w:rsid w:val="6B25303F"/>
    <w:rsid w:val="6B2A12A7"/>
    <w:rsid w:val="6B3426CD"/>
    <w:rsid w:val="6B4533C9"/>
    <w:rsid w:val="6B574BF4"/>
    <w:rsid w:val="6B5C39DF"/>
    <w:rsid w:val="6B5E11EE"/>
    <w:rsid w:val="6B611EB1"/>
    <w:rsid w:val="6B8626E8"/>
    <w:rsid w:val="6B961766"/>
    <w:rsid w:val="6B981494"/>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6658B0"/>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2459EC"/>
    <w:rsid w:val="703674CE"/>
    <w:rsid w:val="704A18A5"/>
    <w:rsid w:val="70535193"/>
    <w:rsid w:val="705353D7"/>
    <w:rsid w:val="70591CF5"/>
    <w:rsid w:val="70595CFD"/>
    <w:rsid w:val="70715952"/>
    <w:rsid w:val="70731CBA"/>
    <w:rsid w:val="70744B2B"/>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54026"/>
    <w:rsid w:val="717C2078"/>
    <w:rsid w:val="718176C8"/>
    <w:rsid w:val="718B2F22"/>
    <w:rsid w:val="71B51326"/>
    <w:rsid w:val="71BB1264"/>
    <w:rsid w:val="71C14470"/>
    <w:rsid w:val="71D23226"/>
    <w:rsid w:val="71DD01AD"/>
    <w:rsid w:val="71E01DDD"/>
    <w:rsid w:val="71EF3DD8"/>
    <w:rsid w:val="721C270E"/>
    <w:rsid w:val="72331F17"/>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F48D7"/>
    <w:rsid w:val="73253B84"/>
    <w:rsid w:val="733D0BED"/>
    <w:rsid w:val="73555EBD"/>
    <w:rsid w:val="735A34D3"/>
    <w:rsid w:val="7366546C"/>
    <w:rsid w:val="738707F8"/>
    <w:rsid w:val="738754CA"/>
    <w:rsid w:val="738B6F89"/>
    <w:rsid w:val="738F72FB"/>
    <w:rsid w:val="73927111"/>
    <w:rsid w:val="739C7406"/>
    <w:rsid w:val="73A40BF2"/>
    <w:rsid w:val="73C056D8"/>
    <w:rsid w:val="73C51294"/>
    <w:rsid w:val="73C757DE"/>
    <w:rsid w:val="73CB6AC4"/>
    <w:rsid w:val="73D54BCE"/>
    <w:rsid w:val="73EA4D92"/>
    <w:rsid w:val="73ED1A3A"/>
    <w:rsid w:val="73F05696"/>
    <w:rsid w:val="73F50B6F"/>
    <w:rsid w:val="740011C8"/>
    <w:rsid w:val="74130252"/>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C37D8"/>
    <w:rsid w:val="753D165B"/>
    <w:rsid w:val="75511543"/>
    <w:rsid w:val="75574B02"/>
    <w:rsid w:val="755D54FC"/>
    <w:rsid w:val="756B2471"/>
    <w:rsid w:val="75726F76"/>
    <w:rsid w:val="75805B4E"/>
    <w:rsid w:val="758D6086"/>
    <w:rsid w:val="758F1A33"/>
    <w:rsid w:val="75A4107C"/>
    <w:rsid w:val="75B07B59"/>
    <w:rsid w:val="75BF7E13"/>
    <w:rsid w:val="75C833F5"/>
    <w:rsid w:val="75C8596C"/>
    <w:rsid w:val="75E74A0A"/>
    <w:rsid w:val="75F8009A"/>
    <w:rsid w:val="75FF1C28"/>
    <w:rsid w:val="761E6A3A"/>
    <w:rsid w:val="76241D0C"/>
    <w:rsid w:val="76245634"/>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3A3D47"/>
    <w:rsid w:val="77580A66"/>
    <w:rsid w:val="77737259"/>
    <w:rsid w:val="778D01FE"/>
    <w:rsid w:val="77A3436B"/>
    <w:rsid w:val="77AD1CF3"/>
    <w:rsid w:val="77B86288"/>
    <w:rsid w:val="77C76754"/>
    <w:rsid w:val="77F437B1"/>
    <w:rsid w:val="780738D1"/>
    <w:rsid w:val="780F36D1"/>
    <w:rsid w:val="78140E63"/>
    <w:rsid w:val="782226C6"/>
    <w:rsid w:val="783D4AFF"/>
    <w:rsid w:val="784D30F3"/>
    <w:rsid w:val="78570929"/>
    <w:rsid w:val="78693C27"/>
    <w:rsid w:val="78700340"/>
    <w:rsid w:val="78747106"/>
    <w:rsid w:val="788A2C6A"/>
    <w:rsid w:val="7899313C"/>
    <w:rsid w:val="78A27DF6"/>
    <w:rsid w:val="78A44ED0"/>
    <w:rsid w:val="78AD0D21"/>
    <w:rsid w:val="78AF42C1"/>
    <w:rsid w:val="78B5001F"/>
    <w:rsid w:val="78B65A67"/>
    <w:rsid w:val="78B73B4F"/>
    <w:rsid w:val="78B934ED"/>
    <w:rsid w:val="78C37C8A"/>
    <w:rsid w:val="78D77987"/>
    <w:rsid w:val="78DE2D7C"/>
    <w:rsid w:val="78EC1071"/>
    <w:rsid w:val="78FA1FA9"/>
    <w:rsid w:val="78FF6FF6"/>
    <w:rsid w:val="791B5CC7"/>
    <w:rsid w:val="7922596C"/>
    <w:rsid w:val="792F01A6"/>
    <w:rsid w:val="79330A4E"/>
    <w:rsid w:val="79382965"/>
    <w:rsid w:val="79483FF5"/>
    <w:rsid w:val="794C1894"/>
    <w:rsid w:val="795161CA"/>
    <w:rsid w:val="797A7C8F"/>
    <w:rsid w:val="797F44E1"/>
    <w:rsid w:val="79820F11"/>
    <w:rsid w:val="79A22FB7"/>
    <w:rsid w:val="79A71D90"/>
    <w:rsid w:val="79A81252"/>
    <w:rsid w:val="79AC037E"/>
    <w:rsid w:val="79AE4579"/>
    <w:rsid w:val="79B4594A"/>
    <w:rsid w:val="79B978EA"/>
    <w:rsid w:val="79BC708D"/>
    <w:rsid w:val="79D20267"/>
    <w:rsid w:val="79EB1C7D"/>
    <w:rsid w:val="79FA5A10"/>
    <w:rsid w:val="7A16013B"/>
    <w:rsid w:val="7A187C44"/>
    <w:rsid w:val="7A1B476E"/>
    <w:rsid w:val="7A1F5BDD"/>
    <w:rsid w:val="7A241CE1"/>
    <w:rsid w:val="7A2B07AE"/>
    <w:rsid w:val="7A2B20CE"/>
    <w:rsid w:val="7A3373DA"/>
    <w:rsid w:val="7A50702E"/>
    <w:rsid w:val="7A5E71C1"/>
    <w:rsid w:val="7A654168"/>
    <w:rsid w:val="7A721A4A"/>
    <w:rsid w:val="7A85352B"/>
    <w:rsid w:val="7A970313"/>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212B16"/>
    <w:rsid w:val="7C2C55ED"/>
    <w:rsid w:val="7C344D27"/>
    <w:rsid w:val="7C5F7DAC"/>
    <w:rsid w:val="7C6034EF"/>
    <w:rsid w:val="7C605FFE"/>
    <w:rsid w:val="7C6929D9"/>
    <w:rsid w:val="7C8F3841"/>
    <w:rsid w:val="7C927737"/>
    <w:rsid w:val="7C9F40D0"/>
    <w:rsid w:val="7CA03619"/>
    <w:rsid w:val="7CCA16C9"/>
    <w:rsid w:val="7CE055BA"/>
    <w:rsid w:val="7CE72D65"/>
    <w:rsid w:val="7CEB12A8"/>
    <w:rsid w:val="7CF12392"/>
    <w:rsid w:val="7CFC1051"/>
    <w:rsid w:val="7CFF4DE5"/>
    <w:rsid w:val="7D146269"/>
    <w:rsid w:val="7D15058B"/>
    <w:rsid w:val="7D157DA1"/>
    <w:rsid w:val="7D213138"/>
    <w:rsid w:val="7D2521B2"/>
    <w:rsid w:val="7D27783F"/>
    <w:rsid w:val="7D2A44F5"/>
    <w:rsid w:val="7D317598"/>
    <w:rsid w:val="7D3230DC"/>
    <w:rsid w:val="7D353F3A"/>
    <w:rsid w:val="7D364FB1"/>
    <w:rsid w:val="7D3B25EC"/>
    <w:rsid w:val="7D3D4761"/>
    <w:rsid w:val="7D4172EA"/>
    <w:rsid w:val="7D4D08D5"/>
    <w:rsid w:val="7D551F58"/>
    <w:rsid w:val="7D5611AF"/>
    <w:rsid w:val="7D6A282B"/>
    <w:rsid w:val="7D7405B4"/>
    <w:rsid w:val="7D7B224A"/>
    <w:rsid w:val="7D8775BA"/>
    <w:rsid w:val="7D8D7458"/>
    <w:rsid w:val="7D8E0949"/>
    <w:rsid w:val="7D8E783E"/>
    <w:rsid w:val="7D9046C1"/>
    <w:rsid w:val="7DB042A2"/>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144E7E"/>
    <w:rsid w:val="7F5456A0"/>
    <w:rsid w:val="7F5C0130"/>
    <w:rsid w:val="7F761695"/>
    <w:rsid w:val="7F79289E"/>
    <w:rsid w:val="7F7A58CD"/>
    <w:rsid w:val="7F814DD6"/>
    <w:rsid w:val="7F8B73C1"/>
    <w:rsid w:val="7F8F1F7C"/>
    <w:rsid w:val="7FA02BB5"/>
    <w:rsid w:val="7FA30658"/>
    <w:rsid w:val="7FA8445B"/>
    <w:rsid w:val="7FCA114D"/>
    <w:rsid w:val="7FCB1227"/>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5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5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4"/>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65"/>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8"/>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23"/>
    <w:qFormat/>
    <w:uiPriority w:val="0"/>
    <w:rPr>
      <w:rFonts w:ascii="宋体"/>
      <w:sz w:val="18"/>
      <w:szCs w:val="18"/>
    </w:rPr>
  </w:style>
  <w:style w:type="paragraph" w:styleId="17">
    <w:name w:val="annotation text"/>
    <w:basedOn w:val="1"/>
    <w:link w:val="66"/>
    <w:qFormat/>
    <w:uiPriority w:val="0"/>
    <w:pPr>
      <w:jc w:val="left"/>
    </w:pPr>
  </w:style>
  <w:style w:type="paragraph" w:styleId="18">
    <w:name w:val="Body Text 3"/>
    <w:basedOn w:val="1"/>
    <w:link w:val="84"/>
    <w:qFormat/>
    <w:uiPriority w:val="0"/>
    <w:rPr>
      <w:rFonts w:ascii="宋体"/>
      <w:sz w:val="24"/>
      <w:szCs w:val="20"/>
    </w:rPr>
  </w:style>
  <w:style w:type="paragraph" w:styleId="19">
    <w:name w:val="Body Text"/>
    <w:basedOn w:val="1"/>
    <w:next w:val="1"/>
    <w:link w:val="83"/>
    <w:qFormat/>
    <w:uiPriority w:val="0"/>
    <w:pPr>
      <w:jc w:val="center"/>
    </w:pPr>
    <w:rPr>
      <w:rFonts w:eastAsia="幼圆"/>
      <w:b/>
      <w:bCs/>
      <w:sz w:val="44"/>
    </w:rPr>
  </w:style>
  <w:style w:type="paragraph" w:styleId="20">
    <w:name w:val="Body Text Indent"/>
    <w:basedOn w:val="1"/>
    <w:link w:val="114"/>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67"/>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24"/>
    <w:unhideWhenUsed/>
    <w:qFormat/>
    <w:uiPriority w:val="0"/>
  </w:style>
  <w:style w:type="paragraph" w:styleId="28">
    <w:name w:val="Body Text Indent 2"/>
    <w:basedOn w:val="1"/>
    <w:link w:val="141"/>
    <w:unhideWhenUsed/>
    <w:qFormat/>
    <w:uiPriority w:val="99"/>
    <w:pPr>
      <w:spacing w:line="420" w:lineRule="exact"/>
      <w:ind w:firstLine="525"/>
    </w:pPr>
    <w:rPr>
      <w:rFonts w:ascii="宋体"/>
      <w:kern w:val="0"/>
      <w:sz w:val="20"/>
      <w:szCs w:val="20"/>
    </w:rPr>
  </w:style>
  <w:style w:type="paragraph" w:styleId="29">
    <w:name w:val="Balloon Text"/>
    <w:basedOn w:val="1"/>
    <w:link w:val="68"/>
    <w:qFormat/>
    <w:uiPriority w:val="0"/>
    <w:rPr>
      <w:sz w:val="18"/>
      <w:szCs w:val="18"/>
    </w:rPr>
  </w:style>
  <w:style w:type="paragraph" w:styleId="30">
    <w:name w:val="footer"/>
    <w:basedOn w:val="1"/>
    <w:link w:val="69"/>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70"/>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71"/>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54"/>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3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72"/>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48"/>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rPr>
      <w:rFonts w:ascii="Noto Sans SC" w:hAnsi="Noto Sans SC" w:eastAsia="Noto Sans SC"/>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character" w:customStyle="1" w:styleId="57">
    <w:name w:val="标题 1 字符"/>
    <w:link w:val="2"/>
    <w:qFormat/>
    <w:uiPriority w:val="0"/>
    <w:rPr>
      <w:b/>
      <w:bCs/>
      <w:kern w:val="44"/>
      <w:sz w:val="32"/>
      <w:szCs w:val="44"/>
    </w:rPr>
  </w:style>
  <w:style w:type="character" w:customStyle="1" w:styleId="58">
    <w:name w:val="标题 2 字符"/>
    <w:link w:val="3"/>
    <w:qFormat/>
    <w:uiPriority w:val="0"/>
    <w:rPr>
      <w:rFonts w:ascii="Cambria" w:hAnsi="Cambria"/>
      <w:b/>
      <w:bCs/>
      <w:kern w:val="2"/>
      <w:sz w:val="32"/>
      <w:szCs w:val="32"/>
    </w:rPr>
  </w:style>
  <w:style w:type="character" w:customStyle="1" w:styleId="59">
    <w:name w:val="标题 3 字符"/>
    <w:link w:val="4"/>
    <w:qFormat/>
    <w:uiPriority w:val="0"/>
    <w:rPr>
      <w:b/>
      <w:bCs/>
      <w:kern w:val="2"/>
      <w:sz w:val="32"/>
      <w:szCs w:val="32"/>
    </w:rPr>
  </w:style>
  <w:style w:type="character" w:customStyle="1" w:styleId="60">
    <w:name w:val="标题 4 字符"/>
    <w:link w:val="5"/>
    <w:qFormat/>
    <w:uiPriority w:val="0"/>
    <w:rPr>
      <w:rFonts w:ascii="Cambria" w:hAnsi="Cambria"/>
      <w:b/>
      <w:bCs/>
      <w:kern w:val="2"/>
      <w:sz w:val="28"/>
      <w:szCs w:val="28"/>
    </w:rPr>
  </w:style>
  <w:style w:type="character" w:customStyle="1" w:styleId="61">
    <w:name w:val="标题 5 字符"/>
    <w:link w:val="6"/>
    <w:qFormat/>
    <w:uiPriority w:val="0"/>
    <w:rPr>
      <w:b/>
      <w:bCs/>
      <w:kern w:val="2"/>
      <w:sz w:val="28"/>
      <w:szCs w:val="28"/>
    </w:rPr>
  </w:style>
  <w:style w:type="character" w:customStyle="1" w:styleId="62">
    <w:name w:val="标题 6 字符"/>
    <w:link w:val="7"/>
    <w:qFormat/>
    <w:uiPriority w:val="0"/>
    <w:rPr>
      <w:rFonts w:ascii="Cambria" w:hAnsi="Cambria"/>
      <w:b/>
      <w:bCs/>
      <w:kern w:val="2"/>
      <w:sz w:val="24"/>
      <w:szCs w:val="24"/>
    </w:rPr>
  </w:style>
  <w:style w:type="character" w:customStyle="1" w:styleId="63">
    <w:name w:val="标题 7 字符"/>
    <w:link w:val="8"/>
    <w:qFormat/>
    <w:uiPriority w:val="0"/>
    <w:rPr>
      <w:b/>
      <w:bCs/>
      <w:kern w:val="2"/>
      <w:sz w:val="24"/>
      <w:szCs w:val="24"/>
    </w:rPr>
  </w:style>
  <w:style w:type="character" w:customStyle="1" w:styleId="64">
    <w:name w:val="标题 8 字符"/>
    <w:link w:val="9"/>
    <w:qFormat/>
    <w:uiPriority w:val="0"/>
    <w:rPr>
      <w:rFonts w:ascii="Cambria" w:hAnsi="Cambria"/>
      <w:kern w:val="2"/>
      <w:sz w:val="24"/>
      <w:szCs w:val="24"/>
    </w:rPr>
  </w:style>
  <w:style w:type="character" w:customStyle="1" w:styleId="65">
    <w:name w:val="标题 9 字符"/>
    <w:link w:val="10"/>
    <w:qFormat/>
    <w:uiPriority w:val="0"/>
    <w:rPr>
      <w:rFonts w:ascii="Cambria" w:hAnsi="Cambria"/>
      <w:kern w:val="2"/>
      <w:sz w:val="21"/>
      <w:szCs w:val="21"/>
    </w:rPr>
  </w:style>
  <w:style w:type="character" w:customStyle="1" w:styleId="66">
    <w:name w:val="批注文字 字符"/>
    <w:link w:val="17"/>
    <w:qFormat/>
    <w:uiPriority w:val="0"/>
    <w:rPr>
      <w:kern w:val="2"/>
      <w:sz w:val="21"/>
      <w:szCs w:val="24"/>
    </w:rPr>
  </w:style>
  <w:style w:type="character" w:customStyle="1" w:styleId="67">
    <w:name w:val="纯文本 字符"/>
    <w:link w:val="25"/>
    <w:qFormat/>
    <w:uiPriority w:val="99"/>
    <w:rPr>
      <w:rFonts w:ascii="Ari"/>
      <w:lang w:val="en-US" w:eastAsia="zh-CN" w:bidi="ar-SA"/>
    </w:rPr>
  </w:style>
  <w:style w:type="character" w:customStyle="1" w:styleId="68">
    <w:name w:val="批注框文本 字符"/>
    <w:link w:val="29"/>
    <w:qFormat/>
    <w:uiPriority w:val="0"/>
    <w:rPr>
      <w:kern w:val="2"/>
      <w:sz w:val="18"/>
      <w:szCs w:val="18"/>
    </w:rPr>
  </w:style>
  <w:style w:type="character" w:customStyle="1" w:styleId="69">
    <w:name w:val="页脚 字符"/>
    <w:link w:val="30"/>
    <w:qFormat/>
    <w:uiPriority w:val="99"/>
    <w:rPr>
      <w:kern w:val="2"/>
      <w:sz w:val="18"/>
      <w:szCs w:val="18"/>
    </w:rPr>
  </w:style>
  <w:style w:type="character" w:customStyle="1" w:styleId="70">
    <w:name w:val="页眉 字符"/>
    <w:link w:val="32"/>
    <w:qFormat/>
    <w:uiPriority w:val="0"/>
    <w:rPr>
      <w:kern w:val="2"/>
      <w:sz w:val="18"/>
      <w:szCs w:val="18"/>
    </w:rPr>
  </w:style>
  <w:style w:type="character" w:customStyle="1" w:styleId="71">
    <w:name w:val="副标题 字符"/>
    <w:link w:val="35"/>
    <w:qFormat/>
    <w:uiPriority w:val="0"/>
    <w:rPr>
      <w:rFonts w:ascii="Cambria" w:hAnsi="Cambria"/>
      <w:b/>
      <w:bCs/>
      <w:kern w:val="28"/>
      <w:sz w:val="32"/>
      <w:szCs w:val="32"/>
    </w:rPr>
  </w:style>
  <w:style w:type="character" w:customStyle="1" w:styleId="72">
    <w:name w:val="标题 字符"/>
    <w:link w:val="43"/>
    <w:qFormat/>
    <w:uiPriority w:val="0"/>
    <w:rPr>
      <w:rFonts w:ascii="Arial" w:hAnsi="Arial"/>
      <w:b/>
      <w:sz w:val="32"/>
    </w:rPr>
  </w:style>
  <w:style w:type="character" w:customStyle="1" w:styleId="73">
    <w:name w:val="未处理的提及1"/>
    <w:basedOn w:val="49"/>
    <w:semiHidden/>
    <w:unhideWhenUsed/>
    <w:qFormat/>
    <w:uiPriority w:val="99"/>
    <w:rPr>
      <w:color w:val="605E5C"/>
      <w:shd w:val="clear" w:color="auto" w:fill="E1DFDD"/>
    </w:rPr>
  </w:style>
  <w:style w:type="paragraph" w:styleId="74">
    <w:name w:val="List Paragraph"/>
    <w:basedOn w:val="1"/>
    <w:link w:val="75"/>
    <w:qFormat/>
    <w:uiPriority w:val="99"/>
    <w:pPr>
      <w:ind w:firstLine="420" w:firstLineChars="200"/>
    </w:pPr>
  </w:style>
  <w:style w:type="character" w:customStyle="1" w:styleId="75">
    <w:name w:val="列表段落 字符"/>
    <w:link w:val="74"/>
    <w:qFormat/>
    <w:locked/>
    <w:uiPriority w:val="99"/>
    <w:rPr>
      <w:kern w:val="2"/>
      <w:sz w:val="21"/>
      <w:szCs w:val="24"/>
    </w:rPr>
  </w:style>
  <w:style w:type="paragraph" w:customStyle="1" w:styleId="76">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character" w:customStyle="1" w:styleId="77">
    <w:name w:val="明显参考1"/>
    <w:qFormat/>
    <w:uiPriority w:val="0"/>
    <w:rPr>
      <w:b/>
      <w:bCs/>
      <w:smallCaps/>
      <w:color w:val="C0504D"/>
      <w:spacing w:val="5"/>
      <w:u w:val="single"/>
    </w:rPr>
  </w:style>
  <w:style w:type="character" w:customStyle="1" w:styleId="78">
    <w:name w:val="明显强调1"/>
    <w:qFormat/>
    <w:uiPriority w:val="0"/>
    <w:rPr>
      <w:b/>
      <w:bCs/>
      <w:i/>
      <w:iCs/>
      <w:color w:val="4F81BD"/>
    </w:rPr>
  </w:style>
  <w:style w:type="character" w:styleId="79">
    <w:name w:val="Placeholder Text"/>
    <w:semiHidden/>
    <w:qFormat/>
    <w:uiPriority w:val="99"/>
    <w:rPr>
      <w:color w:val="808080"/>
    </w:rPr>
  </w:style>
  <w:style w:type="character" w:customStyle="1" w:styleId="80">
    <w:name w:val="不明显强调1"/>
    <w:qFormat/>
    <w:uiPriority w:val="0"/>
    <w:rPr>
      <w:i/>
      <w:iCs/>
      <w:color w:val="808080"/>
    </w:rPr>
  </w:style>
  <w:style w:type="character" w:customStyle="1" w:styleId="81">
    <w:name w:val="不明显参考1"/>
    <w:qFormat/>
    <w:uiPriority w:val="0"/>
    <w:rPr>
      <w:smallCaps/>
      <w:color w:val="C0504D"/>
      <w:u w:val="single"/>
    </w:rPr>
  </w:style>
  <w:style w:type="character" w:customStyle="1" w:styleId="82">
    <w:name w:val="书籍标题1"/>
    <w:qFormat/>
    <w:uiPriority w:val="0"/>
    <w:rPr>
      <w:b/>
      <w:bCs/>
      <w:smallCaps/>
      <w:spacing w:val="5"/>
    </w:rPr>
  </w:style>
  <w:style w:type="character" w:customStyle="1" w:styleId="83">
    <w:name w:val="正文文本 字符"/>
    <w:link w:val="19"/>
    <w:qFormat/>
    <w:uiPriority w:val="0"/>
    <w:rPr>
      <w:rFonts w:eastAsia="幼圆"/>
      <w:b/>
      <w:bCs/>
      <w:kern w:val="2"/>
      <w:sz w:val="44"/>
      <w:szCs w:val="24"/>
    </w:rPr>
  </w:style>
  <w:style w:type="character" w:customStyle="1" w:styleId="84">
    <w:name w:val="正文文本 3 字符"/>
    <w:link w:val="18"/>
    <w:qFormat/>
    <w:uiPriority w:val="0"/>
    <w:rPr>
      <w:rFonts w:ascii="宋体"/>
      <w:kern w:val="2"/>
      <w:sz w:val="24"/>
    </w:rPr>
  </w:style>
  <w:style w:type="paragraph" w:customStyle="1" w:styleId="85">
    <w:name w:val="章正文"/>
    <w:basedOn w:val="1"/>
    <w:qFormat/>
    <w:locked/>
    <w:uiPriority w:val="0"/>
    <w:pPr>
      <w:spacing w:beforeLines="50" w:after="120" w:line="300" w:lineRule="auto"/>
      <w:ind w:firstLine="480"/>
    </w:pPr>
    <w:rPr>
      <w:rFonts w:ascii="Helvetica" w:hAnsi="Helvetica"/>
      <w:kern w:val="0"/>
    </w:rPr>
  </w:style>
  <w:style w:type="paragraph" w:customStyle="1" w:styleId="86">
    <w:name w:val="一级条标题"/>
    <w:basedOn w:val="87"/>
    <w:next w:val="88"/>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87">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88">
    <w:name w:val="段"/>
    <w:basedOn w:val="89"/>
    <w:next w:val="1"/>
    <w:qFormat/>
    <w:uiPriority w:val="0"/>
    <w:pPr>
      <w:widowControl/>
      <w:autoSpaceDE w:val="0"/>
      <w:autoSpaceDN w:val="0"/>
      <w:ind w:firstLine="200" w:firstLineChars="200"/>
    </w:pPr>
    <w:rPr>
      <w:rFonts w:hint="eastAsia" w:ascii="宋体"/>
    </w:rPr>
  </w:style>
  <w:style w:type="paragraph" w:customStyle="1" w:styleId="89">
    <w:name w:val="正文1"/>
    <w:next w:val="90"/>
    <w:qFormat/>
    <w:uiPriority w:val="0"/>
    <w:pPr>
      <w:widowControl w:val="0"/>
      <w:jc w:val="both"/>
    </w:pPr>
    <w:rPr>
      <w:rFonts w:ascii="Calibri" w:hAnsi="Calibri" w:eastAsia="宋体" w:cs="Times New Roman"/>
      <w:lang w:val="en-US" w:eastAsia="zh-CN" w:bidi="ar-SA"/>
    </w:rPr>
  </w:style>
  <w:style w:type="paragraph" w:customStyle="1" w:styleId="90">
    <w:name w:val="正文文本1"/>
    <w:basedOn w:val="91"/>
    <w:next w:val="86"/>
    <w:qFormat/>
    <w:uiPriority w:val="0"/>
    <w:rPr>
      <w:rFonts w:ascii="楷体_GB2312" w:hAnsi="Arial" w:eastAsia="楷体_GB2312"/>
      <w:sz w:val="28"/>
      <w:szCs w:val="28"/>
    </w:rPr>
  </w:style>
  <w:style w:type="paragraph" w:customStyle="1" w:styleId="91">
    <w:name w:val="正文111"/>
    <w:next w:val="9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2">
    <w:name w:val="正文文本缩进1"/>
    <w:basedOn w:val="93"/>
    <w:next w:val="96"/>
    <w:qFormat/>
    <w:uiPriority w:val="0"/>
    <w:pPr>
      <w:spacing w:after="120"/>
      <w:ind w:left="420"/>
    </w:pPr>
  </w:style>
  <w:style w:type="paragraph" w:customStyle="1" w:styleId="93">
    <w:name w:val="正文11"/>
    <w:next w:val="94"/>
    <w:qFormat/>
    <w:uiPriority w:val="0"/>
    <w:rPr>
      <w:rFonts w:ascii="Calibri" w:hAnsi="Calibri" w:eastAsia="宋体" w:cs="Calibri"/>
      <w:sz w:val="24"/>
      <w:szCs w:val="24"/>
      <w:lang w:val="en-US" w:eastAsia="zh-CN" w:bidi="ar-SA"/>
    </w:rPr>
  </w:style>
  <w:style w:type="paragraph" w:customStyle="1" w:styleId="94">
    <w:name w:val="文本块1"/>
    <w:basedOn w:val="91"/>
    <w:next w:val="95"/>
    <w:qFormat/>
    <w:uiPriority w:val="0"/>
    <w:pPr>
      <w:ind w:left="256" w:right="6" w:firstLine="624"/>
    </w:pPr>
    <w:rPr>
      <w:rFonts w:eastAsia="仿宋_GB2312"/>
      <w:sz w:val="28"/>
    </w:rPr>
  </w:style>
  <w:style w:type="paragraph" w:customStyle="1" w:styleId="95">
    <w:name w:val="标题 41"/>
    <w:basedOn w:val="93"/>
    <w:next w:val="93"/>
    <w:qFormat/>
    <w:uiPriority w:val="0"/>
    <w:pPr>
      <w:keepNext/>
      <w:keepLines/>
      <w:spacing w:before="280" w:after="290" w:line="376" w:lineRule="auto"/>
      <w:outlineLvl w:val="3"/>
    </w:pPr>
    <w:rPr>
      <w:rFonts w:ascii="Cambria" w:hAnsi="Cambria"/>
      <w:b/>
      <w:bCs/>
      <w:sz w:val="28"/>
      <w:szCs w:val="28"/>
    </w:rPr>
  </w:style>
  <w:style w:type="paragraph" w:customStyle="1" w:styleId="96">
    <w:name w:val="寄信人地址1"/>
    <w:basedOn w:val="1"/>
    <w:qFormat/>
    <w:uiPriority w:val="0"/>
    <w:rPr>
      <w:rFonts w:ascii="Arial" w:hAnsi="Arial"/>
    </w:rPr>
  </w:style>
  <w:style w:type="paragraph" w:customStyle="1" w:styleId="9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
    <w:name w:val="Body Text First Indent 21"/>
    <w:basedOn w:val="100"/>
    <w:qFormat/>
    <w:uiPriority w:val="0"/>
    <w:pPr>
      <w:ind w:firstLine="420"/>
    </w:pPr>
  </w:style>
  <w:style w:type="paragraph" w:customStyle="1" w:styleId="100">
    <w:name w:val="Body Text Indent1"/>
    <w:basedOn w:val="1"/>
    <w:qFormat/>
    <w:uiPriority w:val="0"/>
    <w:pPr>
      <w:ind w:left="420" w:leftChars="200"/>
    </w:pPr>
  </w:style>
  <w:style w:type="character" w:customStyle="1" w:styleId="101">
    <w:name w:val="批注文字 Char2"/>
    <w:qFormat/>
    <w:uiPriority w:val="0"/>
    <w:rPr>
      <w:kern w:val="2"/>
      <w:sz w:val="21"/>
    </w:rPr>
  </w:style>
  <w:style w:type="character" w:customStyle="1" w:styleId="102">
    <w:name w:val="标题 3 Char_0"/>
    <w:link w:val="103"/>
    <w:qFormat/>
    <w:uiPriority w:val="0"/>
    <w:rPr>
      <w:b/>
      <w:bCs/>
      <w:sz w:val="32"/>
      <w:szCs w:val="32"/>
    </w:rPr>
  </w:style>
  <w:style w:type="paragraph" w:customStyle="1" w:styleId="103">
    <w:name w:val="标题 3_0"/>
    <w:basedOn w:val="104"/>
    <w:next w:val="104"/>
    <w:link w:val="102"/>
    <w:qFormat/>
    <w:uiPriority w:val="0"/>
    <w:pPr>
      <w:keepNext/>
      <w:keepLines/>
      <w:spacing w:before="260" w:after="260" w:line="416" w:lineRule="auto"/>
      <w:outlineLvl w:val="2"/>
    </w:pPr>
    <w:rPr>
      <w:b/>
      <w:bCs/>
      <w:kern w:val="0"/>
      <w:sz w:val="32"/>
      <w:szCs w:val="32"/>
    </w:rPr>
  </w:style>
  <w:style w:type="paragraph" w:customStyle="1" w:styleId="10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5">
    <w:name w:val="正文文本 Char2"/>
    <w:semiHidden/>
    <w:qFormat/>
    <w:uiPriority w:val="99"/>
    <w:rPr>
      <w:rFonts w:ascii="Calibri" w:hAnsi="Calibri" w:eastAsia="宋体" w:cs="Times New Roman"/>
    </w:rPr>
  </w:style>
  <w:style w:type="character" w:customStyle="1" w:styleId="106">
    <w:name w:val="页脚 Char1"/>
    <w:semiHidden/>
    <w:qFormat/>
    <w:uiPriority w:val="99"/>
    <w:rPr>
      <w:rFonts w:ascii="Calibri" w:hAnsi="Calibri" w:eastAsia="宋体" w:cs="Times New Roman"/>
      <w:sz w:val="18"/>
      <w:szCs w:val="18"/>
    </w:rPr>
  </w:style>
  <w:style w:type="character" w:customStyle="1" w:styleId="107">
    <w:name w:val="明显引用 Char2"/>
    <w:qFormat/>
    <w:uiPriority w:val="99"/>
    <w:rPr>
      <w:b/>
      <w:bCs/>
      <w:i/>
      <w:iCs/>
      <w:color w:val="4F81BD"/>
      <w:kern w:val="2"/>
      <w:sz w:val="21"/>
      <w:szCs w:val="24"/>
    </w:rPr>
  </w:style>
  <w:style w:type="character" w:customStyle="1" w:styleId="108">
    <w:name w:val="引用 Char"/>
    <w:link w:val="109"/>
    <w:qFormat/>
    <w:uiPriority w:val="0"/>
    <w:rPr>
      <w:i/>
      <w:iCs/>
      <w:color w:val="000000"/>
    </w:rPr>
  </w:style>
  <w:style w:type="paragraph" w:customStyle="1" w:styleId="109">
    <w:name w:val="引用1"/>
    <w:basedOn w:val="1"/>
    <w:next w:val="1"/>
    <w:link w:val="108"/>
    <w:qFormat/>
    <w:uiPriority w:val="0"/>
    <w:rPr>
      <w:i/>
      <w:iCs/>
      <w:color w:val="000000"/>
      <w:kern w:val="0"/>
      <w:sz w:val="20"/>
      <w:szCs w:val="20"/>
    </w:rPr>
  </w:style>
  <w:style w:type="character" w:customStyle="1" w:styleId="110">
    <w:name w:val="标题 1 Char_0"/>
    <w:link w:val="111"/>
    <w:qFormat/>
    <w:uiPriority w:val="0"/>
    <w:rPr>
      <w:b/>
      <w:bCs/>
      <w:kern w:val="44"/>
      <w:sz w:val="44"/>
      <w:szCs w:val="44"/>
    </w:rPr>
  </w:style>
  <w:style w:type="paragraph" w:customStyle="1" w:styleId="111">
    <w:name w:val="标题 1_0"/>
    <w:basedOn w:val="104"/>
    <w:next w:val="104"/>
    <w:link w:val="110"/>
    <w:qFormat/>
    <w:uiPriority w:val="0"/>
    <w:pPr>
      <w:keepNext/>
      <w:keepLines/>
      <w:spacing w:before="340" w:after="330" w:line="578" w:lineRule="auto"/>
      <w:outlineLvl w:val="0"/>
    </w:pPr>
    <w:rPr>
      <w:b/>
      <w:bCs/>
      <w:kern w:val="44"/>
      <w:sz w:val="44"/>
      <w:szCs w:val="44"/>
    </w:rPr>
  </w:style>
  <w:style w:type="character" w:customStyle="1" w:styleId="112">
    <w:name w:val="正文文本缩进 3 Char1"/>
    <w:semiHidden/>
    <w:qFormat/>
    <w:uiPriority w:val="99"/>
    <w:rPr>
      <w:kern w:val="2"/>
      <w:sz w:val="16"/>
      <w:szCs w:val="16"/>
    </w:rPr>
  </w:style>
  <w:style w:type="character" w:customStyle="1" w:styleId="113">
    <w:name w:val="引用 Char1"/>
    <w:qFormat/>
    <w:uiPriority w:val="29"/>
    <w:rPr>
      <w:i/>
      <w:iCs/>
      <w:color w:val="000000"/>
      <w:kern w:val="2"/>
      <w:sz w:val="21"/>
    </w:rPr>
  </w:style>
  <w:style w:type="character" w:customStyle="1" w:styleId="114">
    <w:name w:val="正文文本缩进 字符"/>
    <w:link w:val="20"/>
    <w:qFormat/>
    <w:uiPriority w:val="0"/>
    <w:rPr>
      <w:kern w:val="2"/>
      <w:sz w:val="21"/>
      <w:szCs w:val="24"/>
    </w:rPr>
  </w:style>
  <w:style w:type="character" w:customStyle="1" w:styleId="115">
    <w:name w:val="font161"/>
    <w:qFormat/>
    <w:uiPriority w:val="0"/>
    <w:rPr>
      <w:b/>
      <w:sz w:val="32"/>
    </w:rPr>
  </w:style>
  <w:style w:type="character" w:customStyle="1" w:styleId="116">
    <w:name w:val="标题 4 Char_0"/>
    <w:link w:val="117"/>
    <w:qFormat/>
    <w:uiPriority w:val="0"/>
    <w:rPr>
      <w:rFonts w:ascii="Arial" w:hAnsi="Arial" w:eastAsia="黑体"/>
      <w:b/>
      <w:bCs/>
      <w:sz w:val="28"/>
      <w:szCs w:val="28"/>
    </w:rPr>
  </w:style>
  <w:style w:type="paragraph" w:customStyle="1" w:styleId="117">
    <w:name w:val="标题 4_0"/>
    <w:basedOn w:val="104"/>
    <w:next w:val="104"/>
    <w:link w:val="116"/>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18">
    <w:name w:val="引用 Char2"/>
    <w:qFormat/>
    <w:uiPriority w:val="99"/>
    <w:rPr>
      <w:i/>
      <w:iCs/>
      <w:color w:val="000000"/>
      <w:kern w:val="2"/>
      <w:sz w:val="21"/>
      <w:szCs w:val="24"/>
    </w:rPr>
  </w:style>
  <w:style w:type="character" w:customStyle="1" w:styleId="119">
    <w:name w:val="rvts11"/>
    <w:qFormat/>
    <w:uiPriority w:val="0"/>
    <w:rPr>
      <w:rFonts w:hint="default" w:ascii="KNLe" w:hAnsi="KNLe"/>
      <w:sz w:val="24"/>
      <w:szCs w:val="24"/>
      <w:u w:val="single"/>
    </w:rPr>
  </w:style>
  <w:style w:type="character" w:customStyle="1" w:styleId="120">
    <w:name w:val="标题5 Char Char"/>
    <w:link w:val="121"/>
    <w:qFormat/>
    <w:uiPriority w:val="0"/>
    <w:rPr>
      <w:rFonts w:ascii="Arial" w:hAnsi="Arial"/>
      <w:b/>
      <w:bCs/>
      <w:sz w:val="24"/>
      <w:szCs w:val="32"/>
    </w:rPr>
  </w:style>
  <w:style w:type="paragraph" w:customStyle="1" w:styleId="121">
    <w:name w:val="标题5"/>
    <w:basedOn w:val="4"/>
    <w:link w:val="120"/>
    <w:qFormat/>
    <w:uiPriority w:val="0"/>
    <w:pPr>
      <w:numPr>
        <w:ilvl w:val="0"/>
        <w:numId w:val="0"/>
      </w:numPr>
      <w:spacing w:line="413" w:lineRule="auto"/>
    </w:pPr>
    <w:rPr>
      <w:rFonts w:ascii="Arial" w:hAnsi="Arial"/>
      <w:kern w:val="0"/>
      <w:sz w:val="24"/>
    </w:rPr>
  </w:style>
  <w:style w:type="character" w:customStyle="1" w:styleId="122">
    <w:name w:val="副标题 Char2"/>
    <w:qFormat/>
    <w:uiPriority w:val="11"/>
    <w:rPr>
      <w:rFonts w:ascii="Cambria" w:hAnsi="Cambria" w:cs="Times New Roman"/>
      <w:b/>
      <w:bCs/>
      <w:kern w:val="28"/>
      <w:sz w:val="32"/>
      <w:szCs w:val="32"/>
    </w:rPr>
  </w:style>
  <w:style w:type="character" w:customStyle="1" w:styleId="123">
    <w:name w:val="文档结构图 字符"/>
    <w:link w:val="16"/>
    <w:qFormat/>
    <w:uiPriority w:val="0"/>
    <w:rPr>
      <w:rFonts w:ascii="宋体"/>
      <w:kern w:val="2"/>
      <w:sz w:val="18"/>
      <w:szCs w:val="18"/>
    </w:rPr>
  </w:style>
  <w:style w:type="character" w:customStyle="1" w:styleId="124">
    <w:name w:val="日期 字符"/>
    <w:link w:val="27"/>
    <w:qFormat/>
    <w:uiPriority w:val="0"/>
    <w:rPr>
      <w:kern w:val="2"/>
      <w:sz w:val="21"/>
      <w:szCs w:val="24"/>
    </w:rPr>
  </w:style>
  <w:style w:type="character" w:customStyle="1" w:styleId="125">
    <w:name w:val="批注主题 Char1"/>
    <w:qFormat/>
    <w:uiPriority w:val="0"/>
    <w:rPr>
      <w:b/>
      <w:bCs/>
      <w:kern w:val="2"/>
      <w:sz w:val="21"/>
      <w:szCs w:val="22"/>
    </w:rPr>
  </w:style>
  <w:style w:type="character" w:customStyle="1" w:styleId="126">
    <w:name w:val="font31"/>
    <w:qFormat/>
    <w:uiPriority w:val="0"/>
    <w:rPr>
      <w:rFonts w:hint="eastAsia" w:ascii="宋体" w:hAnsi="宋体" w:eastAsia="宋体" w:cs="宋体"/>
      <w:color w:val="000000"/>
      <w:sz w:val="20"/>
      <w:szCs w:val="20"/>
      <w:u w:val="none"/>
    </w:rPr>
  </w:style>
  <w:style w:type="character" w:customStyle="1" w:styleId="127">
    <w:name w:val="明显引用 Char"/>
    <w:link w:val="128"/>
    <w:qFormat/>
    <w:uiPriority w:val="0"/>
    <w:rPr>
      <w:b/>
      <w:bCs/>
      <w:i/>
      <w:iCs/>
      <w:color w:val="4F81BD"/>
    </w:rPr>
  </w:style>
  <w:style w:type="paragraph" w:customStyle="1" w:styleId="128">
    <w:name w:val="明显引用1"/>
    <w:basedOn w:val="1"/>
    <w:next w:val="1"/>
    <w:link w:val="12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29">
    <w:name w:val="日期 Char1"/>
    <w:qFormat/>
    <w:uiPriority w:val="0"/>
    <w:rPr>
      <w:rFonts w:ascii="Calibri" w:hAnsi="Calibri" w:eastAsia="宋体" w:cs="Times New Roman"/>
    </w:rPr>
  </w:style>
  <w:style w:type="character" w:customStyle="1" w:styleId="130">
    <w:name w:val="批注框文本 Char1"/>
    <w:qFormat/>
    <w:uiPriority w:val="0"/>
    <w:rPr>
      <w:kern w:val="2"/>
      <w:sz w:val="18"/>
      <w:szCs w:val="18"/>
    </w:rPr>
  </w:style>
  <w:style w:type="character" w:customStyle="1" w:styleId="131">
    <w:name w:val="标题 Char1"/>
    <w:qFormat/>
    <w:uiPriority w:val="10"/>
    <w:rPr>
      <w:rFonts w:ascii="Cambria" w:hAnsi="Cambria" w:eastAsia="宋体" w:cs="Times New Roman"/>
      <w:b/>
      <w:bCs/>
      <w:sz w:val="32"/>
      <w:szCs w:val="32"/>
    </w:rPr>
  </w:style>
  <w:style w:type="character" w:customStyle="1" w:styleId="132">
    <w:name w:val="批注文字 Char1"/>
    <w:qFormat/>
    <w:uiPriority w:val="0"/>
    <w:rPr>
      <w:rFonts w:ascii="Calibri" w:hAnsi="Calibri" w:eastAsia="宋体" w:cs="Times New Roman"/>
    </w:rPr>
  </w:style>
  <w:style w:type="character" w:customStyle="1" w:styleId="133">
    <w:name w:val="标题 Char2"/>
    <w:qFormat/>
    <w:uiPriority w:val="10"/>
    <w:rPr>
      <w:rFonts w:ascii="Cambria" w:hAnsi="Cambria" w:cs="Times New Roman"/>
      <w:b/>
      <w:bCs/>
      <w:kern w:val="2"/>
      <w:sz w:val="32"/>
      <w:szCs w:val="32"/>
    </w:rPr>
  </w:style>
  <w:style w:type="character" w:customStyle="1" w:styleId="134">
    <w:name w:val="正文文本 3 Char1"/>
    <w:semiHidden/>
    <w:qFormat/>
    <w:uiPriority w:val="99"/>
    <w:rPr>
      <w:kern w:val="2"/>
      <w:sz w:val="16"/>
      <w:szCs w:val="16"/>
    </w:rPr>
  </w:style>
  <w:style w:type="character" w:customStyle="1" w:styleId="135">
    <w:name w:val="批注主题 Char2"/>
    <w:qFormat/>
    <w:uiPriority w:val="0"/>
    <w:rPr>
      <w:b/>
      <w:bCs/>
      <w:kern w:val="2"/>
      <w:sz w:val="21"/>
    </w:rPr>
  </w:style>
  <w:style w:type="character" w:customStyle="1" w:styleId="136">
    <w:name w:val="正文文本 Char_0"/>
    <w:link w:val="137"/>
    <w:qFormat/>
    <w:uiPriority w:val="0"/>
    <w:rPr>
      <w:szCs w:val="24"/>
    </w:rPr>
  </w:style>
  <w:style w:type="paragraph" w:customStyle="1" w:styleId="137">
    <w:name w:val="正文文本_0"/>
    <w:basedOn w:val="104"/>
    <w:link w:val="136"/>
    <w:qFormat/>
    <w:uiPriority w:val="0"/>
    <w:pPr>
      <w:spacing w:after="120"/>
    </w:pPr>
    <w:rPr>
      <w:kern w:val="0"/>
      <w:sz w:val="20"/>
    </w:rPr>
  </w:style>
  <w:style w:type="character" w:customStyle="1" w:styleId="138">
    <w:name w:val="bookmark"/>
    <w:basedOn w:val="49"/>
    <w:qFormat/>
    <w:uiPriority w:val="0"/>
  </w:style>
  <w:style w:type="character" w:customStyle="1" w:styleId="139">
    <w:name w:val="标题 5 Char_0"/>
    <w:link w:val="140"/>
    <w:qFormat/>
    <w:uiPriority w:val="0"/>
    <w:rPr>
      <w:rFonts w:ascii="Calibri" w:hAnsi="Calibri"/>
      <w:b/>
      <w:bCs/>
      <w:sz w:val="28"/>
      <w:szCs w:val="28"/>
    </w:rPr>
  </w:style>
  <w:style w:type="paragraph" w:customStyle="1" w:styleId="140">
    <w:name w:val="标题 5_0"/>
    <w:basedOn w:val="104"/>
    <w:next w:val="104"/>
    <w:link w:val="139"/>
    <w:qFormat/>
    <w:uiPriority w:val="0"/>
    <w:pPr>
      <w:keepNext/>
      <w:keepLines/>
      <w:spacing w:before="280" w:after="290" w:line="372" w:lineRule="auto"/>
      <w:outlineLvl w:val="4"/>
    </w:pPr>
    <w:rPr>
      <w:rFonts w:ascii="Calibri" w:hAnsi="Calibri"/>
      <w:b/>
      <w:bCs/>
      <w:kern w:val="0"/>
      <w:sz w:val="28"/>
      <w:szCs w:val="28"/>
    </w:rPr>
  </w:style>
  <w:style w:type="character" w:customStyle="1" w:styleId="141">
    <w:name w:val="正文文本缩进 2 字符"/>
    <w:link w:val="28"/>
    <w:qFormat/>
    <w:uiPriority w:val="99"/>
    <w:rPr>
      <w:rFonts w:ascii="宋体"/>
    </w:rPr>
  </w:style>
  <w:style w:type="character" w:customStyle="1" w:styleId="142">
    <w:name w:val="font11"/>
    <w:qFormat/>
    <w:uiPriority w:val="0"/>
    <w:rPr>
      <w:rFonts w:hint="eastAsia" w:ascii="宋体" w:hAnsi="宋体" w:eastAsia="宋体" w:cs="宋体"/>
      <w:color w:val="000000"/>
      <w:sz w:val="20"/>
      <w:szCs w:val="20"/>
      <w:u w:val="none"/>
    </w:rPr>
  </w:style>
  <w:style w:type="character" w:customStyle="1" w:styleId="143">
    <w:name w:val="超链接_0"/>
    <w:qFormat/>
    <w:uiPriority w:val="99"/>
    <w:rPr>
      <w:rFonts w:ascii="Calibri" w:hAnsi="Calibri"/>
      <w:color w:val="0000FF"/>
      <w:u w:val="single"/>
    </w:rPr>
  </w:style>
  <w:style w:type="character" w:customStyle="1" w:styleId="144">
    <w:name w:val="文档结构图 Char2"/>
    <w:semiHidden/>
    <w:qFormat/>
    <w:uiPriority w:val="99"/>
    <w:rPr>
      <w:rFonts w:ascii="宋体" w:hAnsi="Calibri" w:eastAsia="宋体" w:cs="Times New Roman"/>
      <w:sz w:val="18"/>
      <w:szCs w:val="18"/>
    </w:rPr>
  </w:style>
  <w:style w:type="character" w:customStyle="1" w:styleId="145">
    <w:name w:val="textcontents"/>
    <w:qFormat/>
    <w:uiPriority w:val="0"/>
    <w:rPr>
      <w:rFonts w:cs="Times New Roman"/>
    </w:rPr>
  </w:style>
  <w:style w:type="character" w:customStyle="1" w:styleId="146">
    <w:name w:val="标题 1 Char"/>
    <w:qFormat/>
    <w:uiPriority w:val="0"/>
    <w:rPr>
      <w:b/>
      <w:bCs/>
      <w:kern w:val="44"/>
      <w:sz w:val="32"/>
      <w:szCs w:val="44"/>
    </w:rPr>
  </w:style>
  <w:style w:type="character" w:customStyle="1" w:styleId="147">
    <w:name w:val="副标题 Char1"/>
    <w:qFormat/>
    <w:uiPriority w:val="11"/>
    <w:rPr>
      <w:rFonts w:ascii="Cambria" w:hAnsi="Cambria" w:cs="Times New Roman"/>
      <w:b/>
      <w:bCs/>
      <w:kern w:val="28"/>
      <w:sz w:val="32"/>
      <w:szCs w:val="32"/>
    </w:rPr>
  </w:style>
  <w:style w:type="character" w:customStyle="1" w:styleId="148">
    <w:name w:val="批注主题 字符"/>
    <w:link w:val="44"/>
    <w:qFormat/>
    <w:uiPriority w:val="0"/>
    <w:rPr>
      <w:b/>
      <w:bCs/>
      <w:kern w:val="2"/>
      <w:sz w:val="21"/>
      <w:szCs w:val="24"/>
    </w:rPr>
  </w:style>
  <w:style w:type="character" w:customStyle="1" w:styleId="149">
    <w:name w:val="标题4 Char Char"/>
    <w:link w:val="150"/>
    <w:qFormat/>
    <w:uiPriority w:val="0"/>
    <w:rPr>
      <w:rFonts w:ascii="Arial" w:hAnsi="Arial"/>
      <w:b/>
      <w:bCs/>
      <w:sz w:val="24"/>
      <w:szCs w:val="32"/>
    </w:rPr>
  </w:style>
  <w:style w:type="paragraph" w:customStyle="1" w:styleId="150">
    <w:name w:val="标题4"/>
    <w:basedOn w:val="3"/>
    <w:next w:val="22"/>
    <w:link w:val="149"/>
    <w:qFormat/>
    <w:uiPriority w:val="0"/>
    <w:pPr>
      <w:numPr>
        <w:ilvl w:val="0"/>
        <w:numId w:val="0"/>
      </w:numPr>
      <w:spacing w:line="413" w:lineRule="auto"/>
    </w:pPr>
    <w:rPr>
      <w:rFonts w:ascii="Arial" w:hAnsi="Arial"/>
      <w:kern w:val="0"/>
      <w:sz w:val="24"/>
    </w:rPr>
  </w:style>
  <w:style w:type="character" w:customStyle="1" w:styleId="151">
    <w:name w:val="正文文本 Char1"/>
    <w:qFormat/>
    <w:uiPriority w:val="0"/>
    <w:rPr>
      <w:rFonts w:ascii="Calibri" w:hAnsi="Calibri" w:eastAsia="宋体" w:cs="Times New Roman"/>
    </w:rPr>
  </w:style>
  <w:style w:type="character" w:customStyle="1" w:styleId="152">
    <w:name w:val="明显引用 Char1"/>
    <w:qFormat/>
    <w:uiPriority w:val="30"/>
    <w:rPr>
      <w:b/>
      <w:bCs/>
      <w:i/>
      <w:iCs/>
      <w:color w:val="4F81BD"/>
      <w:kern w:val="2"/>
      <w:sz w:val="21"/>
    </w:rPr>
  </w:style>
  <w:style w:type="character" w:customStyle="1" w:styleId="153">
    <w:name w:val="页眉 Char1"/>
    <w:semiHidden/>
    <w:qFormat/>
    <w:uiPriority w:val="99"/>
    <w:rPr>
      <w:rFonts w:ascii="Calibri" w:hAnsi="Calibri" w:eastAsia="宋体" w:cs="Times New Roman"/>
      <w:sz w:val="18"/>
      <w:szCs w:val="18"/>
    </w:rPr>
  </w:style>
  <w:style w:type="character" w:customStyle="1" w:styleId="154">
    <w:name w:val="正文文本缩进 3 字符"/>
    <w:link w:val="37"/>
    <w:qFormat/>
    <w:uiPriority w:val="0"/>
    <w:rPr>
      <w:kern w:val="2"/>
      <w:sz w:val="16"/>
    </w:rPr>
  </w:style>
  <w:style w:type="character" w:customStyle="1" w:styleId="155">
    <w:name w:val="font21"/>
    <w:qFormat/>
    <w:uiPriority w:val="0"/>
    <w:rPr>
      <w:rFonts w:hint="eastAsia" w:ascii="宋体" w:hAnsi="宋体" w:eastAsia="宋体" w:cs="宋体"/>
      <w:color w:val="000000"/>
      <w:sz w:val="20"/>
      <w:szCs w:val="20"/>
      <w:u w:val="none"/>
    </w:rPr>
  </w:style>
  <w:style w:type="character" w:customStyle="1" w:styleId="156">
    <w:name w:val="文档结构图 Char1"/>
    <w:qFormat/>
    <w:uiPriority w:val="0"/>
    <w:rPr>
      <w:rFonts w:ascii="宋体" w:hAnsi="Calibri" w:eastAsia="宋体" w:cs="Times New Roman"/>
      <w:sz w:val="18"/>
      <w:szCs w:val="18"/>
    </w:rPr>
  </w:style>
  <w:style w:type="character" w:customStyle="1" w:styleId="157">
    <w:name w:val="标题 2 Char_0"/>
    <w:link w:val="158"/>
    <w:qFormat/>
    <w:uiPriority w:val="0"/>
    <w:rPr>
      <w:rFonts w:ascii="Cambria" w:hAnsi="Cambria"/>
      <w:b/>
      <w:bCs/>
      <w:sz w:val="32"/>
      <w:szCs w:val="32"/>
    </w:rPr>
  </w:style>
  <w:style w:type="paragraph" w:customStyle="1" w:styleId="158">
    <w:name w:val="标题 2_0"/>
    <w:basedOn w:val="104"/>
    <w:next w:val="104"/>
    <w:link w:val="157"/>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9">
    <w:name w:val="日期 Char2"/>
    <w:semiHidden/>
    <w:qFormat/>
    <w:uiPriority w:val="99"/>
    <w:rPr>
      <w:rFonts w:ascii="Calibri" w:hAnsi="Calibri" w:eastAsia="宋体" w:cs="Times New Roman"/>
    </w:rPr>
  </w:style>
  <w:style w:type="character" w:customStyle="1" w:styleId="160">
    <w:name w:val="批注框文本 Char2"/>
    <w:semiHidden/>
    <w:qFormat/>
    <w:uiPriority w:val="99"/>
    <w:rPr>
      <w:rFonts w:ascii="Calibri" w:hAnsi="Calibri" w:eastAsia="宋体" w:cs="Times New Roman"/>
      <w:sz w:val="18"/>
      <w:szCs w:val="18"/>
    </w:rPr>
  </w:style>
  <w:style w:type="character" w:customStyle="1" w:styleId="161">
    <w:name w:val="列出段落 Char"/>
    <w:link w:val="162"/>
    <w:qFormat/>
    <w:locked/>
    <w:uiPriority w:val="34"/>
    <w:rPr>
      <w:kern w:val="2"/>
      <w:sz w:val="21"/>
      <w:szCs w:val="24"/>
    </w:rPr>
  </w:style>
  <w:style w:type="paragraph" w:customStyle="1" w:styleId="162">
    <w:name w:val="List Paragraph1"/>
    <w:basedOn w:val="1"/>
    <w:link w:val="161"/>
    <w:qFormat/>
    <w:uiPriority w:val="34"/>
    <w:pPr>
      <w:ind w:firstLine="420" w:firstLineChars="200"/>
    </w:pPr>
  </w:style>
  <w:style w:type="paragraph" w:customStyle="1" w:styleId="16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4">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5">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6">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7">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8">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9">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70">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71">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72">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73">
    <w:name w:val="目录 5_0"/>
    <w:basedOn w:val="104"/>
    <w:next w:val="104"/>
    <w:qFormat/>
    <w:uiPriority w:val="39"/>
    <w:pPr>
      <w:ind w:left="1680" w:leftChars="800"/>
    </w:pPr>
    <w:rPr>
      <w:rFonts w:ascii="Calibri" w:hAnsi="Calibri"/>
    </w:rPr>
  </w:style>
  <w:style w:type="paragraph" w:customStyle="1" w:styleId="174">
    <w:name w:val="修订1"/>
    <w:qFormat/>
    <w:uiPriority w:val="0"/>
    <w:rPr>
      <w:rFonts w:ascii="Times New Roman" w:hAnsi="Times New Roman" w:eastAsia="宋体" w:cs="Times New Roman"/>
      <w:kern w:val="2"/>
      <w:sz w:val="21"/>
      <w:szCs w:val="24"/>
      <w:lang w:val="en-US" w:eastAsia="zh-CN" w:bidi="ar-SA"/>
    </w:rPr>
  </w:style>
  <w:style w:type="paragraph" w:customStyle="1" w:styleId="175">
    <w:name w:val="标题 11"/>
    <w:basedOn w:val="89"/>
    <w:next w:val="89"/>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6">
    <w:name w:val="正文 + 行距: 固定值 20 磅"/>
    <w:basedOn w:val="1"/>
    <w:qFormat/>
    <w:uiPriority w:val="0"/>
    <w:pPr>
      <w:spacing w:line="400" w:lineRule="exact"/>
      <w:ind w:firstLine="716" w:firstLineChars="341"/>
    </w:pPr>
    <w:rPr>
      <w:rFonts w:ascii="Calibri" w:hAnsi="Calibri"/>
      <w:szCs w:val="22"/>
    </w:rPr>
  </w:style>
  <w:style w:type="paragraph" w:customStyle="1" w:styleId="177">
    <w:name w:val="表格文字"/>
    <w:basedOn w:val="1"/>
    <w:link w:val="205"/>
    <w:qFormat/>
    <w:uiPriority w:val="0"/>
    <w:pPr>
      <w:adjustRightInd w:val="0"/>
      <w:spacing w:line="420" w:lineRule="atLeast"/>
      <w:jc w:val="left"/>
      <w:textAlignment w:val="baseline"/>
    </w:pPr>
    <w:rPr>
      <w:rFonts w:ascii="Calibri" w:hAnsi="Calibri"/>
      <w:kern w:val="0"/>
      <w:szCs w:val="22"/>
    </w:rPr>
  </w:style>
  <w:style w:type="paragraph" w:customStyle="1" w:styleId="17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80">
    <w:name w:val="表格"/>
    <w:basedOn w:val="1"/>
    <w:qFormat/>
    <w:uiPriority w:val="0"/>
    <w:pPr>
      <w:jc w:val="center"/>
      <w:textAlignment w:val="center"/>
    </w:pPr>
    <w:rPr>
      <w:rFonts w:ascii="华文细黑" w:hAnsi="华文细黑"/>
      <w:kern w:val="0"/>
      <w:szCs w:val="22"/>
    </w:rPr>
  </w:style>
  <w:style w:type="paragraph" w:customStyle="1" w:styleId="18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列出段落2"/>
    <w:basedOn w:val="1"/>
    <w:qFormat/>
    <w:uiPriority w:val="34"/>
    <w:pPr>
      <w:ind w:firstLine="420" w:firstLineChars="200"/>
    </w:pPr>
  </w:style>
  <w:style w:type="paragraph" w:customStyle="1" w:styleId="18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4">
    <w:name w:val="Char Char Char Char Char Char Char"/>
    <w:basedOn w:val="1"/>
    <w:qFormat/>
    <w:uiPriority w:val="0"/>
    <w:pPr>
      <w:adjustRightInd w:val="0"/>
      <w:spacing w:line="360" w:lineRule="auto"/>
    </w:pPr>
    <w:rPr>
      <w:kern w:val="0"/>
      <w:sz w:val="24"/>
      <w:szCs w:val="20"/>
    </w:rPr>
  </w:style>
  <w:style w:type="paragraph" w:customStyle="1" w:styleId="185">
    <w:name w:val="2方案格式2"/>
    <w:basedOn w:val="168"/>
    <w:qFormat/>
    <w:uiPriority w:val="0"/>
    <w:pPr>
      <w:numPr>
        <w:ilvl w:val="1"/>
      </w:numPr>
      <w:spacing w:before="50" w:after="50" w:line="240" w:lineRule="auto"/>
      <w:outlineLvl w:val="1"/>
    </w:pPr>
    <w:rPr>
      <w:sz w:val="44"/>
    </w:rPr>
  </w:style>
  <w:style w:type="paragraph" w:customStyle="1" w:styleId="186">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目录 4_0"/>
    <w:basedOn w:val="104"/>
    <w:next w:val="104"/>
    <w:qFormat/>
    <w:uiPriority w:val="39"/>
    <w:pPr>
      <w:ind w:left="1260" w:leftChars="600"/>
    </w:pPr>
    <w:rPr>
      <w:rFonts w:ascii="Calibri" w:hAnsi="Calibri"/>
    </w:rPr>
  </w:style>
  <w:style w:type="paragraph" w:customStyle="1" w:styleId="189">
    <w:name w:val="目录 3_0"/>
    <w:basedOn w:val="104"/>
    <w:next w:val="104"/>
    <w:qFormat/>
    <w:uiPriority w:val="39"/>
    <w:pPr>
      <w:ind w:left="840" w:leftChars="400"/>
    </w:pPr>
    <w:rPr>
      <w:rFonts w:ascii="Calibri" w:hAnsi="Calibri"/>
    </w:rPr>
  </w:style>
  <w:style w:type="paragraph" w:customStyle="1" w:styleId="19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91">
    <w:name w:val="1"/>
    <w:basedOn w:val="1"/>
    <w:next w:val="1"/>
    <w:qFormat/>
    <w:uiPriority w:val="0"/>
    <w:rPr>
      <w:rFonts w:ascii="Calibri" w:hAnsi="Calibri"/>
      <w:szCs w:val="22"/>
    </w:rPr>
  </w:style>
  <w:style w:type="paragraph" w:customStyle="1" w:styleId="192">
    <w:name w:val="Blockquote_0"/>
    <w:basedOn w:val="10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3">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6">
    <w:name w:val="p0"/>
    <w:basedOn w:val="1"/>
    <w:qFormat/>
    <w:uiPriority w:val="0"/>
    <w:pPr>
      <w:widowControl/>
    </w:pPr>
    <w:rPr>
      <w:b/>
      <w:bCs/>
      <w:kern w:val="0"/>
      <w:sz w:val="24"/>
    </w:rPr>
  </w:style>
  <w:style w:type="paragraph" w:customStyle="1" w:styleId="197">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8">
    <w:name w:val="3方案格式3"/>
    <w:basedOn w:val="185"/>
    <w:qFormat/>
    <w:uiPriority w:val="0"/>
    <w:pPr>
      <w:numPr>
        <w:ilvl w:val="2"/>
      </w:numPr>
      <w:outlineLvl w:val="2"/>
    </w:pPr>
    <w:rPr>
      <w:sz w:val="32"/>
    </w:rPr>
  </w:style>
  <w:style w:type="paragraph" w:customStyle="1" w:styleId="19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200">
    <w:name w:val="标题2"/>
    <w:basedOn w:val="3"/>
    <w:next w:val="19"/>
    <w:qFormat/>
    <w:uiPriority w:val="0"/>
    <w:pPr>
      <w:spacing w:before="156" w:after="156" w:line="360" w:lineRule="auto"/>
    </w:pPr>
    <w:rPr>
      <w:bCs w:val="0"/>
      <w:sz w:val="24"/>
    </w:rPr>
  </w:style>
  <w:style w:type="paragraph" w:customStyle="1" w:styleId="20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02">
    <w:name w:val="正文2"/>
    <w:qFormat/>
    <w:uiPriority w:val="0"/>
    <w:rPr>
      <w:rFonts w:ascii="Times New Roman" w:hAnsi="Times New Roman" w:eastAsia="微软雅黑" w:cs="Times New Roman"/>
      <w:sz w:val="24"/>
      <w:szCs w:val="24"/>
      <w:lang w:val="en-US" w:eastAsia="zh-CN" w:bidi="ar-SA"/>
    </w:rPr>
  </w:style>
  <w:style w:type="paragraph" w:customStyle="1" w:styleId="203">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4">
    <w:name w:val="纯文本2"/>
    <w:basedOn w:val="1"/>
    <w:qFormat/>
    <w:uiPriority w:val="0"/>
    <w:pPr>
      <w:jc w:val="left"/>
    </w:pPr>
    <w:rPr>
      <w:rFonts w:hint="eastAsia" w:ascii="宋体" w:hAnsi="宋体" w:cs="Courier New"/>
      <w:kern w:val="1"/>
      <w:sz w:val="24"/>
      <w:szCs w:val="20"/>
      <w:lang w:bidi="hi-IN"/>
    </w:rPr>
  </w:style>
  <w:style w:type="character" w:customStyle="1" w:styleId="205">
    <w:name w:val="表格文字 字符"/>
    <w:link w:val="177"/>
    <w:qFormat/>
    <w:uiPriority w:val="0"/>
    <w:rPr>
      <w:rFonts w:ascii="Calibri" w:hAnsi="Calibri" w:eastAsia="宋体" w:cs="Times New Roman"/>
      <w:sz w:val="21"/>
      <w:szCs w:val="22"/>
    </w:rPr>
  </w:style>
  <w:style w:type="paragraph" w:customStyle="1" w:styleId="206">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
    <w:name w:val="_Style 3"/>
    <w:basedOn w:val="1"/>
    <w:qFormat/>
    <w:uiPriority w:val="99"/>
    <w:pPr>
      <w:ind w:firstLine="420" w:firstLineChars="200"/>
    </w:pPr>
    <w:rPr>
      <w:szCs w:val="22"/>
    </w:rPr>
  </w:style>
  <w:style w:type="table" w:customStyle="1" w:styleId="208">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9">
    <w:name w:val="批注文字 字符1"/>
    <w:qFormat/>
    <w:uiPriority w:val="99"/>
    <w:rPr>
      <w:sz w:val="24"/>
      <w:szCs w:val="22"/>
    </w:rPr>
  </w:style>
  <w:style w:type="character" w:customStyle="1" w:styleId="210">
    <w:name w:val="f141"/>
    <w:qFormat/>
    <w:uiPriority w:val="0"/>
    <w:rPr>
      <w:sz w:val="21"/>
      <w:szCs w:val="21"/>
    </w:rPr>
  </w:style>
  <w:style w:type="character" w:customStyle="1" w:styleId="211">
    <w:name w:val="p141"/>
    <w:qFormat/>
    <w:uiPriority w:val="0"/>
    <w:rPr>
      <w:sz w:val="21"/>
      <w:szCs w:val="21"/>
    </w:rPr>
  </w:style>
  <w:style w:type="character" w:customStyle="1" w:styleId="212">
    <w:name w:val="s10pv000000"/>
    <w:basedOn w:val="49"/>
    <w:qFormat/>
    <w:uiPriority w:val="0"/>
  </w:style>
  <w:style w:type="paragraph" w:customStyle="1" w:styleId="213">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4">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5">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6">
    <w:name w:val="样式4"/>
    <w:basedOn w:val="1"/>
    <w:qFormat/>
    <w:uiPriority w:val="0"/>
    <w:pPr>
      <w:tabs>
        <w:tab w:val="left" w:pos="2328"/>
      </w:tabs>
      <w:ind w:left="2328" w:hanging="708"/>
    </w:pPr>
  </w:style>
  <w:style w:type="paragraph" w:customStyle="1" w:styleId="21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8">
    <w:name w:val="3 Char"/>
    <w:basedOn w:val="1"/>
    <w:qFormat/>
    <w:uiPriority w:val="0"/>
    <w:pPr>
      <w:widowControl/>
      <w:spacing w:line="400" w:lineRule="exact"/>
      <w:jc w:val="center"/>
    </w:pPr>
    <w:rPr>
      <w:rFonts w:ascii="Verdana" w:hAnsi="Verdana"/>
      <w:kern w:val="0"/>
      <w:szCs w:val="20"/>
      <w:lang w:eastAsia="en-US"/>
    </w:rPr>
  </w:style>
  <w:style w:type="paragraph" w:customStyle="1" w:styleId="219">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20">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21">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2">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4">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5">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6">
    <w:name w:val="默认段落字体 Para Char Char Char Char"/>
    <w:basedOn w:val="1"/>
    <w:qFormat/>
    <w:uiPriority w:val="0"/>
    <w:rPr>
      <w:szCs w:val="20"/>
    </w:rPr>
  </w:style>
  <w:style w:type="paragraph" w:customStyle="1" w:styleId="22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9">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30">
    <w:name w:val="纯文本 Char1"/>
    <w:basedOn w:val="49"/>
    <w:qFormat/>
    <w:uiPriority w:val="0"/>
    <w:rPr>
      <w:rFonts w:ascii="宋体" w:hAnsi="Courier New" w:eastAsia="宋体" w:cs="Courier New"/>
      <w:szCs w:val="21"/>
    </w:rPr>
  </w:style>
  <w:style w:type="character" w:customStyle="1" w:styleId="231">
    <w:name w:val="HTML 预设格式 字符"/>
    <w:basedOn w:val="49"/>
    <w:link w:val="40"/>
    <w:qFormat/>
    <w:uiPriority w:val="99"/>
    <w:rPr>
      <w:rFonts w:ascii="宋体" w:hAnsi="宋体"/>
      <w:sz w:val="24"/>
      <w:szCs w:val="24"/>
    </w:rPr>
  </w:style>
  <w:style w:type="paragraph" w:customStyle="1" w:styleId="232">
    <w:name w:val="Char1 Char Char Char"/>
    <w:basedOn w:val="1"/>
    <w:qFormat/>
    <w:uiPriority w:val="0"/>
    <w:rPr>
      <w:szCs w:val="20"/>
    </w:rPr>
  </w:style>
  <w:style w:type="paragraph" w:customStyle="1" w:styleId="233">
    <w:name w:val="Char1"/>
    <w:basedOn w:val="1"/>
    <w:qFormat/>
    <w:uiPriority w:val="0"/>
    <w:pPr>
      <w:widowControl/>
      <w:spacing w:after="160" w:line="240" w:lineRule="exact"/>
      <w:jc w:val="left"/>
    </w:pPr>
    <w:rPr>
      <w:sz w:val="24"/>
    </w:rPr>
  </w:style>
  <w:style w:type="paragraph" w:customStyle="1" w:styleId="234">
    <w:name w:val="默认段落字体 Para Char"/>
    <w:basedOn w:val="1"/>
    <w:qFormat/>
    <w:uiPriority w:val="0"/>
  </w:style>
  <w:style w:type="paragraph" w:customStyle="1" w:styleId="235">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6">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7">
    <w:name w:val="Char Char2 Char"/>
    <w:basedOn w:val="1"/>
    <w:qFormat/>
    <w:uiPriority w:val="0"/>
    <w:rPr>
      <w:rFonts w:ascii="宋体" w:hAnsi="宋体"/>
      <w:b/>
      <w:sz w:val="28"/>
      <w:szCs w:val="28"/>
    </w:rPr>
  </w:style>
  <w:style w:type="character" w:customStyle="1" w:styleId="238">
    <w:name w:val="正文缩进 字符"/>
    <w:link w:val="14"/>
    <w:qFormat/>
    <w:uiPriority w:val="0"/>
    <w:rPr>
      <w:b/>
      <w:kern w:val="2"/>
      <w:sz w:val="24"/>
    </w:rPr>
  </w:style>
  <w:style w:type="paragraph" w:customStyle="1" w:styleId="239">
    <w:name w:val="Char Char Char"/>
    <w:basedOn w:val="1"/>
    <w:qFormat/>
    <w:uiPriority w:val="0"/>
    <w:rPr>
      <w:rFonts w:ascii="宋体" w:hAnsi="宋体"/>
      <w:b/>
      <w:sz w:val="28"/>
      <w:szCs w:val="28"/>
    </w:rPr>
  </w:style>
  <w:style w:type="paragraph" w:customStyle="1" w:styleId="240">
    <w:name w:val="Char2"/>
    <w:basedOn w:val="1"/>
    <w:qFormat/>
    <w:uiPriority w:val="0"/>
    <w:pPr>
      <w:widowControl/>
      <w:spacing w:after="160" w:line="240" w:lineRule="exact"/>
      <w:jc w:val="left"/>
    </w:pPr>
    <w:rPr>
      <w:szCs w:val="20"/>
    </w:rPr>
  </w:style>
  <w:style w:type="paragraph" w:customStyle="1" w:styleId="241">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2">
    <w:name w:val="description5"/>
    <w:basedOn w:val="49"/>
    <w:qFormat/>
    <w:uiPriority w:val="0"/>
  </w:style>
  <w:style w:type="paragraph" w:customStyle="1" w:styleId="243">
    <w:name w:val="Table Paragraph"/>
    <w:basedOn w:val="1"/>
    <w:qFormat/>
    <w:uiPriority w:val="1"/>
    <w:pPr>
      <w:autoSpaceDE w:val="0"/>
      <w:autoSpaceDN w:val="0"/>
      <w:adjustRightInd w:val="0"/>
      <w:jc w:val="left"/>
    </w:pPr>
    <w:rPr>
      <w:kern w:val="0"/>
      <w:sz w:val="24"/>
    </w:rPr>
  </w:style>
  <w:style w:type="character" w:customStyle="1" w:styleId="244">
    <w:name w:val="Char Char7"/>
    <w:qFormat/>
    <w:locked/>
    <w:uiPriority w:val="0"/>
    <w:rPr>
      <w:rFonts w:ascii="Tahoma" w:hAnsi="Tahoma" w:eastAsia="微软雅黑"/>
      <w:b/>
      <w:bCs/>
      <w:sz w:val="32"/>
      <w:szCs w:val="32"/>
      <w:lang w:val="en-US" w:eastAsia="zh-CN" w:bidi="ar-SA"/>
    </w:rPr>
  </w:style>
  <w:style w:type="character" w:customStyle="1" w:styleId="245">
    <w:name w:val="font01"/>
    <w:qFormat/>
    <w:uiPriority w:val="0"/>
    <w:rPr>
      <w:rFonts w:hint="eastAsia" w:ascii="宋体" w:hAnsi="宋体" w:eastAsia="宋体" w:cs="宋体"/>
      <w:color w:val="000000"/>
      <w:sz w:val="20"/>
      <w:szCs w:val="20"/>
      <w:u w:val="none"/>
    </w:rPr>
  </w:style>
  <w:style w:type="character" w:customStyle="1" w:styleId="246">
    <w:name w:val="font81"/>
    <w:qFormat/>
    <w:uiPriority w:val="0"/>
    <w:rPr>
      <w:rFonts w:hint="eastAsia" w:ascii="宋体" w:hAnsi="宋体" w:eastAsia="宋体" w:cs="宋体"/>
      <w:color w:val="000000"/>
      <w:sz w:val="22"/>
      <w:szCs w:val="22"/>
      <w:u w:val="none"/>
    </w:rPr>
  </w:style>
  <w:style w:type="character" w:customStyle="1" w:styleId="247">
    <w:name w:val="font71"/>
    <w:qFormat/>
    <w:uiPriority w:val="0"/>
    <w:rPr>
      <w:rFonts w:hint="eastAsia" w:ascii="宋体" w:hAnsi="宋体" w:eastAsia="宋体" w:cs="宋体"/>
      <w:color w:val="000000"/>
      <w:sz w:val="22"/>
      <w:szCs w:val="22"/>
      <w:u w:val="none"/>
    </w:rPr>
  </w:style>
  <w:style w:type="character" w:customStyle="1" w:styleId="248">
    <w:name w:val="font51"/>
    <w:qFormat/>
    <w:uiPriority w:val="0"/>
    <w:rPr>
      <w:rFonts w:hint="default" w:ascii="Calibri" w:hAnsi="Calibri" w:cs="Calibri"/>
      <w:color w:val="000000"/>
      <w:sz w:val="22"/>
      <w:szCs w:val="22"/>
      <w:u w:val="none"/>
    </w:rPr>
  </w:style>
  <w:style w:type="character" w:customStyle="1" w:styleId="249">
    <w:name w:val="font61"/>
    <w:qFormat/>
    <w:uiPriority w:val="0"/>
    <w:rPr>
      <w:rFonts w:hint="default" w:ascii="Calibri" w:hAnsi="Calibri" w:cs="Calibri"/>
      <w:color w:val="000000"/>
      <w:sz w:val="22"/>
      <w:szCs w:val="22"/>
      <w:u w:val="none"/>
    </w:rPr>
  </w:style>
  <w:style w:type="character" w:customStyle="1" w:styleId="250">
    <w:name w:val="font41"/>
    <w:qFormat/>
    <w:uiPriority w:val="0"/>
    <w:rPr>
      <w:rFonts w:hint="eastAsia" w:ascii="宋体" w:hAnsi="宋体" w:eastAsia="宋体" w:cs="宋体"/>
      <w:color w:val="000000"/>
      <w:sz w:val="22"/>
      <w:szCs w:val="22"/>
      <w:u w:val="none"/>
    </w:rPr>
  </w:style>
  <w:style w:type="character" w:customStyle="1" w:styleId="251">
    <w:name w:val="未处理的提及2"/>
    <w:basedOn w:val="49"/>
    <w:semiHidden/>
    <w:unhideWhenUsed/>
    <w:qFormat/>
    <w:uiPriority w:val="99"/>
    <w:rPr>
      <w:color w:val="605E5C"/>
      <w:shd w:val="clear" w:color="auto" w:fill="E1DFDD"/>
    </w:rPr>
  </w:style>
  <w:style w:type="character" w:customStyle="1" w:styleId="252">
    <w:name w:val="未处理的提及3"/>
    <w:basedOn w:val="49"/>
    <w:semiHidden/>
    <w:unhideWhenUsed/>
    <w:qFormat/>
    <w:uiPriority w:val="99"/>
    <w:rPr>
      <w:color w:val="605E5C"/>
      <w:shd w:val="clear" w:color="auto" w:fill="E1DFDD"/>
    </w:rPr>
  </w:style>
  <w:style w:type="paragraph" w:customStyle="1" w:styleId="253">
    <w:name w:val="_Style 234"/>
    <w:basedOn w:val="1"/>
    <w:next w:val="74"/>
    <w:qFormat/>
    <w:uiPriority w:val="34"/>
    <w:pPr>
      <w:spacing w:line="400" w:lineRule="exact"/>
      <w:ind w:left="420" w:firstLine="420" w:firstLineChars="200"/>
    </w:pPr>
    <w:rPr>
      <w:rFonts w:ascii="Calibri" w:hAnsi="Calibri"/>
    </w:rPr>
  </w:style>
  <w:style w:type="character" w:customStyle="1" w:styleId="254">
    <w:name w:val="彩色列表 - 强调文字颜色 1字符"/>
    <w:qFormat/>
    <w:uiPriority w:val="34"/>
    <w:rPr>
      <w:rFonts w:ascii="Calibri" w:hAnsi="Calibri"/>
      <w:kern w:val="2"/>
      <w:sz w:val="21"/>
      <w:szCs w:val="24"/>
    </w:rPr>
  </w:style>
  <w:style w:type="character" w:customStyle="1" w:styleId="255">
    <w:name w:val="批注主题 字符1"/>
    <w:basedOn w:val="209"/>
    <w:semiHidden/>
    <w:qFormat/>
    <w:uiPriority w:val="99"/>
    <w:rPr>
      <w:rFonts w:ascii="Calibri" w:hAnsi="Calibri" w:eastAsia="宋体" w:cs="Times New Roman"/>
      <w:b/>
      <w:bCs/>
      <w:sz w:val="24"/>
      <w:szCs w:val="24"/>
    </w:rPr>
  </w:style>
  <w:style w:type="character" w:customStyle="1" w:styleId="256">
    <w:name w:val="正文文本缩进 2 字符1"/>
    <w:basedOn w:val="49"/>
    <w:semiHidden/>
    <w:qFormat/>
    <w:uiPriority w:val="99"/>
    <w:rPr>
      <w:rFonts w:ascii="Calibri" w:hAnsi="Calibri" w:eastAsia="宋体" w:cs="Times New Roman"/>
      <w:szCs w:val="24"/>
    </w:rPr>
  </w:style>
  <w:style w:type="character" w:customStyle="1" w:styleId="257">
    <w:name w:val="标题 字符1"/>
    <w:basedOn w:val="49"/>
    <w:qFormat/>
    <w:uiPriority w:val="10"/>
    <w:rPr>
      <w:rFonts w:asciiTheme="majorHAnsi" w:hAnsiTheme="majorHAnsi" w:eastAsiaTheme="majorEastAsia" w:cstheme="majorBidi"/>
      <w:b/>
      <w:bCs/>
      <w:sz w:val="32"/>
      <w:szCs w:val="32"/>
    </w:rPr>
  </w:style>
  <w:style w:type="character" w:customStyle="1" w:styleId="258">
    <w:name w:val="正文文本缩进 字符1"/>
    <w:basedOn w:val="49"/>
    <w:semiHidden/>
    <w:qFormat/>
    <w:uiPriority w:val="99"/>
    <w:rPr>
      <w:rFonts w:ascii="Calibri" w:hAnsi="Calibri" w:eastAsia="宋体" w:cs="Times New Roman"/>
      <w:szCs w:val="24"/>
    </w:rPr>
  </w:style>
  <w:style w:type="character" w:customStyle="1" w:styleId="259">
    <w:name w:val="副标题 字符1"/>
    <w:basedOn w:val="49"/>
    <w:qFormat/>
    <w:uiPriority w:val="11"/>
    <w:rPr>
      <w:b/>
      <w:bCs/>
      <w:kern w:val="28"/>
      <w:sz w:val="32"/>
      <w:szCs w:val="32"/>
    </w:rPr>
  </w:style>
  <w:style w:type="character" w:customStyle="1" w:styleId="260">
    <w:name w:val="日期 字符1"/>
    <w:basedOn w:val="49"/>
    <w:semiHidden/>
    <w:qFormat/>
    <w:uiPriority w:val="99"/>
    <w:rPr>
      <w:rFonts w:ascii="Calibri" w:hAnsi="Calibri" w:eastAsia="宋体" w:cs="Times New Roman"/>
      <w:szCs w:val="24"/>
    </w:rPr>
  </w:style>
  <w:style w:type="paragraph" w:customStyle="1" w:styleId="261">
    <w:name w:val="修订2"/>
    <w:unhideWhenUsed/>
    <w:qFormat/>
    <w:uiPriority w:val="99"/>
    <w:rPr>
      <w:rFonts w:ascii="Calibri" w:hAnsi="Calibri" w:eastAsia="宋体" w:cs="Times New Roman"/>
      <w:kern w:val="2"/>
      <w:sz w:val="21"/>
      <w:szCs w:val="24"/>
      <w:lang w:val="en-US" w:eastAsia="zh-CN" w:bidi="ar-SA"/>
    </w:rPr>
  </w:style>
  <w:style w:type="character" w:customStyle="1" w:styleId="262">
    <w:name w:val="正文文本 字符1"/>
    <w:basedOn w:val="49"/>
    <w:semiHidden/>
    <w:qFormat/>
    <w:uiPriority w:val="99"/>
    <w:rPr>
      <w:rFonts w:ascii="Calibri" w:hAnsi="Calibri" w:eastAsia="宋体" w:cs="Times New Roman"/>
      <w:szCs w:val="24"/>
    </w:rPr>
  </w:style>
  <w:style w:type="character" w:customStyle="1" w:styleId="263">
    <w:name w:val="批注框文本 字符1"/>
    <w:basedOn w:val="49"/>
    <w:semiHidden/>
    <w:qFormat/>
    <w:uiPriority w:val="99"/>
    <w:rPr>
      <w:rFonts w:ascii="Calibri" w:hAnsi="Calibri" w:eastAsia="宋体" w:cs="Times New Roman"/>
      <w:sz w:val="18"/>
      <w:szCs w:val="18"/>
    </w:rPr>
  </w:style>
  <w:style w:type="paragraph" w:customStyle="1" w:styleId="26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5">
    <w:name w:val="纯文本 字符1"/>
    <w:basedOn w:val="49"/>
    <w:semiHidden/>
    <w:qFormat/>
    <w:uiPriority w:val="99"/>
    <w:rPr>
      <w:rFonts w:hAnsi="Courier New" w:cs="Courier New" w:asciiTheme="minorEastAsia"/>
      <w:szCs w:val="24"/>
    </w:rPr>
  </w:style>
  <w:style w:type="character" w:customStyle="1" w:styleId="266">
    <w:name w:val="文档结构图 字符1"/>
    <w:basedOn w:val="49"/>
    <w:semiHidden/>
    <w:qFormat/>
    <w:uiPriority w:val="99"/>
    <w:rPr>
      <w:rFonts w:ascii="Microsoft YaHei UI" w:hAnsi="Calibri" w:eastAsia="Microsoft YaHei UI" w:cs="Times New Roman"/>
      <w:sz w:val="18"/>
      <w:szCs w:val="18"/>
    </w:rPr>
  </w:style>
  <w:style w:type="character" w:customStyle="1" w:styleId="267">
    <w:name w:val="正文文本 3 字符1"/>
    <w:basedOn w:val="49"/>
    <w:semiHidden/>
    <w:qFormat/>
    <w:uiPriority w:val="99"/>
    <w:rPr>
      <w:rFonts w:ascii="Calibri" w:hAnsi="Calibri" w:eastAsia="宋体" w:cs="Times New Roman"/>
      <w:sz w:val="16"/>
      <w:szCs w:val="16"/>
    </w:rPr>
  </w:style>
  <w:style w:type="paragraph" w:customStyle="1" w:styleId="268">
    <w:name w:val="_Style 106"/>
    <w:basedOn w:val="1"/>
    <w:next w:val="74"/>
    <w:qFormat/>
    <w:uiPriority w:val="34"/>
    <w:pPr>
      <w:spacing w:line="400" w:lineRule="exact"/>
      <w:ind w:left="420" w:firstLine="420" w:firstLineChars="200"/>
    </w:pPr>
    <w:rPr>
      <w:rFonts w:ascii="Calibri" w:hAnsi="Calibri"/>
    </w:rPr>
  </w:style>
  <w:style w:type="character" w:customStyle="1" w:styleId="269">
    <w:name w:val="正文文本缩进 3 字符1"/>
    <w:basedOn w:val="49"/>
    <w:semiHidden/>
    <w:qFormat/>
    <w:uiPriority w:val="99"/>
    <w:rPr>
      <w:rFonts w:ascii="Calibri" w:hAnsi="Calibri" w:eastAsia="宋体" w:cs="Times New Roman"/>
      <w:sz w:val="16"/>
      <w:szCs w:val="16"/>
    </w:rPr>
  </w:style>
  <w:style w:type="character" w:customStyle="1" w:styleId="270">
    <w:name w:val="未处理的提及4"/>
    <w:basedOn w:val="49"/>
    <w:semiHidden/>
    <w:unhideWhenUsed/>
    <w:qFormat/>
    <w:uiPriority w:val="99"/>
    <w:rPr>
      <w:color w:val="605E5C"/>
      <w:shd w:val="clear" w:color="auto" w:fill="E1DFDD"/>
    </w:rPr>
  </w:style>
  <w:style w:type="character" w:customStyle="1" w:styleId="271">
    <w:name w:val="未处理的提及5"/>
    <w:basedOn w:val="49"/>
    <w:semiHidden/>
    <w:unhideWhenUsed/>
    <w:qFormat/>
    <w:uiPriority w:val="99"/>
    <w:rPr>
      <w:color w:val="605E5C"/>
      <w:shd w:val="clear" w:color="auto" w:fill="E1DFDD"/>
    </w:rPr>
  </w:style>
  <w:style w:type="character" w:customStyle="1" w:styleId="272">
    <w:name w:val="未处理的提及6"/>
    <w:basedOn w:val="49"/>
    <w:semiHidden/>
    <w:unhideWhenUsed/>
    <w:qFormat/>
    <w:uiPriority w:val="99"/>
    <w:rPr>
      <w:color w:val="605E5C"/>
      <w:shd w:val="clear" w:color="auto" w:fill="E1DFDD"/>
    </w:rPr>
  </w:style>
  <w:style w:type="character" w:customStyle="1" w:styleId="273">
    <w:name w:val="font101"/>
    <w:qFormat/>
    <w:uiPriority w:val="0"/>
    <w:rPr>
      <w:rFonts w:ascii="PingFangTC-light" w:hAnsi="PingFangTC-light" w:eastAsia="PingFangTC-light" w:cs="PingFangTC-light"/>
      <w:color w:val="FF0000"/>
      <w:sz w:val="22"/>
      <w:szCs w:val="22"/>
      <w:u w:val="none"/>
    </w:rPr>
  </w:style>
  <w:style w:type="character" w:customStyle="1" w:styleId="274">
    <w:name w:val="font112"/>
    <w:qFormat/>
    <w:uiPriority w:val="0"/>
    <w:rPr>
      <w:rFonts w:ascii="Calibri" w:hAnsi="Calibri" w:cs="Calibri"/>
      <w:color w:val="FF0000"/>
      <w:sz w:val="21"/>
      <w:szCs w:val="21"/>
      <w:u w:val="none"/>
    </w:rPr>
  </w:style>
  <w:style w:type="character" w:customStyle="1" w:styleId="275">
    <w:name w:val="font121"/>
    <w:qFormat/>
    <w:uiPriority w:val="0"/>
    <w:rPr>
      <w:rFonts w:hint="eastAsia" w:ascii="宋体" w:hAnsi="宋体" w:eastAsia="宋体" w:cs="宋体"/>
      <w:color w:val="000000"/>
      <w:sz w:val="20"/>
      <w:szCs w:val="20"/>
      <w:u w:val="none"/>
    </w:rPr>
  </w:style>
  <w:style w:type="character" w:customStyle="1" w:styleId="276">
    <w:name w:val="纯文本 Char"/>
    <w:qFormat/>
    <w:uiPriority w:val="0"/>
    <w:rPr>
      <w:rFonts w:ascii="宋体" w:hAnsi="Courier New" w:eastAsia="宋体" w:cs="Courier New"/>
      <w:szCs w:val="21"/>
    </w:rPr>
  </w:style>
  <w:style w:type="character" w:customStyle="1" w:styleId="277">
    <w:name w:val="NormalCharacter"/>
    <w:qFormat/>
    <w:uiPriority w:val="0"/>
    <w:rPr>
      <w:rFonts w:ascii="Times New Roman" w:hAnsi="Times New Roman" w:eastAsia="宋体" w:cs="Times New Roman"/>
      <w:kern w:val="2"/>
      <w:sz w:val="21"/>
      <w:szCs w:val="22"/>
      <w:lang w:val="en-US" w:eastAsia="zh-CN" w:bidi="ar-SA"/>
    </w:rPr>
  </w:style>
  <w:style w:type="paragraph" w:customStyle="1" w:styleId="2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9">
    <w:name w:val="列表段落1"/>
    <w:basedOn w:val="1"/>
    <w:qFormat/>
    <w:uiPriority w:val="99"/>
    <w:pPr>
      <w:ind w:firstLine="420" w:firstLineChars="200"/>
    </w:pPr>
    <w:rPr>
      <w:szCs w:val="20"/>
    </w:rPr>
  </w:style>
  <w:style w:type="character" w:customStyle="1" w:styleId="280">
    <w:name w:val="fontstyle31"/>
    <w:qFormat/>
    <w:uiPriority w:val="0"/>
    <w:rPr>
      <w:rFonts w:hint="default" w:ascii="TimesNewRomanPS-BoldMT" w:hAnsi="TimesNewRomanPS-BoldMT"/>
      <w:b/>
      <w:bCs/>
      <w:color w:val="000000"/>
      <w:sz w:val="22"/>
      <w:szCs w:val="22"/>
    </w:rPr>
  </w:style>
  <w:style w:type="paragraph" w:customStyle="1" w:styleId="281">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2">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3">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4">
    <w:name w:val="招标"/>
    <w:basedOn w:val="1"/>
    <w:qFormat/>
    <w:uiPriority w:val="0"/>
    <w:pPr>
      <w:spacing w:line="400" w:lineRule="exact"/>
      <w:ind w:firstLine="420" w:firstLineChars="200"/>
      <w:jc w:val="left"/>
    </w:pPr>
    <w:rPr>
      <w:rFonts w:ascii="宋体" w:hAnsi="宋体"/>
    </w:rPr>
  </w:style>
  <w:style w:type="paragraph" w:customStyle="1" w:styleId="28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6">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56</Pages>
  <Words>71</Words>
  <Characters>97</Characters>
  <Lines>1</Lines>
  <Paragraphs>1</Paragraphs>
  <TotalTime>3</TotalTime>
  <ScaleCrop>false</ScaleCrop>
  <LinksUpToDate>false</LinksUpToDate>
  <CharactersWithSpaces>99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2026-03-10T11:13:00Z</dcterms:created>
  <dc:creator>Lenovo User</dc:creator>
  <cp:lastModifiedBy>古南明</cp:lastModifiedBy>
  <cp:lastPrinted>2026-09-03T02:45:00Z</cp:lastPrinted>
  <dcterms:modified xsi:type="dcterms:W3CDTF">2026-10-30T07:41:40Z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EC616E00B6024730B47C97D1E6A4BA55_13</vt:lpwstr>
  </property>
  <property fmtid="{D5CDD505-2E9C-101B-9397-08002B2CF9AE}" pid="4" name="KSOTemplateDocerSaveRecord">
    <vt:lpwstr>eyJoZGlkIjoiMzI1ZTM3YmM5M2ZmZmZlMmVkMTMzNzRlMzg5OGU0YzgiLCJ1c2VySWQiOiI2MjA1NjI3NjEifQ==</vt:lpwstr>
  </property>
</Properties>
</file>