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南通大学附属医院</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u w:val="single"/>
        </w:rPr>
        <w:t xml:space="preserve">综合数据中心基础平台</w:t>
      </w:r>
      <w:r>
        <w:rPr>
          <w:rFonts w:ascii="SimSun" w:hAnsi="SimSun" w:eastAsia="SimSun" w:cs="SimSun"/>
          <w:b/>
          <w:color w:val="000000"/>
          <w:sz w:val="44"/>
        </w:rPr>
        <w:t xml:space="preserve">采购项目</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项目编号：JSZC-320000-SHGK-G2026-0101</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采购人：南通大学附属医院</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采购代理机构：江苏苏豪创新科技集团高科有限公司</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0"/>
          <w:sz w:val="36"/>
        </w:rPr>
        <w:t xml:space="preserve">二○二六年十月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55"/>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目  录</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合同文本</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评标方法与评标标准</w:t>
      </w:r>
      <w:r/>
    </w:p>
    <w:p>
      <w:pPr>
        <w:numPr>
          <w:ilvl w:val="0"/>
          <w:numId w:val="7"/>
        </w:numPr>
        <w:jc w:val="both"/>
        <w:spacing w:before="240" w:after="160" w:line="276"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5"/>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第一章  招标公告</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受[南通大学附属医院]的委托，江苏苏豪创新科技集团高科有限公司就[综合数据中心基础平台采购项目]([JSZC-320000-SHGK-G2026-0101])项目进行公开招标采购，欢迎符合条件的供应商投标。</w:t>
      </w:r>
      <w:r/>
    </w:p>
    <w:p>
      <w:pPr>
        <w:ind w:left="0" w:right="0" w:firstLine="560"/>
        <w:jc w:val="both"/>
        <w:spacing w:before="24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240" w:after="160" w:line="47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南通大学附属医院综合数据中心基础平台采购项目的潜在投标人可在</w:t>
      </w:r>
      <w:r>
        <w:rPr>
          <w:rFonts w:ascii="FangSong" w:hAnsi="FangSong" w:eastAsia="FangSong" w:cs="FangSong"/>
          <w:color w:val="000000"/>
          <w:sz w:val="28"/>
          <w:u w:val="single"/>
        </w:rPr>
        <w:t xml:space="preserve">“江苏政府采购网”自行免费下载</w:t>
      </w:r>
      <w:r>
        <w:rPr>
          <w:rFonts w:ascii="FangSong" w:hAnsi="FangSong" w:eastAsia="FangSong" w:cs="FangSong"/>
          <w:color w:val="000000"/>
          <w:sz w:val="28"/>
        </w:rPr>
        <w:t xml:space="preserve">招标文件，并于</w:t>
      </w:r>
      <w:r>
        <w:rPr>
          <w:rFonts w:ascii="FangSong" w:hAnsi="FangSong" w:eastAsia="FangSong" w:cs="FangSong"/>
          <w:color w:val="000000"/>
          <w:sz w:val="28"/>
          <w:u w:val="single"/>
        </w:rPr>
        <w:t xml:space="preserve">2026年11月23日14时30分（北京时间）</w:t>
      </w:r>
      <w:r>
        <w:rPr>
          <w:rFonts w:ascii="FangSong" w:hAnsi="FangSong" w:eastAsia="FangSong" w:cs="FangSong"/>
          <w:color w:val="000000"/>
          <w:sz w:val="28"/>
        </w:rPr>
        <w:t xml:space="preserve">前递交投标文件。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一、项目基本情况</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1.项目编号：JSZC-320000-SHGK-G2026-0101</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2.项目名称：南通大学附属医院综合数据中心基础平台采购项目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3.采购需求：</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3108"/>
        <w:gridCol w:w="1067"/>
        <w:gridCol w:w="1913"/>
        <w:gridCol w:w="21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08"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采购预算</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是否接受进口产品投标</w:t>
            </w:r>
            <w:r/>
          </w:p>
        </w:tc>
      </w:tr>
      <w:tr>
        <w:trPr>
          <w:trHeight w:val="9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08"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综合数据中心基础平台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7"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1"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不接受</w:t>
            </w:r>
            <w:r/>
          </w:p>
        </w:tc>
      </w:tr>
    </w:tbl>
    <w:p>
      <w:pPr>
        <w:ind w:left="0" w:right="0" w:firstLine="567"/>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4.最高限价：500万元（投标人投标报价不得超过上述限价金额，否则将作无效标处理）</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5.合同履行期限：合同签定之日起60工作日内安装调试完成</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二、申请人的资格要求：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（一）通用资格要求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1.1具有独立承担民事责任的能力（提供法人或者其他组织的营业执照等证明文件，自然人的身份证明）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1.2具有良好的商业信誉和健全的财务会计制度（提供上一年度的财务状况报告，成立不满一年不需提供）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有依法缴纳税收和社会保障资金的良好记录（依法纳税凭据：提供参加政府采购活动前半年内（2026年05月-2026年10月）的任一月依法纳税的凭据，如完税凭证或税务机关开具的完税证明（个人所得税除外）；缴纳社会保险的凭据：提供参加政府采购活动前半年内（2026年05月-2026年10月）的任一月缴纳社会保险的凭据，如专用收据或社会保险缴纳清单；依法免税或不需要缴纳社会保障资金的证明文件：如果供应商依法免税或不需要缴纳社会保障资金，则须提供相应的证明文件，以说明其免税或无需缴纳的依据和情况）</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1.4具有履行合同所必需的设备和专业技术能力（提供书面声明）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1.5参加采购活动前3年内在经营活动中没有重大违法记录（提供书面声明）</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1.6具备法律、行政法规规定的其他条件的证明材料</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3.本项目不接受联合体投标。</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4.本项目不接受转包、分包。</w:t>
      </w:r>
      <w:r/>
    </w:p>
    <w:p>
      <w:pPr>
        <w:ind w:left="0" w:right="0" w:firstLine="560"/>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本项目非预留份额的采购项目或采购包，非专门面向中小企业采购，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1.投标人具有有效的电子与智能化工程专业承包资质（提供资质证书复印件）；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2.投标人具有有效的《安全生产许可证》（提供证书复印件）</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三、获取招标文件</w:t>
      </w:r>
      <w:r/>
    </w:p>
    <w:p>
      <w:pPr>
        <w:ind w:left="0" w:right="0" w:firstLine="54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1.时间：自招标文件公告发布之日起5个工作日。</w:t>
      </w:r>
      <w:r/>
    </w:p>
    <w:p>
      <w:pPr>
        <w:ind w:left="0" w:right="0" w:firstLine="54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2.方式：在“江苏政府采购网”自行免费下载招标文件。</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四、提交投标文件截止时间、开标时间和地点</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w:t>
      </w:r>
      <w:r>
        <w:rPr>
          <w:rFonts w:ascii="FangSong" w:hAnsi="FangSong" w:eastAsia="FangSong" w:cs="FangSong"/>
          <w:color w:val="000000"/>
          <w:sz w:val="28"/>
          <w:u w:val="single"/>
        </w:rPr>
        <w:t xml:space="preserve">2026年11月23日14时30分（北京时间）</w:t>
      </w:r>
      <w:r>
        <w:rPr>
          <w:rFonts w:ascii="FangSong" w:hAnsi="FangSong" w:eastAsia="FangSong" w:cs="FangSong"/>
          <w:color w:val="000000"/>
          <w:sz w:val="28"/>
        </w:rPr>
        <w:t xml:space="preserve">。</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招标公告及招标文件公告期限为自本公告发布之日起5个工作日。</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1.投标保证金：免收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2.履约保证金：本项目收取合同金额的5%作为履约保证金。</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3.项目演示、样品、答辩等：无。</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4.本项目不组织集中踏勘，供应商可自行前往踏勘。</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5.有关本次招标的事项若存在变动或修改，均以江苏政府采购网发布的更正或补充通知为准，敬请及时关注。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 “苏采云”系统使用相关提醒</w:t>
      </w:r>
      <w:r/>
    </w:p>
    <w:p>
      <w:pPr>
        <w:ind w:left="0" w:right="0" w:firstLine="560"/>
        <w:jc w:val="both"/>
        <w:spacing w:before="240" w:after="160" w:line="47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rPr>
          <w:rFonts w:ascii="FangSong" w:hAnsi="FangSong" w:eastAsia="FangSong" w:cs="FangSong"/>
          <w:b/>
          <w:color w:val="000000"/>
          <w:sz w:val="28"/>
        </w:rPr>
        <w:t xml:space="preserve">具体办理指南和操作手册见链接：http://www.ccgp-jiangsu.gov.cn/jiangsu/zlxz/ee/ee3a4bc5a3454aa2b0d9312230633ce9.html。</w:t>
      </w:r>
      <w:r/>
    </w:p>
    <w:p>
      <w:pPr>
        <w:ind w:left="0" w:right="0" w:firstLine="560"/>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7.2领取CA和办理电子签章请至南通市政务服务中心裙楼四楼（南通市公共资源交中心）CA办理窗口办理，详见《江苏省政府采购数字证书(供应商)</w:t>
      </w:r>
      <w:r>
        <w:rPr>
          <w:rFonts w:ascii="SimSun" w:hAnsi="SimSun" w:eastAsia="SimSun" w:cs="SimSun"/>
          <w:color w:val="000000"/>
          <w:sz w:val="28"/>
        </w:rPr>
        <w:t xml:space="preserve"> </w:t>
      </w:r>
      <w:r>
        <w:rPr>
          <w:rFonts w:ascii="FangSong" w:hAnsi="FangSong" w:eastAsia="FangSong" w:cs="FangSong"/>
          <w:color w:val="000000"/>
          <w:sz w:val="28"/>
        </w:rPr>
        <w:t xml:space="preserve">CA及电子签章办理指南》），请及时进行注册并按要求制作、上传电子投标文件。</w:t>
      </w:r>
      <w:r/>
    </w:p>
    <w:p>
      <w:pPr>
        <w:ind w:left="0" w:right="0" w:firstLine="560"/>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7.3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公告内文件获取时间截止后仍可下载采购文</w:t>
      </w:r>
      <w:r>
        <w:rPr>
          <w:rFonts w:ascii="FangSong" w:hAnsi="FangSong" w:eastAsia="FangSong" w:cs="FangSong"/>
          <w:color w:val="000000"/>
          <w:sz w:val="28"/>
        </w:rPr>
        <w:t xml:space="preserve">件，截止后下载采购文件，视为非有效参与方式且不做为供应商权益收到损害的证明材料和依据。</w:t>
      </w:r>
      <w:r/>
    </w:p>
    <w:p>
      <w:pPr>
        <w:ind w:left="0" w:right="120" w:firstLine="562"/>
        <w:jc w:val="both"/>
        <w:spacing w:before="240" w:after="12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7.4</w:t>
      </w:r>
      <w:r>
        <w:rPr>
          <w:rFonts w:ascii="FangSong" w:hAnsi="FangSong" w:eastAsia="FangSong" w:cs="FangSong"/>
          <w:color w:val="000000"/>
          <w:sz w:val="28"/>
        </w:rPr>
        <w:t xml:space="preserve">开标当天投标供应商应及时登录“苏采云”不见面开标大厅，并在规定时间内自行实施远程解密。</w:t>
      </w:r>
      <w:r>
        <w:rPr>
          <w:rFonts w:ascii="FangSong" w:hAnsi="FangSong" w:eastAsia="FangSong" w:cs="FangSong"/>
          <w:b/>
          <w:color w:val="000000"/>
          <w:sz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ascii="FangSong" w:hAnsi="FangSong" w:eastAsia="FangSong" w:cs="FangSong"/>
          <w:color w:val="000000"/>
          <w:sz w:val="28"/>
        </w:rPr>
        <w:t xml:space="preserve">因采购人原因或网上招投标平台发生故障，导致无法按时完成响应文件解密或开、评标工作无法进行的，可根据实际情况相应延迟解密时间或调整开、评标时间。</w:t>
      </w:r>
      <w:r/>
    </w:p>
    <w:p>
      <w:pPr>
        <w:ind w:left="0" w:right="0" w:firstLine="436"/>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七、本次招标联系方式</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称：南通大学附属医院</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址：南通市崇川区西寺路20号</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联系人：施老师、张老师、马老师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联系方式：0513-85052089</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 称：江苏苏豪创新科技集团高科有限公司</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址：南京市雨花台区软件大道21号苏豪集团C座110室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联系人：吴志叶、吴岢非</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联系方式：025-52875936、025-52875983</w:t>
        <w:br w:type="page" w:clear="all"/>
      </w:r>
      <w:r/>
    </w:p>
    <w:p>
      <w:pPr>
        <w:pStyle w:val="755"/>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第二章  投标人须知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1.招标方式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本次招标采取公开招标方式，本招标文件仅适用于招标公告中所述项目。</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2.合格的投标人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2.1满足招标公告中供应商的资格要求的规定。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满足本文件实质性条款的规定。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3.适用法律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本次招标及由此产生的合同受中华人民共和国有关的法律法规制约和保护。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4.投标费用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4.1 投标人应自行承担所有与参加投标有关的费用，无论投标过程中的做法和结果如何，江苏苏豪创新科技集团高科有限公司（以下简称代理机构）在任何情况下均无义务和责任承担这些费用。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4.2本次招标代理机构和采购人不收取标书工本费。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4.3中标人向采购代理机构支付招标服务费，服务费已由采购人计入本项目预算金额中。金额按计价格〔2002〕1980号《招标代理服务收费管理暂行办法》标准的44.33%计取。单个项目代理服务费不足1500元的按1500元收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开户名：江苏苏豪创新科技集团高科有限公司</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开户行：工行南京市白下支行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号：4301013119100888895</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5.招标文件的约束力</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5.1 投标人一旦参加本项目采购活动，即被认为接受了本招标文件的规定和约束。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二、招标文件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6、招标文件构成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6.1 招标文件由以下部分组成：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（1）投标邀请</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（2）投标人须知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（3）合同文本</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（4）采购需求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（5）评标方法与评标标准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（6）投标文件格式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请仔细检查招标文件是否齐全，如有缺漏请立即与代理机构联系解决。</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7．招标文件的澄清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任何要求对招标文件进行澄清的投标人，应在投标截止期</w:t>
      </w:r>
      <w:r>
        <w:rPr>
          <w:rFonts w:ascii="FangSong" w:hAnsi="FangSong" w:eastAsia="FangSong" w:cs="FangSong"/>
          <w:b/>
          <w:color w:val="000000"/>
          <w:sz w:val="28"/>
        </w:rPr>
        <w:t xml:space="preserve">15日</w:t>
      </w:r>
      <w:r>
        <w:rPr>
          <w:rFonts w:ascii="FangSong" w:hAnsi="FangSong" w:eastAsia="FangSong" w:cs="FangSong"/>
          <w:color w:val="000000"/>
          <w:sz w:val="28"/>
        </w:rPr>
        <w:t xml:space="preserve">前按招标公告中的通讯地址，以书面形式通知代理机构。采购人有权对发出的招标文件进行必要的澄清或修改。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8．招标文件的修改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8.1 在投标截止时间前，代理机构可以对招标文件进行修改。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8.2 代理机构有权按照法定的要求推迟投标截止日期和开标日期。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8.3 招标文件的修改将在江苏政府采购网公布，补充文件将作为招标文件的组成部分，并对投标人具有约束力。</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8.4在投标截止日期前，采购单位对招标文件进行澄清或者修改的，通过“苏采云”系统发布澄清公告或者修改的内容。清或者修改的内容以所发布的本项目的“更正(澄清)公告”的形式通知所有获取采购文件的潜在投标人发布本项目的“更正(澄清)公告”后采购代理机构已尽通知义务。敬请各潜在投标人关注本项目的“更正(澄清)公告”，并通过“苏采云”系统重新下载更正(澄清)后的采购文件(后名为“.kedt”)，离线编制响应文件，否则，将自行承担相应的风险。</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三、投标文件的编制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9．投标文件的语言及度量衡单位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投标人提交的投标文件以及投标人与代理机构就有关投标的所有来往通知、函件和文件均应使用简体中文。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除技术性能另有规定外，投标文件所使用的度量衡单位，均须采用国家法定计量单位。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10．投标文件构成</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10.1 投标人编写的投标文件应包括资格证明文件、实质性要求响应及偏离表、投标分项报价表、技术要求响应及偏离表、商务要求响应及偏离表、其他证明文件、投标函、开标一览表等部分。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10.2 如标书制作工具中格式和内容与“江苏政府采购网”发布的招标文件不一致，请以“江苏政府采购网”发布的招标文件为准。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11．证明投标人及投标标的符合招标文件规定的文件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11.1 投标人应按照招标文件要求提交证明文件，证明其及投标标的符合招标文件规定。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11.2招标文件对证明文件无明确形式要求的，证明文件可以以文字资料、图纸和数据等形式提交。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12．投标分项报价表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12.1 投标人按照招标文件规定格式填报投标分项报价表。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12.2投标货币。投标文件中的单价和总价无特殊规定的采用人民币报价，以元为单位标注。招标文件中另有规定的按规定执行。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13．技术要求响应及偏离表、商务要求响应及偏离表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13.1投标人需对招标文件中的技术要求与商务要求逐项作出响应或偏离，并说明原因。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13.2投标人需按照招标文件要求，在投标文件中提供与技术要求和商务要求相关的证明材料。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14．服务承诺、培训计划、人员安排及其他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14.1 投标人需根据招标文件要求提供有关售后服务的管理制度，售后服务机构的分布情况，售后服务人员的数量、素质、技术水平及售后服务的反应能力等。</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14.2 投标人需根据招标文件要求提供培训计划。</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14.3  投标人需根据招标文件要求提供所投标的的主要组成部分、功能设计、实现思路及关键技术等。</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15．投标函和开标一览表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15.1 投标人应按照招标文件中提供的格式完整、正确填写投标函、开标一览表。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15.2 </w:t>
      </w:r>
      <w:r>
        <w:rPr>
          <w:rFonts w:ascii="FangSong" w:hAnsi="FangSong" w:eastAsia="FangSong" w:cs="FangSong"/>
          <w:b/>
          <w:color w:val="000000"/>
          <w:sz w:val="28"/>
        </w:rPr>
        <w:t xml:space="preserve">对于采用货币报价的项目，开标一览表中的投标总报价应与投标分项报价表中的投标总报价一致，如不一致，不作为无效投标处理，但评标时按开标一览表中价格为准。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16．投标有效期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16.1投标有效期为代理机构规定的开标之日后</w:t>
      </w:r>
      <w:r>
        <w:rPr>
          <w:rFonts w:ascii="FangSong" w:hAnsi="FangSong" w:eastAsia="FangSong" w:cs="FangSong"/>
          <w:b/>
          <w:color w:val="000000"/>
          <w:sz w:val="28"/>
          <w:u w:val="single"/>
        </w:rPr>
        <w:t xml:space="preserve">九十（90）天</w:t>
      </w:r>
      <w:r>
        <w:rPr>
          <w:rFonts w:ascii="FangSong" w:hAnsi="FangSong" w:eastAsia="FangSong" w:cs="FangSong"/>
          <w:color w:val="000000"/>
          <w:sz w:val="28"/>
        </w:rPr>
        <w:t xml:space="preserve">。投标有效期比规定短的将被视为未实质性响应招标文件而予以拒绝。</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17．投标有效期的延长</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四、投标文件的递交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18．电子投标文件的递交</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18.1投标人应当按照《操作手册》规定，在投标截止时间前制作并上传电子投标文件。</w:t>
      </w:r>
      <w:r/>
    </w:p>
    <w:p>
      <w:pPr>
        <w:ind w:left="0" w:right="0" w:firstLine="0"/>
        <w:jc w:val="both"/>
        <w:spacing w:before="280" w:after="29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19．投标截止日期</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single"/>
        </w:rPr>
        <w:t xml:space="preserve">19.1 投标人上传电子投标文件的时间不得迟于招标公告中规定的投标截止时间。</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投标人应充分考虑到网络环境、网络带宽等风险因素，如因投标人自身原因造成电子投标文件上传不成功的，按照本招标文件第二章第27.1.2条规定做无效投标处理。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19.2代理机构可以按照规定，通过修改招标文件酌情延长投标截止日期，在此情况下，投标人的所有权利和义务以及投标人受制的截止日期均应以延长后新的截止日期为准。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20．投标文件的拒收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20.1 代理机构拒绝接收在其规定的投标截止时间后上传的任何投标文件。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21．投标文件的撤回和修改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 投标文件的撤回</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21.1.1 电子投标文件的撤回</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投标人可在投标截止时间前，撤回其电子投标文件，具体操作方法见《操作手册》。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21.1.2 投标人撤回电子投标文件，则认为其不再参与本项目投标活动。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 投标文件的修改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21.2.1投标人可在投标截止时间前，对其电子投标文件进行修改，具体操作方法见《操作手册》。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21.2.2 在投标截止时间之后，投标人不得对其电子投标文件作任何修改。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21.3 在投标截止时间至招标文件中规定的投标有效期满之间的这段时间内，投标人不得撤回其投标。</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五、开标与评标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22．开标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22.1代理机构将在招标公告中规定的时间和地点组织公开开标。投标人应当按照《操作手册》规定，参加开标活动和在苏采云系统规定的时间内对投标文件进行解密。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22.2开标仪式由代理机构组织。苏采云系统将自动对项目进行开标，并宣布各投标人名称和投标价格。</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22.3投标人在开标过程中涉及到的投标文件解密、开标结果确认等工作，应按照《操作手册》规定执行。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22.4投标人如果对开标过程和开标记录有疑义，应当根据《操作手册》规定提出，如苏采云系统中《开标记录表》宣布后5分钟内未提出的，视同认可开标结果。</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23．评标委员会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23.1开标后，代理机构将立即组织评标委员会（以下简称评委会）进行评标。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23.2 评委会由采购人代表和有关技术、经济等方面的专家组成，且人员构成符合政府采购有关规定。</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23.3评委会独立工作，负责评审所有投标文件并确定中标侯选人。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24．评标过程的保密与公正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24.1凡是与审查、澄清、评价和比较投标的有关资料以及授标建议等，采购人、评委、代理机构均不得向投标人或与评标无关的其他人员透露。</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24.2在评标过程中，投标人不得以任何行为影响评标过程，否则其投标文件将被作为无效投标文件。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24.3代理机构和评标委员会不向未中标的投标人解释未中标原因，也不公布评标过程中的相关细节。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24.4 采用综合评分法的项目，未中标的投标人可于中标结果公告期限届满之日起通过苏采云系统查看自己的评审得分及排序情况。</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25．投标文件的澄清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25.1评标期间，评委会对投标文件中含义不明确、同类问题表述不一致或者有明显文字和计算错误的内容，有权要求投标人作出必要的澄清、说明或者补正。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投标人的澄清、说明或者补正不得超出投标文件的范围或者改变投标文件的实质性内容。</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评标委员会并非对每个投标人都做澄清要求。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25.3 接到评委会澄清、说明和补正要求的投标人如未按规定做出澄清、说明和补正，其风险由投标人自行承担。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26．对投标文件的初审</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26.1投标文件初审分为资格审查和符合性审查。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26.1.1 资格审查：依据法律法规和招标文件的规定，由采购人对投标文件中的资格证明文件进行审查。资格审查的结论，采购人以书面形式向评委会进行反馈。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采购人在进行资格性审查的同时，将在“信用中国”网站（www.creditchina.gov.cn）查询投标人的信用记录，以确定投标人是否具备投标资格,查询结果留存并归档。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26.1.2 符合性审查：依据招标文件的规定，由评委会从投标文件的有效性、完整性和对招标文件的响应程度进行审查，以确定是否对招标文件的实质性要求作出响应。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26.3如果投标文件实质上没有响应招标文件的要求，评委会将予以拒绝，投标人不得通过修改或撤销不合要求的偏离或保留而使其投标成为实质性响应的投标。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26.4评委会将对确定为实质性响应的投标进行进一步审核，看其是否有计算上或累加上的算术错误，修正错误的原则如下：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（1）投标文件中开标一览表内容与投标文件中相应内容不一致的，以开标一览表为准。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（2）大写金额和小写金额不一致的，以大写金额为准。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（3）单价金额小数点或者百分比有明显错位的，以开标一览表的总价为准，并修改单价。</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（4）总价金额与按单价汇总金额不一致的，以单价金额计算结果为准。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非单一产品采购项目，招标文件中将载明其中的核心产品。多家投标人提供的核心产品品牌相同的，按前两款规定处理。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26.7投标人在开、评标全过程中应保持通讯畅通，及时登录苏采云系统查阅、答复相关信息，并安排专人与代理机构及评标委员会联系。</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27．无效投标条款和废标条款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27.1无效投标条款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 投标人在苏采云系统规定的时间内未成功解密电子投标文件的。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27.1.2 投标人未按照招标文件要求上传电子投标文件的。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27.1.3投标人同一分包提交两个（含两个）以上不同的投标报价的。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27.1.4投标人不具备招标文件中规定资格要求的。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27.1.5投标人的报价超过了采购预算或最高限价的。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27.1.6未通过符合性审查的。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27.1.7不符合招标文件中规定的实质性要求的（详见本招标文件第四章采购需求中标有“★”的技术要求及相关商务要求）。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27.1.8 投标人被 “信用中国”网站（www.creditchina.gov.cn）、中国政府采购网（www.ccgp.gov.cn）列入失信被执行人或重大税收违法案件当事人名单或政府采购严重失信行为记录名单。或查询网站后发现投标人存在其他不符合《中华人民共和国政府采购法》第二十二条规定条件的信用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27.1.9 投标文件含有采购人不能接受的附加条件的。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27.1.10</w:t>
      </w:r>
      <w:r>
        <w:rPr>
          <w:rFonts w:ascii="FangSong" w:hAnsi="FangSong" w:eastAsia="FangSong" w:cs="FangSong"/>
          <w:color w:val="ff0000"/>
          <w:sz w:val="28"/>
        </w:rPr>
        <w:t xml:space="preserve">评审过程中出现下列情形之一的，评审委员会应当启动异常低价投标（响应）审查程序：</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（1）投标（响应）报价低于全部通过符合性审查供应商投标（响应）报价平均值50%的，即投标（响应）报价＜全部通过符合性审查供应商投标（响应）报价平均值×50%；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（2）投标（响应）报价低于通过符合性审查的次低报价供应商投标（响应）报价50%的，即投标（响应）报价＜通过符合性审查的次低报价供应商投标（响应）报价×50%；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（3）投标（响应）报价低于采购项目最高限价45%的，即投标（响应）报价＜采购项目最高限价×45%；</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（4）评审委员会基于专业判断，认为供应商报价过低，有可能影响产品质量或者不能诚信履约的其他情形。</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ff0000"/>
          <w:sz w:val="28"/>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27.1.12 投标文件未按照招标文件要求加盖CA电子公章的。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27.1.13其他法律、法规及本招标文件规定的属无效投标的情形。</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27.1.14投标人的商务技术部分得分相差异常悬殊，评标委员会一致认为得分畸低者有可能影响产品质量或者不能诚信履约的。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27.2废标条款</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27.2.1符合专业条件的供应商或者对招标文件作实质响应的供应商不足三家的。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27.2.2出现影响采购公正的违法、违规行为的。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27.2.3因重大变故，采购任务取消的。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27.2.4评标委员会认定招标文件存在歧义、重大缺陷导致评审工作无法进行。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27.2.5 因苏采云系统系统故障原因造成开标不成功的。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 投标截止时间结束后参加投标的供应商不足三家的处理：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六、定标</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28．确定中标单位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28.1中标候选人的选取原则和数量见招标文件第五章规定。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28.2 采购人应根据评委会推荐的中标候选人确定中标人。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28.3 代理机构将在“江苏政府采购网”发布中标公告，公告期限为1个工作日。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 若有充分证据证明，中标人出现下列情况之一的，一经查实，将被取消中标资格：</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28.4.1提供虚假材料谋取中标的。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28.4.2向采购人、代理机构行贿或者提供其他不正当利益的。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28.4.3属于本文件规定的无效条件，但在评标过程中又未被评委会发现的。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28.4.4与采购人或者其他供应商恶意串通的。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28.4.5采取不正当手段诋毁、排挤其他供应商的。</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 有下列情形之一的，视为投标人串通投标，投标无效：</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28.5.1不同投标人的投标文件由同一单位或者个人编制；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28.5.2不同投标人委托同一单位或者个人办理投标事宜；</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28.5.3 不同投标人的投标文件载明的项目管理成员或者联系人员为同一人；</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28.5.4不同投标人的投标文件异常一致或者投标报价呈规律性差异；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29．质疑处理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29.1 提出质疑的供应商应当是参与所质疑项目采购活动的供应商。潜在供应商依法获取其可质疑的采购文件的，可以对采购文件提出质疑。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29.2.1对可以质疑的采购文件提出质疑的，为收到采购文件之日或者采购文件公告期限届满之日；</w:t>
        <w:br/>
        <w:t xml:space="preserve">29.2.2对采购过程提出质疑的，为各采购程序环节结束之日；</w:t>
        <w:br/>
        <w:t xml:space="preserve">29.2.3对中标或者成交结果提出质疑的，为中标或者成交结果公告期限届满之日。</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采购人及代理机构只接收以纸质原件形式送达的质疑,建议供应商尽量通过邮寄方式提交质疑（采购人和代理机构不接受无快递运单号的快递）。</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采购人质疑接收人及联系方式见招标文件第一章。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 以下情形的质疑不予受理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29.5.1 内容不符合《政府采购质疑和投诉办法》第十二条规定的质疑。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29.5.2 超出政府采购法定期限的质疑。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29.5.3 以传真、电子邮件等方式递交的非原件形式的质疑。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29.5.4 未参加投标活动的供应商或在投标活动中自身权益未受到损害的供应商所提出的质疑。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29.5.5供应商组成联合体参加投标，联合体中任何一方或多方未按要求签字、盖章、加盖公章的质疑。</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30．中标通知书</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七、授予合同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 签订合同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31.l中标人应当在中标通知书发出之日起三十日内，按照招标文件确定的事项与采购人签订政府采购合同。</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31.2招标文件、中标人的投标文件及招标过程中有关澄清、承诺文件均应作为合同附件。</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31.3 签订合同后，</w:t>
      </w:r>
      <w:r>
        <w:rPr>
          <w:rFonts w:ascii="FangSong" w:hAnsi="FangSong" w:eastAsia="FangSong" w:cs="FangSong"/>
          <w:color w:val="000000"/>
          <w:sz w:val="28"/>
          <w:u w:val="single"/>
        </w:rPr>
        <w:t xml:space="preserve">中标人不得将合同标的进行转包</w:t>
      </w:r>
      <w:r>
        <w:rPr>
          <w:rFonts w:ascii="FangSong" w:hAnsi="FangSong" w:eastAsia="FangSong" w:cs="FangSong"/>
          <w:color w:val="000000"/>
          <w:sz w:val="28"/>
        </w:rPr>
        <w:t xml:space="preserve">。未经采购人同意，中标人也不得采用分包的形式履行合同，否则采购人有权终止合同。转包或分包造成采购人损失的，中标人应承担相应赔偿责任。</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32．货物（包含与货物相关的服务）的追加</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33．政府采购履约资金扶持政策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left="0" w:right="0" w:firstLine="0"/>
        <w:jc w:val="both"/>
        <w:spacing w:before="24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5"/>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第三章  合同文本</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以下为中标后签定本项目合同的通用条款，采购人与中标人应按此签订采购合同。中标人不得提出实质性的修改，关于专用条款将由采购人与中标人结合本项目具体情况协商后签订。</w:t>
      </w:r>
      <w:r/>
    </w:p>
    <w:p>
      <w:pPr>
        <w:pStyle w:val="756"/>
        <w:ind w:left="0" w:right="0" w:firstLine="0"/>
        <w:jc w:val="center"/>
        <w:spacing w:before="360" w:after="200" w:line="39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南通大学附属医院采购合同</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项目名称：南通大学附属医院综合数据中心基础平台建设项目合同编号：</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甲方：（买方）南通大学附属医院</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乙方：（卖方）_________</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甲、乙双方根据</w:t>
      </w:r>
      <w:r>
        <w:rPr>
          <w:rFonts w:ascii="FangSong" w:hAnsi="FangSong" w:eastAsia="FangSong" w:cs="FangSong"/>
          <w:color w:val="000000"/>
          <w:sz w:val="24"/>
          <w:u w:val="single"/>
        </w:rPr>
        <w:t xml:space="preserve">南通大学附属医院综合数据中心基础平台采购</w:t>
      </w:r>
      <w:r>
        <w:rPr>
          <w:rFonts w:ascii="FangSong" w:hAnsi="FangSong" w:eastAsia="FangSong" w:cs="FangSong"/>
          <w:color w:val="000000"/>
          <w:sz w:val="24"/>
        </w:rPr>
        <w:t xml:space="preserve">项目公开招标的结果，签署本合同。</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合同内容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标的名称：南通大学附属医院综合数据中心基础平台采购项目</w:t>
      </w:r>
      <w:r/>
    </w:p>
    <w:p>
      <w:pPr>
        <w:ind w:left="354" w:right="0" w:hanging="354"/>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标的质量：合同项目下所有货物技术标准应符合相关国家标准、行业标准、企业标准或者甲乙双方在本合同、合同附件、技术协议或者其他文件中约定的标准，标准内容不一致的，以要求最高的标准为准。</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标的数量（规模）：详细清单见附件1</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 履行时间（期限）：签订合同后60个工作日完成平台的安装、部署、调试、培训等工作(不包括试运行阶段)。</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 履行地点：南通大学附属医院指定地点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 履行方式：/</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 包装方式：参考《商品包装政府采购需求标准（试行）》、《快递包装政府采购需求标准（试行）》产品及相关快递服务的具体包装要求。</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合同金额</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本合同金额为（大写）：_______圆（___元）人民币。</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技术资料</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3.1乙方应按招标文件规定的时间向甲方提供使用货物(包含与货物相关的服务)的有关技术资料。</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知识产权</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产权担保</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5.1乙方保证所交付的货物（包含与货物相关的服务）的所有权完全属于乙方且无任何抵押、查封等产权瑕疵。</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履约保证金</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6.1乙方须于本合同签订前向甲方交纳人民币_________元作为本合同的履约保证金。（合同金额的5%）</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6.2合同履行结束后，甲方应及时退还交纳的履约保证金。</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6.2.1履约保证金退还方式：项目验收合格后，乙方凭经甲方盖章确认的《退还履约保证金申请函》申请退款，甲方于收到乙方退款申请之日起30个工作日内一次性无息退还。</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6.2.2履约保证金退还时间：本项目通过整体验收。</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6.2.3履约保证金退还条件：本项目整体验收合格。</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6.2.4履约保证金不予退还的情形：系统功能不完整，或有缺陷</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6.2.5提交履约保证金的形式：支票、电汇或银行保函（见索即付）等非现金方式。</w:t>
      </w:r>
      <w:r/>
    </w:p>
    <w:p>
      <w:pPr>
        <w:ind w:left="400" w:right="0" w:firstLine="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收款人：南通大学附属医院</w:t>
      </w:r>
      <w:r/>
    </w:p>
    <w:p>
      <w:pPr>
        <w:ind w:left="400" w:right="0" w:firstLine="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开户行：建设银行南通崇川支行</w:t>
      </w:r>
      <w:r/>
    </w:p>
    <w:p>
      <w:pPr>
        <w:ind w:left="400" w:right="0" w:firstLine="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帐号：32001642736052505622</w:t>
      </w:r>
      <w:r/>
    </w:p>
    <w:p>
      <w:pPr>
        <w:ind w:left="400" w:right="0" w:firstLine="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用途：（项目名称）履约保证金</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6.2.6以银行保函形式提交履约保证金的，保函有效期应长于合同履行期。原则上国内供货保函有效期不少于合同生效之日起半年，如遇特殊情况在有效期内不能完成履约验收的，需提前15天办理保函延期手续。</w:t>
      </w:r>
      <w:r/>
    </w:p>
    <w:p>
      <w:pPr>
        <w:ind w:left="340" w:right="0" w:hanging="34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6.2.7以银行保函形式提交履约保证金的，必须在合同签订前提交保函原件。</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合同转包或分包</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7.1乙方如有未经甲方同意的转包或分包行为，甲方有权给予终止合同。</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合同款项支付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8.1合同款项的支付方式及进度安排</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本项目分三期支付，所有付款前提：中标人提交对应金额合法、有效的等额增值税发票及配套付款资料，采购人资料审核无误后启动支付。</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8.1.1.第一期（预付款）</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合同签订生效，采购人收到中标人开具等额增值税发票后30个工作日内，支付合同总价30%预付款。</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8.1.2.第二期（初验进度款）</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项目完成全部到货、安装调试，通过初步验收并出具初验报告；采购人足额收到中标人对应金额增值税发票、全套初验资料后30个工作日内，累计支付至合同总价70%。</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8.1.3.第三期（终验余款）</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项目六个月试运行期满，顺利通过最终验收并出具终验报告；采购人足额收到中标人剩余金额增值税发票及全套终验归档资料后30个工作日内，付清剩余30%合同价款，合同款项100%结清。</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8.2本项目总价款</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包含但不限于设备费、软件/平台系统费、安装调试费、人员培训费用等直至本合同内所建设功能完全实现的一切费用。在本合同履行期间，该价格不受市场任何因素影响。</w:t>
      </w:r>
      <w:r/>
    </w:p>
    <w:p>
      <w:pPr>
        <w:ind w:left="0" w:right="0" w:firstLine="40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乙方收款账户</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户  名： </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开户行： </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w:t>
      </w:r>
      <w:r/>
    </w:p>
    <w:p>
      <w:pPr>
        <w:ind w:left="0" w:right="0" w:firstLine="40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甲方开票信息</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开户行：建设银行南通崇川支行 </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银行账号：32001642736052505622</w:t>
      </w:r>
      <w:r/>
    </w:p>
    <w:p>
      <w:pPr>
        <w:ind w:left="0" w:right="0" w:firstLine="560"/>
        <w:spacing w:before="280" w:after="160" w:line="32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统一社会信用代码：12320000466002649L</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税费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9.1本合同执行中相关的一切税费均由乙方负担。</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质保服务范围和保修期及售后服务</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10.1乙方应按招标文件规定的货物性能、技术要求、质量标准向甲方提供产品。</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质保服务的内容：验收合格后中标人提供软硬件免费维保服务三年。免费维保期内，因货物质量问题导致的各种故障的技术服务及维修所产生的一切费用由中标人负责承担。免费维保期内，中标人为本项目中所有设备提供质保服务、软件升级服务、全免费上门主动服务和应急服务等，按照月度提供巡检服务，采购人不再另外付费。中标人提供7*24小时售后服务，对于现场应急服务应立即响应，10分钟内电话或者远程技术支持；若采购人要求现场服务的，专业技术人员需在2小时内到达现场；硬件设备维修和替换至少实现4小时内解决、关键设备2小时内解决。</w:t>
      </w:r>
      <w:r>
        <w:rPr>
          <w:rFonts w:ascii="FangSong" w:hAnsi="FangSong" w:eastAsia="FangSong" w:cs="FangSong"/>
          <w:color w:val="000000"/>
          <w:sz w:val="24"/>
        </w:rPr>
        <w:t xml:space="preserve">免费维保期内中标人提供所有软件（包括大、小版本等）的升级，不得以任何借口收取任何升级费用。如遇重大节日或采购人认为的重要时期，需按采购人指定要求进行特殊时期的保障服务。</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10.3质保期结束后的年度维护费：≤成交金额的6%。</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10.4系统完成整体验收并交付后，乙方应提供一支专业、高效、熟悉医院信息化系统项目且有一定的开发维护经验的团队进行售后维护服务。</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10.5售后服务和应急响应方案及承诺以投标文件内容为准。</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项目实施</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11.1乙方应提供完整的项目实施计划、详细的工作内容安排，经甲方确认后严格按计划执行，并按计划要求交付产品和成果。如需变更必须提出书面的实施计划变更手续。</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11.3乙方应在项目实施方案中提供项目组成员名单，并详细描述项目组成员的技术能力、项目履历、工作职责和具体工作内容等。</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11.4项目实施完成后，乙方应提交一份双方签字的项目实施完成清单。</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11.5本项目的系统规划、建设、使用过程中的网络、数据安全管理，须严格执行相关管理规定与标准规范（国家卫健委《关于印发医疗卫生机构数据安全和个人信息保护管理办法（试行）的通知》、《卫生健康行业数据分类分级指南（试行）》，公安部《网络安全等级保护测评高风险判定实施指引（试行）》，江苏省卫健委《关于落实卫生健康行业数据分类分级指南（试行）的通知》、《江苏省卫生信息化项目建设网络安全管理规定（试行）》等）中的相应条款。</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11.6乙方支持并配合甲方的信创建设要求。</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培训要求</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12.1乙方负责提供现场操作、运行、维护等涉及项目后续发展的培训方案及必需的培训资料。</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12.2乙方负责对甲方指定受训人员进行提供本项目的专项培训，直至该等人员能独立进行系统使用、管理、故障处理、日常测试和维护等工作，以保证所建设的系统能够正常、安全、平稳地运行。</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12.3培训费用包含在合同总价内，如果培训地点在外地，乙方应向甲方承诺为所有培训人员提供食宿。</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验收要求</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本项目采用两阶段履约验收，验收依据为本项目招标文件、投标文件、合同、相关国家或行业标准。</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1.初步验收</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全部货物到货、安装调试完成，设备可正常启用，能够实现招标文件约定全部功能。中标人须完整提交货物合格证明、产品说明书、技术手册、设备台账、售后服务方案、培训记录及全套项目技术资料，资料真实完整。采购人组织现场核查，确认设备运行正常、资料齐全，出具初步验收报告，即为初验合格。</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2.最终验收</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初验合格后项目进入六个月试运行期。试运行期间，中标人须按合同约定提供维保服务，保障设备稳定运行。若出现影响核心业务的故障、功能失效，中标人须在约定时限内完成整改，试运行期不自动顺延；仅不影响核心功能的轻微瑕疵，中标人及时修复的，不视为试运行不合格。</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试运行期满，采购人组织复核验收，核查设备整体运行稳定性，确认满足招标文件全部使用要求，出具最终验收报告，项目履约验收全部完成。</w:t>
      </w:r>
      <w:r/>
    </w:p>
    <w:p>
      <w:pPr>
        <w:ind w:left="0" w:right="0" w:firstLine="40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特别约定：项目全部款项付清，不免除中标人合同约定的质保责任，质保期自初验合格之日起计算，质保义务按合同约定执行。 </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甲方权利义务</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14.1甲方为乙方提供符合信息系统软件安装、实施要求的工作环境、运行环境。包括但不限于工作场地、网络、VPN工具等，并对乙方实施工作给予支持。</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14.2甲方永久性拥有本合同所建设内容的所有权和使用权，乙方承诺任何时候不会给甲方使用本合同建设内容制造障碍，否则将在甲方要求时间内退还本合同全额款项并赔偿甲方本合同总金额的30%。</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14.3甲方有责任对本项目实施过程进行配合和监督，并积极组织验收。</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乙方权利义务</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15.1乙方将按照本合同附件1《采购清单》内容进行实施安装与调试。</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15.2除非甲方过错所致，本合同在履行过程中的安全责任及由此所产生的费用均由乙方承担，尤其是安装、调试、维保、派驻等工作所引起的人员事故及损失，由乙方承担。</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保密约定</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16.1甲方保证不向甲方以外的任何人透漏任何乙方商业机密及专有知识、专有技术或乙方的知识产权。</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16.2乙方保证对服务过程中获取的甲方的业务数据、患者数据等信息进行保密，乙方不得以任何形式泄露给任何第三方，否则将承担法律责任。</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违约责任</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17.1乙方提供的服务内容不符合约定的质量要求，甲方有权解除或终止合同，并要求乙方按合同总价款的5%支付违约金，给甲方造成经济损失的，乙方还应如数赔偿。</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17.2在履行合同的过程中，如果乙方遇到妨碍不能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经和乙方协商后解除部分或全部合同。</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17.3如乙方逾期交付本合同中约定的产品且未经甲方同意延长交付时间，每逾期一日，乙方应向甲方支付合同总额5‰的逾期交付违约金，逾期交付超过30天，甲方有权终止合同，但因甲方原因造成延期交付的除外。</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17.4乙方如无不可抗力，又未履行采购文件、响应文件和合同条款的，一经查实，乙方须在甲方规定时间内无条件100%退回甲方该项目所付款项，乙方赔偿由此给甲方造成的直接损失，并按照合同总价的30%向甲方支付违约金，因采购活动产生的其他责任及后果按采购文件的相关要求及处理方式执行。</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17.5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17.6未经甲方事先书面同意，乙方不得通过任何方式出售、转让或转移其在本合同项下的任何权利或义务。</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17.7乙方应当向甲方支付违约金或赔偿金的，应当在甲方发出索赔通知后 10日之内支付给甲方。如甲方尚有未向乙方支付的款项的，乙方同意甲方有权从未支付款项中扣除相应数额的款项。</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不可抗力</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由于不可抗力因素（指火灾、地震、洪水、战争等）导致影响本合同规定条款执行，受不可抗力的一方免于承担因此可能发生的违约责任，但免责方应当在不可抗力发生后24小时内通知对方，使对方及时采取措施防止损失的扩大，否则将赔偿对方由于未能采取措施而遭受的损失。</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争议解决</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19.1甲乙双方若就本合同发生任何争议，应首先协商解决，协商不能解决时，甲乙双方均应向甲方所在地人民法院提起诉讼。</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其他</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20.1本合同履行过程中的一切安全责任和费用均由乙方承担。</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20.2甲方在符合国产相关法律管理要求的前提下拥有本项目产品在南通大学附属医院内的永久所有权和使用权，乙方永久向甲方保持系统开放。</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20.3乙方承诺对本合同内的建设内容在整个使用周期内的维护。</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20.4乙方承诺免费对接甲方本项目中相关的硬件设备。</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20.5乙方承诺后续涉及软件功能改造部分，涉及到新增模块级别功能或者系统架构级别的更新产生费用，提供报价清单并经甲乙双方友好协商后，按协商价格收取。若甲方对费用存有疑义，由甲方聘请咨询服务公司审核报价，乙方需接受该报价（咨询费用由乙方支付）。对于有时间要求的功能改造，乙方承诺不会以商务未谈拢拒绝响应。</w:t>
      </w:r>
      <w:r/>
    </w:p>
    <w:p>
      <w:pPr>
        <w:ind w:left="342" w:right="0" w:hanging="34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20.6对于甲方提出的紧急需求任务（一般指上级部门文件、院内文件，或对接国家、省、市数据平台，或配合院内第三方系统并有时效要求的任务），乙方承诺做到及时响应并在甲方要求的工期内完工。若有1次未能按时完成，扣除本合同总金额的5%。</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合同构成</w:t>
      </w:r>
      <w:r/>
    </w:p>
    <w:p>
      <w:pPr>
        <w:ind w:left="342" w:right="0" w:hanging="342"/>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21.1下述文件是构成合同不可分割的部分，具有同等的法律效力，应一并阅读和理解，若文本之间存在争议，则以甲方有利的方法解释。</w:t>
      </w:r>
      <w:r/>
    </w:p>
    <w:p>
      <w:pPr>
        <w:ind w:left="400" w:right="0" w:firstLine="0"/>
        <w:spacing w:before="240" w:after="240" w:line="71"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（1）采购文件。</w:t>
      </w:r>
      <w:r/>
    </w:p>
    <w:p>
      <w:pPr>
        <w:ind w:left="400" w:right="0" w:firstLine="0"/>
        <w:spacing w:before="240" w:after="240" w:line="71"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（2）应标文件。</w:t>
      </w:r>
      <w:r/>
    </w:p>
    <w:p>
      <w:pPr>
        <w:ind w:left="400" w:right="0" w:firstLine="0"/>
        <w:spacing w:before="240" w:after="240" w:line="71"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（3）采购文件所要求的原厂授权函、质保函。</w:t>
      </w:r>
      <w:r/>
    </w:p>
    <w:p>
      <w:pPr>
        <w:ind w:left="400" w:right="0" w:firstLine="0"/>
        <w:spacing w:before="240" w:after="240" w:line="71"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（4）中标通知书。</w:t>
      </w:r>
      <w:r/>
    </w:p>
    <w:p>
      <w:pPr>
        <w:ind w:left="400" w:right="0" w:firstLine="0"/>
        <w:spacing w:before="240" w:after="240" w:line="71"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（5）合同附件。</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合同数量</w:t>
      </w:r>
      <w:r/>
    </w:p>
    <w:p>
      <w:pPr>
        <w:ind w:left="0" w:right="0" w:firstLine="0"/>
        <w:spacing w:before="240" w:after="240" w:line="71"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22.1本合同合计</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页A4纸张，缺页之合同为无效合同。</w:t>
      </w:r>
      <w:r/>
    </w:p>
    <w:p>
      <w:pPr>
        <w:ind w:left="0" w:right="0" w:firstLine="0"/>
        <w:spacing w:before="240" w:after="240" w:line="71"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22.2本合同（协议书）一式5份，甲方3份，乙方2份，经双方签署盖章后生效（生效日以最后一个签字日为准），具有同等法律效率。</w:t>
      </w:r>
      <w:r/>
    </w:p>
    <w:p>
      <w:pPr>
        <w:pStyle w:val="757"/>
        <w:numPr>
          <w:ilvl w:val="0"/>
          <w:numId w:val="8"/>
        </w:numPr>
        <w:spacing w:before="320" w:after="200" w:line="345" w:lineRule="atLeast"/>
        <w:tabs>
          <w:tab w:val="left" w:pos="21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未尽事宜</w:t>
      </w:r>
      <w:r/>
    </w:p>
    <w:p>
      <w:pPr>
        <w:ind w:left="0" w:right="0" w:firstLine="400"/>
        <w:spacing w:before="24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本合同未尽事宜，由甲乙双方协商后签订补充协议，与本合同具有同等法律效力。（以下无正文）</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85"/>
        <w:gridCol w:w="506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甲方（盖章）：南通大学附属医院</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乙方（盖章）： xxx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地址：南通市崇川区西寺路20号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地址： xxx</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法定代表人或授权代表：（签字）：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法定代表人或授权代表：（签字）</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信息中心代表（签字）：</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85"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u w:val="single"/>
              </w:rPr>
              <w:t xml:space="preserve">       </w:t>
            </w:r>
            <w:r>
              <w:rPr>
                <w:rFonts w:ascii="FangSong" w:hAnsi="FangSong" w:eastAsia="FangSong" w:cs="FangSong"/>
                <w:color w:val="000000"/>
                <w:sz w:val="20"/>
              </w:rPr>
              <w:t xml:space="preserve">年</w:t>
            </w:r>
            <w:r>
              <w:rPr>
                <w:rFonts w:ascii="FangSong" w:hAnsi="FangSong" w:eastAsia="FangSong" w:cs="FangSong"/>
                <w:color w:val="000000"/>
                <w:sz w:val="20"/>
                <w:u w:val="single"/>
              </w:rPr>
              <w:t xml:space="preserve">      </w:t>
            </w:r>
            <w:r>
              <w:rPr>
                <w:rFonts w:ascii="FangSong" w:hAnsi="FangSong" w:eastAsia="FangSong" w:cs="FangSong"/>
                <w:color w:val="000000"/>
                <w:sz w:val="20"/>
              </w:rPr>
              <w:t xml:space="preserve">月</w:t>
            </w:r>
            <w:r>
              <w:rPr>
                <w:rFonts w:ascii="FangSong" w:hAnsi="FangSong" w:eastAsia="FangSong" w:cs="FangSong"/>
                <w:color w:val="000000"/>
                <w:sz w:val="20"/>
                <w:u w:val="single"/>
              </w:rPr>
              <w:t xml:space="preserve">      </w:t>
            </w:r>
            <w:r>
              <w:rPr>
                <w:rFonts w:ascii="FangSong" w:hAnsi="FangSong" w:eastAsia="FangSong" w:cs="FangSong"/>
                <w:color w:val="000000"/>
                <w:sz w:val="20"/>
              </w:rPr>
              <w:t xml:space="preserve">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top"/>
            <w:textDirection w:val="lrTb"/>
            <w:noWrap w:val="false"/>
          </w:tcPr>
          <w:p>
            <w:pPr>
              <w:ind w:left="0" w:right="0" w:firstLine="0"/>
              <w:spacing w:before="20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u w:val="single"/>
              </w:rPr>
              <w:t xml:space="preserve">       </w:t>
            </w:r>
            <w:r>
              <w:rPr>
                <w:rFonts w:ascii="FangSong" w:hAnsi="FangSong" w:eastAsia="FangSong" w:cs="FangSong"/>
                <w:color w:val="000000"/>
                <w:sz w:val="20"/>
              </w:rPr>
              <w:t xml:space="preserve">年</w:t>
            </w:r>
            <w:r>
              <w:rPr>
                <w:rFonts w:ascii="FangSong" w:hAnsi="FangSong" w:eastAsia="FangSong" w:cs="FangSong"/>
                <w:color w:val="000000"/>
                <w:sz w:val="20"/>
                <w:u w:val="single"/>
              </w:rPr>
              <w:t xml:space="preserve">       </w:t>
            </w:r>
            <w:r>
              <w:rPr>
                <w:rFonts w:ascii="FangSong" w:hAnsi="FangSong" w:eastAsia="FangSong" w:cs="FangSong"/>
                <w:color w:val="000000"/>
                <w:sz w:val="20"/>
              </w:rPr>
              <w:t xml:space="preserve">月</w:t>
            </w:r>
            <w:r>
              <w:rPr>
                <w:rFonts w:ascii="FangSong" w:hAnsi="FangSong" w:eastAsia="FangSong" w:cs="FangSong"/>
                <w:color w:val="000000"/>
                <w:sz w:val="20"/>
                <w:u w:val="single"/>
              </w:rPr>
              <w:t xml:space="preserve">       </w:t>
            </w:r>
            <w:r>
              <w:rPr>
                <w:rFonts w:ascii="FangSong" w:hAnsi="FangSong" w:eastAsia="FangSong" w:cs="FangSong"/>
                <w:color w:val="000000"/>
                <w:sz w:val="20"/>
              </w:rPr>
              <w:t xml:space="preserve">日</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ind w:left="-404" w:right="0" w:firstLine="562"/>
        <w:spacing w:before="240" w:after="16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附件1：采购</w:t>
      </w:r>
      <w:r>
        <w:rPr>
          <w:rFonts w:ascii="FangSong" w:hAnsi="FangSong" w:eastAsia="FangSong" w:cs="FangSong"/>
          <w:b/>
          <w:color w:val="000000"/>
          <w:sz w:val="30"/>
        </w:rPr>
        <w:t xml:space="preserve">清单</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廉政协议</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签立协议单位</w:t>
      </w:r>
      <w:r>
        <w:rPr>
          <w:rFonts w:ascii="FangSong" w:hAnsi="FangSong" w:eastAsia="FangSong" w:cs="FangSong"/>
          <w:color w:val="000000"/>
          <w:sz w:val="24"/>
          <w:u w:val="single"/>
        </w:rPr>
        <w:t xml:space="preserve">：</w:t>
        <w:tab/>
        <w:t xml:space="preserve">南通大学附属医院（甲方）</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ab/>
        <w:t xml:space="preserve">        </w:t>
      </w:r>
      <w:r>
        <w:rPr>
          <w:rFonts w:ascii="FangSong" w:hAnsi="FangSong" w:eastAsia="FangSong" w:cs="FangSong"/>
          <w:color w:val="000000"/>
          <w:sz w:val="24"/>
          <w:u w:val="single"/>
        </w:rPr>
        <w:tab/>
        <w:t xml:space="preserve">                  （乙方）</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了在服务全过程中保持廉洁自律的风气，防止各种不正当行为的发生，根据国家、省、市有关服务项目承发包和廉政建设的各项规定，甲乙双方按照公平、公正和诚实信用的原则，自愿订立并共同遵守如下协议： </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第一条 甲乙双方应当自觉遵守国家、省、市关于服务项目承发包和廉政建设的各项规定。</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第二条 甲方责任</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（一）甲方工作人员不得以任何形式接受乙方的礼金、有价证券、物品、好处费、感谢费等，不得在乙方报销任何应由个人支付的费用。</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（二）甲方工作人员不得参加可能对公正执行公务有影响的宴请、健身和娱乐等活动。</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（三）甲方工作人员不得接受、要求和暗示乙方和相关单位为个人装修住房、婚丧嫁娶、配偶子女的工作安排以及出国（境）、旅游等提供方便。</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（四）甲方工作人员不得向乙方和相关单位介绍或为配偶、子女、亲属参与同甲方管理合同有关的业务活动；不得以任何理由要求或暗示乙方和相关单位使用某种产品、材料和设备。</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（五）甲方工作人员不得向乙方和相关单位泄露应当保密或者可能影响公平竞争的相关情况。</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（六）甲方工作人员不得接受、要求和暗示乙方和相关单位为其购置或者提供通讯工具、交通工具、家电、高档办公用品等物品。</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（七）甲方工作人员不得在家里接待乙方有关事宜的询访。</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第三条 乙方责任</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（二）乙方不得为谋取不正当利益擅自与甲方工作人员、审计等相关人员就服务项目进行私下商谈或达成默契。</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（三）乙方不得为甲方工作人员、审计等相关人员装修住房、婚丧嫁娶、配偶子女的工作安排以及出国（境）、旅游等提供方便。</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（四）乙方不得以任何理由为甲方、审计等相关人员和相关单位及其个人组织有可能影响公正执行公务的宴请、健身、娱乐等活动。</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（五）乙方不得为甲方工作人员、审计等相关人员购置或者提供通讯工具、交通工具、家电、高档办公用品等物品。</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第四条 违约责任</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（一）乙方如发现甲方工作人员有违反上述协议者，应向甲方纪委监察机关 或甲方上级单位举报。甲方不得找任何借口对乙方进行报复。</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甲方发现乙方违反本协议，甲方根据具体情况和造成的后果扣除乙方合同价的2%—10%作为廉政违约金（发现一次，至少扣除合同价2%的违约金），对有贿赂等不良记录的单位和个人，在2-3年内不得参与甲方任何项目投标。乙方用不正当手段获取的非法所得由甲方从合同款中扣除。由此给甲方单位造成的损失，乙方应予赔偿。</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第五条 本协议一式四份。双方各随合同保存一份，交纪委、监察部门备案一份。</w:t>
      </w:r>
      <w:r/>
    </w:p>
    <w:p>
      <w:pPr>
        <w:ind w:left="0" w:right="0" w:firstLine="40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第六条 本廉洁协议作为合同</w:t>
      </w:r>
      <w:r>
        <w:rPr>
          <w:rFonts w:ascii="FangSong" w:hAnsi="FangSong" w:eastAsia="FangSong" w:cs="FangSong"/>
          <w:color w:val="000000"/>
          <w:sz w:val="24"/>
          <w:u w:val="single"/>
        </w:rPr>
        <w:t xml:space="preserve">xxx</w:t>
      </w:r>
      <w:r>
        <w:rPr>
          <w:rFonts w:ascii="FangSong" w:hAnsi="FangSong" w:eastAsia="FangSong" w:cs="FangSong"/>
          <w:color w:val="000000"/>
          <w:sz w:val="24"/>
        </w:rPr>
        <w:t xml:space="preserve">的附件，与合同</w:t>
      </w:r>
      <w:r>
        <w:rPr>
          <w:rFonts w:ascii="FangSong" w:hAnsi="FangSong" w:eastAsia="FangSong" w:cs="FangSong"/>
          <w:color w:val="000000"/>
          <w:sz w:val="24"/>
          <w:u w:val="single"/>
        </w:rPr>
        <w:t xml:space="preserve">xxx</w:t>
      </w:r>
      <w:r>
        <w:rPr>
          <w:rFonts w:ascii="FangSong" w:hAnsi="FangSong" w:eastAsia="FangSong" w:cs="FangSong"/>
          <w:color w:val="000000"/>
          <w:sz w:val="24"/>
        </w:rPr>
        <w:t xml:space="preserve">具有同等法律效力。经协议双方签署盖章后立即生效。</w:t>
      </w:r>
      <w:r/>
    </w:p>
    <w:p>
      <w:pPr>
        <w:ind w:left="0" w:right="0" w:firstLine="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甲方：（公章）南通大学附属医院乙方：（公章）xxx  </w:t>
      </w:r>
      <w:r/>
    </w:p>
    <w:p>
      <w:pPr>
        <w:ind w:left="0" w:right="0" w:firstLine="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代表人：（签字）代表人：（签字）</w:t>
      </w:r>
      <w:r/>
    </w:p>
    <w:p>
      <w:pPr>
        <w:ind w:left="0" w:right="0" w:firstLine="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80" w:after="160" w:line="32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信息中心代表（签字）：</w:t>
      </w:r>
      <w:r/>
    </w:p>
    <w:p>
      <w:pPr>
        <w:ind w:left="0" w:right="0" w:firstLine="0"/>
        <w:jc w:val="both"/>
        <w:spacing w:before="280" w:after="160" w:line="32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80" w:after="160" w:line="32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日期：日期：</w:t>
      </w:r>
      <w:r/>
    </w:p>
    <w:p>
      <w:pPr>
        <w:ind w:left="0" w:right="0" w:firstLine="0"/>
        <w:spacing w:before="240" w:after="0" w:line="276" w:lineRule="atLeast"/>
        <w:pBdr>
          <w:top w:val="none" w:color="000000" w:sz="4" w:space="0"/>
          <w:left w:val="none" w:color="000000" w:sz="4" w:space="0"/>
          <w:bottom w:val="none" w:color="000000" w:sz="4" w:space="0"/>
          <w:right w:val="none" w:color="000000" w:sz="4" w:space="0"/>
        </w:pBdr>
      </w:pPr>
      <w:r>
        <w:br w:type="page" w:clear="all"/>
      </w:r>
      <w:r/>
    </w:p>
    <w:p>
      <w:pPr>
        <w:pStyle w:val="755"/>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第四章 采购需求</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pStyle w:val="756"/>
        <w:numPr>
          <w:ilvl w:val="0"/>
          <w:numId w:val="9"/>
        </w:numPr>
        <w:spacing w:before="0" w:after="0" w:line="39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项目概况</w:t>
      </w:r>
      <w:r/>
    </w:p>
    <w:p>
      <w:pPr>
        <w:numPr>
          <w:ilvl w:val="0"/>
          <w:numId w:val="10"/>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采购需求一览表</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3364"/>
        <w:gridCol w:w="2410"/>
        <w:gridCol w:w="2288"/>
      </w:tblGrid>
      <w:tr>
        <w:trPr>
          <w:trHeight w:val="8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是否属于强制环保节能产品</w:t>
            </w:r>
            <w:r/>
          </w:p>
        </w:tc>
      </w:tr>
      <w:tr>
        <w:trPr>
          <w:trHeight w:val="5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综合数据中心基础平台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否</w:t>
            </w:r>
            <w:r/>
          </w:p>
        </w:tc>
      </w:tr>
    </w:tbl>
    <w:p>
      <w:pPr>
        <w:numPr>
          <w:ilvl w:val="0"/>
          <w:numId w:val="10"/>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采购标的清单</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2"/>
        <w:gridCol w:w="2268"/>
        <w:gridCol w:w="4962"/>
        <w:gridCol w:w="708"/>
        <w:gridCol w:w="708"/>
      </w:tblGrid>
      <w:tr>
        <w:trPr>
          <w:trHeight w:val="6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内网硬件基础设施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详细参数见下文技术要求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内网资源池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详细参数见下文技术要求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外网硬件基础设施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详细参数见下文技术要求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外网C86资源池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详细参数见下文技术要求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外网X86资源池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详细参数见下文技术要求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外网业务/数据交换机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详细参数见下文技术要求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详细参数见下文技术要求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TAP交换机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详细参数见下文技术要求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辅材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配套相关网线、光纤跳线、扎带、堆叠线缆等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系统集成服务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2"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完成设备上架、线缆敷设、硬件安装与初始化配置；搭建并调试虚拟化集群、网络冗余链路及统一云管理平台；完成跨院区联调、功能验证与压力测试；结合业务实际配置资源分配、访问控制、故障处置等运维管理策略；提供东西院区业务系统迁移评估、数据迁移、业务割接、上线验证等实施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本项目核心产品为加注“●”的“序号1 内网硬件基础设施”。</w:t>
      </w:r>
      <w:r/>
    </w:p>
    <w:p>
      <w:pPr>
        <w:numPr>
          <w:ilvl w:val="0"/>
          <w:numId w:val="10"/>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项目背景及建设内容</w:t>
      </w:r>
      <w:r/>
    </w:p>
    <w:p>
      <w:pPr>
        <w:ind w:left="0" w:right="0" w:firstLine="424"/>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项目背景</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响应国家医疗数字化转型、安全可控及信创国产化战略部署，全面支撑南通大学附属医院高质量发展与智慧化转型建设，解决医院现有IT基础架构老化、资源利用拥挤、架构管理割裂、非国产架构存在安全隐患等突出问题，医院亟需实施综合数据中心基础平台建设，推进IT基础架构国产化升级改造与数据中心资源扩容、整合优化工作。我院信息化建设HIS、PACS、LIS、EMR等核心医疗业务系统已实现全流程数字化落地，日常诊疗、运营管理对IT系统依赖度极高。目前医院现有以VMware vSAN为核心的基础架构已难以适配行业合规与业务发展需</w:t>
      </w:r>
      <w:r>
        <w:rPr>
          <w:rFonts w:ascii="SimSun" w:hAnsi="SimSun" w:eastAsia="SimSun" w:cs="SimSun"/>
          <w:color w:val="000000"/>
          <w:sz w:val="24"/>
        </w:rPr>
        <w:t xml:space="preserve">求，存在诸多短板：西院区超融合集群设备老化，VMware环境无法平滑升级且原厂服务终止，业务运行存在重大隐患；东院区相关服务器无统一的软件平台纳管，两院区资源池管理割裂，且缺失国产化验证环境。受国家信创合规政策要求、海外技术体系断供风险影响，原有IT架构存在可控性不足、运维成本攀升等问题。</w:t>
      </w:r>
      <w:r/>
    </w:p>
    <w:p>
      <w:pPr>
        <w:ind w:left="0" w:right="0" w:firstLine="424"/>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建设内容</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为匹配业务持续增长的计算、存储、网络等资源需求，构建高可用、高安全、易运维、可扩展的国产化底层架构，本次综合数据中心基础平台项目确立五项核心建设内容：</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（1）数据中心架构国产化改造：对现有IT基础设施产品进行整体规划、分步替换，循序渐进完成数据中心架构国产化升级，保障医院信息系统底层架构安全、自主、可控与独立运行。</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稳定性与高可用性：医疗信息系统对运行可用性及故障容错能力要求极高，需保障在硬件故障、网络异常等突发场景下实现业务快速恢复。国产化虚拟化架构需具备高冗余架构、自动化运维、智能故障快速切换等核心能力，支撑医疗业务不间断稳定运行。</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安全性和合规性：医院医疗数据包含大量敏感数据，需严格落实保密管理与行业监管要求，对数据存储、加密、备份恢复等安全能力标准要求严苛。新的虚拟化系统需具备完善的数据备份、灾难恢复、安全防护机制，全面保障医疗数据完整性、保密性与业务运行连续性，满足行业合规要求。</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系统性能和扩展性：伴随医院诊疗业务持续增长，平台对计算、存储、网络资源的性能需求稳步提升。虚拟化架构需具备高吞吐量、低延迟、高并发的数据处理能力，同时支持资源横向弹性扩展，可根据业务发展动态调配资源，适配医院长期业务增长与信息化迭代需求。</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运维和管理便利性：国产化虚拟化架构需简化整体运维管理流程，搭建一体化集中管理平台，支撑系统实时监控、故障智能诊断、资源统一调度等核心运维工作。系统需具备自动化运维、快速部署、弹性扩容能力，有效降低运维工作压力，提升整体运维管理效率。</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本项目采用虚拟化技术的数据中心设备作为医院新的信息基础平台。具体系统架构如下图：</w:t>
      </w:r>
      <w:r/>
    </w:p>
    <w:p>
      <w:pPr>
        <w:ind w:left="0" w:right="0" w:firstLine="422"/>
        <w:jc w:val="center"/>
        <w:spacing w:before="240" w:after="16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200400" cy="22574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961272" name=""/>
                        <pic:cNvPicPr>
                          <a:picLocks noChangeAspect="1"/>
                        </pic:cNvPicPr>
                        <pic:nvPr/>
                      </pic:nvPicPr>
                      <pic:blipFill>
                        <a:blip/>
                        <a:stretch/>
                      </pic:blipFill>
                      <pic:spPr bwMode="auto">
                        <a:xfrm>
                          <a:off x="0" y="0"/>
                          <a:ext cx="3200400" cy="22574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2.0pt;height:177.8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（1）完成所购设备的安装、调试并与现有数据中心设备集成。</w:t>
      </w:r>
      <w:r/>
    </w:p>
    <w:p>
      <w:pPr>
        <w:ind w:left="0" w:right="0" w:firstLine="42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（2）完成新老平台间数据迁移，内容包含但不限于OA系统、邮件系统、财务系统、人事、资产管理系统、新闻发布类网站系统、数据中台类等，迁移至本项目所建的平台。</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pStyle w:val="756"/>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二、技术要求</w:t>
      </w:r>
      <w:r/>
    </w:p>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1、内网硬件基础设施</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6"/>
        <w:gridCol w:w="72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r>
      <w:tr>
        <w:trPr>
          <w:trHeight w:val="1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硬件规格</w:t>
            </w:r>
            <w:r/>
          </w:p>
          <w:p>
            <w:pPr>
              <w:ind w:left="0" w:right="0" w:firstLine="0"/>
              <w:jc w:val="center"/>
              <w:spacing w:before="280" w:after="16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（在投标分项报价表中明确填写）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★每台配置不低于：</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1）CPU：≥2颗国产x86架构处理器，单颗 ≥32 物理核（线程数≥64），基准主频≥2.2GHz，单颗L3缓存≥64MB，支持双路</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2）内存：≥1536GB DDR4 3200MHz</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3）磁盘：</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系统盘≥2块480GB SSD，</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缓存盘≥2块 3.84TB SSD 2.5英寸，DWPD ≥3；</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数据盘≥8块12TB 7200RPM 3.5英寸SATA HDD</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4）网卡：≥4个千兆电口，≥4个10Gb光口（含光模块）</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5）配置RAID阵列卡，支持raid 1/JBOD等模式</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6）热插拔冗余电源、风扇 </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2、内网资源池</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30"/>
        <w:gridCol w:w="74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r>
      <w:tr>
        <w:trPr>
          <w:trHeight w:val="13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利旧硬件要求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u w:val="single"/>
              </w:rPr>
              <w:t xml:space="preserve">利旧现有20台服务器硬件资源，投标人须在对现场环境充分了解的前提下，研判利旧硬件与所投软件兼容性（如固件升级、硬件改造、软件版本升级等），确保达到医院核心生产环境运行的必要条件，后期由于以上问题造成的影响及损失，由投标人承担。</w:t>
            </w:r>
            <w:r>
              <w:rPr>
                <w:rFonts w:ascii="SimSun" w:hAnsi="SimSun" w:eastAsia="SimSun" w:cs="SimSun"/>
                <w:color w:val="000000"/>
                <w:sz w:val="22"/>
              </w:rPr>
              <w:t xml:space="preserve">（</w:t>
            </w:r>
            <w:r>
              <w:rPr>
                <w:rFonts w:ascii="SimSun" w:hAnsi="SimSun" w:eastAsia="SimSun" w:cs="SimSun"/>
                <w:b/>
                <w:i/>
                <w:color w:val="000000"/>
                <w:sz w:val="21"/>
                <w:u w:val="single"/>
              </w:rPr>
              <w:t xml:space="preserve">提供承诺函，格式自拟）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★提供不少于23节点（共计46颗物理CPU）数量的计算虚拟化、存储虚拟化、网络虚拟化、云管理平台等授权，以及满足医院提出要求的迁移工具及迁移授权，</w:t>
            </w:r>
            <w:r>
              <w:rPr>
                <w:rFonts w:ascii="SimSun" w:hAnsi="SimSun" w:eastAsia="SimSun" w:cs="SimSun"/>
                <w:b/>
                <w:color w:val="000000"/>
                <w:sz w:val="21"/>
              </w:rPr>
              <w:t xml:space="preserve">本次提供的所有软件授权许可为非OEM厂商授权，不受硬件限制可在不同品牌服务器转移使用且永久免费。</w:t>
            </w:r>
            <w:r>
              <w:rPr>
                <w:rFonts w:ascii="SimSun" w:hAnsi="SimSun" w:eastAsia="SimSun" w:cs="SimSun"/>
                <w:color w:val="000000"/>
                <w:sz w:val="22"/>
              </w:rPr>
              <w:t xml:space="preserve">（</w:t>
            </w:r>
            <w:r>
              <w:rPr>
                <w:rFonts w:ascii="SimSun" w:hAnsi="SimSun" w:eastAsia="SimSun" w:cs="SimSun"/>
                <w:b/>
                <w:i/>
                <w:color w:val="000000"/>
                <w:sz w:val="21"/>
                <w:u w:val="single"/>
              </w:rPr>
              <w:t xml:space="preserve">提供承诺函，格式自拟）</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操作系统兼容性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虚拟机应适配院内多种不同的操作系统，包括但不限于Windows server系列、Linux系列、国产化操作系统系列如中标麒麟、银河麒麟、统信、openEuler等；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vMerge w:val="restart"/>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高可用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超融合软件需具备高可用特性，当集群内出现单主机故障时，可以通过HA将虚拟机在集群内其他可用物理主机上拉起；</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★针对硬件服务器可能存在的亚健康问题，包括磁盘、RAID卡、电源等，超融合平台可以识别到此类亚健康问题，并可自动进行热迁移，将重要虚拟机热迁移至健康主机上，提高业务可用性</w:t>
            </w:r>
            <w:r>
              <w:rPr>
                <w:rFonts w:ascii="SimSun" w:hAnsi="SimSun" w:eastAsia="SimSun" w:cs="SimSun"/>
                <w:b/>
                <w:color w:val="000000"/>
                <w:sz w:val="21"/>
              </w:rPr>
              <w:t xml:space="preserve">（中标后签订合同前提供产品功能截图加盖制造商公章）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资源热添加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▲超融合平台具备动态资源热添加能力，当出现业务系统由于访问量过大而导致的CPU、内存使用率过高，平台可以自动为虚拟机添加CPU和内存资源。</w:t>
            </w:r>
            <w:r>
              <w:rPr>
                <w:rFonts w:ascii="SimSun" w:hAnsi="SimSun" w:eastAsia="SimSun" w:cs="SimSun"/>
                <w:b/>
                <w:color w:val="000000"/>
                <w:sz w:val="21"/>
              </w:rPr>
              <w:t xml:space="preserve">（中标后签订合同前提供国家认可的第三方检测机构出具的检测报告）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业务快速部署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提高业务系统部署及上线速度，管理员可通过简易化的方式（如拓扑编辑/可视化流程脚本图等）等方式，实现业务互联拓扑的快速搭建，可以将所需要的元素（如云主机/虚拟交换机/虚拟路由器等）随意编排组合，形成符合实际业务访问特性的虚拟拓扑，并可以完成网络连接、设备开启等操作。</w:t>
            </w:r>
            <w:r>
              <w:rPr>
                <w:rFonts w:ascii="SimSun" w:hAnsi="SimSun" w:eastAsia="SimSun" w:cs="SimSun"/>
                <w:b/>
                <w:color w:val="000000"/>
                <w:sz w:val="21"/>
              </w:rPr>
              <w:t xml:space="preserve">（投标时提供国家认可的第三方检测机构出具的检测报告）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内存可靠性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虚拟化平台为利旧现有服务器进行搭建，硬件设备已经在网使用一段时间，为了防止由于内存问题导致的上层平台稳定性问题，超融合软件可以识别出内存的UE和CE错误，并可以对相应的内存空间进行隔离，减少对上层业务的影响。</w:t>
            </w:r>
            <w:r>
              <w:rPr>
                <w:rFonts w:ascii="SimSun" w:hAnsi="SimSun" w:eastAsia="SimSun" w:cs="SimSun"/>
                <w:b/>
                <w:color w:val="000000"/>
                <w:sz w:val="21"/>
              </w:rPr>
              <w:t xml:space="preserve">（投标时提供国家认可的第三方检测机构出具的检测报告）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磁盘亚健康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目前东院区服务器磁盘使用状况不一，磁盘寿命也存在较大差异，为了减少由于磁盘问题导致的数据重建，超融合平台可以设置坏道扫描任务，发现潜藏的磁盘坏道问题，并可对坏道进行自动修复。</w:t>
            </w:r>
            <w:r>
              <w:rPr>
                <w:rFonts w:ascii="SimSun" w:hAnsi="SimSun" w:eastAsia="SimSun" w:cs="SimSun"/>
                <w:b/>
                <w:color w:val="000000"/>
                <w:sz w:val="21"/>
              </w:rPr>
              <w:t xml:space="preserve">（中标后签订合同前提供国家认可的第三方检测机构出具的检测报告）</w:t>
            </w:r>
            <w:r/>
          </w:p>
        </w:tc>
      </w:tr>
      <w:tr>
        <w:trPr>
          <w:trHeight w:val="1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数据重建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院内业务系统承载可靠性，存储虚拟化需具备自愈能力，当磁盘或节点出现故障后，无需人工干预，数据在集群内硬盘的剩余空间中自动重构。并可根据业务系统重要性对数据重构任务进行优先级调整，优先完成重要业务的数据再平衡。</w:t>
            </w:r>
            <w:r>
              <w:rPr>
                <w:rFonts w:ascii="SimSun" w:hAnsi="SimSun" w:eastAsia="SimSun" w:cs="SimSun"/>
                <w:b/>
                <w:color w:val="000000"/>
                <w:sz w:val="21"/>
              </w:rPr>
              <w:t xml:space="preserve">（投标时提供国家认可的第三方检测机构出具的检测报告）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网络可视化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证超融合内部东西向流量安全，超融合平台提供分布式防火墙能力。同时，为了便于运维人员快速排障，超融合具备网络可视化能力，可以显示虚拟机之间的数据流情况，包括源目对象、源目IP、访问类型、访问次数等，管理员基于排障情况，可以通过防火墙进行中断访问；</w:t>
            </w:r>
            <w:r>
              <w:rPr>
                <w:rFonts w:ascii="SimSun" w:hAnsi="SimSun" w:eastAsia="SimSun" w:cs="SimSun"/>
                <w:b/>
                <w:color w:val="000000"/>
                <w:sz w:val="21"/>
              </w:rPr>
              <w:t xml:space="preserve">（中标后签订合同前提供国家认可的第三方检测机构出具的检测报告）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▲为方便工程师在发现网络通信问题时快速排障，支持连通性探测，可以对探测对象的网口、IP等进行探测，发现虚拟机-网络-客户端间网络故障情况，便于快速定位。</w:t>
            </w:r>
            <w:r>
              <w:rPr>
                <w:rFonts w:ascii="SimSun" w:hAnsi="SimSun" w:eastAsia="SimSun" w:cs="SimSun"/>
                <w:b/>
                <w:color w:val="000000"/>
                <w:sz w:val="21"/>
              </w:rPr>
              <w:t xml:space="preserve">（投标时提供国家认可的第三方检测机构出具的检测报告）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存储对接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为保护院内现有硬件资源投资，超融合平台可以对接现有的iscsi存储，用于承载业务系统，而非只用于备份；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存储高可靠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具备分布式存储能力，形成统一混闪存储池，通过副本形式保障数据存储可靠性。并根据业务系统重要性选择双副本或三副本存储策略；</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存储分卷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1" w:type="dxa"/>
            <w:vAlign w:val="center"/>
            <w:textDirection w:val="lrTb"/>
            <w:noWrap w:val="false"/>
          </w:tcPr>
          <w:p>
            <w:pPr>
              <w:ind w:left="0" w:right="0" w:firstLine="0"/>
              <w:jc w:val="both"/>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同时满足核心业务高IO性能要求以及普通业务对于存储高性价比要求，超融合支持存储分卷，可以用一台服务器的若干块SSD创建高性能存储池，满足高性能要求，将剩余SSD,HDD分卷组成大容量存储池，满足容量需求。</w:t>
            </w:r>
            <w:r>
              <w:rPr>
                <w:rFonts w:ascii="SimSun" w:hAnsi="SimSun" w:eastAsia="SimSun" w:cs="SimSun"/>
                <w:b/>
                <w:color w:val="000000"/>
                <w:sz w:val="21"/>
              </w:rPr>
              <w:t xml:space="preserve">（中标后签订合同前提供国家认可的第三方检测机构出具的检测报告）</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3、外网硬件基础设施</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6"/>
        <w:gridCol w:w="72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硬件规格</w:t>
            </w:r>
            <w:r/>
          </w:p>
          <w:p>
            <w:pPr>
              <w:ind w:left="0" w:right="0" w:firstLine="0"/>
              <w:jc w:val="center"/>
              <w:spacing w:before="280" w:after="16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（在投标分项报价表中明确填写）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★每台配置不低于：</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1）CPU：≥2颗国产x86架构处理器，单颗 ≥32 物理核（线程数≥64），基准主频≥2.2GHz，单颗L3缓存≥64MB，支持双路</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2）内存：≥1024GB DDR4 3200MHz</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3）磁盘：</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系统盘≥2块480GB SSD，</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缓存盘≥2块 3.84TB SSD 2.5英寸，DWPD ≥3；</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数据盘≥8块12TB 7200RPM 3.5英寸SATA HDD</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4）网卡：≥4个千兆电口，≥4个10Gb光口（含光模块）</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5）配置RAID阵列卡，支持raid 1/JBOD等模式</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6）热插拔冗余电源、风扇 </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4、外网C86资源池</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6"/>
        <w:gridCol w:w="72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不少于3节点（共计6颗物理CPU）数量的计算虚拟化、存储虚拟化、网络虚拟化、云管理平台等授权，以及满足医院提出要求的迁移工具及迁移授权，本次提供的所有软件授权许可为非OEM厂商授权，不受硬件限制可在不同品牌服务器转移使用且永久免费。</w:t>
            </w:r>
            <w:r>
              <w:rPr>
                <w:rFonts w:ascii="SimSun" w:hAnsi="SimSun" w:eastAsia="SimSun" w:cs="SimSun"/>
                <w:color w:val="000000"/>
                <w:sz w:val="22"/>
              </w:rPr>
              <w:t xml:space="preserve">（</w:t>
            </w:r>
            <w:r>
              <w:rPr>
                <w:rFonts w:ascii="SimSun" w:hAnsi="SimSun" w:eastAsia="SimSun" w:cs="SimSun"/>
                <w:b/>
                <w:i/>
                <w:color w:val="000000"/>
                <w:sz w:val="21"/>
                <w:u w:val="single"/>
              </w:rPr>
              <w:t xml:space="preserve">提供承诺函，格式自拟）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IO本地化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降低存储访问延迟、提升IO吞吐性能，超融合平台应具备数据本地读写优化能力：虚拟机产生的IO请求优先在所在物理节点本地完成处理，当虚拟机发生在线迁移后，其数据副本应能在新的宿主机上重新建立本地化分布，持续保障低延迟IO访问。</w:t>
            </w:r>
            <w:r>
              <w:rPr>
                <w:rFonts w:ascii="SimSun" w:hAnsi="SimSun" w:eastAsia="SimSun" w:cs="SimSun"/>
                <w:b/>
                <w:color w:val="000000"/>
                <w:sz w:val="21"/>
              </w:rPr>
              <w:t xml:space="preserve">（投标时提供国家认可的第三方检测机构出具的检测报告）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机架感知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提升基础设施级容灾能力，平台应支持基于物理机架位置的故障域管理功能：允许管理员在管理界面上定义机架拓扑信息，系统应根据拓扑策略将数据副本自动分布至不同机架，确保单个机架发生电力或网络故障时不影响数据可用性。</w:t>
            </w:r>
            <w:r>
              <w:rPr>
                <w:rFonts w:ascii="SimSun" w:hAnsi="SimSun" w:eastAsia="SimSun" w:cs="SimSun"/>
                <w:b/>
                <w:color w:val="000000"/>
                <w:sz w:val="21"/>
              </w:rPr>
              <w:t xml:space="preserve">（投标时提供国家认可的第三方检测机构出具的检测报告）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动态资源调度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过配置集群的动态资源调度策略，可基于主机的CPU利用率、内存利用率、磁盘I/O、存储利用率、磁盘请求、网络流量等资源对虚拟机进行动态资源调度，实现自动化的存储资源分配和负载均衡功能，主动确保云环境的服务水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缓存机制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▲针对关键业务虚拟机对存储性能的稳定需求，平台应支持将指定虚拟磁盘的数据锁定于高速缓存层、不被自动降级至低速存储层的能力，确保该类虚拟机享有持续稳定的低延迟IO性能。</w:t>
            </w:r>
            <w:r>
              <w:rPr>
                <w:rFonts w:ascii="SimSun" w:hAnsi="SimSun" w:eastAsia="SimSun" w:cs="SimSun"/>
                <w:b/>
                <w:color w:val="000000"/>
                <w:sz w:val="21"/>
              </w:rPr>
              <w:t xml:space="preserve">（投标时提供国家认可的第三方检测机构出具的检测报告）。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自动报警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★提供自动报警功能，能够提供物理服务器或虚拟机的 CPU、网络、磁盘使用率等指标的实时数据统计，并能反映目前各物理服务器、虚拟机的资源瓶颈。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数据保护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为兼顾数据安全性与存储资源利用效率，平台应内置纠删码（EC）数据保护策略，支持多种冗余比配置模式，以适配不同业务场景对容量效率和容错能力的差异化要求。</w:t>
            </w:r>
            <w:r>
              <w:rPr>
                <w:rFonts w:ascii="SimSun" w:hAnsi="SimSun" w:eastAsia="SimSun" w:cs="SimSun"/>
                <w:b/>
                <w:color w:val="000000"/>
                <w:sz w:val="21"/>
              </w:rPr>
              <w:t xml:space="preserve">（中标后签订合同前提供国家认可的第三方检测机构出具的检测报告）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虚拟机规则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配置多台虚拟机与主机的关系，支持配置为虚拟机必须在同一台主机（聚集规则）、虚拟机必须不在同一台主机（互斥规则）或者虚拟机必须在某台主机上（虚拟机到主机规则），从而避免自动调度对虚拟机业务关系的影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▲平台应具备安全事件应急处置能力，支持对存在安全风险的虚拟机执行一键网络隔离操作，阻断其与集群内其他资源的通信，防止潜在威胁横向扩散。</w:t>
            </w:r>
            <w:r>
              <w:rPr>
                <w:rFonts w:ascii="SimSun" w:hAnsi="SimSun" w:eastAsia="SimSun" w:cs="SimSun"/>
                <w:b/>
                <w:color w:val="000000"/>
                <w:sz w:val="21"/>
              </w:rPr>
              <w:t xml:space="preserve">（中标后签订合同前提供管理平台功能界面截图证明加盖制造商公章）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vMerge w:val="restart"/>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可靠性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保障核心业务连续性，超融合集群应具备故障自愈能力：在最小3节点部署规模下，任一节点出现故障后系统须自动启动数据重建流程，采用多副本冗余策略确保数据不丢失；节点或磁盘故障发生后1分钟内应能自动触发数据恢复。</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平台应具备缓存层局部故障的容错能力，当单个节点内的缓存盘发生故障时，不应影响该节点中其他健康磁盘的正常读写功能，且集群整体可用存储容量不受损。</w:t>
            </w:r>
            <w:r>
              <w:rPr>
                <w:rFonts w:ascii="SimSun" w:hAnsi="SimSun" w:eastAsia="SimSun" w:cs="SimSun"/>
                <w:b/>
                <w:color w:val="000000"/>
                <w:sz w:val="21"/>
              </w:rPr>
              <w:t xml:space="preserve">（中标后签订合同前提供国家认可的第三方检测机构出具的检测报告）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文件存储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w:t>
            </w:r>
            <w:r>
              <w:rPr>
                <w:rFonts w:ascii="SimSun" w:hAnsi="SimSun" w:eastAsia="SimSun" w:cs="SimSun"/>
                <w:color w:val="000000"/>
                <w:sz w:val="21"/>
              </w:rPr>
              <w:t xml:space="preserve">为满足医疗影像、电子病历等非结构化数据的共享存储需求，超融合平台应内置文件存储服务能力，支持标准NFS、HDFS等主流文件访问协议，并可通过统一管理控制台完成文件存储资源的创建、配置与权限管理。</w:t>
            </w:r>
            <w:r>
              <w:rPr>
                <w:rFonts w:ascii="SimSun" w:hAnsi="SimSun" w:eastAsia="SimSun" w:cs="SimSun"/>
                <w:b/>
                <w:color w:val="000000"/>
                <w:sz w:val="21"/>
              </w:rPr>
              <w:t xml:space="preserve">（中标后签订合同前提供国家认可的第三方检测机构出具的检测报告）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平台应支持对检测到异常行为的虚拟机进行界面化即时一键安全隔离处置，限制其网络出入方向流量，防止病毒或恶意程序在集群内部横向传播。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便捷运维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降低日常运维复杂度，超融合管理平台须提供图形化集中运维入口，支持在不登录虚拟机操作系统的情况下，通过管理界面直接完成虚拟机网络参数（IP地址、子网掩码、网关）的修改、NTP时钟同步服务配置的调整，以及指定系统账户密码的重置操作。</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5、外网X86资源池</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66"/>
        <w:gridCol w:w="72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r>
      <w:tr>
        <w:trPr>
          <w:trHeight w:val="2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u w:val="single"/>
              </w:rPr>
              <w:t xml:space="preserve">利旧现有6台服务器硬件资源，投标人须在对现场环境充分了解的前提下，研判利旧硬件与所投软件兼容性（如固件升级、硬件改造、软件版本升级等），确保达到医院核心生产环境运行的必要条件，后期由于以上问题造成的影响及损失，由投标人承担。</w:t>
            </w:r>
            <w:r>
              <w:rPr>
                <w:rFonts w:ascii="SimSun" w:hAnsi="SimSun" w:eastAsia="SimSun" w:cs="SimSun"/>
                <w:color w:val="000000"/>
                <w:sz w:val="22"/>
              </w:rPr>
              <w:t xml:space="preserve">（</w:t>
            </w:r>
            <w:r>
              <w:rPr>
                <w:rFonts w:ascii="SimSun" w:hAnsi="SimSun" w:eastAsia="SimSun" w:cs="SimSun"/>
                <w:b/>
                <w:i/>
                <w:color w:val="000000"/>
                <w:sz w:val="21"/>
                <w:u w:val="single"/>
              </w:rPr>
              <w:t xml:space="preserve">提供承诺函，格式自拟）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★提供满配物理CPU数量的计算虚拟化，以及满足医院提出要求的迁移工具及迁移授权，</w:t>
            </w:r>
            <w:r>
              <w:rPr>
                <w:rFonts w:ascii="SimSun" w:hAnsi="SimSun" w:eastAsia="SimSun" w:cs="SimSun"/>
                <w:b/>
                <w:color w:val="000000"/>
                <w:sz w:val="21"/>
              </w:rPr>
              <w:t xml:space="preserve">本次提供的所有软件授权许可为非OEM厂商授权，不受硬件限制可在不同品牌服务器转移使用且永久免费。</w:t>
            </w:r>
            <w:r>
              <w:rPr>
                <w:rFonts w:ascii="SimSun" w:hAnsi="SimSun" w:eastAsia="SimSun" w:cs="SimSun"/>
                <w:color w:val="000000"/>
                <w:sz w:val="22"/>
              </w:rPr>
              <w:t xml:space="preserve">（</w:t>
            </w:r>
            <w:r>
              <w:rPr>
                <w:rFonts w:ascii="SimSun" w:hAnsi="SimSun" w:eastAsia="SimSun" w:cs="SimSun"/>
                <w:b/>
                <w:i/>
                <w:color w:val="000000"/>
                <w:sz w:val="21"/>
                <w:u w:val="single"/>
              </w:rPr>
              <w:t xml:space="preserve">提供承诺函，格式自拟）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指令集兼容性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适应服务器硬件迭代升级过程中新旧设备长期共存的实际情况，平台应支持跨代CPU主机的虚拟机在线迁移能力：在现有Intel平台上至少提供7种CPU兼容性级别选项，确保不同批次采购的服务器之间可灵活调配计算资源。</w:t>
            </w:r>
            <w:r>
              <w:rPr>
                <w:rFonts w:ascii="SimSun" w:hAnsi="SimSun" w:eastAsia="SimSun" w:cs="SimSun"/>
                <w:b/>
                <w:color w:val="000000"/>
                <w:sz w:val="21"/>
              </w:rPr>
              <w:t xml:space="preserve">（中标后签订合同前提供管理平台功能界面截图证明加盖制造商公章）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HA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内置虚拟化平台支持高可用（HA）功能，当单一节点出现主机故障、存储网络故障、虚拟机业务网络故障或虚拟机状态异常，均支持自动触发虚拟机 HA，该节点上的虚拟机自动迁移至其他节点并启动运行。</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克隆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虚拟机支持两种克隆模式，包括快速克隆和完整克隆。其中，快速克隆的执行时间不会因为磁盘大小而改变，都能在一分钟之内完成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集中式存储接入要求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平台应支持对接外部集中式存储，至少支持通过 iSCSI、FC 等协议挂载存储资源，并可将其作为虚拟机数据存储使用。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在线迁移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★支持虚拟机在不同物理主机之间进行在线迁移，迁移过程中业务不中断或短暂中断，满足主机维护和资源调度需求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网络虚拟化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★支持虚拟交换机、VLAN、虚拟网卡等网络功能，能够为虚拟机提供业务网络、管理网络、存储网络等不同类型网络接入。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加密能力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满足医疗信息系统对数据安全与合规加密的需求，平台应提供虚拟机级别的数据加密能力：支持国产密码加密卡以硬件直通或SR-IOV虚拟化方式为虚拟机提供加密服务；加密通道需支持高可用配置，确保加密卡或加密服务故障时业务不中断。</w:t>
            </w:r>
            <w:r>
              <w:rPr>
                <w:rFonts w:ascii="SimSun" w:hAnsi="SimSun" w:eastAsia="SimSun" w:cs="SimSun"/>
                <w:b/>
                <w:color w:val="000000"/>
                <w:sz w:val="21"/>
              </w:rPr>
              <w:t xml:space="preserve">（中标后签订合同前提供产品功能截图加盖制造商公章）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权限与审计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平台应支持多用户、多角色权限管理，支持操作日志、登录日志、任务日志和告警记录查询，满足日常运维审计要求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6"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告警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80"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平台应提供主机、虚拟机、存储、网络等资源的运行状态监控，支持 CPU、内存、磁盘、网络等关键指标展示，并支持故障告警</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6、外网业务/数据交换机</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5"/>
        <w:gridCol w:w="4535"/>
      </w:tblGrid>
      <w:tr>
        <w:trPr>
          <w:trHeight w:val="2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r>
      <w:tr>
        <w:trPr>
          <w:trHeight w:val="5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基础硬件</w:t>
            </w:r>
            <w:r/>
          </w:p>
          <w:p>
            <w:pPr>
              <w:ind w:left="0" w:right="0" w:firstLine="0"/>
              <w:jc w:val="center"/>
              <w:spacing w:before="280" w:after="16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（在投标分项报价表中明确填写）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★交换容量≥4.8Tbps，包转发率≥1620Mpps，万兆以太网光口≥32个，100G以太网光口≥4个，扩展插槽（非电源、风扇插槽）≥2个，以官网最小值为准</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路由性能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支持IPv4/IPv6静态路由、RIP、OSPF、IS-IS、BGP、等价路由、策略路由；</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虚拟化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支持多虚一技术(N:1)，可将多台物理设备虚拟化为1台逻辑设备</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▲所投业务交换机须支持内置智能图形化管理平台，通过 Web 页面图形化设置管理设备查看所有成员设备信息，实现拓扑查看，并可通过图形化界面创建配置组，实现配置文件一键下发、拓扑内设备批量版本升级、配置命令一键下发。</w:t>
            </w:r>
            <w:r>
              <w:rPr>
                <w:rFonts w:ascii="SimSun" w:hAnsi="SimSun" w:eastAsia="SimSun" w:cs="SimSun"/>
                <w:b/>
                <w:color w:val="000000"/>
                <w:sz w:val="21"/>
              </w:rPr>
              <w:t xml:space="preserve">（投标时提供国家认可的第三方检测机构出具的检测报告）</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光功率检测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▲支持端口光功率异常检测，在光功率异常时能记录异常信息</w:t>
            </w:r>
            <w:r>
              <w:rPr>
                <w:rFonts w:ascii="SimSun" w:hAnsi="SimSun" w:eastAsia="SimSun" w:cs="SimSun"/>
                <w:b/>
                <w:color w:val="000000"/>
                <w:sz w:val="21"/>
              </w:rPr>
              <w:t xml:space="preserve">（投标时提供国家认可的第三方检测机构出具的检测报告）</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镜像功能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支持本地端口镜像和远程端口镜像RSPAN、流镜像、N：M的端口镜像（M大于1）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环网协议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支持ERPS功能，能够快速阻断环路；支持STP、RSTP、MSTP，环网故障恢复时间短；</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访问控制策略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支持基于第二层、第三层和第四层的ACL；支持MAC认证、802.1x认证、portal认证；</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VXLAN</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★支持VXLAN网关功能，能够实现VXLAN二三层互通；</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★配置不低于双电源，双风扇，满配万兆多模光模块，40G虚拟化线缆≥1根；</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7、管理交换机</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5"/>
        <w:gridCol w:w="4535"/>
      </w:tblGrid>
      <w:tr>
        <w:trPr>
          <w:trHeight w:val="2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r>
      <w:tr>
        <w:trPr>
          <w:trHeight w:val="5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基础硬件</w:t>
            </w:r>
            <w:r/>
          </w:p>
          <w:p>
            <w:pPr>
              <w:ind w:left="0" w:right="0" w:firstLine="0"/>
              <w:jc w:val="center"/>
              <w:spacing w:before="280" w:after="16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（在投标分项报价表中明确填写）</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★交换容量≥672Gbps，包转发率≥171Mpps，整机提供≥24个千兆以太网电口，提供≥4个万兆以太网光口；</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路由性能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支持IPv4/IPv6静态路由，支持RIP/RIPng，OSPF</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虚拟化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支持多虚一技术(N:1)，可将多台物理设备虚拟化为1台逻辑设备</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支持Telemetry技术，可通过GRPC协议将交换机的实时资源信息与告警信息上送至运维平台；</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镜像功能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支持本地端口镜像和远程端口镜像RSPAN、流镜像、N：M的端口镜像（M大于1）</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环网协议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支持ERPS功能，能够快速阻断环路；支持STP、RSTP、MSTP，环网故障恢复时间短；</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访问控制策略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5"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支持基于第二层、第三层和第四层的ACL；</w:t>
            </w:r>
            <w:r/>
          </w:p>
        </w:tc>
      </w:tr>
    </w:tbl>
    <w:p>
      <w:pPr>
        <w:ind w:left="0" w:right="0" w:firstLine="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8、TAP交换机</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65"/>
        <w:gridCol w:w="7302"/>
      </w:tblGrid>
      <w:tr>
        <w:trPr>
          <w:trHeight w:val="4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技术要求</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基础硬件</w:t>
            </w:r>
            <w:r/>
          </w:p>
          <w:p>
            <w:pPr>
              <w:ind w:left="0" w:right="0" w:firstLine="0"/>
              <w:jc w:val="center"/>
              <w:spacing w:before="280" w:after="16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（在投标分项报价表中明确填写）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★交换容量≥4.8 Tbps，包转发率≥2000 Mpps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路由性能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支持IPv4/IPv6静态路由、RIP、OSPF、IS-IS、BGP、等价路由、策略路由；</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vMerge w:val="restart"/>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TAP功能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▲支持基于端口的M:N模型功能，支持基于流的M:N模型功能。</w:t>
            </w:r>
            <w:r>
              <w:rPr>
                <w:rFonts w:ascii="SimSun" w:hAnsi="SimSun" w:eastAsia="SimSun" w:cs="SimSun"/>
                <w:b/>
                <w:color w:val="000000"/>
                <w:sz w:val="21"/>
              </w:rPr>
              <w:t xml:space="preserve">（投标时提供国家认可的第三方检测机构出具的检测报告）</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▲支持TAP M:N模型下，最大M口规格不少于53个，最大N口规格不少于53个</w:t>
            </w:r>
            <w:r>
              <w:rPr>
                <w:rFonts w:ascii="SimSun" w:hAnsi="SimSun" w:eastAsia="SimSun" w:cs="SimSun"/>
                <w:b/>
                <w:color w:val="000000"/>
                <w:sz w:val="21"/>
              </w:rPr>
              <w:t xml:space="preserve">（投标时提供国家认可的第三方检测机构出具的检测报告）</w:t>
            </w:r>
            <w:r>
              <w:rPr>
                <w:rFonts w:ascii="SimSun" w:hAnsi="SimSun" w:eastAsia="SimSun" w:cs="SimSun"/>
                <w:color w:val="000000"/>
                <w:sz w:val="21"/>
              </w:rPr>
              <w:t xml:space="preserve">；</w:t>
            </w:r>
            <w:r/>
          </w:p>
        </w:tc>
      </w:tr>
      <w:tr>
        <w:trPr>
          <w:trHeight w:val="45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▲支持IPV4、IPV6报文五元组流分类功能</w:t>
            </w:r>
            <w:r>
              <w:rPr>
                <w:rFonts w:ascii="SimSun" w:hAnsi="SimSun" w:eastAsia="SimSun" w:cs="SimSun"/>
                <w:b/>
                <w:color w:val="000000"/>
                <w:sz w:val="21"/>
              </w:rPr>
              <w:t xml:space="preserve">（投标时提供国家认可的第三方检测机构出具的检测报告）</w:t>
            </w:r>
            <w:r>
              <w:rPr>
                <w:rFonts w:ascii="SimSun" w:hAnsi="SimSun" w:eastAsia="SimSun" w:cs="SimSun"/>
                <w:color w:val="000000"/>
                <w:sz w:val="21"/>
              </w:rPr>
              <w:t xml:space="preserve">；</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环网协议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支持ERPS功能，能够快速阻断环路；支持STP、RSTP、MSTP，环网故障恢复时间短；</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访问控制策略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支持基于第二层、第三层和第四层的ACL；支持802.1x认证，支持集中式MAC地址认证；</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SDN/OPENFLOW</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支持OPENFLOW 1.3标准，支持普通模式和Openflow 模式切换</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配置要求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2" w:type="dxa"/>
            <w:vAlign w:val="center"/>
            <w:textDirection w:val="lrTb"/>
            <w:noWrap w:val="false"/>
          </w:tcPr>
          <w:p>
            <w:pPr>
              <w:ind w:left="0" w:right="0" w:firstLine="0"/>
              <w:spacing w:before="20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★单台配置不低于双电源，四风扇，提供≥48端口万兆以太网光接口，提供≥2端口40G以太网光接口，提供≥4端口100G以太网光接口</w:t>
            </w:r>
            <w:r/>
          </w:p>
        </w:tc>
      </w:tr>
    </w:tbl>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56"/>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三、★商务要求</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1.项目实施与合规</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的系统规划、建设、使用过程中的网络、数据安全管理，须严格执行相关管理规定与标准规范（国家卫健委《关于印发医疗卫生机构数据安全和个人信息保护管理办法（试行）的通知》、《卫生健康行业数据分类分级指南（试行）》，公安部《网络安全等级保护测评高风险判定实施指引（试行）》，江苏省卫健委《关于落实卫生健康行业数据分类分级指南（试行）的通知》、《江苏省卫生信息化项目建设网络安全管理规定（试行）》等）中的相应条款。</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2.交货期</w:t>
      </w:r>
      <w:r/>
    </w:p>
    <w:p>
      <w:pPr>
        <w:ind w:left="0" w:right="0" w:firstLine="44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合同签定之日起60工作日内安装调试完成（含采购标的清单中所有内容）。商品包装环保要求：应当按《关于印发〈商品包装政府采购需求标准（试行）〉、〈快递包装政府采购需求标准（试行）〉的通知》（财办库〔2020〕123号）文件执行。</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3.交货地点</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所有设备必须为原装正品，生产日期不早于设备到货日期前6个月。所有货品运送及安装到采购人指定地点。</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4.售后服务要求</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验收合格后中标人提供软硬件免费维保服务三年。</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免费维保期内，因货物质量问题导致的各种故障的技术服务及维修所产生的一切费用由中标人负责承担。</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维保期内，中标人为本项目中所有设备提供质保服务、软件升级服务、全免费上门主动服务和应急服务等，按照月度提供巡检服务，采购人不再另外付费。中标人提供7*24小时售后服务，对于现场应急服务应立即响应，10分钟内电话或者远程技术支持；若采购人要求现场服务的，专业技术人员需在2小时内到达现场；硬件设备维修和替换至少实现4小时内解决、关键设备2小时内解决。</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免费维保期内中标人提供所有软件（包括大、小版本等）的升级，不得以任何借口收取任何升级费用。</w:t>
      </w:r>
      <w:r/>
    </w:p>
    <w:p>
      <w:pPr>
        <w:ind w:left="0" w:right="0" w:firstLine="440"/>
        <w:jc w:val="both"/>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如遇重大节日或下采购人认为的重要时期，需按采购人指定要求进行特殊时期的保障服务。</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5.验收标准</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本项目采用两阶段履约验收，验收依据为本项目招标文件、投标文件、合同、相关国家或行业标准。</w:t>
      </w:r>
      <w:r/>
    </w:p>
    <w:p>
      <w:pPr>
        <w:ind w:left="0" w:right="0" w:firstLine="44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(1)初步验收</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部货物到货、安装调试完成，设备可正常启用，能够实现招标文件约定全部功能。中标人须完整提交货物合格证明、产品说明书、技术手册、设备台账、售后服务方案、培训记录及全套项目技术资料，资料真实完整。采购人组织现场核查，确认设备运行正常、资料齐全，出具初步验收报告，即为初验合格。采购人有权选择具备相应检测资质的第三方检测机构对到货设备进行核验或者抽检，检测结果符合约定的，检测费用由采购人承担；检测结果不符合约定的，检测费用由中标人承担。</w:t>
      </w:r>
      <w:r/>
    </w:p>
    <w:p>
      <w:pPr>
        <w:ind w:left="0" w:right="0" w:firstLine="44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(2)最终验收</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初验合格后项目进入六个月试运行期。试运行期间，中标人须按合同约定提供维保服务，保障设备稳定运行。若出现影响核心业务的故障、功能失效，中标人须在约定时限内完成整改，试运行期不自动顺延；仅不影响核心功能的轻微瑕疵，中标人及时修复的，不视为试运行不合格。</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试运行期满，采购人组织复核验收，核查设备整体运行稳定性，确认满足招标文件全部使用要求，出具最终验收报告，项目履约验收全部完成。</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特别约定：项目全部款项付清，不免除中标人合同约定的质保责任，质保期自初验合格之日起计算，质保义务按合同约定执行。 </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6.付款方式</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本项目分三期支付，所有付款前提：中标人提交对应金额合法、有效的等额增值税发票及配套付款资料，采购人资料审核无误后启动支付。 </w:t>
      </w:r>
      <w:r/>
    </w:p>
    <w:p>
      <w:pPr>
        <w:ind w:left="0" w:right="0" w:firstLine="44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(1)第一期（预付款）</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合同签订生效，采购人收到中标人开具等额增值税发票后30个工作日内，支付合同总价30%预付款。</w:t>
      </w:r>
      <w:r/>
    </w:p>
    <w:p>
      <w:pPr>
        <w:ind w:left="0" w:right="0" w:firstLine="44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(2)第二期（初验进度款）</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项目完成全部到货、安装调试，通过初步验收并出具初验报告；采购人足额收到中标人对应金额增值税发票、全套初验资料后30个工作日内，累计支付至合同总价70%。</w:t>
      </w:r>
      <w:r/>
    </w:p>
    <w:p>
      <w:pPr>
        <w:ind w:left="0" w:right="0" w:firstLine="442"/>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(3)第三期（终验余款）</w:t>
      </w:r>
      <w:r/>
    </w:p>
    <w:p>
      <w:pPr>
        <w:ind w:left="0" w:right="0" w:firstLine="440"/>
        <w:spacing w:before="21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项目六个月试运行期满，顺利通过最终验收并出具终验报告；采购人足额收到中标人剩余金额增值税发票及全套终验归档资料后30个工作日内，付清剩余30%合同价款，合同款项100%结清。</w:t>
      </w:r>
      <w:r/>
    </w:p>
    <w:p>
      <w:pPr>
        <w:ind w:left="0" w:right="0" w:firstLine="0"/>
        <w:spacing w:before="2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7.履约保证金：</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成交后的履约保证金为项目成交价的5%，中标人的履约保证金须确保合同签订时已汇入采购人单位账户（应当以数字人民币、支票、汇票或者金融机构、担保机构出具的保函等非现金形式提交），中标人凭成交通知书与采购单位签订合同。超期或未有协商，则视为自动放弃成交资格。</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(2)中标人全部履约合同义务，经采购单位验收合格无质量、进度等问题的，采购人在最终验收合格后一次性无息退还履约保证金。</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(3)发生以下情况的，履约保证金不予退还或部分退还：</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a.签订合同后，中标人不履行合同义务的，采购单位有权全额扣除履约保证金，全额不予退还，同时采购单位亦有权终止合同，中标人还须承担相应的法律赔偿责任。</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b.中标人在履约过程中发生违约行为，给采购单位造成损失的，采购单位有权在中标人缴纳的履约保证金中予以扣款，以弥补采购单位经济损失，不足的部分中标人另外补齐。</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以履约保函（保险）形式向采购人缴纳的，按照《关于在全省政府采购领域推行电子履约保函（保险）的通知》，登录江苏政府采购网，选择“保险保函”模块，进行相关操作。投标人可登录江苏政府采购网“资料下载”栏目下载“政府采购电子履约（保函）保险操作手册”。</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pStyle w:val="756"/>
        <w:ind w:left="0" w:right="0" w:firstLine="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1.上述中加注“★”符号的关键条款指标为实质性要求，不允许负偏离，否则投标无效；加注“▲”符号的重要条款指标；其他为一般条款指标。</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2.加注“★”符号的关键条款指标、加注“▲”符号的重要条款指标和一般条款指标要求提供相关材料的，均须提供证明材料，未提供的评委有权认定为负偏离。</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3.商务要求条款均为实质性要求不允许负偏离，否则投标无效。</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4.现场勘查</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涉及综合数据中心基础平台，项目现场环境情况复杂。投标人可自行前往南通大学附属医院进行现场勘查，投标人踏勘完成后取得由南通大学附属医院信息中心盖章确认的《现场勘查确认函》，现场勘察联系人:杨老师，联系电话:0513-59983088，时间:自采购公告发布之日起至响应文件递交截止之日（法定工作日，上午08:30至11:30，下午13:30至17:00），地点:南通大学附属医院东院区54区信息中心。</w:t>
      </w:r>
      <w:r/>
    </w:p>
    <w:p>
      <w:pPr>
        <w:ind w:left="0" w:right="0" w:firstLine="480"/>
        <w:jc w:val="both"/>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5"/>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第五章</w:t>
      </w:r>
      <w:r>
        <w:rPr>
          <w:rFonts w:ascii="Arial" w:hAnsi="Arial" w:eastAsia="Arial" w:cs="Arial"/>
          <w:b/>
          <w:color w:val="000000"/>
          <w:sz w:val="40"/>
        </w:rPr>
        <w:t xml:space="preserve">  </w:t>
      </w:r>
      <w:r>
        <w:rPr>
          <w:rFonts w:ascii="Microsoft YaHei" w:hAnsi="Microsoft YaHei" w:eastAsia="Microsoft YaHei" w:cs="Microsoft YaHei"/>
          <w:b/>
          <w:color w:val="000000"/>
          <w:sz w:val="40"/>
        </w:rPr>
        <w:t xml:space="preserve">评标方法与评标标准</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1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（1）本项目对小型和微型企业产品给予10%的扣除价格，用扣除后的价格参与评审。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（1）本项目对残疾人福利性单位视同小型、微型企业，给予10%的价格扣除，用扣除后的价格参与评审。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（1）本项目对监狱和戒毒企业（简称监狱企业）视同小型、微型企业，给予10%的价格扣除，用扣除后的价格参与评审。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6、联合体各方均为小型、微型企业（残疾人福利单位、监狱企业）的，联合体享受10%价格扣除，用扣除后的价格参与评审。</w:t>
      </w:r>
      <w:r/>
    </w:p>
    <w:p>
      <w:pPr>
        <w:numPr>
          <w:ilvl w:val="0"/>
          <w:numId w:val="11"/>
        </w:numPr>
        <w:spacing w:before="16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采购本国产品的支持政策</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（2）本项目政府采购活动中既有本国产品又有非本国产品参与竞争的，依法对本国产品给予价格评审优惠，对本国产品的报价给予  20%的价格扣除，用扣除后的价格参与评审。</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（4）供应商需按照招标文件的要求提供《关于符合本国产品标准的声明函》（以下简称《声明函》），如不提供将不享受本国产品价格评审优惠。</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符合性审查内容</w:t>
      </w:r>
      <w:r/>
    </w:p>
    <w:p>
      <w:pPr>
        <w:ind w:left="0" w:right="0" w:firstLine="0"/>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（在综合评审之前，评标委员会应当对通过资格审查的投标人的投标文件进行符合性审查；投标文件不符合下列要求的，属于重大偏差，投标文件无效）</w:t>
      </w:r>
      <w:r/>
    </w:p>
    <w:p>
      <w:pPr>
        <w:numPr>
          <w:ilvl w:val="0"/>
          <w:numId w:val="12"/>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p>
    <w:p>
      <w:pPr>
        <w:ind w:left="482"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w:t>
      </w:r>
      <w:r>
        <w:rPr>
          <w:rFonts w:ascii="SimSun" w:hAnsi="SimSun" w:eastAsia="SimSun" w:cs="SimSun"/>
          <w:color w:val="000000"/>
          <w:sz w:val="24"/>
        </w:rPr>
        <w:t xml:space="preserve">具体要求详见报价表要求。</w:t>
      </w:r>
      <w:r/>
    </w:p>
    <w:p>
      <w:pPr>
        <w:ind w:left="482"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w:t>
      </w:r>
      <w:r>
        <w:rPr>
          <w:rFonts w:ascii="SimSun" w:hAnsi="SimSun" w:eastAsia="SimSun" w:cs="SimSun"/>
          <w:color w:val="000000"/>
          <w:sz w:val="24"/>
        </w:rPr>
        <w:t xml:space="preserve">投标(响应)报价审查</w:t>
      </w:r>
      <w:r/>
    </w:p>
    <w:p>
      <w:pPr>
        <w:numPr>
          <w:ilvl w:val="0"/>
          <w:numId w:val="12"/>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spacing w:before="12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2.1《第六章投标文件格式》中“投标文件构成”没有实质性缺漏；</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2.2响应文件签字、盖章符合文件要求；</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2.3不得出现备选投标方案；</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2.4不得出现采购人不能接受的附加条件的；</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2.5无投标文件出现法律、法规和招标文件规定的其他无效情形；</w:t>
      </w:r>
      <w:r/>
    </w:p>
    <w:p>
      <w:pPr>
        <w:numPr>
          <w:ilvl w:val="0"/>
          <w:numId w:val="12"/>
        </w:numP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spacing w:before="12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3.1《技术、商务条款偏离表》中加注“★“的实质性响应条款不得出现任何负偏离。</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512"/>
        <w:spacing w:before="120" w:after="12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2"/>
        <w:spacing w:before="24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3"/>
        <w:gridCol w:w="6602"/>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评委根据投标文件中《技术要求响应及偏离表》，结合投标文件提供的佐证材料等进行评审：</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注“★”号的关键条款指标为实质性相应条款，不接收负偏离，加注“▲”号的重要指标每有一项正偏离或响应加2分，一般指标每有一项正偏离或响应加0.5分，即完全响应招标文件《第四章：采购需求》二、技术要求的，得满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注：投标人需按照本采购文件第四章的技术要求，在《技术要求响应及偏离表》中如实详细填列所投产品的参数，并按要求提供佐证材料，否则评标委员会有权做负偏离处理。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20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由评委根据投标文件中投标人的类似项目业绩情况进行评审：</w:t>
            </w:r>
            <w:r/>
          </w:p>
          <w:p>
            <w:pPr>
              <w:ind w:left="0" w:right="0" w:firstLine="0"/>
              <w:spacing w:before="20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投标人提供自2023年1月1日以来（以合同签字日期为准）类似项目的完整合同及发票（复印件）记为一份业绩，每提供一份业绩得1分，最高得3分，未提供或有缺漏的不得分；</w:t>
            </w:r>
            <w:r>
              <w:rPr>
                <w:rFonts w:ascii="SimSun" w:hAnsi="SimSun" w:eastAsia="SimSun" w:cs="SimSun"/>
                <w:b/>
                <w:color w:val="000000"/>
                <w:sz w:val="24"/>
              </w:rPr>
              <w:t xml:space="preserve">并由投标人提供经营业绩情况说明列表，合同及发票对应内容包括采购方名称、项目内容、合同金额、签订时间等。同一采购方业绩不重复得分。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投标人须确保所提供的发票真实有效，二维码及发票号码清晰可辨，所有发票均可通过国家税务总局全国增值税发票查验平台（网址：https://inv-veri.chinatax.gov.cn/）查验。</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履约能力</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1.信息系统业务安全服务资质（CCIA）一级证书；</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2.CCRC信息安全服务资质认证证书一级(信息系统安全集成)；</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3.国家版权局颁发的虚拟化云平台软件相关计算机软件著作权登记证书；</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4.国家版权局颁发的分布式存储平台软件相关计算机软件著作权登记证书。</w:t>
            </w:r>
            <w:r/>
          </w:p>
          <w:p>
            <w:pPr>
              <w:ind w:left="0" w:right="0" w:firstLine="0"/>
              <w:spacing w:before="20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以上每提供一项证书得1分，提供证书扫描件，未提供不得分，最高得4分。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团队人员</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项目团队成员具有：</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1.信息系统项目管理师证书；</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2.系统架构设计师证书；</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3.网络规划设计师证书；</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4.系统分析师证书；</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5.系统规划与管理师证书</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每提供一人得1分，需提供对应人员身份证、证书扫描件、投标人开标之日前六个月任意一个月为其缴纳社保的证明材料，同一人具备多个证书和多个人员具备同一证书的，均不重复得分。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项目实施方案</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根据各投标人提供的项目实施方案内容（包括但不限于</w:t>
            </w:r>
            <w:r>
              <w:rPr>
                <w:rFonts w:ascii="SimSun" w:hAnsi="SimSun" w:eastAsia="SimSun" w:cs="SimSun"/>
                <w:b/>
                <w:color w:val="000000"/>
                <w:sz w:val="24"/>
              </w:rPr>
              <w:t xml:space="preserve">a实施进度计划、b工期保证措施、c安全风险控制措施</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以上每项内容最多得2分，该项最多得6分。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1、方案内容完整无缺漏，结合采购人实际场景，表述完整、逻辑顺序清晰，符合国家法律法规及行业规范的，得2分；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2、方案内容存在缺漏，未结合采购人实际场景，缺乏表述、逻辑顺序，符合国家法律法规，该项得1分；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3、未提供方案或者经评标委员会认定不适用于本项目实际情况的不得分。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培训方案</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根据各投标人针对本项目拟定的培训方案（包括但不限于</w:t>
            </w:r>
            <w:r>
              <w:rPr>
                <w:rFonts w:ascii="SimSun" w:hAnsi="SimSun" w:eastAsia="SimSun" w:cs="SimSun"/>
                <w:b/>
                <w:color w:val="000000"/>
                <w:sz w:val="24"/>
              </w:rPr>
              <w:t xml:space="preserve">a日常、临时操作培训、b日常维护保养培训</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以上每项内容最多得2分，该项最多得4分。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1、方案内容完整无缺漏，结合采购人实际场景，表述完整、逻辑顺序清晰，符合国家法律法规及行业规范，得2分；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2、方案内容存在缺漏，未结合采购人实际场景，缺乏表述、逻辑顺序，符合国家法律法规，该项得1分；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3、未提供方案或者经评标委员会认定不适用于本项目实际情况的不得分。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售后服务方案</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根据各投标人针对本项目拟定的售后服务方案（包括但不限于</w:t>
            </w:r>
            <w:r>
              <w:rPr>
                <w:rFonts w:ascii="SimSun" w:hAnsi="SimSun" w:eastAsia="SimSun" w:cs="SimSun"/>
                <w:b/>
                <w:color w:val="000000"/>
                <w:sz w:val="24"/>
              </w:rPr>
              <w:t xml:space="preserve">a维修维护响应时间及方式、b应急维修应对措施、c技术服务人员及零配件和维修备品备件的供应保障措施</w:t>
            </w:r>
            <w:r>
              <w:rPr>
                <w:rFonts w:ascii="SimSun" w:hAnsi="SimSun" w:eastAsia="SimSun" w:cs="SimSun"/>
                <w:color w:val="000000"/>
                <w:sz w:val="24"/>
              </w:rPr>
              <w:t xml:space="preserve">等）进行评审：</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以上每项内容最多得2分，该项最多得6分。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注：评标委员会根据各供应商的对应响应方案按照以下量化评审因素指标对各项要求进行满足性判断：</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1、方案内容完整无缺漏，结合采购人实际场景，表述完整、逻辑顺序清晰，符合国家法律法规及行业规范，得2分；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2、方案内容存在缺漏，未结合采购人实际场景，缺乏表述、逻辑顺序，符合国家法律法规，该项得1分；</w:t>
            </w:r>
            <w:r/>
          </w:p>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3、未提供方案或者经评标委员会认定不适用于本项目实际情况的不得分。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33" w:type="dxa"/>
            <w:vAlign w:val="center"/>
            <w:textDirection w:val="lrTb"/>
            <w:noWrap w:val="false"/>
          </w:tcPr>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节能环保</w:t>
            </w:r>
            <w:r/>
          </w:p>
          <w:p>
            <w:pPr>
              <w:ind w:left="0" w:right="0" w:firstLine="0"/>
              <w:jc w:val="center"/>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2" w:type="dxa"/>
            <w:vAlign w:val="center"/>
            <w:textDirection w:val="lrTb"/>
            <w:noWrap w:val="false"/>
          </w:tcPr>
          <w:p>
            <w:pPr>
              <w:ind w:left="0" w:right="0" w:firstLine="0"/>
              <w:jc w:val="both"/>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1.投标产品属于财政部、国家发改委公布的“节能产品品目清单”范围内的，供应商提供国家确定的认证机构出具的、处于有效期之内的该节能产品认证证书扫描件的，每有一个得0.5分，最多得1分。</w:t>
            </w:r>
            <w:r/>
          </w:p>
          <w:p>
            <w:pPr>
              <w:ind w:left="0" w:right="0" w:firstLine="0"/>
              <w:spacing w:before="20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2.投标产品属于财政部、生态环境部公布的“环境标志产品品目清单”范围内的，供应商提供国家确定的认证机构出具的、处于有效期内的该环保产品认证证书扫描件的，每有一个得0.5分，最多得1分。</w:t>
            </w:r>
            <w:r/>
          </w:p>
        </w:tc>
      </w:tr>
    </w:tbl>
    <w:p>
      <w:pPr>
        <w:pStyle w:val="755"/>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br w:type="page" w:clear="all"/>
      </w:r>
      <w:r/>
    </w:p>
    <w:p>
      <w:pPr>
        <w:pStyle w:val="755"/>
        <w:ind w:left="0" w:right="0" w:firstLine="0"/>
        <w:jc w:val="center"/>
        <w:spacing w:before="480" w:after="200" w:line="46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b/>
          <w:color w:val="000000"/>
          <w:sz w:val="40"/>
        </w:rPr>
        <w:t xml:space="preserve">第六章  投标文件格式</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投  标  文  件</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p>
    <w:p>
      <w:pPr>
        <w:ind w:left="0" w:right="0" w:firstLine="0"/>
        <w:jc w:val="center"/>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8"/>
        </w:rPr>
        <w:t xml:space="preserve">投标文件目录</w:t>
      </w:r>
      <w:r/>
    </w:p>
    <w:p>
      <w:pPr>
        <w:ind w:left="0" w:right="0" w:firstLine="0"/>
        <w:jc w:val="center"/>
        <w:spacing w:before="24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一、基本目录</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1.开标一览表（格式见附件1）</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2.投标分项报价表（格式见附件2）</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3.技术要求响应及偏离表（格式见附件3）</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4.商务要求响应及偏离表（格式见附件4）</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二、资格审查内容</w:t>
      </w:r>
      <w:r/>
    </w:p>
    <w:p>
      <w:pPr>
        <w:ind w:left="0" w:right="0" w:firstLine="56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1.投标人符合《政府采购法》第二十二条规定条件（格式见附件5）</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2.特定资格要求的证明文件（如果本项目对投标人做出特定资格要求的，必须提供）（格式见附件6）</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3.投标函（格式见附件7）</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4.中小微企业声明函（格式见附件8）、残疾人福利性单位声明函（格式见附件9）——如为专门面向中小企业采购的项目则必须提供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5.关于符合本国产品标准的声明函（格式见附件10）</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上述“资格审查内容”中1、3条投标人必须在投标文件中提供相关材料，否则作无效投标处理；2条如招标文件要求必须提供相关材料而未提供的，作无效投标处理；4、5条根据政府采购优惠政策落实情况提供。</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三、符合性审查内容</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投标人必须对采购需求中的实质性要求逐条做出响应，并按照招标文件要求提供证明材料，否则做无效投标处理，详见第五章。</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四、价格扣除证明文件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1.中小微企业声明函（格式见附件8）</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2.残疾人福利性单位声明函（格式见附件9）</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3.关于符合本国产品标准的声明函（格式见附件10）</w:t>
      </w:r>
      <w:r/>
    </w:p>
    <w:p>
      <w:pPr>
        <w:ind w:left="48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6"/>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 开标一览表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开标一览表</w:t>
      </w:r>
      <w:r/>
    </w:p>
    <w:p>
      <w:pPr>
        <w:ind w:left="0" w:right="0" w:firstLine="48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投标人全称（加盖CA电子签章）：</w:t>
      </w:r>
      <w:r/>
    </w:p>
    <w:p>
      <w:pPr>
        <w:ind w:left="0" w:right="0" w:firstLine="48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p>
      <w:pPr>
        <w:ind w:left="0" w:right="0" w:firstLine="482"/>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p>
    <w:p>
      <w:pPr>
        <w:ind w:left="0" w:right="0" w:firstLine="482"/>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1"/>
        <w:gridCol w:w="6640"/>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1" w:type="dxa"/>
            <w:vAlign w:val="center"/>
            <w:textDirection w:val="lrTb"/>
            <w:noWrap w:val="false"/>
          </w:tcPr>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w:t>
            </w:r>
            <w:r>
              <w:rPr>
                <w:rFonts w:ascii="Calibri" w:hAnsi="Calibri" w:eastAsia="Calibri" w:cs="Calibri"/>
                <w:color w:val="000000"/>
                <w:sz w:val="28"/>
              </w:rPr>
              <w:t xml:space="preserve">     </w:t>
            </w:r>
            <w:r>
              <w:rPr>
                <w:rFonts w:ascii="FangSong" w:hAnsi="FangSong" w:eastAsia="FangSong" w:cs="FangSong"/>
                <w:color w:val="000000"/>
                <w:sz w:val="28"/>
              </w:rPr>
              <w:t xml:space="preserve">                          （人民币：          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0" w:type="dxa"/>
            <w:vAlign w:val="center"/>
            <w:textDirection w:val="lrTb"/>
            <w:noWrap w:val="false"/>
          </w:tcPr>
          <w:p>
            <w:pPr>
              <w:ind w:left="0" w:right="0" w:firstLine="0"/>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6"/>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附件2 投标分项报价表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投标分项报价表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9"/>
        <w:gridCol w:w="1312"/>
        <w:gridCol w:w="982"/>
        <w:gridCol w:w="1273"/>
        <w:gridCol w:w="1396"/>
        <w:gridCol w:w="778"/>
        <w:gridCol w:w="1038"/>
        <w:gridCol w:w="925"/>
        <w:gridCol w:w="461"/>
        <w:gridCol w:w="700"/>
      </w:tblGrid>
      <w:tr>
        <w:trPr>
          <w:trHeight w:val="2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产品</w:t>
            </w:r>
            <w:r/>
          </w:p>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规格</w:t>
            </w:r>
            <w:r/>
          </w:p>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交付期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9"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2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投标总报价（人民币：元）</w:t>
            </w:r>
            <w:r/>
          </w:p>
        </w:tc>
      </w:tr>
      <w:tr>
        <w:trPr>
          <w:trHeight w:val="249"/>
        </w:trPr>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本采购包中提供的符合本国产品标准的产品成本之和占该采购包提供的全部产品成本之和的比例为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2.“投标分项报价表”中“投标总报价”数额应当与“开标一览表”中“投标总报价”数额一致。</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3.投标人需认真填写本报价表，尤其注意规格型号</w:t>
      </w:r>
      <w:r>
        <w:rPr>
          <w:rFonts w:ascii="FangSong" w:hAnsi="FangSong" w:eastAsia="FangSong" w:cs="FangSong"/>
          <w:color w:val="ff0000"/>
          <w:sz w:val="28"/>
        </w:rPr>
        <w:t xml:space="preserve">（如内外网服务器、交换机等）</w:t>
      </w:r>
      <w:r>
        <w:rPr>
          <w:rFonts w:ascii="FangSong" w:hAnsi="FangSong" w:eastAsia="FangSong" w:cs="FangSong"/>
          <w:color w:val="000000"/>
          <w:sz w:val="28"/>
        </w:rPr>
        <w:t xml:space="preserve">的准确填写。</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4.项目经办人可以根据项目实际需要对表格结构进行调整。</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本采购包中含有多种产品（货物项目和服务项目中涉及的货物）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56"/>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附件2(2) 质保期满后三年期的备品备件明细表</w:t>
      </w:r>
      <w:r/>
    </w:p>
    <w:p>
      <w:pPr>
        <w:ind w:left="0" w:right="0" w:firstLine="0"/>
        <w:jc w:val="center"/>
        <w:spacing w:before="24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4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质保期满后三年期的备品备件明细表（如适用）</w:t>
      </w:r>
      <w:r/>
    </w:p>
    <w:p>
      <w:pPr>
        <w:ind w:left="0" w:right="0" w:firstLine="0"/>
        <w:jc w:val="center"/>
        <w:spacing w:before="24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
        <w:gridCol w:w="2221"/>
        <w:gridCol w:w="1304"/>
        <w:gridCol w:w="1155"/>
        <w:gridCol w:w="1155"/>
        <w:gridCol w:w="2205"/>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center"/>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1" w:type="dxa"/>
            <w:vAlign w:val="center"/>
            <w:textDirection w:val="lrTb"/>
            <w:noWrap w:val="false"/>
          </w:tcPr>
          <w:p>
            <w:pPr>
              <w:ind w:left="0" w:right="-5" w:firstLine="0"/>
              <w:jc w:val="center"/>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备品备件</w:t>
            </w:r>
            <w:r/>
          </w:p>
          <w:p>
            <w:pPr>
              <w:ind w:left="0" w:right="-5" w:firstLine="0"/>
              <w:jc w:val="center"/>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型号及规格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数量</w:t>
            </w:r>
            <w:r/>
          </w:p>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单价</w:t>
            </w:r>
            <w:r/>
          </w:p>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备注</w:t>
            </w:r>
            <w:r/>
          </w:p>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(如外购请注明产地、制造商)</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8"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1" w:type="dxa"/>
            <w:vAlign w:val="top"/>
            <w:textDirection w:val="lrTb"/>
            <w:noWrap w:val="false"/>
          </w:tcPr>
          <w:p>
            <w:pPr>
              <w:ind w:left="0" w:right="-5" w:firstLine="0"/>
              <w:spacing w:before="200" w:after="160" w:line="499" w:lineRule="atLeast"/>
              <w:tabs>
                <w:tab w:val="left" w:pos="97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4"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5" w:type="dxa"/>
            <w:vAlign w:val="top"/>
            <w:textDirection w:val="lrTb"/>
            <w:noWrap w:val="false"/>
          </w:tcPr>
          <w:p>
            <w:pPr>
              <w:ind w:left="0" w:right="-5" w:firstLine="0"/>
              <w:jc w:val="center"/>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top"/>
            <w:textDirection w:val="lrTb"/>
            <w:noWrap w:val="false"/>
          </w:tcPr>
          <w:p>
            <w:pPr>
              <w:ind w:left="0" w:right="-5" w:firstLine="0"/>
              <w:spacing w:before="20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center"/>
        <w:spacing w:before="240" w:after="16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ab/>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（加盖CA电子公章） </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法定代表人签字/签章或其授权代表签字：</w:t>
      </w:r>
      <w:r>
        <w:rPr>
          <w:rFonts w:ascii="FangSong" w:hAnsi="FangSong" w:eastAsia="FangSong" w:cs="FangSong"/>
          <w:color w:val="000000"/>
          <w:sz w:val="24"/>
          <w:u w:val="single"/>
        </w:rPr>
        <w:t xml:space="preserve"> </w:t>
      </w:r>
      <w:r/>
    </w:p>
    <w:p>
      <w:pPr>
        <w:ind w:left="0" w:right="0" w:firstLine="48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日期：2026年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br w:type="page" w:clear="all"/>
      </w:r>
      <w:r/>
    </w:p>
    <w:p>
      <w:pPr>
        <w:pStyle w:val="756"/>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附件3 技术要求响应及偏离表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技术要求响应及偏离表</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附件3-1  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1.投标人需对技术要求逐条做出明确响应。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附件4 商务要求响应及偏离表</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商务要求响应及偏离表</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063"/>
        <w:gridCol w:w="3191"/>
        <w:gridCol w:w="21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63"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8" w:type="dxa"/>
            <w:vAlign w:val="top"/>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附件4-1  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1.投标人需对商务要求逐条做出明确响应。</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2.如果招标文件要求提供证明材料，投标人需将证明材料列于该表之下。</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560"/>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br w:type="page" w:clear="all"/>
      </w:r>
      <w:r/>
    </w:p>
    <w:p>
      <w:pPr>
        <w:pStyle w:val="756"/>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附件5 投标人符合《政府采购法》第二十二条规定条件的证明材料</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一、具有独立承担民事责任的能力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法人或者其他组织的营业执照等证明文件，自然人的身份证明</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二、具有良好的商业信誉和健全的财务会计制度</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度的财务状况报告（2025年度经审计的财务报告，或投标截止时间前六个月内任一月份企业编制的会计报表（至少包括资产负债表和利润表），或投标截止时间前六个月内银行出具的资信证明，复印件加盖公章），成立不满一年无需提供</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三、有依法缴纳税收和社会保障资金的良好记录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依法纳税凭据：提供参加政府采购活动前半年内（2026年05月-2026年10月）的任一月依法纳税的凭据，如完税凭证或税务机关开具的完税证明（个人所得税除外）；</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缴纳社会保险的凭据：提供参加政府采购活动前半年内（2026年05月-2026年10月）的任一月缴纳社会保险的凭据，如专用收据或社会保险缴纳清单；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依法免税或不需要缴纳社会保障资金的证明文件：如果供应商依法免税或不需要缴纳社会保障资金，则须提供相应的证明文件，以说明其免税或无需缴纳的依据和情况。</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四、具备履行合同所必需的设备和专业技术能力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40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我公司郑重声明：具有履行编号为</w:t>
      </w:r>
      <w:r>
        <w:rPr>
          <w:rFonts w:ascii="FangSong" w:hAnsi="FangSong" w:eastAsia="FangSong" w:cs="FangSong"/>
          <w:color w:val="000000"/>
          <w:sz w:val="28"/>
        </w:rPr>
        <w:t xml:space="preserve">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SimSun" w:hAnsi="SimSun" w:eastAsia="SimSun" w:cs="SimSun"/>
          <w:color w:val="000000"/>
          <w:sz w:val="24"/>
        </w:rPr>
        <w:t xml:space="preserve">项下采购项目合同的设备和专业技术能力。</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五、参加政府采购活动前 3 年内在经营活动中没有重大违法记录</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提供书面声明：</w:t>
      </w:r>
      <w:r/>
    </w:p>
    <w:p>
      <w:pPr>
        <w:ind w:left="0" w:right="0" w:firstLine="0"/>
        <w:jc w:val="center"/>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w:t>
      </w:r>
      <w:r/>
    </w:p>
    <w:p>
      <w:pPr>
        <w:ind w:left="0" w:right="0" w:firstLine="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0"/>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6"/>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w:t>
      </w:r>
      <w:r>
        <w:rPr>
          <w:rFonts w:ascii="SimSun" w:hAnsi="SimSun" w:eastAsia="SimSun" w:cs="SimSun"/>
          <w:color w:val="000000"/>
          <w:sz w:val="24"/>
          <w:u w:val="single"/>
        </w:rPr>
        <w:t xml:space="preserve">（加盖CA电子公章）</w:t>
      </w:r>
      <w:r/>
    </w:p>
    <w:p>
      <w:pPr>
        <w:ind w:left="0" w:right="0" w:firstLine="426"/>
        <w:spacing w:before="24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w:t>
      </w:r>
      <w:r/>
    </w:p>
    <w:p>
      <w:pPr>
        <w:ind w:left="0" w:right="0" w:firstLine="424"/>
        <w:jc w:val="both"/>
        <w:spacing w:before="24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投标日期：2026年XX月XX日</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24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六、具备法律、行政法规规定的其他条件的证明材料</w:t>
      </w:r>
      <w:r/>
    </w:p>
    <w:p>
      <w:pPr>
        <w:ind w:left="0" w:right="0" w:firstLine="560"/>
        <w:jc w:val="center"/>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声明</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致：南通大学附属医院</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我公司郑重声明：我公司具有XXXXX项目（项目编号XXXXXX）法律、行政法规规定的其他资格条件。</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560"/>
        <w:jc w:val="both"/>
        <w:spacing w:before="240" w:after="16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25"/>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（加盖CA电子公章） </w:t>
      </w:r>
      <w:r/>
    </w:p>
    <w:p>
      <w:pPr>
        <w:ind w:left="0" w:right="0" w:firstLine="425"/>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法定代表人签字/签章或其授权代表签字：</w:t>
      </w:r>
      <w:r>
        <w:rPr>
          <w:rFonts w:ascii="FangSong" w:hAnsi="FangSong" w:eastAsia="FangSong" w:cs="FangSong"/>
          <w:color w:val="000000"/>
          <w:sz w:val="28"/>
          <w:u w:val="single"/>
        </w:rPr>
        <w:t xml:space="preserve"> </w:t>
      </w:r>
      <w:r/>
    </w:p>
    <w:p>
      <w:pPr>
        <w:ind w:left="0" w:right="0" w:firstLine="425"/>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日期：2026年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420"/>
        <w:spacing w:before="210" w:after="120" w:line="241" w:lineRule="atLeast"/>
        <w:pBdr>
          <w:top w:val="none" w:color="000000" w:sz="4" w:space="0"/>
          <w:left w:val="none" w:color="000000" w:sz="4" w:space="0"/>
          <w:bottom w:val="none" w:color="000000" w:sz="4" w:space="0"/>
          <w:right w:val="none" w:color="000000" w:sz="4" w:space="0"/>
        </w:pBdr>
      </w:pPr>
      <w:r>
        <w:br w:type="page" w:clear="all"/>
      </w:r>
      <w:r/>
    </w:p>
    <w:p>
      <w:pPr>
        <w:pStyle w:val="756"/>
        <w:ind w:left="0" w:right="0" w:firstLine="0"/>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附件6特定资格要求的证明文件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1.投标人具有有效的电子与智能化工程专业承包资质（提供资质证书复印件）；</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2.投标人具有有效的《安全生产许可证》（提供证书复印件）</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br w:type="page" w:clear="all"/>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附件7投标函</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投标函</w:t>
      </w:r>
      <w:r/>
    </w:p>
    <w:p>
      <w:pPr>
        <w:ind w:left="0" w:right="0" w:firstLine="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致：江苏苏豪创新科技集团高科有限公司</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根据贵方的JSZC-320***-SHGK-*****-****号招标文件，正式授权下述签字人_____(姓名)代表我方_______（投标人的名称），全权处理本次项目投标的有关事宜。</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据此函，__________签字人兹宣布同意如下：</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1.按招标文件规定的各项要求，向买方提供所需货物（包含与货物相关的服务）。</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2.我们完全理解贵方不一定将合同授予最低报价的投标人。</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3.我们已详细审核全部招标文件及其有效补充文件，我们知道必须放弃提出含糊不清或误解问题的权利。</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4.我们同意从规定的开标日期起遵循本投标文件，并在规定的投标有效期期满之前均具有约束力。</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5.同意向贵方提供贵方可能另外要求的与投标有关的任何证据或资料，并保证我方已提供和将要提供的文件是真实的、准确的。</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6.一旦我方中标,我方将根据招标文件的规定，严格履行合同的责任和义务,并保证在招标文件规定的时间完成项目，交付买方验收、使用。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7.与本投标有关的正式通讯地址为：</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址：</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邮         编：</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         话：</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传         真：</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投标人开户行：</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         号： </w:t>
      </w:r>
      <w:r/>
    </w:p>
    <w:p>
      <w:pPr>
        <w:ind w:left="0" w:right="0" w:firstLine="560"/>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期：________年____月____日</w:t>
      </w:r>
      <w:r/>
    </w:p>
    <w:p>
      <w:pPr>
        <w:ind w:left="0" w:right="0" w:firstLine="420"/>
        <w:spacing w:before="210" w:after="120" w:line="241" w:lineRule="atLeast"/>
        <w:pBdr>
          <w:top w:val="none" w:color="000000" w:sz="4" w:space="0"/>
          <w:left w:val="none" w:color="000000" w:sz="4" w:space="0"/>
          <w:bottom w:val="none" w:color="000000" w:sz="4" w:space="0"/>
          <w:right w:val="none" w:color="000000" w:sz="4" w:space="0"/>
        </w:pBdr>
      </w:pPr>
      <w:r>
        <w:br w:type="page" w:clear="all"/>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附件8 中小微企业声明函</w:t>
      </w:r>
      <w:r/>
    </w:p>
    <w:p>
      <w:pPr>
        <w:ind w:left="0" w:right="0" w:firstLine="281"/>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中小微企业声明函（货物类项目）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本公司（联合体）郑重声明，根据《政府采购促进中小企业发展管理办法》(财库[2020]46号)的规定，本公司（联合体）参加江苏苏豪创新科技集团高科有限公司组织的</w:t>
      </w:r>
      <w:r>
        <w:rPr>
          <w:rFonts w:ascii="FangSong" w:hAnsi="FangSong" w:eastAsia="FangSong" w:cs="FangSong"/>
          <w:color w:val="000000"/>
          <w:sz w:val="28"/>
          <w:u w:val="single"/>
        </w:rPr>
        <w:t xml:space="preserve">（单位名称）</w:t>
      </w:r>
      <w:r>
        <w:rPr>
          <w:rFonts w:ascii="FangSong" w:hAnsi="FangSong" w:eastAsia="FangSong" w:cs="FangSong"/>
          <w:color w:val="000000"/>
          <w:sz w:val="28"/>
        </w:rPr>
        <w:t xml:space="preserve">采购编号为JSZC-320***-SHGK-*****-****，</w:t>
      </w:r>
      <w:r>
        <w:rPr>
          <w:rFonts w:ascii="FangSong" w:hAnsi="FangSong" w:eastAsia="FangSong" w:cs="FangSong"/>
          <w:color w:val="000000"/>
          <w:sz w:val="28"/>
          <w:u w:val="single"/>
        </w:rPr>
        <w:t xml:space="preserve">（项目名称）</w:t>
      </w:r>
      <w:r>
        <w:rPr>
          <w:rFonts w:ascii="FangSong" w:hAnsi="FangSong" w:eastAsia="FangSong" w:cs="FangSong"/>
          <w:color w:val="000000"/>
          <w:sz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工业</w:t>
      </w:r>
      <w:r>
        <w:rPr>
          <w:rFonts w:ascii="FangSong" w:hAnsi="FangSong" w:eastAsia="FangSong" w:cs="FangSong"/>
          <w:color w:val="000000"/>
          <w:sz w:val="28"/>
        </w:rPr>
        <w:t xml:space="preserve">行业；制造商为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，从业人员人，营业收入为万元，资产总额为万元，属于</w:t>
      </w:r>
      <w:r>
        <w:rPr>
          <w:rFonts w:ascii="FangSong" w:hAnsi="FangSong" w:eastAsia="FangSong" w:cs="FangSong"/>
          <w:color w:val="000000"/>
          <w:sz w:val="28"/>
          <w:u w:val="single"/>
        </w:rPr>
        <w:t xml:space="preserve">（□中型企业 □小型企业 □微型企业）；</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（标的名称）</w:t>
      </w:r>
      <w:r>
        <w:rPr>
          <w:rFonts w:ascii="FangSong" w:hAnsi="FangSong" w:eastAsia="FangSong" w:cs="FangSong"/>
          <w:i/>
          <w:color w:val="000000"/>
          <w:sz w:val="28"/>
        </w:rPr>
        <w:t xml:space="preserve">，</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工业</w:t>
      </w:r>
      <w:r>
        <w:rPr>
          <w:rFonts w:ascii="FangSong" w:hAnsi="FangSong" w:eastAsia="FangSong" w:cs="FangSong"/>
          <w:color w:val="000000"/>
          <w:sz w:val="28"/>
        </w:rPr>
        <w:t xml:space="preserve">行业；制造商为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，从业人员人，营业收入为万元，资产总额为万元，属于</w:t>
      </w:r>
      <w:r>
        <w:rPr>
          <w:rFonts w:ascii="FangSong" w:hAnsi="FangSong" w:eastAsia="FangSong" w:cs="FangSong"/>
          <w:color w:val="000000"/>
          <w:sz w:val="28"/>
          <w:u w:val="single"/>
        </w:rPr>
        <w:t xml:space="preserve">（□中型企业 □小型企业 □微型企业）；</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本企业对上述声明内容的真实性负责。如有虚假，将依法承担相应责任</w:t>
      </w:r>
      <w:r/>
    </w:p>
    <w:p>
      <w:pPr>
        <w:ind w:left="0" w:right="72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180" w:firstLine="420"/>
        <w:jc w:val="right"/>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企业名称（加盖CA电子公章）：</w:t>
      </w:r>
      <w:r/>
    </w:p>
    <w:p>
      <w:pPr>
        <w:ind w:left="0" w:right="480" w:firstLine="630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  期：</w:t>
      </w:r>
      <w:r/>
    </w:p>
    <w:p>
      <w:pPr>
        <w:ind w:left="0" w:right="480" w:firstLine="6300"/>
        <w:jc w:val="both"/>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1.从业人员、营业收入、资产总额填报上一年度数据，无上一年度数据的新成立企业可不填报。</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3.供应商自行勾选制造商的企业规模类型。</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br w:type="page" w:clear="all"/>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附件9残疾人福利性单位声明函</w:t>
      </w:r>
      <w:r/>
    </w:p>
    <w:p>
      <w:pPr>
        <w:ind w:left="561" w:right="0" w:hanging="141"/>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残疾人福利性单位声明函（货物类项目）</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SHGK-*****-****的项目采购活动提供本单位制造的货物，或者提供其他残疾人福利性单位制造的货物（不包括使用非残疾人福利性单位注册商标的货物）。</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本单位对上述声明的真实性负责。如有虚假，将依法承担相应责任。</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562"/>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 非专门面向中小微型企业采购的项目，供应商如不提供此声明函，价格将不做相应扣除。</w:t>
      </w:r>
      <w:r/>
    </w:p>
    <w:p>
      <w:pPr>
        <w:ind w:left="0" w:right="0" w:firstLine="56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3.中标/成交供应商为残疾人福利性单位的，此声明函将随中标/成交结果同时公告，接受社会监督。</w:t>
      </w:r>
      <w:r/>
    </w:p>
    <w:p>
      <w:pPr>
        <w:ind w:left="0" w:right="0" w:firstLine="584"/>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873" w:firstLine="584"/>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供应商全称（加盖CA电子章）：</w:t>
      </w:r>
      <w:r/>
    </w:p>
    <w:p>
      <w:pPr>
        <w:ind w:left="0" w:right="1559" w:firstLine="560"/>
        <w:jc w:val="center"/>
        <w:spacing w:before="240" w:after="160" w:line="479"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  期：</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br w:type="page" w:clear="all"/>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附件10 关于符合本国产品标准的声明函（如适用）</w:t>
      </w:r>
      <w:r/>
    </w:p>
    <w:p>
      <w:pPr>
        <w:ind w:left="0" w:right="0" w:firstLine="42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857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31169"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34493"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0025" cy="10477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214475" name=""/>
                        <pic:cNvPicPr>
                          <a:picLocks noChangeAspect="1"/>
                        </pic:cNvPicPr>
                        <pic:nvPr/>
                      </pic:nvPicPr>
                      <pic:blipFill>
                        <a:blip/>
                        <a:stretch/>
                      </pic:blipFill>
                      <pic:spPr bwMode="auto">
                        <a:xfrm>
                          <a:off x="0" y="0"/>
                          <a:ext cx="20002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8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524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80446" name=""/>
                        <pic:cNvPicPr>
                          <a:picLocks noChangeAspect="1"/>
                        </pic:cNvPicPr>
                        <pic:nvPr/>
                      </pic:nvPicPr>
                      <pic:blipFill>
                        <a:blip/>
                        <a:stretch/>
                      </pic:blipFill>
                      <pic:spPr bwMode="auto">
                        <a:xfrm>
                          <a:off x="0" y="0"/>
                          <a:ext cx="819149"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4.5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0477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69942" name=""/>
                        <pic:cNvPicPr>
                          <a:picLocks noChangeAspect="1"/>
                        </pic:cNvPicPr>
                        <pic:nvPr/>
                      </pic:nvPicPr>
                      <pic:blipFill>
                        <a:blip/>
                        <a:stretch/>
                      </pic:blipFill>
                      <pic:spPr bwMode="auto">
                        <a:xfrm>
                          <a:off x="0" y="0"/>
                          <a:ext cx="371475"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0477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553170" name=""/>
                        <pic:cNvPicPr>
                          <a:picLocks noChangeAspect="1"/>
                        </pic:cNvPicPr>
                        <pic:nvPr/>
                      </pic:nvPicPr>
                      <pic:blipFill>
                        <a:blip/>
                        <a:stretch/>
                      </pic:blipFill>
                      <pic:spPr bwMode="auto">
                        <a:xfrm>
                          <a:off x="0" y="0"/>
                          <a:ext cx="571500"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0pt;height:8.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76300" cy="1238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231018" name=""/>
                        <pic:cNvPicPr>
                          <a:picLocks noChangeAspect="1"/>
                        </pic:cNvPicPr>
                        <pic:nvPr/>
                      </pic:nvPicPr>
                      <pic:blipFill>
                        <a:blip/>
                        <a:stretch/>
                      </pic:blipFill>
                      <pic:spPr bwMode="auto">
                        <a:xfrm>
                          <a:off x="0" y="0"/>
                          <a:ext cx="876299"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9.0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294321"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4.5pt;height:9.0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w:t>
      </w:r>
      <w:r>
        <w:rPr>
          <w:rFonts w:ascii="Times New Roman" w:hAnsi="Times New Roman" w:eastAsia="Times New Roman" w:cs="Times New Roma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Times New Roman" w:hAnsi="Times New Roman" w:eastAsia="Times New Roman" w:cs="Times New Roma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Times New Roman" w:hAnsi="Times New Roman" w:eastAsia="Times New Roman" w:cs="Times New Roma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Times New Roman" w:hAnsi="Times New Roman" w:eastAsia="Times New Roman" w:cs="Times New Roma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Times New Roman" w:hAnsi="Times New Roman" w:eastAsia="Times New Roman" w:cs="Times New Roma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66725" cy="1524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134258" name=""/>
                        <pic:cNvPicPr>
                          <a:picLocks noChangeAspect="1"/>
                        </pic:cNvPicPr>
                        <pic:nvPr/>
                      </pic:nvPicPr>
                      <pic:blipFill>
                        <a:blip/>
                        <a:stretch/>
                      </pic:blipFill>
                      <pic:spPr bwMode="auto">
                        <a:xfrm>
                          <a:off x="0" y="0"/>
                          <a:ext cx="466724"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6.8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28625" cy="1143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072884" name=""/>
                        <pic:cNvPicPr>
                          <a:picLocks noChangeAspect="1"/>
                        </pic:cNvPicPr>
                        <pic:nvPr/>
                      </pic:nvPicPr>
                      <pic:blipFill>
                        <a:blip/>
                        <a:stretch/>
                      </pic:blipFill>
                      <pic:spPr bwMode="auto">
                        <a:xfrm>
                          <a:off x="0" y="0"/>
                          <a:ext cx="42862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3.8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38125" cy="952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563556" name=""/>
                        <pic:cNvPicPr>
                          <a:picLocks noChangeAspect="1"/>
                        </pic:cNvPicPr>
                        <pic:nvPr/>
                      </pic:nvPicPr>
                      <pic:blipFill>
                        <a:blip/>
                        <a:stretch/>
                      </pic:blipFill>
                      <pic:spPr bwMode="auto">
                        <a:xfrm>
                          <a:off x="0" y="0"/>
                          <a:ext cx="238124" cy="952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8pt;height:7.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580376"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7.0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538812"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996685"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2382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982311" name=""/>
                        <pic:cNvPicPr>
                          <a:picLocks noChangeAspect="1"/>
                        </pic:cNvPicPr>
                        <pic:nvPr/>
                      </pic:nvPicPr>
                      <pic:blipFill>
                        <a:blip/>
                        <a:stretch/>
                      </pic:blipFill>
                      <pic:spPr bwMode="auto">
                        <a:xfrm>
                          <a:off x="0" y="0"/>
                          <a:ext cx="847724" cy="123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6.8pt;height: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38200" cy="133350"/>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628176" name=""/>
                        <pic:cNvPicPr>
                          <a:picLocks noChangeAspect="1"/>
                        </pic:cNvPicPr>
                        <pic:nvPr/>
                      </pic:nvPicPr>
                      <pic:blipFill>
                        <a:blip/>
                        <a:stretch/>
                      </pic:blipFill>
                      <pic:spPr bwMode="auto">
                        <a:xfrm>
                          <a:off x="0" y="0"/>
                          <a:ext cx="838199"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6.0pt;height:10.5pt;mso-wrap-distance-left:0.0pt;mso-wrap-distance-top:0.0pt;mso-wrap-distance-right:0.0pt;mso-wrap-distance-bottom:0.0pt;" stroked="false">
                <v:path textboxrect="0,0,0,0"/>
              </v:shape>
            </w:pict>
          </mc:Fallback>
        </mc:AlternateContent>
      </w: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SimSun" w:hAnsi="SimSun" w:eastAsia="SimSun" w:cs="SimSun"/>
          <w:color w:val="000000"/>
          <w:sz w:val="24"/>
          <w:highlight w:val="white"/>
          <w:u w:val="single"/>
        </w:rPr>
        <w:t xml:space="preserve">）</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80" w:firstLine="310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Times New Roman" w:hAnsi="Times New Roman" w:eastAsia="Times New Roman" w:cs="Times New Roman"/>
          <w:color w:val="000000"/>
          <w:sz w:val="24"/>
          <w:highlight w:val="white"/>
        </w:rPr>
        <w:t xml:space="preserve">            </w:t>
      </w:r>
      <w:r>
        <w:rPr>
          <w:rFonts w:ascii="SimSun" w:hAnsi="SimSun" w:eastAsia="SimSun" w:cs="SimSun"/>
          <w:color w:val="000000"/>
          <w:sz w:val="24"/>
          <w:highlight w:val="white"/>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1.</w:t>
      </w:r>
      <w:r>
        <w:rPr>
          <w:rFonts w:ascii="SimSun" w:hAnsi="SimSun" w:eastAsia="SimSun" w:cs="SimSun"/>
          <w:color w:val="000000"/>
          <w:sz w:val="24"/>
          <w:highlight w:val="white"/>
        </w:rPr>
        <w:t xml:space="preserve">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2.</w:t>
      </w:r>
      <w:r>
        <w:rPr>
          <w:rFonts w:ascii="SimSun" w:hAnsi="SimSun" w:eastAsia="SimSun" w:cs="SimSun"/>
          <w:color w:val="000000"/>
          <w:sz w:val="24"/>
          <w:highlight w:val="white"/>
        </w:rPr>
        <w:t xml:space="preserve">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3.</w:t>
      </w:r>
      <w:r>
        <w:rPr>
          <w:rFonts w:ascii="SimSun" w:hAnsi="SimSun" w:eastAsia="SimSun" w:cs="SimSun"/>
          <w:color w:val="000000"/>
          <w:sz w:val="24"/>
          <w:highlight w:val="white"/>
        </w:rPr>
        <w:t xml:space="preserve">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4.</w:t>
      </w:r>
      <w:r>
        <w:rPr>
          <w:rFonts w:ascii="SimSun" w:hAnsi="SimSun" w:eastAsia="SimSun" w:cs="SimSun"/>
          <w:color w:val="000000"/>
          <w:sz w:val="24"/>
          <w:highlight w:val="white"/>
        </w:rPr>
        <w:t xml:space="preserve">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5.</w:t>
      </w:r>
      <w:r>
        <w:rPr>
          <w:rFonts w:ascii="SimSun" w:hAnsi="SimSun" w:eastAsia="SimSun" w:cs="SimSun"/>
          <w:color w:val="000000"/>
          <w:sz w:val="24"/>
          <w:highlight w:val="white"/>
        </w:rPr>
        <w:t xml:space="preserve">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6.</w:t>
      </w:r>
      <w:r>
        <w:rPr>
          <w:rFonts w:ascii="SimSun" w:hAnsi="SimSun" w:eastAsia="SimSun" w:cs="SimSun"/>
          <w:color w:val="000000"/>
          <w:sz w:val="24"/>
          <w:highlight w:val="white"/>
        </w:rPr>
        <w:t xml:space="preserve">用斜线划除的地方无需填写。</w:t>
      </w:r>
      <w:r/>
    </w:p>
    <w:p>
      <w:pPr>
        <w:ind w:left="0" w:right="0" w:firstLine="0"/>
        <w:jc w:val="center"/>
        <w:spacing w:before="240" w:after="160" w:line="479" w:lineRule="atLeast"/>
        <w:pBdr>
          <w:top w:val="none" w:color="000000" w:sz="4" w:space="0"/>
          <w:left w:val="none" w:color="000000" w:sz="4" w:space="0"/>
          <w:bottom w:val="none" w:color="000000" w:sz="4" w:space="0"/>
          <w:right w:val="none" w:color="000000" w:sz="4" w:space="0"/>
        </w:pBdr>
      </w:pPr>
      <w:r>
        <w:br w:type="page" w:clear="all"/>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附件11实质性要求响应及偏离表</w:t>
      </w:r>
      <w:r/>
    </w:p>
    <w:p>
      <w:pPr>
        <w:ind w:left="0" w:right="0" w:firstLine="0"/>
        <w:jc w:val="center"/>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实质性要求响应及偏离表</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9"/>
        <w:gridCol w:w="3876"/>
        <w:gridCol w:w="2835"/>
        <w:gridCol w:w="17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技术要求和商务要求中的实质性要求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5"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响应或正/负偏离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5"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top"/>
            <w:textDirection w:val="lrTb"/>
            <w:noWrap w:val="false"/>
          </w:tcPr>
          <w:p>
            <w:pPr>
              <w:ind w:left="0" w:right="0" w:firstLine="0"/>
              <w:jc w:val="both"/>
              <w:spacing w:before="20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附件证明材料1，证明材料2，……</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1.投标人必须对技术要求和商务要求中的实质性要求逐条做出明确响应，否则作无效投标处理。</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2.如果招标文件要求提供证明材料，投标人必须将证明材料列于该表之下。</w:t>
      </w:r>
      <w:r/>
    </w:p>
    <w:p>
      <w:pPr>
        <w:ind w:left="0" w:right="0" w:firstLine="0"/>
        <w:jc w:val="both"/>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3.投标人未对实质性要求逐条作出明确响应的，或未按招标文件要求提供证明材料的，该分包作无效投标处理。</w:t>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br w:type="page" w:clear="all"/>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附件12授权委托书（如有）</w:t>
      </w:r>
      <w:r/>
    </w:p>
    <w:p>
      <w:pPr>
        <w:ind w:left="0" w:right="0" w:firstLine="480"/>
        <w:jc w:val="center"/>
        <w:spacing w:before="240" w:after="16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480"/>
        <w:jc w:val="center"/>
        <w:spacing w:before="240" w:after="16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本授权书声明：____________（投标人名称）授权_____________（授权代表的姓名）为我方就JSZC-320</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-SHGK-</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w:t>
      </w:r>
      <w:r>
        <w:rPr>
          <w:rFonts w:ascii="FangSong" w:hAnsi="FangSong" w:eastAsia="FangSong" w:cs="FangSong"/>
          <w:color w:val="000000"/>
          <w:sz w:val="28"/>
        </w:rPr>
        <w:t xml:space="preserve">号项目采购活动的合法代理人，以本单位名义全权处理一切与该项目采购有关的事务。</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本授权书于______年____月____日起生效，特此声明。</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授权代表姓名：</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授权代表身份证号码：</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授权代表联系电话：（手机）</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投标人名称：</w:t>
      </w:r>
      <w:r>
        <w:rPr>
          <w:rFonts w:ascii="FangSong" w:hAnsi="FangSong" w:eastAsia="FangSong" w:cs="FangSong"/>
          <w:color w:val="000000"/>
          <w:sz w:val="28"/>
          <w:u w:val="single"/>
        </w:rPr>
        <w:t xml:space="preserve">（加盖CA电子公章）</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w:t>
      </w:r>
      <w:r/>
    </w:p>
    <w:p>
      <w:pPr>
        <w:ind w:left="0" w:right="0" w:firstLine="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说明:</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(1)本授权委托书之后需附上法定代表人、授权代表身份证复印件及投标人在开标日前六个月内任意一月为授权代表缴纳社保的证明。</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(2)如果投标人有法定代表人且由其直接参与投标的可以不提供，但必须在投标文件中附法定代表人身份证复印件。</w:t>
      </w:r>
      <w:r/>
    </w:p>
    <w:p>
      <w:pPr>
        <w:ind w:left="0" w:right="0" w:firstLine="560"/>
        <w:jc w:val="both"/>
        <w:spacing w:before="240" w:after="160" w:line="479" w:lineRule="atLeast"/>
        <w:tabs>
          <w:tab w:val="left" w:pos="3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(3)未按上述规定随附身份证复印件的，投标无效。</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附件13相关业绩案例一览表（如有）</w:t>
      </w:r>
      <w:r/>
    </w:p>
    <w:tbl>
      <w:tblPr>
        <w:tblStyle w:val="79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8"/>
        <w:gridCol w:w="1796"/>
        <w:gridCol w:w="2209"/>
        <w:gridCol w:w="980"/>
        <w:gridCol w:w="980"/>
        <w:gridCol w:w="2344"/>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供货设备清单</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（品牌、型号）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签订时间</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业主名称</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联系人/电话</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r>
        <w:trPr>
          <w:trHeight w:val="642"/>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1796" w:type="dxa"/>
            <w:vAlign w:val="center"/>
            <w:textDirection w:val="lrTb"/>
            <w:noWrap w:val="false"/>
          </w:tcPr>
          <w:p>
            <w:pPr>
              <w:ind w:left="0" w:right="0" w:firstLine="480"/>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2209"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2344" w:type="dxa"/>
            <w:vAlign w:val="center"/>
            <w:textDirection w:val="lrTb"/>
            <w:noWrap w:val="false"/>
          </w:tcPr>
          <w:p>
            <w:pPr>
              <w:ind w:left="0" w:right="0" w:firstLine="482"/>
              <w:jc w:val="center"/>
              <w:spacing w:before="240" w:after="24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8"/>
              </w:rPr>
              <w:t xml:space="preserve"> </w:t>
            </w:r>
            <w:r/>
          </w:p>
        </w:tc>
      </w:tr>
    </w:tbl>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说明：</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1.投标人须提供上述业绩合同复印件；</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2.所有合同复印件应清晰，应能体现合同签订时间、双方签名盖章等内容；</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3.投标人应在不涉及商业秘密的前提下尽可能提供详细的合同复印件内容。</w:t>
      </w:r>
      <w:r/>
    </w:p>
    <w:p>
      <w:pPr>
        <w:ind w:left="0" w:right="0" w:firstLine="0"/>
        <w:spacing w:before="280" w:after="160" w:line="322" w:lineRule="atLeast"/>
        <w:pBdr>
          <w:top w:val="none" w:color="000000" w:sz="4" w:space="0"/>
          <w:left w:val="none" w:color="000000" w:sz="4" w:space="0"/>
          <w:bottom w:val="none" w:color="000000" w:sz="4" w:space="0"/>
          <w:right w:val="none" w:color="000000" w:sz="4" w:space="0"/>
        </w:pBdr>
      </w:pPr>
      <w:r>
        <w:br w:type="page" w:clear="all"/>
      </w:r>
      <w:r/>
    </w:p>
    <w:p>
      <w:pPr>
        <w:pStyle w:val="756"/>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附件14现场勘查确认函</w:t>
      </w:r>
      <w:r/>
    </w:p>
    <w:p>
      <w:pPr>
        <w:ind w:left="0" w:right="0" w:firstLine="562"/>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项目名称：</w:t>
      </w:r>
      <w:r>
        <w:rPr>
          <w:rFonts w:ascii="FangSong" w:hAnsi="FangSong" w:eastAsia="FangSong" w:cs="FangSong"/>
          <w:b/>
          <w:color w:val="000000"/>
          <w:sz w:val="28"/>
          <w:u w:val="single"/>
        </w:rPr>
        <w:t xml:space="preserve">南通大学附属医院综合数据中心基础平台采购项目</w:t>
      </w:r>
      <w:r/>
    </w:p>
    <w:p>
      <w:pPr>
        <w:ind w:left="0" w:right="0" w:firstLine="56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致：南通大学附属医院：</w:t>
      </w:r>
      <w:r/>
    </w:p>
    <w:p>
      <w:pPr>
        <w:ind w:left="0" w:right="0" w:firstLine="56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w:t>
      </w:r>
      <w:r>
        <w:rPr>
          <w:rFonts w:ascii="FangSong" w:hAnsi="FangSong" w:eastAsia="FangSong" w:cs="FangSong"/>
          <w:b/>
          <w:color w:val="000000"/>
          <w:sz w:val="28"/>
        </w:rPr>
        <w:t xml:space="preserve">________________________（供应商全称）</w:t>
      </w:r>
      <w:r>
        <w:rPr>
          <w:rFonts w:ascii="FangSong" w:hAnsi="FangSong" w:eastAsia="FangSong" w:cs="FangSong"/>
          <w:color w:val="000000"/>
          <w:sz w:val="28"/>
        </w:rPr>
        <w:t xml:space="preserve">，为参与本项目投标工作，已自行组织人员于</w:t>
      </w:r>
      <w:r>
        <w:rPr>
          <w:rFonts w:ascii="FangSong" w:hAnsi="FangSong" w:eastAsia="FangSong" w:cs="FangSong"/>
          <w:b/>
          <w:color w:val="000000"/>
          <w:sz w:val="28"/>
        </w:rPr>
        <w:t xml:space="preserve">______年____月____日</w:t>
      </w:r>
      <w:r>
        <w:rPr>
          <w:rFonts w:ascii="FangSong" w:hAnsi="FangSong" w:eastAsia="FangSong" w:cs="FangSong"/>
          <w:color w:val="000000"/>
          <w:sz w:val="28"/>
        </w:rPr>
        <w:t xml:space="preserve">前往南通大学附属医院项目现场完成实地勘查。</w:t>
      </w:r>
      <w:r/>
    </w:p>
    <w:p>
      <w:pPr>
        <w:ind w:left="0" w:right="0" w:firstLine="56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勘查期间，我单位已全面核查现场项目情况。</w:t>
      </w:r>
      <w:r/>
    </w:p>
    <w:p>
      <w:pPr>
        <w:ind w:left="0" w:right="0" w:firstLine="56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我单位郑重确认：已完全掌握本项目现场实际情况，本单位的投标报价、技术方案、实施方案、工期计划及风险预案均依据现场实际情况编制。</w:t>
      </w:r>
      <w:r/>
    </w:p>
    <w:p>
      <w:pPr>
        <w:ind w:left="0" w:right="0" w:firstLine="56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后续投标、施工、交付、运维全过程，我单位不再以不熟悉现场、现场条件与预判不一致等任何理由，提出调价、顺延工期、索赔等相关诉求，自愿承担本项目全部现场实施风险及数据安全、施工合规责任。</w:t>
      </w:r>
      <w:r/>
    </w:p>
    <w:p>
      <w:pPr>
        <w:ind w:left="0" w:right="0" w:firstLine="560"/>
        <w:jc w:val="both"/>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特此申请贵单位予以盖章确认。</w:t>
      </w:r>
      <w:r/>
    </w:p>
    <w:p>
      <w:pPr>
        <w:ind w:left="0" w:right="0" w:firstLine="0"/>
        <w:jc w:val="right"/>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勘查单位（供应商盖章）：</w:t>
      </w:r>
      <w:r>
        <w:rPr>
          <w:rFonts w:ascii="FangSong" w:hAnsi="FangSong" w:eastAsia="FangSong" w:cs="FangSong"/>
          <w:color w:val="000000"/>
          <w:sz w:val="24"/>
        </w:rPr>
        <w:t xml:space="preserve">________________________</w:t>
      </w:r>
      <w:r/>
    </w:p>
    <w:p>
      <w:pPr>
        <w:ind w:left="0" w:right="0" w:firstLine="0"/>
        <w:jc w:val="right"/>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勘查人员签字：</w:t>
      </w:r>
      <w:r>
        <w:rPr>
          <w:rFonts w:ascii="FangSong" w:hAnsi="FangSong" w:eastAsia="FangSong" w:cs="FangSong"/>
          <w:color w:val="000000"/>
          <w:sz w:val="24"/>
        </w:rPr>
        <w:t xml:space="preserve">________________________</w:t>
      </w:r>
      <w:r/>
    </w:p>
    <w:p>
      <w:pPr>
        <w:ind w:left="0" w:right="0" w:firstLine="0"/>
        <w:jc w:val="right"/>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联系电话：</w:t>
      </w:r>
      <w:r>
        <w:rPr>
          <w:rFonts w:ascii="FangSong" w:hAnsi="FangSong" w:eastAsia="FangSong" w:cs="FangSong"/>
          <w:color w:val="000000"/>
          <w:sz w:val="24"/>
        </w:rPr>
        <w:t xml:space="preserve">________________________</w:t>
      </w:r>
      <w:r/>
    </w:p>
    <w:p>
      <w:pPr>
        <w:ind w:left="0" w:right="0" w:firstLine="0"/>
        <w:jc w:val="right"/>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日期：</w:t>
      </w:r>
      <w:r>
        <w:rPr>
          <w:rFonts w:ascii="FangSong" w:hAnsi="FangSong" w:eastAsia="FangSong" w:cs="FangSong"/>
          <w:color w:val="000000"/>
          <w:sz w:val="24"/>
        </w:rPr>
        <w:t xml:space="preserve">______年____月____日</w:t>
      </w:r>
      <w:r/>
    </w:p>
    <w:p>
      <w:pPr>
        <w:ind w:left="0" w:right="0" w:firstLine="0"/>
        <w:jc w:val="right"/>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经核查，该单位已完成本项目现场实地勘查，情况属实，予以确认。</w:t>
      </w:r>
      <w:r/>
    </w:p>
    <w:p>
      <w:pPr>
        <w:ind w:left="0" w:right="0" w:firstLine="0"/>
        <w:jc w:val="right"/>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采购人/建设单位部门（盖章）：</w:t>
      </w:r>
      <w:r>
        <w:rPr>
          <w:rFonts w:ascii="FangSong" w:hAnsi="FangSong" w:eastAsia="FangSong" w:cs="FangSong"/>
          <w:color w:val="000000"/>
          <w:sz w:val="24"/>
        </w:rPr>
        <w:t xml:space="preserve">南通大学附属医院信息中心</w:t>
      </w:r>
      <w:r/>
    </w:p>
    <w:p>
      <w:pPr>
        <w:ind w:left="0" w:right="0" w:firstLine="0"/>
        <w:jc w:val="right"/>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经办人签字：</w:t>
      </w:r>
      <w:r>
        <w:rPr>
          <w:rFonts w:ascii="FangSong" w:hAnsi="FangSong" w:eastAsia="FangSong" w:cs="FangSong"/>
          <w:color w:val="000000"/>
          <w:sz w:val="24"/>
        </w:rPr>
        <w:t xml:space="preserve">________________________</w:t>
      </w:r>
      <w:r/>
    </w:p>
    <w:p>
      <w:pPr>
        <w:ind w:left="0" w:right="0" w:firstLine="0"/>
        <w:jc w:val="right"/>
        <w:spacing w:before="240" w:after="16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日期：</w:t>
      </w:r>
      <w:r>
        <w:rPr>
          <w:rFonts w:ascii="FangSong" w:hAnsi="FangSong" w:eastAsia="FangSong" w:cs="FangSong"/>
          <w:color w:val="000000"/>
          <w:sz w:val="24"/>
        </w:rPr>
        <w:t xml:space="preserve">______年____月____日</w:t>
      </w:r>
      <w:r/>
    </w:p>
    <w:p>
      <w:pPr>
        <w:ind w:left="0" w:right="0" w:firstLine="0"/>
        <w:jc w:val="right"/>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240" w:after="1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i/>
          <w:color w:val="000000"/>
          <w:sz w:val="24"/>
        </w:rPr>
        <w:t xml:space="preserve">注：本函一式两份，供应商、采购人/建设单位各执一份，投标文件中附此表完整盖章扫描件。</w:t>
      </w:r>
      <w:r/>
    </w:p>
    <w:p>
      <w:pPr>
        <w:ind w:left="0" w:right="0" w:firstLine="0"/>
        <w:jc w:val="both"/>
        <w:spacing w:before="240" w:after="160" w:line="27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jc w:val="both"/>
        <w:spacing w:line="68" w:lineRule="atLeast"/>
        <w:rPr>
          <w:rFonts w:hint="eastAsia" w:ascii="仿宋" w:hAnsi="仿宋" w:eastAsia="仿宋"/>
        </w:rPr>
        <w:pBdr>
          <w:top w:val="none" w:color="000000" w:sz="0" w:space="0"/>
          <w:left w:val="none" w:color="000000" w:sz="0" w:space="0"/>
          <w:bottom w:val="none" w:color="000000" w:sz="0" w:space="0"/>
          <w:right w:val="none" w:color="000000" w:sz="0" w:space="0"/>
        </w:pBdr>
      </w:pPr>
      <w:r>
        <w:rPr>
          <w:rFonts w:hint="eastAsia" w:ascii="仿宋" w:hAnsi="仿宋" w:eastAsia="仿宋"/>
        </w:rPr>
      </w:r>
      <w:r/>
    </w:p>
    <w:sectPr>
      <w:headerReference w:type="default" r:id="rId9"/>
      <w:footerReference w:type="default" r:id="rId10"/>
      <w:footnotePr/>
      <w:endnotePr/>
      <w:type w:val="nextPage"/>
      <w:pgSz w:w="11906" w:h="16838" w:orient="portrait"/>
      <w:pgMar w:top="1134" w:right="1418" w:bottom="1134" w:left="141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libri">
    <w:panose1 w:val="020F0502020204030204"/>
  </w:font>
  <w:font w:name="YouYuan">
    <w:panose1 w:val="02010509060101010101"/>
  </w:font>
  <w:font w:name="FangSong">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SimSun">
    <w:panose1 w:val="02010600030101010101"/>
  </w:font>
  <w:font w:name="宋体">
    <w:panose1 w:val="02010600030101010101"/>
  </w:font>
  <w:font w:name="黑体">
    <w:panose1 w:val="02010609060101010101"/>
  </w:font>
  <w:font w:name="楷体_GB2312">
    <w:panose1 w:val="02010609060101010101"/>
  </w:font>
  <w:font w:name="Arial">
    <w:panose1 w:val="020B0604020202020204"/>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34081143"/>
      <w:rPr/>
    </w:sdtPr>
    <w:sdtContent>
      <w:p>
        <w:pPr>
          <w:pStyle w:val="776"/>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tabs>
        <w:tab w:val="center" w:pos="4153" w:leader="none"/>
        <w:tab w:val="clear" w:pos="7143" w:leader="none"/>
        <w:tab w:val="right" w:pos="8306" w:leader="none"/>
        <w:tab w:val="clear" w:pos="14287" w:leader="none"/>
      </w:tabs>
      <w:rPr>
        <w:rFonts w:hint="eastAsia" w:ascii="宋体" w:hAnsi="宋体" w:eastAsia="宋体" w:cs="宋体"/>
        <w:bCs/>
      </w:rPr>
      <w:pBdr>
        <w:bottom w:val="single" w:color="auto" w:sz="4" w:space="0"/>
      </w:pBdr>
    </w:pPr>
    <w:r>
      <w:rPr>
        <w:rFonts w:hint="eastAsia" w:ascii="宋体" w:hAnsi="宋体" w:cs="宋体"/>
        <w:bCs/>
      </w:rPr>
      <w:t xml:space="preserve">江苏苏豪创新科技集团高科有限公司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840" w:hanging="1440"/>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7"/>
      <w:numFmt w:val="decimal"/>
      <w:isLgl w:val="false"/>
      <w:suff w:val="tab"/>
      <w:lvlText w:val="%1、"/>
      <w:lvlJc w:val="left"/>
      <w:pPr>
        <w:ind w:left="644" w:hanging="360"/>
      </w:pPr>
      <w:rPr>
        <w:rFonts w:hint="default"/>
      </w:rPr>
    </w:lvl>
    <w:lvl w:ilvl="1">
      <w:start w:val="1"/>
      <w:numFmt w:val="lowerLetter"/>
      <w:isLgl w:val="false"/>
      <w:suff w:val="tab"/>
      <w:lvlText w:val="%2)"/>
      <w:lvlJc w:val="left"/>
      <w:pPr>
        <w:ind w:left="1164" w:hanging="440"/>
      </w:pPr>
    </w:lvl>
    <w:lvl w:ilvl="2">
      <w:start w:val="1"/>
      <w:numFmt w:val="lowerRoman"/>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lowerRoman"/>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lowerRoman"/>
      <w:isLgl w:val="false"/>
      <w:suff w:val="tab"/>
      <w:lvlText w:val="%9."/>
      <w:lvlJc w:val="right"/>
      <w:pPr>
        <w:ind w:left="4244" w:hanging="440"/>
      </w:pPr>
    </w:lvl>
  </w:abstractNum>
  <w:abstractNum w:abstractNumId="5">
    <w:multiLevelType w:val="hybridMultilevel"/>
    <w:lvl w:ilvl="0">
      <w:start w:val="1"/>
      <w:numFmt w:val="japaneseCounting"/>
      <w:isLgl w:val="false"/>
      <w:suff w:val="tab"/>
      <w:lvlText w:val="%1、"/>
      <w:lvlJc w:val="left"/>
      <w:pPr>
        <w:ind w:left="576" w:hanging="576"/>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tab"/>
      <w:lvlText w:val="第%1章"/>
      <w:lvlJc w:val="left"/>
      <w:pPr>
        <w:ind w:left="1840" w:hanging="144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576" w:hanging="576"/>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decimal"/>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decimal"/>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decimal"/>
      <w:isLgl w:val="false"/>
      <w:suff w:val="tab"/>
      <w:lvlText w:val="%9."/>
      <w:lvlJc w:val="right"/>
      <w:pPr>
        <w:ind w:left="3960" w:hanging="440"/>
      </w:pPr>
    </w:lvl>
  </w:abstractNum>
  <w:abstractNum w:abstractNumId="10">
    <w:multiLevelType w:val="hybridMultilevel"/>
    <w:lvl w:ilvl="0">
      <w:start w:val="7"/>
      <w:numFmt w:val="decimal"/>
      <w:isLgl w:val="false"/>
      <w:suff w:val="tab"/>
      <w:lvlText w:val="%1、"/>
      <w:lvlJc w:val="left"/>
      <w:pPr>
        <w:ind w:left="644" w:hanging="360"/>
      </w:pPr>
    </w:lvl>
    <w:lvl w:ilvl="1">
      <w:start w:val="1"/>
      <w:numFmt w:val="lowerLetter"/>
      <w:isLgl w:val="false"/>
      <w:suff w:val="tab"/>
      <w:lvlText w:val="%2)"/>
      <w:lvlJc w:val="left"/>
      <w:pPr>
        <w:ind w:left="1164" w:hanging="440"/>
      </w:pPr>
    </w:lvl>
    <w:lvl w:ilvl="2">
      <w:start w:val="1"/>
      <w:numFmt w:val="decimal"/>
      <w:isLgl w:val="false"/>
      <w:suff w:val="tab"/>
      <w:lvlText w:val="%3."/>
      <w:lvlJc w:val="right"/>
      <w:pPr>
        <w:ind w:left="1604" w:hanging="440"/>
      </w:pPr>
    </w:lvl>
    <w:lvl w:ilvl="3">
      <w:start w:val="1"/>
      <w:numFmt w:val="decimal"/>
      <w:isLgl w:val="false"/>
      <w:suff w:val="tab"/>
      <w:lvlText w:val="%4."/>
      <w:lvlJc w:val="left"/>
      <w:pPr>
        <w:ind w:left="2044" w:hanging="440"/>
      </w:pPr>
    </w:lvl>
    <w:lvl w:ilvl="4">
      <w:start w:val="1"/>
      <w:numFmt w:val="lowerLetter"/>
      <w:isLgl w:val="false"/>
      <w:suff w:val="tab"/>
      <w:lvlText w:val="%5)"/>
      <w:lvlJc w:val="left"/>
      <w:pPr>
        <w:ind w:left="2484" w:hanging="440"/>
      </w:pPr>
    </w:lvl>
    <w:lvl w:ilvl="5">
      <w:start w:val="1"/>
      <w:numFmt w:val="decimal"/>
      <w:isLgl w:val="false"/>
      <w:suff w:val="tab"/>
      <w:lvlText w:val="%6."/>
      <w:lvlJc w:val="right"/>
      <w:pPr>
        <w:ind w:left="2924" w:hanging="440"/>
      </w:pPr>
    </w:lvl>
    <w:lvl w:ilvl="6">
      <w:start w:val="1"/>
      <w:numFmt w:val="decimal"/>
      <w:isLgl w:val="false"/>
      <w:suff w:val="tab"/>
      <w:lvlText w:val="%7."/>
      <w:lvlJc w:val="left"/>
      <w:pPr>
        <w:ind w:left="3364" w:hanging="440"/>
      </w:pPr>
    </w:lvl>
    <w:lvl w:ilvl="7">
      <w:start w:val="1"/>
      <w:numFmt w:val="lowerLetter"/>
      <w:isLgl w:val="false"/>
      <w:suff w:val="tab"/>
      <w:lvlText w:val="%8)"/>
      <w:lvlJc w:val="left"/>
      <w:pPr>
        <w:ind w:left="3804" w:hanging="440"/>
      </w:pPr>
    </w:lvl>
    <w:lvl w:ilvl="8">
      <w:start w:val="1"/>
      <w:numFmt w:val="decimal"/>
      <w:isLgl w:val="false"/>
      <w:suff w:val="tab"/>
      <w:lvlText w:val="%9."/>
      <w:lvlJc w:val="right"/>
      <w:pPr>
        <w:ind w:left="4244" w:hanging="440"/>
      </w:pPr>
    </w:lvl>
  </w:abstractNum>
  <w:abstractNum w:abstractNumId="11">
    <w:multiLevelType w:val="hybridMultilevel"/>
    <w:lvl w:ilvl="0">
      <w:start w:val="1"/>
      <w:numFmt w:val="decimal"/>
      <w:isLgl w:val="false"/>
      <w:suff w:val="tab"/>
      <w:lvlText w:val="%1、"/>
      <w:lvlJc w:val="left"/>
      <w:pPr>
        <w:ind w:left="0" w:firstLine="0"/>
      </w:pPr>
      <w:rPr>
        <w:b/>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num>
  <w:num w:numId="4">
    <w:abstractNumId w:val="3"/>
  </w:num>
  <w:num w:numId="5">
    <w:abstractNumId w:val="4"/>
  </w:num>
  <w:num w:numId="6">
    <w:abstractNumId w:val="0"/>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cs="Times New Roman"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4">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3">
    <w:name w:val="TOC Heading"/>
    <w:uiPriority w:val="39"/>
    <w:unhideWhenUsed/>
  </w:style>
  <w:style w:type="paragraph" w:styleId="754" w:default="1">
    <w:name w:val="Normal"/>
    <w:next w:val="766"/>
    <w:uiPriority w:val="0"/>
    <w:qFormat/>
    <w:pPr>
      <w:spacing w:after="160" w:line="278" w:lineRule="auto"/>
    </w:pPr>
    <w:rPr>
      <w:rFonts w:ascii="Times New Roman" w:hAnsi="Times New Roman" w:cs="Times New Roman" w:eastAsiaTheme="minorEastAsia"/>
      <w:lang w:val="en-US" w:eastAsia="zh-CN" w:bidi="ar-SA"/>
    </w:rPr>
  </w:style>
  <w:style w:type="paragraph" w:styleId="755">
    <w:name w:val="Heading 1"/>
    <w:basedOn w:val="754"/>
    <w:next w:val="754"/>
    <w:link w:val="834"/>
    <w:uiPriority w:val="9"/>
    <w:qFormat/>
    <w:pPr>
      <w:keepLines/>
      <w:keepNext/>
      <w:spacing w:before="480" w:after="200"/>
      <w:outlineLvl w:val="0"/>
    </w:pPr>
    <w:rPr>
      <w:rFonts w:ascii="Arial" w:hAnsi="Arial" w:eastAsia="Arial" w:cs="Arial"/>
      <w:sz w:val="40"/>
      <w:szCs w:val="40"/>
    </w:rPr>
  </w:style>
  <w:style w:type="paragraph" w:styleId="756">
    <w:name w:val="Heading 2"/>
    <w:next w:val="754"/>
    <w:link w:val="835"/>
    <w:uiPriority w:val="0"/>
    <w:unhideWhenUsed/>
    <w:qFormat/>
    <w:pPr>
      <w:keepLines/>
      <w:keepNext/>
      <w:spacing w:before="360" w:after="200" w:line="278" w:lineRule="auto"/>
      <w:outlineLvl w:val="1"/>
    </w:pPr>
    <w:rPr>
      <w:rFonts w:ascii="Arial" w:hAnsi="Arial" w:eastAsia="Arial" w:cs="Arial"/>
      <w:sz w:val="34"/>
      <w:lang w:val="en-US" w:eastAsia="zh-CN" w:bidi="ar-SA"/>
    </w:rPr>
  </w:style>
  <w:style w:type="paragraph" w:styleId="757">
    <w:name w:val="Heading 3"/>
    <w:next w:val="754"/>
    <w:link w:val="836"/>
    <w:uiPriority w:val="9"/>
    <w:unhideWhenUsed/>
    <w:qFormat/>
    <w:pPr>
      <w:keepLines/>
      <w:keepNext/>
      <w:spacing w:before="320" w:after="200" w:line="278" w:lineRule="auto"/>
      <w:outlineLvl w:val="2"/>
    </w:pPr>
    <w:rPr>
      <w:rFonts w:ascii="Arial" w:hAnsi="Arial" w:eastAsia="Arial" w:cs="Arial"/>
      <w:sz w:val="30"/>
      <w:szCs w:val="30"/>
      <w:lang w:val="en-US" w:eastAsia="zh-CN" w:bidi="ar-SA"/>
    </w:rPr>
  </w:style>
  <w:style w:type="paragraph" w:styleId="758">
    <w:name w:val="Heading 4"/>
    <w:next w:val="754"/>
    <w:link w:val="837"/>
    <w:uiPriority w:val="9"/>
    <w:unhideWhenUsed/>
    <w:qFormat/>
    <w:pPr>
      <w:keepLines/>
      <w:keepNext/>
      <w:spacing w:before="320" w:after="200" w:line="278" w:lineRule="auto"/>
      <w:outlineLvl w:val="3"/>
    </w:pPr>
    <w:rPr>
      <w:rFonts w:ascii="Arial" w:hAnsi="Arial" w:eastAsia="Arial" w:cs="Arial"/>
      <w:b/>
      <w:bCs/>
      <w:sz w:val="26"/>
      <w:szCs w:val="26"/>
      <w:lang w:val="en-US" w:eastAsia="zh-CN" w:bidi="ar-SA"/>
    </w:rPr>
  </w:style>
  <w:style w:type="paragraph" w:styleId="759">
    <w:name w:val="Heading 5"/>
    <w:next w:val="754"/>
    <w:link w:val="838"/>
    <w:uiPriority w:val="9"/>
    <w:unhideWhenUsed/>
    <w:qFormat/>
    <w:pPr>
      <w:keepLines/>
      <w:keepNext/>
      <w:spacing w:before="320" w:after="200" w:line="278" w:lineRule="auto"/>
      <w:outlineLvl w:val="4"/>
    </w:pPr>
    <w:rPr>
      <w:rFonts w:ascii="Arial" w:hAnsi="Arial" w:eastAsia="Arial" w:cs="Arial"/>
      <w:b/>
      <w:bCs/>
      <w:sz w:val="24"/>
      <w:szCs w:val="24"/>
      <w:lang w:val="en-US" w:eastAsia="zh-CN" w:bidi="ar-SA"/>
    </w:rPr>
  </w:style>
  <w:style w:type="paragraph" w:styleId="760">
    <w:name w:val="Heading 6"/>
    <w:next w:val="754"/>
    <w:link w:val="839"/>
    <w:uiPriority w:val="9"/>
    <w:unhideWhenUsed/>
    <w:qFormat/>
    <w:pPr>
      <w:keepLines/>
      <w:keepNext/>
      <w:spacing w:before="320" w:after="200" w:line="278" w:lineRule="auto"/>
      <w:outlineLvl w:val="5"/>
    </w:pPr>
    <w:rPr>
      <w:rFonts w:ascii="Arial" w:hAnsi="Arial" w:eastAsia="Arial" w:cs="Arial"/>
      <w:b/>
      <w:bCs/>
      <w:sz w:val="22"/>
      <w:szCs w:val="22"/>
      <w:lang w:val="en-US" w:eastAsia="zh-CN" w:bidi="ar-SA"/>
    </w:rPr>
  </w:style>
  <w:style w:type="paragraph" w:styleId="761">
    <w:name w:val="Heading 7"/>
    <w:next w:val="754"/>
    <w:link w:val="840"/>
    <w:uiPriority w:val="9"/>
    <w:unhideWhenUsed/>
    <w:qFormat/>
    <w:pPr>
      <w:keepLines/>
      <w:keepNext/>
      <w:spacing w:before="320" w:after="200" w:line="278" w:lineRule="auto"/>
      <w:outlineLvl w:val="6"/>
    </w:pPr>
    <w:rPr>
      <w:rFonts w:ascii="Arial" w:hAnsi="Arial" w:eastAsia="Arial" w:cs="Arial"/>
      <w:b/>
      <w:bCs/>
      <w:i/>
      <w:iCs/>
      <w:sz w:val="22"/>
      <w:szCs w:val="22"/>
      <w:lang w:val="en-US" w:eastAsia="zh-CN" w:bidi="ar-SA"/>
    </w:rPr>
  </w:style>
  <w:style w:type="paragraph" w:styleId="762">
    <w:name w:val="Heading 8"/>
    <w:next w:val="754"/>
    <w:link w:val="841"/>
    <w:uiPriority w:val="9"/>
    <w:unhideWhenUsed/>
    <w:qFormat/>
    <w:pPr>
      <w:keepLines/>
      <w:keepNext/>
      <w:spacing w:before="320" w:after="200" w:line="278" w:lineRule="auto"/>
      <w:outlineLvl w:val="7"/>
    </w:pPr>
    <w:rPr>
      <w:rFonts w:ascii="Arial" w:hAnsi="Arial" w:eastAsia="Arial" w:cs="Arial"/>
      <w:i/>
      <w:iCs/>
      <w:sz w:val="22"/>
      <w:szCs w:val="22"/>
      <w:lang w:val="en-US" w:eastAsia="zh-CN" w:bidi="ar-SA"/>
    </w:rPr>
  </w:style>
  <w:style w:type="paragraph" w:styleId="763">
    <w:name w:val="Heading 9"/>
    <w:next w:val="754"/>
    <w:link w:val="842"/>
    <w:uiPriority w:val="9"/>
    <w:unhideWhenUsed/>
    <w:qFormat/>
    <w:pPr>
      <w:keepLines/>
      <w:keepNext/>
      <w:spacing w:before="320" w:after="200" w:line="278" w:lineRule="auto"/>
      <w:outlineLvl w:val="8"/>
    </w:pPr>
    <w:rPr>
      <w:rFonts w:ascii="Arial" w:hAnsi="Arial" w:eastAsia="Arial" w:cs="Arial"/>
      <w:i/>
      <w:iCs/>
      <w:sz w:val="21"/>
      <w:szCs w:val="21"/>
      <w:lang w:val="en-US" w:eastAsia="zh-CN" w:bidi="ar-SA"/>
    </w:rPr>
  </w:style>
  <w:style w:type="character" w:styleId="764" w:default="1">
    <w:name w:val="Default Paragraph Font"/>
    <w:uiPriority w:val="1"/>
    <w:semiHidden/>
    <w:unhideWhenUsed/>
  </w:style>
  <w:style w:type="table" w:styleId="765" w:default="1">
    <w:name w:val="Normal Table"/>
    <w:uiPriority w:val="99"/>
    <w:semiHidden/>
    <w:unhideWhenUsed/>
    <w:tblPr>
      <w:tblCellMar>
        <w:left w:w="108" w:type="dxa"/>
        <w:top w:w="0" w:type="dxa"/>
        <w:right w:w="108" w:type="dxa"/>
        <w:bottom w:w="0" w:type="dxa"/>
      </w:tblCellMar>
    </w:tblPr>
  </w:style>
  <w:style w:type="paragraph" w:styleId="766">
    <w:name w:val="Body Text"/>
    <w:basedOn w:val="754"/>
    <w:next w:val="754"/>
    <w:uiPriority w:val="0"/>
    <w:qFormat/>
    <w:rPr>
      <w:rFonts w:ascii="楷体_GB2312" w:hAnsi="Arial" w:eastAsia="楷体_GB2312"/>
      <w:sz w:val="28"/>
      <w:szCs w:val="28"/>
    </w:rPr>
  </w:style>
  <w:style w:type="paragraph" w:styleId="767">
    <w:name w:val="toc 7"/>
    <w:next w:val="754"/>
    <w:uiPriority w:val="39"/>
    <w:unhideWhenUsed/>
    <w:qFormat/>
    <w:pPr>
      <w:ind w:left="1701"/>
      <w:spacing w:after="57" w:line="278" w:lineRule="auto"/>
    </w:pPr>
    <w:rPr>
      <w:rFonts w:ascii="Times New Roman" w:hAnsi="Times New Roman" w:cs="Times New Roman" w:eastAsiaTheme="minorEastAsia"/>
      <w:lang w:val="en-US" w:eastAsia="zh-CN" w:bidi="ar-SA"/>
    </w:rPr>
  </w:style>
  <w:style w:type="paragraph" w:styleId="768">
    <w:name w:val="Caption"/>
    <w:next w:val="754"/>
    <w:uiPriority w:val="35"/>
    <w:semiHidden/>
    <w:unhideWhenUsed/>
    <w:qFormat/>
    <w:pPr>
      <w:spacing w:after="160"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769">
    <w:name w:val="toa heading"/>
    <w:basedOn w:val="754"/>
    <w:next w:val="754"/>
    <w:uiPriority w:val="0"/>
    <w:qFormat/>
    <w:pPr>
      <w:jc w:val="center"/>
      <w:spacing w:before="200" w:after="0" w:line="360" w:lineRule="atLeast"/>
    </w:pPr>
    <w:rPr>
      <w:rFonts w:ascii="Arial" w:hAnsi="Arial" w:eastAsia="黑体" w:cs="Arial"/>
      <w:color w:val="000000"/>
      <w:sz w:val="44"/>
      <w:lang w:eastAsia="en-US"/>
    </w:rPr>
  </w:style>
  <w:style w:type="paragraph" w:styleId="770">
    <w:name w:val="annotation text"/>
    <w:basedOn w:val="754"/>
    <w:link w:val="964"/>
    <w:uiPriority w:val="0"/>
    <w:unhideWhenUsed/>
    <w:qFormat/>
  </w:style>
  <w:style w:type="paragraph" w:styleId="771">
    <w:name w:val="toc 5"/>
    <w:next w:val="754"/>
    <w:uiPriority w:val="39"/>
    <w:unhideWhenUsed/>
    <w:qFormat/>
    <w:pPr>
      <w:ind w:left="1134"/>
      <w:spacing w:after="57" w:line="278" w:lineRule="auto"/>
    </w:pPr>
    <w:rPr>
      <w:rFonts w:ascii="Times New Roman" w:hAnsi="Times New Roman" w:cs="Times New Roman" w:eastAsiaTheme="minorEastAsia"/>
      <w:lang w:val="en-US" w:eastAsia="zh-CN" w:bidi="ar-SA"/>
    </w:rPr>
  </w:style>
  <w:style w:type="paragraph" w:styleId="772">
    <w:name w:val="toc 3"/>
    <w:next w:val="754"/>
    <w:uiPriority w:val="39"/>
    <w:unhideWhenUsed/>
    <w:qFormat/>
    <w:pPr>
      <w:ind w:left="567"/>
      <w:spacing w:after="57" w:line="278" w:lineRule="auto"/>
    </w:pPr>
    <w:rPr>
      <w:rFonts w:ascii="Times New Roman" w:hAnsi="Times New Roman" w:cs="Times New Roman" w:eastAsiaTheme="minorEastAsia"/>
      <w:lang w:val="en-US" w:eastAsia="zh-CN" w:bidi="ar-SA"/>
    </w:rPr>
  </w:style>
  <w:style w:type="paragraph" w:styleId="773">
    <w:name w:val="toc 8"/>
    <w:next w:val="754"/>
    <w:uiPriority w:val="39"/>
    <w:unhideWhenUsed/>
    <w:qFormat/>
    <w:pPr>
      <w:ind w:left="1984"/>
      <w:spacing w:after="57" w:line="278" w:lineRule="auto"/>
    </w:pPr>
    <w:rPr>
      <w:rFonts w:ascii="Times New Roman" w:hAnsi="Times New Roman" w:cs="Times New Roman" w:eastAsiaTheme="minorEastAsia"/>
      <w:lang w:val="en-US" w:eastAsia="zh-CN" w:bidi="ar-SA"/>
    </w:rPr>
  </w:style>
  <w:style w:type="paragraph" w:styleId="774">
    <w:name w:val="endnote text"/>
    <w:link w:val="961"/>
    <w:uiPriority w:val="99"/>
    <w:semiHidden/>
    <w:unhideWhenUsed/>
    <w:qFormat/>
    <w:pPr>
      <w:spacing w:after="160" w:line="278" w:lineRule="auto"/>
    </w:pPr>
    <w:rPr>
      <w:rFonts w:ascii="Times New Roman" w:hAnsi="Times New Roman" w:cs="Times New Roman" w:eastAsiaTheme="minorEastAsia"/>
      <w:lang w:val="en-US" w:eastAsia="zh-CN" w:bidi="ar-SA"/>
    </w:rPr>
  </w:style>
  <w:style w:type="paragraph" w:styleId="775">
    <w:name w:val="Balloon Text"/>
    <w:basedOn w:val="754"/>
    <w:link w:val="966"/>
    <w:uiPriority w:val="99"/>
    <w:semiHidden/>
    <w:unhideWhenUsed/>
    <w:qFormat/>
    <w:rPr>
      <w:sz w:val="18"/>
      <w:szCs w:val="18"/>
    </w:rPr>
  </w:style>
  <w:style w:type="paragraph" w:styleId="776">
    <w:name w:val="Footer"/>
    <w:basedOn w:val="754"/>
    <w:link w:val="853"/>
    <w:uiPriority w:val="99"/>
    <w:unhideWhenUsed/>
    <w:qFormat/>
    <w:pPr>
      <w:tabs>
        <w:tab w:val="center" w:pos="7143" w:leader="none"/>
        <w:tab w:val="right" w:pos="14287" w:leader="none"/>
      </w:tabs>
    </w:pPr>
  </w:style>
  <w:style w:type="paragraph" w:styleId="777">
    <w:name w:val="Header"/>
    <w:basedOn w:val="754"/>
    <w:link w:val="851"/>
    <w:uiPriority w:val="99"/>
    <w:unhideWhenUsed/>
    <w:qFormat/>
    <w:pPr>
      <w:tabs>
        <w:tab w:val="center" w:pos="7143" w:leader="none"/>
        <w:tab w:val="right" w:pos="14287" w:leader="none"/>
      </w:tabs>
    </w:pPr>
  </w:style>
  <w:style w:type="paragraph" w:styleId="778">
    <w:name w:val="toc 1"/>
    <w:next w:val="754"/>
    <w:uiPriority w:val="39"/>
    <w:unhideWhenUsed/>
    <w:qFormat/>
    <w:pPr>
      <w:spacing w:after="57" w:line="278" w:lineRule="auto"/>
    </w:pPr>
    <w:rPr>
      <w:rFonts w:ascii="Times New Roman" w:hAnsi="Times New Roman" w:cs="Times New Roman" w:eastAsiaTheme="minorEastAsia"/>
      <w:lang w:val="en-US" w:eastAsia="zh-CN" w:bidi="ar-SA"/>
    </w:rPr>
  </w:style>
  <w:style w:type="paragraph" w:styleId="779">
    <w:name w:val="toc 4"/>
    <w:next w:val="754"/>
    <w:uiPriority w:val="39"/>
    <w:unhideWhenUsed/>
    <w:qFormat/>
    <w:pPr>
      <w:ind w:left="850"/>
      <w:spacing w:after="57" w:line="278" w:lineRule="auto"/>
    </w:pPr>
    <w:rPr>
      <w:rFonts w:ascii="Times New Roman" w:hAnsi="Times New Roman" w:cs="Times New Roman" w:eastAsiaTheme="minorEastAsia"/>
      <w:lang w:val="en-US" w:eastAsia="zh-CN" w:bidi="ar-SA"/>
    </w:rPr>
  </w:style>
  <w:style w:type="paragraph" w:styleId="780">
    <w:name w:val="Subtitle"/>
    <w:link w:val="846"/>
    <w:uiPriority w:val="11"/>
    <w:qFormat/>
    <w:pPr>
      <w:spacing w:before="200" w:after="200" w:line="278" w:lineRule="auto"/>
    </w:pPr>
    <w:rPr>
      <w:rFonts w:ascii="Times New Roman" w:hAnsi="Times New Roman" w:cs="Times New Roman" w:eastAsiaTheme="minorEastAsia"/>
      <w:sz w:val="24"/>
      <w:szCs w:val="24"/>
      <w:lang w:val="en-US" w:eastAsia="zh-CN" w:bidi="ar-SA"/>
    </w:rPr>
  </w:style>
  <w:style w:type="paragraph" w:styleId="781">
    <w:name w:val="footnote text"/>
    <w:link w:val="960"/>
    <w:uiPriority w:val="99"/>
    <w:semiHidden/>
    <w:unhideWhenUsed/>
    <w:qFormat/>
    <w:pPr>
      <w:spacing w:after="40" w:line="278" w:lineRule="auto"/>
    </w:pPr>
    <w:rPr>
      <w:rFonts w:ascii="Times New Roman" w:hAnsi="Times New Roman" w:cs="Times New Roman" w:eastAsiaTheme="minorEastAsia"/>
      <w:sz w:val="18"/>
      <w:lang w:val="en-US" w:eastAsia="zh-CN" w:bidi="ar-SA"/>
    </w:rPr>
  </w:style>
  <w:style w:type="paragraph" w:styleId="782">
    <w:name w:val="toc 6"/>
    <w:next w:val="754"/>
    <w:uiPriority w:val="39"/>
    <w:unhideWhenUsed/>
    <w:qFormat/>
    <w:pPr>
      <w:ind w:left="1417"/>
      <w:spacing w:after="57" w:line="278" w:lineRule="auto"/>
    </w:pPr>
    <w:rPr>
      <w:rFonts w:ascii="Times New Roman" w:hAnsi="Times New Roman" w:cs="Times New Roman" w:eastAsiaTheme="minorEastAsia"/>
      <w:lang w:val="en-US" w:eastAsia="zh-CN" w:bidi="ar-SA"/>
    </w:rPr>
  </w:style>
  <w:style w:type="paragraph" w:styleId="783">
    <w:name w:val="table of figures"/>
    <w:next w:val="754"/>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784">
    <w:name w:val="toc 2"/>
    <w:next w:val="754"/>
    <w:uiPriority w:val="39"/>
    <w:unhideWhenUsed/>
    <w:qFormat/>
    <w:pPr>
      <w:ind w:left="283"/>
      <w:spacing w:after="57" w:line="278" w:lineRule="auto"/>
    </w:pPr>
    <w:rPr>
      <w:rFonts w:ascii="Times New Roman" w:hAnsi="Times New Roman" w:cs="Times New Roman" w:eastAsiaTheme="minorEastAsia"/>
      <w:lang w:val="en-US" w:eastAsia="zh-CN" w:bidi="ar-SA"/>
    </w:rPr>
  </w:style>
  <w:style w:type="paragraph" w:styleId="785">
    <w:name w:val="toc 9"/>
    <w:next w:val="754"/>
    <w:uiPriority w:val="39"/>
    <w:unhideWhenUsed/>
    <w:qFormat/>
    <w:pPr>
      <w:ind w:left="2268"/>
      <w:spacing w:after="57" w:line="278" w:lineRule="auto"/>
    </w:pPr>
    <w:rPr>
      <w:rFonts w:ascii="Times New Roman" w:hAnsi="Times New Roman" w:cs="Times New Roman" w:eastAsiaTheme="minorEastAsia"/>
      <w:lang w:val="en-US" w:eastAsia="zh-CN" w:bidi="ar-SA"/>
    </w:rPr>
  </w:style>
  <w:style w:type="paragraph" w:styleId="786">
    <w:name w:val="Normal (Web)"/>
    <w:basedOn w:val="754"/>
    <w:uiPriority w:val="0"/>
    <w:unhideWhenUsed/>
    <w:qFormat/>
    <w:pPr>
      <w:spacing w:before="100" w:beforeAutospacing="1" w:after="100" w:afterAutospacing="1"/>
    </w:pPr>
    <w:rPr>
      <w:rFonts w:ascii="宋体" w:hAnsi="宋体" w:eastAsia="宋体" w:cs="宋体"/>
      <w:sz w:val="24"/>
      <w:szCs w:val="24"/>
    </w:rPr>
  </w:style>
  <w:style w:type="paragraph" w:styleId="787">
    <w:name w:val="Title"/>
    <w:link w:val="845"/>
    <w:uiPriority w:val="10"/>
    <w:qFormat/>
    <w:pPr>
      <w:contextualSpacing/>
      <w:spacing w:before="300" w:after="200" w:line="278" w:lineRule="auto"/>
    </w:pPr>
    <w:rPr>
      <w:rFonts w:ascii="Times New Roman" w:hAnsi="Times New Roman" w:cs="Times New Roman" w:eastAsiaTheme="minorEastAsia"/>
      <w:sz w:val="48"/>
      <w:szCs w:val="48"/>
      <w:lang w:val="en-US" w:eastAsia="zh-CN" w:bidi="ar-SA"/>
    </w:rPr>
  </w:style>
  <w:style w:type="paragraph" w:styleId="788">
    <w:name w:val="annotation subject"/>
    <w:basedOn w:val="770"/>
    <w:next w:val="770"/>
    <w:link w:val="965"/>
    <w:uiPriority w:val="99"/>
    <w:semiHidden/>
    <w:unhideWhenUsed/>
    <w:qFormat/>
    <w:rPr>
      <w:b/>
      <w:bCs/>
    </w:rPr>
  </w:style>
  <w:style w:type="paragraph" w:styleId="789">
    <w:name w:val="Body Text First Indent"/>
    <w:basedOn w:val="766"/>
    <w:link w:val="984"/>
    <w:uiPriority w:val="0"/>
    <w:qFormat/>
    <w:pPr>
      <w:ind w:firstLine="420"/>
      <w:spacing w:after="120"/>
    </w:pPr>
    <w:rPr>
      <w:sz w:val="21"/>
      <w:szCs w:val="24"/>
      <w:lang w:val="zh-CN"/>
    </w:rPr>
  </w:style>
  <w:style w:type="table" w:styleId="790">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64"/>
    <w:uiPriority w:val="22"/>
    <w:qFormat/>
    <w:rPr>
      <w:b/>
      <w:bCs/>
    </w:rPr>
  </w:style>
  <w:style w:type="character" w:styleId="792">
    <w:name w:val="endnote reference"/>
    <w:uiPriority w:val="99"/>
    <w:semiHidden/>
    <w:unhideWhenUsed/>
    <w:qFormat/>
    <w:rPr>
      <w:vertAlign w:val="superscript"/>
    </w:rPr>
  </w:style>
  <w:style w:type="character" w:styleId="793">
    <w:name w:val="Emphasis"/>
    <w:uiPriority w:val="20"/>
    <w:qFormat/>
    <w:rPr>
      <w:i/>
    </w:rPr>
  </w:style>
  <w:style w:type="character" w:styleId="794">
    <w:name w:val="Hyperlink"/>
    <w:uiPriority w:val="99"/>
    <w:unhideWhenUsed/>
    <w:qFormat/>
    <w:rPr>
      <w:color w:val="0000ff" w:themeColor="hyperlink"/>
      <w:u w:val="single"/>
      <w14:textFill>
        <w14:solidFill>
          <w14:schemeClr w14:val="hlink"/>
        </w14:solidFill>
      </w14:textFill>
    </w:rPr>
  </w:style>
  <w:style w:type="character" w:styleId="795">
    <w:name w:val="annotation reference"/>
    <w:basedOn w:val="764"/>
    <w:uiPriority w:val="0"/>
    <w:unhideWhenUsed/>
    <w:qFormat/>
    <w:rPr>
      <w:sz w:val="21"/>
      <w:szCs w:val="21"/>
    </w:rPr>
  </w:style>
  <w:style w:type="character" w:styleId="796">
    <w:name w:val="footnote reference"/>
    <w:uiPriority w:val="99"/>
    <w:unhideWhenUsed/>
    <w:qFormat/>
    <w:rPr>
      <w:vertAlign w:val="superscript"/>
    </w:rPr>
  </w:style>
  <w:style w:type="character" w:styleId="797" w:customStyle="1">
    <w:name w:val="Heading 1 Char"/>
    <w:basedOn w:val="764"/>
    <w:uiPriority w:val="9"/>
    <w:qFormat/>
    <w:rPr>
      <w:rFonts w:ascii="Arial" w:hAnsi="Arial" w:eastAsia="Arial" w:cs="Arial"/>
      <w:sz w:val="40"/>
      <w:szCs w:val="40"/>
    </w:rPr>
  </w:style>
  <w:style w:type="character" w:styleId="798" w:customStyle="1">
    <w:name w:val="Heading 2 Char"/>
    <w:basedOn w:val="764"/>
    <w:uiPriority w:val="9"/>
    <w:qFormat/>
    <w:rPr>
      <w:rFonts w:ascii="Arial" w:hAnsi="Arial" w:eastAsia="Arial" w:cs="Arial"/>
      <w:sz w:val="34"/>
    </w:rPr>
  </w:style>
  <w:style w:type="character" w:styleId="799" w:customStyle="1">
    <w:name w:val="Heading 3 Char"/>
    <w:basedOn w:val="764"/>
    <w:uiPriority w:val="9"/>
    <w:qFormat/>
    <w:rPr>
      <w:rFonts w:ascii="Arial" w:hAnsi="Arial" w:eastAsia="Arial" w:cs="Arial"/>
      <w:sz w:val="30"/>
      <w:szCs w:val="30"/>
    </w:rPr>
  </w:style>
  <w:style w:type="character" w:styleId="800" w:customStyle="1">
    <w:name w:val="Heading 4 Char"/>
    <w:basedOn w:val="764"/>
    <w:uiPriority w:val="9"/>
    <w:qFormat/>
    <w:rPr>
      <w:rFonts w:ascii="Arial" w:hAnsi="Arial" w:eastAsia="Arial" w:cs="Arial"/>
      <w:b/>
      <w:bCs/>
      <w:sz w:val="26"/>
      <w:szCs w:val="26"/>
    </w:rPr>
  </w:style>
  <w:style w:type="character" w:styleId="801" w:customStyle="1">
    <w:name w:val="Heading 5 Char"/>
    <w:basedOn w:val="764"/>
    <w:uiPriority w:val="9"/>
    <w:qFormat/>
    <w:rPr>
      <w:rFonts w:ascii="Arial" w:hAnsi="Arial" w:eastAsia="Arial" w:cs="Arial"/>
      <w:b/>
      <w:bCs/>
      <w:sz w:val="24"/>
      <w:szCs w:val="24"/>
    </w:rPr>
  </w:style>
  <w:style w:type="character" w:styleId="802" w:customStyle="1">
    <w:name w:val="Heading 6 Char"/>
    <w:basedOn w:val="764"/>
    <w:uiPriority w:val="9"/>
    <w:qFormat/>
    <w:rPr>
      <w:rFonts w:ascii="Arial" w:hAnsi="Arial" w:eastAsia="Arial" w:cs="Arial"/>
      <w:b/>
      <w:bCs/>
      <w:sz w:val="22"/>
      <w:szCs w:val="22"/>
    </w:rPr>
  </w:style>
  <w:style w:type="character" w:styleId="803" w:customStyle="1">
    <w:name w:val="Heading 7 Char"/>
    <w:basedOn w:val="764"/>
    <w:uiPriority w:val="9"/>
    <w:qFormat/>
    <w:rPr>
      <w:rFonts w:ascii="Arial" w:hAnsi="Arial" w:eastAsia="Arial" w:cs="Arial"/>
      <w:b/>
      <w:bCs/>
      <w:i/>
      <w:iCs/>
      <w:sz w:val="22"/>
      <w:szCs w:val="22"/>
    </w:rPr>
  </w:style>
  <w:style w:type="character" w:styleId="804" w:customStyle="1">
    <w:name w:val="Heading 8 Char"/>
    <w:basedOn w:val="764"/>
    <w:uiPriority w:val="9"/>
    <w:qFormat/>
    <w:rPr>
      <w:rFonts w:ascii="Arial" w:hAnsi="Arial" w:eastAsia="Arial" w:cs="Arial"/>
      <w:i/>
      <w:iCs/>
      <w:sz w:val="22"/>
      <w:szCs w:val="22"/>
    </w:rPr>
  </w:style>
  <w:style w:type="character" w:styleId="805" w:customStyle="1">
    <w:name w:val="Heading 9 Char"/>
    <w:basedOn w:val="764"/>
    <w:uiPriority w:val="9"/>
    <w:qFormat/>
    <w:rPr>
      <w:rFonts w:ascii="Arial" w:hAnsi="Arial" w:eastAsia="Arial" w:cs="Arial"/>
      <w:i/>
      <w:iCs/>
      <w:sz w:val="21"/>
      <w:szCs w:val="21"/>
    </w:rPr>
  </w:style>
  <w:style w:type="character" w:styleId="806" w:customStyle="1">
    <w:name w:val="Title Char"/>
    <w:basedOn w:val="764"/>
    <w:uiPriority w:val="10"/>
    <w:qFormat/>
    <w:rPr>
      <w:sz w:val="48"/>
      <w:szCs w:val="48"/>
    </w:rPr>
  </w:style>
  <w:style w:type="character" w:styleId="807" w:customStyle="1">
    <w:name w:val="Subtitle Char"/>
    <w:basedOn w:val="764"/>
    <w:uiPriority w:val="11"/>
    <w:qFormat/>
    <w:rPr>
      <w:sz w:val="24"/>
      <w:szCs w:val="24"/>
    </w:rPr>
  </w:style>
  <w:style w:type="character" w:styleId="808" w:customStyle="1">
    <w:name w:val="Quote Char"/>
    <w:uiPriority w:val="29"/>
    <w:qFormat/>
    <w:rPr>
      <w:i/>
    </w:rPr>
  </w:style>
  <w:style w:type="character" w:styleId="809" w:customStyle="1">
    <w:name w:val="Intense Quote Char"/>
    <w:uiPriority w:val="30"/>
    <w:qFormat/>
    <w:rPr>
      <w:i/>
    </w:rPr>
  </w:style>
  <w:style w:type="character" w:styleId="810" w:customStyle="1">
    <w:name w:val="Header Char"/>
    <w:basedOn w:val="764"/>
    <w:uiPriority w:val="99"/>
    <w:qFormat/>
  </w:style>
  <w:style w:type="character" w:styleId="811" w:customStyle="1">
    <w:name w:val="Caption Char"/>
    <w:uiPriority w:val="99"/>
    <w:qFormat/>
  </w:style>
  <w:style w:type="table" w:styleId="812" w:customStyle="1">
    <w:name w:val="无格式表格 11"/>
    <w:basedOn w:val="7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6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6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6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网格表 31"/>
    <w:basedOn w:val="7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网格表 6 彩色1"/>
    <w:basedOn w:val="7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网格表 7 彩色1"/>
    <w:basedOn w:val="7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清单表 1 浅色1"/>
    <w:basedOn w:val="76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清单表 21"/>
    <w:basedOn w:val="7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6"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5 深色1"/>
    <w:basedOn w:val="7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清单表 6 彩色1"/>
    <w:basedOn w:val="76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0" w:customStyle="1">
    <w:name w:val="清单表 7 彩色1"/>
    <w:basedOn w:val="76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1" w:customStyle="1">
    <w:name w:val="Footnote Text Char"/>
    <w:uiPriority w:val="99"/>
    <w:qFormat/>
    <w:rPr>
      <w:sz w:val="18"/>
    </w:rPr>
  </w:style>
  <w:style w:type="character" w:styleId="832" w:customStyle="1">
    <w:name w:val="Endnote Text Char"/>
    <w:uiPriority w:val="99"/>
    <w:qFormat/>
    <w:rPr>
      <w:sz w:val="20"/>
    </w:rPr>
  </w:style>
  <w:style w:type="paragraph" w:styleId="833" w:customStyle="1">
    <w:name w:val="TOC 标题1"/>
    <w:uiPriority w:val="39"/>
    <w:unhideWhenUsed/>
    <w:qFormat/>
    <w:pPr>
      <w:spacing w:after="160" w:line="278" w:lineRule="auto"/>
    </w:pPr>
    <w:rPr>
      <w:rFonts w:ascii="Times New Roman" w:hAnsi="Times New Roman" w:cs="Times New Roman" w:eastAsiaTheme="minorEastAsia"/>
      <w:lang w:val="en-US" w:eastAsia="zh-CN" w:bidi="ar-SA"/>
    </w:rPr>
  </w:style>
  <w:style w:type="character" w:styleId="834" w:customStyle="1">
    <w:name w:val="标题 1 字符"/>
    <w:link w:val="755"/>
    <w:uiPriority w:val="9"/>
    <w:qFormat/>
    <w:rPr>
      <w:rFonts w:ascii="Arial" w:hAnsi="Arial" w:eastAsia="Arial" w:cs="Arial"/>
      <w:sz w:val="40"/>
      <w:szCs w:val="40"/>
    </w:rPr>
  </w:style>
  <w:style w:type="character" w:styleId="835" w:customStyle="1">
    <w:name w:val="标题 2 字符"/>
    <w:link w:val="756"/>
    <w:uiPriority w:val="0"/>
    <w:qFormat/>
    <w:rPr>
      <w:rFonts w:ascii="Arial" w:hAnsi="Arial" w:eastAsia="Arial" w:cs="Arial"/>
      <w:sz w:val="34"/>
    </w:rPr>
  </w:style>
  <w:style w:type="character" w:styleId="836" w:customStyle="1">
    <w:name w:val="标题 3 字符"/>
    <w:link w:val="757"/>
    <w:uiPriority w:val="9"/>
    <w:qFormat/>
    <w:rPr>
      <w:rFonts w:ascii="Arial" w:hAnsi="Arial" w:eastAsia="Arial" w:cs="Arial"/>
      <w:sz w:val="30"/>
      <w:szCs w:val="30"/>
    </w:rPr>
  </w:style>
  <w:style w:type="character" w:styleId="837" w:customStyle="1">
    <w:name w:val="标题 4 字符"/>
    <w:link w:val="758"/>
    <w:uiPriority w:val="9"/>
    <w:qFormat/>
    <w:rPr>
      <w:rFonts w:ascii="Arial" w:hAnsi="Arial" w:eastAsia="Arial" w:cs="Arial"/>
      <w:b/>
      <w:bCs/>
      <w:sz w:val="26"/>
      <w:szCs w:val="26"/>
    </w:rPr>
  </w:style>
  <w:style w:type="character" w:styleId="838" w:customStyle="1">
    <w:name w:val="标题 5 字符"/>
    <w:link w:val="759"/>
    <w:uiPriority w:val="9"/>
    <w:qFormat/>
    <w:rPr>
      <w:rFonts w:ascii="Arial" w:hAnsi="Arial" w:eastAsia="Arial" w:cs="Arial"/>
      <w:b/>
      <w:bCs/>
      <w:sz w:val="24"/>
      <w:szCs w:val="24"/>
    </w:rPr>
  </w:style>
  <w:style w:type="character" w:styleId="839" w:customStyle="1">
    <w:name w:val="标题 6 字符"/>
    <w:link w:val="760"/>
    <w:uiPriority w:val="9"/>
    <w:qFormat/>
    <w:rPr>
      <w:rFonts w:ascii="Arial" w:hAnsi="Arial" w:eastAsia="Arial" w:cs="Arial"/>
      <w:b/>
      <w:bCs/>
      <w:sz w:val="22"/>
      <w:szCs w:val="22"/>
    </w:rPr>
  </w:style>
  <w:style w:type="character" w:styleId="840" w:customStyle="1">
    <w:name w:val="标题 7 字符"/>
    <w:link w:val="761"/>
    <w:uiPriority w:val="9"/>
    <w:qFormat/>
    <w:rPr>
      <w:rFonts w:ascii="Arial" w:hAnsi="Arial" w:eastAsia="Arial" w:cs="Arial"/>
      <w:b/>
      <w:bCs/>
      <w:i/>
      <w:iCs/>
      <w:sz w:val="22"/>
      <w:szCs w:val="22"/>
    </w:rPr>
  </w:style>
  <w:style w:type="character" w:styleId="841" w:customStyle="1">
    <w:name w:val="标题 8 字符"/>
    <w:link w:val="762"/>
    <w:uiPriority w:val="9"/>
    <w:qFormat/>
    <w:rPr>
      <w:rFonts w:ascii="Arial" w:hAnsi="Arial" w:eastAsia="Arial" w:cs="Arial"/>
      <w:i/>
      <w:iCs/>
      <w:sz w:val="22"/>
      <w:szCs w:val="22"/>
    </w:rPr>
  </w:style>
  <w:style w:type="character" w:styleId="842" w:customStyle="1">
    <w:name w:val="标题 9 字符"/>
    <w:link w:val="763"/>
    <w:uiPriority w:val="9"/>
    <w:qFormat/>
    <w:rPr>
      <w:rFonts w:ascii="Arial" w:hAnsi="Arial" w:eastAsia="Arial" w:cs="Arial"/>
      <w:i/>
      <w:iCs/>
      <w:sz w:val="21"/>
      <w:szCs w:val="21"/>
    </w:rPr>
  </w:style>
  <w:style w:type="paragraph" w:styleId="843">
    <w:name w:val="List Paragraph"/>
    <w:uiPriority w:val="34"/>
    <w:qFormat/>
    <w:pPr>
      <w:contextualSpacing/>
      <w:ind w:left="720"/>
      <w:spacing w:after="160" w:line="278" w:lineRule="auto"/>
    </w:pPr>
    <w:rPr>
      <w:rFonts w:ascii="Times New Roman" w:hAnsi="Times New Roman" w:cs="Times New Roman" w:eastAsiaTheme="minorEastAsia"/>
      <w:lang w:val="en-US" w:eastAsia="zh-CN" w:bidi="ar-SA"/>
    </w:rPr>
  </w:style>
  <w:style w:type="paragraph" w:styleId="844">
    <w:name w:val="No Spacing"/>
    <w:uiPriority w:val="1"/>
    <w:qFormat/>
    <w:pPr>
      <w:spacing w:after="160" w:line="278" w:lineRule="auto"/>
    </w:pPr>
    <w:rPr>
      <w:rFonts w:ascii="Times New Roman" w:hAnsi="Times New Roman" w:cs="Times New Roman" w:eastAsiaTheme="minorEastAsia"/>
      <w:lang w:val="en-US" w:eastAsia="zh-CN" w:bidi="ar-SA"/>
    </w:rPr>
  </w:style>
  <w:style w:type="character" w:styleId="845" w:customStyle="1">
    <w:name w:val="标题 字符"/>
    <w:link w:val="787"/>
    <w:uiPriority w:val="10"/>
    <w:qFormat/>
    <w:rPr>
      <w:sz w:val="48"/>
      <w:szCs w:val="48"/>
    </w:rPr>
  </w:style>
  <w:style w:type="character" w:styleId="846" w:customStyle="1">
    <w:name w:val="副标题 字符"/>
    <w:link w:val="780"/>
    <w:uiPriority w:val="11"/>
    <w:qFormat/>
    <w:rPr>
      <w:sz w:val="24"/>
      <w:szCs w:val="24"/>
    </w:rPr>
  </w:style>
  <w:style w:type="paragraph" w:styleId="847">
    <w:name w:val="Quote"/>
    <w:link w:val="848"/>
    <w:uiPriority w:val="29"/>
    <w:qFormat/>
    <w:pPr>
      <w:ind w:left="720" w:right="720"/>
      <w:spacing w:after="160" w:line="278" w:lineRule="auto"/>
    </w:pPr>
    <w:rPr>
      <w:rFonts w:ascii="Times New Roman" w:hAnsi="Times New Roman" w:cs="Times New Roman" w:eastAsiaTheme="minorEastAsia"/>
      <w:i/>
      <w:lang w:val="en-US" w:eastAsia="zh-CN" w:bidi="ar-SA"/>
    </w:rPr>
  </w:style>
  <w:style w:type="character" w:styleId="848" w:customStyle="1">
    <w:name w:val="引用 字符"/>
    <w:link w:val="847"/>
    <w:uiPriority w:val="29"/>
    <w:qFormat/>
    <w:rPr>
      <w:i/>
    </w:rPr>
  </w:style>
  <w:style w:type="paragraph" w:styleId="849">
    <w:name w:val="Intense Quote"/>
    <w:link w:val="850"/>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850" w:customStyle="1">
    <w:name w:val="明显引用 字符"/>
    <w:link w:val="849"/>
    <w:uiPriority w:val="30"/>
    <w:qFormat/>
    <w:rPr>
      <w:i/>
    </w:rPr>
  </w:style>
  <w:style w:type="character" w:styleId="851" w:customStyle="1">
    <w:name w:val="页眉 字符"/>
    <w:link w:val="777"/>
    <w:uiPriority w:val="99"/>
    <w:qFormat/>
  </w:style>
  <w:style w:type="character" w:styleId="852" w:customStyle="1">
    <w:name w:val="Footer Char"/>
    <w:uiPriority w:val="99"/>
    <w:qFormat/>
  </w:style>
  <w:style w:type="character" w:styleId="853" w:customStyle="1">
    <w:name w:val="页脚 字符"/>
    <w:link w:val="776"/>
    <w:uiPriority w:val="99"/>
    <w:qFormat/>
  </w:style>
  <w:style w:type="table" w:styleId="85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0" w:customStyle="1">
    <w:name w:val="脚注文本 字符"/>
    <w:link w:val="781"/>
    <w:uiPriority w:val="99"/>
    <w:qFormat/>
    <w:rPr>
      <w:sz w:val="18"/>
    </w:rPr>
  </w:style>
  <w:style w:type="character" w:styleId="961" w:customStyle="1">
    <w:name w:val="尾注文本 字符"/>
    <w:link w:val="774"/>
    <w:uiPriority w:val="99"/>
    <w:qFormat/>
    <w:rPr>
      <w:sz w:val="20"/>
    </w:rPr>
  </w:style>
  <w:style w:type="paragraph" w:styleId="962" w:customStyle="1">
    <w:name w:val="TOC 标题11"/>
    <w:uiPriority w:val="39"/>
    <w:unhideWhenUsed/>
    <w:qFormat/>
    <w:pPr>
      <w:spacing w:after="160" w:line="278" w:lineRule="auto"/>
    </w:pPr>
    <w:rPr>
      <w:rFonts w:ascii="Times New Roman" w:hAnsi="Times New Roman" w:cs="Times New Roman" w:eastAsiaTheme="minorEastAsia"/>
      <w:lang w:val="en-US" w:eastAsia="zh-CN" w:bidi="ar-SA"/>
    </w:rPr>
  </w:style>
  <w:style w:type="paragraph" w:styleId="963" w:customStyle="1">
    <w:name w:val="修订1"/>
    <w:hidden/>
    <w:uiPriority w:val="99"/>
    <w:semiHidden/>
    <w:qFormat/>
    <w:pPr>
      <w:spacing w:after="160" w:line="278" w:lineRule="auto"/>
    </w:pPr>
    <w:rPr>
      <w:rFonts w:ascii="Times New Roman" w:hAnsi="Times New Roman" w:cs="Times New Roman" w:eastAsiaTheme="minorEastAsia"/>
      <w:lang w:val="en-US" w:eastAsia="zh-CN" w:bidi="ar-SA"/>
    </w:rPr>
  </w:style>
  <w:style w:type="character" w:styleId="964" w:customStyle="1">
    <w:name w:val="批注文字 字符"/>
    <w:basedOn w:val="764"/>
    <w:link w:val="770"/>
    <w:uiPriority w:val="0"/>
    <w:qFormat/>
  </w:style>
  <w:style w:type="character" w:styleId="965" w:customStyle="1">
    <w:name w:val="批注主题 字符"/>
    <w:basedOn w:val="964"/>
    <w:link w:val="788"/>
    <w:uiPriority w:val="99"/>
    <w:semiHidden/>
    <w:qFormat/>
    <w:rPr>
      <w:b/>
      <w:bCs/>
    </w:rPr>
  </w:style>
  <w:style w:type="character" w:styleId="966" w:customStyle="1">
    <w:name w:val="批注框文本 字符"/>
    <w:basedOn w:val="764"/>
    <w:link w:val="775"/>
    <w:uiPriority w:val="99"/>
    <w:semiHidden/>
    <w:qFormat/>
    <w:rPr>
      <w:sz w:val="18"/>
      <w:szCs w:val="18"/>
    </w:rPr>
  </w:style>
  <w:style w:type="paragraph" w:styleId="967" w:customStyle="1">
    <w:name w:val="修订2"/>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68" w:customStyle="1">
    <w:name w:val="修订3"/>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69" w:customStyle="1">
    <w:name w:val="普通正文"/>
    <w:basedOn w:val="754"/>
    <w:uiPriority w:val="0"/>
    <w:qFormat/>
    <w:pPr>
      <w:ind w:firstLine="480"/>
      <w:spacing w:before="120" w:after="120" w:line="360" w:lineRule="auto"/>
    </w:pPr>
    <w:rPr>
      <w:rFonts w:ascii="Arial" w:hAnsi="Arial"/>
      <w:szCs w:val="24"/>
    </w:rPr>
  </w:style>
  <w:style w:type="paragraph" w:styleId="970" w:customStyle="1">
    <w:name w:val="_Style 226"/>
    <w:basedOn w:val="755"/>
    <w:next w:val="754"/>
    <w:uiPriority w:val="0"/>
    <w:qFormat/>
    <w:pPr>
      <w:spacing w:line="276" w:lineRule="auto"/>
      <w:outlineLvl w:val="9"/>
    </w:pPr>
    <w:rPr>
      <w:rFonts w:ascii="Cambria" w:hAnsi="Cambria" w:eastAsia="宋体"/>
      <w:bCs/>
      <w:color w:val="365f91"/>
    </w:rPr>
  </w:style>
  <w:style w:type="paragraph" w:styleId="971" w:customStyle="1">
    <w:name w:val="修订4"/>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72" w:customStyle="1">
    <w:name w:val="修订5"/>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73" w:customStyle="1">
    <w:name w:val="修订6"/>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74" w:customStyle="1">
    <w:name w:val="修订7"/>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75" w:customStyle="1">
    <w:name w:val="修订8"/>
    <w:hidden/>
    <w:uiPriority w:val="99"/>
    <w:semiHidden/>
    <w:qFormat/>
    <w:pPr>
      <w:spacing w:after="160" w:line="278" w:lineRule="auto"/>
    </w:pPr>
    <w:rPr>
      <w:rFonts w:ascii="Times New Roman" w:hAnsi="Times New Roman" w:cs="Times New Roman" w:eastAsiaTheme="minorEastAsia"/>
      <w:lang w:val="en-US" w:eastAsia="zh-CN" w:bidi="ar-SA"/>
    </w:rPr>
  </w:style>
  <w:style w:type="paragraph" w:styleId="976" w:customStyle="1">
    <w:name w:val="Table Text"/>
    <w:basedOn w:val="754"/>
    <w:uiPriority w:val="0"/>
    <w:semiHidden/>
    <w:qFormat/>
    <w:pPr>
      <w:jc w:val="center"/>
      <w:spacing w:before="22" w:line="195" w:lineRule="auto"/>
      <w:framePr w:hSpace="180" w:wrap="around" w:vAnchor="text" w:hAnchor="page" w:xAlign="center" w:y="29"/>
    </w:pPr>
    <w:rPr>
      <w:rFonts w:ascii="宋体" w:hAnsi="宋体" w:eastAsia="宋体" w:cs="宋体"/>
      <w:color w:val="000000"/>
      <w:sz w:val="22"/>
      <w:szCs w:val="22"/>
      <w:lang w:eastAsia="en-US"/>
    </w:rPr>
  </w:style>
  <w:style w:type="paragraph" w:styleId="977" w:customStyle="1">
    <w:name w:val="修订9"/>
    <w:hidden/>
    <w:uiPriority w:val="99"/>
    <w:unhideWhenUsed/>
    <w:qFormat/>
    <w:pPr>
      <w:spacing w:after="160" w:line="278" w:lineRule="auto"/>
    </w:pPr>
    <w:rPr>
      <w:rFonts w:ascii="Times New Roman" w:hAnsi="Times New Roman" w:cs="Times New Roman" w:eastAsiaTheme="minorEastAsia"/>
      <w:lang w:val="en-US" w:eastAsia="zh-CN" w:bidi="ar-SA"/>
    </w:rPr>
  </w:style>
  <w:style w:type="paragraph" w:styleId="978" w:customStyle="1">
    <w:name w:val="修订10"/>
    <w:hidden/>
    <w:uiPriority w:val="99"/>
    <w:unhideWhenUsed/>
    <w:qFormat/>
    <w:rPr>
      <w:rFonts w:ascii="Times New Roman" w:hAnsi="Times New Roman" w:cs="Times New Roman" w:eastAsiaTheme="minorEastAsia"/>
      <w:lang w:val="en-US" w:eastAsia="zh-CN" w:bidi="ar-SA"/>
    </w:rPr>
  </w:style>
  <w:style w:type="paragraph" w:styleId="979" w:customStyle="1">
    <w:name w:val="修订11"/>
    <w:hidden/>
    <w:uiPriority w:val="99"/>
    <w:semiHidden/>
    <w:qFormat/>
    <w:rPr>
      <w:rFonts w:ascii="Times New Roman" w:hAnsi="Times New Roman" w:cs="Times New Roman" w:eastAsiaTheme="minorEastAsia"/>
      <w:lang w:val="en-US" w:eastAsia="zh-CN" w:bidi="ar-SA"/>
    </w:rPr>
  </w:style>
  <w:style w:type="paragraph" w:styleId="980" w:customStyle="1">
    <w:name w:val="修订12"/>
    <w:hidden/>
    <w:uiPriority w:val="99"/>
    <w:semiHidden/>
    <w:qFormat/>
    <w:rPr>
      <w:rFonts w:ascii="Times New Roman" w:hAnsi="Times New Roman" w:cs="Times New Roman" w:eastAsiaTheme="minorEastAsia"/>
      <w:lang w:val="en-US" w:eastAsia="zh-CN" w:bidi="ar-SA"/>
    </w:rPr>
  </w:style>
  <w:style w:type="paragraph" w:styleId="981" w:customStyle="1">
    <w:name w:val="Revision"/>
    <w:hidden/>
    <w:uiPriority w:val="99"/>
    <w:unhideWhenUsed/>
    <w:qFormat/>
    <w:rPr>
      <w:rFonts w:ascii="Times New Roman" w:hAnsi="Times New Roman" w:cs="Times New Roman" w:eastAsiaTheme="minorEastAsia"/>
      <w:lang w:val="en-US" w:eastAsia="zh-CN" w:bidi="ar-SA"/>
    </w:rPr>
  </w:style>
  <w:style w:type="character" w:styleId="982" w:customStyle="1">
    <w:name w:val="font11"/>
    <w:uiPriority w:val="0"/>
    <w:qFormat/>
    <w:rPr>
      <w:rFonts w:hint="eastAsia" w:ascii="宋体" w:hAnsi="宋体" w:eastAsia="宋体" w:cs="宋体"/>
      <w:color w:val="000000"/>
      <w:sz w:val="20"/>
      <w:szCs w:val="20"/>
      <w:u w:val="none"/>
    </w:rPr>
  </w:style>
  <w:style w:type="character" w:styleId="983" w:customStyle="1">
    <w:name w:val="font21"/>
    <w:uiPriority w:val="0"/>
    <w:qFormat/>
    <w:rPr>
      <w:rFonts w:hint="eastAsia" w:ascii="宋体" w:hAnsi="宋体" w:eastAsia="宋体" w:cs="宋体"/>
      <w:color w:val="000000"/>
      <w:sz w:val="20"/>
      <w:szCs w:val="20"/>
      <w:u w:val="none"/>
    </w:rPr>
  </w:style>
  <w:style w:type="character" w:styleId="984" w:customStyle="1">
    <w:name w:val="正文文本首行缩进 字符"/>
    <w:basedOn w:val="764"/>
    <w:link w:val="789"/>
    <w:uiPriority w:val="0"/>
    <w:qFormat/>
    <w:rPr>
      <w:rFonts w:ascii="楷体_GB2312" w:hAnsi="Arial" w:eastAsia="楷体_GB2312"/>
      <w:sz w:val="21"/>
      <w:szCs w:val="24"/>
      <w:lang w:val="zh-CN"/>
    </w:rPr>
  </w:style>
  <w:style w:type="numbering" w:styleId="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3E3A6DD-5F4D-4B01-B3D8-52A8787F80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吴岢非</cp:lastModifiedBy>
  <cp:revision>4</cp:revision>
  <dcterms:created xsi:type="dcterms:W3CDTF">2026-10-28T00:14:00Z</dcterms:created>
  <dcterms:modified xsi:type="dcterms:W3CDTF">2026-10-29T07:16:36Z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064DE164F99A40ADAAA50B57C28ED07F_13</vt:lpwstr>
  </property>
  <property fmtid="{D5CDD505-2E9C-101B-9397-08002B2CF9AE}" pid="4" name="KSOTemplateDocerSaveRecord">
    <vt:lpwstr>eyJoZGlkIjoiODUzODAzNjQ1NTk4OWE1ODEyODlkNzkzODE2ZTllMjYiLCJ1c2VySWQiOiIzMTk2NTAxNDYifQ==</vt:lpwstr>
  </property>
</Properties>
</file>