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40"/>
        <w:spacing w:before="120" w:after="120" w:line="6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0"/>
        <w:spacing w:before="120" w:after="12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项目名称：无锡职业技术大学实训室第二批计算机采购</w:t>
      </w:r>
      <w:r/>
    </w:p>
    <w:p>
      <w:pPr>
        <w:ind w:left="0" w:right="0" w:firstLine="640"/>
        <w:jc w:val="both"/>
        <w:spacing w:before="120" w:after="12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采购编号：JSZC-320000-SCZX-G2026-0335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江苏省政府采购中心</w:t>
      </w:r>
      <w:r/>
    </w:p>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投标邀请…………………………………… </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投标人须知…………………………………  </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评标方法与评标标准………………………</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受无锡职业技术大学的委托，江苏省政府采购中心就无锡职业技术大学实训室第二批计算机采购(JSZC-320000-SCZX-G2026-0335)项目进行公开招标采购，欢迎符合条件的供应商投标。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无锡职业技术大学实训室第二批计算机采购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招标文件，并于2026年11月18日9时30分（北京时间）前递交投标文件。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1.采购编号：JSZC-320000-SCZX-G2026-0335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2.项目名称：无锡职业技术大学实训室第二批计算机采购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9"/>
        <w:gridCol w:w="29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1"/>
        <w:gridCol w:w="2983"/>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3" w:type="dxa"/>
            <w:vAlign w:val="top"/>
            <w:textDirection w:val="lrTb"/>
            <w:noWrap w:val="false"/>
          </w:tcPr>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本次采购标的为台式计算机，共410台，台式机整机（含键盘、鼠标）三年原厂免费质保并上门；在质保期内，供应商应提供硬盘(单盘)数据恢复服务；供应商承诺在合同期内，向招标方免费提供系统维护、技术支持服务。（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6.合同履行期限：合同签订后十个工作日内。</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二、申请人的资格要求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本项目采购包XX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1"/>
        <w:gridCol w:w="2689"/>
        <w:gridCol w:w="26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（二）本项目的特定资格要求</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2"/>
        <w:gridCol w:w="55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1.2026年11月18日9时30分（北京时间）。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无锡职业技术大学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无锡市高浪西路1600号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吴老师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0510-81838723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2.江苏省政府采购中心信息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南京市汉中门大街145号省政务中心二期3楼南区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程施雪、许滢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025-83668556</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2.有关本次招标的事项若存在变动或修改，敬请及时关注江苏省政府采购中心在“江苏政府采购网”发布的更正公告。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2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242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3</w:t>
      </w:r>
      <w:r>
        <w:rPr>
          <w:rFonts w:ascii="SimHei" w:hAnsi="SimHei" w:eastAsia="SimHei" w:cs="SimHei"/>
          <w:color w:val="000000"/>
          <w:sz w:val="28"/>
        </w:rPr>
        <w:t xml:space="preserve">、服务承诺、培训计划、人员安排及其他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投标人需根据招标文件要求提供培训计划。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5</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6</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、电子投标文件的递交</w:t>
      </w:r>
      <w:r/>
    </w:p>
    <w:p>
      <w:pPr>
        <w:ind w:left="525"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子投标文件。</w:t>
      </w:r>
      <w:r/>
    </w:p>
    <w:p>
      <w:pPr>
        <w:ind w:left="0" w:right="0" w:firstLine="420"/>
        <w:jc w:val="both"/>
        <w:spacing w:before="280" w:after="29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采购中心拒绝接收在其规定的投标截止时间后上传的任何投标文件。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2</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开标后，采购中心将立即组织评标委员会进行评标。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22.3评标委员会独立工作，负责评审所有投标文件并确定中标侯选人。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4</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接到评标委员会澄清、说明和补正要求的投标人如未按规定做出澄清、说明和补正，其风险由投标人自行承担。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25.4评标委员会将对确定为实质性响应的投标进行进一步审核，看其是否有计算上或累加上的算术错误，修正错误的原则如下：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25.7投标人在开、评标全过程中应保持通讯畅通，及时登录苏采云系统查阅、答复相关信息，并安排专人与采购中心及评标委员会联系。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 评标过程中出现下列情形之一的，评标委员会应当启动异常低价投标审查程序：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投标人同一采购包提交两个（含两个）以上不同的投标报价的。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投标人所投标产品不符合招标文件中所列国家强制性标准的。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采购中心将在“江苏政府采购网”发布中标公告，公告期限为1个工作日。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采购人及采购中心只接收以纸质原件形式送达的质疑,建议供应商尽量通过邮寄方式提交质疑（采购人和采购中心不接受无快递运单号的快递）。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采购中心质疑接收部门为质疑处理科（快递运单上的收件人填写“质疑处理科”即可），联系地址：南京市汉中门大街145号省政务中心二期3楼南区3029室，联系电话：025-83668531。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31、货物（包含与货物相关的服务）的追加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1"/>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numPr>
          <w:ilvl w:val="0"/>
          <w:numId w:val="21"/>
        </w:numPr>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w:t>
      </w:r>
      <w:r/>
    </w:p>
    <w:p>
      <w:pPr>
        <w:ind w:left="0" w:right="0" w:firstLine="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采购采购编号：</w:t>
      </w:r>
      <w:r>
        <w:rPr>
          <w:rFonts w:ascii="SimSun" w:hAnsi="SimSun" w:eastAsia="SimSun" w:cs="SimSun"/>
          <w:color w:val="000000"/>
          <w:sz w:val="21"/>
          <w:u w:val="single"/>
        </w:rPr>
        <w:t xml:space="preserve">                                          </w:t>
      </w:r>
      <w:r/>
    </w:p>
    <w:p>
      <w:pPr>
        <w:ind w:left="0" w:right="0" w:firstLine="42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采购标的及数量（台/套/个/架/组等）：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①</w:t>
      </w:r>
      <w:r>
        <w:rPr>
          <w:rFonts w:ascii="SimSun" w:hAnsi="SimSun" w:eastAsia="SimSun" w:cs="SimSun"/>
          <w:color w:val="000000"/>
          <w:sz w:val="21"/>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②</w:t>
      </w:r>
      <w:r>
        <w:rPr>
          <w:rFonts w:ascii="SimSun" w:hAnsi="SimSun" w:eastAsia="SimSun" w:cs="SimSun"/>
          <w:color w:val="000000"/>
          <w:sz w:val="21"/>
        </w:rPr>
        <w:t xml:space="preserve">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数量：</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w:t>
      </w:r>
      <w:r>
        <w:rPr>
          <w:rFonts w:ascii="Wingdings" w:hAnsi="Wingdings" w:eastAsia="Wingdings" w:cs="Wingdings"/>
          <w:color w:val="000000"/>
          <w:sz w:val="21"/>
        </w:rPr>
        <w:t xml:space="preserve">¨</w:t>
      </w:r>
      <w:r>
        <w:rPr>
          <w:rFonts w:ascii="SimSun" w:hAnsi="SimSun" w:eastAsia="SimSun" w:cs="SimSun"/>
          <w:color w:val="000000"/>
          <w:sz w:val="21"/>
        </w:rPr>
        <w:t xml:space="preserve">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Wingdings" w:hAnsi="Wingdings" w:eastAsia="Wingdings" w:cs="Wingdings"/>
          <w:color w:val="000000"/>
          <w:sz w:val="21"/>
        </w:rPr>
        <w:t xml:space="preserve">¨</w:t>
      </w:r>
      <w:r>
        <w:rPr>
          <w:rFonts w:ascii="SimSun" w:hAnsi="SimSun" w:eastAsia="SimSun" w:cs="SimSun"/>
          <w:color w:val="000000"/>
          <w:sz w:val="21"/>
        </w:rPr>
        <w:t xml:space="preserve">公开招标 </w:t>
      </w:r>
      <w:r>
        <w:rPr>
          <w:rFonts w:ascii="Wingdings" w:hAnsi="Wingdings" w:eastAsia="Wingdings" w:cs="Wingdings"/>
          <w:color w:val="000000"/>
          <w:sz w:val="21"/>
        </w:rPr>
        <w:t xml:space="preserve">¨</w:t>
      </w:r>
      <w:r>
        <w:rPr>
          <w:rFonts w:ascii="SimSun" w:hAnsi="SimSun" w:eastAsia="SimSun" w:cs="SimSun"/>
          <w:color w:val="000000"/>
          <w:sz w:val="21"/>
        </w:rPr>
        <w:t xml:space="preserve">邀请招标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询价 </w:t>
      </w:r>
      <w:r>
        <w:rPr>
          <w:rFonts w:ascii="Wingdings" w:hAnsi="Wingdings" w:eastAsia="Wingdings" w:cs="Wingdings"/>
          <w:color w:val="000000"/>
          <w:sz w:val="21"/>
        </w:rPr>
        <w:t xml:space="preserve">¨</w:t>
      </w:r>
      <w:r>
        <w:rPr>
          <w:rFonts w:ascii="SimSun" w:hAnsi="SimSun" w:eastAsia="SimSun" w:cs="SimSun"/>
          <w:color w:val="000000"/>
          <w:sz w:val="21"/>
        </w:rPr>
        <w:t xml:space="preserve">单一来源 </w:t>
      </w:r>
      <w:r>
        <w:rPr>
          <w:rFonts w:ascii="Wingdings" w:hAnsi="Wingdings" w:eastAsia="Wingdings" w:cs="Wingdings"/>
          <w:color w:val="000000"/>
          <w:sz w:val="21"/>
        </w:rPr>
        <w:t xml:space="preserve">¨</w:t>
      </w:r>
      <w:r>
        <w:rPr>
          <w:rFonts w:ascii="SimSun" w:hAnsi="SimSun" w:eastAsia="SimSun" w:cs="SimSun"/>
          <w:color w:val="000000"/>
          <w:sz w:val="21"/>
        </w:rPr>
        <w:t xml:space="preserve">框架协议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（注：在框架协议采购的第二阶段，可选择使用该合同文本）</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大型企业</w:t>
      </w:r>
      <w:r>
        <w:rPr>
          <w:rFonts w:ascii="Wingdings" w:hAnsi="Wingdings" w:eastAsia="Wingdings" w:cs="Wingdings"/>
          <w:color w:val="000000"/>
          <w:sz w:val="21"/>
        </w:rPr>
        <w:t xml:space="preserve">¨</w:t>
      </w:r>
      <w:r>
        <w:rPr>
          <w:rFonts w:ascii="SimSun" w:hAnsi="SimSun" w:eastAsia="SimSun" w:cs="SimSun"/>
          <w:color w:val="000000"/>
          <w:sz w:val="21"/>
        </w:rPr>
        <w:t xml:space="preserve">中型企业</w:t>
      </w:r>
      <w:r>
        <w:rPr>
          <w:rFonts w:ascii="Wingdings" w:hAnsi="Wingdings" w:eastAsia="Wingdings" w:cs="Wingdings"/>
          <w:color w:val="000000"/>
          <w:sz w:val="21"/>
        </w:rPr>
        <w:t xml:space="preserve">¨</w:t>
      </w:r>
      <w:r>
        <w:rPr>
          <w:rFonts w:ascii="SimSun" w:hAnsi="SimSun" w:eastAsia="SimSun" w:cs="SimSun"/>
          <w:color w:val="000000"/>
          <w:sz w:val="21"/>
        </w:rPr>
        <w:t xml:space="preserve">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残疾人福利性单位 </w:t>
      </w:r>
      <w:r>
        <w:rPr>
          <w:rFonts w:ascii="Wingdings" w:hAnsi="Wingdings" w:eastAsia="Wingdings" w:cs="Wingdings"/>
          <w:color w:val="000000"/>
          <w:sz w:val="21"/>
        </w:rPr>
        <w:t xml:space="preserve">¨</w:t>
      </w:r>
      <w:r>
        <w:rPr>
          <w:rFonts w:ascii="SimSun" w:hAnsi="SimSun" w:eastAsia="SimSun" w:cs="SimSun"/>
          <w:color w:val="000000"/>
          <w:sz w:val="21"/>
        </w:rPr>
        <w:t xml:space="preserve">监狱企业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1"/>
        </w:rPr>
        <w:t xml:space="preserve">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固定总价 </w:t>
      </w:r>
      <w:r>
        <w:rPr>
          <w:rFonts w:ascii="Wingdings" w:hAnsi="Wingdings" w:eastAsia="Wingdings" w:cs="Wingdings"/>
          <w:color w:val="000000"/>
          <w:sz w:val="21"/>
        </w:rPr>
        <w:t xml:space="preserve">¨</w:t>
      </w:r>
      <w:r>
        <w:rPr>
          <w:rFonts w:ascii="SimSun" w:hAnsi="SimSun" w:eastAsia="SimSun" w:cs="SimSun"/>
          <w:color w:val="000000"/>
          <w:sz w:val="21"/>
        </w:rPr>
        <w:t xml:space="preserve">固定单价 </w:t>
      </w:r>
      <w:r>
        <w:rPr>
          <w:rFonts w:ascii="Wingdings" w:hAnsi="Wingdings" w:eastAsia="Wingdings" w:cs="Wingdings"/>
          <w:color w:val="000000"/>
          <w:sz w:val="21"/>
        </w:rPr>
        <w:t xml:space="preserve">¨</w:t>
      </w:r>
      <w:r>
        <w:rPr>
          <w:rFonts w:ascii="SimSun" w:hAnsi="SimSun" w:eastAsia="SimSun" w:cs="SimSun"/>
          <w:color w:val="000000"/>
          <w:sz w:val="21"/>
        </w:rPr>
        <w:t xml:space="preserve">固定费率 </w:t>
      </w:r>
      <w:r>
        <w:rPr>
          <w:rFonts w:ascii="Wingdings" w:hAnsi="Wingdings" w:eastAsia="Wingdings" w:cs="Wingdings"/>
          <w:color w:val="000000"/>
          <w:sz w:val="21"/>
        </w:rPr>
        <w:t xml:space="preserve">¨</w:t>
      </w:r>
      <w:r>
        <w:rPr>
          <w:rFonts w:ascii="SimSun" w:hAnsi="SimSun" w:eastAsia="SimSun" w:cs="SimSun"/>
          <w:color w:val="000000"/>
          <w:sz w:val="21"/>
        </w:rPr>
        <w:t xml:space="preserve">成本补偿 </w:t>
      </w:r>
      <w:r>
        <w:rPr>
          <w:rFonts w:ascii="Wingdings" w:hAnsi="Wingdings" w:eastAsia="Wingdings" w:cs="Wingdings"/>
          <w:color w:val="000000"/>
          <w:sz w:val="21"/>
        </w:rPr>
        <w:t xml:space="preserve">¨</w:t>
      </w:r>
      <w:r>
        <w:rPr>
          <w:rFonts w:ascii="SimSun" w:hAnsi="SimSun" w:eastAsia="SimSun" w:cs="SimSun"/>
          <w:color w:val="000000"/>
          <w:sz w:val="21"/>
        </w:rPr>
        <w:t xml:space="preserve">绩效激励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全额付款：</w:t>
      </w:r>
      <w:r>
        <w:rPr>
          <w:rFonts w:ascii="SimSun" w:hAnsi="SimSun" w:eastAsia="SimSun" w:cs="SimSun"/>
          <w:color w:val="000000"/>
          <w:sz w:val="21"/>
          <w:u w:val="single"/>
        </w:rPr>
        <w:t xml:space="preserve">  （应明确一次性支付合同款项的条件）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分期付款：</w:t>
      </w:r>
      <w:r>
        <w:rPr>
          <w:rFonts w:ascii="SimSun" w:hAnsi="SimSun" w:eastAsia="SimSun" w:cs="SimSun"/>
          <w:color w:val="000000"/>
          <w:sz w:val="21"/>
          <w:u w:val="single"/>
        </w:rPr>
        <w:t xml:space="preserve">  （应明确分期支付合同款项的各期比例和支付条件，各期支付条件应与分期履约验收情况挂钩） </w:t>
      </w:r>
      <w:r>
        <w:rPr>
          <w:rFonts w:ascii="SimSun" w:hAnsi="SimSun" w:eastAsia="SimSun" w:cs="SimSun"/>
          <w:color w:val="000000"/>
          <w:sz w:val="21"/>
        </w:rPr>
        <w:t xml:space="preserve">，其中涉及预付款的：</w:t>
      </w:r>
      <w:r>
        <w:rPr>
          <w:rFonts w:ascii="SimSun" w:hAnsi="SimSun" w:eastAsia="SimSun" w:cs="SimSun"/>
          <w:color w:val="000000"/>
          <w:sz w:val="21"/>
          <w:u w:val="single"/>
        </w:rPr>
        <w:t xml:space="preserve"> （应明确预付款的支付比例和支付条件）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成本补偿：</w:t>
      </w:r>
      <w:r>
        <w:rPr>
          <w:rFonts w:ascii="SimSun" w:hAnsi="SimSun" w:eastAsia="SimSun" w:cs="SimSun"/>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绩效激励：</w:t>
      </w:r>
      <w:r>
        <w:rPr>
          <w:rFonts w:ascii="SimSun" w:hAnsi="SimSun" w:eastAsia="SimSun" w:cs="SimSun"/>
          <w:color w:val="000000"/>
          <w:sz w:val="21"/>
          <w:u w:val="single"/>
        </w:rPr>
        <w:t xml:space="preserve">      （应明确按照绩效激励方式的支付方式和支付条件）</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1"/>
        </w:rPr>
        <w:t xml:space="preserve">收取履约保证金形式：</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收取履约保证金金额：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履约担保期限：</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00"/>
          <w:sz w:val="21"/>
          <w:u w:val="single"/>
        </w:rPr>
        <w:t xml:space="preserve">                                                </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2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w:t>
      </w:r>
      <w:r>
        <w:rPr>
          <w:rFonts w:ascii="SimSun" w:hAnsi="SimSun" w:eastAsia="SimSun" w:cs="SimSun"/>
          <w:color w:val="000000"/>
          <w:sz w:val="21"/>
        </w:rPr>
        <w:t xml:space="preserve">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分期/分项验收：</w:t>
      </w:r>
      <w:r>
        <w:rPr>
          <w:rFonts w:ascii="SimSun" w:hAnsi="SimSun" w:eastAsia="SimSun" w:cs="SimSun"/>
          <w:color w:val="000000"/>
          <w:sz w:val="21"/>
          <w:u w:val="single"/>
        </w:rPr>
        <w:t xml:space="preserve"> （应明确分期/分项验收的工作安排）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1"/>
        </w:rPr>
        <w:t xml:space="preserve">生效。</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6"/>
        <w:gridCol w:w="2346"/>
        <w:gridCol w:w="1553"/>
        <w:gridCol w:w="2322"/>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甲方</w:t>
            </w:r>
            <w:r>
              <w:rPr>
                <w:rFonts w:ascii="SimSun" w:hAnsi="SimSun" w:eastAsia="SimSun" w:cs="SimSun"/>
                <w:color w:val="000000"/>
                <w:sz w:val="21"/>
              </w:rPr>
              <w:t xml:space="preserve">（采购人、受采购人委托签订合同的单位或采购文件约定的合同甲方）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乙方</w:t>
            </w:r>
            <w:r>
              <w:rPr>
                <w:rFonts w:ascii="SimSun" w:hAnsi="SimSun" w:eastAsia="SimSun" w:cs="SimSun"/>
                <w:color w:val="000000"/>
                <w:sz w:val="21"/>
              </w:rPr>
              <w:t xml:space="preserve">（供应商）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w:t>
            </w:r>
            <w:r>
              <w:rPr>
                <w:rFonts w:ascii="SimSun" w:hAnsi="SimSun" w:eastAsia="SimSun" w:cs="SimSun"/>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w:t>
            </w:r>
            <w:r>
              <w:rPr>
                <w:rFonts w:ascii="SimSun" w:hAnsi="SimSun" w:eastAsia="SimSun" w:cs="SimSun"/>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w:t>
            </w:r>
            <w:r>
              <w:rPr>
                <w:rFonts w:ascii="Times New Roman" w:hAnsi="Times New Roman" w:eastAsia="Times New Roman" w:cs="Times New Roman"/>
                <w:color w:val="000000"/>
                <w:sz w:val="21"/>
              </w:rPr>
              <w:t xml:space="preserve">委托代理人</w:t>
            </w:r>
            <w:r>
              <w:rPr>
                <w:rFonts w:ascii="SimSun" w:hAnsi="SimSun" w:eastAsia="SimSun" w:cs="SimSun"/>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w:t>
            </w:r>
            <w:r>
              <w:rPr>
                <w:rFonts w:ascii="Times New Roman" w:hAnsi="Times New Roman" w:eastAsia="Times New Roman" w:cs="Times New Roman"/>
                <w:color w:val="000000"/>
                <w:sz w:val="21"/>
              </w:rPr>
              <w:t xml:space="preserve">委托代理人</w:t>
            </w:r>
            <w:r>
              <w:rPr>
                <w:rFonts w:ascii="SimSun" w:hAnsi="SimSun" w:eastAsia="SimSun" w:cs="SimSun"/>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7"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ind w:left="0" w:right="0" w:firstLine="0"/>
        <w:spacing w:before="156"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2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2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2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1425"/>
        <w:gridCol w:w="5039"/>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02"/>
        <w:gridCol w:w="1598"/>
        <w:gridCol w:w="1318"/>
        <w:gridCol w:w="31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1.本项目对采购本国产品给予政策支持，具体内容见招标文件“第五章 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注：台式计算机和液晶显示器所投产品完整型号必须在生产厂商官方独立产品页面明确标有技术指标信息（CPU 规格、内存插槽、PCIe 扩展、显示器对比度 / 刷新率 / 色准等本招标文件要求参数），官网截图须包含完整网址、页面时间戳作为佐证，官网网址信息不可随意篡改，如提供虚假材料谋取中标、成交的，需按照《中华人民共和国政府采购法》第七十七条执行；全部产品具备对应品类有效的中国强制性 3C 认证证书，证书产品名称须与政府采购品目匹配。（投标文件须提供相关官网截图及证书扫描件）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分包号1：</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同时在中国政府采购网节能产品清单栏目、全国认证认可信息公共服务平台查询核验；证书状态须为有效，查询信息与投标产品型号、制造商等关键信息保持完全一致（报价时须提供所报产品由国家确定的认证机构出具的、处于有效期之内的节能产品认证证书复印件或扫描件及财政部节能清单官网检索截图，检索结果清晰展示所投产品完整型号归入台式计算机</w:t>
      </w:r>
      <w:r>
        <w:rPr>
          <w:rFonts w:ascii="SimSun" w:hAnsi="SimSun" w:eastAsia="SimSun" w:cs="SimSun"/>
          <w:i/>
          <w:color w:val="000000"/>
          <w:sz w:val="24"/>
          <w:u w:val="single"/>
        </w:rPr>
        <w:t xml:space="preserve">等强制品类。仅持有厂商自愿节能认证、产品未进入强制清单台式计算机等类目、证书品类与标的不符、产品的完整型号以及证书编号无法单独检索的，无法双平台核验或信息不一致的，</w:t>
      </w:r>
      <w:r>
        <w:rPr>
          <w:rFonts w:ascii="SimSun" w:hAnsi="SimSun" w:eastAsia="SimSun" w:cs="SimSun"/>
          <w:i/>
          <w:color w:val="000000"/>
          <w:sz w:val="24"/>
          <w:highlight w:val="none"/>
          <w:u w:val="single"/>
        </w:rPr>
        <w:t xml:space="preserve">且如产品持有合法、真实、有效的节能认证证书，但因认证机构报送数据延迟、平台展示字段差异等客观情形，导致平台暂未查询到完整信息的，投标人可在投标文件中提交书面情况说明，同时附具完整有效的节能认证证书扫描件，一并附具发证认证机构出具的相关说明材料。全国认证认可信息公共服务平台、中国政府采购网节能栏目仅作为官方辅助核验渠道。评标委员会以完整有效的节能认证证书原件扫描件为核心判定依据，综合评判所提供材料是否有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注：中标后采购人可依据招标文件、投标文件、合同约定开展实物核验，并对提交佐证材料与实物的真实性、一致性进行核验。若核验发现实物、佐证材料与投标文件响应参数不一致、存在虚假响应情形的，采购人有权依据政府采购相关法律法规以及合同约定作验收不合格处理，可追究中标供应商违约责任，包括但不限于拒绝支付合同款项、解除合同，并按政府采购相关规定上报处理。</w:t>
      </w:r>
      <w:r>
        <w:rPr>
          <w:rFonts w:ascii="Times New Roman" w:hAnsi="Times New Roman" w:eastAsia="Times New Roman" w:cs="Times New Roman"/>
          <w:sz w:val="21"/>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6"/>
        <w:gridCol w:w="1119"/>
        <w:gridCol w:w="992"/>
        <w:gridCol w:w="2409"/>
        <w:gridCol w:w="3969"/>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指标要求</w:t>
            </w:r>
            <w:r/>
          </w:p>
        </w:tc>
      </w:tr>
      <w:tr>
        <w:trPr>
          <w:trHeight w:val="9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CPU信息</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采用intel处理器，物理内核数≥10核；处理器基本主频≥2.5GHz；最高睿频≥4.6GHz；三级缓存容量≥20MB；制作工艺≤10nm，≥16线程；</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内存配置容量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≥16GB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支持DDR4 2666/3200 及以上内存类型</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内存条配置数量（板载内存不涉及）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主板集成模块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760及以上芯片组、集成资源扩展模块、计算处理模块、音频扩展模块等，主板的互联拓扑可通过处理器或交换电路实现</w:t>
            </w:r>
            <w:r/>
          </w:p>
        </w:tc>
      </w:tr>
      <w:tr>
        <w:trPr>
          <w:trHeight w:val="2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主板支持的CPU和内存情况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支持第13代/14代酷睿处理器（LGA 1700接口），支持DDR4(3200)或DDR5(5600)内存</w:t>
            </w:r>
            <w:r/>
          </w:p>
        </w:tc>
      </w:tr>
      <w:tr>
        <w:trPr>
          <w:trHeight w:val="107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主板内置PCIe插槽数量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≥2个PCIE槽位，其中至少包含1个1* PCIe x16 Gen5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特殊孔位及接口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a）预留满足 USB3.0 数据传输规范的接口，工作电压5V，最大过电流应不小于 3A；</w:t>
              <w:br/>
              <w:t xml:space="preserve">b) 预留多功能导入装置板卡安装孔位，采用内置方式与主机一体化集成，容量不小于145mm×125mm×16.5mm（长×宽×高）</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主板其他内置接口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预留≥3个SATA3.0硬盘扩展槽位、USB 接口≥11个USB接口（其中至少8个USB 3.2 G1接口、1个TYPE-C G2接口)，≥3个M.2接口（其中一个为无线网卡扩展口）</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单内存插槽最大可支持容量（板载内存不涉及）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≥32GB</w:t>
            </w:r>
            <w:r/>
          </w:p>
        </w:tc>
      </w:tr>
      <w:tr>
        <w:trPr>
          <w:trHeight w:val="4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内存插槽满配时提供的最高内存总容量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▲≥64GB</w:t>
            </w:r>
            <w:r/>
          </w:p>
        </w:tc>
      </w:tr>
      <w:tr>
        <w:trPr>
          <w:trHeight w:val="36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≥512 SSD M.2 2280 PCIe NVMe</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≥1TB</w:t>
            </w:r>
            <w:r/>
          </w:p>
        </w:tc>
      </w:tr>
      <w:tr>
        <w:trPr>
          <w:trHeight w:val="1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机械硬盘转速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≥7200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支持SATA3.0及以上或SAS3.0及以上接口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2.5英寸或3.5英寸等</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M.2 2280 Key-M(Nvme)</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采用插卡或板载等形态，可选用符合M.2或2.5寸SATA或mSATA等标准的插卡形态</w:t>
            </w:r>
            <w:r/>
          </w:p>
        </w:tc>
      </w:tr>
      <w:tr>
        <w:trPr>
          <w:trHeight w:val="2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存储设备扩展盘位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存储设备其他参数要求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a)固态盘应符合SJ/T11654相关规定；</w:t>
              <w:br/>
              <w:t xml:space="preserve">b)机械硬盘准备时间应不大于30s；侧面固定螺丝孔数量可为4孔或6孔；工作状态环境温度应满足5℃~55℃；其它参数应符合GB/T12628相关规定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独立显卡</w:t>
            </w:r>
            <w:r/>
          </w:p>
        </w:tc>
      </w:tr>
      <w:tr>
        <w:trPr>
          <w:trHeight w:val="31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显存类型应为nVidia</w:t>
              <w:br/>
              <w:t xml:space="preserve">DDR3/DDR4/GDDR5/GDDR6/LPDDR4</w:t>
            </w:r>
            <w:r/>
          </w:p>
        </w:tc>
      </w:tr>
      <w:tr>
        <w:trPr>
          <w:trHeight w:val="2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独立显卡显存位宽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显存位宽≥96位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显存容量≥6GB</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支持PCIe协议版本大于等于2.0或HT（HyperTransport）协议版本大于等于3.0的独立显卡接口协议</w:t>
            </w:r>
            <w:r/>
          </w:p>
        </w:tc>
      </w:tr>
      <w:tr>
        <w:trPr>
          <w:trHeight w:val="113"/>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显示屏屏占比</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r>
      <w:tr>
        <w:trPr>
          <w:trHeight w:val="362"/>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显示屏分辨率</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≥1920x1080</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显示屏像素密度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▲≥92像素/英寸</w:t>
            </w:r>
            <w:r/>
          </w:p>
        </w:tc>
      </w:tr>
      <w:tr>
        <w:trPr>
          <w:trHeight w:val="218"/>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显示屏可视角度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▲水平≥178°</w:t>
            </w:r>
            <w:r/>
          </w:p>
        </w:tc>
      </w:tr>
      <w:tr>
        <w:trPr>
          <w:trHeight w:val="14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显示屏尺寸</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≥27英寸</w:t>
            </w:r>
            <w:r/>
          </w:p>
        </w:tc>
      </w:tr>
      <w:tr>
        <w:trPr>
          <w:trHeight w:val="186"/>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显示屏屏幕比例</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r>
      <w:tr>
        <w:trPr>
          <w:trHeight w:val="165"/>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显示器外观颜色</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黑色系</w:t>
            </w:r>
            <w:r/>
          </w:p>
        </w:tc>
      </w:tr>
      <w:tr>
        <w:trPr>
          <w:trHeight w:val="11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显示屏防蓝光</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支持防蓝光模式，蓝光加权辐射亮度比应≤0.0012W/(·cd·sr)（瓦每坎特拉每球面度）</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显示屏低频闪</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显示屏应支持低频闪≤-35dB</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显示屏防炫目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显示屏镜面反射率≤10%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键盘按键数目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101键/104键等</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摄像头像素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扬声器频率范围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扬声器总谐波失真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扬声器最大声压级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键盘键程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2.3mm~4.0mm</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键盘按键压力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按键压力应在0.54N±0.14N</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有线键盘连接线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黑色/白色/银色等商务色系</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键盘外观结构、连接方式、主要功能、安全、电磁兼容性、可靠性应符合GB/T14081的相关规定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有线或无线</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有线鼠标连接线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鼠标DPI分辨率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黑色/银色/白色等商务色系</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其它参数应符合GB/T26245的相关规定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内置光驱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支持扩展内置光驱</w:t>
            </w:r>
            <w:r/>
          </w:p>
        </w:tc>
      </w:tr>
      <w:tr>
        <w:trPr>
          <w:trHeight w:val="16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无线网卡及天线数量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单无线网卡天线数量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机箱应提供不少于 11 个 USB 接 口（含 8 个 USB 3.2 及以上接口，1个TYPE-C G2接口）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USB母座接口要求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机箱前面板额外预留2个专用USB母座接口孔位和1个通用A型USB母座接口孔位，采用横向排列中心间距应不小于27mm</w:t>
            </w:r>
            <w:r/>
          </w:p>
        </w:tc>
      </w:tr>
      <w:tr>
        <w:trPr>
          <w:trHeight w:val="1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w:t>
            </w:r>
            <w:r/>
          </w:p>
        </w:tc>
      </w:tr>
      <w:tr>
        <w:trPr>
          <w:trHeight w:val="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≥5（至少包含前置1个耳机和1个麦克风插孔）</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整机外观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a)产品表面不应有凹痕、划伤、裂缝、变形和污染等。表面涂层均匀，不应起泡、龟裂、脱落和磨损，金属零部件无锈蚀及其它机械损伤；</w:t>
              <w:br/>
              <w:t xml:space="preserve">b)产品表面说明功能的文字、符号、标志，应清晰、端正、牢固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状态指示灯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在产品显著位置提供状态指示功能，如运行状态，并由供应商提供详细参数</w:t>
            </w:r>
            <w:r/>
          </w:p>
        </w:tc>
      </w:tr>
      <w:tr>
        <w:trPr>
          <w:trHeight w:val="86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整机结构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a)机箱应符合GB/T4208、GB/T26246的相关规定；</w:t>
              <w:br/>
              <w:t xml:space="preserve">b)产品内部结构应符合通用部件的安装需求；</w:t>
              <w:br/>
              <w:t xml:space="preserve">c)所有输入输出接口应符合相关国家或行业标准；</w:t>
              <w:br/>
              <w:t xml:space="preserve">d)产品零部件应紧固无松动，可插拔部件应可靠连接，开关、按钮和其它控制部件应灵活可靠，布局应方便使用；</w:t>
              <w:br/>
              <w:t xml:space="preserve">e)所有I/O连接器及需插接线缆的部位应预留采购人操作空间，方便插拔解锁与插拔线缆；</w:t>
              <w:br/>
              <w:t xml:space="preserve">f)可插拔板卡插槽部位应预留安装、拆卸或更换板卡空间；</w:t>
              <w:br/>
              <w:t xml:space="preserve">g)拆装可能接触到的金属剪口或金属尖角部位应做防划伤处理，以保证安全；</w:t>
              <w:br/>
              <w:t xml:space="preserve">h)整机内部走线应规整，固线结构和位置</w:t>
            </w:r>
            <w:r>
              <w:rPr>
                <w:rFonts w:ascii="SimSun" w:hAnsi="SimSun" w:eastAsia="SimSun" w:cs="SimSun"/>
                <w:b/>
                <w:i/>
                <w:color w:val="000000"/>
                <w:sz w:val="24"/>
                <w:u w:val="single"/>
              </w:rPr>
              <w:t xml:space="preserve">要合理可靠并做防割线处理，需便于理线和插拔操作，走线应不影响系统各主要部件组装和拆卸；</w:t>
              <w:br/>
              <w:t xml:space="preserve">i)如需通过孔走线，过线孔应做防割线处理；</w:t>
              <w:br/>
              <w:t xml:space="preserve">j)各插头位置和插拔方向应合理，应做到插拔无障碍设计，具备防呆设计，有效避免误操作；</w:t>
              <w:br/>
              <w:t xml:space="preserve">k)各主要部件拆装无障碍，使用常规工具拆装，无特殊拆装工具需求；</w:t>
              <w:br/>
              <w:t xml:space="preserve">l)各主要部件拆装步骤要少，各自拆装需避免相互干扰；</w:t>
              <w:br/>
              <w:t xml:space="preserve">m)对于整机或零部件外表面为高亮面的，应粘贴保护膜，保护膜需粘贴牢固，运输、组装等过程不易脱落，撕下无残留；</w:t>
              <w:br/>
              <w:t xml:space="preserve">n)其它要求应符合GB/T9813.1的相关规定</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机箱防护要求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机箱应符合GB/T4208中IP20防护要求</w:t>
            </w:r>
            <w:r/>
          </w:p>
        </w:tc>
      </w:tr>
      <w:tr>
        <w:trPr>
          <w:trHeight w:val="5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整机噪音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产品工作在空闲状态下，产品的声功率级应不超过4.5 Bel（提供检测报告）</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整机散热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在环境温度25℃及处理器满载情况下，产品表面温度应符合如下要求：a)出风口在机箱后面板情况下，出风口温度不高于55℃；</w:t>
              <w:br/>
              <w:t xml:space="preserve">b)可触及面温度不高于45℃；</w:t>
              <w:br/>
              <w:t xml:space="preserve">c)显示器表面温度：显示屏不高于38℃，显示屏上下灯带位置温度（如涉及）不高于40℃，出风口温度不高于45℃</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整机能效限定值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产品能效限定值应达到GB28380-2012标准中能效等级2级及以上</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塑料/金属等</w:t>
            </w:r>
            <w:r/>
          </w:p>
        </w:tc>
      </w:tr>
      <w:tr>
        <w:trPr>
          <w:trHeight w:val="1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灰色/黑色等商务色系</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机箱尺寸容量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机箱体积≥15L</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CPU物理核数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 </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≥2.5GHz</w:t>
            </w:r>
            <w:r/>
          </w:p>
        </w:tc>
      </w:tr>
      <w:tr>
        <w:trPr>
          <w:trHeight w:val="1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CPU末级缓存容量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CPU支持的内存最高速率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▲≥3200MT/s</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内存读写速率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≥2666/3200MT/s</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≥1920x1080</w:t>
            </w:r>
            <w:r/>
          </w:p>
        </w:tc>
      </w:tr>
      <w:tr>
        <w:trPr>
          <w:trHeight w:val="1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显卡显示芯片核心频率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▲≥1000MHz</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显存等效频率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≥1000MT/s</w:t>
            </w:r>
            <w:r/>
          </w:p>
        </w:tc>
      </w:tr>
      <w:tr>
        <w:trPr>
          <w:trHeight w:val="2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显卡可支持多屏同时显示数量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显卡应支持2块屏幕同时显示，分辨率应不低于1920×1080</w:t>
            </w:r>
            <w:r/>
          </w:p>
        </w:tc>
      </w:tr>
      <w:tr>
        <w:trPr>
          <w:trHeight w:val="2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显示屏刷新率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≥100Hz</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显示屏位深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≥8位</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≥99%sRGB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△E≤4</w:t>
            </w:r>
            <w:r/>
          </w:p>
        </w:tc>
      </w:tr>
      <w:tr>
        <w:trPr>
          <w:trHeight w:val="1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显示屏响应时间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≤8ms</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≥250尼特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显示屏亮度一致性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1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显示屏对比度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b/>
                <w:color w:val="000000"/>
                <w:sz w:val="24"/>
                <w:highlight w:val="white"/>
              </w:rPr>
              <w:t xml:space="preserve">≥3000：1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显示屏其他参数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其它参数应符合SJ/T11292的相关规定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最高速率应不低于1000Mbps，应支持10Mbps、100Mbps、1000Mbps速率自适应</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支持无线网络通信技术协议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≥20MHz</w:t>
            </w:r>
            <w:r/>
          </w:p>
        </w:tc>
      </w:tr>
      <w:tr>
        <w:trPr>
          <w:trHeight w:val="1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内存扩展接口(板载内存不涉及)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存储扩展接口(板载存储不涉及)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供应商给出主板支持存储扩展接口类型，如UFS3.0、SATA3.0、SAS3.0、M.2等类型接口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主板USB瞬间过流保护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支持有瞬间过流保护功能</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主板防静电保护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支持防静电保护功能，主板直流供电电压大于设计值拉偏±6%</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I/O接口功能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显卡外接显示接口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显卡至少支持VGA、HDMI、DVI、DP、Type-C中1种显示接口，并与显示器接口相匹配</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显示器应与显卡外接显示接口匹配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显示器应提供显示器支架，根据采购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人需求支持屏幕旋转、升降等</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显示器参数调节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a)提供OSD选单按钮用于调节色彩、模式等；b)支持色温、亮度、对比度调节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摄像头物理隐私保护开关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传声器降噪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支持降噪功能</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键盘背光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通过SATA固态存储/PCIe固态存储/UFS固态存储/SATA硬磁盘等存储部件提供存储功能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内置控制器固态存储加密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固态存储通过内置控制器硬件支持加密，不依赖处理器，保障数据安全性，但不得影响存储性能。</w:t>
              <w:br/>
              <w:t xml:space="preserve">a)支持加密功能，且加密功能开启不影响SSD读写性能；</w:t>
              <w:br/>
              <w:t xml:space="preserve">b)支持固件加密、安全启动和安全升级；</w:t>
              <w:br/>
              <w:t xml:space="preserve">c)支持数据的安全擦除</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支持网络连接、网络开启/关闭功能；</w:t>
            </w:r>
            <w:r/>
          </w:p>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支持访问网络和数据交换功能</w:t>
            </w:r>
            <w:r/>
          </w:p>
        </w:tc>
      </w:tr>
      <w:tr>
        <w:trPr>
          <w:trHeight w:val="1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支持双频段</w:t>
            </w:r>
            <w:r/>
          </w:p>
        </w:tc>
      </w:tr>
      <w:tr>
        <w:trPr>
          <w:trHeight w:val="1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支持网络设备物理开关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支持数据传输能力，并提供数据流量和异常日志记录功能</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蓝牙协议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支持RJ45接口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若配备无线网卡，产品应符合GB15629.11所有部分</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网络设备拆装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网络设备支持物理拆装，包括无线网卡和蓝牙模块等</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支持3.5mm孔径3段式或4段式接口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至少支持VGA、HDMI、DVI、DP、Type-C中2种显示接口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HDMI、DP、Type-C显示接口要求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若提供HDMI或DP或Type-C作为显示接口，应支持音频和视频同步输出</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a)支持串行接口，可实现GB/T6107的功能；</w:t>
              <w:br/>
              <w:t xml:space="preserve">b)支持并行接口，可实现GB/T18235.1的功能</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支持SD、TF等存储卡接口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电源线适配能力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电源适配器电线组件应符合GB/T15934的要求，电源≥500W</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中文信息处理要求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符合GB18030的相关规定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操作系统备份及还原功能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云部署和教室管理软件，备份及还原功能需满足：</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1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2所投台式电脑支持硬件状态管理功能，可收集平台中所有终端的运行状态信息，包含但不限于终端名称、CPU温度、开机时间、硬盘信息等，支持提供终端设备的在保服务状态提醒，支持大数据展示。可展示包括但不限于资产统计、设备详情、开关机对比、日志、系统使用情况等信息。</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3所投台式电脑支持Legacy与UEFI两种方式启动系统，支持管理双网卡、双硬盘，支持NVME、M.2新型高速固态硬盘，同时兼容新老机型部署，支持批量管理终端计算机名、IP地址、分辨率、时间同步等配置信息，同时支持针对不同的终端群组设置不同的安全管控策略，多角色高效管理与教学，云桌面管理平台支持在专业模式和导航模式随意切换；专业模式适用于信息管理员精细化管理；导航模式适用于任课老师常用功能快捷操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4为满足学校的复杂网络使用场景，简化网络结构，支持跨校区、跨广域网部署，IP可达即可部署，支持通过WIFI更新与管理桌面，支持不同楼宇、学科设备进行分组管理，用户可根据配置好的镜像分配给相应的用户或用户组，可在正常上课的同时完成镜像缓存下载，同一局域网内的设备可互相分享文档、镜像支持断点续传，避免网络中断等情况需要重复传输，可以大幅提升传输效率。</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5所投台式电脑可以将本地的操作和讲解过程录制为ASF文件，可以用系统自带的 Media Player 直接播放，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教师端可远程遥控帮助学生解决问题。</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6所投台式电脑支持上网限制，支持对学生访问网站的黑名单或白名单设置，支持对学生可以访问的Internet站点进行管理，支持多浏览器限制，须支持主流浏览器，支持程序限制，为防止学生在教学过程中游戏或使用聊天工具，支持通过策略限制学生使用程序，支持收集平台中所有终端的软件信息，包含但不限于程序名称、运行次数、运行时长、版本、程序大小等。</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7所投台式电脑支持各类考试需求，如国家计算机一、二级等级考试、社会职称考试等，支持ATA、NCRE等考试模式，支持设置考试专属镜像并在考试开始前将考试镜像设置为隐藏模式，避免被破坏，为方便后期溯源备查考试结果并可快速进入下一场考试，支持管理员自定义保留考试桌面保留的周期时间，即在保留学生完整桌面、系统环境、文件数据的同时，可快速部署下一场考试。</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（供应商投标时提供以上功能要求的截图）</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8管理员可通过AI助手快速定位功能页面，或查阅附带的图文及视频教程，以辅助日常设备操作。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9内置人工智能通识课模块支持结构化课程与备课资料管理：提供按知识模块分类的体系化 AI 通识课程内容。支持教师在线预览及下载标准教案（PDF）与教学课件（PPT），实现备课资源的数字化管理与复用。</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内置人工智能通识课模块支持多媒体拓展资源聚合。为教师提供课堂导入素材及学生课后探究资源，解决教学内容滞后性问题。</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内置人工智能通识课模块支持轻量化 AI 能力体验平台：内置文生文、文生图等主流 AI 模型的 Web 端交互入口，支持教师在无代码环境下进行现场演示。（供应商投标时提供以上功能要求的截图）</w:t>
            </w:r>
            <w:r>
              <w:rPr>
                <w:highlight w:val="none"/>
              </w:rPr>
            </w:r>
            <w:r/>
          </w:p>
        </w:tc>
      </w:tr>
      <w:tr>
        <w:trPr>
          <w:trHeight w:val="1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固件备份还原能力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支持备份及还原固件的功能</w:t>
            </w:r>
            <w:r>
              <w:rPr>
                <w:highlight w:val="none"/>
              </w:rPr>
            </w:r>
            <w:r/>
          </w:p>
        </w:tc>
      </w:tr>
      <w:tr>
        <w:trPr>
          <w:trHeight w:val="3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支持通过网络、闪存盘等方式对操作系统、驱动进行升级</w:t>
            </w:r>
            <w:r>
              <w:rPr>
                <w:highlight w:val="none"/>
              </w:rPr>
            </w:r>
            <w:r/>
          </w:p>
        </w:tc>
      </w:tr>
      <w:tr>
        <w:trPr>
          <w:trHeight w:val="31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支持通过网络、闪存盘等方式对固件进行升级</w:t>
            </w:r>
            <w:r/>
          </w:p>
        </w:tc>
      </w:tr>
      <w:tr>
        <w:trPr>
          <w:trHeight w:val="19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BIOS支持关闭通讯接口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支持BIOS关闭以太网及USB接口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固件查看信息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支持查看固件版本、内存信息、主板信息、处理器信息和系统时间信息等功能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固件设置启动顺序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支持设置启动顺序功能，并按照设置的启动顺序启动</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固件设置口令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支持设置口令、修改口令、验证口令功能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固件设置网络引导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支持网络引导启动和关闭功能</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指纹识别功能符合GB/T37742的相关规定</w:t>
            </w:r>
            <w:r/>
          </w:p>
        </w:tc>
      </w:tr>
      <w:tr>
        <w:trPr>
          <w:trHeight w:val="24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人脸识别功能符合GB/T37036.3的相关规定</w:t>
            </w:r>
            <w:r/>
          </w:p>
        </w:tc>
      </w:tr>
      <w:tr>
        <w:trPr>
          <w:trHeight w:val="36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指静脉识别功能符合GB/T33135的相关规定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NPU/GPU等AI加速模块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支持NPU/GPU等AI加速模块</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视频编解码加速模块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支持视频编解码加速模块</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支持影像处理加速模块</w:t>
            </w:r>
            <w:r/>
          </w:p>
        </w:tc>
      </w:tr>
      <w:tr>
        <w:trPr>
          <w:trHeight w:val="51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TBW≥80TB（条件：240GB硬盘容量）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通电时间≥5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显示屏屏幕失效点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符合GB/T9813.2的要求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键盘鼠标线材寿命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键盘鼠标所用线材经±60°弯折不低于3000次，功能、外观完好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电磁兼容性要求的抗扰度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符合GB/T9254.2的规定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环境条件要求的气候环境适应性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环境条件要求的振动适应性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环境条件要求的冲击适应性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环境条件要求的碰撞适应性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环境条件要求的运输包装件跌落适应性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9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MTBF测试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★MTBF(m1)≥100万小时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支持流式软件、版式软件、浏览器、邮件采购人端、解压软件、多媒体、图形图像处理等常用软件</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兼容3个及以上厂商的数据库产品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兼容3个及以上厂商中间件产品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兼容3个及以上厂商云计算及大数据平台</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标志、包装、运输和贮存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符合GB/T9813.1和商品包装政府采购需求标准的相关规定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配置检查工具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提供配置检查工具:a)硬件主要参数检测，优化加速，b)系统垃圾清理，c)病毒查杀，d)原厂驱动更新，e)网络测速、网络诊断，f)自动识别品牌型号，自动识别序列号，自动识别保修开始至截止信息(投标文件中提供a-f项功能截图及该软件的软著登记证书扫描件)</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numPr>
                <w:ilvl w:val="0"/>
                <w:numId w:val="2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供应商提供电话、电子邮件、远程连接等多种形式服务；</w:t>
              <w:br/>
              <w:t xml:space="preserve">b)供应商提供同城4h、异地 12h 技术响应服务，2 个工作日解决问题，对于未能解决的问题和故障应提供可行的升级方案，并提供周转设备或更换设备；</w:t>
              <w:br/>
              <w:t xml:space="preserve">c)建立全国技术服务体系和服务团体，符合专业服务体系标准要求，提供原厂中文服务；</w:t>
              <w:br/>
              <w:t xml:space="preserve">d)服务周期内提供产品的维修、换件和升级服务</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a)设备停产后应继续提供质量保障服务（含备品备件），服务终止时间与最后一批设备交付时间间隔不低于6年；</w:t>
              <w:br/>
              <w:t xml:space="preserve">b)产品停止服务时间应提前1年告知；</w:t>
              <w:br/>
              <w:t xml:space="preserve">c)应明确产品发布日期</w:t>
            </w:r>
            <w:r/>
          </w:p>
        </w:tc>
      </w:tr>
      <w:tr>
        <w:trPr>
          <w:trHeight w:val="22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预装操作系统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预装符合桌面操作系统政府采购需求标准的正版操作系统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供应商提供培训材料、产品手册、培训视频等培训相关内容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典型问题解决手册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供应商提供典型问题解决说明文档或视频</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厂家升级软件与扩容服务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供应商提供上门升级部件/软件与扩容的增值服务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整机质量服务要求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免费服务周期（含换件和维修）应不小于3年（供应商承诺提供并加盖公章）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合格证书要求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供应商提供产品合格证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开箱组装/使用指导要求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供应商提供开箱组装/使用指导</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供应商提供驱动光盘或下载方式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兼容适配软件下载服务要求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供应商提供兼容适配软件下载渠道</w:t>
              <w:br/>
              <w:t xml:space="preserve">（光盘、网站）</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供应商提供跨架构平台的应用兼容工具，支持一种或者一种以上不同架构平台的应用</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产品部件保障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供应商保障产品主要部件，提供6年的备件服务能力（自购买之日起），或提供可兼容原设备的升级换代产品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抗干扰性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当产品部件出现供应风险时，供应商应通知采购人并提供风险应对方案确保产品的服务保障</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供应能力证明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供应商提供供应链稳定承诺书，确保产品的部件在产品服务周期内稳定供货</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CPU和操作系统等关键部件应当符合安全可靠测评要求（无要求）</w:t>
            </w:r>
            <w:r/>
          </w:p>
        </w:tc>
      </w:tr>
      <w:tr>
        <w:trPr>
          <w:trHeight w:val="3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密码算法实现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CPU芯片应符合GM/T0008的相关规定，或芯片密码模块应符合GB/T37092或GM/T0028的相关规定（无要求）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USB端口管控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支持USB端口管控</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安全物理锁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支持安全物理锁</w:t>
            </w:r>
            <w:r/>
          </w:p>
        </w:tc>
      </w:tr>
      <w:tr>
        <w:trPr>
          <w:trHeight w:val="6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信息安全基本要求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a)产品应符合GB/T39276的5.2的规定；（可删除）</w:t>
              <w:br/>
              <w:t xml:space="preserve">b)生产厂商应建立漏洞跟踪表，保证产品版本涉及到的漏洞(如驱动程序等)可查看；</w:t>
              <w:br/>
              <w:t xml:space="preserve">c)产品不得包含已知的恶意代码或漏洞，不存在未声明的指令、功能、接口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固件安全启动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支持固件安全启动功能，固件启动过程中只有通过启动校验才能正常启动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限用物质的限量要求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符合GB/T26572中规定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分包号2：</w:t>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在中国政府采购网节能产品清单栏目或全国认证认可信息公共服务平台查询核验；证书状态须为有效，查询信息与投标产品型号、制造商等关键信息保持完全一致，无法在任一平台核验或信息不一致的，视为不满足本项要求；（报价时须提供所报产品由国家确定的认证机构出具的、处于有效期之内的节能产品认证证书复印件或扫描件及财政部节能清单官网检索</w:t>
      </w:r>
      <w:r>
        <w:rPr>
          <w:rFonts w:ascii="SimSun" w:hAnsi="SimSun" w:eastAsia="SimSun" w:cs="SimSun"/>
          <w:i/>
          <w:color w:val="000000"/>
          <w:sz w:val="24"/>
          <w:highlight w:val="none"/>
          <w:u w:val="single"/>
        </w:rPr>
        <w:t xml:space="preserve">截图，检索结果清晰展示所投产品完整型号归入台式计算机等强制品类。仅持有厂商自愿节能认证、产品未进入强制清单台式计算机等类目、证书品类与标的不符、产品的完整型号以及证书编号无法单独检索的，直接判定未实质性响应招标文件，作无效投标。）</w:t>
      </w:r>
      <w:r>
        <w:rPr>
          <w:highlight w:val="none"/>
        </w:rPr>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9"/>
        <w:gridCol w:w="820"/>
        <w:gridCol w:w="1132"/>
        <w:gridCol w:w="1816"/>
        <w:gridCol w:w="3516"/>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一级指标 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二级指标 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指标要求</w:t>
            </w:r>
            <w:r/>
          </w:p>
        </w:tc>
      </w:tr>
      <w:tr>
        <w:trPr>
          <w:trHeight w:val="208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信息</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≥intel i5 12 代 八核 十二线程，最高睿频 4.4GHz</w:t>
            </w:r>
            <w:r/>
          </w:p>
        </w:tc>
      </w:tr>
      <w:tr>
        <w:trPr>
          <w:trHeight w:val="78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内存配置容量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≥16G DDR4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 DDR4 及以上内存类型</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内存条配置数量（板载内存不涉及）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主板集成模块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集成资源扩展模块、计算处理模块、音频扩展模块等</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主板支持的 CPU 和内存情况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Intel 12 代及以上 CPU；支持 DDR4 系列内存扩展</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主板内置 PCIe 插槽数量</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0</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特殊孔位及接口</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预留满足 USB3.0 数据传输规范的接口，工作电压 5V；</w:t>
            </w:r>
            <w:r>
              <w:rPr>
                <w:highlight w:val="none"/>
              </w:rPr>
            </w:r>
            <w:r/>
          </w:p>
        </w:tc>
      </w:tr>
      <w:tr>
        <w:trPr>
          <w:trHeight w:val="23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主板其他内置接口</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预留≥1个SATA硬盘扩展槽位</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 个 M.2 接口（用于固态硬盘）；</w:t>
            </w:r>
            <w:r>
              <w:rPr>
                <w:rFonts w:ascii="SimSun" w:hAnsi="SimSun" w:eastAsia="SimSun" w:cs="SimSun"/>
                <w:b/>
                <w:color w:val="000000"/>
                <w:sz w:val="24"/>
                <w:highlight w:val="none"/>
              </w:rPr>
              <w:t xml:space="preserve"> </w:t>
            </w:r>
            <w:r>
              <w:rPr>
                <w:highlight w:val="none"/>
              </w:rPr>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单内存插槽最大可支持容量（板载内存不涉及）</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≥16GB</w:t>
            </w:r>
            <w:r>
              <w:rPr>
                <w:highlight w:val="none"/>
              </w:rPr>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内存插槽满配时提供的最高内存总容量</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≥32GB</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≥512G SSD</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机械硬盘转速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PCIe/NVMe/SATA/mSATA 等类型接口协议</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 M.2 标准插卡形态，</w:t>
            </w:r>
            <w:r>
              <w:rPr>
                <w:rFonts w:ascii="SimSun" w:hAnsi="SimSun" w:eastAsia="SimSun" w:cs="SimSun"/>
                <w:b/>
                <w:i/>
                <w:color w:val="000000"/>
                <w:sz w:val="24"/>
                <w:u w:val="single"/>
              </w:rPr>
              <w:t xml:space="preserve">可选用符合M.2或2.5寸SATA或mSATA等标准的插卡形态</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存储设备扩展盘位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存储设备其他参数要求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固态盘应符合 SJ/T11654 相关规定；b) 工作状态环境温度应满足 5℃~55℃</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集成高清显卡</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独立显卡显存位宽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显示屏屏占比</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5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显示屏分辨率</w:t>
            </w:r>
            <w:r>
              <w:rPr>
                <w:highlight w:val="none"/>
              </w:rPr>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分辨率≥1920*1080</w:t>
            </w:r>
            <w:r>
              <w:rPr>
                <w:highlight w:val="none"/>
              </w:rPr>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显示屏像素密度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显示屏可视角度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显示屏尺寸</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≥21.45寸非曲面屏幕</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显示屏屏幕比例</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显示器外观颜色</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显示屏防蓝光</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显示屏低频闪</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显示屏防炫目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键盘按键数目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键</w:t>
            </w:r>
            <w:r/>
          </w:p>
        </w:tc>
      </w:tr>
      <w:tr>
        <w:trPr>
          <w:trHeight w:val="5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摄像头像素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4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扬声器频率范围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扬声器总谐波失真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扬声器最大声压级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键盘键程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2.3mm~4.0mm</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键盘按键压力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按键压力应在 0.54N±0.14N</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有线键盘连接线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防水抗菌键盘；符合 GB/T14081 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有线鼠标连接线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米</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 DPI 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光电抗菌鼠标；符合 GB/T26245 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内置光驱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无线网卡及天线数量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单无线网卡天线数量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≥4个 USB2.0 接口，4 个 USB 3.0 接口</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母座接口要求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（2 对音频输入输出接口）</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整机外观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产品表面不应有凹痕、划伤、裂缝、变形和污染等</w:t>
              <w:br/>
              <w:t xml:space="preserve">。表面涂层均匀，不应起泡、龟裂、脱落和磨损，金属零部件无锈蚀及其它机械损伤；b) 产品表面说明功能的文字、符号、标志，应清晰、端正、牢固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状态指示灯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前置硬盘工作状态指示灯</w:t>
            </w:r>
            <w:r/>
          </w:p>
        </w:tc>
      </w:tr>
      <w:tr>
        <w:trPr>
          <w:trHeight w:val="70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整机结构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numPr>
                <w:ilvl w:val="0"/>
                <w:numId w:val="2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 GB/T4208、GB/T26246 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b)产品内部结构应符合通用部件的安装需求；</w:t>
              <w:br/>
              <w:t xml:space="preserve">c)所有输入输出接口应符合相关国家或行业标准；</w:t>
              <w:br/>
              <w:t xml:space="preserve">d)产品零部件应紧固无松动，可插拔部件应可靠连接，开关、按钮和其它控制部件应灵活可靠，布局应方便使用；</w:t>
              <w:br/>
              <w:t xml:space="preserve">e)所有I/O连接器及需插接线缆的部位应预留采购人操作空间，方便插拔解锁与插拔线缆；</w:t>
              <w:br/>
              <w:t xml:space="preserve">f)可插拔板卡插槽部位应预留安装、拆卸或更换板卡空间；</w:t>
              <w:br/>
              <w:t xml:space="preserve">g)拆装可能接触到的金属剪口或金属尖角部位应做防划伤处理，以保证安全；</w:t>
              <w:br/>
              <w:t xml:space="preserve">h)整机内部走线应规整，固线结构和位置要合理可靠并做防割线处理，需便于理线和插拔操作，走线应不影响系统</w:t>
            </w:r>
            <w:r>
              <w:rPr>
                <w:rFonts w:ascii="SimSun" w:hAnsi="SimSun" w:eastAsia="SimSun" w:cs="SimSun"/>
                <w:color w:val="000000"/>
                <w:sz w:val="24"/>
              </w:rPr>
              <w:t xml:space="preserve">各主要部件组装和拆卸；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 所有输入输出接口应符合相关国家或行业标准；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机箱防护要求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 GB/T4208 中 IP20 防护要求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整机噪音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产品工作在空闲状态下，产品的声功率级应不超过 4.5 Bel</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整机散热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 25℃及处理器满载情况下，产品表面温度应符合如下要求：a) 出风口在机箱后面板情况下，出风口温度不高于 55℃；b) 可触及面温度不高于 45℃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整机能效限定值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产品能效限定值应达到 GB28380-2012 标准中能效等级 2 级及以上</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 / 金属</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机箱尺寸容量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w:t>
            </w:r>
            <w:r>
              <w:rPr>
                <w:rFonts w:ascii="SimSun" w:hAnsi="SimSun" w:eastAsia="SimSun" w:cs="SimSun"/>
                <w:i/>
                <w:color w:val="000000"/>
                <w:sz w:val="24"/>
                <w:highlight w:val="none"/>
                <w:u w:val="single"/>
              </w:rPr>
              <w:t xml:space="preserve">9L</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物理核数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≥8 个</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主频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最高睿频≥4.4GHz</w:t>
            </w:r>
            <w:r>
              <w:rPr>
                <w:highlight w:val="none"/>
              </w:rPr>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末级缓存容量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≥12MB</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支持的内存最高速率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≥3200MT/s</w:t>
            </w:r>
            <w:r>
              <w:rPr>
                <w:highlight w:val="none"/>
              </w:rPr>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内存读写速率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≥3200MT/s</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 1920x1080 </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显卡显示芯片核心频率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CPU 集成核芯显卡，基础核心频率≥300MHz，动态最高核心频率≥1000MHz，支持硬件视频编解码加速</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显存等效频率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无独立物理显存，共享系统内存作为显存</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显卡可支持多屏同时显示数量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支持2块屏幕同时独立输出显示，单屏分辨率不低于 1920×1080 </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显示屏刷新率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≥60Hz</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显示屏位深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≥8bit</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≥88% sRGB</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日常办公图文色彩无明显偏色</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显示屏响应时间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≤10ms</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≥250cd/㎡</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显示屏亮度一致性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显示屏对比度</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≥1000:1</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显示屏其他参数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其它参数应符合SJ/T11292的相关规定</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最高速率应不低于 1000Mbps，应支持 10Mbps、100Mbps、1000Mbps 速率自适应</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支持无线网络通信技术协议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内存扩展接口 (板载内存不涉及)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存储扩展接口 (板载存储不涉及)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M.2/mSATA 多种存储方式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 USB 瞬间过流保护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支持有瞬间过流保护功能</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主板防静电保护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支持防静电保护功能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I/O 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提供基于标准 USB 接口外设连接功能、基于音频输入输出接口的音频扩展功能、基于 HDMI 接口外接显示器扩展功能、基于 COM 串口的工业设备连接功能、基于存储接口对产品进行增容功能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显卡外接显示接口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显卡至少支持VGA、HDMI、DVI、DP、Type-C中1种显示接口，并与显示器接口相匹配</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显示器应与显卡外接显示接口匹配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显示器应提供显示器支架。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显示器参数调节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a)提供按钮用于调节色彩、模式等；b)支持色温、亮度、对比度调节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摄像头物理隐私保护开关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传声器降噪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键盘背光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 PCIe 固态存储 / SATA 固态存储等存储部件提供存储功能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内置控制器固态存储加密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支持网络连接、网络开启 / 关闭功能；b) 支持访问网络和数据交换功能； </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支持数据传输能力，并提供数据流量和异常日志记录功能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蓝牙协议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RJ45 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网络设备拆装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3.5mm 孔径 3 段式或 4 段式接口</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至少支持VGA、HDMI、DVI、DP、Type-C中2种显示接口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HDMI、DP、Type-C 显示接口要求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若提供HDMI或DP或Type-C作为显示接口，应支持音频和视频同步输出</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其他接口</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一个串行接口 (COM)，可实现 GB/T6107 的功能； </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电源线适配能力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电源适配器电线组件应符合 GB/T15934 的要求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中文信息处理要求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GB18030 的相关规定</w:t>
            </w:r>
            <w:r/>
          </w:p>
        </w:tc>
      </w:tr>
      <w:tr>
        <w:trPr>
          <w:trHeight w:val="23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操作系统备份及还原功能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1.预装同品牌还原卡和教室管理软件，备份及还原功能需满足：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2.支持教学屏幕广播；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3.支持操作系统同传拷贝功能；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固件备份还原能力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支持备份及还原固件的功能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支持通过网络、闪存盘等方式对操作系统、驱动进行升级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支持通过网络、闪存盘等方式对固件进行升级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BIOS 支持关闭通讯接口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BIOS 关闭以太网及 USB 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固件查看信息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支持查看固件版本、内存信息、主板信息、处理器信息和系统时间信息等功能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固件设置启动顺序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支持设置启动顺序功能，并按照设置的启动顺序启动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固件设置口令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支持设置口令、修改口令、验证口令功能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固件设置网络引导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支持网络引导启动和关闭功能</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NPU/GPU 等 AI 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视频编解码加速模块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TBW≥150TB（条件：512GB 硬盘容量）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显示屏屏幕失效点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符合GB/T9813.2的要求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 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 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键盘鼠标线材寿命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键盘鼠标所用线材经 ±60° 弯折不低于 3000 次，功能、外观完好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电磁兼容性要求的抗扰度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GB/T9254.2 的规定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环境条件要求的气候环境适应性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环境条件要求的振动适应性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环境条件要求的冲击适应性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环境条件要求的碰撞适应性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运输包装件跌落适应性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MTBF 测试</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MTBF (m1)≥3 万小时</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支持流式软件、版式软件、浏览器、邮件客户端、解压软件、多媒体、图形图像处理等常用软件； </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个及以上厂商的数据库产品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个及以上厂商中间件产品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个及以上厂商云计算及大数据平台</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标志、包装、运输和贮存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和商品包装政府采购需求标准的相关规定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配置检查工具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供应商提供自检测试工具</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 供应商提供电话、电子邮件、远程连接等多种形式服务；b) 供应商提供同城 4h、异地 12h 技术响应服务，2 个工作日解决问题；c) 建立全国技术服务体系和服务团体，提供原厂中文服务；d) 服务周期内提供产品的维修、换件和升级服务</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 设备停产后应继续提供质量保障服务（含备品备件），服务终止时间与最后一批设备交付时间间隔不低于 3 年；b) 产品停止服务时间应提前 1 年告知</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预装操作系统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预装符合桌面操作系统政府采购需求标准的正版 Windows 10 64 位操作系统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供应商提供培训材料、产品手册、培训视频等培训相关内容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典型问题解决手册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供应商提供典型问题解决说明文档或视频</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厂家升级软件与扩容服务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供应商提供上门升级部件 / 软件与扩容的增值服务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整机质量服务要求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免费服务周期（含换件和维修）不少于 3 年（供应商承诺中标后提供并加盖公章）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合格证书要求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供应商提供产品合格证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开箱组装 / 使用指导要求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供应商提供开箱组装 / 使用指导</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供应商提供驱动光盘或官方网站下载方式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兼容适配软件下载服务要求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供应商提供兼容适配软件下载渠道（官方网站）</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供应链合规性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产品部件保障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供应商保障产品主要部件，提供 3 年的备件服务能力（自购买之日起），或提供可兼容原设备的升级换代产品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抗干扰性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当产品部件出现供应风险时，供应商应通知采购人并提供风险应对方案确保产品的服务保障</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供应能力证明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供应商提供供应链稳定承诺书，确保产品的部件在产品服务周期内稳定供货</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关键部件安全要求</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（无要求）</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密码算法实现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芯片应符合 GM/T0008 的相关规定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端口管控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USB 端口管控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安全物理锁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支持安全物理锁</w:t>
            </w:r>
            <w:r/>
          </w:p>
        </w:tc>
      </w:tr>
      <w:tr>
        <w:trPr>
          <w:trHeight w:val="6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信息安全基本要求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产品应符合 GB/T39276 的 5.2 的规定；b) 生产厂商应建立漏洞跟踪表，保证产品版本涉及到的漏洞可查看；c) 产品不得包含已知的恶意代码或漏洞，不存在未声明的指令、功能、接口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固件安全启动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支持固件安全启动功能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限用物质的限量要求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GB/T26572 中规定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分包号3：</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同时在中国政府采购网节能产品清单栏目、全国认证认可信息公共服务平台查询核验；证书状态须为有效，查询信息与投标产品型号、制造商等关键信息保持完全一致（报价时须提供所报产品由国家确定的认证机构出具的、处于有效期之内的节能产品认证证书复印件或扫描件及财政部节能清单官网检索截图，检索结果清晰展示所投产品完整型号归入台式计算机</w:t>
      </w:r>
      <w:r>
        <w:rPr>
          <w:rFonts w:ascii="SimSun" w:hAnsi="SimSun" w:eastAsia="SimSun" w:cs="SimSun"/>
          <w:i/>
          <w:color w:val="000000"/>
          <w:sz w:val="24"/>
          <w:highlight w:val="none"/>
          <w:u w:val="single"/>
        </w:rPr>
        <w:t xml:space="preserve">等强制品类。仅持有厂商自愿节能认证、产品未进入强制清单台式计算机等类目、证书品类与标的不符、产品的完整型号以及证书编号无法单独检索的，无法双平台核验或信息不一致的，且如产品持有合法、真实、有效的节能认证证书，但因认证机构报送数据延迟、平台展示字段差异等客观情形，导致平台暂未查询到完整信息的，投标人可在投标文件中提交书面情况说明，同时附具完整有效的节能认证证书扫描件，一并附具发证认证机构出具的相关说明材料。全国认证认可信息公共服务平台、中国政府采购网节能栏目仅作为官方辅助核验渠道。评标委员会以完整有效的节能认</w:t>
      </w:r>
      <w:r>
        <w:rPr>
          <w:rFonts w:ascii="SimSun" w:hAnsi="SimSun" w:eastAsia="SimSun" w:cs="SimSun"/>
          <w:i/>
          <w:color w:val="000000"/>
          <w:sz w:val="24"/>
          <w:highlight w:val="none"/>
          <w:u w:val="single"/>
        </w:rPr>
        <w:t xml:space="preserve">证证书原件扫描件为核心判定依据，综合评判所提供材料是否有效。）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注：中标后采购人可依据招标文件、投标文件、合同约定开展实物核验，并对提交佐证材料与实物的真实性、一致性进行核验。若核验发现实物、佐证材料与投标文件响应参数不一致、存在虚假响应情形的，采购人有权依据政府采购相关法律法规以及合同约定作验收不合格处理，可追究中标供应商违约责任，包括但不限于拒绝支付合同款项、解除合同，并按政府采购相关规定上报处理。</w:t>
      </w:r>
      <w:r>
        <w:rPr>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679"/>
        <w:gridCol w:w="757"/>
        <w:gridCol w:w="1215"/>
        <w:gridCol w:w="3897"/>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指标要求</w:t>
            </w:r>
            <w:r/>
          </w:p>
        </w:tc>
      </w:tr>
      <w:tr>
        <w:trPr>
          <w:trHeight w:val="9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CPU信息</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Intel物理内核数≥10核；处理器基本主频≥2.5GHz；最高睿频≥4.6GHz；三级缓存容量≥20MB；制作工艺≤10nm，≥16线程；</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内存配置容量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≥32GB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支持DDR4 2666/3200 及以上内存类型</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内存条配置数量（板载内存不涉及）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主板集成模块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760及以上芯片组、集成资源扩展模块、计算处理模块、音频扩展模块等，主板的互联拓扑可通过处理器或交换电路实现</w:t>
            </w:r>
            <w:r/>
          </w:p>
        </w:tc>
      </w:tr>
      <w:tr>
        <w:trPr>
          <w:trHeight w:val="2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主板支持的CPU和内存情况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支持第13代/14代酷睿处理器（LGA 1700接口），支持DDR4(3200)或DDR5(5600)内存</w:t>
            </w:r>
            <w:r/>
          </w:p>
        </w:tc>
      </w:tr>
      <w:tr>
        <w:trPr>
          <w:trHeight w:val="107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主板内置PCIe插槽数量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≥2个PCIE槽位，其中至少包含1个1* PCIe x16 Gen5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特殊孔位及接口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a）预留满足 USB3.0 数据传输规范的接口，工作电压5V，最大过电流应不小于 3A；</w:t>
              <w:br/>
              <w:t xml:space="preserve">b) 预留多功能导入装置板卡安装孔位，采用内置方式与主机一体化集成，容量不小于145mm×125mm×16.5mm（长×宽×高）</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主板其他内置接口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预留≥3个SATA3.0硬盘扩展槽位、USB 接口≥11个USB接口（其中至少8个USB 3.2 G1接口、1个TYPE-C G2接口)，≥3个M.2接口（其中一个为无线网卡扩展口）</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单内存插槽最大可支持容量（板载内存不涉及）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≥32GB</w:t>
            </w:r>
            <w:r/>
          </w:p>
        </w:tc>
      </w:tr>
      <w:tr>
        <w:trPr>
          <w:trHeight w:val="4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内存插槽满配时提供的最高内存总容量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▲≥64GB</w:t>
            </w:r>
            <w:r/>
          </w:p>
        </w:tc>
      </w:tr>
      <w:tr>
        <w:trPr>
          <w:trHeight w:val="36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≥512 SSD M.2 2280 PCIe NVMe</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机械硬盘转速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支持SATA3.0及以上或SAS3.0及以上接口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2.5英寸或3.5英寸等</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M.2 2280 Key-M(Nvme)</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采用插卡或板载等形态，可选用符合M.2或2.5寸SATA或mSATA等标准的插卡形态</w:t>
            </w:r>
            <w:r/>
          </w:p>
        </w:tc>
      </w:tr>
      <w:tr>
        <w:trPr>
          <w:trHeight w:val="2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存储设备扩展盘位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存储设备其他参数要求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a)固态盘应符合SJ/T11654相关规定；</w:t>
              <w:br/>
              <w:t xml:space="preserve">b)机械硬盘准备时间应不大于30s；侧面固定螺丝孔数量可为4孔或6孔；工作状态环境温度应满足5℃~55℃；其它参数应符合GB/T12628相关规定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独立显卡</w:t>
            </w:r>
            <w:r/>
          </w:p>
        </w:tc>
      </w:tr>
      <w:tr>
        <w:trPr>
          <w:trHeight w:val="31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显存类型应为nVidia</w:t>
              <w:br/>
              <w:t xml:space="preserve">DDR3/DDR4/GDDR5/GDDR6/LPDDR4，PCI-E4.0 总线，显卡典型功耗 190W~210W</w:t>
            </w:r>
            <w:r/>
          </w:p>
        </w:tc>
      </w:tr>
      <w:tr>
        <w:trPr>
          <w:trHeight w:val="2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独立显卡显存位宽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显存位宽≥256位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显存容量≥8GB</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支持PCIe协议版本大于等于2.0或HT（HyperTransport）协议版本大于等于3.0的独立显卡接口协议</w:t>
            </w:r>
            <w:r/>
          </w:p>
        </w:tc>
      </w:tr>
      <w:tr>
        <w:trPr>
          <w:trHeight w:val="113"/>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显示屏屏占比</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r>
      <w:tr>
        <w:trPr>
          <w:trHeight w:val="362"/>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显示屏分辨率</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≥1920x1080</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显示屏像素密度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≥92像素/英寸</w:t>
            </w:r>
            <w:r/>
          </w:p>
        </w:tc>
      </w:tr>
      <w:tr>
        <w:trPr>
          <w:trHeight w:val="218"/>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显示屏可视角度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水平≥178°</w:t>
            </w:r>
            <w:r/>
          </w:p>
        </w:tc>
      </w:tr>
      <w:tr>
        <w:trPr>
          <w:trHeight w:val="14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显示屏尺寸</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≥27英寸</w:t>
            </w:r>
            <w:r/>
          </w:p>
        </w:tc>
      </w:tr>
      <w:tr>
        <w:trPr>
          <w:trHeight w:val="186"/>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显示屏屏幕比例</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r>
      <w:tr>
        <w:trPr>
          <w:trHeight w:val="165"/>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显示器外观颜色</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黑色系</w:t>
            </w:r>
            <w:r/>
          </w:p>
        </w:tc>
      </w:tr>
      <w:tr>
        <w:trPr>
          <w:trHeight w:val="11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显示屏防蓝光</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支持防蓝光模式，蓝光加权辐射亮度比应≤0.0012W/(·cd·sr)（瓦每坎特拉每球面度）</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显示屏低频闪</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显示屏应支持低频闪≤-35dB</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显示屏防炫目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显示屏镜面反射率≤10%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9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键盘按键数目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101键/104键等</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摄像头像素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扬声器频率范围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扬声器总谐波失真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扬声器最大声压级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键盘键程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2.3mm~4.0mm</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键盘按键压力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按键压力应在0.54N±0.14N</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有线键盘连接线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黑色/白色/银色等商务色系</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键盘外观结构、连接方式、主要功能、安全、电磁兼容性、可靠性应符合GB/T14081的相关规定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有线或无线</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有线鼠标连接线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鼠标DPI分辨率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黑色/银色/白色等商务色系</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其它参数应符合GB/T26245的相关规定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内置光驱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支持扩展内置光驱</w:t>
            </w:r>
            <w:r/>
          </w:p>
        </w:tc>
      </w:tr>
      <w:tr>
        <w:trPr>
          <w:trHeight w:val="16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无线网卡及天线数量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单无线网卡天线数量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机箱应提供不少于 11 个 USB 接 口（含 8 个 USB 3.2 及以上接口，1个TYPE-C G2接口）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USB母座接口要求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机箱前面板额外预留2个专用USB母座接口孔位和1个通用A型USB母座接口孔位，采用横向排列中心间距应不小于27mm</w:t>
            </w:r>
            <w:r/>
          </w:p>
        </w:tc>
      </w:tr>
      <w:tr>
        <w:trPr>
          <w:trHeight w:val="1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w:t>
            </w:r>
            <w:r/>
          </w:p>
        </w:tc>
      </w:tr>
      <w:tr>
        <w:trPr>
          <w:trHeight w:val="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≥5（至少包含前置1个耳机和1个麦克风插孔）</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整机外观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a)产品表面不应有凹痕、划伤、裂缝、变形和污染等。表面涂层均匀，不应起泡、龟裂、脱落和磨损，金属零部件无锈蚀及其它机械损伤；</w:t>
              <w:br/>
              <w:t xml:space="preserve">b)产品表面说明功能的文字、符号、标志，应清晰、端正、牢固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状态指示灯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在产品显著位置提供状态指示功能，如运行状态，并由供应商提供详细参数</w:t>
            </w:r>
            <w:r/>
          </w:p>
        </w:tc>
      </w:tr>
      <w:tr>
        <w:trPr>
          <w:trHeight w:val="86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整机结构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a)机箱应符合GB/T4208、GB/T26246的相关规定；</w:t>
              <w:br/>
              <w:t xml:space="preserve">b)产品内部结构应符合通用部件的安装需求；</w:t>
              <w:br/>
              <w:t xml:space="preserve">c)所有输入输出接口应符合相关国家或行业标准；</w:t>
              <w:br/>
              <w:t xml:space="preserve">d)产品零部件应紧固无松动，可插拔部件应可靠连接，开关、按钮和其它控制部件应灵活可靠，布局应方便使用；</w:t>
              <w:br/>
              <w:t xml:space="preserve">e)所有I/O连接器及需插接线缆的部位应预留采购人操作空间，方便插拔解锁与插拔线缆；</w:t>
              <w:br/>
              <w:t xml:space="preserve">f)可插拔板卡插槽部位应预留安装、拆卸或更换板卡空间；</w:t>
              <w:br/>
              <w:t xml:space="preserve">g)拆装可能接触到的金属剪口或金属尖角部位应做防划伤处理，以保证安全；</w:t>
              <w:br/>
              <w:t xml:space="preserve">h)整机内部走线应规整，固线结构和位置</w:t>
            </w:r>
            <w:r>
              <w:rPr>
                <w:rFonts w:ascii="SimSun" w:hAnsi="SimSun" w:eastAsia="SimSun" w:cs="SimSun"/>
                <w:b/>
                <w:i/>
                <w:color w:val="000000"/>
                <w:sz w:val="24"/>
                <w:u w:val="single"/>
              </w:rPr>
              <w:t xml:space="preserve">要合理可靠并做防割线处理，需便于理线和插拔操作，走线应不影响系统各主要部件组装和拆卸；</w:t>
              <w:br/>
              <w:t xml:space="preserve">i)如需通过孔走线，过线孔应做防割线处理；</w:t>
              <w:br/>
              <w:t xml:space="preserve">j)各插头位置和插拔方向应合理，应做到插拔无障碍设计，具备防呆设计，有效避免误操作；</w:t>
              <w:br/>
              <w:t xml:space="preserve">k)各主要部件拆装无障碍，使用常规工具拆装，无特殊拆装工具需求；</w:t>
              <w:br/>
              <w:t xml:space="preserve">l)各主要部件拆装步骤要少，各自拆装需避免相互干扰；</w:t>
              <w:br/>
              <w:t xml:space="preserve">m)对于整机或零部件外表面为高亮面的，应粘贴保护膜，保护膜需粘贴牢固，运输、组装等过程不易脱落，撕下无残留；</w:t>
              <w:br/>
              <w:t xml:space="preserve">n)其它要求应符合GB/T9813.1的相关规定</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机箱防护要求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机箱应符合GB/T4208中IP20防护要求</w:t>
            </w:r>
            <w:r/>
          </w:p>
        </w:tc>
      </w:tr>
      <w:tr>
        <w:trPr>
          <w:trHeight w:val="5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整机噪音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产品工作在空闲状态下，产品的声功率级应不超过4.5 Bel（提供检测报告）</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整机散热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在环境温度25℃及处理器满载情况下，产品表面温度应符合如下要求：a)出风口在机箱后面板情况下，出风口温度不高于55℃；</w:t>
              <w:br/>
              <w:t xml:space="preserve">b)可触及面温度不高于45℃；</w:t>
              <w:br/>
              <w:t xml:space="preserve">c)显示器表面温度：显示屏不高于38℃，显示屏上下灯带位置温度（如涉及）不高于40℃，出风口温度不高于45℃</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整机能效限定值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产品能效限定值应达到GB28380-2012标准中能效等级2级及以上</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塑料/金属等</w:t>
            </w:r>
            <w:r/>
          </w:p>
        </w:tc>
      </w:tr>
      <w:tr>
        <w:trPr>
          <w:trHeight w:val="1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灰色/黑色等商务色系</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机箱尺寸容量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机箱体积≤18L</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CPU物理核数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 </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≥2.5GHz</w:t>
            </w:r>
            <w:r/>
          </w:p>
        </w:tc>
      </w:tr>
      <w:tr>
        <w:trPr>
          <w:trHeight w:val="1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CPU末级缓存容量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CPU支持的内存最高速率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▲≥3200MT/s</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内存读写速率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≥2666/3200MT/s</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≥1920x1080</w:t>
            </w:r>
            <w:r/>
          </w:p>
        </w:tc>
      </w:tr>
      <w:tr>
        <w:trPr>
          <w:trHeight w:val="1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显卡显示芯片核心频率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i/>
                <w:color w:val="000000"/>
                <w:sz w:val="24"/>
                <w:u w:val="single"/>
              </w:rPr>
              <w:t xml:space="preserve">1410MHz</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显存等效频率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≥14000MT/s</w:t>
            </w:r>
            <w:r/>
          </w:p>
        </w:tc>
      </w:tr>
      <w:tr>
        <w:trPr>
          <w:trHeight w:val="2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显卡可支持多屏同时显示数量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显卡应支持2块屏幕同时显示，分辨率应不低于1920×1080</w:t>
            </w:r>
            <w:r/>
          </w:p>
        </w:tc>
      </w:tr>
      <w:tr>
        <w:trPr>
          <w:trHeight w:val="2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显示屏刷新率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▲≥100Hz</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显示屏位深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≥8位</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≥99%sRGB</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▲△E≤4</w:t>
            </w:r>
            <w:r/>
          </w:p>
        </w:tc>
      </w:tr>
      <w:tr>
        <w:trPr>
          <w:trHeight w:val="1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显示屏响应时间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▲≤8ms</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≥250尼特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显示屏亮度一致性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1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显示屏对比度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b/>
                <w:color w:val="000000"/>
                <w:sz w:val="24"/>
                <w:highlight w:val="white"/>
              </w:rPr>
              <w:t xml:space="preserve">≥3000：1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显示屏其他参数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其它参数应符合SJ/T11292的相关规定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最高速率应不低于1000Mbps，应支持10Mbps、100Mbps、1000Mbps速率自适应</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支持无线网络通信技术协议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≥20MHz</w:t>
            </w:r>
            <w:r/>
          </w:p>
        </w:tc>
      </w:tr>
      <w:tr>
        <w:trPr>
          <w:trHeight w:val="1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内存扩展接口(板载内存不涉及)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存储扩展接口(板载存储不涉及)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供应商给出主板支持存储扩展接口类型，如UFS3.0、SATA3.0、SAS3.0、M.2等类型接口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主板USB瞬间过流保护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支持有瞬间过流保护功能</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主板防静电保护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支持防静电保护功能，主板直流供电电压大于设计值拉偏±6%</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I/O接口功能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显卡外接显示接口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显卡至少支持VGA、HDMI、DVI、DP、Type-C中1种显示接口，并与显示器接口相匹配</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显示器应与显卡外接显示接口匹配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显示器应提供显示器支架，根据采购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人需求支持屏幕旋转、升降等</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显示器参数调节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a)提供OSD选单按钮用于调节色彩、模式等；b)支持色温、亮度、对比度调节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摄像头物理隐私保护开关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传声器降噪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支持降噪功能</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键盘背光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通过SATA固态存储/PCIe固态存储/UFS固态存储/SATA硬磁盘等存储部件提供存储功能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内置控制器固态存储加密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固态存储通过内置控制器硬件支持加密，不依赖处理器，保障数据安全性，但不得影响存储性能。</w:t>
              <w:br/>
              <w:t xml:space="preserve">a)支持加密功能，且加密功能开启不影响SSD读写性能；</w:t>
              <w:br/>
              <w:t xml:space="preserve">b)支持固件加密、安全启动和安全升级；</w:t>
              <w:br/>
              <w:t xml:space="preserve">c)支持数据的安全擦除</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支持网络连接、网络开启/关闭功能；</w:t>
            </w:r>
            <w:r/>
          </w:p>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支持访问网络和数据交换功能</w:t>
            </w:r>
            <w:r/>
          </w:p>
        </w:tc>
      </w:tr>
      <w:tr>
        <w:trPr>
          <w:trHeight w:val="1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支持双频段</w:t>
            </w:r>
            <w:r/>
          </w:p>
        </w:tc>
      </w:tr>
      <w:tr>
        <w:trPr>
          <w:trHeight w:val="1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支持网络设备物理开关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支持数据传输能力，并提供数据流量和异常日志记录功能</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蓝牙协议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支持RJ45接口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若配备无线网卡，产品应符合GB15629.11所有部分</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网络设备拆装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网络设备支持物理拆装，包括无线网卡和蓝牙模块等</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支持3.5mm孔径3段式或4段式接口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至少支持VGA、HDMI、DVI、DP、Type-C中2种显示接口</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HDMI、DP、Type-C显示接口要求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若提供HDMI或DP或Type-C作为显示接口，应支持音频和视频同步输出</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a)支持串行接口，可实现GB/T6107的功能；</w:t>
              <w:br/>
              <w:t xml:space="preserve">b)支持并行接口，可实现GB/T18235.1的功能</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支持SD、TF等存储卡接口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电源线适配能力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电源适配器电线组件应符合GB/T15934的要求，电源≥500W</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中文信息处理要求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符合GB18030的相关规定</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操作系统备份及还原功能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云部署和教室管理软件，备份及还原功能需满足：</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2为方便学校进行硬件资产统计，支持平台收集所有终端硬件配置信息，包含但不限于终端名称、主板型号、CPU型号、内存容量、最近运行时间、合计运行时间、硬件变更和记录信息等。（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3为方便学校掌握终端硬件运行情况，支持平台收集所有终端的运行状态信息，包含但不限于终端名称、CPU温度、开机时间、硬盘信息等。（提供此功能界面截图证明）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4为方便学校对教学软件运行情况的统计，支持平台收集所有终端的软件信息，包含但不限于程序名称、运行次数、运行时长、版本、程序大小等。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5支持大数据展示：可展示包括但不限于资产统计、设备详情、开关机对比、日志、系统使用情况等信息。（提供此功能界面截图证明）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6为避免因终端过保而引起的售后问题，确保用户充分了解终端当前的在保状态，提供终端设备的在保服务状态提醒功能，可在到期或即将到期前向用户提醒（</w:t>
            </w:r>
            <w:r>
              <w:rPr>
                <w:rFonts w:ascii="SimSun" w:hAnsi="SimSun" w:eastAsia="SimSun" w:cs="SimSun"/>
                <w:b/>
                <w:i/>
                <w:color w:val="000000"/>
                <w:sz w:val="24"/>
                <w:highlight w:val="none"/>
                <w:u w:val="single"/>
              </w:rPr>
              <w:t xml:space="preserve">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7为避免网络端口被占用而引起的教学环境不可用的问题，云桌面管理平台支持对服务器使用的网络端口进行检测，并通过检测结果帮助管理员快速分析和解决问题。（提供此功能界面截图证明）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8管理员可通过AI助手快速定位功能页面，或查阅附带的图文及视频教程，以辅助日常设备操作。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9内置人工智能通识课模块支持结构化课程与备课资料管理：提供按知识模块分类的体系化 AI 通识课程内容。支持教师在线预览及下载标准教案（PDF）与教学课件（PPT），实现备课资源的数字化管理与复用。</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内置人工智能通识课模块支持多媒体拓展资源聚合。为教师提供课堂导入素材及学生课后探究资源，解决教学内容滞后性问题。</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内置人工智能通识课模块支持轻量化 AI 能力体验平台：内置文生文、文生图等主流 AI 模型的 Web 端交互入口，支持教师在无代码环境下进行现场演示。（供应商投标时提供以上功能要求的截图）</w:t>
            </w:r>
            <w:r>
              <w:rPr>
                <w:highlight w:val="none"/>
              </w:rPr>
            </w:r>
            <w:r/>
          </w:p>
        </w:tc>
      </w:tr>
      <w:tr>
        <w:trPr>
          <w:trHeight w:val="1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固件备份还原能力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支持备份及还原固件的功能</w:t>
            </w:r>
            <w:r>
              <w:rPr>
                <w:highlight w:val="none"/>
              </w:rPr>
            </w:r>
            <w:r/>
          </w:p>
        </w:tc>
      </w:tr>
      <w:tr>
        <w:trPr>
          <w:trHeight w:val="3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支持通过网络、闪存盘等方式对操作系统、驱动进行升级</w:t>
            </w:r>
            <w:r/>
          </w:p>
        </w:tc>
      </w:tr>
      <w:tr>
        <w:trPr>
          <w:trHeight w:val="31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支持通过网络、闪存盘等方式对固件进行升级</w:t>
            </w:r>
            <w:r/>
          </w:p>
        </w:tc>
      </w:tr>
      <w:tr>
        <w:trPr>
          <w:trHeight w:val="19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BIOS支持关闭通讯接口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支持BIOS关闭以太网及USB接口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固件查看信息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支持查看固件版本、内存信息、主板信息、处理器信息和系统时间信息等功能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固件设置启动顺序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支持设置启动顺序功能，并按照设置的启动顺序启动</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固件设置口令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支持设置口令、修改口令、验证口令功能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固件设置网络引导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支持网络引导启动和关闭功能</w:t>
            </w:r>
            <w:r/>
          </w:p>
        </w:tc>
      </w:tr>
      <w:tr>
        <w:trPr>
          <w:trHeight w:val="3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指纹识别功能符合GB/T37742的相关规定</w:t>
            </w:r>
            <w:r/>
          </w:p>
        </w:tc>
      </w:tr>
      <w:tr>
        <w:trPr>
          <w:trHeight w:val="24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人脸识别功能符合GB/T37036.3的相关规定</w:t>
            </w:r>
            <w:r/>
          </w:p>
        </w:tc>
      </w:tr>
      <w:tr>
        <w:trPr>
          <w:trHeight w:val="36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指静脉识别功能符合GB/T33135的相关规定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NPU/GPU等AI加速模块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支持NPU/GPU等AI加速模块</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视频编解码加速模块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支持视频编解码加速模块</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支持影像处理加速模块</w:t>
            </w:r>
            <w:r/>
          </w:p>
        </w:tc>
      </w:tr>
      <w:tr>
        <w:trPr>
          <w:trHeight w:val="51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TBW≥80TB（条件：240GB硬盘容量）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通电时间≥5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显示屏屏幕失效点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符合GB/T9813.2的要求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键盘鼠标线材寿命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键盘鼠标所用线材经±60°弯折不低于3000次，功能、外观完好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电磁兼容性要求的抗扰度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符合GB/T9254.2的规定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环境条件要求的气候环境适应性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环境条件要求的振动适应性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环境条件要求的冲击适应性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环境条件要求的碰撞适应性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环境条件要求的运输包装件跌落适应性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9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MTBF测试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MTBF(m1)≥100万小时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支持流式软件、版式软件、浏览器、邮件采购人端、解压软件、多媒体、图形图像处理等常用软件</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兼容3个及以上厂商的数据库产品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兼容3个及以上厂商中间件产品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兼容3个及以上厂商云计算及大数据平台</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标志、包装、运输和贮存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符合GB/T9813.1和商品包装政府采购需求标准的相关规定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配置检查工具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自带管理功能，具有a)查看设备信息，全局看板 , 可视化的模块展现b)设备运行看板，直观了解当前PC 设备运行的状态c)SSD硬盘健康度检测，展示状态分为正常和异常两档，异常时提醒用户硬盘可能存在问题，建议进行排查或者联系客服热线d)BIOS管理设置，根据工作要求变更BIOS设置时，在Windows系统中操作即可e)软件应用（文件保险箱、数据粉碎、系统升级、BitLocker等）f)关键设置导入导出，快速导出该设备上的策略文件并导入到其他设备</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numPr>
                <w:ilvl w:val="0"/>
                <w:numId w:val="2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供应商提供电话、电子邮件、远程连接等多种形式服务；</w:t>
              <w:br/>
              <w:t xml:space="preserve">b)供应商提供同城4h、异地 12h 技术响应服务，2 个工作日解决问题，对于未能解决的问题和故障应提供可行的升级方案，并提供周转设备或更换设备；</w:t>
              <w:br/>
              <w:t xml:space="preserve">c)建立全国技术服务体系和服务团体，符合专业服务体系标准要求，提供原厂中文服务；</w:t>
              <w:br/>
              <w:t xml:space="preserve">d)服务周期内提供产品的维修、换件和升级服务</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a)设备停产后应继续提供质量保障服务（含备品备件），服务终止时间与最后一批设备交付时间间隔不低于6年；</w:t>
              <w:br/>
              <w:t xml:space="preserve">b)产品停止服务时间应提前1年告知；</w:t>
              <w:br/>
              <w:t xml:space="preserve">c)应明确产品发布日期</w:t>
            </w:r>
            <w:r/>
          </w:p>
        </w:tc>
      </w:tr>
      <w:tr>
        <w:trPr>
          <w:trHeight w:val="22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预装操作系统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预装符合桌面操作系统政府采购需求标准的正版操作系统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供应商提供培训材料、产品手册、培训视频等培训相关内容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典型问题解决手册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供应商提供典型问题解决说明文档或视频</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厂家升级软件与扩容服务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供应商提供上门升级部件/软件与扩容的增值服务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整机质量服务要求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免费服务周期（含换件和维修）应不小于3年（供应商承诺提供并加盖公章）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合格证书要求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供应商提供产品合格证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开箱组装/使用指导要求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供应商提供开箱组装/使用指导</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供应商提供驱动光盘或下载方式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兼容适配软件下载服务要求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供应商提供兼容适配软件下载渠道</w:t>
              <w:br/>
              <w:t xml:space="preserve">（光盘、网站）</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供应商提供跨架构平台的应用兼容工具，支持一种或者一种以上不同架构平台的应用</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产品部件保障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供应商保障产品主要部件，提供6年的备件服务能力（自购买之日起），或提供可兼容原设备的升级换代产品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抗干扰性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当产品部件出现供应风险时，供应商应通知采购人并提供风险应对方案确保产品的服务保障</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供应能力证明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供应商提供供应链稳定承诺书，确保产品的部件在产品服务周期内稳定供货</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CPU和操作系统等关键部件应当符合安全可靠测评要求（无要求）</w:t>
            </w:r>
            <w:r/>
          </w:p>
        </w:tc>
      </w:tr>
      <w:tr>
        <w:trPr>
          <w:trHeight w:val="3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密码算法实现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CPU芯片应符合GM/T0008的相关规定，或芯片密码模块应符合GB/T37092或GM/T0028的相关规定（无要求）</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USB端口管控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支持USB端口管控</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安全物理锁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支持安全物理锁</w:t>
            </w:r>
            <w:r/>
          </w:p>
        </w:tc>
      </w:tr>
      <w:tr>
        <w:trPr>
          <w:trHeight w:val="6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信息安全基本要求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numPr>
                <w:ilvl w:val="0"/>
                <w:numId w:val="2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产品应符合GB/T39276的5.2的规定；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b)生产厂商应建立漏洞跟踪表，保证产品版本涉及到的漏洞(如驱动程序等)可查看；</w:t>
              <w:br/>
              <w:t xml:space="preserve">c)产品不得包含已知的恶意代码或漏洞，不存在未声明的指令、功能、接口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固件安全启动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支持固件安全启动功能，固件启动过程中只有通过启动校验才能正常启动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限用物质的限量要求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符合GB/T26572中规定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分包号4：</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同时在中国政府采购网节能产品清单栏目、全国认证认可信息公共服务平台查询核验；证书状态须为有效，查询信息与投标产品型号、制造商等关键信息保持完全一致（报价时须提供所报产品由国家确定的认证机构出具的、处于有效期之内的节能产品认证证书复印件或扫描件及财政部节能清单官网检索截图，检索结果清晰展示所投产品完整型号归入台式计算机</w:t>
      </w:r>
      <w:r>
        <w:rPr>
          <w:rFonts w:ascii="SimSun" w:hAnsi="SimSun" w:eastAsia="SimSun" w:cs="SimSun"/>
          <w:i/>
          <w:color w:val="000000"/>
          <w:sz w:val="24"/>
          <w:highlight w:val="none"/>
          <w:u w:val="single"/>
        </w:rPr>
        <w:t xml:space="preserve">等强制品类。仅持有厂商自愿节能认证、产品未进入强制清单台式计算机等类目、证书品类与标的不符、产品的完整型号以及证书编号无法单独检索的，无法双平台核验或信息不一致的，且如产品持有合法、真实、有效的节能认证证书，但因认证机构报送数据延迟、平台展示字段差异等客观情形，导致平台暂未查询到完整信息的，投标人可在投标文件中提交书面情况说明，同时附具完整有效的节能认证证书扫描件，一并附具发证认证机构出具的相关说明材料。全国认证认可信息公共服务平台、中国政府采购网节能栏目仅作为官方辅助核验渠道。评标委员会以完整有效的节能认</w:t>
      </w:r>
      <w:r>
        <w:rPr>
          <w:rFonts w:ascii="SimSun" w:hAnsi="SimSun" w:eastAsia="SimSun" w:cs="SimSun"/>
          <w:i/>
          <w:color w:val="000000"/>
          <w:sz w:val="24"/>
          <w:highlight w:val="none"/>
          <w:u w:val="single"/>
        </w:rPr>
        <w:t xml:space="preserve">证证书原件扫描件为核心判定依据，综合评判所提供材料是否有效。）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注：中标后采购人可依据招标文件、投标文件、合同约定开展实物核验，并对提交佐证材料与实物的真实性、一致性进行核验。若核验发现实物、佐证材料与投标文件响应参数不一致、存在虚假响应情形的，采购人有权依据政府采购相关法律法规以及合同约定作验收不合格处理，可追究中标供应商违约责任，包括但不限于拒绝支付合同款项、解除合同，并按政府采购相关规定上报处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none"/>
        </w:rPr>
        <w:t xml:space="preserve"> </w:t>
      </w:r>
      <w:r>
        <w:rPr>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4"/>
        <w:gridCol w:w="605"/>
        <w:gridCol w:w="757"/>
        <w:gridCol w:w="1215"/>
        <w:gridCol w:w="3897"/>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二级指标1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指标要求</w:t>
            </w:r>
            <w:r/>
          </w:p>
        </w:tc>
      </w:tr>
      <w:tr>
        <w:trPr>
          <w:trHeight w:val="1535"/>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CPU信息</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Intel物理核心数≥10个；主频≥2.5GHz；最高睿频≥4.6GHz；线程数≥16个线程；缓存≥20MB；热设计功耗≤65W；制作工艺≤10nm；内存最高速率 DDR4 3200MT/s</w:t>
            </w:r>
            <w:r/>
          </w:p>
        </w:tc>
      </w:tr>
      <w:tr>
        <w:trPr>
          <w:trHeight w:val="78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内存配置容量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≥8GB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支持DDR4 2666/3200 及以上内存类型</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内存条配置数量（板载内存不涉及）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主板集成模块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760及以上芯片组、集成资源扩展模块、计算处理模块、音频扩展模块等，主板的互联拓扑可通过处理器或交换电路实现</w:t>
            </w:r>
            <w:r/>
          </w:p>
        </w:tc>
      </w:tr>
      <w:tr>
        <w:trPr>
          <w:trHeight w:val="97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主板支持的CPU和内存情况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支持第13代/14代酷睿处理器（LGA 1700接口），支持DDR4(3200)或DDR5(5600)内存</w:t>
            </w:r>
            <w:r/>
          </w:p>
        </w:tc>
      </w:tr>
      <w:tr>
        <w:trPr>
          <w:trHeight w:val="9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主板内置PCIe插槽数量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≥2个PCIE槽位，其中至少包含1个1* PCIe x16 Gen5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特殊孔位及接口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a）预留满足 USB3.0 数据传输规范的接口，工作电压5V，最大过电流应不小于 3A；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预留多功能导入装置板卡安装孔位，采用内置方式与主机一体化集成，容量不小于145mm×125mm×16.5mm（长×宽×高）</w:t>
            </w:r>
            <w:r/>
          </w:p>
        </w:tc>
      </w:tr>
      <w:tr>
        <w:trPr>
          <w:trHeight w:val="122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主板其他内置接口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≥3个SATA3.0硬盘扩展槽位、USB 接口≥11个USB接口（其中至少8个USB 3.2 G1接口、1个TYPE-C G2接口)，≥3个M.2接口（其中一个为无线网卡扩展口）</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单内存插槽最大可支持容量（板载内存不涉及）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≥32GB</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内存插槽满配时提供的最高内存总容量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≥64GB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≥512G SSD M.2 2280 PCIe NVMe</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≥0TB</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机械硬盘转速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支持SATA3.0及以上或SAS3.0及以上接口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2.5英寸或3.5英寸等</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M.2 2280 Key-M(Nvme)</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采用插卡或板载等形态，可选用符合M.2或2.5寸SATA或mSATA等标准的插卡形态</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存储设备扩展盘位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存储设备其他参数要求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a)固态盘应符合SJ/T11654相关规定；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b)机械硬盘准备时间应不大于30s；侧面固定螺丝孔数量可为4孔或6孔；工作状态环境温度应满足5℃~55℃；其它参数应符合GB/T12628相关规定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集成显卡</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独立显卡显存位宽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显示屏屏占比</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r>
      <w:tr>
        <w:trPr>
          <w:trHeight w:val="15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显示屏分辨率</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≥1920x1080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显示屏像素密度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▲≥92像素/英寸</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显示屏可视角度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▲水平≥178°</w:t>
            </w:r>
            <w:r/>
          </w:p>
        </w:tc>
      </w:tr>
      <w:tr>
        <w:trPr>
          <w:trHeight w:val="52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显示屏尺寸</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≥23.8英寸</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显示屏屏幕比例</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 </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显示器外观颜色</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黑色系</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显示屏防蓝光</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支持防蓝光模式，蓝光加权辐射亮度比应≤0.0012W/(·cd·sr)（瓦每坎特拉每球面度）</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显示屏低频闪</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显示屏应支持低频闪≤-35dB</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显示屏防炫目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显示屏镜面反射率≤10%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≥0个</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键盘按键数目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101键/104键等</w:t>
            </w:r>
            <w:r/>
          </w:p>
        </w:tc>
      </w:tr>
      <w:tr>
        <w:trPr>
          <w:trHeight w:val="5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摄像头像素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4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扬声器频率范围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扬声器总谐波失真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扬声器最大声压级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键盘键程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2.3mm~4.0mm</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键盘按键压力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按键压力应在0.54N±0.14N</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有线键盘连接线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黑色商务色系</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键盘外观结构、连接方式、主要功能、安全、电磁兼容性、可靠性应符合GB/T14081的相关规定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有线或无线</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有线鼠标连接线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鼠标DPI分辨率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黑色商务色系</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其它参数应符合GB/T26245的相关规定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内置光驱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支持扩展内置光驱</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无线网卡及天线数量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单无线网卡天线数量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机箱应提供不少于 11 个 USB 接 口（含 8 个 USB 3.2 及以上接口，1个TYPE-C G2接口）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USB母座接口要求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机箱前面板额外预留2个专用USB母座接口孔位和1个通用A型USB母座接口孔位，采用横向排列中心间距应不小于27mm</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≥5（至少包含前置1个耳机和1个麦克风插孔）</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整机外观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a)产品表面不应有凹痕、划伤、裂缝、变形和污染等。表面涂层均匀，不应起泡、龟裂、脱落和磨损，金属零部件无锈蚀及其它机械损伤；</w:t>
              <w:br/>
              <w:t xml:space="preserve">b)产品表面说明功能的文字、符号、标志，应清晰、端正、牢固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状态指示灯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前置网络状态指示灯</w:t>
            </w:r>
            <w:r/>
          </w:p>
        </w:tc>
      </w:tr>
      <w:tr>
        <w:trPr>
          <w:trHeight w:val="70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整机结构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a)机箱应符合GB/T4208、GB/T26246的相关规定；</w:t>
              <w:br/>
              <w:t xml:space="preserve">b)产品内部结构应符合通用部件的安装需求；</w:t>
              <w:br/>
              <w:t xml:space="preserve">c)所有输入输出接口应符合相关国家或行业标准；</w:t>
              <w:br/>
              <w:t xml:space="preserve">d)产品零部件应紧固无松动，可插拔部件应可靠连接，开关、按钮和其它控制部件应灵活可靠，布局应方便使用；</w:t>
              <w:br/>
              <w:t xml:space="preserve">e)所有I/O连接器及需插接线缆的部位应预留采购人操作空间，方便插拔解锁与插拔线缆；</w:t>
              <w:br/>
              <w:t xml:space="preserve">f)可插拔板卡插槽部位应预留安装、拆卸或更换板卡空间；</w:t>
              <w:br/>
              <w:t xml:space="preserve">g)拆装可能接触到的金属剪口或金属尖角部位应做防划伤处理，以保证安全；</w:t>
              <w:br/>
              <w:t xml:space="preserve">h)整机内部走线应规整，固线结构和位置</w:t>
            </w:r>
            <w:r>
              <w:rPr>
                <w:rFonts w:ascii="SimSun" w:hAnsi="SimSun" w:eastAsia="SimSun" w:cs="SimSun"/>
                <w:b/>
                <w:i/>
                <w:color w:val="000000"/>
                <w:sz w:val="24"/>
                <w:u w:val="single"/>
              </w:rPr>
              <w:t xml:space="preserve">要合理可靠并做防割线处理，需便于理线和插拔操作，走线应不影响系统各主要部件组装和拆卸；</w:t>
              <w:br/>
              <w:t xml:space="preserve">i)如需通过孔走线，过线孔应做防割线处理；</w:t>
              <w:br/>
              <w:t xml:space="preserve">j)各插头位置和插拔方向应合理，应做到插拔无障碍设计，具备防呆设计，有效避免误操作；</w:t>
              <w:br/>
              <w:t xml:space="preserve">k)各主要部件拆装无障碍，使用常规工具拆装，无特殊拆装工具需求；</w:t>
              <w:br/>
              <w:t xml:space="preserve">l)各主要部件拆装步骤要少，各自拆装需避免相互干扰；</w:t>
              <w:br/>
              <w:t xml:space="preserve">m)对于整机或零部件外表面为高亮面的，应粘贴保护膜，保护膜需粘贴牢固，运输、组装等过程不易脱落，撕下无残留；</w:t>
              <w:br/>
              <w:t xml:space="preserve">n)其它要求应符合GB/T9813.1的相关规定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机箱防护要求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机箱应符合GB/T4208中IP20防护要求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整机噪音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产品工作在空闲状态下，产品的声功率级应不超过1.21Bel</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整机散热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在环境温度25℃及处理器满载情况下，产品表面温度应符合如下要求：a)出风口在机箱后面板情况下，出风口温度不高于55℃；</w:t>
              <w:br/>
              <w:t xml:space="preserve">b)可触及面温度不高于45℃；</w:t>
              <w:br/>
              <w:t xml:space="preserve">c)显示器表面温度：显示屏不高于38℃，显示屏上下灯带位置温度（如涉及）不高于40℃，出风口温度不高于45℃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整机能效限定值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产品能效限定值应达到GB28380-2012标准中能效等级2级及以上</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塑料/金属等</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灰色/黑色等商务色系</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机箱尺寸容量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机箱体积≥15L</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CPU物理核数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≥10 </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≥2.5GHz </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CPU末级缓存容量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≥20MB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CPU支持的内存最高速率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≥3200MT/s</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内存读写速率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≥2666/3200MT/s</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≥1920x1080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显卡显示芯片核心频率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▲≥300MHz</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显存等效频率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≥1000MT/s</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显卡可支持多屏同时显示数量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显卡应支持2块屏幕同时显示，分辨率应不低于1920×1080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显示屏刷新率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▲≥100Hz</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显示屏位深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≥8位</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≥99%sRGB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显示屏响应时间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≤8ms</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≥250尼特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显示屏亮度一致性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显示屏对比度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显示屏其他参数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其它参数应符合SJ/T11292的相关规定</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最高速率应不低于1000Mbps，应支持10Mbps、100Mbps、1000Mbps速率自适应</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支持无线网络通信技术协议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≥20MHz</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内存扩展接口(板载内存不涉及)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存储扩展接口(板载存储不涉及)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供应商给出主板支持存储扩展接口类型，如UFS3.0、SATA3.0、SAS3.0、M.2等类型接口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主板USB瞬间过流保护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支持有瞬间过流保护功能</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主板防静电保护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支持防静电保护功能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I/O接口功能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显卡外接显示接口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显卡至少支持VGA、HDMI、DVI、DP、Type-C中1种显示接口，并与显示器接口相匹配</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显示器应与显卡外接显示接口匹配</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显示器应提供显示器支架，根据采购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人需求支持屏幕旋转、升降等</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显示器参数调节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a)提供OSD选单按钮用于调节色彩、模式等；b)支持色温、亮度、对比度调节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摄像头物理隐私保护开关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传声器降噪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支持降噪功能</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键盘背光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通过SATA固态存储/PCIe固态存储/UFS固态存储/SATA硬磁盘等存储部件提供存储功能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内置控制器固态存储加密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固态存储通过内置控制器硬件支持加密，不依赖处理器，保障数据安全性，但不得影响存储性能。</w:t>
              <w:br/>
              <w:t xml:space="preserve">a)支持加密功能，且加密功能开启不影响SSD读写性能；</w:t>
              <w:br/>
              <w:t xml:space="preserve">b)支持固件加密、安全启动和安全升级；</w:t>
              <w:br/>
              <w:t xml:space="preserve">c)支持数据的安全擦除</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a)支持网络连接、网络开启/关闭功能；b)支持访问网络和数据交换功能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支持双频段</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支持网络设备物理开关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支持数据传输能力，并提供数据流量和异常日志记录功能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蓝牙协议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支持RJ45接口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若配备无线网卡，产品应符合GB15629.11所有部分</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网络设备拆装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网络设备支持物理拆装，包括无线网卡和蓝牙模块等</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支持3.5mm孔径3段式或4段式接口</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至少支持VGA、HDMI、DP中2种显示接口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HDMI、DP、Type-C显示接口要求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若提供HDMI或DP作为显示接口，应支持音频和视频同步输出</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a)支持串行接口，可实现GB/T6107的功能；</w:t>
              <w:br/>
              <w:t xml:space="preserve">b)支持并行接口，可实现GB/T18235.1的功能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支持SD、TF等存储卡接口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电源线适配能力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电源适配器电线组件应符合GB/T15934的要求，电源≥500W</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中文信息处理要求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符合GB18030的相关规定</w:t>
            </w:r>
            <w:r/>
          </w:p>
        </w:tc>
      </w:tr>
      <w:tr>
        <w:trPr>
          <w:trHeight w:val="23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操作系统备份及还原功能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部署和教室管理软件，备份及还原功能需满足：</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2为方便学校进行硬件资产统计，支持平台收集所有终端硬件配置信息，包含但不限于终端名称、主板型号、CPU型号、内存容量、最近运行时间、合计运行时间、硬件变更和记录信息等。（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3为方便学校掌握终端硬件运行情况，支持平台收集所有终端的运行状态信息，包含但不限于终端名称、CPU温度、开机时间、硬盘信息等。（提供此功能界面截图证明）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4为方便学校对教学软件运行情况的统计，支持平台收集所有终端的软件信息，包含但不限于程序名称、运行次数、运行时长、版本、程序大小等。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5支持大数据展示：可展示包括但不限于资产统计、设备详情、开关机对比、日志、系统使用情况等信息。（提供此功能界面截图证明）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6为避免因终端过保而引起的售后问题，确保用户充分了解终端当前的在保状态，提供终端设备的在保服务状态提醒功能，可在到期或即将到期前向用户提醒（</w:t>
            </w:r>
            <w:r>
              <w:rPr>
                <w:rFonts w:ascii="SimSun" w:hAnsi="SimSun" w:eastAsia="SimSun" w:cs="SimSun"/>
                <w:b/>
                <w:i/>
                <w:color w:val="000000"/>
                <w:sz w:val="24"/>
                <w:highlight w:val="none"/>
                <w:u w:val="single"/>
              </w:rPr>
              <w:t xml:space="preserve">提供此功能界面截图证明</w:t>
            </w:r>
            <w:r>
              <w:rPr>
                <w:rFonts w:ascii="SimSun" w:hAnsi="SimSun" w:eastAsia="SimSun" w:cs="SimSun"/>
                <w:b/>
                <w:i/>
                <w:color w:val="000000"/>
                <w:sz w:val="24"/>
                <w:highlight w:val="none"/>
                <w:u w:val="single"/>
              </w:rPr>
              <w:t xml:space="preserve">）</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7为避免网络端口被占用而引起的教学环境不可用的问题，云桌面管理平台支持对服务器使用的网络端口进行检测，并通过检测结果帮助管理员快速分析和解决问题。（提供此功能界面截图证明）</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8管理员可通过AI助手快速定位功能页面，或查阅附带的图文及视频教程，以辅助日常设备操作。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9内置人工智能通识课模块支持结构化课程与备课资料管理：提供按知识模块分类的体系化 AI 通识课程内容。支持教师在线预览及下载标准教案（PDF）与教学课件（PPT），实现备课资源的数字化管理与复用。</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内置人工智能通识课模块支持多媒体拓展资源聚合。为教师提供课堂导入素材及学生课后探究资源，解决教学内容滞后性问题。</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内置人工智能通识课模块支持轻量化 AI 能力体验平台：内置文生文、文生图等主流 AI 模型的 Web 端交互入口，支持教师在无代码环境下进行现场演示。（供应商投标时提供以上功能要求的截图）</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固件备份还原能力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支持备份及还原固件的功能</w:t>
            </w:r>
            <w:r>
              <w:rPr>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支持通过网络、闪存盘等方式对操作系统、驱动进行升级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支持通过网络、闪存盘等方式对固件进行升级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BIOS支持关闭通讯接口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支持BIOS关闭以太网及USB接口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固件查看信息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支持查看固件版本、内存信息、主板信息、处理器信息和系统时间信息等功能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固件设置启动顺序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支持设置启动顺序功能，并按照设置的启动顺序启动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固件设置口令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支持设置口令、修改口令、验证口令功能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固件设置网络引导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支持网络引导启动和关闭功能</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指纹识别功能符合GB/T37742的相关规定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人脸识别功能符合GB/T37036.3的相关规定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指静脉识别功能符合GB/T33135的相关规定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NPU/GPU等AI加速模块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支持NPU/GPU等AI加速模块</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视频编解码加速模块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支持视频编解码加速模块</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支持影像处理加速模块</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TBW≥80TB（条件：240GB硬盘容量）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通电时间≥5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显示屏屏幕失效点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符合GB/T9813.2的要求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键盘鼠标线材寿命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键盘鼠标所用线材经±60°弯折不低于3000次，功能、外观完好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电磁兼容性要求的抗扰度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符合GB/T9254.2的规定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环境条件要求的气候环境适应性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环境条件要求的振动适应性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环境条件要求的冲击适应性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环境条件要求的碰撞适应性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环境条件要求的运输包装件跌落适应性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MTBF测试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MTBF(m1)≥100万小时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支持流式软件、版式软件、浏览器、邮件采购人端、解压软件、多媒体、图形图像处理等常用软件</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兼容3个及以上厂商的数据库产品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兼容3个及以上厂商中间件产品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兼容3个及以上厂商云计算及大数据平台</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标志、包装、运输和贮存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符合GB/T9813.1和商品包装政府采购需求标准的相关规定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配置检查工具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提供配置检查工具:a)硬件主要参数检测，优化加速，b)系统垃圾清理，c)病毒查杀，d)原厂驱动更新，e)网络测速、网络诊断，f)自动识别品牌型号，自动识别序列号，自动识别保修开始至截止信息(投标文件中提供a-f项功能截图及该软件的软著登记证书扫描件)</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a)供应商提供电话、电子邮件、远程连接等多种形式服务；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b)供应商提供同城4h、异地12h技术响应服务，2个工作日解决问题，对于未能解决的问题和故障应提供可行的升级方案，并提供周转设备或更换设备；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c)建立全国技术服务体系和服务团体，符合专业服务体系标准要求，提供原厂中文服务；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d)服务周期内提供产品的维修、换件和升级服务</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a)设备停产后应继续提供质量保障服务（含备品备件），服务终止时间与最后一批设备交付时间间隔不低于6年；</w:t>
              <w:br/>
              <w:t xml:space="preserve">b)产品停止服务时间应提前1年告知；</w:t>
              <w:br/>
              <w:t xml:space="preserve">c)应明确产品发布日期</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预装操作系统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预装符合桌面操作系统政府采购需求标准的正版操作系统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供应商提供培训材料、产品手册、培训视频等培训相关内容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典型问题解决手册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供应商提供典型问题解决说明文档或视频</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厂家升级软件与扩容服务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供应商提供上门升级部件/软件与扩容的增值服务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整机质量服务要求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免费服务周期（含换件和维修）应不小于3年（包含键盘、鼠标）（供应商承诺中标后提供并加盖公章）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合格证书要求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供应商提供产品合格证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开箱组装/使用指导要求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供应商提供开箱组装/使用指导</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供应商提供驱动光盘或下载方式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兼容适配软件下载服务要求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供应商提供兼容适配软件下载渠道</w:t>
              <w:br/>
              <w:t xml:space="preserve">（光盘、网站）</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供应商提供跨架构平台的应用兼容工具，支持一种或者一种以上不同架构平台的应用</w:t>
            </w:r>
            <w:r/>
          </w:p>
        </w:tc>
      </w:tr>
      <w:tr>
        <w:trPr>
          <w:trHeight w:val="7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供应链合规性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产品部件保障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供应商保障产品主要部件，提供6年的备件服务能力（自购买之日起），或提供可兼容原设备的升级换代产品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抗干扰性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当产品部件出现供应风险时，供应商应通知采购人并提供风险应对方案确保产品的服务保障</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供应能力证明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供应商提供供应链稳定承诺书，确保产品的部件在产品服务周期内稳定供货</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关键部件安全要求</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无要求</w:t>
            </w:r>
            <w:r>
              <w:rPr>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密码算法实现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CPU芯片应符合GM/T0008的相关规定，或芯片密码模块应符合GB/T37092或GM/T0028的相关规定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USB端口管控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支持USB端口管控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安全物理锁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支持安全物理锁</w:t>
            </w:r>
            <w:r/>
          </w:p>
        </w:tc>
      </w:tr>
      <w:tr>
        <w:trPr>
          <w:trHeight w:val="6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信息安全基本要求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a)产品应符合GB/T39276的5.2的规定；</w:t>
              <w:br/>
              <w:t xml:space="preserve">b)生产厂商应建立漏洞跟踪表，保证产品版本涉及到的漏洞(如驱动程序等)可查看；</w:t>
              <w:br/>
              <w:t xml:space="preserve">c)产品不得包含已知的恶意代码或漏洞，不存在未声明的指令、功能、接口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固件安全启动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支持固件安全启动功能，固件启动过程中只有通过启动校验才能正常启动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限用物质的限量要求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符合GB/T26572中规定</w:t>
            </w:r>
            <w:r/>
          </w:p>
        </w:tc>
      </w:tr>
    </w:tbl>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分包号5：</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在中国政府采购网节能产品清单栏目或全国认证认可信息公共服务平台查询核验；证书状态须为有效，查询信息与投标产品型号、制造商等关键信息保持完全一致，无法在任一平台核验或信息不一致的，视为不满足本项要求；（报价时须提供所报产品由国家确定的认证机构出具的、处于有效期之内的节能产品认证证书复印件或扫描件及财政部节能清单官网检索</w:t>
      </w:r>
      <w:r>
        <w:rPr>
          <w:rFonts w:ascii="SimSun" w:hAnsi="SimSun" w:eastAsia="SimSun" w:cs="SimSun"/>
          <w:i/>
          <w:color w:val="000000"/>
          <w:sz w:val="24"/>
          <w:highlight w:val="none"/>
          <w:u w:val="single"/>
        </w:rPr>
        <w:t xml:space="preserve">截图，检索结果清晰展示所投产品完整型号归入台式计算机等强制品类。仅持有厂商自愿节能认证、产品未进入强制清单台式计算机等类目、证书品类与标的不符、产品的完整型号以及证书编号无法单独检索的，直接判定未实质性响应招标文件，作无效投标。）</w:t>
      </w:r>
      <w:r>
        <w:rPr>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820"/>
        <w:gridCol w:w="1132"/>
        <w:gridCol w:w="1390"/>
        <w:gridCol w:w="3317"/>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一级指标 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二级指标 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指标要求</w:t>
            </w:r>
            <w:r/>
          </w:p>
        </w:tc>
      </w:tr>
      <w:tr>
        <w:trPr>
          <w:trHeight w:val="208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信息</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≥intel i5 12 代 八核 十二线程，最高睿频 4.4GHz</w:t>
            </w:r>
            <w:r/>
          </w:p>
        </w:tc>
      </w:tr>
      <w:tr>
        <w:trPr>
          <w:trHeight w:val="78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内存配置容量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≥8G DDR4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支持 DDR4 及以上内存类型</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内存条配置数量（板载内存不涉及）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主板集成模块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集成资源扩展模块、计算处理模块、音频扩展模块等</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主板支持的 CPU 和内存情况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Intel 12 代及以上 CPU；支持 DDR4 系列内存扩展</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主板内置 PCIe 插槽数量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特殊孔位及接口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a）预留满足 USB3.0 数据传输规范的接口，工作电压 5V；b) 预留 IR 红外接收控制模块安装孔位</w:t>
            </w:r>
            <w:r/>
          </w:p>
        </w:tc>
      </w:tr>
      <w:tr>
        <w:trPr>
          <w:trHeight w:val="23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主板其他内置接口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≥1个M.2接口（用于固态硬盘）</w:t>
            </w:r>
            <w:r>
              <w:rPr>
                <w:color w:val="000000" w:themeColor="text1"/>
                <w:highlight w:val="none"/>
              </w:rPr>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单内存插槽最大可支持容量（板载内存不涉及）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≥32GB</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内存插槽满配时提供的最高内存总容量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≥64GB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≥512G SSD</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机械硬盘总容量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机械硬盘转速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PCIe/NVMe/SATA/mSATA 等类型接口协议</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固态存储形态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 M.2 标准插卡形态</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存储设备扩展盘位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存储设备其他参数要求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固态盘应符合 SJ/T11654 相关规定；b) 工作状态环境温度应满足 5℃~55℃</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集成高清显卡</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独立显卡显存位宽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独立显卡显存容量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独立显卡接口协议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显示屏屏占比</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5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显示屏分辨率</w:t>
            </w:r>
            <w:r>
              <w:rPr>
                <w:color w:val="000000" w:themeColor="text1"/>
              </w:rPr>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★分辨率≥1920*1080</w:t>
            </w:r>
            <w:r>
              <w:rPr>
                <w:color w:val="000000" w:themeColor="text1"/>
                <w:highlight w:val="none"/>
              </w:rPr>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显示屏像素密度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显示屏可视角度</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显示屏尺寸</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≥21.45寸非曲面屏幕</w:t>
            </w:r>
            <w:r/>
          </w:p>
        </w:tc>
      </w:tr>
      <w:tr>
        <w:trPr>
          <w:trHeight w:val="666"/>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显示屏屏幕比例</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显示器外观颜色</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显示屏防蓝光</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显示屏低频闪</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显示屏防炫目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个</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26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光驱数量</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键盘按键数目</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键</w:t>
            </w:r>
            <w:r/>
          </w:p>
        </w:tc>
      </w:tr>
      <w:tr>
        <w:trPr>
          <w:trHeight w:val="5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摄像头像素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4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10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扬声器频率范围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扬声器总谐波失真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扬声器最大声压级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键盘键程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2.3mm~4.0mm</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键盘按键压力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按键压力应在 0.54N±0.14N</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有线键盘连接线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米</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防水抗菌键盘；符合 GB/T14081 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鼠标连接方式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有线鼠标连接线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米</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 DPI 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鼠标其他要求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光电抗菌鼠标；符合 GB/T26245 的相关规定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内置光驱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不支持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无线网卡及天线数量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单无线网卡天线数量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 USB2.0 接口，4 个 USB 3.0 接口</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母座接口要求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对音频输入输出接口）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整机外观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产品表面不应有凹痕、划伤、裂缝、变形和污染等</w:t>
              <w:br/>
              <w:t xml:space="preserve">。表面涂层均匀，不应起泡、龟裂、脱落和磨损，金属零部件无锈蚀及其它机械损伤；b) 产品表面说明功能的文字、符号、标志，应清晰、端正、牢固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状态指示灯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前置硬盘工作状态指示灯</w:t>
            </w:r>
            <w:r/>
          </w:p>
        </w:tc>
      </w:tr>
      <w:tr>
        <w:trPr>
          <w:trHeight w:val="70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整机结构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numPr>
                <w:ilvl w:val="0"/>
                <w:numId w:val="2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 GB/T4208、GB/T26246 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b)后盖独立开盖设计，内存易拆易升级；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所有输入输出接口应符合相关国家或行业标准；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d)机箱尺寸不大于 1.6L，支持背挂显示器；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e)后置电源开关延长模块；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f)后置 ClearCMOS 孔，支持一键快速恢复 CMOS</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机箱防护要求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机箱应符合 GB/T4208 中 IP20 防护要求</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整机噪音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产品工作在空闲状态下，产品的声功率级应不超过 1.21Bel</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整机散热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 25℃及处理器满载情况下，产品表面温度应符合如下要求：a) 出风口在机箱后面板情况下，出风口温度不高于 55℃；b) 可触及面温度不高于 45℃</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整机能效限定值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产品能效限定值应达到 GB28380-2012 标准中能效等级 2 级及以上</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 / 金属</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机身颜色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黑色</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整机基础规格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机箱尺寸容量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★≤1.6L</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物理核数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主频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最高睿频≥4.4GHz</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末级缓存容量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≥12MB</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支持的内存最高速率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≥3200MT/s</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内存读写速率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≥3200MT/s</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1920x1080 及 4K 分辨率输出</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显卡显示芯片核心频率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显存等效频率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显卡可支持多屏同时显示数量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1 块屏幕同时显示，分辨率不低于 1920×1080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显示屏刷新率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显示屏位深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显示屏色准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显示屏响应时间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显示屏亮度一致性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显示屏对比度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显示屏其他参数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有线网卡速率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最高速率应不低于 1000Mbps，应支持 10Mbps、100Mbps、1000Mbps 速率自适应</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支持无线网络通信技术协议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内存扩展接口 (板载内存不涉及)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≥2个</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存储扩展接口 (板载存储不涉及)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M.2/mSATA 多种存储方式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 USB 瞬间过流保护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支持有瞬间过流保护功能</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主板防静电保护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支持防静电保护功能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I/O 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提供基于标准 USB 接口外设连接功能、基于音频输入输出接口的音频扩展功能、基于 HDMI 接口外接显示器扩展功能、基于 COM 串口的工业设备连接功能、基于存储接口对产品进行增容功能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显卡外接显示接口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HDMI 显示接口，并与显示器接口相匹配</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独立显卡数量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显示器参数调节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摄像头物理隐私保护开关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传声器降噪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键盘背光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 PCIe 固态存储 / SATA 固态存储等存储部件提供存储功能</w:t>
            </w:r>
            <w:r/>
          </w:p>
        </w:tc>
      </w:tr>
      <w:tr>
        <w:trPr>
          <w:trHeight w:val="1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内置控制器固态存储加密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a) 支持网络连接、网络开启 / 关闭功能；b) 支持访问网络和数据交换功能</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无线网卡频段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支持数据传输能力，并提供数据流量和异常日志记录功能</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蓝牙协议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有线网卡接口类型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 RJ45 接口</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无线网卡标准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网络设备拆装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支持有线网卡物理拆装</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 3.5mm 孔径 3 段式或 4 段式接口</w:t>
            </w:r>
            <w:r>
              <w:rPr>
                <w:color w:val="000000" w:themeColor="text1"/>
                <w:highlight w:val="none"/>
              </w:rPr>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 HDMI 显示接口</w:t>
            </w:r>
            <w:r>
              <w:rPr>
                <w:color w:val="000000" w:themeColor="text1"/>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HDMI、DP、Type-C 显示接口要求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HDMI 接口支持音频和视频同步输出</w:t>
            </w:r>
            <w:r>
              <w:rPr>
                <w:color w:val="000000" w:themeColor="text1"/>
                <w:highlight w:val="none"/>
              </w:rPr>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存储卡接口类型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电源线适配能力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电源适配器电线组件应符合 GB/T15934 的要求</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中文信息处理要求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符合 GB18030 的相关规定</w:t>
            </w:r>
            <w:r>
              <w:rPr>
                <w:color w:val="000000" w:themeColor="text1"/>
                <w:highlight w:val="none"/>
              </w:rPr>
            </w:r>
            <w:r/>
          </w:p>
        </w:tc>
      </w:tr>
      <w:tr>
        <w:trPr>
          <w:trHeight w:val="23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管理软件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预装同品牌云部署和教室管理软件，备份及还原功能需满足：</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highlight w:val="none"/>
                <w:u w:val="single"/>
              </w:rPr>
              <w:t xml:space="preserve">1. 支持区域广播方式，教师端可选取一块区域广播给学生机；（投标时提供功能性截图复印件加盖投标供应商公章）</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▲2.支持师生在屏幕广播期间发送弹幕进行双向互动（投标时提供功能性截图复印件加盖投标供应商公章）</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在屏幕广播之后连接上来的终端可直接接收屏幕广播内容，用户终端关闭虚拟桌面仍可同步广播教师机屏幕和视频，不会中断教学；（投标时提供功能性截图复印件加盖投标供应商公章）</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教师机可以连续监看所选学生机屏幕，每屏可监视多个学生；可设置每屏学生机的数量以及学生机屏幕轮循的时间间隔；（投标时提供功能性截图复印件加盖投标供应商公章）</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highlight w:val="none"/>
                <w:u w:val="single"/>
              </w:rPr>
              <w:t xml:space="preserve">5.支持黑屏肃静，教师可对学生执行黑屏肃静操作，能够自定义黑屏肃静的提示信息，支持手动解锁、按时解锁、按时长解锁；（投标时提供功能性截图复印件加盖投标供应商公章）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highlight w:val="none"/>
                <w:u w:val="single"/>
              </w:rPr>
              <w:t xml:space="preserve">支持考试功能，包括试题编辑、下发试卷、成绩统计。可添加单选题、多选题、判断题、填空题、问答题；可设置考试时长，倒计时结束后自动结束考试。阅卷时，单选题、多选题、判断题支持自动评分和统计正确率。（提供加盖投标人公章的功能截图复印件或扫描件）</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可视化大屏展示功能，可最少从正视角、侧视角、俯视角、自动旋转切换查看3D模型大楼显示状态。支持选择对应楼栋的全部实验室后，可直观通过卡片式排列查看该楼栋的实验室情况，同一卡片可显示当前实验室终端在线数、已登录人数、滚动显示的课程名称及教师信息，也可以直接通过切换楼层（例如切换1F、2F）的方式查看当前实验室的情况。支持自定义大屏展示的功能模块，最少支持座位视图、实时状态、终端使用、软件使用、资源访问、报修记录功能模块。可展示软件使用前5的类别、滚动展示的报修记录，以及服务实验室的总数量、总的服务人次、</w:t>
            </w:r>
            <w:r>
              <w:rPr>
                <w:rFonts w:ascii="SimSun" w:hAnsi="SimSun" w:eastAsia="SimSun" w:cs="SimSun"/>
                <w:color w:val="000000" w:themeColor="text1"/>
                <w:sz w:val="24"/>
                <w:highlight w:val="none"/>
              </w:rPr>
              <w:t xml:space="preserve">终端利用率前5名的实验室、风险感知三色折线图。（投标时提供功能性截图复印件加盖投标供应商公章）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highlight w:val="none"/>
                <w:u w:val="single"/>
              </w:rPr>
              <w:t xml:space="preserve">WEB管理平台可对服务器SSD硬盘进行性能测试，可获取SSD硬盘16K随机读数值、顺序写数值;可获取测试评级结果；（投标时提供功能性截图复印件加盖投标供应商公章）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管理平台采用 B/S 架构，无需安装客户端</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终端支持裸机部署模式</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▲单终端、单账号可同时登录多个个人桌面;通过窗口化显示桌面;可并排运行桌面;可拖动缩放桌面；（投标时提供功能性截图复印件加盖投标供应商公章）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★可以使用网页、系统模板登录桌面;通过拖拽或选择文件的方式，从本地系统上传文件至虚拟桌面;可以在虚拟桌面中下载文件至本地系统；（投标时提供功能性截图复印件加盖投标供应商公章）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安全学习考试，教师或管理员可在平台上编辑考试试题，指定需要参加考试的学生在登录上机时会自动弹出试题进行考试，通过之后才可正常使用电脑终端。可根据实际情况设置临时跳过考试的次数；（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▲支持差异拷贝接收端网络环境检测；(提供可检测接收端连接速度的功能界面截图)</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▲创建桌面账户时，同步生成网盘账号;启用网盘后，可通过账号登录网盘;教师在本地同步目录下的文件可以自动同步至云端。（投标时提供功能性截图复印件加盖投标供应商公章）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▲对不同的功能模块和教室范围进行权限角色的划分;可授权管理员能操作的管理平台权限;可授权管理员管理的教室范围。（投标时提供功能性截图复印件加盖投标供应商公章）</w:t>
            </w:r>
            <w:r>
              <w:rPr>
                <w:color w:val="000000" w:themeColor="text1"/>
                <w:highlight w:val="none"/>
              </w:rPr>
            </w:r>
            <w:r/>
          </w:p>
          <w:p>
            <w:pPr>
              <w:numPr>
                <w:ilvl w:val="0"/>
                <w:numId w:val="20"/>
              </w:numP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支持对终端桌面进行督导抽查，可批量对桌面进行监看，支持四屏、九屏、十六屏的方式同时监看，可对任意桌面进行远程协助，远程锁定（学生可通过解锁码自行解锁）、远程重启和发送消息的管理操作，可在督导抽查界面实时显示监看过程中的学生机自主安装软件记录；（投标时提供功能性截图复印件加盖投标供应商公章）</w:t>
            </w:r>
            <w:r>
              <w:rPr>
                <w:color w:val="000000" w:themeColor="text1"/>
                <w:highlight w:val="none"/>
              </w:rPr>
            </w:r>
            <w:r/>
          </w:p>
          <w:p>
            <w:pPr>
              <w:numPr>
                <w:ilvl w:val="0"/>
                <w:numId w:val="20"/>
              </w:numPr>
              <w:spacing w:before="200" w:after="2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管理员可查看学生的预约情况，包括预约学生的姓名、所属院系专业和班级、预约日期和上机时间，以及预约上机的状态（待上机、上机中、已失约、已结束、已取消），管理员可以根据实际上课情况强制取消学生的预约；（投标时提供功能性截图复印件加盖投标供应商公章）</w:t>
            </w:r>
            <w:r>
              <w:rPr>
                <w:color w:val="000000" w:themeColor="text1"/>
                <w:highlight w:val="none"/>
              </w:rPr>
            </w:r>
            <w:r/>
          </w:p>
          <w:p>
            <w:pPr>
              <w:numPr>
                <w:ilvl w:val="0"/>
                <w:numId w:val="20"/>
              </w:numPr>
              <w:spacing w:before="200" w:after="2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▲可统计学生前排就座率、到课率和按时到课率和广播教学时长占比，可以表格形式导出实验教学课堂分析报告，为教务部门评估课程教学质量作决策依据； （投标时提供功能性截图复印件加盖投标供应商公章）</w:t>
            </w:r>
            <w:r>
              <w:rPr>
                <w:color w:val="000000" w:themeColor="text1"/>
                <w:highlight w:val="none"/>
              </w:rPr>
            </w:r>
            <w:r/>
          </w:p>
          <w:p>
            <w:pPr>
              <w:numPr>
                <w:ilvl w:val="0"/>
                <w:numId w:val="20"/>
              </w:numPr>
              <w:spacing w:before="200" w:after="2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▲可按时间段统计实验室占用率，终端利用率，终端能耗，硬件风险、硬件变更、院系专业分布，登录上机时间分布等信息；（投标时提供功能性截图复印件加盖投标供应商公章）</w:t>
            </w:r>
            <w:r>
              <w:rPr>
                <w:color w:val="000000" w:themeColor="text1"/>
                <w:highlight w:val="none"/>
              </w:rPr>
            </w:r>
            <w:r/>
          </w:p>
          <w:p>
            <w:pPr>
              <w:numPr>
                <w:ilvl w:val="0"/>
                <w:numId w:val="20"/>
              </w:numPr>
              <w:spacing w:before="200" w:after="2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▲可将上机违规学生手动方式拉入黑名单，拉入黑名单的学生不能进行登录上机；黑名单可以设置天数自动移除以及手动移除；（投标时提供功能性截图复印件加盖投标供应商公章）</w:t>
            </w:r>
            <w:r>
              <w:rPr>
                <w:color w:val="000000" w:themeColor="text1"/>
                <w:highlight w:val="none"/>
              </w:rPr>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固件备份还原能力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支持备份及还原固件的功能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支持通过网络、闪存盘等方式对操作系统、驱动进行升级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固件升级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支持通过网络、闪存盘等方式对固件进行升级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BIOS 支持关闭通讯接口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BIOS 关闭以太网及 USB 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固件查看信息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支持查看固件版本、内存信息、主板信息、处理器信息和系统时间信息等功能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固件设置启动顺序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支持设置启动顺序功能，并按照设置的启动顺序启动</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固件设置口令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支持设置口令、修改口令、验证口令功能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操作系统及软件功能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固件设置网络引导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支持网络引导启动和关闭功能</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生物识别功能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静脉识别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NPU/GPU 等 AI 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视频编解码加速模块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支持基本视频编解码加速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硬件加速功能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影像处理加速模块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固态存储寿命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TBW≥150TB（条件：512GB 硬盘容量）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机械硬盘寿命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显示设备可靠性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显示屏屏幕失效点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无（显示器单独采购）</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 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鼠标按键寿命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 万次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键盘鼠标线材寿命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键盘鼠标所用线材经 ±60° 弯折不低于 3000 次，功能、外观完好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外设可靠性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风扇寿命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电磁兼容性要求的抗扰度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GB/T9254.2 的规定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环境条件要求的气候环境适应性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环境条件要求的振动适应性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环境条件要求的冲击适应性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环境条件要求的碰撞适应性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运输包装件跌落适应性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中规定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整机可靠性要求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 测试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MTBF (m1)≥3 万小时</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支持流式软件、版式软件、浏览器、邮件客户端、解压软件、多媒体、图形图像处理等常用软件；支持 ArcGIS、QGIS、SPSS、Origin 等专业软件</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个及以上厂商的数据库产品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个及以上厂商中间件产品</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平台软件兼容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3 个及以上厂商云计算及大数据平台</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标志、包装、运输和贮存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GB/T9813.1 和商品包装政府采购需求标准的相关规定</w:t>
            </w:r>
            <w:r/>
          </w:p>
        </w:tc>
      </w:tr>
      <w:tr>
        <w:trPr>
          <w:trHeight w:val="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配置检查工具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供应商提供自检测试工具</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供应商提供电话、电子邮件、远程连接等多种形式服务；b) 供应商提供同城 4h、异地 12h 技术响应服务，2 个工作日解决问题；c) 建立全国技术服务体系和服务团体，提供原厂中文服务；d) 服务周期内提供产品的维修、换件和升级服务</w:t>
            </w:r>
            <w:r/>
          </w:p>
        </w:tc>
      </w:tr>
      <w:tr>
        <w:trPr>
          <w:trHeight w:val="13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设备停产后应继续提供质量保障服务（含备品备件），服务终止时间与最后一批设备交付时间间隔不低于 3 年；b) 产品停止服务时间应提前 1 年告知</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预装操作系统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预装符合桌面操作系统政府采购需求标准的正版 Windows 10/11 64 位操作系统</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供应商提供培训材料、产品手册、培训视频等培训相关内容</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典型问题解决手册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供应商提供典型问题解决说明文档或视频</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厂家升级软件与扩容服务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供应商提供上门升级部件 / 软件与扩容的增值服务</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整机质量服务要求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免费服务周期（含换件和维修）不少于 3 年（供应商承诺提供并加盖公章）</w:t>
            </w:r>
            <w:r/>
          </w:p>
        </w:tc>
      </w:tr>
      <w:tr>
        <w:trPr>
          <w:trHeight w:val="6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合格证书要求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供应商提供产品合格证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开箱组装 / 使用指导要求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供应商提供开箱组装 / 使用指导</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供应商提供驱动光盘或官方网站下载方式</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兼容适配软件下载服务要求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供应商提供兼容适配软件下载渠道（官方网站）</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供应链合规性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产品部件保障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供应商保障产品主要部件，提供 3 年的备件服务能力（自购买之日起），或提供可兼容原设备的升级换代产品</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抗干扰性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当产品部件出现供应风险时，供应商应通知采购人并提供风险应对方案确保产品的服务保障</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供应链质量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供应能力证明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供应商提供供应链稳定承诺书，确保产品的部件在产品服务周期内稳定供货</w:t>
            </w:r>
            <w:r/>
          </w:p>
        </w:tc>
      </w:tr>
      <w:tr>
        <w:trPr>
          <w:trHeight w:val="10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和操作系统等关键部件应当符合安全可靠测评要求</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密码算法实现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芯片应符合 GM/T0008 的相关规定</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USB 端口管控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USB 端口管控</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安全物理锁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支持安全物理锁</w:t>
            </w:r>
            <w:r/>
          </w:p>
        </w:tc>
      </w:tr>
      <w:tr>
        <w:trPr>
          <w:trHeight w:val="6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信息安全基本要求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产品应符合 GB/T39276 的 5.2 的规定；b) 生产厂商应建立漏洞跟踪表，保证产品版本涉及到的漏洞可查看；c) 产品不得包含已知的恶意代码或漏洞，不存在未声明的指令、功能、接口</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固件安全启动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支持固件安全启动功能</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整机安全性要求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限用物质的限量要求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 GB/T26572 中规定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提供所投设备的同时必须提供对于本次招标软硬件的系统安装、集成服务，且相关服务费用包含在总价中。供应商须承担本项目实施过程涉及的全部费用（包括设备、辅材、测试和验收等），项目实施过程必须接受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2.供应商应具备相应的资质并具有同类的项目实施经验。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针对本项目成立专门的实施团队，并积极主动与用户单位进行协调沟通，在规定的时间内，保证质量完成投标所提供设备的规划、安装、调试及投入运行，达成项目建设目标。安装调试期间，采购人有权派技术人员参加，供应商有义务对其提出问题进行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（二）项目巡检要求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提供保修期内主动巡检维护服务,包括但不限于重大节假日进行巡检（如春节、国庆等节假日），并出具巡检报告。巡检范围包含本次招标项目中的所有软硬件设备的运行情况，配置情况，性能指标等，并给出优化建议和合理的解决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1.招标文件、投标文件、厂家货物技术标准说明及有关国家的质量标准规定，均作为验收标准。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3.验收不合格或不符合质量要求，供应商除无条件退货、返工外，还应承担采购人的一切损失。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4.供应商应制订项目验收方案，包括设备进场验收、设备安装验收、设备调试验收、项目最终验收等，验收方案要体现全过程质量控制理念，确保项目高质量完成。</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其他商务要求</w:t>
      </w:r>
      <w:r/>
    </w:p>
    <w:p>
      <w:pPr>
        <w:ind w:left="0" w:right="0" w:firstLine="24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1.硬件服务免费质保期：以最终客户签收单为时间起点，保修期内可享受厂家免费三包服务。中标后，合同签订前需提供生产厂商出具的售后服务承诺函原件，需包含如下条款：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台式机整机（含键盘、鼠标）三年原厂免费质保并上门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（2）数据恢复服务:在质保期内，供应商应提供不少于免费的尝试性故障硬盘(单盘)数据恢复服务，未恢复不计次数。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（3）供应商中标后须以采购人为客户抬头下单，从生产厂家原厂直发至采购人处，否则采购人有权不予验收。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2.供应商承诺在合同期内，向招标方免费提供系统维护、技术支持服务；如系统出现错误和故障，供应商应根据招标方要求给予修正。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3.质保期间供应商需要提供7*24小时技术支持服务。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4.供应商应提供自身及所投货物品牌原厂的响应标准、服务体系、备件体系、故障解决方案、专业技术人员保障等服务方案，服务方案应科学合理、具备针对性，并指定专门的售后服务人员</w:t>
      </w:r>
      <w:r>
        <w:rPr>
          <w:rFonts w:ascii="SimSun" w:hAnsi="SimSun" w:eastAsia="SimSun" w:cs="SimSun"/>
          <w:b/>
          <w:color w:val="000000"/>
          <w:sz w:val="24"/>
        </w:rPr>
        <w:t xml:space="preserve">（应具备相关技术能力）</w:t>
      </w:r>
      <w:r>
        <w:rPr>
          <w:rFonts w:ascii="SimSun" w:hAnsi="SimSun" w:eastAsia="SimSun" w:cs="SimSun"/>
          <w:color w:val="000000"/>
          <w:sz w:val="24"/>
        </w:rPr>
        <w:t xml:space="preserve">，确保供应商中标后提供的各项售后服务能满足招标文件要求。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响应时间服务能力。供应商提供每周7天×24小时电话热线支持和传真服务；若设备出现的故障，在接到报修电话后2小时候内响应，供应商承诺8小时到达现场处理故障。如采购人于当日16：00前成功报修，故障需24小时内解决，24小时内无法解决或需带离我校维修的，原厂需承诺1个自然日修复，如未按时修复，每延长1个自然日延长此机器一个月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建立完善的售后服务体系标准、信息技术服务和信息安全相关的管理体系标准，保障本项目的顺利实施，供应商具有有效期内售后服务体系认证、信息技术服务管理体系认证、信息安全管理体系认证的优先。</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7.原厂工程师提供项目的现场实施部署服务，并针对用户及管理员进行必要的培训服务。</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（二）交货期、交货方式及交货地点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交货期：所有设备必须在接到采购人供货通知后十个工作日内完成交货。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交货方式：供应商在采购人指定地点交货，并完成安装、调试。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交货地点：采购人指定交货地点，由供货商负责办理运输和装卸等，费用由供货商负责，采购人组织验收，验收不合格或不符合质量要求，供应商除无条件退货，返工外，还应承担采购人造成的一切损失。</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合同签订后十个工作日内支付合同总价 30% 款项；全部设备供货、安装、调试完成并通过验收，且乙方提供全额合规发票后十个工作日内，甲方一次性支付剩余全部合同价款。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26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台式计算机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台式计算机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台式计算机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台式计算机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台式计算机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9"/>
        <w:gridCol w:w="1477"/>
        <w:gridCol w:w="50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3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（一）采购包号1、2、3评标方法与评标标准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投标报价得分=(评标基准价／投标报价)×30。分值保留小数点后2位。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设备性能（30分）：</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要求逐条响应，完全响应即满足招标文件第四章技术要求的各项技术指标、参数要求的得30分，参数要求中有带“★”标志负偏离的每项扣5分（共5项），其他标注“▲”项的指标每有一项负偏离扣1分（共5项）。（投标人需按照本采购文件具体功能技术要求等，在“技术参数响应及偏离表”中如实详细填列所投产品的</w:t>
      </w:r>
      <w:r>
        <w:rPr>
          <w:rFonts w:ascii="SimSun" w:hAnsi="SimSun" w:eastAsia="SimSun" w:cs="SimSun"/>
          <w:color w:val="000000"/>
          <w:sz w:val="24"/>
          <w:highlight w:val="none"/>
        </w:rPr>
        <w:t xml:space="preserve">参数，并按采购文件要求“★”和“▲”项提供产品彩页或功能截图等证明材料并</w:t>
      </w:r>
      <w:r>
        <w:rPr>
          <w:rFonts w:ascii="SimSun" w:hAnsi="SimSun" w:eastAsia="SimSun" w:cs="SimSun"/>
          <w:color w:val="000000"/>
          <w:sz w:val="24"/>
          <w:highlight w:val="none"/>
        </w:rPr>
        <w:t xml:space="preserve">在偏离表中标明所在页码</w:t>
      </w:r>
      <w:r>
        <w:rPr>
          <w:rFonts w:ascii="SimSun" w:hAnsi="SimSun" w:eastAsia="SimSun" w:cs="SimSun"/>
          <w:color w:val="000000"/>
          <w:sz w:val="24"/>
          <w:highlight w:val="none"/>
        </w:rPr>
        <w:t xml:space="preserve">）</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3、投标人综合评价（15分）：</w:t>
      </w:r>
      <w:r>
        <w:rPr>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（1）企业业绩（1分）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近三年（自开标之日起往前倒推，以合同签订日期为准）起至今承担过同类业务的，每个得0.5分，最高得1分（投标文件中提供合同、验收合格证明资料的原件扫描件并加盖公章，不提供或提供不符合要求的均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（2）投标人综合评价（6分）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软件承诺由主机厂商统一提供售后技术支撑，并明确写进原厂售后服务标准中，同时提供正版软件著作权证书，提供说明材料的得3分，最高得3分（须提供承诺函以及软件著作权证书扫描件并加盖投标人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投标供应商针对本项目所配备的售后工程师具备其所投产品的计算机厂商颁发的技术工程师资质认证证书，每提供一名得1分， 最高得3分。（须出具投标人为其缴纳的近六个月中任意一个月的社保证明并加盖投标人公章、供应商在投标过程中需提供官方APP或官网的证书查询界面截图并盖公章）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注：提供以上证明材料扫描件并加盖投标人公章或签电子公章上传至投标文件中，不提供不得分。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（3）质保服务（8分）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化服务：投标人提供本地化服务承诺函，须提供常驻售后服务体系机构或派驻本地服务人员到使用单位（以投标人自拟的《项目人员配置清单》为准），得3分。注：提供投标人近半年来任意一个月份（不含投标当月)为该服务人员缴纳社保的证明复印件，不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投标人承诺质保期内提供原厂快速维修响应服务, 报修后2小时内响应，一个日历天内完成修复，若没有完成修复，则为客户提供备用机的得1分。如能免费赠送与延迟日数相等的月度延保服务的再得2分。本项满分3分。（须提供加盖投标人公章的服务承诺。不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投标人承诺质保期内，本次项目交付的所有计算机，如果硬盘出现故障，均享有提供1次原厂数据恢复服务，若未恢复则不计次数的得3分。（须提供加盖投标人公章的服务承诺。不提供不得分。）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注：提供以上证明材料扫描件并加盖投标人公章上传至投标文件中，不提供不得分。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4、技术方案（24分）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（1）团队及进度控制方案（3分）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投标文件未符合"项目实施要求"中全部条款要求的，视为不符合招标文件，本项得0分。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投标文件符合"项目实施要求"中全部条款要求的，视为符合招标文件，本项得2分。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实施要求"中"成立专门实施团队""制定详细可行的项目实施方案""项目计划与进度及质量风险管控"三项要求的响应内容全部优于招标文件要求的（前提是投标文件对"项目实施要求"中除"成立专门实施团队""制定详细可行的项目实施方案""项目计划与进度及质量风险管控"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（2）产品安装、调试、运行及技术支撑（3分）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投标文件未符合"项目实施要求"中全部条款要求的，视为不符合招标文件，本项得0分。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投标文件符合"项目实施要求"中全部条款要求的，视为符合招标文件，本项得2分。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（3）现场管理质量保证措施（3分）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投标文件未符合"项目实施要求"中全部条款要求的，视为不符合招标文件，本项得0分。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投标文件符合"项目实施要求"中全部条款要求的，视为符合招标文件，本项得2分。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实施要求"中"项目质量管控""接受采购人监督""与用户充分沟通协调"三项要求的响应内容全部优于招标文件要求的（前提是投标文件对"项目实施要求"中除"项目质量管控""接受采购人监督""与用户充分沟通协调"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（4）履约及验收方案（3分）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评委根据投标文件对招标文件第四章"采购需求"中"项目验收要求"的响应情况进行评审：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投标文件未符合"项目验收要求"中全部条款要求的，视为不符合招标文件，本项得0分。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投标文件符合"项目验收要求"中全部条款要求的，视为符合招标文件，本项得2分。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验收要求"中"设备进场验收""设备安装验收""设备调试验收"三项要求的响应内容全部优于招标文件要求的（前提是投标文件对"项目验收要求"中除"设备进场验收""设备安装验收""设备调试验收"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（5）安全文明作业及环境保护措施（3分）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投标文件未符合"项目实施要求"中全部条款要求的，视为不符合招标文件，本项得0分。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投标文件符合"项目实施要求"中全部条款要求的，视为符合招标文件，本项得2分。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实施要求"中"项目实施过程接受监督""保证质量完成项目实施目标""风险管控与总体协调"三项要求的响应内容全部优于招标文件要求的（前提是投标文件对"项目实施要求"中除"项目实施过程接受监督""保证质量完成项目实施目标""风险管控与总体协调"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（6）售后跟踪方案及服务响应时限（3分）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投标文件未符合"售后技术服务要求"中全部条款要求的，视为不符合招标文件，本项得0分。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投标文件符合"售后技术服务要求"中全部条款要求的，视为符合招标文件，本项得2分。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（7）售后技术服务及服务体系（3分）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投标文件未符合"售后技术服务要求"中全部条款要求的，视为不符合招标文件，本项得0分。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投标文件符合"售后技术服务要求"中全部条款要求的，视为符合招标文件，本项得2分。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售后技术服务要求"中"售后服务承诺函及原厂质保服务""售后服务体系""专业技术人员保障"三项要求的响应内容全部优于招标文件要求的（前提是投标文件对"售后技术服务要求"中除"售后服务承诺函及原厂质保服务""售后服务体系""专业技术人员保障"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（8）培训方案（3分）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评委根据投标文件对招标文件第四章"采购需求"中"项目培训要求"的响应情况进行评审：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投标文件未符合"项目培训要求"中全部条款要求的，视为不符合招标文件，本项得0分。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投标文件符合"项目培训要求"中全部条款要求的，视为符合招标文件，本项得2分。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4"/>
        </w:rPr>
        <w:t xml:space="preserve">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5、节能环保（1分）：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采购包号4评分标准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1.价格（30分）：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投标报价得分=(评标基准价／投标报价)×价格权值×30。分值保留小数点后2位。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设备性能（30分）：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要求逐条响应，完全响应即满足招标文件第四章技术要求的各项技术指标、参数要求的得30分，参数要求中有带“★”标志负偏离的每项扣5分（共5项），其他标注“▲”项的指标每有一项负偏离扣1分（共5项）。（投标人需按照本采购文件具体功能技术要求等，在“技术参数响应及偏离表”中如实详细填列所投产品的参数，并按采购文件要求“★”和“▲”项提供产品彩页或功能截图等证明材料并在偏离表中标明所在页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3、投标人综合评价（15分）：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（1）企业业绩（1分）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近三年（自开标之日起往前倒推，以合同签订日期为准）起至今承担过同类业务的，每个得0.5分，最高得1分（投标文件中提供合同、验收合格证明资料的原件扫描件并加盖公章，不提供或提供不符合要求的均不得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（2）投标人综合评价（4分）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供应商所投软件承诺由主机厂商统一提供售后技术支撑，并明确写进原厂售后服务标准中，提供说明材料的得2分（投标文件中提供供应商承诺函加盖投标人公章）。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针对本项目所配备的售后工程师具备其所投产品的计算机厂商颁发的技术工程师资质认证证书，每提供一名得1分，最高得2分。（须出具投标人为其缴纳的近六个月中任意一个月的社保证明并加盖投标人公章、中标供应商投标时需提供官方APP或官网的证书查询界面截图并加改公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注：提供以上证明材料扫描件并加盖投标人公章或签电子公章上传至投标文件中，不提供不得分。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（3）质保服务（10分）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投标人承诺质保期内提供原厂快速维修响应服务, 报修后2小时内响应，一个日历天内完成修复，若没有完成修复，则为客户提供备用机的得1分。如能免费赠送与延迟日数相等的月度延保服务的再得2分。中标品牌须写进原厂服务标准中。本项满分3分。（须提供加盖投标人公章的服务承诺函扫描件。未提供不得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质保期内，本次项目交付的所有计算机，如果硬盘出现故障，均享有提供1次原厂数据恢复服务，若未恢复则不计次数的得2分。中标品牌须写进原厂服务标准中。（须提供加盖投标人公章的服务承诺函扫描件。未提供不得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投标人承诺所投品牌须在本地设立官方授权维修站，并提供官方维修站门头照片，近3个月三张以上本地用户维修记录发票，官方授权证书提供上述资料得5分.（须提供扫描件并加盖投标人公章。未提供不得分）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注：提供以上证明材料扫描件并加盖投标人公章或签电子公章上传至投标文件中，不提供不得分。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4、技术方案（24分）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（1）团队及进度控制方案（3分）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成立专门实施团队""制定详细可行的项目实施方案""项目计划与进度及质量风险管控"三项要求的响应内容全部优于招标文件要求的（前提是投标文件对"项目实施要求"中除"成立专门实施团队""制定详细可行的项目实施方案""项目计划与进度及质量风险管控"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（2）产品安装、调试、运行及技术支撑（3分）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（3）现场管理质量保证措施（3分）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项目质量管控""接受采购人监督""与用户充分沟通协调"三项要求的响应内容全部优于招标文件要求的（前提是投标文件对"项目实施要求"中除"项目质量管控""接受采购人监督""与用户充分沟通协调"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（4）履约及验收方案（3分）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评委根据投标文件对招标文件第四章"采购需求"中"项目验收要求"的响应情况进行评审：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1）投标文件未符合"项目验收要求"中全部条款要求的，视为不符合招标文件，本项得0分。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2）投标文件符合"项目验收要求"中全部条款要求的，视为符合招标文件，本项得2分。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验收要求"中"设备进场验收""设备安装验收""设备调试验收"三项要求的响应内容全部优于招标文件要求的（前提是投标文件对"项目验收要求"中除"设备进场验收""设备安装验收""设备调试验收"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（5）安全文明作业及环境保护措施（3分）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项目实施过程接受监督""保证质量完成项目实施目标""风险管控与总体协调"三项要求的响应内容全部优于招标文件要求的（前提是投标文件对"项目实施要求"中除"项目实施过程接受监督""保证质量完成项目实施目标""风险管控与总体协调"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（6）售后跟踪方案及服务响应时限（3分）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（7）售后技术服务及服务体系（3分）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售后服务承诺函及原厂质保服务""售后服务体系""专业技术人员保障"三项要求的响应内容全部优于招标文件要求的（前提是投标文件对"售后技术服务要求"中除"售后服务承诺函及原厂质保服务""售后服务体系""专业技术人员保障"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（8）培训方案（3分）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评委根据投标文件对招标文件第四章"采购需求"中"项目培训要求"的响应情况进行评审：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1）投标文件未符合"项目培训要求"中全部条款要求的，视为不符合招标文件，本项得0分。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2）投标文件符合"项目培训要求"中全部条款要求的，视为符合招标文件，本项得2分。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5、节能环保（1分）：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采购包号5评分标准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1.价格（30分）：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投标报价得分=(评标基准价／投标报价)×价格权值×30。分值保留小数点后2位。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设备性能（44分）：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采购需求中有带“★”标志负偏离的每项扣4分（共4项），其他标注“▲”项的指标每有一项负偏离扣2分（共14项）。（投标人需按照本采购文件具体功能技术要求等，在“技术参数响应及偏离表”中如实详细填列所投产品的参数，并按采购文件要求“★”和“▲”项提供产品彩页或功能截图等证明材料并在偏离表中标明所在页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3.项目实施及验收（16分）：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（1）产品安装、调试、运行及技术支撑（4分）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1）投标文件未符合"项目实施要求"中全部条款要求的，视为不符合招标文件，本项得0分。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4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1）投标文件未符合"项目实施要求"中全部条款要求的，视为不符合招标文件，本项得0分。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2）投标文件符合"项目实施要求"中全部条款要求的，视为符合招标文件，本项得1分。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4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（3）培训方案（4分） 评委根据投标文件对招标文件第四章"采购需求"中"项目培训要求"的响应情况进行评审：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1）投标文件未符合"项目培训要求"中全部条款要求的，视为不符合招标文件，本项得0分。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2）投标文件符合"项目培训要求"中全部条款要求的，视为符合招标文件，本项得2分。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4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（4）售后服务方案（4分）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4.投标人履约能力（9分）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近三年（自开标之日起往前倒推，以合同签订日期为准）起至今承担过同类业务的，每个得1分，最高得2分（投标文件中提供合同、验收合格证明资料的原件扫描件并加盖公章或签电子公章，不提供或提供不符合要求的均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软件必须为正版授权软件非OEM产品，得1分（须提供软件著作权证书扫描件并加盖投标人公章）；供应商承诺所供主机预装软件由主机厂商统一提供售后技术支撑，并明确写进原厂售后服务标准中，提供说明材料的得1分（投标文件中提供供应商承诺函）本项最高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（3）投标人承诺质保期内提供原厂快速维修响应服务, 报修后2小时内响应，一个日历天内完成修复，若没有完成修复，则为客户提供备用机的得1分；如能免费赠送与延迟日数相等的月度延保服务的得2分。中标品牌须写进原厂服务标准中。（须提供加盖投标人公章的服务承诺函扫描件。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（4）投标人提供有效期内的质量管理体系标准、环境管理体系认证、职业健康安全管理体，每提供 1个证书得1分，满分3分。（提供有效证书复印件及全国认证认可查询截图，未提供相应证明及不满足不得分。）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5.节能环保（1分）：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投标产品属于财政部、生态环境部公布的“环境标志产品品目清单”范围内的，投标人提供国家确定的认证机构出具的、处于有效期内的该投标产品环境标志产品认证证书复印件的，得1分。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前一年内至少一个月依法缴纳税收及缴纳社会保障资金的证明材料。投标人依法享受缓缴、免缴税收、社会保障资金的提供证明材料。）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中提供相关材料，否则作无效投标处理；6条如招标文件要求必须提供相关材料而未提供的，作无效投标处理。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3.关于符合本国产品标准的声明函（格式见附件13）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4"/>
        <w:gridCol w:w="628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
        <w:gridCol w:w="630"/>
        <w:gridCol w:w="536"/>
        <w:gridCol w:w="664"/>
        <w:gridCol w:w="689"/>
        <w:gridCol w:w="765"/>
        <w:gridCol w:w="1218"/>
        <w:gridCol w:w="655"/>
        <w:gridCol w:w="706"/>
        <w:gridCol w:w="68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rPr>
                <w:rFonts w:ascii="SimSun" w:hAnsi="SimSun" w:eastAsia="SimSun" w:cs="SimSun"/>
                <w:color w:val="000000"/>
                <w:sz w:val="24"/>
                <w:u w:val="single"/>
              </w:rPr>
              <w:t xml:space="preserve">                             </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yellow"/>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致：江苏省政府采购中心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项目（项目名称）的招标文件，正式授权下述签字人_____(姓名)代表我方_______（投标人的名称），全权处理本次项目投标的有关事宜。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420" w:right="0" w:firstLine="48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中小微企业声明函（货物类项目）（采购包号：**）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附件10残疾人福利性单位声明函（货物类项目）（采购包号：**）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日期：___年____月____日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自愿组成联合体，参加江苏省政府采购中心组织的采购编号为JSZC-320000-SCZX-G20**-****，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6"/>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日期：___年____月____日</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附件12实质性要求响应及偏离表（采购包号：**）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3223"/>
        <w:gridCol w:w="2934"/>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rPr>
        <w:t xml:space="preserve">___年____月____日</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24"/>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pStyle w:val="942"/>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9"/>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11">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14">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1"/>
      <w:numFmt w:val="lowerLetter"/>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lowerLetter"/>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3"/>
  </w:num>
  <w:num w:numId="2">
    <w:abstractNumId w:val="6"/>
  </w:num>
  <w:num w:numId="3">
    <w:abstractNumId w:val="10"/>
  </w:num>
  <w:num w:numId="4">
    <w:abstractNumId w:val="16"/>
  </w:num>
  <w:num w:numId="5">
    <w:abstractNumId w:val="1"/>
  </w:num>
  <w:num w:numId="6">
    <w:abstractNumId w:val="5"/>
  </w:num>
  <w:num w:numId="7">
    <w:abstractNumId w:val="3"/>
  </w:num>
  <w:num w:numId="8">
    <w:abstractNumId w:val="2"/>
  </w:num>
  <w:num w:numId="9">
    <w:abstractNumId w:val="0"/>
  </w:num>
  <w:num w:numId="10">
    <w:abstractNumId w:val="4"/>
  </w:num>
  <w:num w:numId="11">
    <w:abstractNumId w:val="12"/>
  </w:num>
  <w:num w:numId="12">
    <w:abstractNumId w:val="8"/>
  </w:num>
  <w:num w:numId="13">
    <w:abstractNumId w:val="15"/>
  </w:num>
  <w:num w:numId="14">
    <w:abstractNumId w:val="14"/>
  </w:num>
  <w:num w:numId="15">
    <w:abstractNumId w:val="11"/>
  </w:num>
  <w:num w:numId="16">
    <w:abstractNumId w:val="9"/>
  </w:num>
  <w:num w:numId="17">
    <w:abstractNumId w:val="7"/>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1018"/>
    <w:link w:val="942"/>
    <w:qFormat/>
    <w:pPr>
      <w:jc w:val="both"/>
      <w:widowControl w:val="off"/>
    </w:pPr>
    <w:rPr>
      <w:sz w:val="21"/>
      <w:szCs w:val="22"/>
      <w:lang w:val="en-US" w:eastAsia="zh-CN" w:bidi="ar-SA"/>
    </w:rPr>
  </w:style>
  <w:style w:type="paragraph" w:styleId="943">
    <w:name w:val="标题 1"/>
    <w:basedOn w:val="942"/>
    <w:next w:val="942"/>
    <w:link w:val="976"/>
    <w:qFormat/>
    <w:pPr>
      <w:jc w:val="center"/>
      <w:keepNext/>
      <w:outlineLvl w:val="0"/>
    </w:pPr>
    <w:rPr>
      <w:rFonts w:ascii="楷体_GB2312" w:hAnsi="Times New Roman" w:eastAsia="楷体_GB2312" w:cs="Times New Roman"/>
      <w:sz w:val="28"/>
      <w:szCs w:val="28"/>
    </w:rPr>
  </w:style>
  <w:style w:type="paragraph" w:styleId="944">
    <w:name w:val="标题 2"/>
    <w:basedOn w:val="942"/>
    <w:next w:val="1005"/>
    <w:link w:val="977"/>
    <w:qFormat/>
    <w:pPr>
      <w:jc w:val="center"/>
      <w:keepLines/>
      <w:keepNext/>
      <w:spacing w:before="260" w:after="260" w:line="416" w:lineRule="auto"/>
      <w:outlineLvl w:val="1"/>
    </w:pPr>
    <w:rPr>
      <w:rFonts w:ascii="Arial" w:hAnsi="Arial" w:eastAsia="幼圆" w:cs="Arial"/>
      <w:b/>
      <w:bCs/>
      <w:sz w:val="44"/>
      <w:szCs w:val="44"/>
    </w:rPr>
  </w:style>
  <w:style w:type="paragraph" w:styleId="945">
    <w:name w:val="标题 3"/>
    <w:basedOn w:val="942"/>
    <w:next w:val="1005"/>
    <w:link w:val="9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1005"/>
    <w:link w:val="974"/>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1005"/>
    <w:link w:val="968"/>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7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7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8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批注引用"/>
    <w:next w:val="954"/>
    <w:link w:val="942"/>
    <w:semiHidden/>
    <w:rPr>
      <w:sz w:val="21"/>
      <w:szCs w:val="21"/>
    </w:rPr>
  </w:style>
  <w:style w:type="character" w:styleId="955">
    <w:name w:val="已访问的超链接"/>
    <w:next w:val="955"/>
    <w:link w:val="942"/>
    <w:rPr>
      <w:color w:val="800080"/>
      <w:u w:val="single"/>
    </w:rPr>
  </w:style>
  <w:style w:type="character" w:styleId="956">
    <w:name w:val="强调"/>
    <w:basedOn w:val="952"/>
    <w:next w:val="956"/>
    <w:link w:val="942"/>
    <w:qFormat/>
    <w:rPr>
      <w:i/>
    </w:rPr>
  </w:style>
  <w:style w:type="character" w:styleId="957">
    <w:name w:val="要点"/>
    <w:basedOn w:val="952"/>
    <w:next w:val="957"/>
    <w:link w:val="942"/>
    <w:qFormat/>
    <w:rPr>
      <w:b/>
      <w:bCs/>
    </w:rPr>
  </w:style>
  <w:style w:type="character" w:styleId="958">
    <w:name w:val="超链接"/>
    <w:next w:val="958"/>
    <w:link w:val="942"/>
    <w:rPr>
      <w:color w:val="0000ff"/>
      <w:u w:val="single"/>
    </w:rPr>
  </w:style>
  <w:style w:type="character" w:styleId="959">
    <w:name w:val="页码"/>
    <w:next w:val="959"/>
    <w:link w:val="942"/>
  </w:style>
  <w:style w:type="character" w:styleId="960">
    <w:name w:val="标题 3 Char"/>
    <w:next w:val="960"/>
    <w:link w:val="945"/>
    <w:rPr>
      <w:rFonts w:ascii="Times New Roman" w:hAnsi="Times New Roman" w:eastAsia="宋体" w:cs="Times New Roman"/>
      <w:b/>
      <w:bCs/>
      <w:sz w:val="32"/>
      <w:szCs w:val="32"/>
    </w:rPr>
  </w:style>
  <w:style w:type="character" w:styleId="961">
    <w:name w:val="正文文本缩进 2 Char"/>
    <w:next w:val="961"/>
    <w:link w:val="1016"/>
    <w:rPr>
      <w:rFonts w:ascii="Arial" w:hAnsi="Arial" w:eastAsia="仿宋_GB2312" w:cs="Arial"/>
      <w:sz w:val="32"/>
      <w:szCs w:val="32"/>
    </w:rPr>
  </w:style>
  <w:style w:type="character" w:styleId="962">
    <w:name w:val="二级目录 Char"/>
    <w:next w:val="962"/>
    <w:link w:val="1024"/>
    <w:rPr>
      <w:b/>
      <w:sz w:val="30"/>
      <w:szCs w:val="28"/>
    </w:rPr>
  </w:style>
  <w:style w:type="character" w:styleId="963">
    <w:name w:val="正文文本 Char"/>
    <w:next w:val="963"/>
    <w:link w:val="1020"/>
    <w:rPr>
      <w:rFonts w:ascii="楷体_GB2312" w:hAnsi="Arial" w:eastAsia="楷体_GB2312" w:cs="Times New Roman"/>
      <w:sz w:val="28"/>
      <w:szCs w:val="28"/>
    </w:rPr>
  </w:style>
  <w:style w:type="character" w:styleId="964">
    <w:name w:val="标题 6 Char"/>
    <w:next w:val="964"/>
    <w:link w:val="948"/>
    <w:rPr>
      <w:rFonts w:ascii="Arial" w:hAnsi="Arial" w:eastAsia="黑体" w:cs="Times New Roman"/>
      <w:b/>
      <w:bCs/>
      <w:sz w:val="24"/>
      <w:szCs w:val="24"/>
    </w:rPr>
  </w:style>
  <w:style w:type="character" w:styleId="965">
    <w:name w:val="日期 Char"/>
    <w:next w:val="965"/>
    <w:link w:val="996"/>
    <w:rPr>
      <w:rFonts w:ascii="Times New Roman" w:hAnsi="Times New Roman" w:eastAsia="宋体" w:cs="Times New Roman"/>
      <w:sz w:val="24"/>
      <w:szCs w:val="24"/>
    </w:rPr>
  </w:style>
  <w:style w:type="character" w:styleId="966">
    <w:name w:val="页脚 Char"/>
    <w:next w:val="966"/>
    <w:link w:val="1012"/>
    <w:uiPriority w:val="99"/>
    <w:rPr>
      <w:rFonts w:ascii="Times New Roman" w:hAnsi="Times New Roman" w:eastAsia="宋体" w:cs="Times New Roman"/>
      <w:sz w:val="18"/>
      <w:szCs w:val="18"/>
    </w:rPr>
  </w:style>
  <w:style w:type="character" w:styleId="967">
    <w:name w:val="文档结构图 Char"/>
    <w:next w:val="967"/>
    <w:link w:val="1021"/>
    <w:semiHidden/>
    <w:rPr>
      <w:rFonts w:ascii="Times New Roman" w:hAnsi="Times New Roman" w:eastAsia="宋体" w:cs="Times New Roman"/>
      <w:szCs w:val="21"/>
      <w:shd w:val="clear" w:color="auto" w:fill="000080"/>
    </w:rPr>
  </w:style>
  <w:style w:type="character" w:styleId="968">
    <w:name w:val="标题 5 Char"/>
    <w:next w:val="968"/>
    <w:link w:val="947"/>
    <w:rPr>
      <w:rFonts w:ascii="宋体" w:hAnsi="Times New Roman" w:eastAsia="宋体" w:cs="Times New Roman"/>
      <w:color w:val="000000"/>
      <w:sz w:val="28"/>
      <w:szCs w:val="28"/>
    </w:rPr>
  </w:style>
  <w:style w:type="character" w:styleId="969">
    <w:name w:val="正文文本 3 Char"/>
    <w:next w:val="969"/>
    <w:link w:val="999"/>
    <w:rPr>
      <w:rFonts w:ascii="仿宋_GB2312" w:hAnsi="Arial" w:eastAsia="仿宋_GB2312" w:cs="Times New Roman"/>
      <w:sz w:val="32"/>
      <w:szCs w:val="32"/>
    </w:rPr>
  </w:style>
  <w:style w:type="character" w:styleId="970">
    <w:name w:val="标题 7 Char"/>
    <w:next w:val="970"/>
    <w:link w:val="949"/>
    <w:rPr>
      <w:rFonts w:ascii="Times New Roman" w:hAnsi="Times New Roman" w:eastAsia="宋体" w:cs="Times New Roman"/>
      <w:b/>
      <w:bCs/>
      <w:sz w:val="24"/>
      <w:szCs w:val="24"/>
    </w:rPr>
  </w:style>
  <w:style w:type="character" w:styleId="971">
    <w:name w:val="批注主题 Char"/>
    <w:next w:val="971"/>
    <w:link w:val="994"/>
    <w:semiHidden/>
    <w:rPr>
      <w:rFonts w:ascii="Times New Roman" w:hAnsi="Times New Roman" w:eastAsia="宋体" w:cs="Times New Roman"/>
      <w:b/>
      <w:bCs/>
      <w:szCs w:val="21"/>
    </w:rPr>
  </w:style>
  <w:style w:type="character" w:styleId="972">
    <w:name w:val="正文首行缩进 Char"/>
    <w:next w:val="972"/>
    <w:link w:val="1013"/>
    <w:rPr>
      <w:rFonts w:ascii="仿宋_GB2312" w:hAnsi="Times New Roman" w:eastAsia="仿宋_GB2312" w:cs="Times New Roman"/>
      <w:sz w:val="30"/>
      <w:szCs w:val="30"/>
    </w:rPr>
  </w:style>
  <w:style w:type="character" w:styleId="973">
    <w:name w:val="页眉 Char"/>
    <w:next w:val="973"/>
    <w:link w:val="1011"/>
    <w:rPr>
      <w:rFonts w:ascii="Times New Roman" w:hAnsi="Times New Roman" w:eastAsia="宋体" w:cs="Times New Roman"/>
      <w:sz w:val="18"/>
      <w:szCs w:val="18"/>
    </w:rPr>
  </w:style>
  <w:style w:type="character" w:styleId="974">
    <w:name w:val="标题 4 Char"/>
    <w:next w:val="974"/>
    <w:link w:val="946"/>
    <w:rPr>
      <w:rFonts w:ascii="Arial" w:hAnsi="Arial" w:eastAsia="黑体" w:cs="Arial"/>
      <w:b/>
      <w:bCs/>
      <w:sz w:val="28"/>
      <w:szCs w:val="28"/>
    </w:rPr>
  </w:style>
  <w:style w:type="character" w:styleId="975">
    <w:name w:val="font5 Char"/>
    <w:next w:val="975"/>
    <w:link w:val="942"/>
    <w:rPr>
      <w:rFonts w:ascii="宋体" w:hAnsi="宋体" w:eastAsia="宋体"/>
      <w:sz w:val="28"/>
      <w:szCs w:val="28"/>
      <w:lang w:val="en-US" w:eastAsia="zh-CN" w:bidi="ar-SA"/>
    </w:rPr>
  </w:style>
  <w:style w:type="character" w:styleId="976">
    <w:name w:val="标题 1 Char"/>
    <w:next w:val="976"/>
    <w:link w:val="943"/>
    <w:rPr>
      <w:rFonts w:ascii="楷体_GB2312" w:hAnsi="Times New Roman" w:eastAsia="楷体_GB2312" w:cs="Times New Roman"/>
      <w:sz w:val="28"/>
      <w:szCs w:val="28"/>
    </w:rPr>
  </w:style>
  <w:style w:type="character" w:styleId="977">
    <w:name w:val="标题 2 Char"/>
    <w:next w:val="977"/>
    <w:link w:val="944"/>
    <w:rPr>
      <w:rFonts w:ascii="Arial" w:hAnsi="Arial" w:eastAsia="幼圆" w:cs="Arial"/>
      <w:b/>
      <w:bCs/>
      <w:sz w:val="44"/>
      <w:szCs w:val="44"/>
    </w:rPr>
  </w:style>
  <w:style w:type="character" w:styleId="978">
    <w:name w:val="正文缩进 Char"/>
    <w:next w:val="978"/>
    <w:link w:val="1005"/>
    <w:rPr>
      <w:szCs w:val="21"/>
    </w:rPr>
  </w:style>
  <w:style w:type="character" w:styleId="979">
    <w:name w:val="标题 8 Char"/>
    <w:next w:val="979"/>
    <w:link w:val="950"/>
    <w:rPr>
      <w:rFonts w:ascii="Arial" w:hAnsi="Arial" w:eastAsia="黑体" w:cs="Times New Roman"/>
      <w:sz w:val="24"/>
      <w:szCs w:val="24"/>
    </w:rPr>
  </w:style>
  <w:style w:type="character" w:styleId="980">
    <w:name w:val="标题 9 Char"/>
    <w:next w:val="980"/>
    <w:link w:val="951"/>
    <w:rPr>
      <w:rFonts w:ascii="Arial" w:hAnsi="Arial" w:eastAsia="黑体" w:cs="Times New Roman"/>
      <w:szCs w:val="21"/>
    </w:rPr>
  </w:style>
  <w:style w:type="character" w:styleId="981">
    <w:name w:val="批注文字 Char"/>
    <w:next w:val="981"/>
    <w:link w:val="1008"/>
    <w:uiPriority w:val="99"/>
    <w:semiHidden/>
  </w:style>
  <w:style w:type="character" w:styleId="982">
    <w:name w:val="正文文本缩进 Char"/>
    <w:next w:val="982"/>
    <w:link w:val="993"/>
    <w:uiPriority w:val="99"/>
    <w:semiHidden/>
  </w:style>
  <w:style w:type="character" w:styleId="983">
    <w:name w:val="纯文本 Char"/>
    <w:next w:val="983"/>
    <w:link w:val="1003"/>
    <w:rPr>
      <w:rFonts w:ascii="宋体" w:hAnsi="Courier New" w:eastAsia="宋体" w:cs="Courier New"/>
      <w:szCs w:val="21"/>
    </w:rPr>
  </w:style>
  <w:style w:type="character" w:styleId="984">
    <w:name w:val="批注框文本 Char"/>
    <w:next w:val="984"/>
    <w:link w:val="1015"/>
    <w:semiHidden/>
    <w:rPr>
      <w:rFonts w:ascii="Times New Roman" w:hAnsi="Times New Roman" w:eastAsia="宋体" w:cs="Times New Roman"/>
      <w:sz w:val="18"/>
      <w:szCs w:val="18"/>
    </w:rPr>
  </w:style>
  <w:style w:type="character" w:styleId="985">
    <w:name w:val="正文文本缩进 3 Char"/>
    <w:next w:val="985"/>
    <w:link w:val="1019"/>
    <w:rPr>
      <w:rFonts w:ascii="Arial" w:hAnsi="Arial" w:eastAsia="仿宋_GB2312" w:cs="Arial"/>
      <w:color w:val="ffff00"/>
      <w:sz w:val="32"/>
      <w:szCs w:val="32"/>
    </w:rPr>
  </w:style>
  <w:style w:type="character" w:styleId="986">
    <w:name w:val="正文文本 2 Char"/>
    <w:next w:val="986"/>
    <w:link w:val="1001"/>
    <w:rPr>
      <w:rFonts w:ascii="楷体_GB2312" w:hAnsi="Times New Roman" w:eastAsia="楷体_GB2312" w:cs="Times New Roman"/>
      <w:sz w:val="28"/>
      <w:szCs w:val="28"/>
    </w:rPr>
  </w:style>
  <w:style w:type="character" w:styleId="987">
    <w:name w:val="正文首行缩进 2 Char"/>
    <w:next w:val="987"/>
    <w:link w:val="1009"/>
    <w:rPr>
      <w:rFonts w:ascii="宋体" w:hAnsi="宋体" w:eastAsia="宋体" w:cs="Times New Roman"/>
      <w:szCs w:val="20"/>
    </w:rPr>
  </w:style>
  <w:style w:type="character" w:styleId="988">
    <w:name w:val="列出段落 Char,Bullet List Char,numbered Char,FooterText Char,List Paragraph1 Char,Paragraphe de liste1 Char"/>
    <w:next w:val="988"/>
    <w:link w:val="1026"/>
    <w:rPr>
      <w:rFonts w:ascii="Calibri" w:hAnsi="Calibri"/>
      <w:sz w:val="24"/>
      <w:szCs w:val="24"/>
      <w:lang w:eastAsia="en-US" w:bidi="en-US"/>
    </w:rPr>
  </w:style>
  <w:style w:type="paragraph" w:styleId="989">
    <w:name w:val="列表"/>
    <w:basedOn w:val="942"/>
    <w:next w:val="989"/>
    <w:link w:val="942"/>
    <w:pPr>
      <w:ind w:left="200" w:hanging="200"/>
    </w:pPr>
    <w:rPr>
      <w:rFonts w:ascii="Times New Roman" w:hAnsi="Times New Roman" w:eastAsia="宋体" w:cs="Times New Roman"/>
      <w:szCs w:val="21"/>
    </w:rPr>
  </w:style>
  <w:style w:type="paragraph" w:styleId="990">
    <w:name w:val="普通(网站)"/>
    <w:basedOn w:val="942"/>
    <w:next w:val="990"/>
    <w:link w:val="942"/>
    <w:uiPriority w:val="99"/>
    <w:pPr>
      <w:jc w:val="left"/>
      <w:spacing w:before="100" w:beforeAutospacing="1" w:after="100" w:afterAutospacing="1"/>
      <w:widowControl/>
    </w:pPr>
    <w:rPr>
      <w:rFonts w:ascii="宋体" w:hAnsi="宋体" w:eastAsia="宋体" w:cs="宋体"/>
      <w:sz w:val="24"/>
      <w:szCs w:val="24"/>
    </w:rPr>
  </w:style>
  <w:style w:type="paragraph" w:styleId="991">
    <w:name w:val="目录 2"/>
    <w:basedOn w:val="942"/>
    <w:next w:val="942"/>
    <w:link w:val="942"/>
    <w:semiHidden/>
    <w:pPr>
      <w:ind w:left="210"/>
      <w:jc w:val="left"/>
    </w:pPr>
    <w:rPr>
      <w:rFonts w:ascii="Times New Roman" w:hAnsi="Times New Roman" w:eastAsia="宋体" w:cs="Times New Roman"/>
      <w:smallCaps/>
      <w:szCs w:val="24"/>
    </w:rPr>
  </w:style>
  <w:style w:type="paragraph" w:styleId="992">
    <w:name w:val="列表 2"/>
    <w:basedOn w:val="942"/>
    <w:next w:val="992"/>
    <w:link w:val="942"/>
    <w:pPr>
      <w:ind w:left="100" w:hanging="200"/>
    </w:pPr>
    <w:rPr>
      <w:rFonts w:ascii="Times New Roman" w:hAnsi="Times New Roman" w:eastAsia="宋体" w:cs="Times New Roman"/>
      <w:szCs w:val="21"/>
    </w:rPr>
  </w:style>
  <w:style w:type="paragraph" w:styleId="993">
    <w:name w:val="正文文本缩进"/>
    <w:basedOn w:val="942"/>
    <w:next w:val="993"/>
    <w:link w:val="982"/>
    <w:unhideWhenUsed/>
    <w:pPr>
      <w:ind w:left="420"/>
      <w:spacing w:after="120"/>
    </w:pPr>
  </w:style>
  <w:style w:type="paragraph" w:styleId="994">
    <w:name w:val="批注主题"/>
    <w:basedOn w:val="1008"/>
    <w:next w:val="1008"/>
    <w:link w:val="971"/>
    <w:semiHidden/>
    <w:rPr>
      <w:rFonts w:ascii="Times New Roman" w:hAnsi="Times New Roman" w:eastAsia="宋体" w:cs="Times New Roman"/>
      <w:b/>
      <w:bCs/>
      <w:szCs w:val="21"/>
    </w:rPr>
  </w:style>
  <w:style w:type="paragraph" w:styleId="995">
    <w:name w:val="目录 3"/>
    <w:basedOn w:val="942"/>
    <w:next w:val="942"/>
    <w:link w:val="942"/>
    <w:semiHidden/>
    <w:pPr>
      <w:ind w:left="420"/>
      <w:jc w:val="left"/>
    </w:pPr>
    <w:rPr>
      <w:rFonts w:ascii="Times New Roman" w:hAnsi="Times New Roman" w:eastAsia="宋体" w:cs="Times New Roman"/>
      <w:i/>
      <w:iCs/>
      <w:szCs w:val="24"/>
    </w:rPr>
  </w:style>
  <w:style w:type="paragraph" w:styleId="996">
    <w:name w:val="日期"/>
    <w:basedOn w:val="942"/>
    <w:next w:val="942"/>
    <w:link w:val="965"/>
    <w:rPr>
      <w:rFonts w:ascii="Times New Roman" w:hAnsi="Times New Roman" w:eastAsia="宋体" w:cs="Times New Roman"/>
      <w:sz w:val="24"/>
      <w:szCs w:val="24"/>
    </w:rPr>
  </w:style>
  <w:style w:type="paragraph" w:styleId="997">
    <w:name w:val="列表 3"/>
    <w:basedOn w:val="942"/>
    <w:next w:val="997"/>
    <w:link w:val="942"/>
    <w:pPr>
      <w:ind w:left="100" w:hanging="200"/>
    </w:pPr>
    <w:rPr>
      <w:rFonts w:ascii="Times New Roman" w:hAnsi="Times New Roman" w:eastAsia="宋体" w:cs="Times New Roman"/>
      <w:szCs w:val="21"/>
    </w:rPr>
  </w:style>
  <w:style w:type="paragraph" w:styleId="998">
    <w:name w:val="图表目录"/>
    <w:basedOn w:val="942"/>
    <w:next w:val="942"/>
    <w:link w:val="942"/>
    <w:semiHidden/>
    <w:pPr>
      <w:ind w:left="840" w:hanging="420"/>
    </w:pPr>
    <w:rPr>
      <w:rFonts w:ascii="Times New Roman" w:hAnsi="Times New Roman" w:eastAsia="宋体" w:cs="Times New Roman"/>
      <w:szCs w:val="21"/>
    </w:rPr>
  </w:style>
  <w:style w:type="paragraph" w:styleId="999">
    <w:name w:val="正文文本 3"/>
    <w:basedOn w:val="942"/>
    <w:next w:val="999"/>
    <w:link w:val="969"/>
    <w:rPr>
      <w:rFonts w:ascii="仿宋_GB2312" w:hAnsi="Arial" w:eastAsia="仿宋_GB2312" w:cs="Times New Roman"/>
      <w:sz w:val="32"/>
      <w:szCs w:val="32"/>
    </w:rPr>
  </w:style>
  <w:style w:type="paragraph" w:styleId="1000">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1">
    <w:name w:val="正文文本 2"/>
    <w:basedOn w:val="942"/>
    <w:next w:val="1001"/>
    <w:link w:val="986"/>
    <w:pPr>
      <w:jc w:val="center"/>
      <w:widowControl/>
    </w:pPr>
    <w:rPr>
      <w:rFonts w:ascii="楷体_GB2312" w:hAnsi="Times New Roman" w:eastAsia="楷体_GB2312" w:cs="Times New Roman"/>
      <w:sz w:val="28"/>
      <w:szCs w:val="28"/>
    </w:rPr>
  </w:style>
  <w:style w:type="paragraph" w:styleId="1002">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3">
    <w:name w:val="纯文本"/>
    <w:basedOn w:val="942"/>
    <w:next w:val="1003"/>
    <w:link w:val="983"/>
    <w:qFormat/>
    <w:rPr>
      <w:rFonts w:ascii="宋体" w:hAnsi="Courier New" w:eastAsia="宋体" w:cs="Courier New"/>
      <w:szCs w:val="21"/>
    </w:rPr>
  </w:style>
  <w:style w:type="paragraph" w:styleId="1004">
    <w:name w:val="目录 5"/>
    <w:basedOn w:val="942"/>
    <w:next w:val="942"/>
    <w:link w:val="942"/>
    <w:semiHidden/>
    <w:pPr>
      <w:ind w:left="840"/>
      <w:jc w:val="left"/>
    </w:pPr>
    <w:rPr>
      <w:rFonts w:ascii="Times New Roman" w:hAnsi="Times New Roman" w:eastAsia="宋体" w:cs="Times New Roman"/>
      <w:szCs w:val="21"/>
    </w:rPr>
  </w:style>
  <w:style w:type="paragraph" w:styleId="1005">
    <w:name w:val="正文缩进"/>
    <w:basedOn w:val="942"/>
    <w:next w:val="1005"/>
    <w:link w:val="978"/>
    <w:pPr>
      <w:ind w:firstLine="420"/>
    </w:pPr>
    <w:rPr>
      <w:szCs w:val="21"/>
    </w:rPr>
  </w:style>
  <w:style w:type="paragraph" w:styleId="1006">
    <w:name w:val="目录 4"/>
    <w:basedOn w:val="942"/>
    <w:next w:val="942"/>
    <w:link w:val="942"/>
    <w:semiHidden/>
    <w:pPr>
      <w:ind w:left="630"/>
      <w:jc w:val="left"/>
    </w:pPr>
    <w:rPr>
      <w:rFonts w:ascii="Times New Roman" w:hAnsi="Times New Roman" w:eastAsia="宋体" w:cs="Times New Roman"/>
      <w:szCs w:val="21"/>
    </w:rPr>
  </w:style>
  <w:style w:type="paragraph" w:styleId="1007">
    <w:name w:val="目录 8"/>
    <w:basedOn w:val="942"/>
    <w:next w:val="942"/>
    <w:link w:val="942"/>
    <w:semiHidden/>
    <w:pPr>
      <w:ind w:left="1470"/>
      <w:jc w:val="left"/>
    </w:pPr>
    <w:rPr>
      <w:rFonts w:ascii="Times New Roman" w:hAnsi="Times New Roman" w:eastAsia="宋体" w:cs="Times New Roman"/>
      <w:szCs w:val="21"/>
    </w:rPr>
  </w:style>
  <w:style w:type="paragraph" w:styleId="1008">
    <w:name w:val="批注文字"/>
    <w:basedOn w:val="942"/>
    <w:next w:val="1008"/>
    <w:link w:val="981"/>
    <w:unhideWhenUsed/>
    <w:pPr>
      <w:jc w:val="left"/>
    </w:pPr>
  </w:style>
  <w:style w:type="paragraph" w:styleId="1009">
    <w:name w:val="正文首行缩进 2"/>
    <w:basedOn w:val="993"/>
    <w:next w:val="1009"/>
    <w:link w:val="987"/>
    <w:pPr>
      <w:ind w:left="0" w:firstLine="420"/>
      <w:spacing w:after="0" w:line="360" w:lineRule="auto"/>
    </w:pPr>
    <w:rPr>
      <w:rFonts w:ascii="宋体" w:hAnsi="宋体" w:eastAsia="宋体" w:cs="Times New Roman"/>
      <w:szCs w:val="20"/>
    </w:rPr>
  </w:style>
  <w:style w:type="paragraph" w:styleId="1010">
    <w:name w:val="目录 6"/>
    <w:basedOn w:val="942"/>
    <w:next w:val="942"/>
    <w:link w:val="942"/>
    <w:semiHidden/>
    <w:pPr>
      <w:ind w:left="1050"/>
      <w:jc w:val="left"/>
    </w:pPr>
    <w:rPr>
      <w:rFonts w:ascii="Times New Roman" w:hAnsi="Times New Roman" w:eastAsia="宋体" w:cs="Times New Roman"/>
      <w:szCs w:val="21"/>
    </w:rPr>
  </w:style>
  <w:style w:type="paragraph" w:styleId="1011">
    <w:name w:val="页眉"/>
    <w:basedOn w:val="942"/>
    <w:next w:val="1011"/>
    <w:link w:val="97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2">
    <w:name w:val="页脚"/>
    <w:basedOn w:val="942"/>
    <w:next w:val="1012"/>
    <w:link w:val="966"/>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1013">
    <w:name w:val="正文首行缩进"/>
    <w:basedOn w:val="942"/>
    <w:next w:val="1013"/>
    <w:link w:val="972"/>
    <w:pPr>
      <w:ind w:firstLine="200"/>
      <w:spacing w:line="360" w:lineRule="auto"/>
    </w:pPr>
    <w:rPr>
      <w:rFonts w:ascii="仿宋_GB2312" w:hAnsi="Times New Roman" w:eastAsia="仿宋_GB2312" w:cs="Times New Roman"/>
      <w:sz w:val="30"/>
      <w:szCs w:val="30"/>
    </w:rPr>
  </w:style>
  <w:style w:type="paragraph" w:styleId="1014">
    <w:name w:val="目录 9"/>
    <w:basedOn w:val="942"/>
    <w:next w:val="942"/>
    <w:link w:val="942"/>
    <w:semiHidden/>
    <w:pPr>
      <w:ind w:left="1680"/>
      <w:jc w:val="left"/>
    </w:pPr>
    <w:rPr>
      <w:rFonts w:ascii="Times New Roman" w:hAnsi="Times New Roman" w:eastAsia="宋体" w:cs="Times New Roman"/>
      <w:szCs w:val="21"/>
    </w:rPr>
  </w:style>
  <w:style w:type="paragraph" w:styleId="1015">
    <w:name w:val="批注框文本"/>
    <w:basedOn w:val="942"/>
    <w:next w:val="1015"/>
    <w:link w:val="984"/>
    <w:semiHidden/>
    <w:rPr>
      <w:rFonts w:ascii="Times New Roman" w:hAnsi="Times New Roman" w:eastAsia="宋体" w:cs="Times New Roman"/>
      <w:sz w:val="18"/>
      <w:szCs w:val="18"/>
    </w:rPr>
  </w:style>
  <w:style w:type="paragraph" w:styleId="1016">
    <w:name w:val="正文文本缩进 2"/>
    <w:basedOn w:val="942"/>
    <w:next w:val="1016"/>
    <w:link w:val="961"/>
    <w:pPr>
      <w:ind w:left="630" w:firstLine="645"/>
    </w:pPr>
    <w:rPr>
      <w:rFonts w:ascii="Arial" w:hAnsi="Arial" w:eastAsia="仿宋_GB2312" w:cs="Arial"/>
      <w:sz w:val="32"/>
      <w:szCs w:val="32"/>
    </w:rPr>
  </w:style>
  <w:style w:type="paragraph" w:styleId="1017">
    <w:name w:val="目录 7"/>
    <w:basedOn w:val="942"/>
    <w:next w:val="942"/>
    <w:link w:val="942"/>
    <w:semiHidden/>
    <w:pPr>
      <w:ind w:left="1260"/>
      <w:jc w:val="left"/>
    </w:pPr>
    <w:rPr>
      <w:rFonts w:ascii="Times New Roman" w:hAnsi="Times New Roman" w:eastAsia="宋体" w:cs="Times New Roman"/>
      <w:szCs w:val="21"/>
    </w:rPr>
  </w:style>
  <w:style w:type="paragraph" w:styleId="1018">
    <w:name w:val="索引 41"/>
    <w:basedOn w:val="942"/>
    <w:next w:val="942"/>
    <w:link w:val="942"/>
    <w:qFormat/>
    <w:pPr>
      <w:ind w:left="600"/>
      <w:jc w:val="both"/>
    </w:pPr>
    <w:rPr>
      <w:rFonts w:ascii="Calibri" w:hAnsi="Calibri" w:cs="Times New Roman"/>
      <w:sz w:val="21"/>
    </w:rPr>
  </w:style>
  <w:style w:type="paragraph" w:styleId="1019">
    <w:name w:val="正文文本缩进 3"/>
    <w:basedOn w:val="942"/>
    <w:next w:val="1019"/>
    <w:link w:val="985"/>
    <w:pPr>
      <w:ind w:left="645" w:firstLine="645"/>
    </w:pPr>
    <w:rPr>
      <w:rFonts w:ascii="Arial" w:hAnsi="Arial" w:eastAsia="仿宋_GB2312" w:cs="Arial"/>
      <w:color w:val="ffff00"/>
      <w:sz w:val="32"/>
      <w:szCs w:val="32"/>
    </w:rPr>
  </w:style>
  <w:style w:type="paragraph" w:styleId="1020">
    <w:name w:val="正文文本"/>
    <w:basedOn w:val="942"/>
    <w:next w:val="1020"/>
    <w:link w:val="963"/>
    <w:rPr>
      <w:rFonts w:ascii="楷体_GB2312" w:hAnsi="Arial" w:eastAsia="楷体_GB2312" w:cs="Times New Roman"/>
      <w:sz w:val="28"/>
      <w:szCs w:val="28"/>
    </w:rPr>
  </w:style>
  <w:style w:type="paragraph" w:styleId="1021">
    <w:name w:val="文档结构图"/>
    <w:basedOn w:val="942"/>
    <w:next w:val="1021"/>
    <w:link w:val="967"/>
    <w:semiHidden/>
    <w:pPr>
      <w:shd w:val="clear" w:color="auto" w:fill="000080"/>
    </w:pPr>
    <w:rPr>
      <w:rFonts w:ascii="Times New Roman" w:hAnsi="Times New Roman" w:eastAsia="宋体" w:cs="Times New Roman"/>
      <w:szCs w:val="21"/>
    </w:rPr>
  </w:style>
  <w:style w:type="paragraph" w:styleId="1022">
    <w:name w:val="table_lines"/>
    <w:basedOn w:val="942"/>
    <w:next w:val="1022"/>
    <w:link w:val="942"/>
    <w:pPr>
      <w:jc w:val="left"/>
      <w:widowControl/>
    </w:pPr>
    <w:rPr>
      <w:rFonts w:ascii="Times New Roman" w:hAnsi="Times New Roman" w:eastAsia="宋体" w:cs="Times New Roman"/>
      <w:sz w:val="20"/>
      <w:szCs w:val="20"/>
      <w:lang w:val="de-DE" w:eastAsia="de-DE"/>
    </w:rPr>
  </w:style>
  <w:style w:type="paragraph" w:styleId="1023">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name w:val="二级目录"/>
    <w:next w:val="942"/>
    <w:link w:val="962"/>
    <w:pPr>
      <w:numPr>
        <w:ilvl w:val="0"/>
        <w:numId w:val="2"/>
      </w:numPr>
      <w:tabs>
        <w:tab w:val="left" w:pos="907" w:leader="none"/>
        <w:tab w:val="left" w:pos="1145" w:leader="none"/>
      </w:tabs>
      <w:outlineLvl w:val="1"/>
    </w:pPr>
    <w:rPr>
      <w:b/>
      <w:sz w:val="30"/>
      <w:szCs w:val="28"/>
      <w:lang w:val="en-US" w:eastAsia="zh-CN" w:bidi="ar-SA"/>
    </w:rPr>
  </w:style>
  <w:style w:type="paragraph" w:styleId="1025">
    <w:name w:val="xl28"/>
    <w:basedOn w:val="942"/>
    <w:next w:val="1025"/>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6">
    <w:name w:val="列出段落1"/>
    <w:basedOn w:val="942"/>
    <w:next w:val="1026"/>
    <w:link w:val="988"/>
    <w:qFormat/>
    <w:pPr>
      <w:contextualSpacing/>
      <w:ind w:left="720"/>
      <w:jc w:val="left"/>
      <w:widowControl/>
    </w:pPr>
    <w:rPr>
      <w:rFonts w:ascii="Calibri" w:hAnsi="Calibri"/>
      <w:sz w:val="24"/>
      <w:szCs w:val="24"/>
      <w:lang w:eastAsia="en-US" w:bidi="en-US"/>
    </w:rPr>
  </w:style>
  <w:style w:type="paragraph" w:styleId="1027">
    <w:name w:val="4"/>
    <w:basedOn w:val="942"/>
    <w:next w:val="1019"/>
    <w:link w:val="942"/>
    <w:pPr>
      <w:ind w:firstLine="420"/>
      <w:spacing w:line="360" w:lineRule="auto"/>
    </w:pPr>
    <w:rPr>
      <w:rFonts w:ascii="Times New Roman" w:hAnsi="Times New Roman" w:eastAsia="宋体" w:cs="Times New Roman"/>
      <w:color w:val="ff0000"/>
      <w:sz w:val="24"/>
      <w:szCs w:val="24"/>
    </w:rPr>
  </w:style>
  <w:style w:type="paragraph" w:styleId="1028">
    <w:name w:val="Body Text(ch)"/>
    <w:basedOn w:val="942"/>
    <w:next w:val="1020"/>
    <w:link w:val="942"/>
    <w:pPr>
      <w:spacing w:after="120"/>
    </w:pPr>
    <w:rPr>
      <w:rFonts w:ascii="宋体" w:hAnsi="Arial" w:eastAsia="宋体" w:cs="Times New Roman"/>
      <w:bCs/>
      <w:iCs/>
      <w:szCs w:val="24"/>
    </w:rPr>
  </w:style>
  <w:style w:type="paragraph" w:styleId="1029">
    <w:name w:val="font7"/>
    <w:basedOn w:val="942"/>
    <w:next w:val="1029"/>
    <w:link w:val="942"/>
    <w:pPr>
      <w:jc w:val="left"/>
      <w:spacing w:before="100" w:beforeAutospacing="1" w:after="100" w:afterAutospacing="1"/>
      <w:widowControl/>
    </w:pPr>
    <w:rPr>
      <w:rFonts w:hint="eastAsia" w:ascii="宋体" w:hAnsi="宋体" w:eastAsia="宋体" w:cs="Times New Roman"/>
      <w:sz w:val="18"/>
      <w:szCs w:val="18"/>
    </w:rPr>
  </w:style>
  <w:style w:type="paragraph" w:styleId="1030">
    <w:name w:val=" Char"/>
    <w:basedOn w:val="1021"/>
    <w:next w:val="1030"/>
    <w:link w:val="942"/>
    <w:rPr>
      <w:rFonts w:ascii="Tahoma" w:hAnsi="Tahoma"/>
      <w:sz w:val="24"/>
      <w:szCs w:val="24"/>
    </w:rPr>
  </w:style>
  <w:style w:type="paragraph" w:styleId="1031">
    <w:name w:val="Char Char Char Char"/>
    <w:basedOn w:val="1021"/>
    <w:next w:val="1031"/>
    <w:link w:val="942"/>
    <w:pPr>
      <w:spacing w:line="360" w:lineRule="auto"/>
    </w:pPr>
    <w:rPr>
      <w:rFonts w:ascii="Tahoma" w:hAnsi="Tahoma"/>
      <w:sz w:val="24"/>
      <w:szCs w:val="24"/>
    </w:rPr>
  </w:style>
  <w:style w:type="paragraph" w:styleId="1032">
    <w:name w:val="AONormal"/>
    <w:next w:val="1032"/>
    <w:link w:val="942"/>
    <w:qFormat/>
    <w:pPr>
      <w:ind w:firstLine="440"/>
      <w:spacing w:line="400" w:lineRule="exact"/>
    </w:pPr>
    <w:rPr>
      <w:rFonts w:ascii="华文楷体" w:hAnsi="华文楷体" w:eastAsia="华文楷体" w:cs="华文楷体"/>
      <w:sz w:val="22"/>
      <w:szCs w:val="21"/>
      <w:lang w:val="en-US" w:eastAsia="zh-CN" w:bidi="ar-SA"/>
    </w:rPr>
  </w:style>
  <w:style w:type="paragraph" w:styleId="1033">
    <w:name w:val="xl30"/>
    <w:basedOn w:val="942"/>
    <w:next w:val="1033"/>
    <w:link w:val="942"/>
    <w:pPr>
      <w:jc w:val="center"/>
      <w:spacing w:before="100" w:beforeAutospacing="1" w:after="100" w:afterAutospacing="1"/>
      <w:widowControl/>
    </w:pPr>
    <w:rPr>
      <w:rFonts w:ascii="宋体" w:hAnsi="宋体" w:eastAsia="宋体" w:cs="Times New Roman"/>
      <w:b/>
      <w:bCs/>
      <w:sz w:val="36"/>
      <w:szCs w:val="36"/>
    </w:rPr>
  </w:style>
  <w:style w:type="paragraph" w:styleId="1034">
    <w:name w:val=" Char Char Char Char Char Char Char Char Char Char"/>
    <w:basedOn w:val="942"/>
    <w:next w:val="1034"/>
    <w:link w:val="942"/>
    <w:pPr>
      <w:spacing w:line="360" w:lineRule="auto"/>
    </w:pPr>
    <w:rPr>
      <w:rFonts w:ascii="Times New Roman" w:hAnsi="Times New Roman" w:eastAsia="宋体" w:cs="Times New Roman"/>
      <w:sz w:val="24"/>
      <w:szCs w:val="20"/>
    </w:rPr>
  </w:style>
  <w:style w:type="paragraph" w:styleId="1035">
    <w:name w:val="普通正文"/>
    <w:basedOn w:val="942"/>
    <w:next w:val="1035"/>
    <w:link w:val="942"/>
    <w:pPr>
      <w:ind w:firstLine="480"/>
      <w:jc w:val="left"/>
      <w:spacing w:before="120" w:after="120" w:line="360" w:lineRule="auto"/>
    </w:pPr>
    <w:rPr>
      <w:rFonts w:ascii="Arial" w:hAnsi="Arial" w:eastAsia="宋体" w:cs="Times New Roman"/>
      <w:sz w:val="24"/>
      <w:szCs w:val="24"/>
    </w:rPr>
  </w:style>
  <w:style w:type="paragraph" w:styleId="1036">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37">
    <w:name w:val="xl29"/>
    <w:basedOn w:val="942"/>
    <w:next w:val="1037"/>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font6"/>
    <w:basedOn w:val="942"/>
    <w:next w:val="1038"/>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39">
    <w:name w:val="样式1"/>
    <w:basedOn w:val="942"/>
    <w:next w:val="1039"/>
    <w:link w:val="942"/>
    <w:pPr>
      <w:numPr>
        <w:ilvl w:val="0"/>
        <w:numId w:val="3"/>
      </w:numPr>
      <w:tabs>
        <w:tab w:val="left" w:pos="709" w:leader="none"/>
      </w:tabs>
    </w:pPr>
    <w:rPr>
      <w:rFonts w:ascii="宋体" w:hAnsi="宋体" w:eastAsia="宋体" w:cs="Times New Roman"/>
      <w:szCs w:val="21"/>
    </w:rPr>
  </w:style>
  <w:style w:type="paragraph" w:styleId="1040">
    <w:name w:val="xl26"/>
    <w:basedOn w:val="942"/>
    <w:next w:val="1040"/>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 Char Char Char Char Char Char Char Char"/>
    <w:basedOn w:val="942"/>
    <w:next w:val="1041"/>
    <w:link w:val="942"/>
    <w:pPr>
      <w:jc w:val="left"/>
      <w:spacing w:after="160" w:line="240" w:lineRule="exact"/>
      <w:widowControl/>
    </w:pPr>
    <w:rPr>
      <w:rFonts w:ascii="Verdana" w:hAnsi="Verdana" w:eastAsia="宋体" w:cs="Times New Roman"/>
      <w:sz w:val="20"/>
      <w:szCs w:val="20"/>
      <w:lang w:eastAsia="en-US"/>
    </w:rPr>
  </w:style>
  <w:style w:type="paragraph" w:styleId="1042">
    <w:name w:val="font5"/>
    <w:basedOn w:val="942"/>
    <w:next w:val="1042"/>
    <w:link w:val="942"/>
    <w:pPr>
      <w:jc w:val="left"/>
      <w:spacing w:before="100" w:beforeAutospacing="1" w:after="100" w:afterAutospacing="1"/>
      <w:widowControl/>
    </w:pPr>
    <w:rPr>
      <w:rFonts w:hint="eastAsia" w:ascii="宋体" w:hAnsi="宋体" w:eastAsia="宋体" w:cs="Times New Roman"/>
      <w:sz w:val="28"/>
      <w:szCs w:val="28"/>
    </w:rPr>
  </w:style>
  <w:style w:type="paragraph" w:styleId="1043">
    <w:name w:val=" Char Char Char Char"/>
    <w:basedOn w:val="1021"/>
    <w:next w:val="1043"/>
    <w:link w:val="942"/>
    <w:pPr>
      <w:spacing w:line="360" w:lineRule="auto"/>
    </w:pPr>
    <w:rPr>
      <w:rFonts w:ascii="Tahoma" w:hAnsi="Tahoma"/>
      <w:sz w:val="24"/>
      <w:szCs w:val="24"/>
    </w:rPr>
  </w:style>
  <w:style w:type="paragraph" w:styleId="1044">
    <w:name w:val="无间隔"/>
    <w:next w:val="1044"/>
    <w:link w:val="942"/>
    <w:uiPriority w:val="99"/>
    <w:qFormat/>
    <w:pPr>
      <w:jc w:val="both"/>
      <w:widowControl w:val="off"/>
    </w:pPr>
    <w:rPr>
      <w:rFonts w:ascii="Times New Roman" w:hAnsi="Times New Roman"/>
      <w:sz w:val="21"/>
      <w:szCs w:val="21"/>
      <w:lang w:val="en-US" w:eastAsia="zh-CN" w:bidi="ar-SA"/>
    </w:rPr>
  </w:style>
  <w:style w:type="paragraph" w:styleId="1045">
    <w:name w:val="xl24"/>
    <w:basedOn w:val="942"/>
    <w:next w:val="1045"/>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name w:val="列出段落"/>
    <w:basedOn w:val="942"/>
    <w:next w:val="1046"/>
    <w:link w:val="942"/>
    <w:qFormat/>
    <w:pPr>
      <w:contextualSpacing/>
      <w:ind w:left="720"/>
      <w:jc w:val="left"/>
      <w:widowControl/>
    </w:pPr>
    <w:rPr>
      <w:rFonts w:ascii="Calibri" w:hAnsi="Calibri" w:eastAsia="宋体" w:cs="Times New Roman"/>
      <w:sz w:val="24"/>
      <w:szCs w:val="24"/>
      <w:lang w:eastAsia="en-US" w:bidi="en-US"/>
    </w:rPr>
  </w:style>
  <w:style w:type="paragraph" w:styleId="1047">
    <w:name w:val="普通 (Web)"/>
    <w:basedOn w:val="942"/>
    <w:next w:val="1047"/>
    <w:link w:val="942"/>
    <w:pPr>
      <w:jc w:val="left"/>
      <w:spacing w:before="100" w:beforeAutospacing="1" w:after="100" w:afterAutospacing="1"/>
      <w:widowControl/>
    </w:pPr>
    <w:rPr>
      <w:rFonts w:ascii="宋体" w:hAnsi="宋体" w:eastAsia="宋体" w:cs="Times New Roman"/>
      <w:sz w:val="24"/>
      <w:szCs w:val="24"/>
    </w:rPr>
  </w:style>
  <w:style w:type="paragraph" w:styleId="1048">
    <w:name w:val="xl25"/>
    <w:basedOn w:val="942"/>
    <w:next w:val="1048"/>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xl27"/>
    <w:basedOn w:val="942"/>
    <w:next w:val="1049"/>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table_1stline"/>
    <w:basedOn w:val="942"/>
    <w:next w:val="1050"/>
    <w:link w:val="942"/>
    <w:pPr>
      <w:jc w:val="left"/>
      <w:spacing w:before="120"/>
      <w:widowControl/>
    </w:pPr>
    <w:rPr>
      <w:rFonts w:ascii="Times New Roman" w:hAnsi="Times New Roman" w:eastAsia="宋体" w:cs="Times New Roman"/>
      <w:bCs/>
      <w:sz w:val="20"/>
      <w:szCs w:val="20"/>
      <w:lang w:val="de-DE" w:eastAsia="de-DE"/>
    </w:rPr>
  </w:style>
  <w:style w:type="paragraph" w:styleId="1051">
    <w:name w:val="Char"/>
    <w:basedOn w:val="942"/>
    <w:next w:val="1051"/>
    <w:link w:val="942"/>
    <w:pPr>
      <w:ind w:firstLine="200"/>
      <w:tabs>
        <w:tab w:val="left" w:pos="360" w:leader="none"/>
      </w:tabs>
    </w:pPr>
    <w:rPr>
      <w:rFonts w:ascii="Times New Roman" w:hAnsi="Times New Roman" w:eastAsia="宋体" w:cs="Times New Roman"/>
      <w:sz w:val="28"/>
      <w:szCs w:val="30"/>
    </w:rPr>
  </w:style>
  <w:style w:type="paragraph" w:styleId="1052">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3">
    <w:name w:val="修订"/>
    <w:next w:val="1053"/>
    <w:link w:val="942"/>
    <w:uiPriority w:val="99"/>
    <w:semiHidden/>
    <w:rPr>
      <w:rFonts w:ascii="Times New Roman" w:hAnsi="Times New Roman"/>
      <w:sz w:val="21"/>
      <w:szCs w:val="21"/>
      <w:lang w:val="en-US" w:eastAsia="zh-CN" w:bidi="ar-SA"/>
    </w:rPr>
  </w:style>
  <w:style w:type="paragraph" w:styleId="1054">
    <w:name w:val="附录1"/>
    <w:next w:val="1054"/>
    <w:link w:val="94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5">
    <w:name w:val="Char Char Char Char Char Char Char Char"/>
    <w:basedOn w:val="942"/>
    <w:next w:val="1055"/>
    <w:link w:val="942"/>
    <w:pPr>
      <w:jc w:val="left"/>
      <w:spacing w:after="160" w:line="240" w:lineRule="exact"/>
      <w:widowControl/>
    </w:pPr>
    <w:rPr>
      <w:rFonts w:ascii="Verdana" w:hAnsi="Verdana" w:eastAsia="宋体" w:cs="Times New Roman"/>
      <w:sz w:val="20"/>
      <w:szCs w:val="20"/>
      <w:lang w:eastAsia="en-US"/>
    </w:rPr>
  </w:style>
  <w:style w:type="table" w:styleId="1056">
    <w:name w:val="网格型"/>
    <w:basedOn w:val="953"/>
    <w:next w:val="1056"/>
    <w:link w:val="942"/>
    <w:pPr>
      <w:jc w:val="both"/>
      <w:widowControl w:val="off"/>
    </w:pPr>
    <w:rPr>
      <w:rFonts w:ascii="Times New Roman" w:hAnsi="Times New Roman" w:eastAsia="宋体" w:cs="Times New Roman"/>
      <w:sz w:val="20"/>
      <w:szCs w:val="20"/>
    </w:rPr>
    <w:tbl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14</cp:revision>
  <dcterms:created xsi:type="dcterms:W3CDTF">2023-03-16T02:13:00Z</dcterms:created>
  <dcterms:modified xsi:type="dcterms:W3CDTF">2026-10-27T03:22:56Z</dcterms:modified>
</cp:coreProperties>
</file>