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1"/>
        <w:spacing w:before="120" w:beforeAutospacing="0" w:after="120" w:afterAutospacing="0" w:line="360" w:lineRule="auto"/>
        <w:rPr>
          <w:color w:val="auto"/>
          <w:highlight w:val="none"/>
        </w:rPr>
      </w:pPr>
      <w:r>
        <w:rPr>
          <w:color w:val="auto"/>
          <w:highlight w:val="none"/>
        </w:rPr>
      </w:r>
      <w:r/>
    </w:p>
    <w:p>
      <w:pPr>
        <w:pStyle w:val="671"/>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671"/>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t xml:space="preserve">竞争性磋商文件</w:t>
      </w:r>
      <w:r/>
    </w:p>
    <w:p>
      <w:pPr>
        <w:pStyle w:val="671"/>
        <w:jc w:val="center"/>
        <w:spacing w:before="120" w:beforeAutospacing="0" w:after="120" w:afterAutospacing="0" w:line="360" w:lineRule="auto"/>
        <w:rPr>
          <w:rFonts w:hint="eastAsia" w:ascii="Arial" w:hAnsi="Arial" w:cs="Arial" w:eastAsiaTheme="minorEastAsia"/>
          <w:b w:val="0"/>
          <w:bCs/>
          <w:color w:val="auto"/>
          <w:sz w:val="36"/>
          <w:szCs w:val="36"/>
          <w:highlight w:val="none"/>
          <w:lang w:val="en-US" w:eastAsia="zh-CN"/>
        </w:rPr>
      </w:pPr>
      <w:r>
        <w:rPr>
          <w:rFonts w:hint="eastAsia" w:ascii="Arial" w:hAnsi="Arial" w:cs="Arial"/>
          <w:b w:val="0"/>
          <w:bCs/>
          <w:color w:val="auto"/>
          <w:sz w:val="36"/>
          <w:szCs w:val="36"/>
          <w:highlight w:val="none"/>
          <w:lang w:val="en-US" w:eastAsia="zh-CN"/>
        </w:rPr>
        <w:t xml:space="preserve">（服务类）</w:t>
      </w:r>
      <w:r/>
    </w:p>
    <w:p>
      <w:pPr>
        <w:pStyle w:val="671"/>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71"/>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71"/>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t xml:space="preserve">项目名称</w:t>
      </w:r>
      <w:r>
        <w:rPr>
          <w:rFonts w:hint="eastAsia" w:ascii="Arial" w:hAnsi="Arial" w:eastAsia="宋体" w:cs="Arial"/>
          <w:b/>
          <w:color w:val="auto"/>
          <w:sz w:val="32"/>
          <w:szCs w:val="32"/>
          <w:highlight w:val="none"/>
          <w:lang w:eastAsia="zh-CN"/>
        </w:rPr>
        <w:t xml:space="preserve">：</w:t>
      </w:r>
      <w:r>
        <w:rPr>
          <w:rFonts w:hint="eastAsia" w:ascii="Arial" w:hAnsi="Arial" w:cs="Arial"/>
          <w:b/>
          <w:color w:val="auto"/>
          <w:sz w:val="32"/>
          <w:szCs w:val="32"/>
          <w:highlight w:val="none"/>
        </w:rPr>
        <w:t xml:space="preserve">射阳县农业农村局农药和肥料包装废弃物回收处置项目</w:t>
      </w:r>
      <w:r/>
    </w:p>
    <w:p>
      <w:pPr>
        <w:pStyle w:val="671"/>
        <w:ind w:firstLine="643"/>
        <w:spacing w:before="120" w:beforeAutospacing="0" w:after="120" w:afterAutospacing="0" w:line="360" w:lineRule="auto"/>
        <w:rPr>
          <w:rFonts w:hint="eastAsia" w:ascii="Arial" w:hAnsi="Arial" w:cs="Arial"/>
          <w:b/>
          <w:color w:val="auto"/>
          <w:sz w:val="32"/>
          <w:szCs w:val="32"/>
          <w:highlight w:val="none"/>
        </w:rPr>
      </w:pPr>
      <w:r>
        <w:rPr>
          <w:rFonts w:ascii="Arial" w:hAnsi="Arial" w:cs="Arial"/>
          <w:b/>
          <w:color w:val="auto"/>
          <w:sz w:val="32"/>
          <w:szCs w:val="32"/>
          <w:highlight w:val="none"/>
        </w:rPr>
        <w:t xml:space="preserve">项目编号：</w:t>
      </w:r>
      <w:r>
        <w:rPr>
          <w:rFonts w:hint="eastAsia" w:ascii="Arial" w:hAnsi="Arial" w:cs="Arial"/>
          <w:b/>
          <w:color w:val="auto"/>
          <w:sz w:val="32"/>
          <w:szCs w:val="32"/>
          <w:highlight w:val="none"/>
        </w:rPr>
        <w:t xml:space="preserve">JSZC-320924-XYGS-C2026-0006  </w:t>
      </w:r>
      <w:r/>
    </w:p>
    <w:p>
      <w:pPr>
        <w:pStyle w:val="671"/>
        <w:spacing w:beforeAutospacing="0" w:afterAutospacing="0" w:line="360" w:lineRule="auto"/>
        <w:rPr>
          <w:color w:val="auto"/>
          <w:highlight w:val="none"/>
        </w:rPr>
      </w:pPr>
      <w:r>
        <w:rPr>
          <w:color w:val="auto"/>
          <w:highlight w:val="none"/>
        </w:rPr>
        <w:t xml:space="preserve"> </w:t>
      </w:r>
      <w:r/>
    </w:p>
    <w:p>
      <w:pPr>
        <w:pStyle w:val="671"/>
        <w:spacing w:beforeAutospacing="0" w:afterAutospacing="0" w:line="360" w:lineRule="auto"/>
        <w:rPr>
          <w:color w:val="auto"/>
          <w:highlight w:val="none"/>
        </w:rPr>
      </w:pPr>
      <w:r>
        <w:rPr>
          <w:color w:val="auto"/>
          <w:highlight w:val="none"/>
        </w:rPr>
        <w:t xml:space="preserve"> </w:t>
      </w:r>
      <w:r/>
    </w:p>
    <w:p>
      <w:pPr>
        <w:pStyle w:val="671"/>
        <w:spacing w:beforeAutospacing="0" w:afterAutospacing="0" w:line="360" w:lineRule="auto"/>
        <w:rPr>
          <w:color w:val="auto"/>
          <w:highlight w:val="none"/>
        </w:rPr>
      </w:pPr>
      <w:r>
        <w:rPr>
          <w:color w:val="auto"/>
          <w:highlight w:val="none"/>
        </w:rPr>
        <w:t xml:space="preserve"> </w:t>
      </w:r>
      <w:r/>
    </w:p>
    <w:p>
      <w:pPr>
        <w:pStyle w:val="671"/>
        <w:spacing w:beforeAutospacing="0" w:afterAutospacing="0" w:line="360" w:lineRule="auto"/>
        <w:rPr>
          <w:color w:val="auto"/>
          <w:highlight w:val="none"/>
        </w:rPr>
      </w:pPr>
      <w:r>
        <w:rPr>
          <w:color w:val="auto"/>
          <w:highlight w:val="none"/>
        </w:rPr>
        <w:t xml:space="preserve"> </w:t>
      </w:r>
      <w:r/>
    </w:p>
    <w:p>
      <w:pPr>
        <w:pStyle w:val="671"/>
        <w:spacing w:beforeAutospacing="0" w:afterAutospacing="0" w:line="360" w:lineRule="auto"/>
        <w:rPr>
          <w:color w:val="auto"/>
          <w:highlight w:val="none"/>
        </w:rPr>
      </w:pPr>
      <w:r>
        <w:rPr>
          <w:color w:val="auto"/>
          <w:highlight w:val="none"/>
        </w:rPr>
        <w:t xml:space="preserve"> </w:t>
      </w:r>
      <w:r/>
    </w:p>
    <w:p>
      <w:pPr>
        <w:pStyle w:val="671"/>
        <w:spacing w:beforeAutospacing="0" w:afterAutospacing="0" w:line="360" w:lineRule="auto"/>
        <w:rPr>
          <w:color w:val="auto"/>
          <w:highlight w:val="none"/>
        </w:rPr>
      </w:pPr>
      <w:r>
        <w:rPr>
          <w:color w:val="auto"/>
          <w:highlight w:val="none"/>
        </w:rPr>
        <w:t xml:space="preserve"> </w:t>
      </w:r>
      <w:r/>
    </w:p>
    <w:p>
      <w:pPr>
        <w:pStyle w:val="671"/>
        <w:spacing w:beforeAutospacing="0" w:afterAutospacing="0" w:line="360" w:lineRule="auto"/>
        <w:rPr>
          <w:color w:val="auto"/>
          <w:highlight w:val="none"/>
        </w:rPr>
      </w:pPr>
      <w:r>
        <w:rPr>
          <w:color w:val="auto"/>
          <w:highlight w:val="none"/>
        </w:rPr>
        <w:t xml:space="preserve"> </w:t>
      </w:r>
      <w:r/>
    </w:p>
    <w:p>
      <w:pPr>
        <w:pStyle w:val="671"/>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射阳县农业农村局</w:t>
      </w:r>
      <w:r/>
    </w:p>
    <w:p>
      <w:pPr>
        <w:pStyle w:val="671"/>
        <w:jc w:val="center"/>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hint="eastAsia" w:ascii="Arial" w:hAnsi="Arial" w:cs="Arial"/>
          <w:b/>
          <w:color w:val="000000"/>
          <w:sz w:val="32"/>
          <w:szCs w:val="32"/>
        </w:rPr>
        <w:t xml:space="preserve">江苏鑫缘项目管理有限公司</w:t>
      </w:r>
      <w:r/>
    </w:p>
    <w:p>
      <w:pPr>
        <w:pStyle w:val="671"/>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10</w:t>
      </w:r>
      <w:r>
        <w:rPr>
          <w:rFonts w:ascii="Arial" w:hAnsi="Arial" w:cs="Arial"/>
          <w:b/>
          <w:color w:val="auto"/>
          <w:sz w:val="32"/>
          <w:szCs w:val="32"/>
          <w:highlight w:val="none"/>
        </w:rPr>
        <w:t xml:space="preserve">月</w:t>
      </w:r>
      <w:r/>
    </w:p>
    <w:p>
      <w:pPr>
        <w:pStyle w:val="671"/>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71"/>
        <w:jc w:val="center"/>
        <w:spacing w:before="120" w:beforeAutospacing="0" w:after="120" w:afterAutospacing="0" w:line="360" w:lineRule="auto"/>
        <w:rPr>
          <w:color w:val="auto"/>
          <w:highlight w:val="none"/>
        </w:rPr>
      </w:pPr>
      <w:r>
        <w:rPr>
          <w:color w:val="auto"/>
          <w:highlight w:val="none"/>
        </w:rPr>
        <w:t xml:space="preserve"> </w:t>
      </w:r>
      <w:r/>
    </w:p>
    <w:p>
      <w:pPr>
        <w:pStyle w:val="671"/>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16938516"/>
      <w:r/>
      <w:bookmarkStart w:id="1" w:name="_Toc120614210"/>
      <w:r/>
      <w:bookmarkStart w:id="2" w:name="_Toc20823272"/>
      <w:r/>
      <w:bookmarkStart w:id="3" w:name="_Toc523127445"/>
      <w:r/>
      <w:bookmarkStart w:id="4" w:name="_Toc513029200"/>
      <w:r/>
      <w:bookmarkStart w:id="5" w:name="_Toc479757206"/>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71"/>
        <w:jc w:val="both"/>
        <w:spacing w:beforeAutospacing="0" w:afterAutospacing="0" w:line="480" w:lineRule="auto"/>
        <w:rPr>
          <w:color w:val="auto"/>
          <w:highlight w:val="none"/>
        </w:rPr>
      </w:pPr>
      <w:r>
        <w:rPr>
          <w:color w:val="auto"/>
          <w:highlight w:val="none"/>
        </w:rPr>
        <w:t xml:space="preserve"> </w:t>
      </w:r>
      <w:r/>
    </w:p>
    <w:p>
      <w:pPr>
        <w:pStyle w:val="671"/>
        <w:ind w:left="2160" w:hanging="1440"/>
        <w:jc w:val="both"/>
        <w:spacing w:beforeAutospacing="0" w:afterAutospacing="0" w:line="480" w:lineRule="auto"/>
        <w:tabs>
          <w:tab w:val="left" w:pos="1441" w:leader="none"/>
        </w:tabs>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竞争性磋商公告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p>
    <w:p>
      <w:pPr>
        <w:pStyle w:val="671"/>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供应商须知…………………………………………</w:t>
      </w:r>
      <w:r>
        <w:rPr>
          <w:rFonts w:hint="eastAsia" w:ascii="黑体" w:hAnsi="宋体" w:eastAsia="黑体" w:cs="黑体"/>
          <w:color w:val="auto"/>
          <w:sz w:val="36"/>
          <w:szCs w:val="36"/>
          <w:highlight w:val="none"/>
          <w:lang w:val="en-US" w:eastAsia="zh-CN"/>
        </w:rPr>
        <w:t xml:space="preserve">7</w:t>
      </w:r>
      <w:r>
        <w:rPr>
          <w:rFonts w:hint="eastAsia" w:ascii="黑体" w:hAnsi="宋体" w:eastAsia="黑体" w:cs="黑体"/>
          <w:color w:val="auto"/>
          <w:sz w:val="36"/>
          <w:szCs w:val="36"/>
          <w:highlight w:val="none"/>
        </w:rPr>
        <w:t xml:space="preserve">  </w:t>
      </w:r>
      <w:r/>
    </w:p>
    <w:p>
      <w:pPr>
        <w:pStyle w:val="671"/>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24</w:t>
      </w:r>
      <w:r/>
    </w:p>
    <w:p>
      <w:pPr>
        <w:pStyle w:val="671"/>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29</w:t>
      </w:r>
      <w:r/>
    </w:p>
    <w:p>
      <w:pPr>
        <w:pStyle w:val="671"/>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评审方法与评审标准………………………………</w:t>
      </w:r>
      <w:r>
        <w:rPr>
          <w:rFonts w:hint="eastAsia" w:ascii="黑体" w:hAnsi="宋体" w:eastAsia="黑体" w:cs="黑体"/>
          <w:color w:val="auto"/>
          <w:sz w:val="36"/>
          <w:szCs w:val="36"/>
          <w:highlight w:val="none"/>
          <w:lang w:val="en-US" w:eastAsia="zh-CN"/>
        </w:rPr>
        <w:t xml:space="preserve">34</w:t>
      </w:r>
      <w:r/>
    </w:p>
    <w:p>
      <w:pPr>
        <w:pStyle w:val="671"/>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响应文件格式………………………………………</w:t>
      </w:r>
      <w:r>
        <w:rPr>
          <w:rFonts w:hint="eastAsia" w:ascii="黑体" w:hAnsi="宋体" w:eastAsia="黑体" w:cs="黑体"/>
          <w:color w:val="auto"/>
          <w:sz w:val="36"/>
          <w:szCs w:val="36"/>
          <w:highlight w:val="none"/>
          <w:lang w:val="en-US" w:eastAsia="zh-CN"/>
        </w:rPr>
        <w:t xml:space="preserve">39</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center"/>
        <w:pageBreakBefore w:val="0"/>
        <w:spacing w:beforeAutospacing="0" w:afterAutospacing="0" w:line="500" w:lineRule="exact"/>
        <w:rPr>
          <w:rFonts w:hint="eastAsia" w:ascii="仿宋" w:hAnsi="仿宋" w:eastAsia="仿宋" w:cs="仿宋"/>
          <w:color w:val="auto"/>
          <w:sz w:val="28"/>
          <w:szCs w:val="28"/>
          <w:highlight w:val="none"/>
          <w:lang w:val="en-US" w:eastAsia="zh-CN"/>
        </w:rPr>
      </w:pPr>
      <w:r/>
      <w:bookmarkStart w:id="6"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竞争性磋商公告</w:t>
      </w:r>
      <w:r/>
    </w:p>
    <w:p>
      <w:pPr>
        <w:pStyle w:val="671"/>
        <w:ind w:firstLine="480"/>
        <w:jc w:val="both"/>
        <w:pageBreakBefore w:val="0"/>
        <w:spacing w:beforeAutospacing="0" w:afterAutospacing="0" w:line="50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outlineLvl w:val="0"/>
      </w:pPr>
      <w:r>
        <w:rPr>
          <w:rFonts w:hint="eastAsia" w:ascii="宋体" w:hAnsi="宋体" w:eastAsia="宋体" w:cs="宋体"/>
          <w:color w:val="auto"/>
          <w:sz w:val="24"/>
          <w:szCs w:val="24"/>
          <w:highlight w:val="none"/>
        </w:rPr>
        <w:t xml:space="preserve">项目概况</w:t>
      </w:r>
      <w:r/>
    </w:p>
    <w:p>
      <w:pPr>
        <w:pStyle w:val="671"/>
        <w:ind w:firstLine="480"/>
        <w:jc w:val="both"/>
        <w:pageBreakBefore w:val="0"/>
        <w:spacing w:beforeAutospacing="0" w:afterAutospacing="0" w:line="50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射阳县农业农村局农药和肥料包装废弃物回收处置项目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项目的潜在供应商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w:t>
      </w:r>
      <w:r>
        <w:rPr>
          <w:rFonts w:hint="eastAsia" w:ascii="宋体" w:hAnsi="宋体" w:eastAsia="宋体" w:cs="宋体"/>
          <w:color w:val="auto"/>
          <w:sz w:val="24"/>
          <w:szCs w:val="24"/>
          <w:highlight w:val="none"/>
        </w:rPr>
        <w:t xml:space="preserve">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文件，方</w:t>
      </w:r>
      <w:r>
        <w:rPr>
          <w:rFonts w:hint="eastAsia" w:ascii="宋体" w:hAnsi="宋体" w:eastAsia="宋体" w:cs="宋体"/>
          <w:i w:val="0"/>
          <w:iCs w:val="0"/>
          <w:caps w:val="0"/>
          <w:color w:val="auto"/>
          <w:spacing w:val="0"/>
          <w:sz w:val="24"/>
          <w:szCs w:val="24"/>
          <w:highlight w:val="none"/>
          <w:shd w:val="clear" w:color="auto" w:fill="ffffff"/>
        </w:rPr>
        <w:t xml:space="preserve">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b w:val="0"/>
          <w:bCs w:val="0"/>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 11  </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北京时间）前递交响应文件。</w:t>
      </w:r>
      <w:r/>
    </w:p>
    <w:p>
      <w:pPr>
        <w:ind w:left="420"/>
        <w:jc w:val="left"/>
        <w:pageBreakBefore w:val="0"/>
        <w:spacing w:line="500" w:lineRule="exact"/>
        <w:rPr>
          <w:rFonts w:hint="eastAsia" w:asciiTheme="minorEastAsia" w:hAnsiTheme="minorEastAsia" w:eastAsiaTheme="minorEastAsia" w:cstheme="minorEastAsia"/>
          <w:b/>
          <w:bCs/>
          <w:sz w:val="28"/>
          <w:szCs w:val="40"/>
          <w:lang w:val="en-US" w:eastAsia="zh-CN"/>
        </w:rPr>
        <w:outlineLvl w:val="0"/>
      </w:pPr>
      <w:r/>
      <w:bookmarkStart w:id="7" w:name="_Toc38985263"/>
      <w:r/>
      <w:bookmarkStart w:id="8" w:name="_Toc35393621"/>
      <w:r/>
      <w:bookmarkStart w:id="9" w:name="_Toc28359079"/>
      <w:r/>
      <w:bookmarkStart w:id="10" w:name="_Toc28359002"/>
      <w:r/>
      <w:bookmarkStart w:id="11" w:name="_Toc35393790"/>
      <w:r/>
      <w:bookmarkStart w:id="12" w:name="_Hlk24379207"/>
      <w:r>
        <w:rPr>
          <w:rFonts w:hint="eastAsia" w:asciiTheme="minorEastAsia" w:hAnsiTheme="minorEastAsia" w:eastAsiaTheme="minorEastAsia" w:cstheme="minorEastAsia"/>
          <w:b/>
          <w:bCs/>
          <w:sz w:val="28"/>
          <w:szCs w:val="40"/>
          <w:lang w:val="en-US" w:eastAsia="zh-CN"/>
        </w:rPr>
        <w:t xml:space="preserve">一、项目基本情况</w:t>
      </w:r>
      <w:bookmarkEnd w:id="7"/>
      <w:r/>
      <w:bookmarkEnd w:id="8"/>
      <w:r/>
      <w:bookmarkEnd w:id="9"/>
      <w:r/>
      <w:bookmarkEnd w:id="10"/>
      <w:r/>
      <w:bookmarkEnd w:id="11"/>
      <w:r/>
      <w:bookmarkEnd w:id="12"/>
      <w:r/>
      <w:r/>
    </w:p>
    <w:p>
      <w:pPr>
        <w:pStyle w:val="671"/>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1.项目编号：JSZC-320924-XYGS-C2026-0006</w:t>
      </w:r>
      <w:r>
        <w:rPr>
          <w:rFonts w:hint="eastAsia" w:ascii="宋体" w:hAnsi="宋体" w:eastAsia="宋体" w:cs="宋体"/>
          <w:color w:val="auto"/>
          <w:sz w:val="24"/>
          <w:szCs w:val="24"/>
          <w:highlight w:val="none"/>
          <w:lang w:eastAsia="zh-CN"/>
        </w:rPr>
        <w:t xml:space="preserve">  </w:t>
      </w:r>
      <w:r/>
    </w:p>
    <w:p>
      <w:pPr>
        <w:pStyle w:val="671"/>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射阳县农业农村局农药和肥料包装废弃物回收处置项目</w:t>
      </w:r>
      <w:r/>
    </w:p>
    <w:p>
      <w:pPr>
        <w:pStyle w:val="671"/>
        <w:ind w:firstLine="482"/>
        <w:jc w:val="both"/>
        <w:keepLines w:val="0"/>
        <w:keepNext w:val="0"/>
        <w:pageBreakBefore w:val="0"/>
        <w:spacing w:beforeAutospacing="0" w:afterAutospacing="0" w:line="500" w:lineRule="exact"/>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采购方式：竞争性磋商</w:t>
      </w:r>
      <w:r/>
    </w:p>
    <w:p>
      <w:pPr>
        <w:pStyle w:val="671"/>
        <w:ind w:firstLine="482"/>
        <w:jc w:val="both"/>
        <w:keepLines w:val="0"/>
        <w:keepNext w:val="0"/>
        <w:pageBreakBefore w:val="0"/>
        <w:spacing w:beforeAutospacing="0" w:afterAutospacing="0" w:line="50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4.预算金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额：124.5万元</w:t>
      </w:r>
      <w:r/>
    </w:p>
    <w:p>
      <w:pPr>
        <w:pStyle w:val="671"/>
        <w:ind w:firstLine="482"/>
        <w:jc w:val="both"/>
        <w:keepLines w:val="0"/>
        <w:keepNext w:val="0"/>
        <w:pageBreakBefore w:val="0"/>
        <w:spacing w:beforeAutospacing="0" w:afterAutospacing="0" w:line="50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w:t>
      </w:r>
      <w:r>
        <w:rPr>
          <w:rFonts w:hint="eastAsia" w:ascii="宋体" w:hAnsi="宋体" w:eastAsia="宋体" w:cs="宋体"/>
          <w:color w:val="000000"/>
        </w:rPr>
        <w:t xml:space="preserve">（单价）：1.2万元/吨（投标报价超过最高单价限价，作无效投标人处理）</w:t>
      </w:r>
      <w:r>
        <w:rPr>
          <w:rFonts w:hint="eastAsia" w:ascii="宋体" w:hAnsi="宋体" w:eastAsia="宋体" w:cs="宋体"/>
          <w:i w:val="0"/>
          <w:iCs w:val="0"/>
          <w:caps w:val="0"/>
          <w:color w:val="auto"/>
          <w:spacing w:val="0"/>
          <w:sz w:val="24"/>
          <w:szCs w:val="24"/>
          <w:highlight w:val="none"/>
          <w:shd w:val="clear" w:color="auto" w:fill="auto"/>
        </w:rPr>
        <w:t xml:space="preserve">。</w:t>
      </w:r>
      <w:r/>
    </w:p>
    <w:p>
      <w:pPr>
        <w:pStyle w:val="671"/>
        <w:ind w:firstLine="482"/>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i w:val="0"/>
          <w:iCs w:val="0"/>
          <w:caps w:val="0"/>
          <w:color w:val="auto"/>
          <w:spacing w:val="0"/>
          <w:sz w:val="24"/>
          <w:szCs w:val="24"/>
          <w:highlight w:val="none"/>
          <w:shd w:val="clear" w:color="auto" w:fill="auto"/>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auto"/>
          <w:lang w:val="en-US" w:eastAsia="zh-CN"/>
        </w:rPr>
        <w:t xml:space="preserve">6.评标方法：综合评分法</w:t>
      </w:r>
      <w:r/>
    </w:p>
    <w:p>
      <w:pPr>
        <w:pStyle w:val="671"/>
        <w:ind w:firstLine="482"/>
        <w:jc w:val="both"/>
        <w:keepLines w:val="0"/>
        <w:keepNext w:val="0"/>
        <w:pageBreakBefore w:val="0"/>
        <w:spacing w:beforeAutospacing="0" w:afterAutospacing="0" w:line="50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auto"/>
          <w:lang w:val="en-US" w:eastAsia="zh-CN"/>
        </w:rPr>
        <w:t xml:space="preserve">7</w:t>
      </w:r>
      <w:r>
        <w:rPr>
          <w:rFonts w:hint="eastAsia" w:asciiTheme="minorEastAsia" w:hAnsiTheme="minorEastAsia" w:eastAsiaTheme="minorEastAsia" w:cstheme="minorEastAsia"/>
          <w:i w:val="0"/>
          <w:iCs w:val="0"/>
          <w:caps w:val="0"/>
          <w:color w:val="auto"/>
          <w:spacing w:val="0"/>
          <w:sz w:val="24"/>
          <w:szCs w:val="24"/>
          <w:highlight w:val="none"/>
          <w:shd w:val="clear" w:color="auto" w:fill="auto"/>
        </w:rPr>
        <w:t xml:space="preserve">.采购需求：</w:t>
      </w:r>
      <w:r>
        <w:rPr>
          <w:rFonts w:hint="eastAsia" w:ascii="宋体" w:hAnsi="宋体" w:eastAsia="宋体" w:cs="宋体"/>
          <w:color w:val="000000"/>
          <w:highlight w:val="none"/>
        </w:rPr>
        <w:t xml:space="preserve">我县是农业大县，全县每年农药使用量约1700吨，肥料使用量约8.5万吨，全年农药包装废弃物产生量约200吨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本项目</w:t>
      </w:r>
      <w:r>
        <w:rPr>
          <w:rFonts w:hint="eastAsia" w:ascii="宋体" w:hAnsi="宋体" w:eastAsia="宋体" w:cs="宋体"/>
          <w:color w:val="000000"/>
          <w:highlight w:val="none"/>
        </w:rPr>
        <w:t xml:space="preserve">以农药包装废弃物回收为主，其中肥料包装废弃物占比不超过10%</w:t>
      </w:r>
      <w:r>
        <w:rPr>
          <w:spacing w:val="8"/>
          <w:sz w:val="30"/>
          <w:szCs w:val="30"/>
          <w:highlight w:val="none"/>
        </w:rPr>
        <w:t xml:space="preserve">。</w:t>
      </w:r>
      <w:r>
        <w:rPr>
          <w:rFonts w:hint="eastAsia" w:ascii="宋体" w:hAnsi="宋体" w:eastAsia="宋体" w:cs="宋体"/>
          <w:color w:val="000000"/>
          <w:highlight w:val="none"/>
        </w:rPr>
        <w:t xml:space="preserve">随意丢弃在田间地头的农药包装废弃物既不美观，又影响了生态环境。为推进农业面源污染治理工作，降低农药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包装废弃物对农业、农村生态环境的影响，在全县范围内开展农药包装废弃物集中回收处理，通过有偿收购的形式，鼓励种植户、农药经营门店等主体主动回收农药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包装废弃物。通过“第三方”组织开展回收、转运，同时做好防扬散、防流失、防渗漏等措施，进入具备危险废物无害化处理资质单位进行无害化处置。本项目所称农药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包装废弃物，是指农药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使用后被废弃的与农药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直接接触或含有农药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残余物的包装物（瓶、罐、桶、袋等）。本项目总预算</w:t>
      </w:r>
      <w:r>
        <w:rPr>
          <w:rFonts w:hint="eastAsia" w:hAnsi="宋体" w:eastAsia="宋体"/>
          <w:szCs w:val="20"/>
          <w:highlight w:val="none"/>
        </w:rPr>
        <w:t xml:space="preserve">价为</w:t>
      </w:r>
      <w:r>
        <w:rPr>
          <w:rFonts w:hint="eastAsia" w:hAnsi="宋体" w:eastAsia="宋体"/>
          <w:szCs w:val="20"/>
          <w:highlight w:val="none"/>
          <w:lang w:val="en-US" w:eastAsia="zh-CN"/>
        </w:rPr>
        <w:t xml:space="preserve">124.5</w:t>
      </w:r>
      <w:r>
        <w:rPr>
          <w:rFonts w:hint="eastAsia" w:hAnsi="宋体" w:eastAsia="宋体"/>
          <w:szCs w:val="20"/>
          <w:highlight w:val="none"/>
        </w:rPr>
        <w:t xml:space="preserve">万元，</w:t>
      </w:r>
      <w:r>
        <w:rPr>
          <w:rFonts w:hint="eastAsia" w:hAnsi="宋体" w:eastAsia="宋体"/>
          <w:szCs w:val="20"/>
          <w:highlight w:val="none"/>
          <w:lang w:val="en-US" w:eastAsia="zh-CN"/>
        </w:rPr>
        <w:t xml:space="preserve">124.5</w:t>
      </w:r>
      <w:r>
        <w:rPr>
          <w:rFonts w:hint="eastAsia" w:hAnsi="宋体" w:eastAsia="宋体"/>
          <w:szCs w:val="20"/>
          <w:highlight w:val="none"/>
        </w:rPr>
        <w:t xml:space="preserve">万元=回收处置数量（约</w:t>
      </w:r>
      <w:r>
        <w:rPr>
          <w:rFonts w:hint="eastAsia" w:hAnsi="宋体" w:eastAsia="宋体"/>
          <w:szCs w:val="20"/>
          <w:highlight w:val="none"/>
          <w:lang w:val="en-US" w:eastAsia="zh-CN"/>
        </w:rPr>
        <w:t xml:space="preserve">103.75</w:t>
      </w:r>
      <w:r>
        <w:rPr>
          <w:rFonts w:hint="eastAsia" w:hAnsi="宋体" w:eastAsia="宋体"/>
          <w:szCs w:val="20"/>
          <w:highlight w:val="none"/>
        </w:rPr>
        <w:t xml:space="preserve">吨）*磋商单价，本项目单价最高限价：1.20万元/吨，本项目结算总价以实际回收量*中标单价，最高不超过</w:t>
      </w:r>
      <w:r>
        <w:rPr>
          <w:rFonts w:hint="eastAsia" w:hAnsi="宋体" w:eastAsia="宋体"/>
          <w:szCs w:val="20"/>
          <w:highlight w:val="none"/>
          <w:lang w:val="en-US" w:eastAsia="zh-CN"/>
        </w:rPr>
        <w:t xml:space="preserve">124.5</w:t>
      </w:r>
      <w:r>
        <w:rPr>
          <w:rFonts w:hint="eastAsia" w:hAnsi="宋体" w:eastAsia="宋体"/>
          <w:szCs w:val="20"/>
          <w:highlight w:val="none"/>
        </w:rPr>
        <w:t xml:space="preserve">万元总预算价。具体采购范围及所应达到的具体要求，详细内容见本磋商文件第四章。</w:t>
      </w:r>
      <w:r/>
    </w:p>
    <w:p>
      <w:pPr>
        <w:pStyle w:val="671"/>
        <w:ind w:firstLine="480"/>
        <w:jc w:val="both"/>
        <w:keepLines w:val="0"/>
        <w:keepNext w:val="0"/>
        <w:pageBreakBefore w:val="0"/>
        <w:spacing w:beforeAutospacing="0" w:afterAutospacing="0" w:line="50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ascii="宋体" w:hAnsi="宋体" w:eastAsia="宋体" w:cs="宋体"/>
          <w:color w:val="000000"/>
          <w:highlight w:val="none"/>
        </w:rPr>
        <w:t xml:space="preserve">签订合同之日起至202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年12月30日</w:t>
      </w:r>
      <w:r>
        <w:rPr>
          <w:rFonts w:hint="eastAsia" w:ascii="宋体" w:hAnsi="宋体" w:eastAsia="宋体" w:cs="宋体"/>
          <w:color w:val="000000"/>
        </w:rPr>
        <w:t xml:space="preserve">，履约期间如遇国家政策性调整的，按最新政策执行。</w:t>
      </w:r>
      <w:r/>
    </w:p>
    <w:p>
      <w:pPr>
        <w:pStyle w:val="671"/>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9.本项目不接受联合体参与磋商。</w:t>
      </w:r>
      <w:r/>
    </w:p>
    <w:p>
      <w:pPr>
        <w:ind w:left="420"/>
        <w:jc w:val="left"/>
        <w:pageBreakBefore w:val="0"/>
        <w:spacing w:line="500" w:lineRule="exact"/>
        <w:rPr>
          <w:rFonts w:hint="eastAsia" w:asciiTheme="minorEastAsia" w:hAnsiTheme="minorEastAsia" w:eastAsiaTheme="minorEastAsia" w:cstheme="minorEastAsia"/>
          <w:b/>
          <w:bCs/>
          <w:sz w:val="28"/>
          <w:szCs w:val="40"/>
          <w:lang w:val="en-US" w:eastAsia="zh-CN"/>
        </w:rPr>
        <w:outlineLvl w:val="0"/>
      </w:pPr>
      <w:r/>
      <w:bookmarkStart w:id="13" w:name="_Toc28359003"/>
      <w:r/>
      <w:bookmarkStart w:id="14" w:name="_Toc38985264"/>
      <w:r/>
      <w:bookmarkStart w:id="15" w:name="_Toc35393622"/>
      <w:r/>
      <w:bookmarkStart w:id="16" w:name="_Toc28359080"/>
      <w:r/>
      <w:bookmarkStart w:id="17" w:name="_Toc35393791"/>
      <w:r>
        <w:rPr>
          <w:rFonts w:hint="eastAsia" w:asciiTheme="minorEastAsia" w:hAnsiTheme="minorEastAsia" w:eastAsiaTheme="minorEastAsia" w:cstheme="minorEastAsia"/>
          <w:b/>
          <w:bCs/>
          <w:sz w:val="28"/>
          <w:szCs w:val="40"/>
          <w:lang w:val="en-US" w:eastAsia="zh-CN"/>
        </w:rPr>
        <w:t xml:space="preserve">二、申请人的资格要求</w:t>
      </w:r>
      <w:bookmarkEnd w:id="13"/>
      <w:r/>
      <w:bookmarkEnd w:id="14"/>
      <w:r/>
      <w:bookmarkEnd w:id="15"/>
      <w:r/>
      <w:bookmarkEnd w:id="16"/>
      <w:r/>
      <w:bookmarkEnd w:id="17"/>
      <w:r/>
      <w:r/>
    </w:p>
    <w:p>
      <w:pPr>
        <w:pStyle w:val="671"/>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71"/>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71"/>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表</w:t>
      </w:r>
      <w:r>
        <w:rPr>
          <w:rFonts w:hint="eastAsia" w:ascii="宋体" w:hAnsi="宋体" w:eastAsia="宋体" w:cs="宋体"/>
          <w:color w:val="auto"/>
          <w:sz w:val="24"/>
          <w:szCs w:val="24"/>
          <w:highlight w:val="none"/>
        </w:rPr>
        <w:t xml:space="preserve">（成立不满一年无需提供）；</w:t>
      </w:r>
      <w:r/>
    </w:p>
    <w:p>
      <w:pPr>
        <w:pStyle w:val="671"/>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71"/>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71"/>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pStyle w:val="671"/>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71"/>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auto"/>
          <w:sz w:val="24"/>
          <w:szCs w:val="24"/>
          <w:highlight w:val="none"/>
          <w:lang w:eastAsia="zh-CN"/>
        </w:rPr>
        <w:t xml:space="preserve">；</w:t>
      </w:r>
      <w:r/>
    </w:p>
    <w:p>
      <w:pPr>
        <w:pStyle w:val="671"/>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p>
    <w:p>
      <w:pPr>
        <w:pStyle w:val="671"/>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2</w:t>
      </w:r>
      <w:r>
        <w:rPr>
          <w:rFonts w:hint="eastAsia" w:ascii="宋体" w:hAnsi="宋体" w:eastAsia="宋体" w:cs="宋体"/>
          <w:b/>
          <w:bCs/>
          <w:color w:val="auto"/>
          <w:sz w:val="24"/>
          <w:szCs w:val="24"/>
          <w:highlight w:val="none"/>
          <w:shd w:val="clear" w:color="auto" w:fill="auto"/>
          <w:lang w:val="en-US" w:eastAsia="zh-CN"/>
        </w:rPr>
        <w:t xml:space="preserve">.</w:t>
      </w:r>
      <w:r>
        <w:rPr>
          <w:rFonts w:hint="eastAsia" w:ascii="宋体" w:hAnsi="宋体" w:eastAsia="宋体" w:cs="宋体"/>
          <w:b/>
          <w:bCs/>
          <w:color w:val="auto"/>
          <w:sz w:val="24"/>
          <w:szCs w:val="24"/>
          <w:highlight w:val="none"/>
          <w:shd w:val="clear" w:color="auto" w:fill="auto"/>
        </w:rPr>
        <w:t xml:space="preserve">落实政府采购政策需满足的资格要求：</w:t>
      </w:r>
      <w:r>
        <w:rPr>
          <w:rFonts w:hint="eastAsia" w:ascii="宋体" w:hAnsi="宋体" w:eastAsia="宋体" w:cs="宋体"/>
          <w:color w:val="000000"/>
        </w:rPr>
        <w:t xml:space="preserve">本项目为服务类采购项目，所属行业为：其他未列明行业。本项目专门面向小微企业采购，投标人须为符合《关于印发中小企业划型标准规定的通知》（工信部联企业[2011]300号）文件的小微企业（申请时须提供小微企业声明函，否则按无效标处理）。</w:t>
      </w:r>
      <w:r/>
    </w:p>
    <w:p>
      <w:pPr>
        <w:pStyle w:val="671"/>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u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w:t>
      </w:r>
      <w:r/>
    </w:p>
    <w:p>
      <w:pPr>
        <w:ind w:left="420"/>
        <w:jc w:val="left"/>
        <w:pageBreakBefore w:val="0"/>
        <w:spacing w:line="500" w:lineRule="exact"/>
        <w:rPr>
          <w:rFonts w:hint="eastAsia" w:asciiTheme="minorEastAsia" w:hAnsiTheme="minorEastAsia" w:eastAsiaTheme="minorEastAsia" w:cstheme="minorEastAsia"/>
          <w:b/>
          <w:bCs/>
          <w:sz w:val="28"/>
          <w:szCs w:val="40"/>
          <w:lang w:val="en-US" w:eastAsia="zh-CN"/>
        </w:rPr>
        <w:outlineLvl w:val="0"/>
      </w:pPr>
      <w:r>
        <w:rPr>
          <w:rFonts w:hint="eastAsia" w:asciiTheme="minorEastAsia" w:hAnsiTheme="minorEastAsia" w:eastAsiaTheme="minorEastAsia" w:cstheme="minorEastAsia"/>
          <w:b/>
          <w:bCs/>
          <w:sz w:val="28"/>
          <w:szCs w:val="40"/>
          <w:lang w:val="en-US" w:eastAsia="zh-CN"/>
        </w:rPr>
        <w:t xml:space="preserve">三、获取磋商文件</w:t>
      </w:r>
      <w:r/>
    </w:p>
    <w:p>
      <w:pPr>
        <w:ind w:right="0" w:firstLine="480"/>
        <w:jc w:val="both"/>
        <w:keepLines w:val="0"/>
        <w:keepNext w:val="0"/>
        <w:pageBreakBefore w:val="0"/>
        <w:spacing w:before="0" w:after="0" w:line="500" w:lineRule="exact"/>
        <w:rPr>
          <w:rFonts w:hint="default"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18" w:name="_Toc28359082"/>
      <w:r/>
      <w:bookmarkStart w:id="19" w:name="_Toc35393793"/>
      <w:r/>
      <w:bookmarkStart w:id="20" w:name="_Toc35393624"/>
      <w:r/>
      <w:bookmarkStart w:id="21" w:name="_Toc28359005"/>
      <w:r/>
      <w:bookmarkStart w:id="22" w:name="_Toc38985266"/>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自磋商文件公告发布之日起5个工作日</w:t>
      </w:r>
      <w:bookmarkEnd w:id="18"/>
      <w:r/>
      <w:bookmarkEnd w:id="19"/>
      <w:r/>
      <w:bookmarkEnd w:id="20"/>
      <w:r/>
      <w:bookmarkEnd w:id="21"/>
      <w:r/>
      <w:bookmarkEnd w:id="22"/>
      <w:r>
        <w:rPr>
          <w:rFonts w:hint="eastAsia" w:ascii="宋体" w:hAnsi="宋体" w:eastAsia="宋体" w:cs="宋体"/>
          <w:color w:val="auto"/>
          <w:sz w:val="24"/>
          <w:szCs w:val="24"/>
          <w:highlight w:val="none"/>
          <w:shd w:val="clear" w:color="auto" w:fill="auto"/>
          <w:lang w:val="en-US" w:eastAsia="zh-CN" w:bidi="ar-SA"/>
        </w:rPr>
        <w:t xml:space="preserve">；</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2.地点：“苏采云”系统内免费下载（投标人必须在苏采云系统中获取磋商文件，方能参与政府采购项目）；</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4.售价：0元。</w:t>
      </w:r>
      <w:r/>
    </w:p>
    <w:p>
      <w:pPr>
        <w:ind w:left="420"/>
        <w:jc w:val="left"/>
        <w:pageBreakBefore w:val="0"/>
        <w:spacing w:line="500" w:lineRule="exact"/>
        <w:rPr>
          <w:rFonts w:hint="eastAsia" w:asciiTheme="minorEastAsia" w:hAnsiTheme="minorEastAsia" w:eastAsiaTheme="minorEastAsia" w:cstheme="minorEastAsia"/>
          <w:b/>
          <w:bCs/>
          <w:sz w:val="28"/>
          <w:szCs w:val="40"/>
          <w:lang w:val="en-US" w:eastAsia="zh-CN"/>
        </w:rPr>
        <w:outlineLvl w:val="0"/>
      </w:pPr>
      <w:r>
        <w:rPr>
          <w:rFonts w:hint="eastAsia" w:asciiTheme="minorEastAsia" w:hAnsiTheme="minorEastAsia" w:eastAsiaTheme="minorEastAsia" w:cstheme="minorEastAsia"/>
          <w:b/>
          <w:bCs/>
          <w:sz w:val="28"/>
          <w:szCs w:val="40"/>
          <w:lang w:val="en-US" w:eastAsia="zh-CN"/>
        </w:rPr>
        <w:t xml:space="preserve">四、响应文件提交</w:t>
      </w:r>
      <w:r/>
    </w:p>
    <w:p>
      <w:pPr>
        <w:pStyle w:val="671"/>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none"/>
          <w:u w:val="none"/>
          <w:shd w:val="clear" w:color="auto" w:fill="auto"/>
        </w:rPr>
        <w:t xml:space="preserve">2026年</w:t>
      </w:r>
      <w:r>
        <w:rPr>
          <w:rFonts w:hint="eastAsia" w:ascii="宋体" w:hAnsi="宋体" w:eastAsia="宋体" w:cs="宋体"/>
          <w:color w:val="auto"/>
          <w:sz w:val="24"/>
          <w:szCs w:val="24"/>
          <w:highlight w:val="none"/>
          <w:u w:val="none"/>
          <w:shd w:val="clear" w:color="auto" w:fill="auto"/>
          <w:lang w:val="en-US" w:eastAsia="zh-CN"/>
        </w:rPr>
        <w:t xml:space="preserve">11 </w:t>
      </w:r>
      <w:r>
        <w:rPr>
          <w:rFonts w:hint="eastAsia" w:ascii="宋体" w:hAnsi="宋体" w:eastAsia="宋体" w:cs="宋体"/>
          <w:color w:val="auto"/>
          <w:sz w:val="24"/>
          <w:szCs w:val="24"/>
          <w:highlight w:val="none"/>
          <w:u w:val="none"/>
          <w:shd w:val="clear" w:color="auto" w:fill="auto"/>
        </w:rPr>
        <w:t xml:space="preserve">月</w:t>
      </w:r>
      <w:r>
        <w:rPr>
          <w:rFonts w:hint="eastAsia" w:ascii="宋体" w:hAnsi="宋体" w:eastAsia="宋体" w:cs="宋体"/>
          <w:color w:val="auto"/>
          <w:sz w:val="24"/>
          <w:szCs w:val="24"/>
          <w:highlight w:val="none"/>
          <w:u w:val="none"/>
          <w:shd w:val="clear" w:color="auto" w:fill="auto"/>
          <w:lang w:val="en-US" w:eastAsia="zh-CN"/>
        </w:rPr>
        <w:t xml:space="preserve"> 9</w:t>
      </w:r>
      <w:r>
        <w:rPr>
          <w:rFonts w:hint="eastAsia" w:ascii="宋体" w:hAnsi="宋体" w:eastAsia="宋体" w:cs="宋体"/>
          <w:color w:val="auto"/>
          <w:sz w:val="24"/>
          <w:szCs w:val="24"/>
          <w:highlight w:val="none"/>
          <w:u w:val="none"/>
          <w:shd w:val="clear" w:color="auto" w:fill="auto"/>
        </w:rPr>
        <w:t xml:space="preserve">日</w:t>
      </w:r>
      <w:r>
        <w:rPr>
          <w:rFonts w:hint="eastAsia" w:ascii="宋体" w:hAnsi="宋体" w:eastAsia="宋体" w:cs="宋体"/>
          <w:color w:val="auto"/>
          <w:sz w:val="24"/>
          <w:szCs w:val="24"/>
          <w:highlight w:val="none"/>
          <w:u w:val="none"/>
          <w:shd w:val="clear" w:color="auto" w:fill="auto"/>
          <w:lang w:val="en-US" w:eastAsia="zh-CN"/>
        </w:rPr>
        <w:t xml:space="preserve">15</w:t>
      </w:r>
      <w:r>
        <w:rPr>
          <w:rFonts w:hint="eastAsia" w:ascii="宋体" w:hAnsi="宋体" w:eastAsia="宋体" w:cs="宋体"/>
          <w:color w:val="auto"/>
          <w:sz w:val="24"/>
          <w:szCs w:val="24"/>
          <w:highlight w:val="none"/>
          <w:u w:val="none"/>
          <w:shd w:val="clear" w:color="auto" w:fill="auto"/>
        </w:rPr>
        <w:t xml:space="preserve">点00分（北京时间）</w:t>
      </w:r>
      <w:r>
        <w:rPr>
          <w:rFonts w:hint="eastAsia" w:ascii="宋体" w:hAnsi="宋体" w:eastAsia="宋体" w:cs="宋体"/>
          <w:color w:val="auto"/>
          <w:sz w:val="24"/>
          <w:szCs w:val="24"/>
          <w:highlight w:val="none"/>
          <w:u w:val="none"/>
          <w:shd w:val="clear" w:color="auto" w:fill="auto"/>
          <w:lang w:eastAsia="zh-CN"/>
        </w:rPr>
        <w:t xml:space="preserve">；</w:t>
      </w:r>
      <w:r/>
    </w:p>
    <w:p>
      <w:pPr>
        <w:pStyle w:val="671"/>
        <w:ind w:firstLine="482"/>
        <w:jc w:val="both"/>
        <w:keepLines w:val="0"/>
        <w:keepNext w:val="0"/>
        <w:pageBreakBefore w:val="0"/>
        <w:spacing w:beforeAutospacing="0" w:afterAutospacing="0" w:line="500" w:lineRule="exact"/>
        <w:widowControl w:val="off"/>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000000"/>
          <w:sz w:val="24"/>
          <w:szCs w:val="24"/>
          <w:highlight w:val="none"/>
          <w:shd w:val="clear" w:color="auto" w:fill="auto"/>
        </w:rPr>
        <w:t xml:space="preserve">苏采云“不见面”开标大厅</w:t>
      </w:r>
      <w:r>
        <w:rPr>
          <w:rFonts w:hint="eastAsia" w:ascii="宋体" w:hAnsi="宋体" w:eastAsia="宋体" w:cs="宋体"/>
          <w:color w:val="000000"/>
          <w:sz w:val="24"/>
          <w:szCs w:val="24"/>
          <w:highlight w:val="none"/>
          <w:shd w:val="clear" w:color="auto" w:fill="auto"/>
          <w:lang w:eastAsia="zh-CN"/>
        </w:rPr>
        <w:t xml:space="preserve">。</w:t>
      </w:r>
      <w:r/>
    </w:p>
    <w:p>
      <w:pPr>
        <w:ind w:left="420"/>
        <w:jc w:val="left"/>
        <w:pageBreakBefore w:val="0"/>
        <w:spacing w:line="500" w:lineRule="exact"/>
        <w:rPr>
          <w:rFonts w:hint="eastAsia" w:asciiTheme="minorEastAsia" w:hAnsiTheme="minorEastAsia" w:eastAsiaTheme="minorEastAsia" w:cstheme="minorEastAsia"/>
          <w:b/>
          <w:bCs/>
          <w:sz w:val="28"/>
          <w:szCs w:val="40"/>
          <w:lang w:val="en-US" w:eastAsia="zh-CN"/>
        </w:rPr>
        <w:outlineLvl w:val="0"/>
      </w:pPr>
      <w:r/>
      <w:bookmarkStart w:id="23" w:name="_Toc35393795"/>
      <w:r/>
      <w:bookmarkStart w:id="24" w:name="_Toc38985268"/>
      <w:r/>
      <w:bookmarkStart w:id="25" w:name="_Toc35393626"/>
      <w:r>
        <w:rPr>
          <w:rFonts w:hint="eastAsia" w:asciiTheme="minorEastAsia" w:hAnsiTheme="minorEastAsia" w:eastAsiaTheme="minorEastAsia" w:cstheme="minorEastAsia"/>
          <w:b/>
          <w:bCs/>
          <w:sz w:val="28"/>
          <w:szCs w:val="40"/>
          <w:lang w:val="en-US" w:eastAsia="zh-CN"/>
        </w:rPr>
        <w:t xml:space="preserve">五、开启</w:t>
      </w:r>
      <w:r/>
    </w:p>
    <w:p>
      <w:pPr>
        <w:pStyle w:val="671"/>
        <w:ind w:firstLine="482"/>
        <w:jc w:val="both"/>
        <w:keepLines w:val="0"/>
        <w:keepNext w:val="0"/>
        <w:pageBreakBefore w:val="0"/>
        <w:spacing w:beforeAutospacing="0" w:afterAutospacing="0" w:line="50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bookmarkEnd w:id="23"/>
      <w:r/>
      <w:bookmarkEnd w:id="24"/>
      <w:r/>
      <w:bookmarkEnd w:id="25"/>
      <w:r>
        <w:rPr>
          <w:rFonts w:hint="eastAsia" w:ascii="宋体" w:hAnsi="宋体" w:eastAsia="宋体" w:cs="宋体"/>
          <w:i w:val="0"/>
          <w:iCs w:val="0"/>
          <w:caps w:val="0"/>
          <w:color w:val="auto"/>
          <w:spacing w:val="0"/>
          <w:sz w:val="24"/>
          <w:szCs w:val="24"/>
          <w:highlight w:val="none"/>
          <w:shd w:val="clear" w:color="auto" w:fill="auto"/>
        </w:rPr>
        <w:t xml:space="preserve">2026年</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11 </w:t>
      </w:r>
      <w:r>
        <w:rPr>
          <w:rFonts w:hint="eastAsia" w:ascii="宋体" w:hAnsi="宋体" w:eastAsia="宋体" w:cs="宋体"/>
          <w:i w:val="0"/>
          <w:iCs w:val="0"/>
          <w:caps w:val="0"/>
          <w:color w:val="auto"/>
          <w:spacing w:val="0"/>
          <w:sz w:val="24"/>
          <w:szCs w:val="24"/>
          <w:highlight w:val="none"/>
          <w:shd w:val="clear" w:color="auto" w:fill="auto"/>
        </w:rPr>
        <w:t xml:space="preserve">月</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9 </w:t>
      </w:r>
      <w:r>
        <w:rPr>
          <w:rFonts w:hint="eastAsia" w:ascii="宋体" w:hAnsi="宋体" w:eastAsia="宋体" w:cs="宋体"/>
          <w:i w:val="0"/>
          <w:iCs w:val="0"/>
          <w:caps w:val="0"/>
          <w:color w:val="auto"/>
          <w:spacing w:val="0"/>
          <w:sz w:val="24"/>
          <w:szCs w:val="24"/>
          <w:highlight w:val="none"/>
          <w:shd w:val="clear" w:color="auto" w:fill="auto"/>
        </w:rPr>
        <w:t xml:space="preserve">日</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15</w:t>
      </w:r>
      <w:r>
        <w:rPr>
          <w:rFonts w:hint="eastAsia" w:ascii="宋体" w:hAnsi="宋体" w:eastAsia="宋体" w:cs="宋体"/>
          <w:i w:val="0"/>
          <w:iCs w:val="0"/>
          <w:caps w:val="0"/>
          <w:color w:val="auto"/>
          <w:spacing w:val="0"/>
          <w:sz w:val="24"/>
          <w:szCs w:val="24"/>
          <w:highlight w:val="none"/>
          <w:shd w:val="clear" w:color="auto" w:fill="auto"/>
        </w:rPr>
        <w:t xml:space="preserve">点00分（北京时间）</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p>
    <w:p>
      <w:pPr>
        <w:pStyle w:val="671"/>
        <w:ind w:firstLine="482"/>
        <w:jc w:val="both"/>
        <w:keepLines w:val="0"/>
        <w:keepNext w:val="0"/>
        <w:pageBreakBefore w:val="0"/>
        <w:spacing w:beforeAutospacing="0" w:afterAutospacing="0" w:line="500" w:lineRule="exact"/>
        <w:widowControl w:val="off"/>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地点：苏采云“不见面”开标大厅</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p>
    <w:p>
      <w:pPr>
        <w:ind w:left="420"/>
        <w:jc w:val="left"/>
        <w:pageBreakBefore w:val="0"/>
        <w:spacing w:line="500" w:lineRule="exact"/>
        <w:rPr>
          <w:rFonts w:hint="eastAsia" w:asciiTheme="minorEastAsia" w:hAnsiTheme="minorEastAsia" w:eastAsiaTheme="minorEastAsia" w:cstheme="minorEastAsia"/>
          <w:b/>
          <w:bCs/>
          <w:sz w:val="28"/>
          <w:szCs w:val="40"/>
          <w:lang w:val="en-US" w:eastAsia="zh-CN"/>
        </w:rPr>
        <w:outlineLvl w:val="0"/>
      </w:pPr>
      <w:r/>
      <w:bookmarkStart w:id="26" w:name="_Toc28359094"/>
      <w:r>
        <w:rPr>
          <w:rFonts w:hint="eastAsia" w:asciiTheme="minorEastAsia" w:hAnsiTheme="minorEastAsia" w:eastAsiaTheme="minorEastAsia" w:cstheme="minorEastAsia"/>
          <w:b/>
          <w:bCs/>
          <w:sz w:val="28"/>
          <w:szCs w:val="40"/>
          <w:lang w:val="en-US" w:eastAsia="zh-CN"/>
        </w:rPr>
        <w:t xml:space="preserve">六、公告期限</w:t>
      </w:r>
      <w:bookmarkEnd w:id="26"/>
      <w:r/>
      <w:r/>
    </w:p>
    <w:p>
      <w:pPr>
        <w:pStyle w:val="671"/>
        <w:ind w:firstLine="482"/>
        <w:jc w:val="both"/>
        <w:keepLines w:val="0"/>
        <w:keepNext w:val="0"/>
        <w:pageBreakBefore w:val="0"/>
        <w:spacing w:beforeAutospacing="0" w:afterAutospacing="0" w:line="50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自本公告发布之日起5个工作日。</w:t>
      </w:r>
      <w:r/>
    </w:p>
    <w:p>
      <w:pPr>
        <w:ind w:left="420"/>
        <w:jc w:val="left"/>
        <w:pageBreakBefore w:val="0"/>
        <w:spacing w:line="500" w:lineRule="exact"/>
        <w:rPr>
          <w:rFonts w:hint="eastAsia" w:asciiTheme="minorEastAsia" w:hAnsiTheme="minorEastAsia" w:eastAsiaTheme="minorEastAsia" w:cstheme="minorEastAsia"/>
          <w:b/>
          <w:bCs/>
          <w:sz w:val="28"/>
          <w:szCs w:val="40"/>
          <w:lang w:val="en-US" w:eastAsia="zh-CN"/>
        </w:rPr>
        <w:outlineLvl w:val="0"/>
      </w:pPr>
      <w:r>
        <w:rPr>
          <w:rFonts w:hint="eastAsia" w:asciiTheme="minorEastAsia" w:hAnsiTheme="minorEastAsia" w:eastAsiaTheme="minorEastAsia" w:cstheme="minorEastAsia"/>
          <w:b/>
          <w:bCs/>
          <w:sz w:val="28"/>
          <w:szCs w:val="40"/>
          <w:lang w:val="en-US" w:eastAsia="zh-CN"/>
        </w:rPr>
        <w:t xml:space="preserve">七、其他补充事宜</w:t>
      </w:r>
      <w:r/>
    </w:p>
    <w:p>
      <w:pPr>
        <w:pStyle w:val="671"/>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7"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671"/>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2.潜在供应商访问电子招标响应交易平台的网络地址和方法：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2.1“苏采云”系统用户注册--获取“CA 数字证书”--CA 绑定与登录--参与投标--下载磋商文件（后缀名为“.kedt”）--将后缀名为“.kedt”的磋商文件导入政府采购客户端工具--制作响应文件--导出加密的响应文件（后缀名为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2.2 潜在供应商访问“苏采云”系统方法：江苏省政府采购网首页-“苏采云”链接。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2.3 磋商文件（后缀名为“.kedt”）、供应商操作手册及政府采购客户端工具可通过“苏采云”系统相应链接进行下载。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2.4 采购代理机构将数据电文形式的磋商文件加载至“苏采云”系统，供潜在供应商下载或者查阅。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2.5 请潜在供应商提前安装相应的控件（详见《“苏采云”系统供应商操作手册》）并使用谷歌浏览器登录“苏采云”系统参与不见面开评标。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如潜在供应商未按上述要求操作，将自行承担所产生的风险。</w:t>
      </w:r>
      <w:r/>
    </w:p>
    <w:p>
      <w:pPr>
        <w:pStyle w:val="671"/>
        <w:ind w:right="0" w:firstLine="48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3.有关本次磋商的事项若存在变动或修改，敬请及时关注</w:t>
      </w:r>
      <w:r>
        <w:rPr>
          <w:rFonts w:hint="eastAsia" w:ascii="宋体" w:hAnsi="宋体"/>
          <w:color w:val="000000"/>
          <w:sz w:val="24"/>
          <w:szCs w:val="32"/>
          <w:highlight w:val="none"/>
          <w:lang w:val="en-US" w:eastAsia="zh-CN"/>
        </w:rPr>
        <w:t xml:space="preserve">采购代理机构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在</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江苏政府采购网”“盐城市政府采购网”发布的更正公告。</w:t>
      </w:r>
      <w:r/>
    </w:p>
    <w:p>
      <w:pPr>
        <w:pStyle w:val="671"/>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4.本次磋商不收取磋商保证金，不收取质量保证金。</w:t>
      </w:r>
      <w:r/>
    </w:p>
    <w:p>
      <w:pPr>
        <w:ind w:left="420"/>
        <w:jc w:val="left"/>
        <w:pageBreakBefore w:val="0"/>
        <w:spacing w:line="500" w:lineRule="exact"/>
        <w:rPr>
          <w:rFonts w:hint="eastAsia" w:asciiTheme="minorEastAsia" w:hAnsiTheme="minorEastAsia" w:eastAsiaTheme="minorEastAsia" w:cstheme="minorEastAsia"/>
          <w:b/>
          <w:bCs/>
          <w:sz w:val="28"/>
          <w:szCs w:val="40"/>
          <w:lang w:val="en-US" w:eastAsia="zh-CN"/>
        </w:rPr>
        <w:outlineLvl w:val="0"/>
      </w:pPr>
      <w:r>
        <w:rPr>
          <w:rFonts w:hint="eastAsia" w:asciiTheme="minorEastAsia" w:hAnsiTheme="minorEastAsia" w:eastAsiaTheme="minorEastAsia" w:cstheme="minorEastAsia"/>
          <w:b/>
          <w:bCs/>
          <w:sz w:val="28"/>
          <w:szCs w:val="40"/>
          <w:lang w:val="en-US" w:eastAsia="zh-CN"/>
        </w:rPr>
        <w:t xml:space="preserve">八、凡对本次采购提出询问，请按以下方式联系。</w:t>
      </w:r>
      <w:bookmarkEnd w:id="27"/>
      <w:r/>
      <w:r/>
    </w:p>
    <w:p>
      <w:pPr>
        <w:pStyle w:val="671"/>
        <w:ind w:firstLine="480"/>
        <w:jc w:val="both"/>
        <w:pageBreakBefore w:val="0"/>
        <w:spacing w:beforeAutospacing="0" w:afterAutospacing="0" w:line="500" w:lineRule="exact"/>
        <w:rPr>
          <w:rFonts w:ascii="宋体" w:hAnsi="宋体" w:eastAsia="宋体" w:cs="宋体"/>
          <w:color w:val="000000"/>
        </w:rPr>
      </w:pPr>
      <w:r/>
      <w:bookmarkStart w:id="28" w:name="_Toc35393806"/>
      <w:r/>
      <w:bookmarkStart w:id="29" w:name="_Toc28359096"/>
      <w:r/>
      <w:bookmarkStart w:id="30" w:name="_Toc28359019"/>
      <w:r/>
      <w:bookmarkStart w:id="31" w:name="_Toc35393637"/>
      <w:r>
        <w:rPr>
          <w:rFonts w:hint="eastAsia" w:ascii="宋体" w:hAnsi="宋体" w:eastAsia="宋体" w:cs="宋体"/>
          <w:color w:val="000000"/>
        </w:rPr>
        <w:t xml:space="preserve">1.采购人信息</w:t>
      </w:r>
      <w:bookmarkEnd w:id="28"/>
      <w:r/>
      <w:bookmarkEnd w:id="29"/>
      <w:r/>
      <w:bookmarkEnd w:id="30"/>
      <w:r/>
      <w:bookmarkEnd w:id="31"/>
      <w:r/>
      <w:r/>
    </w:p>
    <w:p>
      <w:pPr>
        <w:ind w:firstLine="480"/>
        <w:pageBreakBefore w:val="0"/>
        <w:spacing w:line="500" w:lineRule="exact"/>
        <w:rPr>
          <w:rFonts w:ascii="宋体" w:hAnsi="宋体" w:eastAsia="宋体" w:cs="宋体"/>
          <w:color w:val="000000"/>
          <w:sz w:val="24"/>
        </w:rPr>
      </w:pPr>
      <w:r/>
      <w:bookmarkStart w:id="32" w:name="_Toc35393638"/>
      <w:r/>
      <w:bookmarkStart w:id="33" w:name="_Toc35393807"/>
      <w:r/>
      <w:bookmarkStart w:id="34" w:name="_Toc28359020"/>
      <w:r/>
      <w:bookmarkStart w:id="35" w:name="_Toc28359097"/>
      <w:r>
        <w:rPr>
          <w:rFonts w:hint="eastAsia" w:ascii="宋体" w:hAnsi="宋体" w:eastAsia="宋体" w:cs="宋体"/>
          <w:color w:val="000000"/>
          <w:sz w:val="24"/>
        </w:rPr>
        <w:t xml:space="preserve">名    称：射阳县农业农村局</w:t>
      </w:r>
      <w:r/>
    </w:p>
    <w:p>
      <w:pPr>
        <w:ind w:firstLine="480"/>
        <w:pageBreakBefore w:val="0"/>
        <w:spacing w:line="500" w:lineRule="exact"/>
        <w:rPr>
          <w:rFonts w:ascii="宋体" w:hAnsi="宋体" w:eastAsia="宋体" w:cs="宋体"/>
          <w:color w:val="000000"/>
          <w:sz w:val="24"/>
        </w:rPr>
      </w:pPr>
      <w:r>
        <w:rPr>
          <w:rFonts w:hint="eastAsia" w:ascii="宋体" w:hAnsi="宋体" w:eastAsia="宋体" w:cs="宋体"/>
          <w:color w:val="000000"/>
          <w:sz w:val="24"/>
        </w:rPr>
        <w:t xml:space="preserve">地    址：射阳县鹤都路</w:t>
      </w:r>
      <w:r/>
    </w:p>
    <w:p>
      <w:pPr>
        <w:ind w:firstLine="480"/>
        <w:pageBreakBefore w:val="0"/>
        <w:spacing w:line="500" w:lineRule="exact"/>
        <w:rPr>
          <w:rFonts w:ascii="宋体" w:hAnsi="宋体" w:eastAsia="宋体" w:cs="宋体"/>
          <w:color w:val="000000"/>
          <w:sz w:val="24"/>
        </w:rPr>
      </w:pPr>
      <w:r>
        <w:rPr>
          <w:rFonts w:hint="eastAsia" w:ascii="宋体" w:hAnsi="宋体" w:eastAsia="宋体" w:cs="宋体"/>
          <w:color w:val="000000"/>
          <w:sz w:val="24"/>
        </w:rPr>
        <w:t xml:space="preserve">电    话：0515-89286428</w:t>
      </w:r>
      <w:r/>
    </w:p>
    <w:p>
      <w:pPr>
        <w:pStyle w:val="671"/>
        <w:ind w:firstLine="480"/>
        <w:jc w:val="both"/>
        <w:pageBreakBefore w:val="0"/>
        <w:spacing w:beforeAutospacing="0" w:afterAutospacing="0" w:line="500" w:lineRule="exact"/>
        <w:rPr>
          <w:rFonts w:ascii="宋体" w:hAnsi="宋体" w:eastAsia="宋体" w:cs="宋体"/>
          <w:color w:val="000000"/>
        </w:rPr>
      </w:pPr>
      <w:r>
        <w:rPr>
          <w:rFonts w:ascii="宋体" w:hAnsi="宋体" w:eastAsia="宋体" w:cs="宋体"/>
          <w:color w:val="000000"/>
        </w:rPr>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2.采购代理机构信息</w:t>
      </w:r>
      <w:bookmarkEnd w:id="32"/>
      <w:r/>
      <w:bookmarkEnd w:id="33"/>
      <w:r/>
      <w:bookmarkEnd w:id="34"/>
      <w:r/>
      <w:bookmarkEnd w:id="35"/>
      <w:r/>
      <w:r/>
    </w:p>
    <w:p>
      <w:pPr>
        <w:ind w:firstLine="480"/>
        <w:pageBreakBefore w:val="0"/>
        <w:spacing w:line="500" w:lineRule="exact"/>
        <w:rPr>
          <w:rFonts w:ascii="宋体" w:hAnsi="宋体" w:eastAsia="宋体" w:cs="宋体"/>
          <w:color w:val="000000"/>
          <w:sz w:val="24"/>
        </w:rPr>
      </w:pPr>
      <w:r/>
      <w:bookmarkStart w:id="36" w:name="_Toc28359021"/>
      <w:r/>
      <w:bookmarkStart w:id="37" w:name="_Toc35393808"/>
      <w:r/>
      <w:bookmarkStart w:id="38" w:name="_Toc35393639"/>
      <w:r/>
      <w:bookmarkStart w:id="39" w:name="_Toc28359098"/>
      <w:r>
        <w:rPr>
          <w:rFonts w:hint="eastAsia" w:ascii="宋体" w:hAnsi="宋体" w:eastAsia="宋体" w:cs="宋体"/>
          <w:color w:val="000000"/>
          <w:sz w:val="24"/>
        </w:rPr>
        <w:t xml:space="preserve">名    称：</w:t>
      </w:r>
      <w:r>
        <w:rPr>
          <w:rFonts w:hint="eastAsia" w:ascii="宋体" w:hAnsi="宋体"/>
          <w:sz w:val="24"/>
        </w:rPr>
        <w:t xml:space="preserve">江苏鑫缘项目管理有限公司</w:t>
      </w:r>
      <w:r/>
    </w:p>
    <w:p>
      <w:pPr>
        <w:ind w:firstLine="480"/>
        <w:pageBreakBefore w:val="0"/>
        <w:spacing w:line="500" w:lineRule="exact"/>
        <w:rPr>
          <w:rFonts w:hint="eastAsia" w:ascii="宋体" w:hAnsi="宋体"/>
          <w:sz w:val="24"/>
        </w:rPr>
      </w:pPr>
      <w:r>
        <w:rPr>
          <w:rFonts w:hint="eastAsia" w:ascii="宋体" w:hAnsi="宋体" w:eastAsia="宋体" w:cs="宋体"/>
          <w:color w:val="000000"/>
          <w:sz w:val="24"/>
        </w:rPr>
        <w:t xml:space="preserve">地　　址：</w:t>
      </w:r>
      <w:r>
        <w:rPr>
          <w:rFonts w:hint="eastAsia" w:ascii="宋体" w:hAnsi="宋体"/>
          <w:sz w:val="24"/>
        </w:rPr>
        <w:t xml:space="preserve">射阳县五洲国际广场B区5号楼17层</w:t>
      </w:r>
      <w:r/>
    </w:p>
    <w:p>
      <w:pPr>
        <w:ind w:firstLine="480"/>
        <w:pageBreakBefore w:val="0"/>
        <w:spacing w:line="500" w:lineRule="exact"/>
        <w:rPr>
          <w:rFonts w:ascii="宋体" w:hAnsi="宋体" w:eastAsia="宋体" w:cs="宋体"/>
          <w:color w:val="000000"/>
          <w:sz w:val="24"/>
        </w:rPr>
      </w:pPr>
      <w:r>
        <w:rPr>
          <w:rFonts w:hint="eastAsia" w:ascii="宋体" w:hAnsi="宋体" w:eastAsia="宋体" w:cs="宋体"/>
          <w:color w:val="000000"/>
          <w:sz w:val="24"/>
        </w:rPr>
        <w:t xml:space="preserve">联系方式：0515-82307666  15396733999</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3.项目联系方式</w:t>
      </w:r>
      <w:bookmarkEnd w:id="36"/>
      <w:r/>
      <w:bookmarkEnd w:id="37"/>
      <w:r/>
      <w:bookmarkEnd w:id="38"/>
      <w:r/>
      <w:bookmarkEnd w:id="39"/>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项目联系人：黄工</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电　　 话： 15396733999</w:t>
      </w:r>
      <w:r/>
    </w:p>
    <w:p>
      <w:pPr>
        <w:pStyle w:val="671"/>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ageBreakBefore w:val="0"/>
        <w:spacing w:line="500" w:lineRule="exact"/>
        <w:rPr>
          <w:rFonts w:hint="eastAsia" w:ascii="仿宋" w:hAnsi="仿宋" w:eastAsia="仿宋" w:cs="仿宋"/>
          <w:b/>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br w:type="page" w:clear="all"/>
      </w:r>
      <w:r/>
    </w:p>
    <w:p>
      <w:pPr>
        <w:pStyle w:val="671"/>
        <w:ind w:right="840"/>
        <w:jc w:val="center"/>
        <w:pageBreakBefore w:val="0"/>
        <w:spacing w:beforeAutospacing="0" w:afterAutospacing="0" w:line="500" w:lineRule="exact"/>
        <w:rPr>
          <w:color w:val="auto"/>
          <w:highlight w:val="none"/>
        </w:rPr>
        <w:outlineLvl w:val="0"/>
      </w:pPr>
      <w:r/>
      <w:bookmarkStart w:id="40" w:name="_Toc120614211"/>
      <w:r>
        <w:rPr>
          <w:rFonts w:hint="eastAsia" w:ascii="黑体" w:hAnsi="宋体" w:eastAsia="黑体" w:cs="黑体"/>
          <w:b/>
          <w:color w:val="auto"/>
          <w:sz w:val="44"/>
          <w:szCs w:val="44"/>
          <w:highlight w:val="none"/>
        </w:rPr>
        <w:t xml:space="preserve">第二章  </w:t>
      </w:r>
      <w:bookmarkEnd w:id="40"/>
      <w:r>
        <w:rPr>
          <w:rFonts w:hint="eastAsia" w:ascii="黑体" w:hAnsi="宋体" w:eastAsia="黑体" w:cs="黑体"/>
          <w:b/>
          <w:color w:val="auto"/>
          <w:sz w:val="44"/>
          <w:szCs w:val="44"/>
          <w:highlight w:val="none"/>
        </w:rPr>
        <w:t xml:space="preserve">供应商须知</w:t>
      </w:r>
      <w:r/>
    </w:p>
    <w:p>
      <w:pPr>
        <w:pStyle w:val="671"/>
        <w:ind w:firstLine="498"/>
        <w:jc w:val="both"/>
        <w:keepLines/>
        <w:keepNext/>
        <w:pageBreakBefore w:val="0"/>
        <w:spacing w:before="145" w:beforeAutospacing="0" w:after="145" w:afterAutospacing="0" w:line="500" w:lineRule="exact"/>
        <w:rPr>
          <w:rFonts w:hint="eastAsia" w:ascii="宋体" w:hAnsi="宋体" w:eastAsia="宋体" w:cs="宋体"/>
          <w:color w:val="auto"/>
          <w:sz w:val="24"/>
          <w:szCs w:val="24"/>
          <w:highlight w:val="none"/>
        </w:rPr>
        <w:outlineLvl w:val="0"/>
      </w:pPr>
      <w:r/>
      <w:bookmarkStart w:id="41" w:name="_Toc20823275"/>
      <w:r/>
      <w:bookmarkStart w:id="42" w:name="_Toc16938519"/>
      <w:r/>
      <w:bookmarkStart w:id="43" w:name="_Toc120614214"/>
      <w:r/>
      <w:bookmarkStart w:id="44" w:name="_Toc513029203"/>
      <w:r>
        <w:rPr>
          <w:rFonts w:hint="eastAsia" w:ascii="宋体" w:hAnsi="宋体" w:eastAsia="宋体" w:cs="宋体"/>
          <w:b/>
          <w:color w:val="auto"/>
          <w:sz w:val="24"/>
          <w:szCs w:val="24"/>
          <w:highlight w:val="none"/>
        </w:rPr>
        <w:t xml:space="preserve">一、总则</w:t>
      </w:r>
      <w:bookmarkEnd w:id="41"/>
      <w:r/>
      <w:bookmarkEnd w:id="42"/>
      <w:r/>
      <w:bookmarkEnd w:id="43"/>
      <w:r/>
      <w:bookmarkEnd w:id="44"/>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bookmarkStart w:id="45" w:name="_Toc20823276"/>
      <w:r/>
      <w:bookmarkStart w:id="46" w:name="_Toc458694821"/>
      <w:r/>
      <w:bookmarkStart w:id="47" w:name="_Toc16938520"/>
      <w:r/>
      <w:bookmarkStart w:id="48" w:name="_Toc513029204"/>
      <w:r/>
      <w:bookmarkStart w:id="49" w:name="_Hlt16619475"/>
      <w:r>
        <w:rPr>
          <w:rFonts w:hint="eastAsia" w:ascii="宋体" w:hAnsi="宋体" w:eastAsia="宋体" w:cs="宋体"/>
          <w:color w:val="auto"/>
          <w:sz w:val="24"/>
          <w:szCs w:val="24"/>
          <w:highlight w:val="none"/>
        </w:rPr>
        <w:t xml:space="preserve">1</w:t>
      </w:r>
      <w:bookmarkEnd w:id="45"/>
      <w:r>
        <w:rPr>
          <w:rFonts w:hint="eastAsia" w:ascii="宋体" w:hAnsi="宋体" w:eastAsia="宋体" w:cs="宋体"/>
          <w:color w:val="auto"/>
          <w:sz w:val="24"/>
          <w:szCs w:val="24"/>
          <w:highlight w:val="none"/>
        </w:rPr>
        <w:t xml:space="preserve">、采购方式</w:t>
      </w:r>
      <w:bookmarkEnd w:id="46"/>
      <w:r/>
      <w:bookmarkEnd w:id="47"/>
      <w:r/>
      <w:bookmarkEnd w:id="48"/>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bookmarkStart w:id="50" w:name="_Toc16938521"/>
      <w:r/>
      <w:bookmarkStart w:id="51" w:name="_Toc513029205"/>
      <w:r/>
      <w:bookmarkStart w:id="52" w:name="_Toc20823277"/>
      <w:r>
        <w:rPr>
          <w:rFonts w:hint="eastAsia" w:ascii="宋体" w:hAnsi="宋体" w:eastAsia="宋体" w:cs="宋体"/>
          <w:color w:val="auto"/>
          <w:sz w:val="24"/>
          <w:szCs w:val="24"/>
          <w:highlight w:val="none"/>
        </w:rPr>
        <w:t xml:space="preserve">2、合格的</w:t>
      </w:r>
      <w:bookmarkEnd w:id="50"/>
      <w:r/>
      <w:bookmarkEnd w:id="51"/>
      <w:r/>
      <w:bookmarkEnd w:id="52"/>
      <w:r>
        <w:rPr>
          <w:rFonts w:hint="eastAsia" w:ascii="宋体" w:hAnsi="宋体" w:eastAsia="宋体" w:cs="宋体"/>
          <w:color w:val="auto"/>
          <w:sz w:val="24"/>
          <w:szCs w:val="24"/>
          <w:highlight w:val="none"/>
        </w:rPr>
        <w:t xml:space="preserve">供应商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480"/>
        <w:pageBreakBefore w:val="0"/>
        <w:spacing w:line="500" w:lineRule="exact"/>
        <w:widowControl w:val="off"/>
        <w:rPr>
          <w:rFonts w:hint="eastAsia" w:ascii="方正魏碑_GBK" w:hAnsi="方正魏碑_GBK" w:eastAsia="方正魏碑_GBK" w:cs="方正魏碑_GBK"/>
          <w:color w:val="auto"/>
          <w:sz w:val="24"/>
          <w:szCs w:val="21"/>
        </w:rPr>
        <w:outlineLvl w:val="1"/>
      </w:pPr>
      <w:r/>
      <w:bookmarkStart w:id="53" w:name="_Toc20823278"/>
      <w:r/>
      <w:bookmarkStart w:id="54" w:name="_Toc513029206"/>
      <w:r/>
      <w:bookmarkStart w:id="55" w:name="_Toc16938522"/>
      <w:r/>
      <w:bookmarkStart w:id="56" w:name="_Toc16938523"/>
      <w:r/>
      <w:bookmarkStart w:id="57" w:name="_Toc20823279"/>
      <w:r/>
      <w:bookmarkStart w:id="58" w:name="_Toc513029207"/>
      <w:r/>
      <w:bookmarkStart w:id="59" w:name="_Toc462564067"/>
      <w:r>
        <w:rPr>
          <w:rFonts w:hint="eastAsia" w:ascii="方正魏碑_GBK" w:hAnsi="方正魏碑_GBK" w:eastAsia="方正魏碑_GBK" w:cs="方正魏碑_GBK"/>
          <w:color w:val="auto"/>
          <w:sz w:val="24"/>
          <w:szCs w:val="21"/>
        </w:rPr>
        <w:t xml:space="preserve">3、适用法律</w:t>
      </w:r>
      <w:bookmarkEnd w:id="53"/>
      <w:r/>
      <w:bookmarkEnd w:id="54"/>
      <w:r/>
      <w:bookmarkEnd w:id="55"/>
      <w:r>
        <w:rPr>
          <w:rFonts w:hint="eastAsia" w:ascii="方正魏碑_GBK" w:hAnsi="方正魏碑_GBK" w:eastAsia="方正魏碑_GBK" w:cs="方正魏碑_GBK"/>
          <w:color w:val="auto"/>
          <w:sz w:val="24"/>
          <w:szCs w:val="21"/>
        </w:rPr>
        <w:t xml:space="preserve">和标准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4、磋商费用</w:t>
      </w:r>
      <w:bookmarkEnd w:id="56"/>
      <w:r/>
      <w:bookmarkEnd w:id="57"/>
      <w:r/>
      <w:bookmarkEnd w:id="58"/>
      <w:r/>
      <w:bookmarkEnd w:id="59"/>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4.1供应商应自行承担所有与参加本次磋商有关的费用，无论磋商过程中的做法和结果如何，采购人和</w:t>
      </w:r>
      <w:r>
        <w:rPr>
          <w:rFonts w:hint="eastAsia" w:ascii="宋体" w:hAnsi="宋体" w:eastAsia="宋体" w:cs="宋体"/>
          <w:color w:val="auto"/>
          <w:sz w:val="24"/>
          <w:szCs w:val="24"/>
          <w:highlight w:val="none"/>
          <w:lang w:eastAsia="zh-CN"/>
        </w:rPr>
        <w:t xml:space="preserve">江苏鑫缘项目管理有限公司</w:t>
      </w:r>
      <w:r>
        <w:rPr>
          <w:rFonts w:hint="eastAsia" w:ascii="宋体" w:hAnsi="宋体" w:eastAsia="宋体" w:cs="宋体"/>
          <w:color w:val="auto"/>
          <w:sz w:val="24"/>
          <w:szCs w:val="24"/>
          <w:highlight w:val="none"/>
        </w:rPr>
        <w:t xml:space="preserve">（以下简称代理机构）在任何情况下均无义务和责任承担这些费用。</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4.2本次磋商采购代理机构和采购人不收取标书工本费。</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b w:val="0"/>
          <w:bCs/>
          <w:color w:val="auto"/>
          <w:sz w:val="24"/>
          <w:szCs w:val="24"/>
          <w:highlight w:val="none"/>
        </w:rPr>
        <w:t xml:space="preserve">5、磋商</w:t>
      </w:r>
      <w:r>
        <w:rPr>
          <w:rFonts w:hint="eastAsia" w:ascii="宋体" w:hAnsi="宋体" w:eastAsia="宋体" w:cs="宋体"/>
          <w:color w:val="auto"/>
          <w:sz w:val="24"/>
          <w:szCs w:val="24"/>
          <w:highlight w:val="none"/>
        </w:rPr>
        <w:t xml:space="preserve">文件的约束力</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pStyle w:val="671"/>
        <w:ind w:firstLine="321"/>
        <w:jc w:val="both"/>
        <w:keepLines/>
        <w:keepNext/>
        <w:pageBreakBefore w:val="0"/>
        <w:spacing w:before="145" w:beforeAutospacing="0" w:after="145" w:afterAutospacing="0" w:line="500" w:lineRule="exact"/>
        <w:rPr>
          <w:rFonts w:hint="eastAsia" w:ascii="宋体" w:hAnsi="宋体" w:eastAsia="宋体" w:cs="宋体"/>
          <w:color w:val="auto"/>
          <w:sz w:val="24"/>
          <w:szCs w:val="24"/>
          <w:highlight w:val="none"/>
        </w:rPr>
        <w:outlineLvl w:val="0"/>
      </w:pPr>
      <w:r/>
      <w:bookmarkStart w:id="60" w:name="_Toc16938525"/>
      <w:r/>
      <w:bookmarkStart w:id="61" w:name="_Toc120614215"/>
      <w:r/>
      <w:bookmarkStart w:id="62" w:name="_Toc20823281"/>
      <w:r/>
      <w:bookmarkStart w:id="63" w:name="_Toc513029209"/>
      <w:r>
        <w:rPr>
          <w:rFonts w:hint="eastAsia" w:ascii="宋体" w:hAnsi="宋体" w:eastAsia="宋体" w:cs="宋体"/>
          <w:b/>
          <w:color w:val="auto"/>
          <w:sz w:val="24"/>
          <w:szCs w:val="24"/>
          <w:highlight w:val="none"/>
        </w:rPr>
        <w:t xml:space="preserve">二、</w:t>
      </w:r>
      <w:bookmarkEnd w:id="60"/>
      <w:r/>
      <w:bookmarkEnd w:id="61"/>
      <w:r/>
      <w:bookmarkEnd w:id="62"/>
      <w:r/>
      <w:bookmarkEnd w:id="63"/>
      <w:r>
        <w:rPr>
          <w:rFonts w:hint="eastAsia" w:ascii="宋体" w:hAnsi="宋体" w:eastAsia="宋体" w:cs="宋体"/>
          <w:b/>
          <w:color w:val="auto"/>
          <w:sz w:val="24"/>
          <w:szCs w:val="24"/>
          <w:highlight w:val="none"/>
        </w:rPr>
        <w:t xml:space="preserve">磋商文件</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bookmarkStart w:id="64" w:name="_Toc20823282"/>
      <w:r/>
      <w:bookmarkStart w:id="65" w:name="_Toc16938526"/>
      <w:r/>
      <w:bookmarkStart w:id="66" w:name="_Toc513029210"/>
      <w:r>
        <w:rPr>
          <w:rFonts w:hint="eastAsia" w:ascii="宋体" w:hAnsi="宋体" w:eastAsia="宋体" w:cs="宋体"/>
          <w:color w:val="auto"/>
          <w:sz w:val="24"/>
          <w:szCs w:val="24"/>
          <w:highlight w:val="none"/>
        </w:rPr>
        <w:t xml:space="preserve">6、磋商文件构成</w:t>
      </w:r>
      <w:bookmarkEnd w:id="64"/>
      <w:r/>
      <w:bookmarkEnd w:id="65"/>
      <w:r/>
      <w:bookmarkEnd w:id="66"/>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pStyle w:val="671"/>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pStyle w:val="671"/>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pStyle w:val="671"/>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71"/>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71"/>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pStyle w:val="671"/>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请仔细检查磋商文件是否齐全，如有缺漏请立即与采购人或采购代理机构联系解决。</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bookmarkStart w:id="67" w:name="_Toc20823283"/>
      <w:r/>
      <w:bookmarkStart w:id="68" w:name="_Toc513029211"/>
      <w:r/>
      <w:bookmarkStart w:id="69" w:name="_Toc462564070"/>
      <w:r/>
      <w:bookmarkStart w:id="70" w:name="_Toc16938527"/>
      <w:r>
        <w:rPr>
          <w:rFonts w:hint="eastAsia" w:ascii="宋体" w:hAnsi="宋体" w:eastAsia="宋体" w:cs="宋体"/>
          <w:color w:val="auto"/>
          <w:sz w:val="24"/>
          <w:szCs w:val="24"/>
          <w:highlight w:val="none"/>
        </w:rPr>
        <w:t xml:space="preserve">7、磋商文件的澄清</w:t>
      </w:r>
      <w:bookmarkEnd w:id="67"/>
      <w:r/>
      <w:bookmarkEnd w:id="68"/>
      <w:r/>
      <w:bookmarkEnd w:id="69"/>
      <w:r/>
      <w:bookmarkEnd w:id="70"/>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7.1任何要求对磋商文件进行澄清的供应商，应在磋商截止期5日前按磋商公告中的通讯地址，以书面形式通知采购人或采购代理机构。</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bookmarkStart w:id="71" w:name="_Toc513029212"/>
      <w:r/>
      <w:bookmarkStart w:id="72" w:name="_Toc20823284"/>
      <w:r/>
      <w:bookmarkStart w:id="73" w:name="_Toc462564071"/>
      <w:r/>
      <w:bookmarkStart w:id="74" w:name="_Toc16938528"/>
      <w:r>
        <w:rPr>
          <w:rFonts w:hint="eastAsia" w:ascii="宋体" w:hAnsi="宋体" w:eastAsia="宋体" w:cs="宋体"/>
          <w:color w:val="auto"/>
          <w:sz w:val="24"/>
          <w:szCs w:val="24"/>
          <w:highlight w:val="none"/>
        </w:rPr>
        <w:t xml:space="preserve">8、磋商文件的澄清和修改</w:t>
      </w:r>
      <w:bookmarkEnd w:id="71"/>
      <w:r/>
      <w:bookmarkEnd w:id="72"/>
      <w:r/>
      <w:bookmarkEnd w:id="73"/>
      <w:r/>
      <w:bookmarkEnd w:id="74"/>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在响应</w:t>
      </w:r>
      <w:r>
        <w:rPr>
          <w:rFonts w:hint="eastAsia" w:ascii="宋体" w:hAnsi="宋体" w:eastAsia="宋体" w:cs="宋体"/>
          <w:color w:val="auto"/>
          <w:sz w:val="24"/>
          <w:szCs w:val="24"/>
          <w:highlight w:val="none"/>
        </w:rPr>
        <w:t xml:space="preserve">文件提交截止时间前，采购人可以对磋商文件进行澄清和修改,澄清或者修改的内容作为磋商文件的组成部分。澄清或者修改的内容可能影响响应文件编制的，采购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将在提交首次响应文件截止时间至少5日前，在“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盐城市政府采购网”上发布书面更正公告形式通知所有获取磋商文件的供应商, 更正公告内容将作为磋商文件的组成部分，并对供应商具有约束力。不足5日的，采购人或采购代理机构将顺延提交首次响应文件截止时间</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pStyle w:val="671"/>
        <w:ind w:firstLine="482"/>
        <w:jc w:val="both"/>
        <w:keepLines/>
        <w:keepNext/>
        <w:pageBreakBefore w:val="0"/>
        <w:spacing w:before="145" w:beforeAutospacing="0" w:after="145" w:afterAutospacing="0" w:line="500" w:lineRule="exact"/>
        <w:rPr>
          <w:rFonts w:hint="eastAsia" w:ascii="宋体" w:hAnsi="宋体" w:eastAsia="宋体" w:cs="宋体"/>
          <w:color w:val="auto"/>
          <w:sz w:val="24"/>
          <w:szCs w:val="24"/>
          <w:highlight w:val="none"/>
        </w:rPr>
        <w:outlineLvl w:val="0"/>
      </w:pPr>
      <w:r/>
      <w:bookmarkStart w:id="75" w:name="_Toc20823285"/>
      <w:r/>
      <w:bookmarkStart w:id="76" w:name="_Toc16938529"/>
      <w:r/>
      <w:bookmarkStart w:id="77" w:name="_Toc513029213"/>
      <w:r/>
      <w:bookmarkStart w:id="78" w:name="_Toc120614216"/>
      <w:r/>
      <w:bookmarkStart w:id="79" w:name="_Toc462564072"/>
      <w:r>
        <w:rPr>
          <w:rFonts w:hint="eastAsia" w:ascii="宋体" w:hAnsi="宋体" w:eastAsia="宋体" w:cs="宋体"/>
          <w:b/>
          <w:color w:val="auto"/>
          <w:sz w:val="24"/>
          <w:szCs w:val="24"/>
          <w:highlight w:val="none"/>
        </w:rPr>
        <w:t xml:space="preserve">三、响应文件的编制</w:t>
      </w:r>
      <w:bookmarkEnd w:id="75"/>
      <w:r/>
      <w:bookmarkEnd w:id="76"/>
      <w:r/>
      <w:bookmarkEnd w:id="77"/>
      <w:r/>
      <w:bookmarkEnd w:id="78"/>
      <w:r/>
      <w:bookmarkEnd w:id="79"/>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bookmarkStart w:id="80" w:name="_Toc20823286"/>
      <w:r/>
      <w:bookmarkStart w:id="81" w:name="_Toc513029214"/>
      <w:r/>
      <w:bookmarkStart w:id="82" w:name="_Toc16938530"/>
      <w:r/>
      <w:bookmarkStart w:id="83" w:name="_Toc462564073"/>
      <w:r>
        <w:rPr>
          <w:rFonts w:hint="eastAsia" w:ascii="宋体" w:hAnsi="宋体" w:eastAsia="宋体" w:cs="宋体"/>
          <w:color w:val="auto"/>
          <w:sz w:val="24"/>
          <w:szCs w:val="24"/>
          <w:highlight w:val="none"/>
        </w:rPr>
        <w:t xml:space="preserve">9、响应文件的语言及度量衡单位</w:t>
      </w:r>
      <w:bookmarkEnd w:id="80"/>
      <w:r/>
      <w:bookmarkEnd w:id="81"/>
      <w:r/>
      <w:bookmarkEnd w:id="82"/>
      <w:r/>
      <w:bookmarkEnd w:id="83"/>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9.1供应商提交的响应文件以及供应商与采购人或采购代理机构就有关磋商的所有来往通知、函件和文件均应使用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bookmarkStart w:id="84" w:name="_Toc513029215"/>
      <w:r/>
      <w:bookmarkStart w:id="85" w:name="_Toc16938531"/>
      <w:r/>
      <w:bookmarkStart w:id="86" w:name="_Toc20823287"/>
      <w:r/>
      <w:bookmarkStart w:id="87" w:name="_Toc462564074"/>
      <w:r>
        <w:rPr>
          <w:rFonts w:hint="eastAsia" w:ascii="宋体" w:hAnsi="宋体" w:eastAsia="宋体" w:cs="宋体"/>
          <w:color w:val="auto"/>
          <w:sz w:val="24"/>
          <w:szCs w:val="24"/>
          <w:highlight w:val="none"/>
        </w:rPr>
        <w:t xml:space="preserve">10、响应文件构成</w:t>
      </w:r>
      <w:bookmarkEnd w:id="84"/>
      <w:r/>
      <w:bookmarkEnd w:id="85"/>
      <w:r/>
      <w:bookmarkEnd w:id="86"/>
      <w:r/>
      <w:bookmarkEnd w:id="87"/>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10.1供应商编写的响应文件应包括资格证明文件、符合性证明文件、分项报价表、其他证明文件、磋商响应函等部分。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盐城市政府采购网”发布的磋商文件为准。</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bookmarkStart w:id="88" w:name="_Toc14577355"/>
      <w:r/>
      <w:bookmarkStart w:id="89" w:name="_Toc49090507"/>
      <w:r/>
      <w:bookmarkStart w:id="90" w:name="_Toc49090508"/>
      <w:r/>
      <w:bookmarkStart w:id="91" w:name="_Toc49090509"/>
      <w:r/>
      <w:bookmarkStart w:id="92" w:name="_Toc14577354"/>
      <w:r/>
      <w:bookmarkStart w:id="93" w:name="_Toc513029219"/>
      <w:r/>
      <w:bookmarkStart w:id="94" w:name="_Toc14577357"/>
      <w:r/>
      <w:bookmarkStart w:id="95" w:name="_Toc513029216"/>
      <w:r/>
      <w:bookmarkStart w:id="96" w:name="_Hlt26954838"/>
      <w:r/>
      <w:bookmarkStart w:id="97" w:name="_Hlt26670360"/>
      <w:r/>
      <w:bookmarkStart w:id="98" w:name="_Hlt26668975"/>
      <w:r>
        <w:rPr>
          <w:rFonts w:hint="eastAsia" w:ascii="宋体" w:hAnsi="宋体" w:eastAsia="宋体" w:cs="宋体"/>
          <w:color w:val="auto"/>
          <w:sz w:val="24"/>
          <w:szCs w:val="24"/>
          <w:highlight w:val="none"/>
        </w:rPr>
        <w:t xml:space="preserve">11、证明磋商响应标的符合磋商文件规定的文件</w:t>
      </w:r>
      <w:bookmarkEnd w:id="88"/>
      <w:r/>
      <w:bookmarkEnd w:id="89"/>
      <w:r/>
      <w:bookmarkEnd w:id="90"/>
      <w:r/>
      <w:bookmarkEnd w:id="91"/>
      <w:r/>
      <w:bookmarkEnd w:id="92"/>
      <w:r/>
      <w:bookmarkEnd w:id="93"/>
      <w:r/>
      <w:bookmarkEnd w:id="94"/>
      <w:r/>
      <w:bookmarkEnd w:id="95"/>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12、分项报价表</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12.1供应商应按照磋商文件规定格式填报分项报价表。</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pStyle w:val="671"/>
        <w:ind w:firstLine="480"/>
        <w:jc w:val="both"/>
        <w:pageBreakBefore w:val="0"/>
        <w:spacing w:beforeAutospacing="0" w:afterAutospacing="0" w:line="500" w:lineRule="exact"/>
        <w:widowControl w:val="off"/>
        <w:rPr>
          <w:rFonts w:hint="eastAsia" w:ascii="宋体" w:hAnsi="宋体" w:eastAsia="宋体" w:cs="宋体"/>
          <w:b w:val="0"/>
          <w:bCs w:val="0"/>
          <w:color w:val="000000"/>
          <w:lang w:val="en-US" w:eastAsia="zh-CN"/>
        </w:rPr>
        <w:outlineLvl w:val="9"/>
      </w:pPr>
      <w:r/>
      <w:bookmarkStart w:id="99" w:name="_Hlt26670486"/>
      <w:r/>
      <w:bookmarkStart w:id="100" w:name="_Hlt26670482"/>
      <w:r/>
      <w:bookmarkStart w:id="101" w:name="_Hlt26954731"/>
      <w:r/>
      <w:bookmarkStart w:id="102" w:name="_Hlt26954846"/>
      <w:r/>
      <w:bookmarkStart w:id="103" w:name="_Hlt26954848"/>
      <w:r>
        <w:rPr>
          <w:rFonts w:hint="eastAsia" w:ascii="宋体" w:hAnsi="宋体" w:eastAsia="宋体" w:cs="宋体"/>
          <w:b w:val="0"/>
          <w:bCs w:val="0"/>
          <w:color w:val="000000"/>
          <w:lang w:val="en-US" w:eastAsia="zh-CN"/>
        </w:rPr>
        <w:t xml:space="preserve">12.3其他费用处理</w:t>
      </w:r>
      <w:r/>
    </w:p>
    <w:p>
      <w:pPr>
        <w:pStyle w:val="671"/>
        <w:ind w:firstLine="480"/>
        <w:jc w:val="both"/>
        <w:pageBreakBefore w:val="0"/>
        <w:spacing w:beforeAutospacing="0" w:afterAutospacing="0" w:line="500" w:lineRule="exact"/>
        <w:widowControl w:val="off"/>
        <w:rPr>
          <w:rFonts w:hint="eastAsia" w:ascii="宋体" w:hAnsi="宋体" w:eastAsia="宋体" w:cs="宋体"/>
          <w:b w:val="0"/>
          <w:bCs w:val="0"/>
          <w:color w:val="000000"/>
          <w:lang w:val="en-US" w:eastAsia="zh-CN"/>
        </w:rPr>
        <w:outlineLvl w:val="9"/>
      </w:pPr>
      <w:r>
        <w:rPr>
          <w:rFonts w:hint="eastAsia" w:ascii="宋体" w:hAnsi="宋体" w:eastAsia="宋体" w:cs="宋体"/>
          <w:b w:val="0"/>
          <w:bCs w:val="0"/>
          <w:color w:val="000000"/>
          <w:lang w:val="en-US" w:eastAsia="zh-CN"/>
        </w:rPr>
        <w:t xml:space="preserve">本次采购磋商供应商的总报价应包括磋商供应商为完成竞争性磋商文件所确定的招标范围内的全部服务工作内容所发生的一切费用。</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000000"/>
          <w:lang w:val="en-US" w:eastAsia="zh-CN"/>
        </w:rPr>
        <w:t xml:space="preserve">磋商文件未列明，而磋商供应商认为必需的费用也需列入报价。</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13、资格性审查响应对照表、符合性检查响应对照表</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13.1供应商需对磋商文件中的资格要求与符合要求逐项作出响应或偏离，并说明原因。</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14、服务承诺、培训计划、人员安排及其他</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14.2供应商需根据磋商文件要求提供培训计划。</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14.3供应商需根据磋商文件要求提供磋商响应标的的主要组成部分、功能设计、实现思路及关键技术等。</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bookmarkStart w:id="104" w:name="_Toc49090510"/>
      <w:r/>
      <w:bookmarkStart w:id="105" w:name="_Toc14577359"/>
      <w:r>
        <w:rPr>
          <w:rFonts w:hint="eastAsia" w:ascii="宋体" w:hAnsi="宋体" w:eastAsia="宋体" w:cs="宋体"/>
          <w:color w:val="auto"/>
          <w:sz w:val="24"/>
          <w:szCs w:val="24"/>
          <w:highlight w:val="none"/>
        </w:rPr>
        <w:t xml:space="preserve">15、磋商响应函</w:t>
      </w:r>
      <w:bookmarkEnd w:id="104"/>
      <w:r/>
      <w:bookmarkEnd w:id="105"/>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bookmarkStart w:id="106" w:name="_Toc49090511"/>
      <w:r/>
      <w:bookmarkStart w:id="107" w:name="_Toc14577360"/>
      <w:r>
        <w:rPr>
          <w:rFonts w:hint="eastAsia" w:ascii="宋体" w:hAnsi="宋体" w:eastAsia="宋体" w:cs="宋体"/>
          <w:color w:val="auto"/>
          <w:sz w:val="24"/>
          <w:szCs w:val="24"/>
          <w:highlight w:val="none"/>
        </w:rPr>
        <w:t xml:space="preserve">16、磋商有效期</w:t>
      </w:r>
      <w:bookmarkEnd w:id="106"/>
      <w:r/>
      <w:bookmarkEnd w:id="107"/>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16.1磋商有效期为采购代理机构规定的提交响应文件截止之日后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17、磋商有效期的延长</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671"/>
        <w:ind w:firstLine="482"/>
        <w:jc w:val="both"/>
        <w:keepLines/>
        <w:keepNext/>
        <w:pageBreakBefore w:val="0"/>
        <w:spacing w:before="145" w:beforeAutospacing="0" w:after="145" w:afterAutospacing="0" w:line="500" w:lineRule="exact"/>
        <w:rPr>
          <w:rFonts w:hint="eastAsia" w:ascii="宋体" w:hAnsi="宋体" w:eastAsia="宋体" w:cs="宋体"/>
          <w:color w:val="auto"/>
          <w:sz w:val="24"/>
          <w:szCs w:val="24"/>
          <w:highlight w:val="none"/>
        </w:rPr>
        <w:outlineLvl w:val="0"/>
      </w:pPr>
      <w:r/>
      <w:bookmarkStart w:id="108" w:name="_Toc20823296"/>
      <w:r/>
      <w:bookmarkStart w:id="109" w:name="_Toc16938540"/>
      <w:r/>
      <w:bookmarkStart w:id="110" w:name="_Toc513029224"/>
      <w:r/>
      <w:bookmarkStart w:id="111" w:name="_Toc120614217"/>
      <w:r/>
      <w:bookmarkStart w:id="112" w:name="_Hlt26954739"/>
      <w:r/>
      <w:bookmarkStart w:id="113" w:name="_Hlt26954852"/>
      <w:r>
        <w:rPr>
          <w:rFonts w:hint="eastAsia" w:ascii="宋体" w:hAnsi="宋体" w:eastAsia="宋体" w:cs="宋体"/>
          <w:b/>
          <w:color w:val="auto"/>
          <w:sz w:val="24"/>
          <w:szCs w:val="24"/>
          <w:highlight w:val="none"/>
        </w:rPr>
        <w:t xml:space="preserve">四、响应文件的递交</w:t>
      </w:r>
      <w:bookmarkEnd w:id="108"/>
      <w:r/>
      <w:bookmarkEnd w:id="109"/>
      <w:r/>
      <w:bookmarkEnd w:id="110"/>
      <w:r/>
      <w:bookmarkEnd w:id="111"/>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bookmarkStart w:id="114" w:name="_Toc20823297"/>
      <w:r/>
      <w:bookmarkStart w:id="115" w:name="_Toc462564084"/>
      <w:r/>
      <w:bookmarkStart w:id="116" w:name="_Toc513029225"/>
      <w:r/>
      <w:bookmarkStart w:id="117" w:name="_Toc16938541"/>
      <w:r>
        <w:rPr>
          <w:rFonts w:hint="eastAsia" w:ascii="宋体" w:hAnsi="宋体" w:eastAsia="宋体" w:cs="宋体"/>
          <w:color w:val="auto"/>
          <w:sz w:val="24"/>
          <w:szCs w:val="24"/>
          <w:highlight w:val="none"/>
        </w:rPr>
        <w:t xml:space="preserve">18、电子磋商</w:t>
      </w:r>
      <w:bookmarkEnd w:id="114"/>
      <w:r/>
      <w:bookmarkEnd w:id="115"/>
      <w:r/>
      <w:bookmarkEnd w:id="116"/>
      <w:r/>
      <w:bookmarkEnd w:id="117"/>
      <w:r>
        <w:rPr>
          <w:rFonts w:hint="eastAsia" w:ascii="宋体" w:hAnsi="宋体" w:eastAsia="宋体" w:cs="宋体"/>
          <w:color w:val="auto"/>
          <w:sz w:val="24"/>
          <w:szCs w:val="24"/>
          <w:highlight w:val="none"/>
        </w:rPr>
        <w:t xml:space="preserve">响应文件的递交</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18" w:name="_Toc20823298"/>
      <w:r/>
      <w:bookmarkEnd w:id="118"/>
      <w:r/>
      <w:bookmarkStart w:id="119" w:name="_Toc16938542"/>
      <w:r/>
      <w:bookmarkEnd w:id="119"/>
      <w:r/>
      <w:bookmarkStart w:id="120" w:name="_Toc513029226"/>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19、提交响应文件截止时间</w:t>
      </w:r>
      <w:r/>
    </w:p>
    <w:p>
      <w:pPr>
        <w:pStyle w:val="671"/>
        <w:ind w:firstLine="482"/>
        <w:jc w:val="both"/>
        <w:pageBreakBefore w:val="0"/>
        <w:spacing w:beforeAutospacing="0" w:afterAutospacing="0"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i/>
          <w:color w:val="auto"/>
          <w:sz w:val="24"/>
          <w:szCs w:val="24"/>
          <w:highlight w:val="none"/>
          <w:u w:val="single"/>
        </w:rPr>
        <w:t xml:space="preserve">19.1供应商上传电子响应文件的时间不得迟于磋商公告中规定的提交响应文件截止时间。</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采购人或采购代理机构可以按照规定，通过修改磋商文件酌情延长提交响应文件截止日期，在此情况下，供应商的所有权利和义务以及供应商受制的截止日期均应以延长后新的截止日期为准。</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bookmarkStart w:id="121" w:name="_Toc513029227"/>
      <w:r/>
      <w:bookmarkStart w:id="122" w:name="_Toc20823299"/>
      <w:r/>
      <w:bookmarkStart w:id="123" w:name="_Toc16938543"/>
      <w:r>
        <w:rPr>
          <w:rFonts w:hint="eastAsia" w:ascii="宋体" w:hAnsi="宋体" w:eastAsia="宋体" w:cs="宋体"/>
          <w:color w:val="auto"/>
          <w:sz w:val="24"/>
          <w:szCs w:val="24"/>
          <w:highlight w:val="none"/>
        </w:rPr>
        <w:t xml:space="preserve">20、响应文件</w:t>
      </w:r>
      <w:bookmarkEnd w:id="121"/>
      <w:r/>
      <w:bookmarkEnd w:id="122"/>
      <w:r/>
      <w:bookmarkEnd w:id="123"/>
      <w:r>
        <w:rPr>
          <w:rFonts w:hint="eastAsia" w:ascii="宋体" w:hAnsi="宋体" w:eastAsia="宋体" w:cs="宋体"/>
          <w:color w:val="auto"/>
          <w:sz w:val="24"/>
          <w:szCs w:val="24"/>
          <w:highlight w:val="none"/>
        </w:rPr>
        <w:t xml:space="preserve">的拒收</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采购代理机构拒绝接收在其规定的提交响应文件截止时间后上传的任何电子响应文件。</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bookmarkStart w:id="124" w:name="_Toc513029228"/>
      <w:r/>
      <w:bookmarkStart w:id="125" w:name="_Toc16938544"/>
      <w:r/>
      <w:bookmarkStart w:id="126" w:name="_Toc20823300"/>
      <w:r>
        <w:rPr>
          <w:rFonts w:hint="eastAsia" w:ascii="宋体" w:hAnsi="宋体" w:eastAsia="宋体" w:cs="宋体"/>
          <w:color w:val="auto"/>
          <w:sz w:val="24"/>
          <w:szCs w:val="24"/>
          <w:highlight w:val="none"/>
        </w:rPr>
        <w:t xml:space="preserve">21、响应文件的撤回和修改</w:t>
      </w:r>
      <w:bookmarkEnd w:id="124"/>
      <w:r/>
      <w:bookmarkEnd w:id="125"/>
      <w:r/>
      <w:bookmarkEnd w:id="126"/>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在提交响应文件截止时间之后，供应商不得对其电子响应文件作任何修改。</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bookmarkStart w:id="127" w:name="_Toc513029229"/>
      <w:r/>
      <w:bookmarkStart w:id="128" w:name="_Toc120614218"/>
      <w:r/>
      <w:bookmarkStart w:id="129" w:name="_Toc16938545"/>
      <w:r/>
      <w:bookmarkStart w:id="130" w:name="_Toc20823301"/>
      <w:r/>
      <w:r/>
    </w:p>
    <w:p>
      <w:pPr>
        <w:pStyle w:val="671"/>
        <w:ind w:firstLine="480"/>
        <w:jc w:val="both"/>
        <w:pageBreakBefore w:val="0"/>
        <w:spacing w:beforeAutospacing="0" w:afterAutospacing="0" w:line="50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五、响应文件的解密与评审</w:t>
      </w:r>
      <w:bookmarkEnd w:id="127"/>
      <w:r/>
      <w:bookmarkEnd w:id="128"/>
      <w:r/>
      <w:bookmarkEnd w:id="129"/>
      <w:r/>
      <w:bookmarkEnd w:id="130"/>
      <w:r/>
      <w:bookmarkStart w:id="131" w:name="_Toc513029230"/>
      <w:r/>
      <w:bookmarkStart w:id="132" w:name="_Toc16938546"/>
      <w:r/>
      <w:bookmarkStart w:id="133" w:name="_Toc20823302"/>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22、</w:t>
      </w:r>
      <w:bookmarkEnd w:id="131"/>
      <w:r/>
      <w:bookmarkEnd w:id="132"/>
      <w:r/>
      <w:bookmarkEnd w:id="133"/>
      <w:r>
        <w:rPr>
          <w:rFonts w:hint="eastAsia" w:ascii="宋体" w:hAnsi="宋体" w:eastAsia="宋体" w:cs="宋体"/>
          <w:color w:val="auto"/>
          <w:sz w:val="24"/>
          <w:szCs w:val="24"/>
          <w:highlight w:val="none"/>
        </w:rPr>
        <w:t xml:space="preserve">响应文件解密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bookmarkStart w:id="134" w:name="_Toc513029231"/>
      <w:r/>
      <w:bookmarkStart w:id="135" w:name="_Toc20823303"/>
      <w:r/>
      <w:bookmarkStart w:id="136" w:name="_Toc16938547"/>
      <w:r>
        <w:rPr>
          <w:rFonts w:hint="eastAsia" w:ascii="宋体" w:hAnsi="宋体" w:eastAsia="宋体" w:cs="宋体"/>
          <w:color w:val="auto"/>
          <w:sz w:val="24"/>
          <w:szCs w:val="24"/>
          <w:highlight w:val="none"/>
        </w:rPr>
        <w:t xml:space="preserve">23、磋商小组</w:t>
      </w:r>
      <w:bookmarkEnd w:id="134"/>
      <w:r/>
      <w:bookmarkEnd w:id="135"/>
      <w:r/>
      <w:bookmarkEnd w:id="136"/>
      <w:r/>
      <w:r/>
    </w:p>
    <w:p>
      <w:pPr>
        <w:pStyle w:val="671"/>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pStyle w:val="671"/>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23.2磋商小组独立工作，负责评审所有响应文件并确定成交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24、评审过程的保密与公正</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无效响应文件。</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24.3在项目评审期间，采购代理机构将设专门人员与供应商联系。</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000000"/>
          <w:lang w:val="en-US" w:eastAsia="zh-CN"/>
        </w:rPr>
        <w:t xml:space="preserve">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bookmarkStart w:id="137" w:name="_Toc513029232"/>
      <w:r/>
      <w:bookmarkStart w:id="138" w:name="_Toc20823304"/>
      <w:r/>
      <w:bookmarkStart w:id="139" w:name="_Toc16938548"/>
      <w:r>
        <w:rPr>
          <w:rFonts w:hint="eastAsia" w:ascii="宋体" w:hAnsi="宋体" w:eastAsia="宋体" w:cs="宋体"/>
          <w:color w:val="auto"/>
          <w:sz w:val="24"/>
          <w:szCs w:val="24"/>
          <w:highlight w:val="none"/>
        </w:rPr>
        <w:t xml:space="preserve">25、评审过程中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澄清</w:t>
      </w:r>
      <w:bookmarkEnd w:id="137"/>
      <w:r/>
      <w:bookmarkEnd w:id="138"/>
      <w:r/>
      <w:bookmarkEnd w:id="139"/>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pStyle w:val="671"/>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71"/>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 接到磋商小组澄清、说明和更正要求的供应商如未按规定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澄清、说明和更正，其风险由供应商自行承担。</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bookmarkStart w:id="140" w:name="_Toc16938549"/>
      <w:r/>
      <w:bookmarkStart w:id="141" w:name="_Toc20823305"/>
      <w:r/>
      <w:bookmarkStart w:id="142" w:name="_Toc513029233"/>
      <w:r>
        <w:rPr>
          <w:rFonts w:hint="eastAsia" w:ascii="宋体" w:hAnsi="宋体" w:eastAsia="宋体" w:cs="宋体"/>
          <w:color w:val="auto"/>
          <w:sz w:val="24"/>
          <w:szCs w:val="24"/>
          <w:highlight w:val="none"/>
        </w:rPr>
        <w:t xml:space="preserve">26、对响应文件的审</w:t>
      </w:r>
      <w:bookmarkEnd w:id="140"/>
      <w:r/>
      <w:bookmarkEnd w:id="141"/>
      <w:r/>
      <w:bookmarkEnd w:id="142"/>
      <w:r>
        <w:rPr>
          <w:rFonts w:hint="eastAsia" w:ascii="宋体" w:hAnsi="宋体" w:eastAsia="宋体" w:cs="宋体"/>
          <w:color w:val="auto"/>
          <w:sz w:val="24"/>
          <w:szCs w:val="24"/>
          <w:highlight w:val="none"/>
        </w:rPr>
        <w:t xml:space="preserve">查</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eastAsia="宋体" w:cs="宋体"/>
          <w:i/>
          <w:color w:val="auto"/>
          <w:sz w:val="24"/>
          <w:szCs w:val="24"/>
          <w:highlight w:val="none"/>
          <w:u w:val="single"/>
        </w:rPr>
        <w:t xml:space="preserve">（本磋商文件中斜体且有下划线部分为实质性要求和条件）。</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71"/>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26.3.10</w:t>
      </w:r>
      <w:r>
        <w:rPr>
          <w:rFonts w:hint="eastAsia" w:ascii="宋体" w:hAnsi="宋体" w:eastAsia="宋体" w:cs="宋体"/>
          <w:color w:val="ff0000"/>
          <w:sz w:val="24"/>
          <w:szCs w:val="24"/>
          <w:highlight w:val="none"/>
          <w:lang w:val="en-US" w:eastAsia="zh-CN"/>
        </w:rPr>
        <w:t xml:space="preserve">供应商</w:t>
      </w:r>
      <w:r>
        <w:rPr>
          <w:rFonts w:hint="eastAsia" w:ascii="宋体" w:hAnsi="宋体" w:eastAsia="宋体" w:cs="宋体"/>
          <w:color w:val="ff0000"/>
          <w:sz w:val="24"/>
          <w:szCs w:val="24"/>
          <w:highlight w:val="none"/>
        </w:rPr>
        <w:t xml:space="preserve">不能证明其报价合理性的，</w:t>
      </w:r>
      <w:r>
        <w:rPr>
          <w:rFonts w:hint="eastAsia" w:ascii="宋体" w:hAnsi="宋体" w:eastAsia="宋体" w:cs="宋体"/>
          <w:color w:val="ff0000"/>
          <w:sz w:val="24"/>
          <w:szCs w:val="24"/>
          <w:highlight w:val="none"/>
          <w:lang w:val="en-US" w:eastAsia="zh-CN"/>
        </w:rPr>
        <w:t xml:space="preserve">磋商小组</w:t>
      </w:r>
      <w:r>
        <w:rPr>
          <w:rFonts w:hint="eastAsia" w:ascii="宋体" w:hAnsi="宋体" w:eastAsia="宋体" w:cs="宋体"/>
          <w:color w:val="ff0000"/>
          <w:sz w:val="24"/>
          <w:szCs w:val="24"/>
          <w:highlight w:val="none"/>
        </w:rPr>
        <w:t xml:space="preserve">应当将其作为无效</w:t>
      </w:r>
      <w:r>
        <w:rPr>
          <w:rFonts w:hint="eastAsia" w:ascii="宋体" w:hAnsi="宋体" w:eastAsia="宋体" w:cs="宋体"/>
          <w:color w:val="ff0000"/>
          <w:sz w:val="24"/>
          <w:szCs w:val="24"/>
          <w:highlight w:val="none"/>
          <w:lang w:val="en-US" w:eastAsia="zh-CN" w:bidi="ar-SA"/>
        </w:rPr>
        <w:t xml:space="preserve">响应</w:t>
      </w:r>
      <w:r>
        <w:rPr>
          <w:rFonts w:hint="eastAsia" w:ascii="宋体" w:hAnsi="宋体" w:eastAsia="宋体" w:cs="宋体"/>
          <w:color w:val="ff0000"/>
          <w:sz w:val="24"/>
          <w:szCs w:val="24"/>
          <w:highlight w:val="none"/>
        </w:rPr>
        <w:t xml:space="preserve">处理。</w:t>
      </w:r>
      <w:r/>
    </w:p>
    <w:p>
      <w:pPr>
        <w:pStyle w:val="671"/>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（一）评审过程中出现下列情形之一的，</w:t>
      </w:r>
      <w:r>
        <w:rPr>
          <w:rFonts w:hint="eastAsia" w:ascii="宋体" w:hAnsi="宋体" w:eastAsia="宋体" w:cs="宋体"/>
          <w:color w:val="ff0000"/>
          <w:sz w:val="24"/>
          <w:szCs w:val="24"/>
          <w:highlight w:val="none"/>
          <w:lang w:val="en-US" w:eastAsia="zh-CN"/>
        </w:rPr>
        <w:t xml:space="preserve">磋商小组</w:t>
      </w:r>
      <w:r>
        <w:rPr>
          <w:rFonts w:hint="eastAsia" w:ascii="宋体" w:hAnsi="宋体" w:eastAsia="宋体" w:cs="宋体"/>
          <w:color w:val="ff0000"/>
          <w:sz w:val="24"/>
          <w:szCs w:val="24"/>
          <w:highlight w:val="none"/>
          <w:lang w:val="en-US" w:eastAsia="zh-CN" w:bidi="ar-SA"/>
        </w:rPr>
        <w:t xml:space="preserve">应当启动异常低价响应审查程序：</w:t>
      </w:r>
      <w:r/>
    </w:p>
    <w:p>
      <w:pPr>
        <w:pStyle w:val="671"/>
        <w:ind w:left="0" w:right="0" w:firstLine="480"/>
        <w:jc w:val="both"/>
        <w:pageBreakBefore w:val="0"/>
        <w:spacing w:before="0" w:beforeAutospacing="0" w:after="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71"/>
        <w:ind w:left="0" w:right="0" w:firstLine="480"/>
        <w:jc w:val="both"/>
        <w:pageBreakBefore w:val="0"/>
        <w:spacing w:before="0" w:beforeAutospacing="0" w:after="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71"/>
        <w:ind w:left="0" w:right="0" w:firstLine="480"/>
        <w:jc w:val="both"/>
        <w:pageBreakBefore w:val="0"/>
        <w:spacing w:before="0" w:beforeAutospacing="0" w:after="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3.投标（响应）报价低于采购项目最高限价45%的，即投标（响应）报价&lt;采购项目最高限价×45%；</w:t>
      </w:r>
      <w:r/>
    </w:p>
    <w:p>
      <w:pPr>
        <w:pStyle w:val="671"/>
        <w:ind w:left="0" w:right="0" w:firstLine="480"/>
        <w:jc w:val="both"/>
        <w:pageBreakBefore w:val="0"/>
        <w:spacing w:before="0" w:beforeAutospacing="0" w:after="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71"/>
        <w:ind w:left="0" w:right="0" w:firstLine="480"/>
        <w:jc w:val="both"/>
        <w:pageBreakBefore w:val="0"/>
        <w:spacing w:before="0" w:beforeAutospacing="0" w:after="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671"/>
        <w:ind w:left="0" w:right="0" w:firstLine="480"/>
        <w:jc w:val="both"/>
        <w:pageBreakBefore w:val="0"/>
        <w:spacing w:before="0" w:beforeAutospacing="0" w:after="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pStyle w:val="671"/>
        <w:ind w:left="0" w:right="0" w:firstLine="480"/>
        <w:jc w:val="both"/>
        <w:pageBreakBefore w:val="0"/>
        <w:spacing w:before="0" w:beforeAutospacing="0" w:after="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  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71"/>
        <w:ind w:left="0" w:right="0" w:firstLine="480"/>
        <w:jc w:val="both"/>
        <w:pageBreakBefore w:val="0"/>
        <w:spacing w:before="0" w:beforeAutospacing="0" w:after="0" w:afterAutospacing="0" w:line="500" w:lineRule="exact"/>
        <w:widowControl w:val="off"/>
        <w:rPr>
          <w:color w:val="ff0000"/>
        </w:rPr>
      </w:pPr>
      <w:r>
        <w:rPr>
          <w:rFonts w:hint="eastAsia" w:ascii="宋体" w:hAnsi="宋体" w:eastAsia="宋体" w:cs="宋体"/>
          <w:color w:val="ff0000"/>
          <w:sz w:val="24"/>
          <w:szCs w:val="24"/>
          <w:highlight w:val="none"/>
          <w:lang w:val="en-US" w:eastAsia="zh-CN" w:bidi="ar-SA"/>
        </w:rPr>
        <w:t xml:space="preserve">异常低价响应审查的启动原因、审查意见和审查结果应当在评审报告中记录，并随供应商提供的相关书面说明及证明材料，以及评审委员会有关互联网浏览、查询历史一并归档。</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未实质性响应磋商文件的响应文件按无效响应处理。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合要求的偏离或保留而使其成为实质性响应的文件。</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3" w:name="_Toc20823306"/>
      <w:r/>
      <w:bookmarkStart w:id="144" w:name="_Toc16938550"/>
      <w:r/>
      <w:bookmarkStart w:id="145" w:name="_Toc513029234"/>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及磋商小组联系。</w:t>
      </w:r>
      <w:bookmarkEnd w:id="143"/>
      <w:r/>
      <w:bookmarkEnd w:id="144"/>
      <w:r/>
      <w:bookmarkEnd w:id="145"/>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27、磋商程序及评审方法和评审标准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27.1磋商程序</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27.2 评审方法和评审标准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27.3采购活动终止的情况</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过程中符合要求的供应商或者最后报价未超过采购预算的供应商不足3家的。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pStyle w:val="671"/>
        <w:ind w:firstLine="482"/>
        <w:jc w:val="both"/>
        <w:keepLines/>
        <w:keepNext/>
        <w:pageBreakBefore w:val="0"/>
        <w:spacing w:before="145" w:beforeAutospacing="0" w:after="145" w:afterAutospacing="0" w:line="500" w:lineRule="exact"/>
        <w:rPr>
          <w:rFonts w:hint="eastAsia" w:ascii="宋体" w:hAnsi="宋体" w:eastAsia="宋体" w:cs="宋体"/>
          <w:color w:val="auto"/>
          <w:sz w:val="24"/>
          <w:szCs w:val="24"/>
          <w:highlight w:val="none"/>
        </w:rPr>
        <w:outlineLvl w:val="0"/>
      </w:pPr>
      <w:r/>
      <w:bookmarkStart w:id="146" w:name="_Toc16938551"/>
      <w:r/>
      <w:bookmarkStart w:id="147" w:name="_Toc20823307"/>
      <w:r/>
      <w:bookmarkStart w:id="148" w:name="_Toc513029235"/>
      <w:r/>
      <w:bookmarkStart w:id="149" w:name="_Toc120614219"/>
      <w:r>
        <w:rPr>
          <w:rFonts w:hint="eastAsia" w:ascii="宋体" w:hAnsi="宋体" w:eastAsia="宋体" w:cs="宋体"/>
          <w:b/>
          <w:color w:val="auto"/>
          <w:sz w:val="24"/>
          <w:szCs w:val="24"/>
          <w:highlight w:val="none"/>
        </w:rPr>
        <w:t xml:space="preserve">六、</w:t>
      </w:r>
      <w:bookmarkEnd w:id="146"/>
      <w:r/>
      <w:bookmarkEnd w:id="147"/>
      <w:r/>
      <w:bookmarkEnd w:id="148"/>
      <w:r/>
      <w:bookmarkEnd w:id="149"/>
      <w:r>
        <w:rPr>
          <w:rFonts w:hint="eastAsia" w:ascii="宋体" w:hAnsi="宋体" w:eastAsia="宋体" w:cs="宋体"/>
          <w:b/>
          <w:color w:val="auto"/>
          <w:sz w:val="24"/>
          <w:szCs w:val="24"/>
          <w:highlight w:val="none"/>
        </w:rPr>
        <w:t xml:space="preserve">成交</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bookmarkStart w:id="150" w:name="_Toc20823310"/>
      <w:r/>
      <w:bookmarkStart w:id="151" w:name="_Toc513029238"/>
      <w:r/>
      <w:bookmarkStart w:id="152" w:name="_Toc16938554"/>
      <w:r>
        <w:rPr>
          <w:rFonts w:hint="eastAsia" w:ascii="宋体" w:hAnsi="宋体" w:eastAsia="宋体" w:cs="宋体"/>
          <w:color w:val="auto"/>
          <w:sz w:val="24"/>
          <w:szCs w:val="24"/>
          <w:highlight w:val="none"/>
        </w:rPr>
        <w:t xml:space="preserve">28、</w:t>
      </w:r>
      <w:bookmarkEnd w:id="150"/>
      <w:r>
        <w:rPr>
          <w:rFonts w:hint="eastAsia" w:ascii="宋体" w:hAnsi="宋体" w:eastAsia="宋体" w:cs="宋体"/>
          <w:color w:val="auto"/>
          <w:sz w:val="24"/>
          <w:szCs w:val="24"/>
          <w:highlight w:val="none"/>
        </w:rPr>
        <w:t xml:space="preserve">确定</w:t>
      </w:r>
      <w:bookmarkEnd w:id="151"/>
      <w:r/>
      <w:bookmarkEnd w:id="152"/>
      <w:r>
        <w:rPr>
          <w:rFonts w:hint="eastAsia" w:ascii="宋体" w:hAnsi="宋体" w:eastAsia="宋体" w:cs="宋体"/>
          <w:color w:val="auto"/>
          <w:sz w:val="24"/>
          <w:szCs w:val="24"/>
          <w:highlight w:val="none"/>
        </w:rPr>
        <w:t xml:space="preserve">成交单位</w:t>
      </w:r>
      <w:r/>
    </w:p>
    <w:p>
      <w:pPr>
        <w:pStyle w:val="671"/>
        <w:ind w:firstLine="478"/>
        <w:jc w:val="both"/>
        <w:pageBreakBefore w:val="0"/>
        <w:spacing w:beforeAutospacing="0" w:after="145" w:afterAutospacing="0" w:line="50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盐城市政府采购网”发布成交结果公告，公告期限为1个工作日。</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工作人员恶意串通的。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bookmarkStart w:id="153" w:name="_Toc200451960"/>
      <w:r>
        <w:rPr>
          <w:rFonts w:hint="eastAsia" w:ascii="宋体" w:hAnsi="宋体" w:eastAsia="宋体" w:cs="宋体"/>
          <w:color w:val="auto"/>
          <w:sz w:val="24"/>
          <w:szCs w:val="24"/>
          <w:highlight w:val="none"/>
        </w:rPr>
        <w:t xml:space="preserve">29、质疑处理</w:t>
      </w:r>
      <w:bookmarkEnd w:id="153"/>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文件的，可以对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过程和</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671"/>
        <w:ind w:firstLine="48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文件提出质疑的，为收到</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文件之日或者</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29.2.3对成交结果提出质疑的，为成交结果公告期限届满之日。</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负责答复。</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只接收以纸质原件形式送达的质疑,采购人和采购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采购人质疑接收人及联系方式见磋商文件第一章。</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质疑人（或授权委托人）须是投标单位正式员工，授权委托人须提供投标单位为其缴纳的本年度近期社保证明。</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质疑必须有参加投标单位法定代表人或授权代表（响应文件中所确定的）签字,并加盖供应商公章,以书面送达的方式提交。未按上述要求提交的质疑函（含传真、电子邮件等非书面送达方式）采购人有权不予受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pStyle w:val="671"/>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30、成交通知书</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71"/>
        <w:ind w:firstLine="482"/>
        <w:jc w:val="both"/>
        <w:keepLines/>
        <w:keepNext/>
        <w:pageBreakBefore w:val="0"/>
        <w:spacing w:before="145" w:beforeAutospacing="0" w:after="145" w:afterAutospacing="0" w:line="500" w:lineRule="exact"/>
        <w:rPr>
          <w:rFonts w:hint="eastAsia" w:ascii="宋体" w:hAnsi="宋体" w:eastAsia="宋体" w:cs="宋体"/>
          <w:color w:val="auto"/>
          <w:sz w:val="24"/>
          <w:szCs w:val="24"/>
          <w:highlight w:val="none"/>
        </w:rPr>
        <w:outlineLvl w:val="0"/>
      </w:pPr>
      <w:r/>
      <w:bookmarkStart w:id="154" w:name="_Toc16938552"/>
      <w:r/>
      <w:bookmarkStart w:id="155" w:name="_Toc20823308"/>
      <w:r/>
      <w:bookmarkStart w:id="156" w:name="_Toc513029236"/>
      <w:r/>
      <w:bookmarkStart w:id="157" w:name="_Toc120614220"/>
      <w:r>
        <w:rPr>
          <w:rFonts w:hint="eastAsia" w:ascii="宋体" w:hAnsi="宋体" w:eastAsia="宋体" w:cs="宋体"/>
          <w:b/>
          <w:color w:val="auto"/>
          <w:sz w:val="24"/>
          <w:szCs w:val="24"/>
          <w:highlight w:val="none"/>
        </w:rPr>
        <w:t xml:space="preserve">七、授予合同</w:t>
      </w:r>
      <w:bookmarkEnd w:id="154"/>
      <w:r/>
      <w:bookmarkEnd w:id="155"/>
      <w:r/>
      <w:bookmarkEnd w:id="156"/>
      <w:r/>
      <w:bookmarkEnd w:id="157"/>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outlineLvl w:val="1"/>
      </w:pPr>
      <w:r/>
      <w:bookmarkStart w:id="158" w:name="_Toc513029237"/>
      <w:r/>
      <w:bookmarkStart w:id="159" w:name="_Toc16938553"/>
      <w:r/>
      <w:bookmarkStart w:id="160" w:name="_Toc20823309"/>
      <w:r>
        <w:rPr>
          <w:rFonts w:hint="eastAsia" w:ascii="宋体" w:hAnsi="宋体" w:eastAsia="宋体" w:cs="宋体"/>
          <w:color w:val="auto"/>
          <w:sz w:val="24"/>
          <w:szCs w:val="24"/>
          <w:highlight w:val="none"/>
        </w:rPr>
        <w:t xml:space="preserve">31.签订合同</w:t>
      </w:r>
      <w:bookmarkEnd w:id="158"/>
      <w:r/>
      <w:bookmarkEnd w:id="159"/>
      <w:r/>
      <w:bookmarkEnd w:id="160"/>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31.l成交供应商应当在成交通知书发出之日起三十日内（原则上应在15日内签订采购合同），按照磋商文件确定的事项与采购人签订政府采购合同。合同签订</w:t>
      </w:r>
      <w:r>
        <w:rPr>
          <w:rFonts w:hint="eastAsia" w:ascii="宋体" w:hAnsi="宋体" w:eastAsia="宋体" w:cs="宋体"/>
          <w:color w:val="auto"/>
          <w:sz w:val="24"/>
          <w:szCs w:val="24"/>
          <w:highlight w:val="none"/>
          <w:lang w:val="en-US" w:eastAsia="zh-CN"/>
        </w:rPr>
        <w:t xml:space="preserve">之日起</w:t>
      </w:r>
      <w:r>
        <w:rPr>
          <w:rFonts w:hint="eastAsia" w:ascii="宋体" w:hAnsi="宋体" w:eastAsia="宋体" w:cs="宋体"/>
          <w:color w:val="auto"/>
          <w:sz w:val="24"/>
          <w:szCs w:val="24"/>
          <w:highlight w:val="none"/>
        </w:rPr>
        <w:t xml:space="preserve">2个工作日内</w:t>
      </w:r>
      <w:r>
        <w:rPr>
          <w:rFonts w:hint="eastAsia" w:ascii="宋体" w:hAnsi="宋体" w:eastAsia="宋体" w:cs="宋体"/>
          <w:color w:val="auto"/>
          <w:sz w:val="24"/>
          <w:szCs w:val="24"/>
          <w:highlight w:val="none"/>
          <w:lang w:val="en-US" w:eastAsia="zh-CN"/>
        </w:rPr>
        <w:t xml:space="preserve">在财政指定平台</w:t>
      </w:r>
      <w:r>
        <w:rPr>
          <w:rFonts w:hint="eastAsia" w:ascii="宋体" w:hAnsi="宋体" w:eastAsia="宋体" w:cs="宋体"/>
          <w:color w:val="auto"/>
          <w:sz w:val="24"/>
          <w:szCs w:val="24"/>
          <w:highlight w:val="none"/>
        </w:rPr>
        <w:t xml:space="preserve">公示。所签订的合同不得对招标文件确定的事项和中标人投标文件作实质性修改。</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 xml:space="preserve">包造成采购人损失的，成交供应商应承担相应赔偿责任。</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color w:val="auto"/>
          <w:sz w:val="24"/>
          <w:szCs w:val="24"/>
          <w:highlight w:val="none"/>
          <w:shd w:val="clear" w:color="auto" w:fill="auto"/>
        </w:rPr>
        <w:t xml:space="preserve">32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标的物的追加</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服务（包含与服务相关的货物）的，在不改变合同其他条款的前提下，可以与成交供应商协商签订补充合同，但所有补充合同的采购金额不超过原合同金额10%。</w:t>
      </w:r>
      <w:r/>
    </w:p>
    <w:p>
      <w:pPr>
        <w:pStyle w:val="671"/>
        <w:numPr>
          <w:ilvl w:val="0"/>
          <w:numId w:val="0"/>
        </w:numPr>
        <w:ind w:left="474" w:firstLine="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val="en-US" w:eastAsia="zh-CN"/>
        </w:rPr>
        <w:outlineLvl w:val="1"/>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firstLine="480"/>
        <w:pageBreakBefore w:val="0"/>
        <w:spacing w:line="50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.3.1中小企业定义：</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.3.7本项目是否专门面向中小企业预留采购份额见第一章《竞争性磋商</w:t>
      </w:r>
      <w:r>
        <w:rPr>
          <w:rFonts w:hint="eastAsia" w:ascii="宋体" w:hAnsi="宋体" w:eastAsia="宋体" w:cs="宋体"/>
          <w:color w:val="auto"/>
          <w:sz w:val="24"/>
          <w:szCs w:val="24"/>
          <w:highlight w:val="none"/>
          <w:shd w:val="clear" w:color="auto" w:fill="auto"/>
          <w:lang w:val="en-US" w:eastAsia="zh-CN"/>
        </w:rPr>
        <w:t xml:space="preserve">公告</w:t>
      </w:r>
      <w:r>
        <w:rPr>
          <w:rFonts w:hint="eastAsia" w:ascii="宋体" w:hAnsi="宋体" w:eastAsia="宋体" w:cs="宋体"/>
          <w:color w:val="auto"/>
          <w:sz w:val="24"/>
          <w:szCs w:val="24"/>
          <w:highlight w:val="none"/>
          <w:shd w:val="clear" w:color="auto" w:fill="auto"/>
        </w:rPr>
        <w:t xml:space="preserve">》。</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pageBreakBefore w:val="0"/>
        <w:spacing w:line="5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78"/>
        <w:jc w:val="both"/>
        <w:pageBreakBefore w:val="0"/>
        <w:spacing w:before="0" w:after="0" w:line="500" w:lineRule="exact"/>
        <w:widowControl w:val="off"/>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p>
    <w:p>
      <w:pPr>
        <w:ind w:firstLine="480"/>
        <w:pageBreakBefore w:val="0"/>
        <w:spacing w:line="5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33.8履约保证金政策</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t xml:space="preserve">3</w:t>
      </w:r>
      <w:r>
        <w:rPr>
          <w:rFonts w:hint="eastAsia" w:ascii="宋体" w:hAnsi="宋体" w:eastAsia="宋体" w:cs="宋体"/>
          <w:color w:val="auto"/>
          <w:sz w:val="24"/>
          <w:szCs w:val="24"/>
          <w:highlight w:val="none"/>
          <w:shd w:val="clear" w:color="auto" w:fill="auto"/>
          <w:lang w:val="en-US" w:eastAsia="zh-CN" w:bidi="ar-SA"/>
        </w:rPr>
        <w:t xml:space="preserve">3</w:t>
      </w:r>
      <w:r>
        <w:rPr>
          <w:rFonts w:hint="default" w:ascii="宋体" w:hAnsi="宋体" w:eastAsia="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8</w:t>
      </w:r>
      <w:r>
        <w:rPr>
          <w:rFonts w:hint="default" w:ascii="宋体" w:hAnsi="宋体" w:eastAsia="宋体" w:cs="宋体"/>
          <w:color w:val="auto"/>
          <w:sz w:val="24"/>
          <w:szCs w:val="24"/>
          <w:highlight w:val="none"/>
          <w:shd w:val="clear" w:color="auto" w:fill="auto"/>
          <w:lang w:val="en-US" w:eastAsia="zh-CN" w:bidi="ar-SA"/>
        </w:rPr>
        <w:t xml:space="preserve">.1 成交后签订合同前成交供应商须交纳成交额 10%的履约保证金到采购人指定账户。农药包装废弃物回收处理量达到</w:t>
      </w:r>
      <w:r>
        <w:rPr>
          <w:rFonts w:hint="eastAsia" w:ascii="宋体" w:hAnsi="宋体" w:eastAsia="宋体" w:cs="宋体"/>
          <w:color w:val="auto"/>
          <w:sz w:val="24"/>
          <w:szCs w:val="24"/>
          <w:highlight w:val="none"/>
          <w:shd w:val="clear" w:color="auto" w:fill="auto"/>
          <w:lang w:val="en-US" w:eastAsia="zh-CN" w:bidi="ar-SA"/>
        </w:rPr>
        <w:t xml:space="preserve">103.75</w:t>
      </w:r>
      <w:r>
        <w:rPr>
          <w:rFonts w:hint="default" w:ascii="宋体" w:hAnsi="宋体" w:eastAsia="宋体" w:cs="宋体"/>
          <w:color w:val="auto"/>
          <w:sz w:val="24"/>
          <w:szCs w:val="24"/>
          <w:highlight w:val="none"/>
          <w:shd w:val="clear" w:color="auto" w:fill="auto"/>
          <w:lang w:val="en-US" w:eastAsia="zh-CN" w:bidi="ar-SA"/>
        </w:rPr>
        <w:t xml:space="preserve">吨后，退回履约保证金（无息）。允许供应商自主选择以转账、支票、汇票、本票或者金融机构、担保机构出具的保函(保险)等形式提交(根据苏财购[2023]150 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 </w:t>
      </w:r>
      <w:r>
        <w:rPr>
          <w:rFonts w:hint="eastAsia" w:ascii="宋体" w:hAnsi="宋体" w:eastAsia="宋体" w:cs="宋体"/>
          <w:color w:val="auto"/>
          <w:sz w:val="24"/>
          <w:szCs w:val="24"/>
          <w:highlight w:val="none"/>
          <w:shd w:val="clear" w:color="auto" w:fill="auto"/>
          <w:lang w:val="en-US" w:eastAsia="zh-CN" w:bidi="ar-SA"/>
        </w:rPr>
        <w:t xml:space="preserve">30</w:t>
      </w:r>
      <w:r>
        <w:rPr>
          <w:rFonts w:hint="default" w:ascii="宋体" w:hAnsi="宋体" w:eastAsia="宋体" w:cs="宋体"/>
          <w:color w:val="auto"/>
          <w:sz w:val="24"/>
          <w:szCs w:val="24"/>
          <w:highlight w:val="none"/>
          <w:shd w:val="clear" w:color="auto" w:fill="auto"/>
          <w:lang w:val="en-US" w:eastAsia="zh-CN" w:bidi="ar-SA"/>
        </w:rPr>
        <w:t xml:space="preserve">日内全额退还履约保证金</w:t>
      </w:r>
      <w:r>
        <w:rPr>
          <w:rFonts w:hint="eastAsia" w:ascii="宋体" w:hAnsi="宋体" w:eastAsia="宋体" w:cs="宋体"/>
          <w:color w:val="auto"/>
          <w:sz w:val="24"/>
          <w:szCs w:val="24"/>
          <w:highlight w:val="none"/>
          <w:shd w:val="clear" w:color="auto" w:fill="auto"/>
          <w:lang w:val="en-US" w:eastAsia="zh-CN" w:bidi="ar-SA"/>
        </w:rPr>
        <w:t xml:space="preserve">,</w:t>
      </w:r>
      <w:r>
        <w:rPr>
          <w:rFonts w:hint="default" w:ascii="宋体" w:hAnsi="宋体" w:eastAsia="宋体" w:cs="宋体"/>
          <w:color w:val="auto"/>
          <w:sz w:val="24"/>
          <w:szCs w:val="24"/>
          <w:highlight w:val="none"/>
          <w:shd w:val="clear" w:color="auto" w:fill="auto"/>
          <w:lang w:val="en-US" w:eastAsia="zh-CN" w:bidi="ar-SA"/>
        </w:rPr>
        <w:t xml:space="preserve">不计利息。如果成交供应商不同意按照规定去做，采购方有权取消本次采购成交决定。履约保证金不予退还的情形按政府采购相关法律法规执行。 </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t xml:space="preserve">3</w:t>
      </w:r>
      <w:r>
        <w:rPr>
          <w:rFonts w:hint="eastAsia" w:ascii="宋体" w:hAnsi="宋体" w:eastAsia="宋体" w:cs="宋体"/>
          <w:color w:val="auto"/>
          <w:sz w:val="24"/>
          <w:szCs w:val="24"/>
          <w:highlight w:val="none"/>
          <w:shd w:val="clear" w:color="auto" w:fill="auto"/>
          <w:lang w:val="en-US" w:eastAsia="zh-CN" w:bidi="ar-SA"/>
        </w:rPr>
        <w:t xml:space="preserve">3</w:t>
      </w:r>
      <w:r>
        <w:rPr>
          <w:rFonts w:hint="default" w:ascii="宋体" w:hAnsi="宋体" w:eastAsia="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8</w:t>
      </w:r>
      <w:r>
        <w:rPr>
          <w:rFonts w:hint="default" w:ascii="宋体" w:hAnsi="宋体" w:eastAsia="宋体" w:cs="宋体"/>
          <w:color w:val="auto"/>
          <w:sz w:val="24"/>
          <w:szCs w:val="24"/>
          <w:highlight w:val="none"/>
          <w:shd w:val="clear" w:color="auto" w:fill="auto"/>
          <w:lang w:val="en-US" w:eastAsia="zh-CN" w:bidi="ar-SA"/>
        </w:rPr>
        <w:t xml:space="preserve">.2 采购人对第三方信用服务机构依据标准规范评定为 AA 级及以上的政府采购供应商</w:t>
      </w:r>
      <w:r>
        <w:rPr>
          <w:rFonts w:hint="eastAsia" w:ascii="宋体" w:hAnsi="宋体" w:eastAsia="宋体" w:cs="宋体"/>
          <w:color w:val="auto"/>
          <w:sz w:val="24"/>
          <w:szCs w:val="24"/>
          <w:highlight w:val="none"/>
          <w:shd w:val="clear" w:color="auto" w:fill="auto"/>
          <w:lang w:val="en-US" w:eastAsia="zh-CN" w:bidi="ar-SA"/>
        </w:rPr>
        <w:t xml:space="preserve">(</w:t>
      </w:r>
      <w:r>
        <w:rPr>
          <w:rFonts w:hint="default" w:ascii="宋体" w:hAnsi="宋体" w:eastAsia="宋体" w:cs="宋体"/>
          <w:color w:val="auto"/>
          <w:sz w:val="24"/>
          <w:szCs w:val="24"/>
          <w:highlight w:val="none"/>
          <w:shd w:val="clear" w:color="auto" w:fill="auto"/>
          <w:lang w:val="en-US" w:eastAsia="zh-CN" w:bidi="ar-SA"/>
        </w:rPr>
        <w:t xml:space="preserve">需在签订采购合同前提供信用管理部门备案的第三方信用报告，且信用报告通过“信用盐城网”可查实），履约保证金可免交，具体操作流程请按射财库【2021】17 号文和射财库【2021】20 号文执行。 </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t xml:space="preserve">3</w:t>
      </w:r>
      <w:r>
        <w:rPr>
          <w:rFonts w:hint="eastAsia" w:ascii="宋体" w:hAnsi="宋体" w:eastAsia="宋体" w:cs="宋体"/>
          <w:color w:val="auto"/>
          <w:sz w:val="24"/>
          <w:szCs w:val="24"/>
          <w:highlight w:val="none"/>
          <w:shd w:val="clear" w:color="auto" w:fill="auto"/>
          <w:lang w:val="en-US" w:eastAsia="zh-CN" w:bidi="ar-SA"/>
        </w:rPr>
        <w:t xml:space="preserve">3</w:t>
      </w:r>
      <w:r>
        <w:rPr>
          <w:rFonts w:hint="default" w:ascii="宋体" w:hAnsi="宋体" w:eastAsia="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8</w:t>
      </w:r>
      <w:r>
        <w:rPr>
          <w:rFonts w:hint="default" w:ascii="宋体" w:hAnsi="宋体" w:eastAsia="宋体" w:cs="宋体"/>
          <w:color w:val="auto"/>
          <w:sz w:val="24"/>
          <w:szCs w:val="24"/>
          <w:highlight w:val="none"/>
          <w:shd w:val="clear" w:color="auto" w:fill="auto"/>
          <w:lang w:val="en-US" w:eastAsia="zh-CN" w:bidi="ar-SA"/>
        </w:rPr>
        <w:t xml:space="preserve">.3 采购人在农药包装废弃物回收处理量达到 </w:t>
      </w:r>
      <w:r>
        <w:rPr>
          <w:rFonts w:hint="eastAsia" w:ascii="宋体" w:hAnsi="宋体" w:eastAsia="宋体" w:cs="宋体"/>
          <w:color w:val="auto"/>
          <w:sz w:val="24"/>
          <w:szCs w:val="24"/>
          <w:highlight w:val="none"/>
          <w:shd w:val="clear" w:color="auto" w:fill="auto"/>
          <w:lang w:val="en-US" w:eastAsia="zh-CN" w:bidi="ar-SA"/>
        </w:rPr>
        <w:t xml:space="preserve">103.75</w:t>
      </w:r>
      <w:r>
        <w:rPr>
          <w:rFonts w:hint="default" w:ascii="宋体" w:hAnsi="宋体" w:eastAsia="宋体" w:cs="宋体"/>
          <w:color w:val="auto"/>
          <w:sz w:val="24"/>
          <w:szCs w:val="24"/>
          <w:highlight w:val="none"/>
          <w:shd w:val="clear" w:color="auto" w:fill="auto"/>
          <w:lang w:val="en-US" w:eastAsia="zh-CN" w:bidi="ar-SA"/>
        </w:rPr>
        <w:t xml:space="preserve">吨后全额退还履约保证金，不计利息。如果成交供应商不同意按照规定去做，采购方有权取消本次采购成交决定。履约保证金不予退还的情形按政府采购相关法律法规执行。 </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t xml:space="preserve">3</w:t>
      </w:r>
      <w:r>
        <w:rPr>
          <w:rFonts w:hint="eastAsia" w:ascii="宋体" w:hAnsi="宋体" w:eastAsia="宋体" w:cs="宋体"/>
          <w:color w:val="auto"/>
          <w:sz w:val="24"/>
          <w:szCs w:val="24"/>
          <w:highlight w:val="none"/>
          <w:shd w:val="clear" w:color="auto" w:fill="auto"/>
          <w:lang w:val="en-US" w:eastAsia="zh-CN" w:bidi="ar-SA"/>
        </w:rPr>
        <w:t xml:space="preserve">3</w:t>
      </w:r>
      <w:r>
        <w:rPr>
          <w:rFonts w:hint="default" w:ascii="宋体" w:hAnsi="宋体" w:eastAsia="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8.4</w:t>
      </w:r>
      <w:r>
        <w:rPr>
          <w:rFonts w:hint="default" w:ascii="宋体" w:hAnsi="宋体" w:eastAsia="宋体" w:cs="宋体"/>
          <w:color w:val="auto"/>
          <w:sz w:val="24"/>
          <w:szCs w:val="24"/>
          <w:highlight w:val="none"/>
          <w:shd w:val="clear" w:color="auto" w:fill="auto"/>
          <w:lang w:val="en-US" w:eastAsia="zh-CN" w:bidi="ar-SA"/>
        </w:rPr>
        <w:t xml:space="preserve"> 履约保证金的退还： </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t xml:space="preserve">3</w:t>
      </w:r>
      <w:r>
        <w:rPr>
          <w:rFonts w:hint="eastAsia" w:ascii="宋体" w:hAnsi="宋体" w:eastAsia="宋体" w:cs="宋体"/>
          <w:color w:val="auto"/>
          <w:sz w:val="24"/>
          <w:szCs w:val="24"/>
          <w:highlight w:val="none"/>
          <w:shd w:val="clear" w:color="auto" w:fill="auto"/>
          <w:lang w:val="en-US" w:eastAsia="zh-CN" w:bidi="ar-SA"/>
        </w:rPr>
        <w:t xml:space="preserve">3</w:t>
      </w:r>
      <w:r>
        <w:rPr>
          <w:rFonts w:hint="default" w:ascii="宋体" w:hAnsi="宋体" w:eastAsia="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8</w:t>
      </w:r>
      <w:r>
        <w:rPr>
          <w:rFonts w:hint="default" w:ascii="宋体" w:hAnsi="宋体" w:eastAsia="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4.</w:t>
      </w:r>
      <w:r>
        <w:rPr>
          <w:rFonts w:hint="default" w:ascii="宋体" w:hAnsi="宋体" w:eastAsia="宋体" w:cs="宋体"/>
          <w:color w:val="auto"/>
          <w:sz w:val="24"/>
          <w:szCs w:val="24"/>
          <w:highlight w:val="none"/>
          <w:shd w:val="clear" w:color="auto" w:fill="auto"/>
          <w:lang w:val="en-US" w:eastAsia="zh-CN" w:bidi="ar-SA"/>
        </w:rPr>
        <w:t xml:space="preserve">1 方式：无息退还至投标人缴纳履约保证金的账户。如为保函，在到期时自行失效。 </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t xml:space="preserve">3</w:t>
      </w:r>
      <w:r>
        <w:rPr>
          <w:rFonts w:hint="eastAsia" w:ascii="宋体" w:hAnsi="宋体" w:eastAsia="宋体" w:cs="宋体"/>
          <w:color w:val="auto"/>
          <w:sz w:val="24"/>
          <w:szCs w:val="24"/>
          <w:highlight w:val="none"/>
          <w:shd w:val="clear" w:color="auto" w:fill="auto"/>
          <w:lang w:val="en-US" w:eastAsia="zh-CN" w:bidi="ar-SA"/>
        </w:rPr>
        <w:t xml:space="preserve">3</w:t>
      </w:r>
      <w:r>
        <w:rPr>
          <w:rFonts w:hint="default" w:ascii="宋体" w:hAnsi="宋体" w:eastAsia="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8</w:t>
      </w:r>
      <w:r>
        <w:rPr>
          <w:rFonts w:hint="default" w:ascii="宋体" w:hAnsi="宋体" w:eastAsia="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4.</w:t>
      </w:r>
      <w:r>
        <w:rPr>
          <w:rFonts w:hint="default" w:ascii="宋体" w:hAnsi="宋体" w:eastAsia="宋体" w:cs="宋体"/>
          <w:color w:val="auto"/>
          <w:sz w:val="24"/>
          <w:szCs w:val="24"/>
          <w:highlight w:val="none"/>
          <w:shd w:val="clear" w:color="auto" w:fill="auto"/>
          <w:lang w:val="en-US" w:eastAsia="zh-CN" w:bidi="ar-SA"/>
        </w:rPr>
        <w:t xml:space="preserve">2 时间：验收合格且采购人收到发票后 30 日内。 </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t xml:space="preserve">3</w:t>
      </w:r>
      <w:r>
        <w:rPr>
          <w:rFonts w:hint="eastAsia" w:ascii="宋体" w:hAnsi="宋体" w:eastAsia="宋体" w:cs="宋体"/>
          <w:color w:val="auto"/>
          <w:sz w:val="24"/>
          <w:szCs w:val="24"/>
          <w:highlight w:val="none"/>
          <w:shd w:val="clear" w:color="auto" w:fill="auto"/>
          <w:lang w:val="en-US" w:eastAsia="zh-CN" w:bidi="ar-SA"/>
        </w:rPr>
        <w:t xml:space="preserve">3</w:t>
      </w:r>
      <w:r>
        <w:rPr>
          <w:rFonts w:hint="default" w:ascii="宋体" w:hAnsi="宋体" w:eastAsia="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8</w:t>
      </w:r>
      <w:r>
        <w:rPr>
          <w:rFonts w:hint="default" w:ascii="宋体" w:hAnsi="宋体" w:eastAsia="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4.</w:t>
      </w:r>
      <w:r>
        <w:rPr>
          <w:rFonts w:hint="default" w:ascii="宋体" w:hAnsi="宋体" w:eastAsia="宋体" w:cs="宋体"/>
          <w:color w:val="auto"/>
          <w:sz w:val="24"/>
          <w:szCs w:val="24"/>
          <w:highlight w:val="none"/>
          <w:shd w:val="clear" w:color="auto" w:fill="auto"/>
          <w:lang w:val="en-US" w:eastAsia="zh-CN" w:bidi="ar-SA"/>
        </w:rPr>
        <w:t xml:space="preserve">3 条件：按合同要求全部履约完成并经采购人验收合格，且采购人收到中标人出具的发票。 </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t xml:space="preserve">3</w:t>
      </w:r>
      <w:r>
        <w:rPr>
          <w:rFonts w:hint="eastAsia" w:ascii="宋体" w:hAnsi="宋体" w:eastAsia="宋体" w:cs="宋体"/>
          <w:color w:val="auto"/>
          <w:sz w:val="24"/>
          <w:szCs w:val="24"/>
          <w:highlight w:val="none"/>
          <w:shd w:val="clear" w:color="auto" w:fill="auto"/>
          <w:lang w:val="en-US" w:eastAsia="zh-CN" w:bidi="ar-SA"/>
        </w:rPr>
        <w:t xml:space="preserve">3</w:t>
      </w:r>
      <w:r>
        <w:rPr>
          <w:rFonts w:hint="default" w:ascii="宋体" w:hAnsi="宋体" w:eastAsia="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8</w:t>
      </w:r>
      <w:r>
        <w:rPr>
          <w:rFonts w:hint="default" w:ascii="宋体" w:hAnsi="宋体" w:eastAsia="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5</w:t>
      </w:r>
      <w:r>
        <w:rPr>
          <w:rFonts w:hint="default" w:ascii="宋体" w:hAnsi="宋体" w:eastAsia="宋体" w:cs="宋体"/>
          <w:color w:val="auto"/>
          <w:sz w:val="24"/>
          <w:szCs w:val="24"/>
          <w:highlight w:val="none"/>
          <w:shd w:val="clear" w:color="auto" w:fill="auto"/>
          <w:lang w:val="en-US" w:eastAsia="zh-CN" w:bidi="ar-SA"/>
        </w:rPr>
        <w:t xml:space="preserve"> 不予退还情形： </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t xml:space="preserve">除不可抗力情况外，投标人出现下列情形之一的，其履约保证金，招标人将视情节决定不予退还或部分不予退还。 </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t xml:space="preserve">（1）中标人无正当理由拒绝签订合同的，或者在签订合同时向采购人提出附加条件或者更改合同实质性内容要求的； </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t xml:space="preserve">（2）中标人不履行与采购人订立的合同的； </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t xml:space="preserve">（3）中标人所供货物或服务不符合招标文件规定要求的； </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t xml:space="preserve">（4）中标人采取欺骗、弄虚作假方式投标的或与其它投标人串通投标的； </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t xml:space="preserve">（5）中标人将合同内容转包、违法分包的； </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t xml:space="preserve">（6）中标人故意捏造事实或伪造证明材料，进行虚假恶意投诉或反映的。 </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t xml:space="preserve">（7）采购人在农药包装废弃物回收处理量未达到</w:t>
      </w:r>
      <w:r>
        <w:rPr>
          <w:rFonts w:hint="eastAsia" w:ascii="宋体" w:hAnsi="宋体" w:eastAsia="宋体" w:cs="宋体"/>
          <w:color w:val="auto"/>
          <w:sz w:val="24"/>
          <w:szCs w:val="24"/>
          <w:highlight w:val="none"/>
          <w:shd w:val="clear" w:color="auto" w:fill="auto"/>
          <w:lang w:val="en-US" w:eastAsia="zh-CN" w:bidi="ar-SA"/>
        </w:rPr>
        <w:t xml:space="preserve">103.75</w:t>
      </w:r>
      <w:r>
        <w:rPr>
          <w:rFonts w:hint="default" w:ascii="宋体" w:hAnsi="宋体" w:eastAsia="宋体" w:cs="宋体"/>
          <w:color w:val="auto"/>
          <w:sz w:val="24"/>
          <w:szCs w:val="24"/>
          <w:highlight w:val="none"/>
          <w:shd w:val="clear" w:color="auto" w:fill="auto"/>
          <w:lang w:val="en-US" w:eastAsia="zh-CN" w:bidi="ar-SA"/>
        </w:rPr>
        <w:t xml:space="preserve">吨的。 </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t xml:space="preserve">3</w:t>
      </w:r>
      <w:r>
        <w:rPr>
          <w:rFonts w:hint="eastAsia" w:ascii="宋体" w:hAnsi="宋体" w:eastAsia="宋体" w:cs="宋体"/>
          <w:color w:val="auto"/>
          <w:sz w:val="24"/>
          <w:szCs w:val="24"/>
          <w:highlight w:val="none"/>
          <w:shd w:val="clear" w:color="auto" w:fill="auto"/>
          <w:lang w:val="en-US" w:eastAsia="zh-CN" w:bidi="ar-SA"/>
        </w:rPr>
        <w:t xml:space="preserve">3</w:t>
      </w:r>
      <w:r>
        <w:rPr>
          <w:rFonts w:hint="default" w:ascii="宋体" w:hAnsi="宋体" w:eastAsia="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8</w:t>
      </w:r>
      <w:r>
        <w:rPr>
          <w:rFonts w:hint="default" w:ascii="宋体" w:hAnsi="宋体" w:eastAsia="宋体" w:cs="宋体"/>
          <w:color w:val="auto"/>
          <w:sz w:val="24"/>
          <w:szCs w:val="24"/>
          <w:highlight w:val="none"/>
          <w:shd w:val="clear" w:color="auto" w:fill="auto"/>
          <w:lang w:val="en-US" w:eastAsia="zh-CN" w:bidi="ar-SA"/>
        </w:rPr>
        <w:t xml:space="preserve">.5 逾期退还的违约责任：采购人逾期无故未退还履约保证金的，按中国人民银行同期贷款基准利率上浮 20%后的利率支付超期资金占用费，但因供应商自身原因导致无法及时退还的除外。</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1"/>
      </w:pPr>
      <w:r>
        <w:rPr>
          <w:rFonts w:hint="eastAsia" w:ascii="宋体" w:hAnsi="宋体" w:eastAsia="宋体" w:cs="宋体"/>
          <w:color w:val="auto"/>
          <w:sz w:val="24"/>
          <w:szCs w:val="24"/>
          <w:highlight w:val="none"/>
          <w:shd w:val="clear" w:color="auto" w:fill="auto"/>
          <w:lang w:val="en-US" w:eastAsia="zh-CN" w:bidi="ar-SA"/>
        </w:rPr>
        <w:t xml:space="preserve">34.预付款制度</w:t>
      </w:r>
      <w:r/>
    </w:p>
    <w:p>
      <w:pPr>
        <w:ind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%。在签订合同时，成交供应商明确书面表示无需预付款或者主动要求降低预付款比例的，采购人可就预付款比例作相应调整。</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1"/>
      </w:pPr>
      <w:r>
        <w:rPr>
          <w:rFonts w:hint="eastAsia" w:ascii="宋体" w:hAnsi="宋体" w:eastAsia="宋体" w:cs="宋体"/>
          <w:color w:val="auto"/>
          <w:sz w:val="24"/>
          <w:szCs w:val="24"/>
          <w:highlight w:val="none"/>
          <w:shd w:val="clear" w:color="auto" w:fill="auto"/>
          <w:lang w:val="en-US" w:eastAsia="zh-CN" w:bidi="ar-SA"/>
        </w:rPr>
        <w:t xml:space="preserve">35.收费 </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1"/>
      </w:pPr>
      <w:r>
        <w:rPr>
          <w:rFonts w:hint="eastAsia" w:ascii="宋体" w:hAnsi="宋体" w:eastAsia="宋体" w:cs="宋体"/>
          <w:color w:val="auto"/>
          <w:sz w:val="24"/>
          <w:szCs w:val="24"/>
          <w:highlight w:val="none"/>
          <w:shd w:val="clear" w:color="auto" w:fill="auto"/>
          <w:lang w:val="en-US" w:eastAsia="zh-CN" w:bidi="ar-SA"/>
        </w:rPr>
        <w:t xml:space="preserve">成交服务费：本次招标采购的代理服务费按《江苏省政府采购代理服务收费指导意见》的通知（苏政采协【2024】20号）收费标准进行计取（按差额定率分档累进法计算），成交金额50万元以下(含50万元)收取1.6%，50万元-400万元(含400万元) 收取1.5%；由成交供应商在领取成交通知书前一次性支付。（本条不单独列表报价，自行综合考虑在投标报价中，成交后采购人不再另行支付）。</w:t>
      </w:r>
      <w:r>
        <w:rPr>
          <w:rFonts w:hint="default" w:ascii="宋体" w:hAnsi="宋体" w:eastAsia="宋体" w:cs="宋体"/>
          <w:color w:val="auto"/>
          <w:sz w:val="24"/>
          <w:szCs w:val="24"/>
          <w:highlight w:val="none"/>
          <w:shd w:val="clear" w:color="auto" w:fill="auto"/>
          <w:lang w:val="en-US" w:eastAsia="zh-CN" w:bidi="ar-SA"/>
        </w:rPr>
        <w:t xml:space="preserve">本项目中标服务费按照本项目中标单价*1</w:t>
      </w:r>
      <w:r>
        <w:rPr>
          <w:rFonts w:hint="eastAsia" w:ascii="宋体" w:hAnsi="宋体" w:eastAsia="宋体" w:cs="宋体"/>
          <w:color w:val="auto"/>
          <w:sz w:val="24"/>
          <w:szCs w:val="24"/>
          <w:highlight w:val="none"/>
          <w:shd w:val="clear" w:color="auto" w:fill="auto"/>
          <w:lang w:val="en-US" w:eastAsia="zh-CN" w:bidi="ar-SA"/>
        </w:rPr>
        <w:t xml:space="preserve">03.7</w:t>
      </w:r>
      <w:r>
        <w:rPr>
          <w:rFonts w:hint="default" w:ascii="宋体" w:hAnsi="宋体" w:eastAsia="宋体" w:cs="宋体"/>
          <w:color w:val="auto"/>
          <w:sz w:val="24"/>
          <w:szCs w:val="24"/>
          <w:highlight w:val="none"/>
          <w:shd w:val="clear" w:color="auto" w:fill="auto"/>
          <w:lang w:val="en-US" w:eastAsia="zh-CN" w:bidi="ar-SA"/>
        </w:rPr>
        <w:t xml:space="preserve">5 吨=中标总价，结合收费标准进行收取。</w:t>
      </w:r>
      <w:r/>
    </w:p>
    <w:p>
      <w:pPr>
        <w:ind w:firstLine="482"/>
        <w:pageBreakBefore w:val="0"/>
        <w:spacing w:line="500" w:lineRule="exact"/>
        <w:widowControl w:val="off"/>
        <w:tabs>
          <w:tab w:val="left" w:pos="1381" w:leader="none"/>
        </w:tabs>
        <w:rPr>
          <w:rFonts w:hint="eastAsia" w:ascii="宋体" w:hAnsi="宋体" w:eastAsia="宋体" w:cs="Times New Roman"/>
          <w:b/>
          <w:bCs/>
          <w:color w:val="000000"/>
          <w:sz w:val="24"/>
          <w:szCs w:val="24"/>
          <w:lang w:val="en-US" w:eastAsia="zh-CN" w:bidi="ar-SA"/>
        </w:rPr>
        <w:outlineLvl w:val="1"/>
      </w:pPr>
      <w:r>
        <w:rPr>
          <w:rFonts w:hint="eastAsia" w:ascii="宋体" w:hAnsi="宋体" w:eastAsia="宋体" w:cs="宋体"/>
          <w:color w:val="auto"/>
          <w:sz w:val="24"/>
          <w:szCs w:val="24"/>
          <w:highlight w:val="none"/>
          <w:shd w:val="clear" w:color="auto" w:fill="auto"/>
          <w:lang w:val="en-US" w:eastAsia="zh-CN" w:bidi="ar-SA"/>
        </w:rPr>
        <w:t xml:space="preserve">收款帐户为：江苏鑫缘项目管理有限公司，开户行：中国建设</w:t>
      </w:r>
      <w:r>
        <w:rPr>
          <w:rFonts w:hint="eastAsia" w:ascii="宋体" w:hAnsi="宋体" w:eastAsia="宋体" w:cs="Times New Roman"/>
          <w:b w:val="0"/>
          <w:bCs w:val="0"/>
          <w:color w:val="000000"/>
          <w:sz w:val="24"/>
          <w:szCs w:val="24"/>
          <w:lang w:val="en-US" w:eastAsia="zh-CN" w:bidi="ar-SA"/>
        </w:rPr>
        <w:t xml:space="preserve">银行股份有限公司射阳县支行，账号：32001737436052512853。</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1"/>
      </w:pPr>
      <w:r>
        <w:rPr>
          <w:rFonts w:hint="eastAsia" w:ascii="宋体" w:hAnsi="宋体" w:eastAsia="宋体" w:cs="宋体"/>
          <w:color w:val="auto"/>
          <w:sz w:val="24"/>
          <w:szCs w:val="24"/>
          <w:highlight w:val="none"/>
          <w:shd w:val="clear" w:color="auto" w:fill="auto"/>
          <w:lang w:val="en-US" w:eastAsia="zh-CN" w:bidi="ar-SA"/>
        </w:rPr>
        <w:t xml:space="preserve">36.踏勘</w:t>
      </w:r>
      <w:r/>
    </w:p>
    <w:p>
      <w:pPr>
        <w:pStyle w:val="671"/>
        <w:ind w:firstLine="480"/>
        <w:jc w:val="both"/>
        <w:pageBreakBefore w:val="0"/>
        <w:spacing w:beforeAutospacing="0" w:afterAutospacing="0" w:line="500" w:lineRule="exact"/>
        <w:rPr>
          <w:rFonts w:hint="eastAsia" w:ascii="宋体" w:hAnsi="宋体" w:eastAsia="宋体" w:cs="宋体"/>
          <w:b w:val="0"/>
          <w:bCs w:val="0"/>
          <w:color w:val="000000"/>
          <w:lang w:val="en-US" w:eastAsia="zh-CN"/>
        </w:rPr>
        <w:outlineLvl w:val="9"/>
      </w:pPr>
      <w:r>
        <w:rPr>
          <w:rFonts w:hint="eastAsia" w:ascii="宋体" w:hAnsi="宋体" w:eastAsia="宋体" w:cs="宋体"/>
          <w:b w:val="0"/>
          <w:bCs w:val="0"/>
          <w:color w:val="000000"/>
          <w:lang w:val="en-US" w:eastAsia="zh-CN"/>
        </w:rPr>
        <w:t xml:space="preserve">36.1供应商自行到项目现场进行踏勘，充分了解位置、情况、规模及任何其它足以影响投标报价的情况，并将本项目可预见的相关费用考虑到投标报价中，成交后采购人可认为本项目可预见费用已包括在投标报价中。任何因忽视或误解项目情况而导致的索赔将不予认可。</w:t>
      </w:r>
      <w:r/>
    </w:p>
    <w:p>
      <w:pPr>
        <w:pStyle w:val="671"/>
        <w:ind w:firstLine="480"/>
        <w:jc w:val="both"/>
        <w:pageBreakBefore w:val="0"/>
        <w:spacing w:beforeAutospacing="0" w:afterAutospacing="0" w:line="500" w:lineRule="exact"/>
        <w:rPr>
          <w:rFonts w:hint="eastAsia" w:ascii="宋体" w:hAnsi="宋体" w:eastAsia="宋体" w:cs="宋体"/>
          <w:b w:val="0"/>
          <w:bCs w:val="0"/>
          <w:color w:val="000000"/>
          <w:lang w:val="en-US" w:eastAsia="zh-CN"/>
        </w:rPr>
        <w:outlineLvl w:val="9"/>
      </w:pPr>
      <w:r>
        <w:rPr>
          <w:rFonts w:hint="eastAsia" w:ascii="宋体" w:hAnsi="宋体" w:eastAsia="宋体" w:cs="宋体"/>
          <w:b w:val="0"/>
          <w:bCs w:val="0"/>
          <w:color w:val="000000"/>
          <w:lang w:val="en-US" w:eastAsia="zh-CN"/>
        </w:rPr>
        <w:t xml:space="preserve">36.2采购人在踏勘现场中介绍的项目情况，供应商在编制响应文件时参考，采购人不对供应商据此作出的判断和决策负责。</w:t>
      </w:r>
      <w:r/>
    </w:p>
    <w:p>
      <w:pPr>
        <w:pStyle w:val="832"/>
        <w:ind w:left="0" w:firstLine="560"/>
        <w:pageBreakBefore w:val="0"/>
        <w:spacing w:after="0" w:line="50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36.3供应商承担踏勘现场所发生的自身费用。</w:t>
      </w:r>
      <w:r/>
    </w:p>
    <w:p>
      <w:pPr>
        <w:pStyle w:val="671"/>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671"/>
        <w:ind w:firstLine="2640"/>
        <w:jc w:val="both"/>
        <w:keepNext/>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671"/>
        <w:jc w:val="both"/>
        <w:keepNext/>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671"/>
        <w:jc w:val="both"/>
        <w:keepNext/>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71"/>
        <w:ind w:firstLine="2640"/>
        <w:jc w:val="both"/>
        <w:keepNext/>
        <w:pageBreakBefore w:val="0"/>
        <w:spacing w:beforeAutospacing="0" w:afterAutospacing="0" w:line="500" w:lineRule="exact"/>
        <w:rPr>
          <w:color w:val="auto"/>
          <w:highlight w:val="none"/>
        </w:rPr>
        <w:outlineLvl w:val="0"/>
      </w:pPr>
      <w:r>
        <w:rPr>
          <w:rFonts w:hint="eastAsia" w:ascii="黑体" w:hAnsi="宋体" w:eastAsia="黑体" w:cs="黑体"/>
          <w:color w:val="auto"/>
          <w:sz w:val="44"/>
          <w:szCs w:val="44"/>
          <w:highlight w:val="none"/>
        </w:rPr>
        <w:t xml:space="preserve">第三章  合同文本</w:t>
      </w:r>
      <w:r/>
    </w:p>
    <w:p>
      <w:pPr>
        <w:pStyle w:val="671"/>
        <w:ind w:firstLine="480"/>
        <w:jc w:val="both"/>
        <w:pageBreakBefore w:val="0"/>
        <w:spacing w:beforeAutospacing="0" w:afterAutospacing="0" w:line="500" w:lineRule="exact"/>
        <w:rPr>
          <w:color w:val="auto"/>
          <w:highlight w:val="none"/>
        </w:rPr>
      </w:pPr>
      <w:r/>
      <w:bookmarkStart w:id="161" w:name="_Toc513029243"/>
      <w:r/>
      <w:bookmarkStart w:id="162" w:name="_Toc16938559"/>
      <w:r/>
      <w:bookmarkStart w:id="163" w:name="_Toc20823315"/>
      <w:r>
        <w:rPr>
          <w:rFonts w:hint="eastAsia" w:ascii="宋体" w:hAnsi="宋体" w:eastAsia="宋体" w:cs="宋体"/>
          <w:color w:val="auto"/>
          <w:highlight w:val="none"/>
        </w:rPr>
        <w:t xml:space="preserve">以下为成交后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本项目合同的通用条款，成交供应商不得提出实质性的修改。</w:t>
      </w:r>
      <w:bookmarkEnd w:id="161"/>
      <w:r/>
      <w:bookmarkEnd w:id="162"/>
      <w:r/>
      <w:bookmarkEnd w:id="163"/>
      <w:r>
        <w:rPr>
          <w:color w:val="auto"/>
          <w:highlight w:val="none"/>
        </w:rPr>
        <w:t xml:space="preserve"> </w:t>
      </w:r>
      <w:r/>
    </w:p>
    <w:p>
      <w:pPr>
        <w:pStyle w:val="671"/>
        <w:jc w:val="center"/>
        <w:pageBreakBefore w:val="0"/>
        <w:spacing w:before="145" w:beforeAutospacing="0" w:after="145" w:afterAutospacing="0" w:line="500" w:lineRule="exact"/>
        <w:rPr>
          <w:color w:val="auto"/>
          <w:highlight w:val="none"/>
        </w:rPr>
        <w:outlineLvl w:val="0"/>
      </w:pPr>
      <w:r>
        <w:rPr>
          <w:rFonts w:hint="eastAsia" w:ascii="宋体" w:hAnsi="宋体" w:eastAsia="宋体" w:cs="宋体"/>
          <w:b/>
          <w:color w:val="auto"/>
          <w:sz w:val="30"/>
          <w:szCs w:val="30"/>
          <w:highlight w:val="none"/>
        </w:rPr>
        <w:t xml:space="preserve">盐城市政府采购合同（合同编号）</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项目名称：                          </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项目编号：</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甲方：（买方）_________</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乙方：（卖方）_________</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甲、乙双方根据 </w:t>
      </w:r>
      <w:r>
        <w:rPr>
          <w:rFonts w:hint="eastAsia" w:ascii="宋体" w:hAnsi="宋体" w:eastAsia="宋体" w:cs="宋体"/>
          <w:color w:val="000000"/>
          <w:u w:val="single"/>
        </w:rPr>
        <w:t xml:space="preserve">       </w:t>
      </w:r>
      <w:r>
        <w:rPr>
          <w:rFonts w:hint="eastAsia" w:ascii="宋体" w:hAnsi="宋体" w:eastAsia="宋体" w:cs="宋体"/>
          <w:color w:val="000000"/>
        </w:rPr>
        <w:t xml:space="preserve"> 项目竞争性磋商的结果，签署本合同。</w:t>
      </w:r>
      <w:r/>
    </w:p>
    <w:p>
      <w:pPr>
        <w:pStyle w:val="671"/>
        <w:ind w:firstLine="480"/>
        <w:jc w:val="both"/>
        <w:pageBreakBefore w:val="0"/>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一、合同内容</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1.1 标的名称：</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1.2 标的质量：</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1.3 标的数量（规模）：</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 履行时间（期限）：</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1.5 履行地点：</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1.6 履行方式：</w:t>
      </w:r>
      <w:r/>
    </w:p>
    <w:p>
      <w:pPr>
        <w:pStyle w:val="671"/>
        <w:ind w:firstLine="480"/>
        <w:jc w:val="both"/>
        <w:pageBreakBefore w:val="0"/>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二、合同金额</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2.1 本合同金额为（大写）：____________________________________圆（_______________元）人民币或其他币种。</w:t>
      </w:r>
      <w:r/>
    </w:p>
    <w:p>
      <w:pPr>
        <w:pStyle w:val="671"/>
        <w:ind w:firstLine="480"/>
        <w:jc w:val="both"/>
        <w:pageBreakBefore w:val="0"/>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三、技术资料</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3.1乙方应按磋商文件规定的时间向甲方提供与合同标的有关的技术资料。</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1"/>
        <w:ind w:firstLine="480"/>
        <w:jc w:val="both"/>
        <w:pageBreakBefore w:val="0"/>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四、知识产权</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4.1乙方应保证甲方在使用、接受本合同标的或其任何一部分时不受第三方提出侵犯其专利权、版权、商标权和工业设计权等知识产权的起诉。一旦出现侵权，由乙方负全部责任。</w:t>
      </w:r>
      <w:r/>
    </w:p>
    <w:p>
      <w:pPr>
        <w:pStyle w:val="671"/>
        <w:ind w:firstLine="480"/>
        <w:jc w:val="both"/>
        <w:pageBreakBefore w:val="0"/>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五、产权担保</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5.1 乙方保证所交付的合同标的的所有权完全属于乙方且无任何抵押、查封等产权瑕疵。</w:t>
      </w:r>
      <w:r/>
    </w:p>
    <w:p>
      <w:pPr>
        <w:pStyle w:val="671"/>
        <w:ind w:firstLine="480"/>
        <w:jc w:val="both"/>
        <w:pageBreakBefore w:val="0"/>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六、履约保证金</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6.1 乙方交纳人民币_______元作为本合同的履约保证金。</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6.2确需收取履约保证金的，履约保证金的缴纳形式：</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6.2.1成交后签订合同前成交供应商须交纳成交额10%的履约保证金到采购人指定账户。农药包装废弃物回收处理量达到</w:t>
      </w:r>
      <w:r>
        <w:rPr>
          <w:rFonts w:hint="eastAsia" w:ascii="宋体" w:hAnsi="宋体" w:eastAsia="宋体" w:cs="宋体"/>
          <w:color w:val="000000"/>
          <w:highlight w:val="none"/>
          <w:lang w:val="en-US" w:eastAsia="zh-CN"/>
        </w:rPr>
        <w:t xml:space="preserve">103.75</w:t>
      </w:r>
      <w:r>
        <w:rPr>
          <w:rFonts w:hint="eastAsia" w:ascii="宋体" w:hAnsi="宋体" w:eastAsia="宋体" w:cs="宋体"/>
          <w:color w:val="000000"/>
        </w:rPr>
        <w:t xml:space="preserve">吨后，退回履约保证金（无息）。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w:t>
      </w:r>
      <w:r>
        <w:rPr>
          <w:rFonts w:hint="eastAsia" w:ascii="宋体" w:hAnsi="宋体" w:eastAsia="宋体" w:cs="宋体"/>
          <w:color w:val="000000"/>
          <w:lang w:val="en-US" w:eastAsia="zh-CN"/>
        </w:rPr>
        <w:t xml:space="preserve">30</w:t>
      </w:r>
      <w:r>
        <w:rPr>
          <w:rFonts w:hint="eastAsia" w:ascii="宋体" w:hAnsi="宋体" w:eastAsia="宋体" w:cs="宋体"/>
          <w:color w:val="000000"/>
        </w:rPr>
        <w:t xml:space="preserve">日内全额退还履约保证金，不计利息。如果成交供应商不同意按照规定去做，采购方有权取消本次采购成交决定。履约保证金不予退还的情形按政府采购相关法律法规执行。</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6.2.2采购人对第三方信用服务机构依据标准规范评定为AA级及以上的政府采购供应商（需在签订采购合同前提供信用管理部门备案的第三方信用报告，且信用报告通过“信用盐城网”可查实），履约保证金可免交，具体操作流程请按射财库【2021】17号文和射财库【2021】20号文执行。</w:t>
      </w:r>
      <w:r/>
    </w:p>
    <w:p>
      <w:pPr>
        <w:pStyle w:val="671"/>
        <w:ind w:firstLine="480"/>
        <w:jc w:val="both"/>
        <w:pageBreakBefore w:val="0"/>
        <w:spacing w:beforeAutospacing="0" w:afterAutospacing="0" w:line="500" w:lineRule="exact"/>
        <w:rPr>
          <w:rFonts w:ascii="宋体" w:hAnsi="宋体" w:eastAsia="宋体" w:cs="宋体"/>
          <w:color w:val="000000"/>
          <w:highlight w:val="yellow"/>
        </w:rPr>
      </w:pPr>
      <w:r>
        <w:rPr>
          <w:rFonts w:hint="eastAsia" w:ascii="宋体" w:hAnsi="宋体" w:eastAsia="宋体" w:cs="宋体"/>
          <w:color w:val="000000"/>
        </w:rPr>
        <w:t xml:space="preserve">6.2.3采购人在农药包装废弃物回收处理量达到</w:t>
      </w:r>
      <w:r>
        <w:rPr>
          <w:rFonts w:hint="eastAsia" w:ascii="宋体" w:hAnsi="宋体" w:eastAsia="宋体" w:cs="宋体"/>
          <w:color w:val="000000"/>
          <w:lang w:val="en-US" w:eastAsia="zh-CN"/>
        </w:rPr>
        <w:t xml:space="preserve">103.75</w:t>
      </w:r>
      <w:r>
        <w:rPr>
          <w:rFonts w:hint="eastAsia" w:ascii="宋体" w:hAnsi="宋体" w:eastAsia="宋体" w:cs="宋体"/>
          <w:color w:val="000000"/>
        </w:rPr>
        <w:t xml:space="preserve">吨后全额退还履约保证金，不计利息。如果成交供应商不同意按照规定去做，采购方有权取消本次采购成交决定。履约保证金不予退还的情形按政府采购相关法律法规执行。</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6.3履约保证金的退还：</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6.3.1方式：无息退还至投标人缴纳履约保证金的账户。如为保函，在到期时自行失效。</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6.3.2时间：验收合格且采购人收到发票后30日内。</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6.3.3条件：按合同要求全部履约完成并经采购人验收合格，且采购人收到中标人出具的发票。</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6.3.4不予退还情形：</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除不可抗力情况外，投标人出现下列情形之一的，其履约保证金，招标人将视情节决定不予退还或部分不予退还。</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（1）中标人无正当理由拒绝签订合同的，或者在签订合同时向采购人提出附加条件或者更改合同实质性内容要求的；</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（2）中标人不履行与采购人订立的合同的；</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（3）中标人所供货物或服务不符合招标文件规定要求的；</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（4）中标人采取欺骗、弄虚作假方式投标的或与其它投标人串通投标的；</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（5）中标人将合同内容转包、违法分包的；</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（6）中标人故意捏造事实或伪造证明材料，进行虚假恶意投诉或反映的。</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（7）采购人在农药包装废弃物回收处理量未达到</w:t>
      </w:r>
      <w:r>
        <w:rPr>
          <w:rFonts w:hint="eastAsia" w:ascii="宋体" w:hAnsi="宋体" w:eastAsia="宋体" w:cs="宋体"/>
          <w:color w:val="000000"/>
          <w:lang w:val="en-US" w:eastAsia="zh-CN"/>
        </w:rPr>
        <w:t xml:space="preserve">103.75</w:t>
      </w:r>
      <w:r>
        <w:rPr>
          <w:rFonts w:hint="eastAsia" w:ascii="宋体" w:hAnsi="宋体" w:eastAsia="宋体" w:cs="宋体"/>
          <w:color w:val="000000"/>
        </w:rPr>
        <w:t xml:space="preserve">吨的。</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6.4逾期退还的违约责任：采购人逾期无故未退还履约保证金的，按中国人民银行同期贷款基准利率上浮20%后的利率支付超期资金占用费，但因供应商自身原因导致无法及时退还的除外。</w:t>
      </w:r>
      <w:r/>
    </w:p>
    <w:p>
      <w:pPr>
        <w:pStyle w:val="671"/>
        <w:ind w:firstLine="480"/>
        <w:jc w:val="both"/>
        <w:pageBreakBefore w:val="0"/>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七、合同转包或分包</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7.1乙方不得将合同标的转包给他人履行。</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7.2乙方不得将合同标的分包给他人履行。</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7.3乙方如有转包或未经甲方同意的分包行为，甲方有权解除合同。</w:t>
      </w:r>
      <w:r/>
    </w:p>
    <w:p>
      <w:pPr>
        <w:pStyle w:val="671"/>
        <w:ind w:firstLine="480"/>
        <w:jc w:val="both"/>
        <w:pageBreakBefore w:val="0"/>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八、合同款项支付</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8.1合同款项的支付方式及进度安排</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中标单位至少完成</w:t>
      </w:r>
      <w:r>
        <w:rPr>
          <w:rFonts w:hint="eastAsia" w:ascii="宋体" w:hAnsi="宋体" w:eastAsia="宋体" w:cs="宋体"/>
          <w:color w:val="000000"/>
          <w:lang w:val="en-US" w:eastAsia="zh-CN"/>
        </w:rPr>
        <w:t xml:space="preserve">103.75</w:t>
      </w:r>
      <w:r>
        <w:rPr>
          <w:rFonts w:hint="eastAsia" w:ascii="宋体" w:hAnsi="宋体" w:eastAsia="宋体" w:cs="宋体"/>
          <w:color w:val="000000"/>
        </w:rPr>
        <w:t xml:space="preserve">吨农药包装废弃物的回收处置量后并经验收合格，采购人收到发票后10个工作日内一次性支付剩余合同总价。</w:t>
      </w:r>
      <w:r/>
    </w:p>
    <w:p>
      <w:pPr>
        <w:pStyle w:val="671"/>
        <w:ind w:firstLine="480"/>
        <w:jc w:val="both"/>
        <w:pageBreakBefore w:val="0"/>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九、税费</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9.1本合同执行中相关的一切税费均由乙方负担。</w:t>
      </w:r>
      <w:r/>
    </w:p>
    <w:p>
      <w:pPr>
        <w:pStyle w:val="671"/>
        <w:ind w:firstLine="480"/>
        <w:jc w:val="both"/>
        <w:pageBreakBefore w:val="0"/>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十、项目验收</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10.1 甲方依法组织履约验收工作。</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10.3 对于实际使用人和甲方分离的项目，甲方邀请实际使用人参与验收。</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10.4 如有必要，甲方邀请参加本项目的其他供应商或第三方专业机构及专家参与验收，相关意见将作为验收书的参考资料。</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71"/>
        <w:ind w:firstLine="480"/>
        <w:jc w:val="both"/>
        <w:pageBreakBefore w:val="0"/>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十一、违约责任</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11.1甲方无正当理由拒绝接受乙方提供的合同标的的，甲方向乙方偿付拒绝接受合同价款总值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 的违约金。</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11.2 甲方无故逾期验收和办理合同款项支付手续的,甲方应按逾期付款总额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每日向乙方支付违约金。</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 的违约金，如造成甲方损失超过违约金的，超出部分由乙方继续承担赔偿责任。 </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11.4 乙方交付合同标的的标准不符合合同规定及磋商文件规定标准的，甲方有权拒绝接受合同标的，并可单方面解除合同。</w:t>
      </w:r>
      <w:r/>
    </w:p>
    <w:p>
      <w:pPr>
        <w:pStyle w:val="671"/>
        <w:ind w:firstLine="480"/>
        <w:jc w:val="both"/>
        <w:pageBreakBefore w:val="0"/>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十二、不可抗力事件处理</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12.1 在合同有效期内，任何一方因不可抗力事件导致不能履行合同，则合同履行期可延长，其延长期与不可抗力影响 期相同。</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12.2 不可抗力事件发生后，应立即通知对方，并寄送有关权威机构出具的证明。</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12.3 不可抗力事件延续120天以上，双方应通过友好协商，确定是否继续履行合同。</w:t>
      </w:r>
      <w:r/>
    </w:p>
    <w:p>
      <w:pPr>
        <w:pStyle w:val="671"/>
        <w:ind w:firstLine="480"/>
        <w:jc w:val="both"/>
        <w:pageBreakBefore w:val="0"/>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十三、解决争议的方法</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13.1双方在签订、履行合同中所发生的一切争议，应通过友好协商解决。如协商不成，由甲方住所地人民法院管辖。</w:t>
      </w:r>
      <w:r/>
    </w:p>
    <w:p>
      <w:pPr>
        <w:pStyle w:val="671"/>
        <w:ind w:firstLine="480"/>
        <w:jc w:val="both"/>
        <w:pageBreakBefore w:val="0"/>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十四、合同生效及其它</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14.1 合同经双方法定代表人或授权委托代表人签字并加盖单位公章后生效。</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14.2本合同未尽事宜，遵照《民法典》、《政府采购法》有关条文执行。</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14.3 本合同正本一式三份，具有同等法律效力，甲方、乙方及财政监管部门各执一份。</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  甲方：               乙方： </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  地址：               地址： </w:t>
      </w:r>
      <w:r/>
    </w:p>
    <w:p>
      <w:pPr>
        <w:pStyle w:val="671"/>
        <w:ind w:firstLine="96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法定代表人或授权代表：        法定代表人或授权代表：</w:t>
      </w:r>
      <w:r/>
    </w:p>
    <w:p>
      <w:pPr>
        <w:pStyle w:val="671"/>
        <w:ind w:firstLine="96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联系电话：              联系电话：          </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                   签订日期：      年    月   日</w:t>
      </w:r>
      <w:r/>
    </w:p>
    <w:p>
      <w:pPr>
        <w:pStyle w:val="671"/>
        <w:ind w:firstLine="420"/>
        <w:jc w:val="both"/>
        <w:pageBreakBefore w:val="0"/>
        <w:spacing w:beforeAutospacing="0" w:afterAutospacing="0" w:line="5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1"/>
        <w:jc w:val="center"/>
        <w:pageBreakBefore w:val="0"/>
        <w:spacing w:before="120" w:beforeAutospacing="0" w:after="120" w:afterAutospacing="0" w:line="500" w:lineRule="exact"/>
        <w:rPr>
          <w:b w:val="0"/>
          <w:bCs w:val="0"/>
          <w:color w:val="auto"/>
          <w:highlight w:val="none"/>
        </w:rPr>
        <w:outlineLvl w:val="0"/>
      </w:pPr>
      <w:r/>
      <w:bookmarkStart w:id="164" w:name="_Toc479757211"/>
      <w:r/>
      <w:bookmarkStart w:id="165" w:name="_Toc462564139"/>
      <w:r/>
      <w:bookmarkStart w:id="166" w:name="_Toc20823346"/>
      <w:r/>
      <w:bookmarkStart w:id="167" w:name="_Toc120614244"/>
      <w:r/>
      <w:bookmarkStart w:id="168" w:name="_Toc16938590"/>
      <w:r/>
      <w:bookmarkStart w:id="169" w:name="_Hlt16619350"/>
      <w:r/>
      <w:bookmarkStart w:id="170" w:name="_Hlt16619369"/>
      <w:r>
        <w:rPr>
          <w:rFonts w:hint="eastAsia" w:ascii="黑体" w:hAnsi="宋体" w:eastAsia="黑体" w:cs="黑体"/>
          <w:color w:val="auto"/>
          <w:sz w:val="44"/>
          <w:szCs w:val="44"/>
          <w:highlight w:val="none"/>
          <w:shd w:val="clear" w:color="auto" w:fill="auto"/>
        </w:rPr>
        <w:br w:type="page" w:clear="all"/>
      </w:r>
      <w:r>
        <w:rPr>
          <w:rFonts w:hint="eastAsia" w:ascii="黑体" w:hAnsi="宋体" w:eastAsia="黑体" w:cs="黑体"/>
          <w:b w:val="0"/>
          <w:bCs w:val="0"/>
          <w:color w:val="auto"/>
          <w:sz w:val="44"/>
          <w:szCs w:val="44"/>
          <w:highlight w:val="none"/>
        </w:rPr>
        <w:t xml:space="preserve">第</w:t>
      </w:r>
      <w:bookmarkEnd w:id="164"/>
      <w:r>
        <w:rPr>
          <w:rFonts w:hint="eastAsia" w:ascii="黑体" w:hAnsi="宋体" w:eastAsia="黑体" w:cs="黑体"/>
          <w:b w:val="0"/>
          <w:bCs w:val="0"/>
          <w:color w:val="auto"/>
          <w:sz w:val="44"/>
          <w:szCs w:val="44"/>
          <w:highlight w:val="none"/>
        </w:rPr>
        <w:t xml:space="preserve">四章 采购需求</w:t>
      </w:r>
      <w:bookmarkEnd w:id="165"/>
      <w:r/>
      <w:bookmarkEnd w:id="166"/>
      <w:r/>
      <w:bookmarkEnd w:id="167"/>
      <w:r/>
      <w:bookmarkEnd w:id="168"/>
      <w:r/>
      <w:bookmarkStart w:id="171" w:name="_Toc49090575"/>
      <w:r/>
      <w:bookmarkEnd w:id="171"/>
      <w:r/>
      <w:bookmarkStart w:id="172" w:name="_Toc26554093"/>
      <w:r/>
      <w:bookmarkEnd w:id="172"/>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项目属性：服务类项目</w:t>
      </w:r>
      <w:r/>
    </w:p>
    <w:p>
      <w:pPr>
        <w:pStyle w:val="671"/>
        <w:ind w:firstLine="480"/>
        <w:jc w:val="both"/>
        <w:pageBreakBefore w:val="0"/>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一、项目概况</w:t>
      </w:r>
      <w:r/>
    </w:p>
    <w:p>
      <w:pPr>
        <w:pStyle w:val="671"/>
        <w:ind w:firstLine="480"/>
        <w:jc w:val="both"/>
        <w:pageBreakBefore w:val="0"/>
        <w:spacing w:beforeAutospacing="0" w:afterAutospacing="0" w:line="500" w:lineRule="exact"/>
        <w:rPr>
          <w:rFonts w:hAnsi="宋体" w:eastAsia="宋体"/>
        </w:rPr>
      </w:pPr>
      <w:r>
        <w:rPr>
          <w:rFonts w:hint="eastAsia" w:ascii="宋体" w:hAnsi="宋体" w:eastAsia="宋体" w:cs="宋体"/>
          <w:color w:val="000000"/>
        </w:rPr>
        <w:t xml:space="preserve">我县是农业大县，全县每年农药使用量约1700吨</w:t>
      </w:r>
      <w:r>
        <w:rPr>
          <w:rFonts w:hint="eastAsia" w:ascii="宋体" w:hAnsi="宋体" w:eastAsia="宋体" w:cs="宋体"/>
          <w:color w:val="000000"/>
          <w:lang w:eastAsia="zh-CN"/>
        </w:rPr>
        <w:t xml:space="preserve">，</w:t>
      </w:r>
      <w:r>
        <w:rPr>
          <w:rFonts w:hint="eastAsia" w:ascii="宋体" w:hAnsi="宋体" w:eastAsia="宋体" w:cs="宋体"/>
          <w:color w:val="000000"/>
          <w:highlight w:val="none"/>
        </w:rPr>
        <w:t xml:space="preserve">肥料使用量约8.5万吨，全年农药包装废弃物产生量约200吨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本项目</w:t>
      </w:r>
      <w:r>
        <w:rPr>
          <w:rFonts w:hint="eastAsia" w:ascii="宋体" w:hAnsi="宋体" w:eastAsia="宋体" w:cs="宋体"/>
          <w:color w:val="000000"/>
          <w:highlight w:val="none"/>
        </w:rPr>
        <w:t xml:space="preserve">以农药包装废弃物回收为主，其中肥料包装废弃物占比不超过10%</w:t>
      </w:r>
      <w:r>
        <w:rPr>
          <w:spacing w:val="8"/>
          <w:sz w:val="30"/>
          <w:szCs w:val="30"/>
          <w:highlight w:val="none"/>
        </w:rPr>
        <w:t xml:space="preserve">。</w:t>
      </w:r>
      <w:r>
        <w:rPr>
          <w:rFonts w:hint="eastAsia" w:ascii="宋体" w:hAnsi="宋体" w:eastAsia="宋体" w:cs="宋体"/>
          <w:color w:val="000000"/>
          <w:highlight w:val="none"/>
        </w:rPr>
        <w:t xml:space="preserve">随意丢弃在田间地头的农药</w:t>
      </w:r>
      <w:r>
        <w:rPr>
          <w:rFonts w:hint="eastAsia" w:ascii="宋体" w:hAnsi="宋体" w:eastAsia="宋体" w:cs="宋体"/>
          <w:color w:val="000000"/>
          <w:highlight w:val="none"/>
          <w:lang w:val="en-US" w:eastAsia="zh-CN"/>
        </w:rPr>
        <w:t xml:space="preserve">和肥料</w:t>
      </w:r>
      <w:r>
        <w:rPr>
          <w:rFonts w:hint="eastAsia" w:ascii="宋体" w:hAnsi="宋体" w:eastAsia="宋体" w:cs="宋体"/>
          <w:color w:val="000000"/>
          <w:highlight w:val="none"/>
        </w:rPr>
        <w:t xml:space="preserve">包装废弃物既不美观，又影响了生态环境。为推进农业面源污染治理工作，降低农药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包装废弃物对农业、农村生态环境的影响，在全县范围内开展农药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包装废弃物集中回收处理，通过有偿收购的形式，鼓励种植户、农药经营门店等主体主动回收农药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包装废弃物。通过“第三方”组织开展回收、转运，同时做好防扬散、防流失、防渗漏等措施，进入具备危险废物无害化处理资质单位进行无害化处置。本项目所称农药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包装废弃物，是指农药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使用后被废弃的与农药直接接触或含有农药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残余物的包装物（瓶、罐、桶、袋等）。</w:t>
      </w:r>
      <w:r>
        <w:rPr>
          <w:rFonts w:hint="eastAsia" w:ascii="宋体" w:hAnsi="宋体" w:eastAsia="宋体" w:cs="宋体"/>
          <w:b/>
          <w:bCs/>
          <w:color w:val="000000"/>
          <w:highlight w:val="none"/>
        </w:rPr>
        <w:t xml:space="preserve">本项目总预算</w:t>
      </w:r>
      <w:r>
        <w:rPr>
          <w:rFonts w:hint="eastAsia" w:hAnsi="宋体" w:eastAsia="宋体"/>
          <w:b/>
          <w:bCs/>
          <w:highlight w:val="none"/>
        </w:rPr>
        <w:t xml:space="preserve">价为</w:t>
      </w:r>
      <w:r>
        <w:rPr>
          <w:rFonts w:hint="eastAsia" w:hAnsi="宋体" w:eastAsia="宋体"/>
          <w:b/>
          <w:bCs/>
          <w:highlight w:val="none"/>
          <w:lang w:val="en-US" w:eastAsia="zh-CN"/>
        </w:rPr>
        <w:t xml:space="preserve">124.5</w:t>
      </w:r>
      <w:r>
        <w:rPr>
          <w:rFonts w:hint="eastAsia" w:hAnsi="宋体" w:eastAsia="宋体"/>
          <w:b/>
          <w:bCs/>
          <w:highlight w:val="none"/>
        </w:rPr>
        <w:t xml:space="preserve">万元，</w:t>
      </w:r>
      <w:r>
        <w:rPr>
          <w:rFonts w:hint="eastAsia" w:hAnsi="宋体" w:eastAsia="宋体"/>
          <w:b/>
          <w:bCs/>
          <w:highlight w:val="none"/>
          <w:lang w:val="en-US" w:eastAsia="zh-CN"/>
        </w:rPr>
        <w:t xml:space="preserve">124.5</w:t>
      </w:r>
      <w:r>
        <w:rPr>
          <w:rFonts w:hint="eastAsia" w:hAnsi="宋体" w:eastAsia="宋体"/>
          <w:b/>
          <w:bCs/>
          <w:highlight w:val="none"/>
        </w:rPr>
        <w:t xml:space="preserve">万元=回收处置数量（约</w:t>
      </w:r>
      <w:r>
        <w:rPr>
          <w:rFonts w:hint="eastAsia" w:hAnsi="宋体" w:eastAsia="宋体"/>
          <w:b/>
          <w:bCs/>
          <w:highlight w:val="none"/>
          <w:lang w:val="en-US" w:eastAsia="zh-CN"/>
        </w:rPr>
        <w:t xml:space="preserve">103.75</w:t>
      </w:r>
      <w:r>
        <w:rPr>
          <w:rFonts w:hint="eastAsia" w:hAnsi="宋体" w:eastAsia="宋体"/>
          <w:b/>
          <w:bCs/>
          <w:highlight w:val="none"/>
        </w:rPr>
        <w:t xml:space="preserve">吨）*磋商单价，本项目单价最高限价：1.20万元/吨，本项目结算总价以实际回收量*中标单价，最高不超过</w:t>
      </w:r>
      <w:r>
        <w:rPr>
          <w:rFonts w:hint="eastAsia" w:hAnsi="宋体" w:eastAsia="宋体"/>
          <w:b/>
          <w:bCs/>
          <w:highlight w:val="none"/>
          <w:lang w:val="en-US" w:eastAsia="zh-CN"/>
        </w:rPr>
        <w:t xml:space="preserve">124.5</w:t>
      </w:r>
      <w:r>
        <w:rPr>
          <w:rFonts w:hint="eastAsia" w:hAnsi="宋体" w:eastAsia="宋体"/>
          <w:b/>
          <w:bCs/>
        </w:rPr>
        <w:t xml:space="preserve">万元总预算价。</w:t>
      </w:r>
      <w:r/>
    </w:p>
    <w:p>
      <w:pPr>
        <w:pStyle w:val="671"/>
        <w:ind w:firstLine="480"/>
        <w:jc w:val="both"/>
        <w:pageBreakBefore w:val="0"/>
        <w:spacing w:beforeAutospacing="0" w:afterAutospacing="0" w:line="500" w:lineRule="exact"/>
        <w:rPr>
          <w:rFonts w:ascii="宋体" w:hAnsi="宋体" w:eastAsia="宋体" w:cs="宋体"/>
          <w:color w:val="000000"/>
          <w:highlight w:val="none"/>
        </w:rPr>
      </w:pPr>
      <w:r>
        <w:rPr>
          <w:rFonts w:hint="eastAsia" w:ascii="宋体" w:hAnsi="宋体" w:eastAsia="宋体" w:cs="宋体"/>
          <w:color w:val="000000"/>
        </w:rPr>
        <w:t xml:space="preserve">备注：本项目中标价包括但不限于：农药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包装废弃物有偿回收经费、镇（区）集中收集点人员工作经费、储存、专业化转运费、无害化处置费和合理利润以及磋商文件约定的其它费用，总之报价含完成本项目回收处置所有预见及不可预见的各种费用。</w:t>
      </w:r>
      <w:r/>
    </w:p>
    <w:p>
      <w:pPr>
        <w:pStyle w:val="671"/>
        <w:ind w:firstLine="480"/>
        <w:jc w:val="both"/>
        <w:pageBreakBefore w:val="0"/>
        <w:spacing w:beforeAutospacing="0" w:afterAutospacing="0" w:line="500" w:lineRule="exact"/>
        <w:rPr>
          <w:rFonts w:ascii="宋体" w:hAnsi="宋体" w:eastAsia="宋体" w:cs="宋体"/>
          <w:b/>
          <w:bCs/>
          <w:color w:val="000000"/>
          <w:highlight w:val="none"/>
        </w:rPr>
      </w:pPr>
      <w:r>
        <w:rPr>
          <w:rFonts w:hint="eastAsia" w:ascii="宋体" w:hAnsi="宋体" w:eastAsia="宋体" w:cs="宋体"/>
          <w:b/>
          <w:bCs/>
          <w:color w:val="000000"/>
          <w:highlight w:val="none"/>
        </w:rPr>
        <w:t xml:space="preserve">二、项目要求和范围</w:t>
      </w:r>
      <w:r/>
    </w:p>
    <w:p>
      <w:pPr>
        <w:pStyle w:val="671"/>
        <w:ind w:firstLine="480"/>
        <w:jc w:val="both"/>
        <w:pageBreakBefore w:val="0"/>
        <w:spacing w:beforeAutospacing="0" w:afterAutospacing="0" w:line="500" w:lineRule="exact"/>
        <w:rPr>
          <w:rFonts w:ascii="宋体" w:hAnsi="宋体" w:eastAsia="宋体" w:cs="宋体"/>
          <w:color w:val="000000"/>
          <w:highlight w:val="none"/>
        </w:rPr>
      </w:pPr>
      <w:r>
        <w:rPr>
          <w:rFonts w:hint="eastAsia" w:ascii="宋体" w:hAnsi="宋体" w:eastAsia="宋体" w:cs="宋体"/>
          <w:color w:val="000000"/>
          <w:highlight w:val="none"/>
        </w:rPr>
        <w:t xml:space="preserve">服务要求：在全县范围内建立农药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包装废弃物回收体系；开展农药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包装废弃物集中回收、储存、转运、无害化处置。</w:t>
      </w:r>
      <w:r/>
    </w:p>
    <w:p>
      <w:pPr>
        <w:pStyle w:val="671"/>
        <w:ind w:firstLine="480"/>
        <w:jc w:val="both"/>
        <w:pageBreakBefore w:val="0"/>
        <w:spacing w:beforeAutospacing="0" w:afterAutospacing="0" w:line="500" w:lineRule="exact"/>
        <w:rPr>
          <w:rFonts w:ascii="宋体" w:hAnsi="宋体" w:eastAsia="宋体" w:cs="宋体"/>
          <w:color w:val="000000"/>
          <w:highlight w:val="none"/>
        </w:rPr>
      </w:pPr>
      <w:r>
        <w:rPr>
          <w:rFonts w:hint="eastAsia" w:ascii="宋体" w:hAnsi="宋体" w:eastAsia="宋体" w:cs="宋体"/>
          <w:color w:val="000000"/>
          <w:highlight w:val="none"/>
        </w:rPr>
        <w:t xml:space="preserve">服务地点：全县各镇区</w:t>
      </w:r>
      <w:r/>
    </w:p>
    <w:p>
      <w:pPr>
        <w:pStyle w:val="671"/>
        <w:ind w:firstLine="480"/>
        <w:jc w:val="both"/>
        <w:pageBreakBefore w:val="0"/>
        <w:spacing w:beforeAutospacing="0" w:afterAutospacing="0" w:line="500" w:lineRule="exact"/>
        <w:rPr>
          <w:rFonts w:ascii="宋体" w:hAnsi="宋体" w:eastAsia="宋体" w:cs="宋体"/>
          <w:color w:val="000000"/>
          <w:highlight w:val="none"/>
        </w:rPr>
      </w:pPr>
      <w:r>
        <w:rPr>
          <w:rFonts w:hint="eastAsia" w:ascii="宋体" w:hAnsi="宋体" w:eastAsia="宋体" w:cs="宋体"/>
          <w:color w:val="000000"/>
          <w:highlight w:val="none"/>
        </w:rPr>
        <w:t xml:space="preserve">采购人保留对招标范围和内容进行适当调整的权利，负责对农药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包装废弃物回收处置的管理、核查等工作。</w:t>
      </w:r>
      <w:r/>
    </w:p>
    <w:p>
      <w:pPr>
        <w:pStyle w:val="671"/>
        <w:ind w:firstLine="480"/>
        <w:jc w:val="both"/>
        <w:pageBreakBefore w:val="0"/>
        <w:spacing w:beforeAutospacing="0" w:afterAutospacing="0" w:line="500" w:lineRule="exact"/>
        <w:rPr>
          <w:rFonts w:ascii="宋体" w:hAnsi="宋体" w:eastAsia="宋体" w:cs="宋体"/>
          <w:b/>
          <w:bCs/>
          <w:color w:val="000000"/>
          <w:highlight w:val="none"/>
        </w:rPr>
      </w:pPr>
      <w:r>
        <w:rPr>
          <w:rFonts w:hint="eastAsia" w:ascii="宋体" w:hAnsi="宋体" w:eastAsia="宋体" w:cs="宋体"/>
          <w:b/>
          <w:bCs/>
          <w:color w:val="000000"/>
          <w:highlight w:val="none"/>
        </w:rPr>
        <w:t xml:space="preserve">三、农药包装废弃物回收处置标准要求</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highlight w:val="none"/>
        </w:rPr>
        <w:t xml:space="preserve">为防治农药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包装废弃物污染，保障公众健康，保护生态环境，根据《中华人民共和国环境保护法》、《中华人民共和国固体废物污染环境防治法》、《国家危险废物名录》等法律法规和有关规定，本次采购主要是针对农药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包装废</w:t>
      </w:r>
      <w:r>
        <w:rPr>
          <w:rFonts w:hint="eastAsia" w:ascii="宋体" w:hAnsi="宋体" w:eastAsia="宋体" w:cs="宋体"/>
          <w:color w:val="000000"/>
        </w:rPr>
        <w:t xml:space="preserve">弃物的回收、储存、运输、无害化处置等, 成交供应商应做到如下要求：</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b/>
          <w:bCs/>
          <w:color w:val="000000"/>
        </w:rPr>
        <w:t xml:space="preserve">严格遵循危险废物就近处置原则，供应商须注册有江苏省生态环境厅统一门户账号（江苏省固体废物管理信息系统，即环保脸谱），能够根据环保部门要求在江苏省内落实农药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b/>
          <w:bCs/>
          <w:color w:val="000000"/>
        </w:rPr>
        <w:t xml:space="preserve">包装废弃物就地产生就地处理相关要求。</w:t>
      </w:r>
      <w:r/>
    </w:p>
    <w:p>
      <w:pPr>
        <w:pStyle w:val="671"/>
        <w:ind w:firstLine="482"/>
        <w:jc w:val="both"/>
        <w:pageBreakBefore w:val="0"/>
        <w:spacing w:beforeAutospacing="0" w:afterAutospacing="0" w:line="500" w:lineRule="exact"/>
        <w:rPr>
          <w:rFonts w:hint="eastAsia" w:ascii="宋体" w:hAnsi="宋体" w:eastAsia="宋体" w:cs="宋体"/>
          <w:b/>
          <w:bCs/>
          <w:color w:val="ff0000"/>
        </w:rPr>
      </w:pPr>
      <w:r>
        <w:rPr>
          <w:rFonts w:hint="eastAsia" w:ascii="宋体" w:hAnsi="宋体" w:eastAsia="宋体" w:cs="宋体"/>
          <w:b/>
          <w:bCs/>
          <w:color w:val="ff0000"/>
        </w:rPr>
        <w:t xml:space="preserve">备注：此项为符合性审查内容，投标人须在响应文件中提供江苏省生态环境厅统一门户自有账号的相关证明材料（江苏省固体废物管理信息系统，即环保脸谱），否则按无效投标人处理。</w:t>
      </w:r>
      <w:r/>
    </w:p>
    <w:p>
      <w:pPr>
        <w:pStyle w:val="671"/>
        <w:ind w:firstLine="480"/>
        <w:jc w:val="both"/>
        <w:pageBreakBefore w:val="0"/>
        <w:spacing w:beforeAutospacing="0" w:afterAutospacing="0" w:line="500" w:lineRule="exact"/>
        <w:rPr>
          <w:rFonts w:ascii="宋体" w:hAnsi="宋体" w:eastAsia="宋体" w:cs="宋体"/>
          <w:color w:val="000000"/>
          <w:highlight w:val="none"/>
        </w:rPr>
      </w:pPr>
      <w:r>
        <w:rPr>
          <w:rFonts w:hint="eastAsia" w:ascii="宋体" w:hAnsi="宋体" w:eastAsia="宋体" w:cs="宋体"/>
          <w:color w:val="000000"/>
        </w:rPr>
        <w:t xml:space="preserve">(2)收运时负责落实专人、专用车辆及时收运射阳县范围内的</w:t>
      </w:r>
      <w:r>
        <w:rPr>
          <w:rFonts w:hint="eastAsia" w:ascii="宋体" w:hAnsi="宋体" w:eastAsia="宋体" w:cs="宋体"/>
          <w:color w:val="000000"/>
          <w:highlight w:val="none"/>
        </w:rPr>
        <w:t xml:space="preserve">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包装废弃物，如实填写并开具《农药包装废弃物回收核查表》；</w:t>
      </w:r>
      <w:r/>
    </w:p>
    <w:p>
      <w:pPr>
        <w:pStyle w:val="671"/>
        <w:ind w:firstLine="480"/>
        <w:jc w:val="both"/>
        <w:pageBreakBefore w:val="0"/>
        <w:spacing w:beforeAutospacing="0" w:afterAutospacing="0" w:line="500" w:lineRule="exact"/>
        <w:rPr>
          <w:rFonts w:ascii="宋体" w:hAnsi="宋体" w:eastAsia="宋体" w:cs="宋体"/>
          <w:color w:val="000000"/>
          <w:highlight w:val="none"/>
        </w:rPr>
      </w:pPr>
      <w:r>
        <w:rPr>
          <w:rFonts w:hint="eastAsia" w:ascii="宋体" w:hAnsi="宋体" w:eastAsia="宋体" w:cs="宋体"/>
          <w:color w:val="000000"/>
          <w:highlight w:val="none"/>
        </w:rPr>
        <w:t xml:space="preserve">(3)严格落实农药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包装废弃物运输、处置等各项安全管理制度，在运输过程中确保农药包装废弃物不泄露；</w:t>
      </w:r>
      <w:r/>
    </w:p>
    <w:p>
      <w:pPr>
        <w:pStyle w:val="671"/>
        <w:ind w:firstLine="480"/>
        <w:jc w:val="both"/>
        <w:pageBreakBefore w:val="0"/>
        <w:spacing w:beforeAutospacing="0" w:afterAutospacing="0" w:line="500" w:lineRule="exact"/>
        <w:rPr>
          <w:rFonts w:ascii="宋体" w:hAnsi="宋体" w:eastAsia="宋体" w:cs="宋体"/>
          <w:color w:val="000000"/>
          <w:highlight w:val="none"/>
        </w:rPr>
      </w:pPr>
      <w:r>
        <w:rPr>
          <w:rFonts w:hint="eastAsia" w:ascii="宋体" w:hAnsi="宋体" w:eastAsia="宋体" w:cs="宋体"/>
          <w:color w:val="000000"/>
          <w:highlight w:val="none"/>
        </w:rPr>
        <w:t xml:space="preserve">(4)严格按规定要求做好农药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包装废弃物收集运输车辆的消毒清理工作；</w:t>
      </w:r>
      <w:r/>
    </w:p>
    <w:p>
      <w:pPr>
        <w:pStyle w:val="671"/>
        <w:ind w:firstLine="480"/>
        <w:jc w:val="both"/>
        <w:pageBreakBefore w:val="0"/>
        <w:spacing w:beforeAutospacing="0" w:afterAutospacing="0" w:line="500" w:lineRule="exact"/>
        <w:rPr>
          <w:rFonts w:ascii="宋体" w:hAnsi="宋体" w:eastAsia="宋体" w:cs="宋体"/>
          <w:color w:val="000000"/>
          <w:highlight w:val="none"/>
        </w:rPr>
      </w:pPr>
      <w:r>
        <w:rPr>
          <w:rFonts w:hint="eastAsia" w:ascii="宋体" w:hAnsi="宋体" w:eastAsia="宋体" w:cs="宋体"/>
          <w:color w:val="000000"/>
          <w:highlight w:val="none"/>
        </w:rPr>
        <w:t xml:space="preserve">(5)农药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包装废弃物收集点、储存场所，选址及设施建设要按照环境保护法律法规要求落实，须严格落实远离河道、专用仓库防渗储存等环保标准。</w:t>
      </w:r>
      <w:r/>
    </w:p>
    <w:p>
      <w:pPr>
        <w:pStyle w:val="671"/>
        <w:ind w:firstLine="480"/>
        <w:jc w:val="both"/>
        <w:pageBreakBefore w:val="0"/>
        <w:spacing w:beforeAutospacing="0" w:afterAutospacing="0" w:line="500" w:lineRule="exact"/>
        <w:rPr>
          <w:rFonts w:ascii="宋体" w:hAnsi="宋体" w:eastAsia="宋体" w:cs="宋体"/>
          <w:color w:val="000000"/>
          <w:highlight w:val="none"/>
        </w:rPr>
      </w:pPr>
      <w:r>
        <w:rPr>
          <w:rFonts w:hint="eastAsia" w:ascii="宋体" w:hAnsi="宋体" w:eastAsia="宋体" w:cs="宋体"/>
          <w:color w:val="000000"/>
          <w:highlight w:val="none"/>
        </w:rPr>
        <w:t xml:space="preserve">(6)按要求提供农药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包装废弃物无害化处置凭据。</w:t>
      </w:r>
      <w:r/>
    </w:p>
    <w:p>
      <w:pPr>
        <w:pStyle w:val="671"/>
        <w:ind w:firstLine="480"/>
        <w:jc w:val="both"/>
        <w:pageBreakBefore w:val="0"/>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 四、其他要求</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(1)遇有重大活动或突发事件，及时组织力量做好转运等保障工作；</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成交供应商所聘用的所有工作人员工资不得低于射阳县当年最低工资标准；成交供应商根据工作需要自行聘用工作人员，聘用人员与县农业农村局无关；成交供应商按国家规定为工作人员购买保险并支付工资；成交供应商与被聘用人员劳动纠纷由成交供应商自行处理。</w:t>
      </w:r>
      <w:r/>
    </w:p>
    <w:p>
      <w:pPr>
        <w:pStyle w:val="671"/>
        <w:ind w:firstLine="480"/>
        <w:jc w:val="both"/>
        <w:pageBreakBefore w:val="0"/>
        <w:spacing w:beforeAutospacing="0" w:afterAutospacing="0" w:line="500" w:lineRule="exact"/>
        <w:rPr>
          <w:rFonts w:ascii="宋体" w:hAnsi="宋体" w:eastAsia="宋体" w:cs="宋体"/>
          <w:color w:val="000000"/>
          <w:highlight w:val="none"/>
        </w:rPr>
      </w:pPr>
      <w:r>
        <w:rPr>
          <w:rFonts w:hint="eastAsia" w:ascii="宋体" w:hAnsi="宋体" w:eastAsia="宋体" w:cs="宋体"/>
          <w:color w:val="000000"/>
        </w:rPr>
        <w:t xml:space="preserve">(3) 成交供应商负责将农药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包装废弃物从集中收集点转运至具有危险废物无害化处置资质单位进行处置。</w:t>
      </w:r>
      <w:r/>
    </w:p>
    <w:p>
      <w:pPr>
        <w:pStyle w:val="671"/>
        <w:ind w:firstLine="480"/>
        <w:jc w:val="both"/>
        <w:pageBreakBefore w:val="0"/>
        <w:spacing w:beforeAutospacing="0" w:afterAutospacing="0" w:line="500" w:lineRule="exact"/>
        <w:rPr>
          <w:rFonts w:ascii="宋体" w:hAnsi="宋体" w:eastAsia="宋体" w:cs="宋体"/>
          <w:color w:val="000000"/>
          <w:highlight w:val="none"/>
        </w:rPr>
      </w:pPr>
      <w:r>
        <w:rPr>
          <w:rFonts w:hint="eastAsia" w:ascii="宋体" w:hAnsi="宋体" w:eastAsia="宋体" w:cs="宋体"/>
          <w:color w:val="000000"/>
          <w:highlight w:val="none"/>
        </w:rPr>
        <w:t xml:space="preserve">（4）劳动安全</w:t>
      </w:r>
      <w:r/>
    </w:p>
    <w:p>
      <w:pPr>
        <w:pStyle w:val="671"/>
        <w:ind w:firstLine="480"/>
        <w:jc w:val="both"/>
        <w:pageBreakBefore w:val="0"/>
        <w:spacing w:beforeAutospacing="0" w:afterAutospacing="0" w:line="500" w:lineRule="exact"/>
        <w:rPr>
          <w:rFonts w:ascii="宋体" w:hAnsi="宋体" w:eastAsia="宋体" w:cs="宋体"/>
          <w:color w:val="000000"/>
          <w:highlight w:val="none"/>
        </w:rPr>
      </w:pPr>
      <w:r>
        <w:rPr>
          <w:rFonts w:hint="eastAsia" w:ascii="宋体" w:hAnsi="宋体" w:eastAsia="宋体" w:cs="宋体"/>
          <w:color w:val="000000"/>
          <w:highlight w:val="none"/>
        </w:rPr>
        <w:t xml:space="preserve">成交供应商必须对所有员工进行安全教育，对车辆定期维护检査。本项目涉及的所有车辆均须达到上路条件。所有车辆与人员的安全均由成交供应商自行负责，如发生安全事故，采购方概不负责，因成交供应商原因发生重大安全事故的，采购方有权中止合同，并保留对成交供应商违约责任的追偿权。</w:t>
      </w:r>
      <w:r/>
    </w:p>
    <w:p>
      <w:pPr>
        <w:pStyle w:val="671"/>
        <w:ind w:firstLine="480"/>
        <w:jc w:val="both"/>
        <w:pageBreakBefore w:val="0"/>
        <w:spacing w:beforeAutospacing="0" w:afterAutospacing="0" w:line="500" w:lineRule="exact"/>
        <w:rPr>
          <w:rFonts w:ascii="宋体" w:hAnsi="宋体" w:eastAsia="宋体" w:cs="宋体"/>
          <w:b/>
          <w:bCs/>
          <w:color w:val="000000"/>
          <w:highlight w:val="none"/>
        </w:rPr>
      </w:pPr>
      <w:r>
        <w:rPr>
          <w:rFonts w:hint="eastAsia" w:ascii="宋体" w:hAnsi="宋体" w:eastAsia="宋体" w:cs="宋体"/>
          <w:b/>
          <w:bCs/>
          <w:color w:val="000000"/>
          <w:highlight w:val="none"/>
        </w:rPr>
        <w:t xml:space="preserve">五、履约保证金：</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highlight w:val="none"/>
        </w:rPr>
        <w:t xml:space="preserve">1、成交后签订合同前成交供应商须交纳成交额10%的履约保证金到采购人指定账户。农药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highlight w:val="none"/>
        </w:rPr>
        <w:t xml:space="preserve">包装</w:t>
      </w:r>
      <w:r>
        <w:rPr>
          <w:rFonts w:hint="eastAsia" w:ascii="宋体" w:hAnsi="宋体" w:eastAsia="宋体" w:cs="宋体"/>
          <w:color w:val="000000"/>
        </w:rPr>
        <w:t xml:space="preserve">废弃物回收处理量达到</w:t>
      </w:r>
      <w:r>
        <w:rPr>
          <w:rFonts w:hint="eastAsia" w:hAnsi="宋体" w:eastAsia="宋体"/>
          <w:highlight w:val="none"/>
          <w:lang w:val="en-US" w:eastAsia="zh-CN"/>
        </w:rPr>
        <w:t xml:space="preserve">103.75</w:t>
      </w:r>
      <w:r>
        <w:rPr>
          <w:rFonts w:hint="eastAsia" w:ascii="宋体" w:hAnsi="宋体" w:eastAsia="宋体" w:cs="宋体"/>
          <w:color w:val="000000"/>
        </w:rPr>
        <w:t xml:space="preserve">吨后，退回履约保证金（无息）。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w:t>
      </w:r>
      <w:r>
        <w:rPr>
          <w:rFonts w:hint="eastAsia" w:ascii="宋体" w:hAnsi="宋体" w:eastAsia="宋体" w:cs="宋体"/>
          <w:color w:val="000000"/>
          <w:lang w:val="en-US" w:eastAsia="zh-CN"/>
        </w:rPr>
        <w:t xml:space="preserve">30</w:t>
      </w:r>
      <w:r>
        <w:rPr>
          <w:rFonts w:hint="eastAsia" w:ascii="宋体" w:hAnsi="宋体" w:eastAsia="宋体" w:cs="宋体"/>
          <w:color w:val="000000"/>
        </w:rPr>
        <w:t xml:space="preserve">日内全额退还履约保证金，不计利息。如果成交供应商不同意按照规定去做，采购方有权取消本次采购成交决定。履约保证金不予退还的情形按政府采购相关法律法规执行。</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采购人对第三方信用服务机构依据标准规范评定为AA级及以上的政府采购供应商（需在签订采购合同前提供信用管理部门备案的第三方信用报告，且信用报告通过“信用盐城网”可查实），履约保证金可免交，具体操作流程请按射财库【2021】17号文和射财库【2021】20号文执行。</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3、采购人在农药</w:t>
      </w:r>
      <w:r>
        <w:rPr>
          <w:rFonts w:hint="eastAsia" w:ascii="宋体" w:hAnsi="宋体" w:eastAsia="宋体" w:cs="宋体"/>
          <w:color w:val="auto"/>
          <w:sz w:val="24"/>
          <w:szCs w:val="24"/>
          <w:highlight w:val="none"/>
          <w:lang w:eastAsia="zh-CN"/>
        </w:rPr>
        <w:t xml:space="preserve">和肥料</w:t>
      </w:r>
      <w:r>
        <w:rPr>
          <w:rFonts w:hint="eastAsia" w:ascii="宋体" w:hAnsi="宋体" w:eastAsia="宋体" w:cs="宋体"/>
          <w:color w:val="000000"/>
        </w:rPr>
        <w:t xml:space="preserve">包装废弃物回收处理量达到</w:t>
      </w:r>
      <w:r>
        <w:rPr>
          <w:rFonts w:hint="eastAsia" w:hAnsi="宋体" w:eastAsia="宋体"/>
          <w:highlight w:val="none"/>
          <w:lang w:val="en-US" w:eastAsia="zh-CN"/>
        </w:rPr>
        <w:t xml:space="preserve">103.75</w:t>
      </w:r>
      <w:r>
        <w:rPr>
          <w:rFonts w:hint="eastAsia" w:ascii="宋体" w:hAnsi="宋体" w:eastAsia="宋体" w:cs="宋体"/>
          <w:color w:val="000000"/>
        </w:rPr>
        <w:t xml:space="preserve">吨后全额退还履约保证金，不计利息。如果成交供应商不同意按照规定去做，采购方有权取消本次采购成交决定。履约保证金不予退还的情形按政府采购相关法律法规执行。</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4、履约保证金的退还：</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（1）方式：无息退还至投标人缴纳履约保证金的账户。如为保函，在到期时自行失效。</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（2）时间：验收合格且采购人收到发票后30日内。</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（3）条件：按合同要求全部履约完成并经采购人验收合格，且采购人收到中标人出具的发票。</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5、不予退还情形：</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除不可抗力情况外，投标人出现下列情形之一的，其履约保证金，招标人将视情节决定不予退还或部分不予退还。</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（1）中标人无正当理由拒绝签订合同的，或者在签订合同时向采购人提出附加条件或者更改合同实质性内容要求的；</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（2）中标人不履行与采购人订立的合同的；</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（3）中标人所供货物或服务不符合招标文件规定要求的；</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（4）中标人采取欺骗、弄虚作假方式投标的或与其它投标人串通投标的；</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（5）中标人将合同内容转包、违法分包的；</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（6）中标人故意捏造事实或伪造证明材料，进行虚假恶意投诉或反映的。</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（7）采购人在农药包装废弃物回收处理量未达到</w:t>
      </w:r>
      <w:r>
        <w:rPr>
          <w:rFonts w:hint="eastAsia" w:hAnsi="宋体" w:eastAsia="宋体"/>
          <w:highlight w:val="none"/>
          <w:lang w:val="en-US" w:eastAsia="zh-CN"/>
        </w:rPr>
        <w:t xml:space="preserve">103.75</w:t>
      </w:r>
      <w:r>
        <w:rPr>
          <w:rFonts w:hint="eastAsia" w:ascii="宋体" w:hAnsi="宋体" w:eastAsia="宋体" w:cs="宋体"/>
          <w:color w:val="000000"/>
        </w:rPr>
        <w:t xml:space="preserve">吨的。</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6、逾期退还的违约责任：采购人逾期无故未退还履约保证金的，按中国人民银行同期贷款基准利率上浮20%后的利率支付超期资金占用费，但因供应商自身原因导致无法及时退还的除外。</w:t>
      </w:r>
      <w:r/>
    </w:p>
    <w:p>
      <w:pPr>
        <w:pStyle w:val="671"/>
        <w:ind w:firstLine="480"/>
        <w:jc w:val="both"/>
        <w:pageBreakBefore w:val="0"/>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六、合同履行期限及地点：</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合同履行期限：签订合同之日起至</w:t>
      </w:r>
      <w:r>
        <w:rPr>
          <w:rFonts w:hint="eastAsia" w:ascii="宋体" w:hAnsi="宋体" w:eastAsia="宋体" w:cs="宋体"/>
          <w:color w:val="000000"/>
          <w:highlight w:val="none"/>
        </w:rPr>
        <w:t xml:space="preserve">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年12月30</w:t>
      </w:r>
      <w:r>
        <w:rPr>
          <w:rFonts w:hint="eastAsia" w:ascii="宋体" w:hAnsi="宋体" w:eastAsia="宋体" w:cs="宋体"/>
          <w:color w:val="000000"/>
        </w:rPr>
        <w:t xml:space="preserve">日，履约期间如遇国家政策性调整的，按最新政策执行。</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地点：采购方指定地点。</w:t>
      </w:r>
      <w:r/>
    </w:p>
    <w:p>
      <w:pPr>
        <w:pStyle w:val="671"/>
        <w:ind w:firstLine="480"/>
        <w:jc w:val="both"/>
        <w:pageBreakBefore w:val="0"/>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七、付款方式: </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w:t>
      </w:r>
      <w:r/>
    </w:p>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中标单位至少完成</w:t>
      </w:r>
      <w:r>
        <w:rPr>
          <w:rFonts w:hint="eastAsia" w:hAnsi="宋体" w:eastAsia="宋体"/>
          <w:highlight w:val="none"/>
          <w:lang w:val="en-US" w:eastAsia="zh-CN"/>
        </w:rPr>
        <w:t xml:space="preserve">103.75</w:t>
      </w:r>
      <w:r>
        <w:rPr>
          <w:rFonts w:hint="eastAsia" w:ascii="宋体" w:hAnsi="宋体" w:eastAsia="宋体" w:cs="宋体"/>
          <w:color w:val="000000"/>
        </w:rPr>
        <w:t xml:space="preserve">吨农药包装废弃物的回收处置量后并经验收合格，采购人收到发票后10个工作日内一次性支付剩余合同总价。</w:t>
      </w:r>
      <w:r/>
    </w:p>
    <w:p>
      <w:pPr>
        <w:ind w:firstLine="482"/>
        <w:pageBreakBefore w:val="0"/>
        <w:spacing w:line="500" w:lineRule="exact"/>
        <w:rPr>
          <w:rFonts w:hAnsi="宋体" w:eastAsia="宋体"/>
          <w:b/>
          <w:bCs/>
          <w:sz w:val="24"/>
        </w:rPr>
      </w:pPr>
      <w:r>
        <w:rPr>
          <w:rFonts w:hint="eastAsia" w:hAnsi="宋体" w:eastAsia="宋体"/>
          <w:b/>
          <w:bCs/>
          <w:sz w:val="24"/>
          <w:lang w:val="en-US" w:eastAsia="zh-CN"/>
        </w:rPr>
        <w:t xml:space="preserve">八</w:t>
      </w:r>
      <w:r>
        <w:rPr>
          <w:rFonts w:hint="eastAsia" w:hAnsi="宋体" w:eastAsia="宋体"/>
          <w:b/>
          <w:bCs/>
          <w:sz w:val="24"/>
        </w:rPr>
        <w:t xml:space="preserve">、特别说明</w:t>
      </w:r>
      <w:r/>
    </w:p>
    <w:p>
      <w:pPr>
        <w:pStyle w:val="837"/>
        <w:pageBreakBefore w:val="0"/>
        <w:spacing w:line="500" w:lineRule="exact"/>
        <w:rPr>
          <w:rFonts w:hAnsi="宋体" w:eastAsia="宋体" w:cs="Times New Roman"/>
          <w:sz w:val="24"/>
          <w:szCs w:val="24"/>
        </w:rPr>
      </w:pPr>
      <w:r>
        <w:rPr>
          <w:rFonts w:hint="eastAsia" w:hAnsi="宋体" w:eastAsia="宋体" w:cs="Times New Roman"/>
          <w:sz w:val="24"/>
          <w:szCs w:val="24"/>
        </w:rPr>
        <w:t xml:space="preserve">1、报价含项目成果交付前一切费用。不接受选择性报价。</w:t>
      </w:r>
      <w:r/>
    </w:p>
    <w:p>
      <w:pPr>
        <w:pStyle w:val="837"/>
        <w:pageBreakBefore w:val="0"/>
        <w:spacing w:line="500" w:lineRule="exact"/>
        <w:rPr>
          <w:rFonts w:hAnsi="宋体" w:eastAsia="宋体" w:cs="Times New Roman"/>
          <w:sz w:val="24"/>
          <w:szCs w:val="24"/>
        </w:rPr>
      </w:pPr>
      <w:r>
        <w:rPr>
          <w:rFonts w:hint="eastAsia" w:hAnsi="宋体" w:eastAsia="宋体" w:cs="Times New Roman"/>
          <w:sz w:val="24"/>
          <w:szCs w:val="24"/>
        </w:rPr>
        <w:t xml:space="preserve">2、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可按照少数服从多数的原则采用投票等方式作出结论。</w:t>
      </w:r>
      <w:r/>
    </w:p>
    <w:p>
      <w:pPr>
        <w:pStyle w:val="837"/>
        <w:pageBreakBefore w:val="0"/>
        <w:spacing w:line="500" w:lineRule="exact"/>
        <w:rPr>
          <w:rFonts w:hAnsi="宋体" w:eastAsia="宋体" w:cs="Times New Roman"/>
          <w:sz w:val="24"/>
          <w:szCs w:val="24"/>
        </w:rPr>
      </w:pPr>
      <w:r>
        <w:rPr>
          <w:rFonts w:hint="eastAsia" w:hAnsi="宋体" w:cs="Times New Roman"/>
          <w:sz w:val="24"/>
          <w:szCs w:val="24"/>
        </w:rPr>
        <w:t xml:space="preserve">3</w:t>
      </w:r>
      <w:r>
        <w:rPr>
          <w:rFonts w:hint="eastAsia" w:hAnsi="宋体" w:eastAsia="宋体" w:cs="Times New Roman"/>
          <w:sz w:val="24"/>
          <w:szCs w:val="24"/>
        </w:rPr>
        <w:t xml:space="preserve">、资格后审：项目开标结束后，采购人或采购代理机构应当依法对投标人的资格进行审查。资格审查材料的复印件须在投标文件中提供。</w:t>
      </w:r>
      <w:r/>
    </w:p>
    <w:p>
      <w:pPr>
        <w:pStyle w:val="671"/>
        <w:ind w:firstLine="480"/>
        <w:jc w:val="both"/>
        <w:pageBreakBefore w:val="0"/>
        <w:spacing w:beforeAutospacing="0" w:afterAutospacing="0" w:line="500" w:lineRule="exact"/>
        <w:rPr>
          <w:rFonts w:hint="eastAsia" w:hAnsi="宋体" w:eastAsia="宋体" w:cs="Times New Roman"/>
          <w:sz w:val="24"/>
          <w:szCs w:val="24"/>
        </w:rPr>
      </w:pPr>
      <w:r>
        <w:rPr>
          <w:rFonts w:hint="eastAsia" w:hAnsi="宋体" w:cs="Times New Roman"/>
          <w:sz w:val="24"/>
          <w:szCs w:val="24"/>
        </w:rPr>
        <w:t xml:space="preserve">4</w:t>
      </w:r>
      <w:r>
        <w:rPr>
          <w:rFonts w:hint="eastAsia" w:hAnsi="宋体" w:eastAsia="宋体" w:cs="Times New Roman"/>
          <w:sz w:val="24"/>
          <w:szCs w:val="24"/>
        </w:rPr>
        <w:t xml:space="preserve">、对本项目投标人资格要求、项目需求、评分标准等的质疑由采购单位负责答复；采购单位具有项目的解释权，质疑函和答复须同时报采购代理机构备案管理。</w:t>
      </w:r>
      <w:r/>
    </w:p>
    <w:p>
      <w:pPr>
        <w:pStyle w:val="671"/>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671"/>
        <w:ind w:firstLine="480"/>
        <w:jc w:val="both"/>
        <w:pageBreakBefore w:val="0"/>
        <w:spacing w:beforeAutospacing="0" w:afterAutospacing="0" w:line="500" w:lineRule="exact"/>
        <w:rPr>
          <w:rFonts w:ascii="宋体" w:hAnsi="宋体" w:eastAsia="宋体" w:cs="宋体"/>
          <w:b/>
          <w:bCs/>
        </w:rPr>
      </w:pPr>
      <w:r>
        <w:rPr>
          <w:color w:val="auto"/>
          <w:highlight w:val="none"/>
          <w:shd w:val="clear" w:color="auto" w:fill="auto"/>
        </w:rPr>
        <w:t xml:space="preserve"> </w:t>
      </w:r>
      <w:r>
        <w:rPr>
          <w:rFonts w:hint="eastAsia" w:ascii="宋体" w:hAnsi="宋体" w:eastAsia="宋体" w:cs="宋体"/>
          <w:b/>
          <w:bCs/>
          <w:lang w:val="en-US" w:eastAsia="zh-CN"/>
        </w:rPr>
        <w:t xml:space="preserve">九</w:t>
      </w:r>
      <w:r>
        <w:rPr>
          <w:rFonts w:hint="eastAsia" w:ascii="宋体" w:hAnsi="宋体" w:eastAsia="宋体" w:cs="宋体"/>
          <w:b/>
          <w:bCs/>
        </w:rPr>
        <w:t xml:space="preserve">、采购标的对应的中小企业划分标准所属行业一览表</w:t>
      </w:r>
      <w:r/>
    </w:p>
    <w:tbl>
      <w:tblPr>
        <w:tblStyle w:val="646"/>
        <w:tblW w:w="832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74"/>
        <w:gridCol w:w="3466"/>
        <w:gridCol w:w="3787"/>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66" w:type="dxa"/>
            <w:vAlign w:val="center"/>
            <w:textDirection w:val="lrTb"/>
            <w:noWrap w:val="false"/>
          </w:tcPr>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pStyle w:val="671"/>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66" w:type="dxa"/>
            <w:vAlign w:val="center"/>
            <w:textDirection w:val="lrTb"/>
            <w:noWrap w:val="false"/>
          </w:tcPr>
          <w:p>
            <w:pPr>
              <w:pStyle w:val="671"/>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auto"/>
                <w:sz w:val="24"/>
                <w:szCs w:val="24"/>
                <w:highlight w:val="none"/>
                <w:lang w:eastAsia="zh-CN"/>
              </w:rPr>
              <w:t xml:space="preserve">射阳县农业农村局农药和肥料包装废弃物回收处置项目</w:t>
            </w:r>
            <w:r>
              <w:rPr>
                <w:rFonts w:hint="eastAsia" w:ascii="宋体" w:hAnsi="宋体" w:eastAsia="宋体" w:cs="宋体"/>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其他未列明行业 </w:t>
            </w:r>
            <w:r/>
          </w:p>
        </w:tc>
      </w:tr>
    </w:tbl>
    <w:p>
      <w:pPr>
        <w:pStyle w:val="671"/>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备注：采购人须填报上表，所属行业按《工业和信息化部、国家统计局、国家发展和改革委员会、财政部关于印发中小企业划型标准规定的通知》(工信部联企业[2011]300号)规定填写。</w:t>
      </w:r>
      <w:r/>
    </w:p>
    <w:p>
      <w:pPr>
        <w:pStyle w:val="67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1"/>
        <w:ind w:firstLine="602"/>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t xml:space="preserve"> </w:t>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t xml:space="preserve"> </w:t>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pStyle w:val="671"/>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r>
      <w:r/>
    </w:p>
    <w:p>
      <w:pPr>
        <w:jc w:val="center"/>
        <w:rPr>
          <w:color w:val="auto"/>
          <w:highlight w:val="none"/>
        </w:rPr>
        <w:outlineLvl w:val="0"/>
      </w:pPr>
      <w:r/>
      <w:bookmarkStart w:id="173"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评审方法与评审标准</w:t>
      </w:r>
      <w:bookmarkEnd w:id="173"/>
      <w:r/>
      <w:r/>
    </w:p>
    <w:p>
      <w:pPr>
        <w:pStyle w:val="671"/>
        <w:jc w:val="both"/>
        <w:spacing w:beforeAutospacing="0" w:afterAutospacing="0"/>
        <w:rPr>
          <w:color w:val="auto"/>
          <w:highlight w:val="none"/>
        </w:rPr>
      </w:pPr>
      <w:r>
        <w:rPr>
          <w:color w:val="auto"/>
          <w:highlight w:val="none"/>
        </w:rPr>
        <w:t xml:space="preserve"> </w:t>
      </w:r>
      <w:r/>
    </w:p>
    <w:p>
      <w:pPr>
        <w:ind w:firstLine="480"/>
        <w:spacing w:line="420" w:lineRule="exact"/>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一、评标方法与定标原则</w:t>
      </w:r>
      <w:r/>
    </w:p>
    <w:p>
      <w:pPr>
        <w:pStyle w:val="844"/>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评委会将对确定为实质性响应磋商文件要求的响应文件进行评价和比较，评标采用综合评分法确定中标候选供应商。响应文件满足磋商文件全部实质性要求，且按照评审因素的量化指标评审得分最高的投标人为排名第一的中标候选供应商。按评审后得分由高到低顺序排列，评审得分相同的，按照最后报价由低到高的顺序推荐。评审得分且最后报价相同的，按照技术指标优劣顺序推荐。</w:t>
      </w:r>
      <w:r/>
    </w:p>
    <w:p>
      <w:pPr>
        <w:pStyle w:val="844"/>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请投标人在最高限价以下进行投标报价，投标报价高于最高限价的投标报价，采购人将不予接受，视为无效响应文件，并将视为恶意投标，将提交财政部门按相关法规处理。</w:t>
      </w:r>
      <w:r/>
    </w:p>
    <w:p>
      <w:pPr>
        <w:ind w:firstLine="480"/>
        <w:spacing w:line="420" w:lineRule="exact"/>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二、政府采购政策功能落实</w:t>
      </w:r>
      <w:r/>
    </w:p>
    <w:p>
      <w:pPr>
        <w:pStyle w:val="844"/>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1、本项目专门面向小微企业采购，投标人须为符合《关于印发中小企业划型标准规定的通知》（工信部联企业[2011]300号）文件的小微企业（投标时须提供小微企业声明函，否则按无效标处理）。</w:t>
      </w:r>
      <w:r/>
    </w:p>
    <w:p>
      <w:pPr>
        <w:pStyle w:val="844"/>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（1）因本项目专门面向小微企业采购，不再执行价格评审优惠的扶持政策。</w:t>
      </w:r>
      <w:r/>
    </w:p>
    <w:p>
      <w:pPr>
        <w:pStyle w:val="844"/>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（2）供应商须按照采购文件要求提供相应的《企业声明函》（格式附后），不提供声明函或有弄虚作假的，将依法承担相应责任。</w:t>
      </w:r>
      <w:r/>
    </w:p>
    <w:p>
      <w:pPr>
        <w:pStyle w:val="844"/>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（3）企业标准请参照《关于印发中小企业划型标准规定的通知》（工信部联企业【2011】300号）文件规定自行填写。</w:t>
      </w:r>
      <w:r/>
    </w:p>
    <w:p>
      <w:pPr>
        <w:pStyle w:val="844"/>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（4）以上规定未尽事项，按《政府采购促进中小企业发展管理办法》 （财库【2020】46号）等有关制度规定执行。</w:t>
      </w:r>
      <w:r/>
    </w:p>
    <w:p>
      <w:pPr>
        <w:pStyle w:val="844"/>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2、残疾人福利单位</w:t>
      </w:r>
      <w:r/>
    </w:p>
    <w:p>
      <w:pPr>
        <w:pStyle w:val="844"/>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（1）本项目对残疾人福利性单位视同小型、微型企业。</w:t>
      </w:r>
      <w:r/>
    </w:p>
    <w:p>
      <w:pPr>
        <w:pStyle w:val="844"/>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（2）残疾人福利单位需按照采购文件的要求提供《残疾人福利性单位声明函》。</w:t>
      </w:r>
      <w:r/>
    </w:p>
    <w:p>
      <w:pPr>
        <w:pStyle w:val="844"/>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（3）残疾人福利单位标准请参照《关于促进残疾人就业政府采购政策的通知》（财库〔2017〕141号）。</w:t>
      </w:r>
      <w:r/>
    </w:p>
    <w:p>
      <w:pPr>
        <w:pStyle w:val="844"/>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3、监狱和戒毒企业</w:t>
      </w:r>
      <w:r/>
    </w:p>
    <w:p>
      <w:pPr>
        <w:pStyle w:val="844"/>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（1）本项目对监狱和戒毒企业（简称监狱企业）视同小型、微型企业。</w:t>
      </w:r>
      <w:r/>
    </w:p>
    <w:p>
      <w:pPr>
        <w:pStyle w:val="844"/>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4"/>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（3）监狱企业标准请参照《关于政府采购支持监狱企业发展有关问题的通知》（财库[2014]68号）。</w:t>
      </w:r>
      <w:r/>
    </w:p>
    <w:p>
      <w:pPr>
        <w:pStyle w:val="844"/>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4、残疾人福利单位、监狱企业属于小型、微型企业的，不重复享受政策。</w:t>
      </w:r>
      <w:r/>
    </w:p>
    <w:p>
      <w:pPr>
        <w:pStyle w:val="844"/>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5、严格执行政府采购关于支持</w:t>
      </w:r>
      <w:r>
        <w:rPr>
          <w:rFonts w:hint="eastAsia" w:ascii="宋体" w:hAnsi="宋体" w:eastAsia="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44"/>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6、供应商对于投标产品的商品包装、快递包装应按照“财办库〔2020〕123号《关于印发《商品包装政府采购需求标准（试行）》、《快递包装政府采购需求标准（试行）》的通知》”执行。</w:t>
      </w:r>
      <w:r/>
    </w:p>
    <w:p>
      <w:pPr>
        <w:pStyle w:val="844"/>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7、本文件中若涉及到数据中心采购，应按照《&lt;绿色数据中心政府采购需求标准（试行）&gt;的通知》（财库〔2023〕7号）执行。</w:t>
      </w:r>
      <w:r/>
    </w:p>
    <w:p>
      <w:pPr>
        <w:pStyle w:val="671"/>
        <w:ind w:firstLine="482"/>
        <w:spacing w:before="120" w:beforeAutospacing="0" w:after="120" w:afterAutospacing="0" w:line="0" w:lineRule="atLeast"/>
        <w:rPr>
          <w:rFonts w:asciiTheme="minorEastAsia" w:hAnsiTheme="minorEastAsia" w:cstheme="minorEastAsia"/>
          <w:sz w:val="21"/>
          <w:szCs w:val="21"/>
        </w:rPr>
      </w:pPr>
      <w:r>
        <w:rPr>
          <w:rFonts w:hint="eastAsia" w:ascii="宋体" w:hAnsi="宋体" w:eastAsia="宋体" w:cs="宋体"/>
          <w:b/>
          <w:color w:val="000000"/>
          <w:lang w:val="en-US" w:eastAsia="zh-CN"/>
        </w:rPr>
        <w:t xml:space="preserve">三</w:t>
      </w:r>
      <w:r>
        <w:rPr>
          <w:rFonts w:hint="eastAsia" w:ascii="宋体" w:hAnsi="宋体" w:eastAsia="宋体" w:cs="宋体"/>
          <w:b/>
          <w:color w:val="000000"/>
        </w:rPr>
        <w:t xml:space="preserve">、评审方法与评审标准</w:t>
      </w:r>
      <w:r/>
    </w:p>
    <w:tbl>
      <w:tblPr>
        <w:tblStyle w:val="646"/>
        <w:tblW w:w="9152" w:type="dxa"/>
        <w:jc w:val="center"/>
        <w:tblLayout w:type="fixed"/>
        <w:tblCellMar>
          <w:left w:w="0" w:type="dxa"/>
          <w:top w:w="0" w:type="dxa"/>
          <w:right w:w="0" w:type="dxa"/>
          <w:bottom w:w="0" w:type="dxa"/>
        </w:tblCellMar>
        <w:tblLook w:val="04A0" w:firstRow="1" w:lastRow="0" w:firstColumn="1" w:lastColumn="0" w:noHBand="0" w:noVBand="1"/>
      </w:tblPr>
      <w:tblGrid>
        <w:gridCol w:w="1000"/>
        <w:gridCol w:w="962"/>
        <w:gridCol w:w="7190"/>
      </w:tblGrid>
      <w:tr>
        <w:trPr>
          <w:jc w:val="center"/>
          <w:trHeight w:val="454"/>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000"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项目</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962"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细化项目及分值</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190"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评分依据</w:t>
            </w:r>
            <w:r/>
          </w:p>
        </w:tc>
      </w:tr>
      <w:tr>
        <w:trPr>
          <w:jc w:val="center"/>
          <w:trHeight w:val="1190"/>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000"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价格</w:t>
            </w:r>
            <w:r/>
          </w:p>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部分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962"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(30分)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190" w:type="dxa"/>
            <w:vAlign w:val="center"/>
            <w:textDirection w:val="lrTb"/>
            <w:noWrap w:val="false"/>
          </w:tcPr>
          <w:p>
            <w:pPr>
              <w:jc w:val="left"/>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采用低价优先法计算，即满足磋商文件要求且最终报价最低的磋商报价为评标基准价，其价格分为满分30分。其他供应商的价格分统一按照下列公式计算：报价得分=(评标基准价／磋商报价)×30（按四舍五入取至小数点后两位）。</w:t>
            </w:r>
            <w:r/>
          </w:p>
        </w:tc>
      </w:tr>
      <w:tr>
        <w:trPr>
          <w:jc w:val="center"/>
          <w:trHeight w:val="1251"/>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000"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组织</w:t>
            </w:r>
            <w:r/>
          </w:p>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管理方案</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962"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（44分）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190" w:type="dxa"/>
            <w:vAlign w:val="center"/>
            <w:textDirection w:val="lrTb"/>
            <w:noWrap w:val="false"/>
          </w:tcPr>
          <w:p>
            <w:pPr>
              <w:jc w:val="left"/>
              <w:spacing w:line="360" w:lineRule="auto"/>
              <w:rPr>
                <w:rFonts w:asciiTheme="minorEastAsia" w:hAnsiTheme="minorEastAsia" w:cstheme="minorEastAsia"/>
                <w:b/>
                <w:bCs/>
                <w:szCs w:val="21"/>
              </w:rPr>
            </w:pPr>
            <w:r>
              <w:rPr>
                <w:rFonts w:hint="eastAsia" w:asciiTheme="minorEastAsia" w:hAnsiTheme="minorEastAsia" w:cstheme="minorEastAsia"/>
                <w:b/>
                <w:bCs/>
                <w:szCs w:val="21"/>
              </w:rPr>
              <w:t xml:space="preserve">1、对本项目的理解方案（</w:t>
            </w:r>
            <w:r>
              <w:rPr>
                <w:rFonts w:hint="eastAsia" w:eastAsia="宋体" w:asciiTheme="minorEastAsia" w:hAnsiTheme="minorEastAsia" w:cstheme="minorEastAsia"/>
                <w:b/>
                <w:bCs/>
                <w:szCs w:val="21"/>
                <w:lang w:val="en-US" w:eastAsia="zh-CN"/>
              </w:rPr>
              <w:t xml:space="preserve">12</w:t>
            </w:r>
            <w:r>
              <w:rPr>
                <w:rFonts w:hint="eastAsia" w:asciiTheme="minorEastAsia" w:hAnsiTheme="minorEastAsia" w:cstheme="minorEastAsia"/>
                <w:b/>
                <w:bCs/>
                <w:szCs w:val="21"/>
              </w:rPr>
              <w:t xml:space="preserve">分）</w:t>
            </w:r>
            <w:r/>
          </w:p>
          <w:p>
            <w:pPr>
              <w:jc w:val="left"/>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根据供应商对本项目</w:t>
            </w:r>
            <w:r>
              <w:rPr>
                <w:rFonts w:hint="eastAsia" w:eastAsia="宋体" w:asciiTheme="minorEastAsia" w:hAnsiTheme="minorEastAsia" w:cstheme="minorEastAsia"/>
                <w:szCs w:val="21"/>
                <w:lang w:eastAsia="zh-CN"/>
              </w:rPr>
              <w:t xml:space="preserve">（</w:t>
            </w:r>
            <w:r>
              <w:rPr>
                <w:rFonts w:hint="eastAsia" w:eastAsia="宋体" w:asciiTheme="minorEastAsia" w:hAnsiTheme="minorEastAsia" w:cstheme="minorEastAsia"/>
                <w:szCs w:val="21"/>
                <w:lang w:val="en-US" w:eastAsia="zh-CN"/>
              </w:rPr>
              <w:t xml:space="preserve">1）</w:t>
            </w:r>
            <w:r>
              <w:rPr>
                <w:rFonts w:hint="eastAsia" w:asciiTheme="minorEastAsia" w:hAnsiTheme="minorEastAsia" w:cstheme="minorEastAsia"/>
                <w:szCs w:val="21"/>
              </w:rPr>
              <w:t xml:space="preserve">建设背景（防止农业面源污染）</w:t>
            </w:r>
            <w:r>
              <w:rPr>
                <w:rFonts w:hint="eastAsia" w:eastAsia="宋体" w:asciiTheme="minorEastAsia" w:hAnsiTheme="minorEastAsia" w:cstheme="minorEastAsia"/>
                <w:szCs w:val="21"/>
                <w:lang w:eastAsia="zh-CN"/>
              </w:rPr>
              <w:t xml:space="preserve">；（</w:t>
            </w:r>
            <w:r>
              <w:rPr>
                <w:rFonts w:hint="eastAsia" w:eastAsia="宋体" w:asciiTheme="minorEastAsia" w:hAnsiTheme="minorEastAsia" w:cstheme="minorEastAsia"/>
                <w:szCs w:val="21"/>
                <w:lang w:val="en-US" w:eastAsia="zh-CN"/>
              </w:rPr>
              <w:t xml:space="preserve">2）</w:t>
            </w:r>
            <w:r>
              <w:rPr>
                <w:rFonts w:hint="eastAsia" w:asciiTheme="minorEastAsia" w:hAnsiTheme="minorEastAsia" w:cstheme="minorEastAsia"/>
                <w:szCs w:val="21"/>
              </w:rPr>
              <w:t xml:space="preserve">建设目标（回收处置量）</w:t>
            </w:r>
            <w:r>
              <w:rPr>
                <w:rFonts w:hint="eastAsia" w:eastAsia="宋体" w:asciiTheme="minorEastAsia" w:hAnsiTheme="minorEastAsia" w:cstheme="minorEastAsia"/>
                <w:szCs w:val="21"/>
                <w:lang w:eastAsia="zh-CN"/>
              </w:rPr>
              <w:t xml:space="preserve">；（</w:t>
            </w:r>
            <w:r>
              <w:rPr>
                <w:rFonts w:hint="eastAsia" w:eastAsia="宋体" w:asciiTheme="minorEastAsia" w:hAnsiTheme="minorEastAsia" w:cstheme="minorEastAsia"/>
                <w:szCs w:val="21"/>
                <w:lang w:val="en-US" w:eastAsia="zh-CN"/>
              </w:rPr>
              <w:t xml:space="preserve">3）</w:t>
            </w:r>
            <w:r>
              <w:rPr>
                <w:rFonts w:hint="eastAsia" w:asciiTheme="minorEastAsia" w:hAnsiTheme="minorEastAsia" w:cstheme="minorEastAsia"/>
                <w:szCs w:val="21"/>
              </w:rPr>
              <w:t xml:space="preserve">建设原则（生态环保、就近处置）</w:t>
            </w:r>
            <w:r>
              <w:rPr>
                <w:rFonts w:hint="eastAsia" w:eastAsia="宋体" w:asciiTheme="minorEastAsia" w:hAnsiTheme="minorEastAsia" w:cstheme="minorEastAsia"/>
                <w:szCs w:val="21"/>
                <w:lang w:eastAsia="zh-CN"/>
              </w:rPr>
              <w:t xml:space="preserve">；（</w:t>
            </w:r>
            <w:r>
              <w:rPr>
                <w:rFonts w:hint="eastAsia" w:eastAsia="宋体" w:asciiTheme="minorEastAsia" w:hAnsiTheme="minorEastAsia" w:cstheme="minorEastAsia"/>
                <w:szCs w:val="21"/>
                <w:lang w:val="en-US" w:eastAsia="zh-CN"/>
              </w:rPr>
              <w:t xml:space="preserve">4）</w:t>
            </w:r>
            <w:r>
              <w:rPr>
                <w:rFonts w:hint="eastAsia" w:asciiTheme="minorEastAsia" w:hAnsiTheme="minorEastAsia" w:cstheme="minorEastAsia"/>
                <w:szCs w:val="21"/>
              </w:rPr>
              <w:t xml:space="preserve">建设内容（回收网点布置、县内就近设置储存场所便于核查管理、运输、无害化处置）的理解程度评审；</w:t>
            </w:r>
            <w:r/>
          </w:p>
          <w:p>
            <w:pPr>
              <w:jc w:val="left"/>
              <w:spacing w:line="360" w:lineRule="auto"/>
              <w:rPr>
                <w:rFonts w:hint="eastAsia" w:cs="宋体" w:asciiTheme="minorEastAsia" w:hAnsiTheme="minorEastAsia"/>
                <w:b w:val="0"/>
                <w:bCs w:val="0"/>
                <w:color w:val="auto"/>
                <w:sz w:val="22"/>
                <w:szCs w:val="22"/>
                <w:highlight w:val="none"/>
                <w:lang w:val="en-US" w:eastAsia="zh-CN"/>
              </w:rPr>
            </w:pPr>
            <w:r>
              <w:rPr>
                <w:rFonts w:hint="eastAsia" w:cs="宋体" w:asciiTheme="minorEastAsia" w:hAnsiTheme="minorEastAsia"/>
                <w:b w:val="0"/>
                <w:bCs w:val="0"/>
                <w:color w:val="auto"/>
                <w:sz w:val="22"/>
                <w:szCs w:val="22"/>
                <w:highlight w:val="none"/>
                <w:lang w:val="en-US" w:eastAsia="zh-CN"/>
              </w:rPr>
              <w:t xml:space="preserve">方案内容描述全面、满足采购需求的得12分，每缺失一项内容扣3分，每有一处内容存在缺陷或不满足要求扣0.5分，分数扣完为止。（缺陷或不满足指存在以下任意一种情形：内容不全面、与实际需求不符、内容不清晰或交叉混乱、套用其他项目方案、存在规范性或常识性错误、存在逻辑漏洞、包含无关事项、凭空编造、存在不可能实现的夸大情形、</w:t>
            </w:r>
            <w:r>
              <w:rPr>
                <w:rFonts w:hint="eastAsia" w:cs="宋体" w:asciiTheme="minorEastAsia" w:hAnsiTheme="minorEastAsia"/>
                <w:b w:val="0"/>
                <w:bCs w:val="0"/>
                <w:color w:val="auto"/>
                <w:sz w:val="22"/>
                <w:szCs w:val="22"/>
                <w:highlight w:val="none"/>
                <w:lang w:val="zh-CN" w:eastAsia="zh-CN"/>
              </w:rPr>
              <w:t xml:space="preserve">表述前后不一致或内容矛盾，语句有歧义，仅有框架或标题等任意一种情形</w:t>
            </w:r>
            <w:r>
              <w:rPr>
                <w:rFonts w:hint="eastAsia" w:cs="宋体" w:asciiTheme="minorEastAsia" w:hAnsiTheme="minorEastAsia"/>
                <w:b w:val="0"/>
                <w:bCs w:val="0"/>
                <w:color w:val="auto"/>
                <w:sz w:val="22"/>
                <w:szCs w:val="22"/>
                <w:highlight w:val="none"/>
                <w:lang w:val="en-US" w:eastAsia="zh-CN"/>
              </w:rPr>
              <w:t xml:space="preserve">等），未提供方案不得分。</w:t>
            </w:r>
            <w:r/>
          </w:p>
          <w:p>
            <w:pPr>
              <w:jc w:val="left"/>
              <w:spacing w:line="360" w:lineRule="auto"/>
              <w:rPr>
                <w:rFonts w:asciiTheme="minorEastAsia" w:hAnsiTheme="minorEastAsia" w:cstheme="minorEastAsia"/>
                <w:b/>
                <w:bCs/>
                <w:szCs w:val="21"/>
              </w:rPr>
            </w:pPr>
            <w:r>
              <w:rPr>
                <w:rFonts w:hint="eastAsia" w:asciiTheme="minorEastAsia" w:hAnsiTheme="minorEastAsia" w:cstheme="minorEastAsia"/>
                <w:b/>
                <w:bCs/>
                <w:szCs w:val="21"/>
              </w:rPr>
              <w:t xml:space="preserve">2、服务质量保障措施（</w:t>
            </w:r>
            <w:r>
              <w:rPr>
                <w:rFonts w:hint="eastAsia" w:eastAsia="宋体" w:asciiTheme="minorEastAsia" w:hAnsiTheme="minorEastAsia" w:cstheme="minorEastAsia"/>
                <w:b/>
                <w:bCs/>
                <w:szCs w:val="21"/>
                <w:lang w:val="en-US" w:eastAsia="zh-CN"/>
              </w:rPr>
              <w:t xml:space="preserve">6</w:t>
            </w:r>
            <w:r>
              <w:rPr>
                <w:rFonts w:hint="eastAsia" w:asciiTheme="minorEastAsia" w:hAnsiTheme="minorEastAsia" w:cstheme="minorEastAsia"/>
                <w:b/>
                <w:bCs/>
                <w:szCs w:val="21"/>
              </w:rPr>
              <w:t xml:space="preserve">分）</w:t>
            </w:r>
            <w:r/>
          </w:p>
          <w:p>
            <w:pPr>
              <w:jc w:val="left"/>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投标人应具有切实可行的服务质量保障措施：</w:t>
            </w:r>
            <w:r>
              <w:rPr>
                <w:rFonts w:hint="eastAsia" w:eastAsia="宋体" w:asciiTheme="minorEastAsia" w:hAnsiTheme="minorEastAsia" w:cstheme="minorEastAsia"/>
                <w:szCs w:val="21"/>
                <w:lang w:eastAsia="zh-CN"/>
              </w:rPr>
              <w:t xml:space="preserve">（</w:t>
            </w:r>
            <w:r>
              <w:rPr>
                <w:rFonts w:hint="eastAsia" w:eastAsia="宋体" w:asciiTheme="minorEastAsia" w:hAnsiTheme="minorEastAsia" w:cstheme="minorEastAsia"/>
                <w:szCs w:val="21"/>
                <w:lang w:val="en-US" w:eastAsia="zh-CN"/>
              </w:rPr>
              <w:t xml:space="preserve">1）</w:t>
            </w:r>
            <w:r>
              <w:rPr>
                <w:rFonts w:hint="eastAsia" w:asciiTheme="minorEastAsia" w:hAnsiTheme="minorEastAsia" w:cstheme="minorEastAsia"/>
                <w:szCs w:val="21"/>
              </w:rPr>
              <w:t xml:space="preserve">人员配备</w:t>
            </w:r>
            <w:r>
              <w:rPr>
                <w:rFonts w:hint="eastAsia" w:eastAsia="宋体" w:asciiTheme="minorEastAsia" w:hAnsiTheme="minorEastAsia" w:cstheme="minorEastAsia"/>
                <w:szCs w:val="21"/>
                <w:lang w:eastAsia="zh-CN"/>
              </w:rPr>
              <w:t xml:space="preserve">；（</w:t>
            </w:r>
            <w:r>
              <w:rPr>
                <w:rFonts w:hint="eastAsia" w:eastAsia="宋体" w:asciiTheme="minorEastAsia" w:hAnsiTheme="minorEastAsia" w:cstheme="minorEastAsia"/>
                <w:szCs w:val="21"/>
                <w:lang w:val="en-US" w:eastAsia="zh-CN"/>
              </w:rPr>
              <w:t xml:space="preserve">2）</w:t>
            </w:r>
            <w:r>
              <w:rPr>
                <w:rFonts w:hint="eastAsia" w:asciiTheme="minorEastAsia" w:hAnsiTheme="minorEastAsia" w:cstheme="minorEastAsia"/>
                <w:szCs w:val="21"/>
              </w:rPr>
              <w:t xml:space="preserve">技术支持</w:t>
            </w:r>
            <w:r>
              <w:rPr>
                <w:rFonts w:hint="eastAsia" w:eastAsia="宋体" w:asciiTheme="minorEastAsia" w:hAnsiTheme="minorEastAsia" w:cstheme="minorEastAsia"/>
                <w:szCs w:val="21"/>
                <w:lang w:eastAsia="zh-CN"/>
              </w:rPr>
              <w:t xml:space="preserve">；（</w:t>
            </w:r>
            <w:r>
              <w:rPr>
                <w:rFonts w:hint="eastAsia" w:eastAsia="宋体" w:asciiTheme="minorEastAsia" w:hAnsiTheme="minorEastAsia" w:cstheme="minorEastAsia"/>
                <w:szCs w:val="21"/>
                <w:lang w:val="en-US" w:eastAsia="zh-CN"/>
              </w:rPr>
              <w:t xml:space="preserve">3）</w:t>
            </w:r>
            <w:r>
              <w:rPr>
                <w:rFonts w:hint="eastAsia" w:asciiTheme="minorEastAsia" w:hAnsiTheme="minorEastAsia" w:cstheme="minorEastAsia"/>
                <w:szCs w:val="21"/>
              </w:rPr>
              <w:t xml:space="preserve">装备种类，根据投标人提供的服务质量保障措施方案进行评审；</w:t>
            </w:r>
            <w:r/>
          </w:p>
          <w:p>
            <w:pPr>
              <w:jc w:val="left"/>
              <w:spacing w:line="360" w:lineRule="auto"/>
              <w:rPr>
                <w:rFonts w:hint="eastAsia" w:cs="宋体" w:asciiTheme="minorEastAsia" w:hAnsiTheme="minorEastAsia"/>
                <w:b w:val="0"/>
                <w:bCs w:val="0"/>
                <w:color w:val="auto"/>
                <w:sz w:val="22"/>
                <w:szCs w:val="22"/>
                <w:highlight w:val="none"/>
                <w:lang w:val="en-US" w:eastAsia="zh-CN"/>
              </w:rPr>
            </w:pPr>
            <w:r>
              <w:rPr>
                <w:rFonts w:hint="eastAsia" w:cs="宋体" w:asciiTheme="minorEastAsia" w:hAnsiTheme="minorEastAsia"/>
                <w:b w:val="0"/>
                <w:bCs w:val="0"/>
                <w:color w:val="auto"/>
                <w:sz w:val="22"/>
                <w:szCs w:val="22"/>
                <w:highlight w:val="none"/>
                <w:lang w:val="en-US" w:eastAsia="zh-CN"/>
              </w:rPr>
              <w:t xml:space="preserve">方案内容描述全面、满足采购需求的得6分，每缺失一项内容扣2分，每有一处内容存在缺陷或不满足要求扣0.5分，分数扣完为止。（缺陷或不满足指存在以下任意一种情形：内容不全面、与实际需求不符、内容不清晰或交叉混乱、套用其他项目方案、存在规范性或常识性错误、存在逻辑漏洞、包含无关事项、凭空编造、存在不可能实现的夸大情形、</w:t>
            </w:r>
            <w:r>
              <w:rPr>
                <w:rFonts w:hint="eastAsia" w:cs="宋体" w:asciiTheme="minorEastAsia" w:hAnsiTheme="minorEastAsia"/>
                <w:b w:val="0"/>
                <w:bCs w:val="0"/>
                <w:color w:val="auto"/>
                <w:sz w:val="22"/>
                <w:szCs w:val="22"/>
                <w:highlight w:val="none"/>
                <w:lang w:val="zh-CN" w:eastAsia="zh-CN"/>
              </w:rPr>
              <w:t xml:space="preserve">表述前后不一致或内容矛盾，语句有歧义，仅有框架或标题等任意一种情形</w:t>
            </w:r>
            <w:r>
              <w:rPr>
                <w:rFonts w:hint="eastAsia" w:cs="宋体" w:asciiTheme="minorEastAsia" w:hAnsiTheme="minorEastAsia"/>
                <w:b w:val="0"/>
                <w:bCs w:val="0"/>
                <w:color w:val="auto"/>
                <w:sz w:val="22"/>
                <w:szCs w:val="22"/>
                <w:highlight w:val="none"/>
                <w:lang w:val="en-US" w:eastAsia="zh-CN"/>
              </w:rPr>
              <w:t xml:space="preserve">等），未提供方案不得分。</w:t>
            </w:r>
            <w:r/>
          </w:p>
          <w:p>
            <w:pPr>
              <w:jc w:val="left"/>
              <w:spacing w:line="360" w:lineRule="auto"/>
              <w:rPr>
                <w:rFonts w:asciiTheme="minorEastAsia" w:hAnsiTheme="minorEastAsia" w:cstheme="minorEastAsia"/>
                <w:b/>
                <w:bCs/>
                <w:szCs w:val="21"/>
              </w:rPr>
            </w:pPr>
            <w:r>
              <w:rPr>
                <w:rFonts w:hint="eastAsia" w:asciiTheme="minorEastAsia" w:hAnsiTheme="minorEastAsia" w:cstheme="minorEastAsia"/>
                <w:b/>
                <w:bCs/>
                <w:szCs w:val="21"/>
              </w:rPr>
              <w:t xml:space="preserve">3、项目实施进度控制（</w:t>
            </w:r>
            <w:r>
              <w:rPr>
                <w:rFonts w:hint="eastAsia" w:eastAsia="宋体" w:asciiTheme="minorEastAsia" w:hAnsiTheme="minorEastAsia" w:cstheme="minorEastAsia"/>
                <w:b/>
                <w:bCs/>
                <w:szCs w:val="21"/>
                <w:lang w:val="en-US" w:eastAsia="zh-CN"/>
              </w:rPr>
              <w:t xml:space="preserve">6</w:t>
            </w:r>
            <w:r>
              <w:rPr>
                <w:rFonts w:hint="eastAsia" w:asciiTheme="minorEastAsia" w:hAnsiTheme="minorEastAsia" w:cstheme="minorEastAsia"/>
                <w:b/>
                <w:bCs/>
                <w:szCs w:val="21"/>
              </w:rPr>
              <w:t xml:space="preserve">分）</w:t>
            </w:r>
            <w:r/>
          </w:p>
          <w:p>
            <w:pPr>
              <w:jc w:val="left"/>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根据磋商文件要求在12月底前完成全部建设内容，针对本项目特点的提供的</w:t>
            </w:r>
            <w:r>
              <w:rPr>
                <w:rFonts w:hint="eastAsia" w:eastAsia="宋体" w:asciiTheme="minorEastAsia" w:hAnsiTheme="minorEastAsia" w:cstheme="minorEastAsia"/>
                <w:szCs w:val="21"/>
                <w:lang w:eastAsia="zh-CN"/>
              </w:rPr>
              <w:t xml:space="preserve">（</w:t>
            </w:r>
            <w:r>
              <w:rPr>
                <w:rFonts w:hint="eastAsia" w:eastAsia="宋体" w:asciiTheme="minorEastAsia" w:hAnsiTheme="minorEastAsia" w:cstheme="minorEastAsia"/>
                <w:szCs w:val="21"/>
                <w:lang w:val="en-US" w:eastAsia="zh-CN"/>
              </w:rPr>
              <w:t xml:space="preserve">1）</w:t>
            </w:r>
            <w:r>
              <w:rPr>
                <w:rFonts w:hint="eastAsia" w:asciiTheme="minorEastAsia" w:hAnsiTheme="minorEastAsia" w:cstheme="minorEastAsia"/>
                <w:szCs w:val="21"/>
              </w:rPr>
              <w:t xml:space="preserve">进度计划</w:t>
            </w:r>
            <w:r>
              <w:rPr>
                <w:rFonts w:hint="eastAsia" w:eastAsia="宋体" w:asciiTheme="minorEastAsia" w:hAnsiTheme="minorEastAsia" w:cstheme="minorEastAsia"/>
                <w:szCs w:val="21"/>
                <w:lang w:eastAsia="zh-CN"/>
              </w:rPr>
              <w:t xml:space="preserve">；（</w:t>
            </w:r>
            <w:r>
              <w:rPr>
                <w:rFonts w:hint="eastAsia" w:eastAsia="宋体" w:asciiTheme="minorEastAsia" w:hAnsiTheme="minorEastAsia" w:cstheme="minorEastAsia"/>
                <w:szCs w:val="21"/>
                <w:lang w:val="en-US" w:eastAsia="zh-CN"/>
              </w:rPr>
              <w:t xml:space="preserve">2）</w:t>
            </w:r>
            <w:r>
              <w:rPr>
                <w:rFonts w:hint="eastAsia" w:asciiTheme="minorEastAsia" w:hAnsiTheme="minorEastAsia" w:cstheme="minorEastAsia"/>
                <w:szCs w:val="21"/>
              </w:rPr>
              <w:t xml:space="preserve">进度控制方案进行评审；</w:t>
            </w:r>
            <w:r/>
          </w:p>
          <w:p>
            <w:pPr>
              <w:jc w:val="left"/>
              <w:spacing w:line="360" w:lineRule="auto"/>
              <w:rPr>
                <w:rFonts w:hint="eastAsia" w:cs="宋体" w:asciiTheme="minorEastAsia" w:hAnsiTheme="minorEastAsia"/>
                <w:b w:val="0"/>
                <w:bCs w:val="0"/>
                <w:color w:val="auto"/>
                <w:sz w:val="22"/>
                <w:szCs w:val="22"/>
                <w:highlight w:val="none"/>
                <w:lang w:val="en-US" w:eastAsia="zh-CN"/>
              </w:rPr>
            </w:pPr>
            <w:r>
              <w:rPr>
                <w:rFonts w:hint="eastAsia" w:cs="宋体" w:asciiTheme="minorEastAsia" w:hAnsiTheme="minorEastAsia"/>
                <w:b w:val="0"/>
                <w:bCs w:val="0"/>
                <w:color w:val="auto"/>
                <w:sz w:val="22"/>
                <w:szCs w:val="22"/>
                <w:highlight w:val="none"/>
                <w:lang w:val="en-US" w:eastAsia="zh-CN"/>
              </w:rPr>
              <w:t xml:space="preserve">方案内容描述全面、满足采购需求的得6分，每缺失一项内容扣3分，每有一处内容存在缺陷或不满足要求扣0.5分，分数扣完为止。（缺陷或不满足指存在以下任意一种情形：内容不全面、与实际需求不符、内容不清晰或交叉混乱、套用其他项目方案、存在规范性或常识性错误、存在逻辑漏洞、包含无关事项、凭空编造、存在不可能实现的夸大情形、</w:t>
            </w:r>
            <w:r>
              <w:rPr>
                <w:rFonts w:hint="eastAsia" w:cs="宋体" w:asciiTheme="minorEastAsia" w:hAnsiTheme="minorEastAsia"/>
                <w:b w:val="0"/>
                <w:bCs w:val="0"/>
                <w:color w:val="auto"/>
                <w:sz w:val="22"/>
                <w:szCs w:val="22"/>
                <w:highlight w:val="none"/>
                <w:lang w:val="zh-CN" w:eastAsia="zh-CN"/>
              </w:rPr>
              <w:t xml:space="preserve">表述前后不一致或内容矛盾，语句有歧义，仅有框架或标题等任意一种情形</w:t>
            </w:r>
            <w:r>
              <w:rPr>
                <w:rFonts w:hint="eastAsia" w:cs="宋体" w:asciiTheme="minorEastAsia" w:hAnsiTheme="minorEastAsia"/>
                <w:b w:val="0"/>
                <w:bCs w:val="0"/>
                <w:color w:val="auto"/>
                <w:sz w:val="22"/>
                <w:szCs w:val="22"/>
                <w:highlight w:val="none"/>
                <w:lang w:val="en-US" w:eastAsia="zh-CN"/>
              </w:rPr>
              <w:t xml:space="preserve">等），未提供方案不得分。</w:t>
            </w:r>
            <w:r/>
          </w:p>
          <w:p>
            <w:pPr>
              <w:jc w:val="left"/>
              <w:spacing w:line="360" w:lineRule="auto"/>
              <w:rPr>
                <w:rFonts w:hint="eastAsia" w:cs="宋体" w:asciiTheme="minorEastAsia" w:hAnsiTheme="minorEastAsia"/>
                <w:b/>
                <w:bCs/>
                <w:color w:val="auto"/>
                <w:sz w:val="22"/>
                <w:szCs w:val="22"/>
                <w:highlight w:val="none"/>
                <w:lang w:val="en-US" w:eastAsia="zh-CN"/>
              </w:rPr>
            </w:pPr>
            <w:r>
              <w:rPr>
                <w:rFonts w:hint="eastAsia" w:cs="宋体" w:asciiTheme="minorEastAsia" w:hAnsiTheme="minorEastAsia"/>
                <w:b/>
                <w:bCs/>
                <w:color w:val="auto"/>
                <w:sz w:val="22"/>
                <w:szCs w:val="22"/>
                <w:highlight w:val="none"/>
                <w:lang w:val="en-US" w:eastAsia="zh-CN"/>
              </w:rPr>
              <w:t xml:space="preserve">4、项目实施方案（8分）</w:t>
            </w:r>
            <w:r/>
          </w:p>
          <w:p>
            <w:pPr>
              <w:jc w:val="left"/>
              <w:spacing w:line="360" w:lineRule="auto"/>
              <w:rPr>
                <w:rFonts w:hint="eastAsia" w:cs="宋体" w:asciiTheme="minorEastAsia" w:hAnsiTheme="minorEastAsia"/>
                <w:b w:val="0"/>
                <w:bCs w:val="0"/>
                <w:color w:val="auto"/>
                <w:sz w:val="22"/>
                <w:szCs w:val="22"/>
                <w:highlight w:val="none"/>
                <w:lang w:val="en-US" w:eastAsia="zh-CN"/>
              </w:rPr>
            </w:pPr>
            <w:r>
              <w:rPr>
                <w:rFonts w:hint="eastAsia" w:cs="宋体" w:asciiTheme="minorEastAsia" w:hAnsiTheme="minorEastAsia"/>
                <w:b w:val="0"/>
                <w:bCs w:val="0"/>
                <w:color w:val="auto"/>
                <w:sz w:val="22"/>
                <w:szCs w:val="22"/>
                <w:highlight w:val="none"/>
                <w:lang w:val="en-US" w:eastAsia="zh-CN"/>
              </w:rPr>
              <w:t xml:space="preserve">在农药包装废弃物回收过程中的环保方面、专业性方面、和在全县15个镇区范围内回收及时性和全面性内容,包含但不限于：(1)农药包装废弃物回收体系建设方案、回收流程设计；(2)压缩打包转运方案；(3)无害化处理方案；(4)各环节台账管理。</w:t>
            </w:r>
            <w:r/>
          </w:p>
          <w:p>
            <w:pPr>
              <w:jc w:val="left"/>
              <w:spacing w:line="360" w:lineRule="auto"/>
              <w:rPr>
                <w:rFonts w:hint="eastAsia" w:cs="宋体" w:asciiTheme="minorEastAsia" w:hAnsiTheme="minorEastAsia"/>
                <w:b w:val="0"/>
                <w:bCs w:val="0"/>
                <w:color w:val="auto"/>
                <w:sz w:val="22"/>
                <w:szCs w:val="22"/>
                <w:highlight w:val="none"/>
                <w:lang w:val="en-US" w:eastAsia="zh-CN"/>
              </w:rPr>
            </w:pPr>
            <w:r>
              <w:rPr>
                <w:rFonts w:hint="eastAsia" w:cs="宋体" w:asciiTheme="minorEastAsia" w:hAnsiTheme="minorEastAsia"/>
                <w:b w:val="0"/>
                <w:bCs w:val="0"/>
                <w:color w:val="auto"/>
                <w:sz w:val="22"/>
                <w:szCs w:val="22"/>
                <w:highlight w:val="none"/>
                <w:lang w:val="en-US" w:eastAsia="zh-CN"/>
              </w:rPr>
              <w:t xml:space="preserve">方案内容描述全面、满足采购需求的得8分，每缺失一项内容扣2分，每有一处内容存在缺陷或不满足要求扣0.5分，分数扣完为止。（缺陷或不满足指存在以下任意一种情形：内容不全面、与实际需求不符、内容不清晰或交叉混乱、套用其他项目方案、存在规范性或常识性错误、存在逻辑漏洞、包含无关事项、凭空编造、存在不可能实现的夸大情形、</w:t>
            </w:r>
            <w:r>
              <w:rPr>
                <w:rFonts w:hint="eastAsia" w:cs="宋体" w:asciiTheme="minorEastAsia" w:hAnsiTheme="minorEastAsia"/>
                <w:b w:val="0"/>
                <w:bCs w:val="0"/>
                <w:color w:val="auto"/>
                <w:sz w:val="22"/>
                <w:szCs w:val="22"/>
                <w:highlight w:val="none"/>
                <w:lang w:val="zh-CN" w:eastAsia="zh-CN"/>
              </w:rPr>
              <w:t xml:space="preserve">表述前后不一致或内容矛盾，语句有歧义，仅有框架或标题等任意一种情形</w:t>
            </w:r>
            <w:r>
              <w:rPr>
                <w:rFonts w:hint="eastAsia" w:cs="宋体" w:asciiTheme="minorEastAsia" w:hAnsiTheme="minorEastAsia"/>
                <w:b w:val="0"/>
                <w:bCs w:val="0"/>
                <w:color w:val="auto"/>
                <w:sz w:val="22"/>
                <w:szCs w:val="22"/>
                <w:highlight w:val="none"/>
                <w:lang w:val="en-US" w:eastAsia="zh-CN"/>
              </w:rPr>
              <w:t xml:space="preserve">等），未提供方案不得分。</w:t>
            </w:r>
            <w:r/>
          </w:p>
          <w:p>
            <w:pPr>
              <w:jc w:val="left"/>
              <w:spacing w:line="360" w:lineRule="auto"/>
              <w:rPr>
                <w:rFonts w:asciiTheme="minorEastAsia" w:hAnsiTheme="minorEastAsia" w:cstheme="minorEastAsia"/>
                <w:b/>
                <w:bCs/>
                <w:szCs w:val="21"/>
              </w:rPr>
            </w:pPr>
            <w:r>
              <w:rPr>
                <w:rFonts w:hint="eastAsia" w:asciiTheme="minorEastAsia" w:hAnsiTheme="minorEastAsia" w:cstheme="minorEastAsia"/>
                <w:b/>
                <w:bCs/>
                <w:szCs w:val="21"/>
              </w:rPr>
              <w:t xml:space="preserve">5、现场废弃物回收处置方案（</w:t>
            </w:r>
            <w:r>
              <w:rPr>
                <w:rFonts w:hint="eastAsia" w:eastAsia="宋体" w:asciiTheme="minorEastAsia" w:hAnsiTheme="minorEastAsia" w:cstheme="minorEastAsia"/>
                <w:b/>
                <w:bCs/>
                <w:szCs w:val="21"/>
                <w:lang w:val="en-US" w:eastAsia="zh-CN"/>
              </w:rPr>
              <w:t xml:space="preserve">6</w:t>
            </w:r>
            <w:r>
              <w:rPr>
                <w:rFonts w:hint="eastAsia" w:asciiTheme="minorEastAsia" w:hAnsiTheme="minorEastAsia" w:cstheme="minorEastAsia"/>
                <w:b/>
                <w:bCs/>
                <w:szCs w:val="21"/>
              </w:rPr>
              <w:t xml:space="preserve">分）</w:t>
            </w:r>
            <w:r/>
          </w:p>
          <w:p>
            <w:pPr>
              <w:jc w:val="left"/>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处置方案内容应包含：</w:t>
            </w:r>
            <w:r>
              <w:rPr>
                <w:rFonts w:hint="eastAsia" w:eastAsia="宋体" w:asciiTheme="minorEastAsia" w:hAnsiTheme="minorEastAsia" w:cstheme="minorEastAsia"/>
                <w:szCs w:val="21"/>
                <w:lang w:eastAsia="zh-CN"/>
              </w:rPr>
              <w:t xml:space="preserve">（</w:t>
            </w:r>
            <w:r>
              <w:rPr>
                <w:rFonts w:hint="eastAsia" w:eastAsia="宋体" w:asciiTheme="minorEastAsia" w:hAnsiTheme="minorEastAsia" w:cstheme="minorEastAsia"/>
                <w:szCs w:val="21"/>
                <w:lang w:val="en-US" w:eastAsia="zh-CN"/>
              </w:rPr>
              <w:t xml:space="preserve">1）</w:t>
            </w:r>
            <w:r>
              <w:rPr>
                <w:rFonts w:hint="eastAsia" w:asciiTheme="minorEastAsia" w:hAnsiTheme="minorEastAsia" w:cstheme="minorEastAsia"/>
                <w:szCs w:val="21"/>
              </w:rPr>
              <w:t xml:space="preserve">储存</w:t>
            </w:r>
            <w:r>
              <w:rPr>
                <w:rFonts w:hint="eastAsia" w:eastAsia="宋体" w:asciiTheme="minorEastAsia" w:hAnsiTheme="minorEastAsia" w:cstheme="minorEastAsia"/>
                <w:szCs w:val="21"/>
                <w:lang w:eastAsia="zh-CN"/>
              </w:rPr>
              <w:t xml:space="preserve">；（</w:t>
            </w:r>
            <w:r>
              <w:rPr>
                <w:rFonts w:hint="eastAsia" w:eastAsia="宋体" w:asciiTheme="minorEastAsia" w:hAnsiTheme="minorEastAsia" w:cstheme="minorEastAsia"/>
                <w:szCs w:val="21"/>
                <w:lang w:val="en-US" w:eastAsia="zh-CN"/>
              </w:rPr>
              <w:t xml:space="preserve">2）</w:t>
            </w:r>
            <w:r>
              <w:rPr>
                <w:rFonts w:hint="eastAsia" w:asciiTheme="minorEastAsia" w:hAnsiTheme="minorEastAsia" w:cstheme="minorEastAsia"/>
                <w:szCs w:val="21"/>
              </w:rPr>
              <w:t xml:space="preserve">运输</w:t>
            </w:r>
            <w:r>
              <w:rPr>
                <w:rFonts w:hint="eastAsia" w:eastAsia="宋体" w:asciiTheme="minorEastAsia" w:hAnsiTheme="minorEastAsia" w:cstheme="minorEastAsia"/>
                <w:szCs w:val="21"/>
                <w:lang w:eastAsia="zh-CN"/>
              </w:rPr>
              <w:t xml:space="preserve">；（</w:t>
            </w:r>
            <w:r>
              <w:rPr>
                <w:rFonts w:hint="eastAsia" w:eastAsia="宋体" w:asciiTheme="minorEastAsia" w:hAnsiTheme="minorEastAsia" w:cstheme="minorEastAsia"/>
                <w:szCs w:val="21"/>
                <w:lang w:val="en-US" w:eastAsia="zh-CN"/>
              </w:rPr>
              <w:t xml:space="preserve">3）</w:t>
            </w:r>
            <w:r>
              <w:rPr>
                <w:rFonts w:hint="eastAsia" w:asciiTheme="minorEastAsia" w:hAnsiTheme="minorEastAsia" w:cstheme="minorEastAsia"/>
                <w:szCs w:val="21"/>
              </w:rPr>
              <w:t xml:space="preserve">由具备危险废物无害化处理资质单位进行无害化处置等内容。</w:t>
            </w:r>
            <w:r/>
          </w:p>
          <w:p>
            <w:pPr>
              <w:jc w:val="left"/>
              <w:spacing w:line="360" w:lineRule="auto"/>
              <w:rPr>
                <w:rFonts w:hint="eastAsia" w:cs="宋体" w:asciiTheme="minorEastAsia" w:hAnsiTheme="minorEastAsia"/>
                <w:b w:val="0"/>
                <w:bCs w:val="0"/>
                <w:color w:val="auto"/>
                <w:sz w:val="22"/>
                <w:szCs w:val="22"/>
                <w:highlight w:val="none"/>
                <w:lang w:val="en-US" w:eastAsia="zh-CN"/>
              </w:rPr>
            </w:pPr>
            <w:r>
              <w:rPr>
                <w:rFonts w:hint="eastAsia" w:cs="宋体" w:asciiTheme="minorEastAsia" w:hAnsiTheme="minorEastAsia"/>
                <w:b w:val="0"/>
                <w:bCs w:val="0"/>
                <w:color w:val="auto"/>
                <w:sz w:val="22"/>
                <w:szCs w:val="22"/>
                <w:highlight w:val="none"/>
                <w:lang w:val="en-US" w:eastAsia="zh-CN"/>
              </w:rPr>
              <w:t xml:space="preserve">方案内容描述全面、满足采购需求的得6分，每缺失一项内容扣2分，每有一处内容存在缺陷或不满足要求扣0.5分，分数扣完为止。（缺陷或不满足指存在以下任意一种情形：内容不全面、与实际需求不符、内容不清晰或交叉混乱、套用其他项目方案、存在规范性或常识性错误、存在逻辑漏洞、包含无关事项、凭空编造、存在不可能实现的夸大情形、</w:t>
            </w:r>
            <w:r>
              <w:rPr>
                <w:rFonts w:hint="eastAsia" w:cs="宋体" w:asciiTheme="minorEastAsia" w:hAnsiTheme="minorEastAsia"/>
                <w:b w:val="0"/>
                <w:bCs w:val="0"/>
                <w:color w:val="auto"/>
                <w:sz w:val="22"/>
                <w:szCs w:val="22"/>
                <w:highlight w:val="none"/>
                <w:lang w:val="zh-CN" w:eastAsia="zh-CN"/>
              </w:rPr>
              <w:t xml:space="preserve">表述前后不一致或内容矛盾，语句有歧义，仅有框架或标题等任意一种情形</w:t>
            </w:r>
            <w:r>
              <w:rPr>
                <w:rFonts w:hint="eastAsia" w:cs="宋体" w:asciiTheme="minorEastAsia" w:hAnsiTheme="minorEastAsia"/>
                <w:b w:val="0"/>
                <w:bCs w:val="0"/>
                <w:color w:val="auto"/>
                <w:sz w:val="22"/>
                <w:szCs w:val="22"/>
                <w:highlight w:val="none"/>
                <w:lang w:val="en-US" w:eastAsia="zh-CN"/>
              </w:rPr>
              <w:t xml:space="preserve">等），未提供方案不得分。</w:t>
            </w:r>
            <w:r/>
          </w:p>
          <w:p>
            <w:pPr>
              <w:jc w:val="left"/>
              <w:spacing w:line="360" w:lineRule="auto"/>
              <w:rPr>
                <w:rFonts w:asciiTheme="minorEastAsia" w:hAnsiTheme="minorEastAsia" w:cstheme="minorEastAsia"/>
                <w:b/>
                <w:bCs/>
                <w:szCs w:val="21"/>
              </w:rPr>
            </w:pPr>
            <w:r>
              <w:rPr>
                <w:rFonts w:hint="eastAsia" w:asciiTheme="minorEastAsia" w:hAnsiTheme="minorEastAsia" w:cstheme="minorEastAsia"/>
                <w:b/>
                <w:bCs/>
                <w:szCs w:val="21"/>
              </w:rPr>
              <w:t xml:space="preserve">6、评委根据投标人所提供对本项目实际制定的</w:t>
            </w:r>
            <w:r>
              <w:rPr>
                <w:rFonts w:hint="eastAsia" w:eastAsia="宋体" w:asciiTheme="minorEastAsia" w:hAnsiTheme="minorEastAsia" w:cstheme="minorEastAsia"/>
                <w:b/>
                <w:bCs/>
                <w:szCs w:val="21"/>
                <w:lang w:eastAsia="zh-CN"/>
              </w:rPr>
              <w:t xml:space="preserve">（</w:t>
            </w:r>
            <w:r>
              <w:rPr>
                <w:rFonts w:hint="eastAsia" w:eastAsia="宋体" w:asciiTheme="minorEastAsia" w:hAnsiTheme="minorEastAsia" w:cstheme="minorEastAsia"/>
                <w:b/>
                <w:bCs/>
                <w:szCs w:val="21"/>
                <w:lang w:val="en-US" w:eastAsia="zh-CN"/>
              </w:rPr>
              <w:t xml:space="preserve">1）</w:t>
            </w:r>
            <w:r>
              <w:rPr>
                <w:rFonts w:hint="eastAsia" w:asciiTheme="minorEastAsia" w:hAnsiTheme="minorEastAsia" w:cstheme="minorEastAsia"/>
                <w:b/>
                <w:bCs/>
                <w:szCs w:val="21"/>
              </w:rPr>
              <w:t xml:space="preserve">应急保障措施</w:t>
            </w:r>
            <w:r>
              <w:rPr>
                <w:rFonts w:hint="eastAsia" w:eastAsia="宋体" w:asciiTheme="minorEastAsia" w:hAnsiTheme="minorEastAsia" w:cstheme="minorEastAsia"/>
                <w:b/>
                <w:bCs/>
                <w:szCs w:val="21"/>
                <w:lang w:eastAsia="zh-CN"/>
              </w:rPr>
              <w:t xml:space="preserve">；（</w:t>
            </w:r>
            <w:r>
              <w:rPr>
                <w:rFonts w:hint="eastAsia" w:eastAsia="宋体" w:asciiTheme="minorEastAsia" w:hAnsiTheme="minorEastAsia" w:cstheme="minorEastAsia"/>
                <w:b/>
                <w:bCs/>
                <w:szCs w:val="21"/>
                <w:lang w:val="en-US" w:eastAsia="zh-CN"/>
              </w:rPr>
              <w:t xml:space="preserve">2）</w:t>
            </w:r>
            <w:r>
              <w:rPr>
                <w:rFonts w:hint="eastAsia" w:asciiTheme="minorEastAsia" w:hAnsiTheme="minorEastAsia" w:cstheme="minorEastAsia"/>
                <w:b/>
                <w:bCs/>
                <w:szCs w:val="21"/>
              </w:rPr>
              <w:t xml:space="preserve">安全保障措施进行比较，应急保障措施和安全保障措施应包含：危险废物（农药包装废弃物）收、储、运、处置方面（</w:t>
            </w:r>
            <w:r>
              <w:rPr>
                <w:rFonts w:hint="eastAsia" w:eastAsia="宋体" w:asciiTheme="minorEastAsia" w:hAnsiTheme="minorEastAsia" w:cstheme="minorEastAsia"/>
                <w:b/>
                <w:bCs/>
                <w:szCs w:val="21"/>
                <w:lang w:val="en-US" w:eastAsia="zh-CN"/>
              </w:rPr>
              <w:t xml:space="preserve">6</w:t>
            </w:r>
            <w:r>
              <w:rPr>
                <w:rFonts w:hint="eastAsia" w:asciiTheme="minorEastAsia" w:hAnsiTheme="minorEastAsia" w:cstheme="minorEastAsia"/>
                <w:b/>
                <w:bCs/>
                <w:szCs w:val="21"/>
              </w:rPr>
              <w:t xml:space="preserve">分）；</w:t>
            </w:r>
            <w:r/>
          </w:p>
          <w:p>
            <w:pPr>
              <w:jc w:val="left"/>
              <w:spacing w:line="360" w:lineRule="auto"/>
              <w:rPr>
                <w:rFonts w:asciiTheme="minorEastAsia" w:hAnsiTheme="minorEastAsia" w:cstheme="minorEastAsia"/>
                <w:szCs w:val="21"/>
              </w:rPr>
            </w:pPr>
            <w:r>
              <w:rPr>
                <w:rFonts w:hint="eastAsia" w:cs="宋体" w:asciiTheme="minorEastAsia" w:hAnsiTheme="minorEastAsia"/>
                <w:b w:val="0"/>
                <w:bCs w:val="0"/>
                <w:color w:val="auto"/>
                <w:sz w:val="22"/>
                <w:szCs w:val="22"/>
                <w:highlight w:val="none"/>
                <w:lang w:val="en-US" w:eastAsia="zh-CN"/>
              </w:rPr>
              <w:t xml:space="preserve">方案内容描述全面、满足采购需求的得6分，每缺失一项内容扣3分，每有一处内容存在缺陷或不满足要求扣0.5分，分数扣完为止。（缺陷或不满足指存在以下任意一种情形：内容不全面、与实际需求不符、内容不清晰或交叉混乱、套用其他项目方案、存在规范性或常识性错误、存在逻辑漏洞、包含无关事项、凭空编造、存在不可能实现的夸大情形、</w:t>
            </w:r>
            <w:r>
              <w:rPr>
                <w:rFonts w:hint="eastAsia" w:cs="宋体" w:asciiTheme="minorEastAsia" w:hAnsiTheme="minorEastAsia"/>
                <w:b w:val="0"/>
                <w:bCs w:val="0"/>
                <w:color w:val="auto"/>
                <w:sz w:val="22"/>
                <w:szCs w:val="22"/>
                <w:highlight w:val="none"/>
                <w:lang w:val="zh-CN" w:eastAsia="zh-CN"/>
              </w:rPr>
              <w:t xml:space="preserve">表述前后不一致或内容矛盾，语句有歧义，仅有框架或标题等任意一种情形</w:t>
            </w:r>
            <w:r>
              <w:rPr>
                <w:rFonts w:hint="eastAsia" w:cs="宋体" w:asciiTheme="minorEastAsia" w:hAnsiTheme="minorEastAsia"/>
                <w:b w:val="0"/>
                <w:bCs w:val="0"/>
                <w:color w:val="auto"/>
                <w:sz w:val="22"/>
                <w:szCs w:val="22"/>
                <w:highlight w:val="none"/>
                <w:lang w:val="en-US" w:eastAsia="zh-CN"/>
              </w:rPr>
              <w:t xml:space="preserve">等），未提供方案不得分。</w:t>
            </w:r>
            <w:r/>
          </w:p>
        </w:tc>
      </w:tr>
      <w:tr>
        <w:trPr>
          <w:jc w:val="center"/>
          <w:trHeight w:val="1790"/>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000" w:type="dxa"/>
            <w:vAlign w:val="center"/>
            <w:textDirection w:val="lrTb"/>
            <w:noWrap w:val="false"/>
          </w:tcPr>
          <w:p>
            <w:pPr>
              <w:jc w:val="center"/>
              <w:spacing w:line="360" w:lineRule="auto"/>
              <w:rPr>
                <w:rFonts w:hint="eastAsia" w:eastAsia="宋体" w:asciiTheme="minorEastAsia" w:hAnsiTheme="minorEastAsia" w:cstheme="minorEastAsia"/>
                <w:szCs w:val="21"/>
                <w:lang w:val="en-US" w:eastAsia="zh-CN"/>
              </w:rPr>
            </w:pPr>
            <w:r>
              <w:rPr>
                <w:rFonts w:hint="eastAsia" w:eastAsia="宋体" w:asciiTheme="minorEastAsia" w:hAnsiTheme="minorEastAsia" w:cstheme="minorEastAsia"/>
                <w:szCs w:val="21"/>
                <w:lang w:val="en-US" w:eastAsia="zh-CN"/>
              </w:rPr>
              <w:t xml:space="preserve">企业服务方案</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962"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（2</w:t>
            </w:r>
            <w:r>
              <w:rPr>
                <w:rFonts w:hint="eastAsia" w:eastAsia="宋体" w:asciiTheme="minorEastAsia" w:hAnsiTheme="minorEastAsia" w:cstheme="minorEastAsia"/>
                <w:szCs w:val="21"/>
                <w:lang w:val="en-US" w:eastAsia="zh-CN"/>
              </w:rPr>
              <w:t xml:space="preserve">1</w:t>
            </w:r>
            <w:r>
              <w:rPr>
                <w:rFonts w:hint="eastAsia" w:asciiTheme="minorEastAsia" w:hAnsiTheme="minorEastAsia" w:cstheme="minorEastAsia"/>
                <w:szCs w:val="21"/>
              </w:rPr>
              <w:t xml:space="preserve">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190" w:type="dxa"/>
            <w:vAlign w:val="center"/>
            <w:textDirection w:val="lrTb"/>
            <w:noWrap w:val="false"/>
          </w:tcPr>
          <w:p>
            <w:pPr>
              <w:jc w:val="left"/>
              <w:spacing w:line="360" w:lineRule="auto"/>
              <w:rPr>
                <w:rFonts w:hint="eastAsia" w:cs="宋体" w:asciiTheme="minorEastAsia" w:hAnsiTheme="minorEastAsia"/>
                <w:b w:val="0"/>
                <w:bCs w:val="0"/>
                <w:color w:val="auto"/>
                <w:sz w:val="22"/>
                <w:szCs w:val="22"/>
                <w:highlight w:val="none"/>
                <w:lang w:val="en-US" w:eastAsia="zh-CN"/>
              </w:rPr>
            </w:pPr>
            <w:r>
              <w:rPr>
                <w:rFonts w:hint="eastAsia" w:cs="宋体" w:asciiTheme="minorEastAsia" w:hAnsiTheme="minorEastAsia"/>
                <w:b w:val="0"/>
                <w:bCs w:val="0"/>
                <w:color w:val="auto"/>
                <w:sz w:val="22"/>
                <w:szCs w:val="22"/>
                <w:highlight w:val="none"/>
                <w:lang w:val="en-US" w:eastAsia="zh-CN"/>
              </w:rPr>
              <w:t xml:space="preserve">1、供应商根据本项目特点制定人员配置方案，包括但不限于：（1）项目负责人及主要技术人员配置；（2）回收作业人员配置（人员配置充足、专业结构合理）；（3）人员培训计划等。方案内容描述全面、满足采购需求的得9分，每缺失一项内容扣3分，每有一处内容存在缺陷或不满足要求扣0.5分，分数扣完为止。（缺陷或不满足指存在以下任意一种情形：内容不全面、与实际需求不符、内容不清晰或交叉混乱、套用其他项目方案、存在规范性或常识性错误、存在逻辑漏洞、包含无关事项、凭空编造、存在不可能实现的夸大情形、</w:t>
            </w:r>
            <w:r>
              <w:rPr>
                <w:rFonts w:hint="eastAsia" w:cs="宋体" w:asciiTheme="minorEastAsia" w:hAnsiTheme="minorEastAsia"/>
                <w:b w:val="0"/>
                <w:bCs w:val="0"/>
                <w:color w:val="auto"/>
                <w:sz w:val="22"/>
                <w:szCs w:val="22"/>
                <w:highlight w:val="none"/>
                <w:lang w:val="zh-CN" w:eastAsia="zh-CN"/>
              </w:rPr>
              <w:t xml:space="preserve">表述前后不一致或内容矛盾，语句有歧义，仅有框架或标题等任意一种情形</w:t>
            </w:r>
            <w:r>
              <w:rPr>
                <w:rFonts w:hint="eastAsia" w:cs="宋体" w:asciiTheme="minorEastAsia" w:hAnsiTheme="minorEastAsia"/>
                <w:b w:val="0"/>
                <w:bCs w:val="0"/>
                <w:color w:val="auto"/>
                <w:sz w:val="22"/>
                <w:szCs w:val="22"/>
                <w:highlight w:val="none"/>
                <w:lang w:val="en-US" w:eastAsia="zh-CN"/>
              </w:rPr>
              <w:t xml:space="preserve">等），未提供方案不得分。</w:t>
            </w:r>
            <w:r/>
          </w:p>
          <w:p>
            <w:pPr>
              <w:jc w:val="left"/>
              <w:spacing w:line="360" w:lineRule="auto"/>
              <w:rPr>
                <w:rFonts w:asciiTheme="minorEastAsia" w:hAnsiTheme="minorEastAsia" w:cstheme="minorEastAsia"/>
                <w:szCs w:val="21"/>
              </w:rPr>
            </w:pPr>
            <w:r>
              <w:rPr>
                <w:rFonts w:hint="eastAsia" w:cs="宋体" w:asciiTheme="minorEastAsia" w:hAnsiTheme="minorEastAsia"/>
                <w:b w:val="0"/>
                <w:bCs w:val="0"/>
                <w:color w:val="auto"/>
                <w:sz w:val="22"/>
                <w:szCs w:val="22"/>
                <w:highlight w:val="none"/>
                <w:lang w:val="en-US" w:eastAsia="zh-CN"/>
              </w:rPr>
              <w:t xml:space="preserve">2、回收点制定建设管理方案，根据投标人对全县（全县15个镇区范围内）回收农药包装废弃物的回收能力，包括但不限于：（1）回收点</w:t>
            </w:r>
            <w:r>
              <w:rPr>
                <w:rFonts w:hint="eastAsia" w:cs="宋体" w:asciiTheme="minorEastAsia" w:hAnsiTheme="minorEastAsia"/>
                <w:b w:val="0"/>
                <w:bCs w:val="0"/>
                <w:color w:val="auto"/>
                <w:sz w:val="22"/>
                <w:szCs w:val="22"/>
                <w:highlight w:val="none"/>
                <w:lang w:val="en-US" w:eastAsia="zh-CN"/>
              </w:rPr>
              <w:t xml:space="preserve">选址标准；（2）回收点设施设备配置（3）回收点人员培训（4）回收点日常管理规范（5）回收量统计与上报机制（6）提供远离水源地和居民集中居住区且地面硬质化的储存场地面积、数量、机械量等进行综合评审：方案内容描述全面、满足采购需求的得12分，每缺失一项内容扣2分，每有一处内容存在缺陷或不满足要求扣0.5分，分数扣完为止。（缺陷或不满足指存在以下任意一种情形：内容不全面、与实际需求不符、内容不清晰或交叉混乱、套用其他项目方案、存在规范性或常识性错误、存在逻辑漏洞、包含无关事项、凭空编造、存在不可能实现的夸大情形、</w:t>
            </w:r>
            <w:r>
              <w:rPr>
                <w:rFonts w:hint="eastAsia" w:cs="宋体" w:asciiTheme="minorEastAsia" w:hAnsiTheme="minorEastAsia"/>
                <w:b w:val="0"/>
                <w:bCs w:val="0"/>
                <w:color w:val="auto"/>
                <w:sz w:val="22"/>
                <w:szCs w:val="22"/>
                <w:highlight w:val="none"/>
                <w:lang w:val="zh-CN" w:eastAsia="zh-CN"/>
              </w:rPr>
              <w:t xml:space="preserve">表述前后不一致或内容矛盾，语句有歧义，仅有框架或标题等任意一种情形</w:t>
            </w:r>
            <w:r>
              <w:rPr>
                <w:rFonts w:hint="eastAsia" w:cs="宋体" w:asciiTheme="minorEastAsia" w:hAnsiTheme="minorEastAsia"/>
                <w:b w:val="0"/>
                <w:bCs w:val="0"/>
                <w:color w:val="auto"/>
                <w:sz w:val="22"/>
                <w:szCs w:val="22"/>
                <w:highlight w:val="none"/>
                <w:lang w:val="en-US" w:eastAsia="zh-CN"/>
              </w:rPr>
              <w:t xml:space="preserve">等），未提供方案不得分。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0"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综合</w:t>
            </w:r>
            <w:r/>
          </w:p>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实力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2"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w:t>
            </w:r>
            <w:r>
              <w:rPr>
                <w:rFonts w:hint="eastAsia" w:eastAsia="宋体" w:asciiTheme="minorEastAsia" w:hAnsiTheme="minorEastAsia" w:cstheme="minorEastAsia"/>
                <w:szCs w:val="21"/>
                <w:lang w:val="en-US" w:eastAsia="zh-CN"/>
              </w:rPr>
              <w:t xml:space="preserve">5</w:t>
            </w:r>
            <w:r>
              <w:rPr>
                <w:rFonts w:hint="eastAsia" w:asciiTheme="minorEastAsia" w:hAnsiTheme="minorEastAsia" w:cstheme="minorEastAsia"/>
                <w:szCs w:val="21"/>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90" w:type="dxa"/>
            <w:vAlign w:val="center"/>
            <w:textDirection w:val="lrTb"/>
            <w:noWrap w:val="false"/>
          </w:tcPr>
          <w:p>
            <w:pPr>
              <w:jc w:val="left"/>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投标人自2020年6月1日以来（以合同签订时间为准）承担过类似项目业绩，每提供一份得2</w:t>
            </w:r>
            <w:r>
              <w:rPr>
                <w:rFonts w:hint="eastAsia" w:eastAsia="宋体" w:asciiTheme="minorEastAsia" w:hAnsiTheme="minorEastAsia" w:cstheme="minorEastAsia"/>
                <w:szCs w:val="21"/>
                <w:lang w:val="en-US" w:eastAsia="zh-CN"/>
              </w:rPr>
              <w:t xml:space="preserve">.5</w:t>
            </w:r>
            <w:r>
              <w:rPr>
                <w:rFonts w:hint="eastAsia" w:asciiTheme="minorEastAsia" w:hAnsiTheme="minorEastAsia" w:cstheme="minorEastAsia"/>
                <w:szCs w:val="21"/>
              </w:rPr>
              <w:t xml:space="preserve">分，最高得</w:t>
            </w:r>
            <w:r>
              <w:rPr>
                <w:rFonts w:hint="eastAsia" w:eastAsia="宋体" w:asciiTheme="minorEastAsia" w:hAnsiTheme="minorEastAsia" w:cstheme="minorEastAsia"/>
                <w:szCs w:val="21"/>
                <w:lang w:val="en-US" w:eastAsia="zh-CN"/>
              </w:rPr>
              <w:t xml:space="preserve">5</w:t>
            </w:r>
            <w:r>
              <w:rPr>
                <w:rFonts w:hint="eastAsia" w:asciiTheme="minorEastAsia" w:hAnsiTheme="minorEastAsia" w:cstheme="minorEastAsia"/>
                <w:szCs w:val="21"/>
              </w:rPr>
              <w:t xml:space="preserve">分。</w:t>
            </w:r>
            <w:r/>
          </w:p>
          <w:p>
            <w:pPr>
              <w:jc w:val="left"/>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备注：提供完整且无涂改的业绩合同原件彩色扫描件加盖投标人公章。</w:t>
            </w:r>
            <w:r/>
          </w:p>
        </w:tc>
      </w:tr>
    </w:tbl>
    <w:p>
      <w:pPr>
        <w:jc w:val="left"/>
        <w:spacing w:line="360" w:lineRule="auto"/>
        <w:rPr>
          <w:rFonts w:hint="eastAsia"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r>
      <w:r/>
    </w:p>
    <w:p>
      <w:pPr>
        <w:jc w:val="left"/>
        <w:spacing w:line="360" w:lineRule="auto"/>
        <w:rPr>
          <w:rFonts w:hint="eastAsia"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备注：</w:t>
      </w:r>
      <w:r/>
    </w:p>
    <w:p>
      <w:pPr>
        <w:jc w:val="left"/>
        <w:spacing w:line="360" w:lineRule="auto"/>
        <w:rPr>
          <w:rFonts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1、评分标准中要求提供的证明材料均以原件扫描加盖所要求的公章在投标文件中反映，相关证明材料须按要求完整提供且不得涂改，本项目所须提供的证明材料均应原件扫描（如原件是彩色件，则扫描件须是彩色）。否则不能得分。</w:t>
      </w:r>
      <w:r/>
    </w:p>
    <w:p>
      <w:pPr>
        <w:jc w:val="left"/>
        <w:spacing w:line="360" w:lineRule="auto"/>
        <w:rPr>
          <w:rFonts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2、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p>
    <w:p>
      <w:pPr>
        <w:pStyle w:val="674"/>
        <w:ind w:left="0" w:firstLine="0"/>
        <w:rPr>
          <w:rFonts w:hint="eastAsia" w:ascii="宋体" w:hAnsi="宋体" w:cs="宋体"/>
          <w:bCs/>
          <w:szCs w:val="21"/>
          <w:lang w:val="zh-TW" w:eastAsia="zh-TW"/>
        </w:rPr>
      </w:pPr>
      <w:r>
        <w:rPr>
          <w:rFonts w:hint="eastAsia" w:ascii="宋体" w:hAnsi="宋体" w:cs="宋体"/>
          <w:bCs/>
          <w:szCs w:val="21"/>
          <w:lang w:val="zh-TW" w:eastAsia="zh-TW"/>
        </w:rPr>
      </w:r>
      <w:r/>
    </w:p>
    <w:p>
      <w:pPr>
        <w:pStyle w:val="67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71"/>
        <w:jc w:val="both"/>
        <w:spacing w:beforeAutospacing="0" w:afterAutospacing="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671"/>
        <w:jc w:val="both"/>
        <w:spacing w:beforeAutospacing="0" w:afterAutospacing="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671"/>
        <w:jc w:val="both"/>
        <w:spacing w:beforeAutospacing="0" w:afterAutospacing="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671"/>
        <w:jc w:val="both"/>
        <w:spacing w:beforeAutospacing="0" w:afterAutospacing="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671"/>
        <w:jc w:val="both"/>
        <w:spacing w:beforeAutospacing="0" w:afterAutospacing="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671"/>
        <w:jc w:val="both"/>
        <w:spacing w:beforeAutospacing="0" w:afterAutospacing="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671"/>
        <w:jc w:val="both"/>
        <w:spacing w:beforeAutospacing="0" w:afterAutospacing="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671"/>
        <w:jc w:val="both"/>
        <w:spacing w:beforeAutospacing="0" w:afterAutospacing="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671"/>
        <w:jc w:val="both"/>
        <w:spacing w:beforeAutospacing="0" w:afterAutospacing="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671"/>
        <w:jc w:val="both"/>
        <w:spacing w:beforeAutospacing="0" w:afterAutospacing="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671"/>
        <w:jc w:val="both"/>
        <w:spacing w:beforeAutospacing="0" w:afterAutospacing="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671"/>
        <w:jc w:val="both"/>
        <w:spacing w:beforeAutospacing="0" w:afterAutospacing="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671"/>
        <w:jc w:val="center"/>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第六章  响应文件格式</w:t>
      </w:r>
      <w:r/>
    </w:p>
    <w:p>
      <w:pPr>
        <w:pStyle w:val="671"/>
        <w:jc w:val="center"/>
        <w:spacing w:beforeAutospacing="0" w:afterAutospacing="0"/>
        <w:rPr>
          <w:rFonts w:hint="eastAsia" w:ascii="宋体" w:hAnsi="宋体" w:eastAsia="宋体" w:cs="宋体"/>
          <w:b/>
          <w:color w:val="auto"/>
          <w:sz w:val="72"/>
          <w:szCs w:val="72"/>
          <w:highlight w:val="none"/>
        </w:rPr>
      </w:pPr>
      <w:r/>
      <w:bookmarkStart w:id="174" w:name="_Toc49090576"/>
      <w:r/>
      <w:bookmarkEnd w:id="174"/>
      <w:r/>
      <w:bookmarkStart w:id="175" w:name="_Toc120614282"/>
      <w:r/>
      <w:bookmarkEnd w:id="175"/>
      <w:r/>
      <w:bookmarkStart w:id="176" w:name="_Hlt26671244"/>
      <w:r/>
      <w:bookmarkStart w:id="177" w:name="_Toc26554094"/>
      <w:r/>
      <w:bookmarkStart w:id="178" w:name="_Hlt26955039"/>
      <w:r/>
      <w:r/>
    </w:p>
    <w:p>
      <w:pPr>
        <w:pStyle w:val="671"/>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71"/>
        <w:jc w:val="center"/>
        <w:spacing w:beforeAutospacing="0" w:afterAutospacing="0"/>
        <w:rPr>
          <w:color w:val="auto"/>
          <w:highlight w:val="none"/>
        </w:rPr>
        <w:outlineLvl w:val="0"/>
      </w:pPr>
      <w:r>
        <w:rPr>
          <w:rFonts w:hint="eastAsia" w:ascii="宋体" w:hAnsi="宋体" w:eastAsia="宋体" w:cs="宋体"/>
          <w:b/>
          <w:color w:val="auto"/>
          <w:sz w:val="72"/>
          <w:szCs w:val="72"/>
          <w:highlight w:val="none"/>
        </w:rPr>
        <w:t xml:space="preserve">响  应  文  件</w:t>
      </w:r>
      <w:r/>
    </w:p>
    <w:p>
      <w:pPr>
        <w:pStyle w:val="671"/>
        <w:jc w:val="center"/>
        <w:spacing w:beforeAutospacing="0" w:afterAutospacing="0"/>
        <w:rPr>
          <w:color w:val="auto"/>
          <w:highlight w:val="none"/>
        </w:rPr>
      </w:pPr>
      <w:r>
        <w:rPr>
          <w:color w:val="auto"/>
          <w:highlight w:val="none"/>
        </w:rPr>
        <w:t xml:space="preserve"> </w:t>
      </w:r>
      <w:r/>
    </w:p>
    <w:p>
      <w:pPr>
        <w:pStyle w:val="671"/>
        <w:jc w:val="center"/>
        <w:spacing w:beforeAutospacing="0" w:afterAutospacing="0"/>
        <w:rPr>
          <w:color w:val="auto"/>
          <w:highlight w:val="none"/>
        </w:rPr>
      </w:pPr>
      <w:r>
        <w:rPr>
          <w:color w:val="auto"/>
          <w:highlight w:val="none"/>
        </w:rPr>
      </w:r>
      <w:r/>
    </w:p>
    <w:p>
      <w:pPr>
        <w:pStyle w:val="671"/>
        <w:jc w:val="center"/>
        <w:spacing w:beforeAutospacing="0" w:afterAutospacing="0"/>
        <w:rPr>
          <w:color w:val="auto"/>
          <w:highlight w:val="none"/>
        </w:rPr>
      </w:pPr>
      <w:r>
        <w:rPr>
          <w:color w:val="auto"/>
          <w:highlight w:val="none"/>
        </w:rPr>
      </w:r>
      <w:r/>
    </w:p>
    <w:p>
      <w:pPr>
        <w:pStyle w:val="671"/>
        <w:jc w:val="center"/>
        <w:spacing w:beforeAutospacing="0" w:afterAutospacing="0"/>
        <w:rPr>
          <w:color w:val="auto"/>
          <w:highlight w:val="none"/>
        </w:rPr>
      </w:pPr>
      <w:r>
        <w:rPr>
          <w:color w:val="auto"/>
          <w:highlight w:val="none"/>
        </w:rPr>
      </w:r>
      <w:r/>
    </w:p>
    <w:p>
      <w:pPr>
        <w:pStyle w:val="671"/>
        <w:jc w:val="center"/>
        <w:spacing w:beforeAutospacing="0" w:afterAutospacing="0"/>
        <w:rPr>
          <w:color w:val="auto"/>
          <w:highlight w:val="none"/>
        </w:rPr>
      </w:pPr>
      <w:r>
        <w:rPr>
          <w:color w:val="auto"/>
          <w:highlight w:val="none"/>
        </w:rPr>
      </w:r>
      <w:r/>
    </w:p>
    <w:p>
      <w:pPr>
        <w:pStyle w:val="671"/>
        <w:jc w:val="center"/>
        <w:spacing w:beforeAutospacing="0" w:afterAutospacing="0"/>
        <w:rPr>
          <w:color w:val="auto"/>
          <w:highlight w:val="none"/>
        </w:rPr>
      </w:pPr>
      <w:r>
        <w:rPr>
          <w:color w:val="auto"/>
          <w:highlight w:val="none"/>
        </w:rPr>
      </w:r>
      <w:r/>
    </w:p>
    <w:p>
      <w:pPr>
        <w:pStyle w:val="671"/>
        <w:jc w:val="center"/>
        <w:spacing w:beforeAutospacing="0" w:afterAutospacing="0"/>
        <w:rPr>
          <w:color w:val="auto"/>
          <w:highlight w:val="none"/>
        </w:rPr>
      </w:pPr>
      <w:r>
        <w:rPr>
          <w:color w:val="auto"/>
          <w:highlight w:val="none"/>
        </w:rPr>
      </w:r>
      <w:r/>
    </w:p>
    <w:p>
      <w:pPr>
        <w:pStyle w:val="671"/>
        <w:jc w:val="center"/>
        <w:spacing w:beforeAutospacing="0" w:afterAutospacing="0"/>
        <w:rPr>
          <w:color w:val="auto"/>
          <w:highlight w:val="none"/>
        </w:rPr>
      </w:pPr>
      <w:r>
        <w:rPr>
          <w:color w:val="auto"/>
          <w:highlight w:val="none"/>
        </w:rPr>
      </w:r>
      <w:r/>
    </w:p>
    <w:p>
      <w:pPr>
        <w:pStyle w:val="671"/>
        <w:jc w:val="center"/>
        <w:spacing w:beforeAutospacing="0" w:afterAutospacing="0"/>
        <w:rPr>
          <w:color w:val="auto"/>
          <w:highlight w:val="none"/>
        </w:rPr>
      </w:pPr>
      <w:r>
        <w:rPr>
          <w:color w:val="auto"/>
          <w:highlight w:val="none"/>
        </w:rPr>
      </w:r>
      <w:r/>
    </w:p>
    <w:p>
      <w:pPr>
        <w:pStyle w:val="671"/>
        <w:jc w:val="center"/>
        <w:spacing w:beforeAutospacing="0" w:afterAutospacing="0"/>
        <w:rPr>
          <w:color w:val="auto"/>
          <w:highlight w:val="none"/>
        </w:rPr>
      </w:pPr>
      <w:r>
        <w:rPr>
          <w:color w:val="auto"/>
          <w:highlight w:val="none"/>
        </w:rPr>
      </w:r>
      <w:r/>
    </w:p>
    <w:p>
      <w:pPr>
        <w:pStyle w:val="671"/>
        <w:jc w:val="center"/>
        <w:spacing w:beforeAutospacing="0" w:afterAutospacing="0"/>
        <w:rPr>
          <w:color w:val="auto"/>
          <w:highlight w:val="none"/>
        </w:rPr>
      </w:pPr>
      <w:r>
        <w:rPr>
          <w:color w:val="auto"/>
          <w:highlight w:val="none"/>
        </w:rPr>
      </w:r>
      <w:r/>
    </w:p>
    <w:p>
      <w:pPr>
        <w:pStyle w:val="671"/>
        <w:jc w:val="center"/>
        <w:spacing w:beforeAutospacing="0" w:afterAutospacing="0"/>
        <w:rPr>
          <w:color w:val="auto"/>
          <w:highlight w:val="none"/>
        </w:rPr>
      </w:pPr>
      <w:r>
        <w:rPr>
          <w:color w:val="auto"/>
          <w:highlight w:val="none"/>
        </w:rPr>
        <w:t xml:space="preserve"> </w:t>
      </w:r>
      <w:r/>
    </w:p>
    <w:p>
      <w:pPr>
        <w:pStyle w:val="671"/>
        <w:jc w:val="center"/>
        <w:spacing w:beforeAutospacing="0" w:afterAutospacing="0"/>
        <w:rPr>
          <w:color w:val="auto"/>
          <w:highlight w:val="none"/>
        </w:rPr>
      </w:pPr>
      <w:r>
        <w:rPr>
          <w:color w:val="auto"/>
          <w:highlight w:val="none"/>
        </w:rPr>
        <w:t xml:space="preserve"> </w:t>
      </w:r>
      <w:r/>
    </w:p>
    <w:p>
      <w:pPr>
        <w:pStyle w:val="671"/>
        <w:jc w:val="center"/>
        <w:spacing w:beforeAutospacing="0" w:afterAutospacing="0"/>
        <w:rPr>
          <w:color w:val="auto"/>
          <w:highlight w:val="none"/>
        </w:rPr>
      </w:pPr>
      <w:r>
        <w:rPr>
          <w:color w:val="auto"/>
          <w:highlight w:val="none"/>
        </w:rPr>
      </w:r>
      <w:r/>
    </w:p>
    <w:p>
      <w:pPr>
        <w:pStyle w:val="671"/>
        <w:jc w:val="center"/>
        <w:spacing w:beforeAutospacing="0" w:afterAutospacing="0"/>
        <w:rPr>
          <w:color w:val="auto"/>
          <w:highlight w:val="none"/>
        </w:rPr>
      </w:pPr>
      <w:r>
        <w:rPr>
          <w:color w:val="auto"/>
          <w:highlight w:val="none"/>
        </w:rPr>
        <w:t xml:space="preserve"> </w:t>
      </w:r>
      <w:r/>
    </w:p>
    <w:p>
      <w:pPr>
        <w:pStyle w:val="671"/>
        <w:jc w:val="center"/>
        <w:spacing w:beforeAutospacing="0" w:afterAutospacing="0"/>
        <w:rPr>
          <w:color w:val="auto"/>
          <w:highlight w:val="none"/>
        </w:rPr>
      </w:pPr>
      <w:r>
        <w:rPr>
          <w:color w:val="auto"/>
          <w:highlight w:val="none"/>
        </w:rPr>
        <w:t xml:space="preserve"> </w:t>
      </w:r>
      <w:r/>
    </w:p>
    <w:p>
      <w:pPr>
        <w:pStyle w:val="671"/>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color w:val="auto"/>
          <w:sz w:val="36"/>
          <w:szCs w:val="36"/>
          <w:highlight w:val="none"/>
          <w:u w:val="single"/>
        </w:rPr>
        <w:t xml:space="preserve">               </w:t>
      </w:r>
      <w:r/>
    </w:p>
    <w:p>
      <w:pPr>
        <w:pStyle w:val="671"/>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目编 号：</w:t>
      </w:r>
      <w:r>
        <w:rPr>
          <w:rFonts w:hint="eastAsia" w:ascii="宋体" w:hAnsi="宋体" w:eastAsia="宋体" w:cs="宋体"/>
          <w:b/>
          <w:color w:val="auto"/>
          <w:sz w:val="36"/>
          <w:szCs w:val="36"/>
          <w:highlight w:val="none"/>
          <w:u w:val="single"/>
        </w:rPr>
        <w:t xml:space="preserve">               </w:t>
      </w:r>
      <w:r/>
    </w:p>
    <w:p>
      <w:pPr>
        <w:pStyle w:val="671"/>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p>
    <w:p>
      <w:pPr>
        <w:pStyle w:val="671"/>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671"/>
        <w:jc w:val="center"/>
        <w:spacing w:beforeAutospacing="0" w:afterAutospacing="0" w:line="0" w:lineRule="atLeast"/>
        <w:rPr>
          <w:color w:val="auto"/>
          <w:highlight w:val="none"/>
        </w:rPr>
      </w:pPr>
      <w:r>
        <w:rPr>
          <w:color w:val="auto"/>
          <w:highlight w:val="none"/>
        </w:rPr>
        <w:t xml:space="preserve"> </w:t>
      </w:r>
      <w:r/>
    </w:p>
    <w:p>
      <w:pPr>
        <w:pStyle w:val="671"/>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1"/>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1"/>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1"/>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1"/>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1"/>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1"/>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1"/>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7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671"/>
        <w:jc w:val="center"/>
        <w:spacing w:beforeAutospacing="0" w:afterAutospacing="0" w:line="0" w:lineRule="atLeast"/>
        <w:rPr>
          <w:color w:val="auto"/>
          <w:highlight w:val="none"/>
        </w:rPr>
      </w:pPr>
      <w:r>
        <w:rPr>
          <w:color w:val="auto"/>
          <w:highlight w:val="none"/>
        </w:rPr>
        <w:t xml:space="preserve"> </w:t>
      </w:r>
      <w:r/>
    </w:p>
    <w:p>
      <w:pPr>
        <w:pStyle w:val="67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rPr>
        <w:t xml:space="preserve">一、法人或者其他组织的营业执照等证明文件，自然人的身份证明</w:t>
      </w:r>
      <w:r>
        <w:rPr>
          <w:rFonts w:hint="eastAsia" w:asciiTheme="minorEastAsia" w:hAnsiTheme="minorEastAsia" w:cstheme="minorEastAsia"/>
          <w:i w:val="0"/>
          <w:iCs/>
          <w:color w:val="auto"/>
          <w:sz w:val="24"/>
          <w:szCs w:val="24"/>
          <w:highlight w:val="none"/>
          <w:u w:val="none"/>
          <w:lang w:eastAsia="zh-CN"/>
        </w:rPr>
        <w:t xml:space="preserve">；</w:t>
      </w:r>
      <w:r/>
    </w:p>
    <w:p>
      <w:pPr>
        <w:pStyle w:val="67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rPr>
        <w:t xml:space="preserve">二、上一年度的财务状况报</w:t>
      </w:r>
      <w:r>
        <w:rPr>
          <w:rFonts w:hint="eastAsia" w:asciiTheme="minorEastAsia" w:hAnsiTheme="minorEastAsia" w:cstheme="minorEastAsia"/>
          <w:i w:val="0"/>
          <w:iCs/>
          <w:color w:val="auto"/>
          <w:sz w:val="24"/>
          <w:szCs w:val="24"/>
          <w:highlight w:val="none"/>
          <w:u w:val="none"/>
          <w:lang w:val="en-US" w:eastAsia="zh-CN"/>
        </w:rPr>
        <w:t xml:space="preserve">表</w:t>
      </w:r>
      <w:r>
        <w:rPr>
          <w:rFonts w:hint="eastAsia" w:asciiTheme="minorEastAsia" w:hAnsiTheme="minorEastAsia" w:eastAsiaTheme="minorEastAsia" w:cstheme="minorEastAsia"/>
          <w:i w:val="0"/>
          <w:iCs/>
          <w:color w:val="auto"/>
          <w:sz w:val="24"/>
          <w:szCs w:val="24"/>
          <w:highlight w:val="none"/>
          <w:u w:val="none"/>
        </w:rPr>
        <w:t xml:space="preserve">（</w:t>
      </w:r>
      <w:r>
        <w:rPr>
          <w:rFonts w:hint="eastAsia" w:asciiTheme="minorEastAsia" w:hAnsiTheme="minorEastAsia" w:eastAsiaTheme="minorEastAsia" w:cstheme="minorEastAsia"/>
          <w:i w:val="0"/>
          <w:iCs/>
          <w:color w:val="auto"/>
          <w:sz w:val="24"/>
          <w:szCs w:val="24"/>
          <w:highlight w:val="none"/>
          <w:u w:val="none"/>
          <w:lang w:val="en-US" w:eastAsia="zh-CN"/>
        </w:rPr>
        <w:t xml:space="preserve">至少提供资产负债表、利润表、现金流量表，</w:t>
      </w:r>
      <w:r>
        <w:rPr>
          <w:rFonts w:hint="eastAsia" w:asciiTheme="minorEastAsia" w:hAnsiTheme="minorEastAsia" w:eastAsiaTheme="minorEastAsia" w:cstheme="minorEastAsia"/>
          <w:i w:val="0"/>
          <w:iCs/>
          <w:color w:val="auto"/>
          <w:sz w:val="24"/>
          <w:szCs w:val="24"/>
          <w:highlight w:val="none"/>
          <w:u w:val="none"/>
        </w:rPr>
        <w:t xml:space="preserve">磋商供应商成立不满一年无需提供）</w:t>
      </w:r>
      <w:r>
        <w:rPr>
          <w:rFonts w:hint="eastAsia" w:asciiTheme="minorEastAsia" w:hAnsiTheme="minorEastAsia" w:cstheme="minorEastAsia"/>
          <w:i w:val="0"/>
          <w:iCs/>
          <w:color w:val="auto"/>
          <w:sz w:val="24"/>
          <w:szCs w:val="24"/>
          <w:highlight w:val="none"/>
          <w:u w:val="none"/>
          <w:lang w:eastAsia="zh-CN"/>
        </w:rPr>
        <w:t xml:space="preserve">；</w:t>
      </w:r>
      <w:r/>
    </w:p>
    <w:p>
      <w:pPr>
        <w:pStyle w:val="67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三</w:t>
      </w:r>
      <w:r>
        <w:rPr>
          <w:rFonts w:hint="eastAsia" w:asciiTheme="minorEastAsia" w:hAnsiTheme="minorEastAsia" w:eastAsiaTheme="minorEastAsia" w:cstheme="minorEastAsia"/>
          <w:i w:val="0"/>
          <w:iCs/>
          <w:color w:val="auto"/>
          <w:sz w:val="24"/>
          <w:szCs w:val="24"/>
          <w:highlight w:val="none"/>
          <w:u w:val="none"/>
        </w:rPr>
        <w:t xml:space="preserve">、具备履行合同所必需的设备和专业技术能力的书面声明</w:t>
      </w:r>
      <w:r>
        <w:rPr>
          <w:rFonts w:hint="eastAsia" w:asciiTheme="minorEastAsia" w:hAnsiTheme="minorEastAsia" w:cstheme="minorEastAsia"/>
          <w:i w:val="0"/>
          <w:iCs/>
          <w:color w:val="auto"/>
          <w:sz w:val="24"/>
          <w:szCs w:val="24"/>
          <w:highlight w:val="none"/>
          <w:u w:val="none"/>
          <w:lang w:eastAsia="zh-CN"/>
        </w:rPr>
        <w:t xml:space="preserve">；</w:t>
      </w:r>
      <w:r/>
    </w:p>
    <w:p>
      <w:pPr>
        <w:pStyle w:val="67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四</w:t>
      </w:r>
      <w:r>
        <w:rPr>
          <w:rFonts w:hint="eastAsia" w:asciiTheme="minorEastAsia" w:hAnsiTheme="minorEastAsia" w:eastAsiaTheme="minorEastAsia" w:cstheme="minorEastAsia"/>
          <w:i w:val="0"/>
          <w:iCs/>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asciiTheme="minorEastAsia" w:hAnsiTheme="minorEastAsia" w:cstheme="minorEastAsia"/>
          <w:i w:val="0"/>
          <w:iCs/>
          <w:color w:val="auto"/>
          <w:sz w:val="24"/>
          <w:szCs w:val="24"/>
          <w:highlight w:val="none"/>
          <w:u w:val="none"/>
          <w:lang w:eastAsia="zh-CN"/>
        </w:rPr>
        <w:t xml:space="preserve">；</w:t>
      </w:r>
      <w:r/>
    </w:p>
    <w:p>
      <w:pPr>
        <w:pStyle w:val="671"/>
        <w:ind w:firstLine="480"/>
        <w:jc w:val="both"/>
        <w:keepLines w:val="0"/>
        <w:keepNext w:val="0"/>
        <w:pageBreakBefore w:val="0"/>
        <w:spacing w:beforeAutospacing="0" w:afterAutospacing="0" w:line="500" w:lineRule="exact"/>
        <w:rPr>
          <w:rFonts w:hint="eastAsia" w:asciiTheme="minorEastAsia" w:hAnsi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rPr>
        <w:t xml:space="preserve">五、参加政府采购活动前 3 年内在经营活动中没有重大违法记录的书面声明</w:t>
      </w:r>
      <w:r>
        <w:rPr>
          <w:rFonts w:hint="eastAsia" w:asciiTheme="minorEastAsia" w:hAnsiTheme="minorEastAsia" w:cstheme="minorEastAsia"/>
          <w:i w:val="0"/>
          <w:iCs/>
          <w:color w:val="auto"/>
          <w:sz w:val="24"/>
          <w:szCs w:val="24"/>
          <w:highlight w:val="none"/>
          <w:u w:val="none"/>
          <w:lang w:eastAsia="zh-CN"/>
        </w:rPr>
        <w:t xml:space="preserve">；</w:t>
      </w:r>
      <w:r/>
    </w:p>
    <w:p>
      <w:pPr>
        <w:pStyle w:val="67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六、单位负责人为同一人或者存在直接控股、服务关系的不同供应商，不得参加同一合同项下的政府采购活动。</w:t>
      </w:r>
      <w:r/>
    </w:p>
    <w:p>
      <w:pPr>
        <w:pStyle w:val="67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auto"/>
          <w:sz w:val="24"/>
          <w:szCs w:val="24"/>
          <w:highlight w:val="none"/>
          <w:u w:val="none"/>
        </w:rPr>
      </w:pPr>
      <w:r>
        <w:rPr>
          <w:rFonts w:hint="eastAsia" w:eastAsia="宋体" w:asciiTheme="minorEastAsia" w:hAnsiTheme="minorEastAsia" w:cstheme="minorEastAsia"/>
          <w:i w:val="0"/>
          <w:iCs/>
          <w:color w:val="auto"/>
          <w:sz w:val="24"/>
          <w:szCs w:val="24"/>
          <w:highlight w:val="none"/>
          <w:u w:val="none"/>
          <w:lang w:val="en-US" w:eastAsia="zh-CN"/>
        </w:rPr>
        <w:t xml:space="preserve">七</w:t>
      </w:r>
      <w:r>
        <w:rPr>
          <w:rFonts w:hint="eastAsia" w:asciiTheme="minorEastAsia" w:hAnsiTheme="minorEastAsia" w:eastAsiaTheme="minorEastAsia" w:cstheme="minorEastAsia"/>
          <w:i w:val="0"/>
          <w:iCs/>
          <w:color w:val="auto"/>
          <w:sz w:val="24"/>
          <w:szCs w:val="24"/>
          <w:highlight w:val="none"/>
          <w:u w:val="none"/>
        </w:rPr>
        <w:t xml:space="preserve">、特定资格要求的证明文件（如果本项目设置特定资格要求，则需要提供）</w:t>
      </w:r>
      <w:r/>
    </w:p>
    <w:p>
      <w:pPr>
        <w:pStyle w:val="67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auto"/>
          <w:sz w:val="24"/>
          <w:szCs w:val="24"/>
          <w:highlight w:val="none"/>
          <w:u w:val="none"/>
        </w:rPr>
      </w:pPr>
      <w:r>
        <w:rPr>
          <w:rFonts w:hint="eastAsia" w:eastAsia="宋体" w:asciiTheme="minorEastAsia" w:hAnsiTheme="minorEastAsia" w:cstheme="minorEastAsia"/>
          <w:i w:val="0"/>
          <w:iCs/>
          <w:color w:val="auto"/>
          <w:sz w:val="24"/>
          <w:szCs w:val="24"/>
          <w:highlight w:val="none"/>
          <w:u w:val="none"/>
          <w:lang w:val="en-US" w:eastAsia="zh-CN"/>
        </w:rPr>
        <w:t xml:space="preserve">八</w:t>
      </w:r>
      <w:r>
        <w:rPr>
          <w:rFonts w:hint="eastAsia" w:asciiTheme="minorEastAsia" w:hAnsiTheme="minorEastAsia" w:eastAsiaTheme="minorEastAsia" w:cstheme="minorEastAsia"/>
          <w:i w:val="0"/>
          <w:iCs/>
          <w:color w:val="auto"/>
          <w:sz w:val="24"/>
          <w:szCs w:val="24"/>
          <w:highlight w:val="none"/>
          <w:u w:val="none"/>
        </w:rPr>
        <w:t xml:space="preserve">、法人授权书</w:t>
      </w:r>
      <w:r/>
    </w:p>
    <w:p>
      <w:pPr>
        <w:pStyle w:val="67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auto"/>
          <w:sz w:val="24"/>
          <w:szCs w:val="24"/>
          <w:highlight w:val="none"/>
          <w:u w:val="none"/>
        </w:rPr>
      </w:pPr>
      <w:r>
        <w:rPr>
          <w:rFonts w:hint="eastAsia" w:eastAsia="宋体" w:asciiTheme="minorEastAsia" w:hAnsiTheme="minorEastAsia" w:cstheme="minorEastAsia"/>
          <w:i w:val="0"/>
          <w:iCs/>
          <w:color w:val="auto"/>
          <w:sz w:val="24"/>
          <w:szCs w:val="24"/>
          <w:highlight w:val="none"/>
          <w:u w:val="none"/>
          <w:lang w:val="en-US" w:eastAsia="zh-CN"/>
        </w:rPr>
        <w:t xml:space="preserve">九</w:t>
      </w:r>
      <w:r>
        <w:rPr>
          <w:rFonts w:hint="eastAsia" w:asciiTheme="minorEastAsia" w:hAnsiTheme="minorEastAsia" w:eastAsiaTheme="minorEastAsia" w:cstheme="minorEastAsia"/>
          <w:i w:val="0"/>
          <w:iCs/>
          <w:color w:val="auto"/>
          <w:sz w:val="24"/>
          <w:szCs w:val="24"/>
          <w:highlight w:val="none"/>
          <w:u w:val="none"/>
        </w:rPr>
        <w:t xml:space="preserve">、磋商响应函</w:t>
      </w:r>
      <w:r/>
    </w:p>
    <w:p>
      <w:pPr>
        <w:pStyle w:val="67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auto"/>
          <w:sz w:val="24"/>
          <w:szCs w:val="24"/>
          <w:highlight w:val="none"/>
          <w:u w:val="none"/>
        </w:rPr>
      </w:pPr>
      <w:r>
        <w:rPr>
          <w:rFonts w:hint="eastAsia" w:eastAsia="宋体" w:asciiTheme="minorEastAsia" w:hAnsiTheme="minorEastAsia" w:cstheme="minorEastAsia"/>
          <w:i w:val="0"/>
          <w:iCs/>
          <w:color w:val="auto"/>
          <w:sz w:val="24"/>
          <w:szCs w:val="24"/>
          <w:highlight w:val="none"/>
          <w:u w:val="none"/>
          <w:lang w:val="en-US" w:eastAsia="zh-CN"/>
        </w:rPr>
        <w:t xml:space="preserve">十</w:t>
      </w:r>
      <w:r>
        <w:rPr>
          <w:rFonts w:hint="eastAsia" w:asciiTheme="minorEastAsia" w:hAnsiTheme="minorEastAsia" w:eastAsiaTheme="minorEastAsia" w:cstheme="minorEastAsia"/>
          <w:i w:val="0"/>
          <w:iCs/>
          <w:color w:val="auto"/>
          <w:sz w:val="24"/>
          <w:szCs w:val="24"/>
          <w:highlight w:val="none"/>
          <w:u w:val="none"/>
        </w:rPr>
        <w:t xml:space="preserve">、</w:t>
      </w:r>
      <w:r>
        <w:rPr>
          <w:rFonts w:hint="eastAsia" w:asciiTheme="minorEastAsia" w:hAnsiTheme="minorEastAsia" w:eastAsiaTheme="minorEastAsia" w:cstheme="minorEastAsia"/>
          <w:i w:val="0"/>
          <w:iCs/>
          <w:color w:val="auto"/>
          <w:sz w:val="24"/>
          <w:szCs w:val="24"/>
          <w:highlight w:val="none"/>
          <w:u w:val="none"/>
          <w:lang w:val="en-US" w:eastAsia="zh-CN"/>
        </w:rPr>
        <w:t xml:space="preserve">中小</w:t>
      </w:r>
      <w:r>
        <w:rPr>
          <w:rFonts w:hint="eastAsia" w:asciiTheme="minorEastAsia" w:hAnsiTheme="minorEastAsia" w:eastAsiaTheme="minorEastAsia" w:cstheme="minorEastAsia"/>
          <w:i w:val="0"/>
          <w:iCs/>
          <w:color w:val="auto"/>
          <w:sz w:val="24"/>
          <w:szCs w:val="24"/>
          <w:highlight w:val="none"/>
          <w:u w:val="none"/>
        </w:rPr>
        <w:t xml:space="preserve">企业声明函</w:t>
      </w:r>
      <w:r/>
    </w:p>
    <w:p>
      <w:pPr>
        <w:pStyle w:val="67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eastAsia="宋体" w:asciiTheme="minorEastAsia" w:hAnsiTheme="minorEastAsia" w:cstheme="minorEastAsia"/>
          <w:i w:val="0"/>
          <w:iCs/>
          <w:color w:val="auto"/>
          <w:sz w:val="24"/>
          <w:szCs w:val="24"/>
          <w:highlight w:val="none"/>
          <w:u w:val="none"/>
          <w:lang w:val="en-US" w:eastAsia="zh-CN"/>
        </w:rPr>
        <w:t xml:space="preserve">一</w:t>
      </w:r>
      <w:r>
        <w:rPr>
          <w:rFonts w:hint="eastAsia" w:asciiTheme="minorEastAsia" w:hAnsiTheme="minorEastAsia" w:eastAsiaTheme="minorEastAsia" w:cstheme="minorEastAsia"/>
          <w:i w:val="0"/>
          <w:iCs/>
          <w:color w:val="auto"/>
          <w:sz w:val="24"/>
          <w:szCs w:val="24"/>
          <w:highlight w:val="none"/>
          <w:u w:val="none"/>
        </w:rPr>
        <w:t xml:space="preserve">、残疾人福利性单位声明函</w:t>
      </w:r>
      <w:r/>
    </w:p>
    <w:p>
      <w:pPr>
        <w:pStyle w:val="67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二</w:t>
      </w:r>
      <w:r>
        <w:rPr>
          <w:rFonts w:hint="eastAsia" w:asciiTheme="minorEastAsia" w:hAnsiTheme="minorEastAsia" w:eastAsiaTheme="minorEastAsia" w:cstheme="minorEastAsia"/>
          <w:i w:val="0"/>
          <w:iCs/>
          <w:color w:val="auto"/>
          <w:sz w:val="24"/>
          <w:szCs w:val="24"/>
          <w:highlight w:val="none"/>
          <w:u w:val="none"/>
        </w:rPr>
        <w:t xml:space="preserve">、资格性审查响应对照表</w:t>
      </w:r>
      <w:r/>
    </w:p>
    <w:p>
      <w:pPr>
        <w:pStyle w:val="67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eastAsia="zh-CN"/>
        </w:rPr>
        <w:t xml:space="preserve">三</w:t>
      </w:r>
      <w:r>
        <w:rPr>
          <w:rFonts w:hint="eastAsia" w:asciiTheme="minorEastAsia" w:hAnsiTheme="minorEastAsia" w:eastAsiaTheme="minorEastAsia" w:cstheme="minorEastAsia"/>
          <w:i w:val="0"/>
          <w:iCs/>
          <w:color w:val="auto"/>
          <w:sz w:val="24"/>
          <w:szCs w:val="24"/>
          <w:highlight w:val="none"/>
          <w:u w:val="none"/>
        </w:rPr>
        <w:t xml:space="preserve">、符合性检查响应对照表</w:t>
      </w:r>
      <w:r/>
    </w:p>
    <w:p>
      <w:pPr>
        <w:pStyle w:val="67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auto"/>
          <w:sz w:val="24"/>
          <w:szCs w:val="24"/>
          <w:highlight w:val="none"/>
          <w:u w:val="none"/>
          <w:lang w:val="en-US" w:eastAsia="zh-CN"/>
        </w:rPr>
      </w:pPr>
      <w:r>
        <w:rPr>
          <w:rFonts w:hint="eastAsia" w:eastAsia="宋体" w:asciiTheme="minorEastAsia" w:hAnsiTheme="minorEastAsia" w:cstheme="minorEastAsia"/>
          <w:i w:val="0"/>
          <w:iCs/>
          <w:color w:val="auto"/>
          <w:sz w:val="24"/>
          <w:szCs w:val="24"/>
          <w:highlight w:val="none"/>
          <w:u w:val="none"/>
          <w:lang w:val="en-US" w:eastAsia="zh-CN"/>
        </w:rPr>
        <w:t xml:space="preserve">十四、</w:t>
      </w:r>
      <w:r>
        <w:rPr>
          <w:rFonts w:hint="eastAsia" w:asciiTheme="minorEastAsia" w:hAnsiTheme="minorEastAsia" w:eastAsiaTheme="minorEastAsia" w:cstheme="minorEastAsia"/>
          <w:i w:val="0"/>
          <w:iCs/>
          <w:color w:val="auto"/>
          <w:sz w:val="24"/>
          <w:szCs w:val="24"/>
          <w:highlight w:val="none"/>
          <w:u w:val="none"/>
        </w:rPr>
        <w:t xml:space="preserve">实质性响应内容</w:t>
      </w:r>
      <w:r>
        <w:rPr>
          <w:rFonts w:hint="eastAsia" w:asciiTheme="minorEastAsia" w:hAnsiTheme="minorEastAsia" w:eastAsiaTheme="minorEastAsia" w:cstheme="minorEastAsia"/>
          <w:i w:val="0"/>
          <w:iCs/>
          <w:color w:val="auto"/>
          <w:sz w:val="24"/>
          <w:szCs w:val="24"/>
          <w:highlight w:val="none"/>
          <w:u w:val="none"/>
          <w:lang w:val="en-US" w:eastAsia="zh-CN"/>
        </w:rPr>
        <w:t xml:space="preserve">承诺</w:t>
      </w:r>
      <w:r/>
    </w:p>
    <w:p>
      <w:pPr>
        <w:pStyle w:val="67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auto"/>
          <w:sz w:val="24"/>
          <w:szCs w:val="24"/>
          <w:highlight w:val="none"/>
          <w:u w:val="none"/>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五</w:t>
      </w:r>
      <w:r>
        <w:rPr>
          <w:rFonts w:hint="eastAsia" w:ascii="宋体" w:hAnsi="宋体" w:eastAsia="宋体" w:cs="宋体"/>
          <w:color w:val="000000"/>
          <w:sz w:val="24"/>
        </w:rPr>
        <w:t xml:space="preserve">、</w:t>
      </w:r>
      <w:r>
        <w:rPr>
          <w:rFonts w:hint="eastAsia" w:asciiTheme="minorEastAsia" w:hAnsiTheme="minorEastAsia" w:eastAsiaTheme="minorEastAsia" w:cstheme="minorEastAsia"/>
          <w:i w:val="0"/>
          <w:iCs/>
          <w:color w:val="auto"/>
          <w:sz w:val="24"/>
          <w:szCs w:val="24"/>
          <w:highlight w:val="none"/>
          <w:u w:val="none"/>
          <w:lang w:val="en-US" w:eastAsia="zh-CN"/>
        </w:rPr>
        <w:t xml:space="preserve">组织管理方案方案、企业服务方案等</w:t>
      </w:r>
      <w:r/>
    </w:p>
    <w:p>
      <w:pPr>
        <w:pStyle w:val="67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000000"/>
          <w:sz w:val="24"/>
          <w:szCs w:val="24"/>
          <w:highlight w:val="none"/>
          <w:u w:val="none"/>
        </w:rPr>
        <w:t xml:space="preserve">十</w:t>
      </w:r>
      <w:r>
        <w:rPr>
          <w:rFonts w:hint="eastAsia" w:eastAsia="宋体" w:asciiTheme="minorEastAsia" w:hAnsiTheme="minorEastAsia" w:cstheme="minorEastAsia"/>
          <w:i w:val="0"/>
          <w:iCs/>
          <w:color w:val="000000"/>
          <w:sz w:val="24"/>
          <w:szCs w:val="24"/>
          <w:highlight w:val="none"/>
          <w:u w:val="none"/>
          <w:lang w:val="en-US" w:eastAsia="zh-CN"/>
        </w:rPr>
        <w:t xml:space="preserve">六</w:t>
      </w:r>
      <w:r>
        <w:rPr>
          <w:rFonts w:hint="eastAsia" w:asciiTheme="minorEastAsia" w:hAnsiTheme="minorEastAsia" w:eastAsiaTheme="minorEastAsia" w:cstheme="minorEastAsia"/>
          <w:i w:val="0"/>
          <w:iCs/>
          <w:color w:val="000000"/>
          <w:sz w:val="24"/>
          <w:szCs w:val="24"/>
          <w:highlight w:val="none"/>
          <w:u w:val="none"/>
        </w:rPr>
        <w:t xml:space="preserve">、开标一览表</w:t>
      </w:r>
      <w:r/>
    </w:p>
    <w:p>
      <w:pPr>
        <w:pStyle w:val="671"/>
        <w:ind w:firstLine="480"/>
        <w:jc w:val="both"/>
        <w:keepLines w:val="0"/>
        <w:keepNext w:val="0"/>
        <w:pageBreakBefore w:val="0"/>
        <w:spacing w:beforeAutospacing="0" w:afterAutospacing="0" w:line="500" w:lineRule="exact"/>
        <w:rPr>
          <w:rFonts w:hint="default" w:eastAsia="宋体" w:asciiTheme="minorEastAsia" w:hAnsiTheme="minorEastAsia" w:cstheme="minorEastAsia"/>
          <w:i w:val="0"/>
          <w:iCs/>
          <w:color w:val="000000"/>
          <w:sz w:val="24"/>
          <w:szCs w:val="24"/>
          <w:highlight w:val="none"/>
          <w:u w:val="none"/>
          <w:lang w:val="en-US" w:eastAsia="zh-CN"/>
        </w:rPr>
      </w:pPr>
      <w:r>
        <w:rPr>
          <w:rFonts w:hint="eastAsia" w:eastAsia="宋体" w:asciiTheme="minorEastAsia" w:hAnsiTheme="minorEastAsia" w:cstheme="minorEastAsia"/>
          <w:i w:val="0"/>
          <w:iCs/>
          <w:color w:val="000000"/>
          <w:sz w:val="24"/>
          <w:szCs w:val="24"/>
          <w:highlight w:val="none"/>
          <w:u w:val="none"/>
          <w:lang w:val="en-US" w:eastAsia="zh-CN"/>
        </w:rPr>
        <w:t xml:space="preserve">十七、其他材料</w:t>
      </w:r>
      <w:r/>
    </w:p>
    <w:p>
      <w:pPr>
        <w:pStyle w:val="67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eastAsia="宋体" w:asciiTheme="minorEastAsia" w:hAnsiTheme="minorEastAsia" w:cstheme="minorEastAsia"/>
          <w:i w:val="0"/>
          <w:iCs/>
          <w:color w:val="auto"/>
          <w:sz w:val="24"/>
          <w:szCs w:val="24"/>
          <w:highlight w:val="none"/>
          <w:u w:val="none"/>
          <w:lang w:val="en-US" w:eastAsia="zh-CN"/>
        </w:rPr>
        <w:t xml:space="preserve">八</w:t>
      </w:r>
      <w:r>
        <w:rPr>
          <w:rFonts w:hint="eastAsia" w:asciiTheme="minorEastAsia" w:hAnsiTheme="minorEastAsia" w:eastAsiaTheme="minorEastAsia" w:cstheme="minorEastAsia"/>
          <w:i w:val="0"/>
          <w:iCs/>
          <w:color w:val="auto"/>
          <w:sz w:val="24"/>
          <w:szCs w:val="24"/>
          <w:highlight w:val="none"/>
          <w:u w:val="none"/>
        </w:rPr>
        <w:t xml:space="preserve">、盐城市政府采购事前信用承诺书</w:t>
      </w:r>
      <w:r/>
    </w:p>
    <w:p>
      <w:pPr>
        <w:pStyle w:val="671"/>
        <w:ind w:firstLine="480"/>
        <w:jc w:val="both"/>
        <w:pageBreakBefore w:val="0"/>
        <w:spacing w:beforeAutospacing="0" w:afterAutospacing="0" w:line="500" w:lineRule="exact"/>
        <w:rPr>
          <w:color w:val="auto"/>
          <w:highlight w:val="none"/>
        </w:rPr>
      </w:pPr>
      <w:r>
        <w:rPr>
          <w:color w:val="auto"/>
          <w:highlight w:val="none"/>
        </w:rPr>
      </w:r>
      <w:r/>
    </w:p>
    <w:p>
      <w:pPr>
        <w:pStyle w:val="671"/>
        <w:ind w:firstLine="480"/>
        <w:jc w:val="both"/>
        <w:pageBreakBefore w:val="0"/>
        <w:spacing w:beforeAutospacing="0" w:afterAutospacing="0" w:line="500" w:lineRule="exact"/>
        <w:rPr>
          <w:color w:val="auto"/>
          <w:highlight w:val="none"/>
        </w:rPr>
      </w:pPr>
      <w:r>
        <w:rPr>
          <w:color w:val="auto"/>
          <w:highlight w:val="none"/>
        </w:rPr>
      </w:r>
      <w:r/>
    </w:p>
    <w:p>
      <w:pPr>
        <w:pStyle w:val="671"/>
        <w:ind w:firstLine="480"/>
        <w:jc w:val="both"/>
        <w:pageBreakBefore w:val="0"/>
        <w:spacing w:beforeAutospacing="0" w:afterAutospacing="0" w:line="500" w:lineRule="exact"/>
        <w:rPr>
          <w:color w:val="auto"/>
          <w:highlight w:val="none"/>
        </w:rPr>
      </w:pPr>
      <w:r>
        <w:rPr>
          <w:color w:val="auto"/>
          <w:highlight w:val="none"/>
        </w:rPr>
      </w:r>
      <w:r/>
    </w:p>
    <w:p>
      <w:pPr>
        <w:pStyle w:val="671"/>
        <w:ind w:firstLine="480"/>
        <w:jc w:val="both"/>
        <w:pageBreakBefore w:val="0"/>
        <w:spacing w:beforeAutospacing="0" w:afterAutospacing="0" w:line="500" w:lineRule="exact"/>
        <w:rPr>
          <w:color w:val="auto"/>
          <w:highlight w:val="none"/>
        </w:rPr>
      </w:pPr>
      <w:r>
        <w:rPr>
          <w:color w:val="auto"/>
          <w:highlight w:val="none"/>
        </w:rPr>
      </w:r>
      <w:r/>
    </w:p>
    <w:p>
      <w:pPr>
        <w:pStyle w:val="671"/>
        <w:ind w:firstLine="480"/>
        <w:jc w:val="both"/>
        <w:pageBreakBefore w:val="0"/>
        <w:spacing w:beforeAutospacing="0" w:afterAutospacing="0" w:line="500" w:lineRule="exact"/>
        <w:rPr>
          <w:color w:val="auto"/>
          <w:highlight w:val="none"/>
        </w:rPr>
      </w:pPr>
      <w:r>
        <w:rPr>
          <w:color w:val="auto"/>
          <w:highlight w:val="none"/>
        </w:rPr>
      </w:r>
      <w:r/>
    </w:p>
    <w:p>
      <w:pPr>
        <w:pStyle w:val="671"/>
        <w:jc w:val="both"/>
        <w:pageBreakBefore w:val="0"/>
        <w:spacing w:beforeAutospacing="0" w:afterAutospacing="0" w:line="500" w:lineRule="exact"/>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rPr>
          <w:rFonts w:hint="eastAsia" w:ascii="黑体" w:hAnsi="宋体" w:eastAsia="黑体" w:cs="黑体"/>
          <w:i/>
          <w:color w:val="auto"/>
          <w:sz w:val="32"/>
          <w:szCs w:val="32"/>
          <w:highlight w:val="none"/>
          <w:u w:val="single"/>
          <w:lang w:eastAsia="zh-CN"/>
        </w:rPr>
        <w:t xml:space="preserve">；</w:t>
      </w:r>
      <w:r/>
    </w:p>
    <w:p>
      <w:pPr>
        <w:pStyle w:val="671"/>
        <w:ind w:firstLine="480"/>
        <w:jc w:val="both"/>
        <w:pageBreakBefore w:val="0"/>
        <w:spacing w:beforeAutospacing="0" w:afterAutospacing="0" w:line="500" w:lineRule="exact"/>
        <w:rPr>
          <w:color w:val="auto"/>
          <w:highlight w:val="none"/>
        </w:rPr>
      </w:pPr>
      <w:r>
        <w:rPr>
          <w:color w:val="auto"/>
          <w:highlight w:val="none"/>
        </w:rPr>
        <w:t xml:space="preserve"> </w:t>
      </w:r>
      <w:r/>
    </w:p>
    <w:p>
      <w:pPr>
        <w:pStyle w:val="671"/>
        <w:jc w:val="both"/>
        <w:pageBreakBefore w:val="0"/>
        <w:spacing w:beforeAutospacing="0" w:afterAutospacing="0" w:line="500" w:lineRule="exact"/>
        <w:rPr>
          <w:rFonts w:hint="eastAsia" w:eastAsia="黑体"/>
          <w:color w:val="auto"/>
          <w:highlight w:val="none"/>
          <w:lang w:val="en-US" w:eastAsia="zh-CN"/>
        </w:rPr>
        <w:outlineLvl w:val="0"/>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表；</w:t>
      </w:r>
      <w:r/>
    </w:p>
    <w:p>
      <w:pPr>
        <w:ind w:firstLine="480"/>
        <w:jc w:val="left"/>
        <w:pageBreakBefore w:val="0"/>
        <w:spacing w:line="500" w:lineRule="exac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（至少提供资产负债表、利润表、现金流量表，磋商供应商成立不满一年无需提供）；</w:t>
      </w:r>
      <w:r/>
    </w:p>
    <w:p>
      <w:pPr>
        <w:pStyle w:val="671"/>
        <w:jc w:val="both"/>
        <w:pageBreakBefore w:val="0"/>
        <w:spacing w:beforeAutospacing="0" w:afterAutospacing="0" w:line="500" w:lineRule="exact"/>
        <w:rPr>
          <w:color w:val="auto"/>
          <w:highlight w:val="none"/>
        </w:rPr>
      </w:pPr>
      <w:r>
        <w:rPr>
          <w:color w:val="auto"/>
          <w:highlight w:val="none"/>
        </w:rPr>
        <w:t xml:space="preserve"> </w:t>
      </w:r>
      <w:r/>
    </w:p>
    <w:p>
      <w:pPr>
        <w:pStyle w:val="671"/>
        <w:jc w:val="both"/>
        <w:pageBreakBefore w:val="0"/>
        <w:spacing w:beforeAutospacing="0" w:afterAutospacing="0" w:line="500" w:lineRule="exact"/>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rPr>
          <w:rFonts w:hint="eastAsia" w:ascii="黑体" w:hAnsi="宋体" w:eastAsia="黑体" w:cs="黑体"/>
          <w:i/>
          <w:color w:val="auto"/>
          <w:sz w:val="32"/>
          <w:szCs w:val="32"/>
          <w:highlight w:val="none"/>
          <w:u w:val="single"/>
          <w:lang w:eastAsia="zh-CN"/>
        </w:rPr>
        <w:t xml:space="preserve">；</w:t>
      </w:r>
      <w:r/>
    </w:p>
    <w:p>
      <w:pPr>
        <w:pStyle w:val="671"/>
        <w:ind w:firstLine="492"/>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71"/>
        <w:ind w:firstLine="492"/>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71"/>
        <w:jc w:val="both"/>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71"/>
        <w:jc w:val="both"/>
        <w:pageBreakBefore w:val="0"/>
        <w:spacing w:beforeAutospacing="0" w:afterAutospacing="0" w:line="500" w:lineRule="exact"/>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671"/>
        <w:jc w:val="both"/>
        <w:pageBreakBefore w:val="0"/>
        <w:spacing w:beforeAutospacing="0" w:afterAutospacing="0" w:line="500" w:lineRule="exact"/>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rPr>
          <w:rFonts w:hint="eastAsia" w:ascii="黑体" w:hAnsi="宋体" w:eastAsia="黑体" w:cs="黑体"/>
          <w:i/>
          <w:color w:val="auto"/>
          <w:sz w:val="32"/>
          <w:szCs w:val="32"/>
          <w:highlight w:val="none"/>
          <w:u w:val="single"/>
          <w:lang w:eastAsia="zh-CN"/>
        </w:rPr>
        <w:t xml:space="preserve">；</w:t>
      </w:r>
      <w:r/>
    </w:p>
    <w:p>
      <w:pPr>
        <w:pStyle w:val="671"/>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提供提交磋商响应文件截止时间前一年内至少一个月依法缴纳税收及缴纳社会保障资金的证明材料。磋商供应商依法享受缓缴、免缴税收、社会保障资金的提供证明材料。                                   </w:t>
      </w:r>
      <w:r/>
    </w:p>
    <w:p>
      <w:pPr>
        <w:pStyle w:val="671"/>
        <w:jc w:val="both"/>
        <w:pageBreakBefore w:val="0"/>
        <w:spacing w:beforeAutospacing="0" w:afterAutospacing="0" w:line="500" w:lineRule="exact"/>
        <w:rPr>
          <w:color w:val="auto"/>
          <w:highlight w:val="none"/>
        </w:rPr>
      </w:pPr>
      <w:r>
        <w:rPr>
          <w:color w:val="auto"/>
          <w:highlight w:val="none"/>
        </w:rPr>
        <w:t xml:space="preserve"> </w:t>
      </w:r>
      <w:r/>
    </w:p>
    <w:p>
      <w:pPr>
        <w:pStyle w:val="671"/>
        <w:jc w:val="both"/>
        <w:pageBreakBefore w:val="0"/>
        <w:spacing w:beforeAutospacing="0" w:afterAutospacing="0" w:line="500" w:lineRule="exact"/>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rPr>
          <w:rFonts w:hint="eastAsia" w:ascii="黑体" w:hAnsi="宋体" w:eastAsia="黑体" w:cs="黑体"/>
          <w:i/>
          <w:color w:val="auto"/>
          <w:sz w:val="32"/>
          <w:szCs w:val="32"/>
          <w:highlight w:val="none"/>
          <w:u w:val="single"/>
          <w:lang w:eastAsia="zh-CN"/>
        </w:rPr>
        <w:t xml:space="preserve">；</w:t>
      </w:r>
      <w:r/>
    </w:p>
    <w:p>
      <w:pPr>
        <w:pStyle w:val="671"/>
        <w:jc w:val="center"/>
        <w:pageBreakBefore w:val="0"/>
        <w:spacing w:beforeAutospacing="0" w:afterAutospacing="0" w:line="500" w:lineRule="exact"/>
        <w:rPr>
          <w:color w:val="auto"/>
          <w:highlight w:val="none"/>
        </w:rPr>
      </w:pPr>
      <w:r>
        <w:rPr>
          <w:rFonts w:hint="eastAsia" w:ascii="宋体" w:hAnsi="宋体" w:eastAsia="宋体" w:cs="宋体"/>
          <w:b/>
          <w:color w:val="auto"/>
          <w:sz w:val="44"/>
          <w:szCs w:val="44"/>
          <w:highlight w:val="none"/>
        </w:rPr>
        <w:t xml:space="preserve">声  明</w:t>
      </w:r>
      <w:r/>
    </w:p>
    <w:p>
      <w:pPr>
        <w:pStyle w:val="671"/>
        <w:ind w:firstLine="846"/>
        <w:jc w:val="both"/>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71"/>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71"/>
        <w:jc w:val="both"/>
        <w:spacing w:beforeAutospacing="0" w:afterAutospacing="0"/>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六、</w:t>
      </w:r>
      <w:bookmarkStart w:id="179" w:name="OLE_LINK42"/>
      <w:r/>
      <w:bookmarkStart w:id="180" w:name="OLE_LINK41"/>
      <w:r>
        <w:rPr>
          <w:rFonts w:hint="eastAsia" w:ascii="黑体" w:hAnsi="宋体" w:eastAsia="黑体" w:cs="黑体"/>
          <w:i/>
          <w:color w:val="000000"/>
          <w:sz w:val="32"/>
          <w:szCs w:val="32"/>
          <w:u w:val="single"/>
        </w:rPr>
        <w:t xml:space="preserve">单位负责人为同一人或者存在直接控股、服务关系的不同供应商，不得参加同一合同项下的政府采购活动的声明。</w:t>
      </w:r>
      <w:r/>
    </w:p>
    <w:p>
      <w:pPr>
        <w:pStyle w:val="671"/>
        <w:jc w:val="center"/>
        <w:spacing w:beforeAutospacing="0" w:afterAutospacing="0" w:line="0" w:lineRule="atLeast"/>
      </w:pPr>
      <w:r>
        <w:rPr>
          <w:rFonts w:hint="eastAsia"/>
          <w:b/>
          <w:color w:val="000000"/>
          <w:sz w:val="44"/>
          <w:szCs w:val="44"/>
        </w:rPr>
        <w:t xml:space="preserve">声  明</w:t>
      </w:r>
      <w:r/>
    </w:p>
    <w:p>
      <w:pPr>
        <w:pStyle w:val="671"/>
        <w:ind w:firstLine="855"/>
        <w:jc w:val="both"/>
        <w:spacing w:beforeAutospacing="0" w:afterAutospacing="0" w:line="0" w:lineRule="atLeast"/>
        <w:rPr>
          <w:color w:val="000000"/>
        </w:rPr>
      </w:pPr>
      <w:r>
        <w:rPr>
          <w:rFonts w:hint="eastAsia"/>
          <w:color w:val="000000"/>
        </w:rPr>
        <w:t xml:space="preserve">我单位郑重声明： </w:t>
      </w:r>
      <w:r/>
    </w:p>
    <w:p>
      <w:pPr>
        <w:pStyle w:val="671"/>
        <w:jc w:val="both"/>
        <w:spacing w:beforeAutospacing="0" w:afterAutospacing="0"/>
      </w:pPr>
      <w:r>
        <w:rPr>
          <w:rFonts w:hint="eastAsia"/>
        </w:rPr>
        <w:t xml:space="preserve">我单位不存在：单位负责人为同一人或者存在直接控股、服务关系的不同供应商，同时参加同一合同项下的政府采购活动。</w:t>
      </w:r>
      <w:bookmarkEnd w:id="179"/>
      <w:r/>
      <w:bookmarkEnd w:id="180"/>
      <w:r/>
      <w:r/>
    </w:p>
    <w:p>
      <w:pPr>
        <w:pStyle w:val="671"/>
        <w:jc w:val="both"/>
        <w:pageBreakBefore w:val="0"/>
        <w:spacing w:beforeAutospacing="0" w:afterAutospacing="0" w:line="500" w:lineRule="exact"/>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lang w:val="en-US" w:eastAsia="zh-CN"/>
        </w:rPr>
        <w:t xml:space="preserve">七</w:t>
      </w:r>
      <w:r>
        <w:rPr>
          <w:rFonts w:hint="eastAsia" w:ascii="黑体" w:hAnsi="宋体" w:eastAsia="黑体" w:cs="黑体"/>
          <w:i/>
          <w:color w:val="auto"/>
          <w:sz w:val="32"/>
          <w:szCs w:val="32"/>
          <w:highlight w:val="none"/>
          <w:u w:val="single"/>
        </w:rPr>
        <w:t xml:space="preserve">、特定资格要求的证明文件</w:t>
      </w:r>
      <w:r>
        <w:rPr>
          <w:rFonts w:hint="eastAsia" w:ascii="黑体" w:hAnsi="宋体" w:eastAsia="黑体" w:cs="黑体"/>
          <w:i/>
          <w:color w:val="auto"/>
          <w:sz w:val="32"/>
          <w:szCs w:val="32"/>
          <w:highlight w:val="none"/>
          <w:u w:val="single"/>
          <w:lang w:eastAsia="zh-CN"/>
        </w:rPr>
        <w:t xml:space="preserve">；</w:t>
      </w:r>
      <w:r/>
    </w:p>
    <w:p>
      <w:pPr>
        <w:pStyle w:val="671"/>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71"/>
        <w:jc w:val="center"/>
        <w:pageBreakBefore w:val="0"/>
        <w:spacing w:beforeAutospacing="0" w:afterAutospacing="0" w:line="500" w:lineRule="exact"/>
        <w:rPr>
          <w:color w:val="auto"/>
          <w:highlight w:val="none"/>
        </w:rPr>
        <w:outlineLvl w:val="0"/>
      </w:pPr>
      <w:r/>
      <w:bookmarkStart w:id="181" w:name="_Toc120614284"/>
      <w:r>
        <w:rPr>
          <w:rFonts w:hint="eastAsia" w:ascii="黑体" w:hAnsi="宋体" w:eastAsia="黑体" w:cs="黑体"/>
          <w:i/>
          <w:color w:val="auto"/>
          <w:sz w:val="32"/>
          <w:szCs w:val="32"/>
          <w:highlight w:val="none"/>
          <w:u w:val="single"/>
          <w:lang w:val="en-US" w:eastAsia="zh-CN"/>
        </w:rPr>
        <w:t xml:space="preserve">八</w:t>
      </w:r>
      <w:r>
        <w:rPr>
          <w:rFonts w:hint="eastAsia" w:ascii="黑体" w:hAnsi="宋体" w:eastAsia="黑体" w:cs="黑体"/>
          <w:i/>
          <w:color w:val="auto"/>
          <w:sz w:val="32"/>
          <w:szCs w:val="32"/>
          <w:highlight w:val="none"/>
          <w:u w:val="single"/>
        </w:rPr>
        <w:t xml:space="preserve">、法人授权书</w:t>
      </w:r>
      <w:r/>
    </w:p>
    <w:p>
      <w:pPr>
        <w:ind w:firstLine="480"/>
        <w:pageBreakBefore w:val="0"/>
        <w:spacing w:line="500" w:lineRule="exact"/>
        <w:tabs>
          <w:tab w:val="left" w:pos="360" w:leader="none"/>
        </w:tabs>
        <w:rPr>
          <w:rFonts w:hint="eastAsia" w:hAnsi="宋体" w:eastAsia="宋体" w:cs="宋体"/>
          <w:sz w:val="24"/>
        </w:rPr>
      </w:pPr>
      <w:r/>
      <w:bookmarkStart w:id="182" w:name="_Hlt26955070"/>
      <w:r/>
      <w:bookmarkStart w:id="183" w:name="_Hlt26671380"/>
      <w:r/>
      <w:bookmarkStart w:id="184" w:name="_格式3__银行出具的资信证明"/>
      <w:r>
        <w:rPr>
          <w:rFonts w:hint="eastAsia" w:hAnsi="宋体" w:eastAsia="宋体" w:cs="宋体"/>
          <w:sz w:val="24"/>
        </w:rPr>
        <w:t xml:space="preserve">本授权书声明：</w:t>
      </w:r>
      <w:r>
        <w:rPr>
          <w:rFonts w:hint="eastAsia" w:hAnsi="宋体" w:eastAsia="宋体" w:cs="宋体"/>
          <w:sz w:val="24"/>
          <w:u w:val="single"/>
        </w:rPr>
        <w:t xml:space="preserve">（供应商名称）</w:t>
      </w:r>
      <w:r>
        <w:rPr>
          <w:rFonts w:hint="eastAsia" w:hAnsi="宋体" w:eastAsia="宋体" w:cs="宋体"/>
          <w:sz w:val="24"/>
          <w:u w:val="single"/>
          <w:lang w:val="en-US" w:eastAsia="zh-CN"/>
        </w:rPr>
        <w:t xml:space="preserve">  </w:t>
      </w:r>
      <w:r>
        <w:rPr>
          <w:rFonts w:hint="eastAsia" w:hAnsi="宋体" w:eastAsia="宋体" w:cs="宋体"/>
          <w:sz w:val="24"/>
        </w:rPr>
        <w:t xml:space="preserve">授权__</w:t>
      </w:r>
      <w:r>
        <w:rPr>
          <w:rFonts w:hint="eastAsia" w:hAnsi="宋体" w:eastAsia="宋体" w:cs="宋体"/>
          <w:sz w:val="24"/>
          <w:u w:val="single"/>
        </w:rPr>
        <w:t xml:space="preserve">_（被授权人的姓名）</w:t>
      </w:r>
      <w:r>
        <w:rPr>
          <w:rFonts w:hint="eastAsia" w:hAnsi="宋体" w:eastAsia="宋体" w:cs="宋体"/>
          <w:sz w:val="24"/>
          <w:u w:val="single"/>
          <w:lang w:val="en-US" w:eastAsia="zh-CN"/>
        </w:rPr>
        <w:t xml:space="preserve">  </w:t>
      </w:r>
      <w:r>
        <w:rPr>
          <w:rFonts w:hint="eastAsia" w:hAnsi="宋体" w:eastAsia="宋体" w:cs="宋体"/>
          <w:sz w:val="24"/>
        </w:rPr>
        <w:t xml:space="preserve">为我方就</w:t>
      </w:r>
      <w:r>
        <w:rPr>
          <w:rFonts w:hint="eastAsia" w:hAnsi="宋体" w:eastAsia="宋体" w:cs="宋体"/>
          <w:sz w:val="24"/>
          <w:u w:val="single"/>
        </w:rPr>
        <w:t xml:space="preserve"> </w:t>
      </w:r>
      <w:r>
        <w:rPr>
          <w:rFonts w:hint="eastAsia" w:hAnsi="宋体" w:eastAsia="宋体" w:cs="宋体"/>
          <w:sz w:val="24"/>
          <w:u w:val="single"/>
          <w:lang w:val="en-US" w:eastAsia="zh-CN"/>
        </w:rPr>
        <w:t xml:space="preserve">      </w:t>
      </w:r>
      <w:r>
        <w:rPr>
          <w:rFonts w:hint="eastAsia" w:hAnsi="宋体" w:eastAsia="宋体" w:cs="宋体"/>
          <w:sz w:val="24"/>
          <w:u w:val="single"/>
        </w:rPr>
        <w:t xml:space="preserve">（项目名称、项目编号）</w:t>
      </w:r>
      <w:r>
        <w:rPr>
          <w:rFonts w:hint="eastAsia" w:ascii="宋体" w:hAnsi="宋体" w:eastAsia="宋体" w:cs="宋体"/>
          <w:color w:val="auto"/>
          <w:sz w:val="24"/>
          <w:szCs w:val="24"/>
          <w:highlight w:val="none"/>
          <w:u w:val="single"/>
        </w:rPr>
        <w:t xml:space="preserve">JSZC-320924-XYGS-C2026-0006</w:t>
      </w:r>
      <w:r>
        <w:rPr>
          <w:rFonts w:hint="eastAsia" w:hAnsi="宋体" w:eastAsia="宋体" w:cs="宋体"/>
          <w:sz w:val="24"/>
          <w:u w:val="single"/>
        </w:rPr>
        <w:t xml:space="preserve">  </w:t>
      </w:r>
      <w:r>
        <w:rPr>
          <w:rFonts w:hint="eastAsia" w:hAnsi="宋体" w:eastAsia="宋体" w:cs="宋体"/>
          <w:sz w:val="24"/>
        </w:rPr>
        <w:t xml:space="preserve">项目采购活动的合法代理人，以本单位名义全权处理一切与该项目采购有关的事务。</w:t>
      </w:r>
      <w:r/>
    </w:p>
    <w:p>
      <w:pPr>
        <w:ind w:firstLine="480"/>
        <w:pageBreakBefore w:val="0"/>
        <w:spacing w:line="500" w:lineRule="exact"/>
        <w:tabs>
          <w:tab w:val="left" w:pos="360" w:leader="none"/>
        </w:tabs>
        <w:rPr>
          <w:rFonts w:hint="eastAsia" w:hAnsi="宋体" w:eastAsia="宋体" w:cs="宋体"/>
          <w:sz w:val="24"/>
        </w:rPr>
      </w:pPr>
      <w:r>
        <w:rPr>
          <w:rFonts w:hint="eastAsia" w:hAnsi="宋体" w:eastAsia="宋体" w:cs="宋体"/>
          <w:sz w:val="24"/>
        </w:rPr>
        <w:t xml:space="preserve">本授权书于______年____月____日起生效，特此声明。</w:t>
      </w:r>
      <w:r/>
    </w:p>
    <w:p>
      <w:pPr>
        <w:pageBreakBefore w:val="0"/>
        <w:spacing w:line="500" w:lineRule="exact"/>
        <w:tabs>
          <w:tab w:val="left" w:pos="360" w:leader="none"/>
        </w:tabs>
        <w:rPr>
          <w:rFonts w:hint="eastAsia" w:hAnsi="宋体" w:eastAsia="宋体" w:cs="宋体"/>
          <w:sz w:val="24"/>
          <w:u w:val="single"/>
        </w:rPr>
      </w:pPr>
      <w:r>
        <w:rPr>
          <w:rFonts w:hint="eastAsia" w:hAnsi="宋体" w:eastAsia="宋体" w:cs="宋体"/>
          <w:sz w:val="24"/>
        </w:rPr>
        <w:t xml:space="preserve">          被授权人身份证号码：</w:t>
      </w:r>
      <w:r/>
    </w:p>
    <w:p>
      <w:pPr>
        <w:pageBreakBefore w:val="0"/>
        <w:spacing w:line="500" w:lineRule="exact"/>
        <w:tabs>
          <w:tab w:val="left" w:pos="360" w:leader="none"/>
        </w:tabs>
        <w:rPr>
          <w:rFonts w:hint="eastAsia" w:hAnsi="宋体" w:eastAsia="宋体" w:cs="宋体"/>
          <w:sz w:val="24"/>
          <w:u w:val="single"/>
        </w:rPr>
      </w:pPr>
      <w:r>
        <w:rPr>
          <w:rFonts w:hint="eastAsia" w:hAnsi="宋体" w:eastAsia="宋体" w:cs="宋体"/>
          <w:sz w:val="24"/>
        </w:rPr>
        <w:t xml:space="preserve">          被授权人联系电话：（手机）</w:t>
      </w:r>
      <w:r/>
    </w:p>
    <w:p>
      <w:pPr>
        <w:ind w:firstLine="1200"/>
        <w:pageBreakBefore w:val="0"/>
        <w:spacing w:line="500" w:lineRule="exact"/>
        <w:tabs>
          <w:tab w:val="left" w:pos="360" w:leader="none"/>
        </w:tabs>
        <w:rPr>
          <w:rFonts w:hint="eastAsia" w:hAnsi="宋体" w:eastAsia="宋体" w:cs="宋体"/>
          <w:sz w:val="24"/>
        </w:rPr>
      </w:pPr>
      <w:r>
        <w:rPr>
          <w:rFonts w:hint="eastAsia" w:hAnsi="宋体" w:eastAsia="宋体" w:cs="宋体"/>
          <w:sz w:val="24"/>
        </w:rPr>
        <w:t xml:space="preserve">授权单位名称：</w:t>
      </w:r>
      <w:r>
        <w:rPr>
          <w:rFonts w:hint="eastAsia" w:hAnsi="宋体" w:eastAsia="宋体" w:cs="宋体"/>
          <w:sz w:val="24"/>
          <w:u w:val="single"/>
        </w:rPr>
        <w:t xml:space="preserve">（加盖CA电子公章）</w:t>
      </w:r>
      <w:r/>
    </w:p>
    <w:p>
      <w:pPr>
        <w:ind w:firstLine="480"/>
        <w:pageBreakBefore w:val="0"/>
        <w:spacing w:line="500" w:lineRule="exact"/>
        <w:tabs>
          <w:tab w:val="left" w:pos="360" w:leader="none"/>
        </w:tabs>
        <w:rPr>
          <w:rFonts w:hint="eastAsia" w:hAnsi="宋体" w:eastAsia="宋体" w:cs="宋体"/>
          <w:sz w:val="24"/>
          <w:u w:val="single"/>
        </w:rPr>
      </w:pPr>
      <w:r>
        <w:rPr>
          <w:rFonts w:hint="eastAsia" w:hAnsi="宋体" w:eastAsia="宋体" w:cs="宋体"/>
          <w:sz w:val="24"/>
        </w:rPr>
        <w:t xml:space="preserve">      单位地址：</w:t>
      </w:r>
      <w:r/>
    </w:p>
    <w:p>
      <w:pPr>
        <w:ind w:firstLine="480"/>
        <w:pageBreakBefore w:val="0"/>
        <w:spacing w:line="500" w:lineRule="exact"/>
        <w:tabs>
          <w:tab w:val="left" w:pos="360" w:leader="none"/>
        </w:tabs>
        <w:rPr>
          <w:rFonts w:hint="eastAsia" w:hAnsi="宋体" w:eastAsia="宋体"/>
          <w:color w:val="000000"/>
        </w:rPr>
      </w:pPr>
      <w:r>
        <w:rPr>
          <w:rFonts w:hint="eastAsia" w:hAnsi="宋体" w:eastAsia="宋体" w:cs="宋体"/>
          <w:sz w:val="24"/>
        </w:rPr>
        <w:t xml:space="preserve">      日期：</w:t>
      </w:r>
      <w:r/>
    </w:p>
    <w:p>
      <w:pPr>
        <w:pageBreakBefore w:val="0"/>
        <w:spacing w:line="500" w:lineRule="exact"/>
        <w:rPr>
          <w:rFonts w:hint="eastAsia" w:hAnsi="宋体" w:eastAsia="宋体"/>
          <w:color w:val="000000"/>
        </w:rPr>
      </w:pPr>
      <w:r>
        <w:rPr>
          <w:rFonts w:hint="eastAsia" w:hAnsi="宋体" w:eastAsia="宋体"/>
          <w:color w:val="000000"/>
        </w:rPr>
      </w:r>
      <w:r/>
    </w:p>
    <w:tbl>
      <w:tblPr>
        <w:tblStyle w:val="6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1"/>
        <w:gridCol w:w="4981"/>
      </w:tblGrid>
      <w:tr>
        <w:trPr>
          <w:jc w:val="center"/>
          <w:trHeight w:val="58"/>
        </w:trPr>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pageBreakBefore w:val="0"/>
              <w:spacing w:line="500" w:lineRule="exact"/>
              <w:rPr>
                <w:color w:val="000000"/>
                <w:sz w:val="24"/>
              </w:rPr>
            </w:pPr>
            <w:r>
              <w:rPr>
                <w:rFonts w:hint="eastAsia"/>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pageBreakBefore w:val="0"/>
              <w:spacing w:line="500" w:lineRule="exact"/>
              <w:rPr>
                <w:color w:val="000000"/>
                <w:sz w:val="24"/>
              </w:rPr>
            </w:pPr>
            <w:r>
              <w:rPr>
                <w:rFonts w:hint="eastAsia"/>
                <w:color w:val="000000"/>
                <w:sz w:val="24"/>
              </w:rPr>
              <w:t xml:space="preserve">委托代理人（被授权人）有效身份证明</w:t>
            </w:r>
            <w:r/>
          </w:p>
        </w:tc>
      </w:tr>
      <w:tr>
        <w:trPr>
          <w:jc w:val="center"/>
          <w:trHeight w:val="3904"/>
        </w:trPr>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pageBreakBefore w:val="0"/>
              <w:spacing w:line="500" w:lineRule="exact"/>
              <w:rPr>
                <w:color w:val="000000"/>
                <w:sz w:val="24"/>
              </w:rPr>
            </w:pPr>
            <w:r>
              <w:rPr>
                <w:rFonts w:hint="eastAsia"/>
                <w:color w:val="000000"/>
                <w:sz w:val="24"/>
              </w:rPr>
              <w:t xml:space="preserve">身份证原件（正反）彩色扫描件粘贴处</w:t>
            </w:r>
            <w:r/>
          </w:p>
          <w:p>
            <w:pPr>
              <w:jc w:val="center"/>
              <w:pageBreakBefore w:val="0"/>
              <w:spacing w:line="500" w:lineRule="exact"/>
              <w:rPr>
                <w:color w:val="000000"/>
                <w:sz w:val="24"/>
              </w:rPr>
            </w:pPr>
            <w:r>
              <w:rPr>
                <w:rFonts w:hint="eastAsia"/>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pageBreakBefore w:val="0"/>
              <w:spacing w:line="500" w:lineRule="exact"/>
              <w:rPr>
                <w:color w:val="000000"/>
                <w:sz w:val="24"/>
              </w:rPr>
            </w:pPr>
            <w:r>
              <w:rPr>
                <w:rFonts w:hint="eastAsia"/>
                <w:color w:val="000000"/>
                <w:sz w:val="24"/>
              </w:rPr>
              <w:t xml:space="preserve">身份证原件（正反）彩色扫描件粘贴处</w:t>
            </w:r>
            <w:r/>
          </w:p>
          <w:p>
            <w:pPr>
              <w:jc w:val="center"/>
              <w:pageBreakBefore w:val="0"/>
              <w:spacing w:line="500" w:lineRule="exact"/>
              <w:rPr>
                <w:color w:val="000000"/>
                <w:sz w:val="24"/>
              </w:rPr>
            </w:pPr>
            <w:r>
              <w:rPr>
                <w:rFonts w:hint="eastAsia"/>
                <w:color w:val="000000"/>
                <w:sz w:val="24"/>
              </w:rPr>
              <w:t xml:space="preserve">（可电子粘贴）</w:t>
            </w:r>
            <w:r/>
          </w:p>
        </w:tc>
      </w:tr>
    </w:tbl>
    <w:p>
      <w:pPr>
        <w:pStyle w:val="671"/>
        <w:ind w:firstLine="480"/>
        <w:jc w:val="both"/>
        <w:pageBreakBefore w:val="0"/>
        <w:spacing w:beforeAutospacing="0" w:afterAutospacing="0" w:line="500" w:lineRule="exact"/>
        <w:tabs>
          <w:tab w:val="left" w:pos="360" w:leader="none"/>
        </w:tabs>
        <w:rPr>
          <w:color w:val="auto"/>
          <w:highlight w:val="none"/>
          <w:shd w:val="clear" w:color="auto" w:fill="auto"/>
        </w:rPr>
      </w:pPr>
      <w:r>
        <w:rPr>
          <w:color w:val="auto"/>
          <w:highlight w:val="none"/>
          <w:shd w:val="clear" w:color="auto" w:fill="auto"/>
        </w:rPr>
        <w:t xml:space="preserve"> </w:t>
      </w:r>
      <w:r/>
    </w:p>
    <w:p>
      <w:pPr>
        <w:pStyle w:val="671"/>
        <w:ind w:firstLine="480"/>
        <w:jc w:val="both"/>
        <w:pageBreakBefore w:val="0"/>
        <w:spacing w:beforeAutospacing="0" w:afterAutospacing="0" w:line="500" w:lineRule="exact"/>
        <w:tabs>
          <w:tab w:val="left" w:pos="360" w:leader="none"/>
        </w:tabs>
        <w:rPr>
          <w:color w:val="auto"/>
          <w:highlight w:val="none"/>
          <w:shd w:val="clear" w:color="auto" w:fill="auto"/>
        </w:rPr>
      </w:pPr>
      <w:r>
        <w:rPr>
          <w:color w:val="auto"/>
          <w:highlight w:val="none"/>
          <w:shd w:val="clear" w:color="auto" w:fill="auto"/>
        </w:rPr>
        <w:t xml:space="preserve"> </w:t>
      </w:r>
      <w:r/>
    </w:p>
    <w:p>
      <w:pPr>
        <w:pStyle w:val="671"/>
        <w:ind w:firstLine="420"/>
        <w:jc w:val="both"/>
        <w:pageBreakBefore w:val="0"/>
        <w:spacing w:beforeAutospacing="0" w:afterAutospacing="0" w:line="500" w:lineRule="exact"/>
        <w:rPr>
          <w:color w:val="auto"/>
          <w:highlight w:val="none"/>
          <w:shd w:val="clear" w:color="auto" w:fill="auto"/>
        </w:rPr>
      </w:pPr>
      <w:r>
        <w:rPr>
          <w:color w:val="auto"/>
          <w:highlight w:val="none"/>
          <w:shd w:val="clear" w:color="auto" w:fill="auto"/>
        </w:rPr>
        <w:t xml:space="preserve"> </w:t>
      </w:r>
      <w:r/>
    </w:p>
    <w:p>
      <w:pPr>
        <w:pStyle w:val="671"/>
        <w:ind w:firstLine="420"/>
        <w:jc w:val="both"/>
        <w:pageBreakBefore w:val="0"/>
        <w:spacing w:beforeAutospacing="0" w:afterAutospacing="0" w:line="500" w:lineRule="exact"/>
        <w:rPr>
          <w:color w:val="auto"/>
          <w:highlight w:val="none"/>
          <w:shd w:val="clear" w:color="auto" w:fill="auto"/>
        </w:rPr>
      </w:pPr>
      <w:r>
        <w:rPr>
          <w:color w:val="auto"/>
          <w:highlight w:val="none"/>
          <w:shd w:val="clear" w:color="auto" w:fill="auto"/>
        </w:rPr>
      </w:r>
      <w:r/>
    </w:p>
    <w:p>
      <w:pPr>
        <w:pStyle w:val="671"/>
        <w:ind w:firstLine="420"/>
        <w:jc w:val="both"/>
        <w:pageBreakBefore w:val="0"/>
        <w:spacing w:beforeAutospacing="0" w:afterAutospacing="0" w:line="500" w:lineRule="exact"/>
        <w:rPr>
          <w:color w:val="auto"/>
          <w:highlight w:val="none"/>
          <w:shd w:val="clear" w:color="auto" w:fill="auto"/>
        </w:rPr>
      </w:pPr>
      <w:r>
        <w:rPr>
          <w:color w:val="auto"/>
          <w:highlight w:val="none"/>
          <w:shd w:val="clear" w:color="auto" w:fill="auto"/>
        </w:rPr>
      </w:r>
      <w:r/>
    </w:p>
    <w:p>
      <w:pPr>
        <w:pStyle w:val="671"/>
        <w:ind w:firstLine="420"/>
        <w:jc w:val="both"/>
        <w:pageBreakBefore w:val="0"/>
        <w:spacing w:beforeAutospacing="0" w:afterAutospacing="0" w:line="500" w:lineRule="exact"/>
        <w:rPr>
          <w:color w:val="auto"/>
          <w:highlight w:val="none"/>
          <w:shd w:val="clear" w:color="auto" w:fill="auto"/>
        </w:rPr>
      </w:pPr>
      <w:r>
        <w:rPr>
          <w:color w:val="auto"/>
          <w:highlight w:val="none"/>
          <w:shd w:val="clear" w:color="auto" w:fill="auto"/>
        </w:rPr>
      </w:r>
      <w:r/>
    </w:p>
    <w:p>
      <w:pPr>
        <w:pStyle w:val="671"/>
        <w:jc w:val="both"/>
        <w:pageBreakBefore w:val="0"/>
        <w:spacing w:beforeAutospacing="0" w:afterAutospacing="0" w:line="500" w:lineRule="exact"/>
        <w:rPr>
          <w:color w:val="auto"/>
          <w:highlight w:val="none"/>
        </w:rPr>
      </w:pPr>
      <w:r>
        <w:rPr>
          <w:color w:val="auto"/>
          <w:highlight w:val="none"/>
        </w:rPr>
        <w:t xml:space="preserve"> </w:t>
      </w:r>
      <w:r/>
    </w:p>
    <w:p>
      <w:pPr>
        <w:pStyle w:val="671"/>
        <w:jc w:val="center"/>
        <w:keepLines/>
        <w:keepNext/>
        <w:pageBreakBefore w:val="0"/>
        <w:spacing w:before="260" w:beforeAutospacing="0" w:after="260" w:afterAutospacing="0" w:line="500" w:lineRule="exact"/>
        <w:rPr>
          <w:color w:val="auto"/>
          <w:highlight w:val="none"/>
        </w:rPr>
        <w:outlineLvl w:val="0"/>
      </w:pPr>
      <w:r>
        <w:rPr>
          <w:rFonts w:hint="eastAsia" w:ascii="黑体" w:hAnsi="宋体" w:eastAsia="黑体" w:cs="黑体"/>
          <w:b/>
          <w:i/>
          <w:color w:val="auto"/>
          <w:sz w:val="32"/>
          <w:szCs w:val="32"/>
          <w:highlight w:val="none"/>
          <w:u w:val="single"/>
          <w:lang w:val="en-US" w:eastAsia="zh-CN"/>
        </w:rPr>
        <w:t xml:space="preserve">九</w:t>
      </w:r>
      <w:r>
        <w:rPr>
          <w:rFonts w:hint="eastAsia" w:ascii="黑体" w:hAnsi="宋体" w:eastAsia="黑体" w:cs="黑体"/>
          <w:b/>
          <w:i/>
          <w:color w:val="auto"/>
          <w:sz w:val="32"/>
          <w:szCs w:val="32"/>
          <w:highlight w:val="none"/>
          <w:u w:val="single"/>
        </w:rPr>
        <w:t xml:space="preserve">、磋商响应函</w:t>
      </w:r>
      <w:r/>
    </w:p>
    <w:p>
      <w:pPr>
        <w:pStyle w:val="671"/>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射阳县农业农村局、江苏鑫缘项目管理有限公司</w:t>
      </w:r>
      <w:r/>
    </w:p>
    <w:p>
      <w:pPr>
        <w:pStyle w:val="671"/>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sz w:val="24"/>
          <w:szCs w:val="24"/>
          <w:highlight w:val="none"/>
        </w:rPr>
        <w:t xml:space="preserve">JSZC-320924-XYGS-C2026-0006</w:t>
      </w:r>
      <w:r>
        <w:rPr>
          <w:rFonts w:hint="eastAsia" w:ascii="宋体" w:hAnsi="宋体" w:eastAsia="宋体" w:cs="宋体"/>
          <w:color w:val="auto"/>
          <w:highlight w:val="none"/>
        </w:rPr>
        <w:t xml:space="preserve">号磋商文件，正式授权下述签字人</w:t>
      </w:r>
      <w:r>
        <w:rPr>
          <w:rFonts w:hint="eastAsia" w:ascii="宋体" w:hAnsi="宋体" w:eastAsia="宋体" w:cs="宋体"/>
          <w:color w:val="auto"/>
          <w:highlight w:val="none"/>
          <w:u w:val="single"/>
        </w:rPr>
        <w:t xml:space="preserve">(姓名)</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代表我方</w:t>
      </w:r>
      <w:r>
        <w:rPr>
          <w:rFonts w:hint="eastAsia" w:ascii="宋体" w:hAnsi="宋体" w:eastAsia="宋体" w:cs="宋体"/>
          <w:color w:val="auto"/>
          <w:highlight w:val="none"/>
          <w:u w:val="single"/>
        </w:rPr>
        <w:t xml:space="preserve">（供应商的名称）</w:t>
      </w:r>
      <w:r>
        <w:rPr>
          <w:rFonts w:hint="eastAsia" w:ascii="宋体" w:hAnsi="宋体" w:eastAsia="宋体" w:cs="宋体"/>
          <w:color w:val="auto"/>
          <w:highlight w:val="none"/>
        </w:rPr>
        <w:t xml:space="preserve">，全权处理本次项目磋商的有关事宜。</w:t>
      </w:r>
      <w:r/>
    </w:p>
    <w:p>
      <w:pPr>
        <w:pStyle w:val="671"/>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671"/>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1.按磋商文件规定的各项要求，向买方提供所需服务（包含与服务相关的货物）。</w:t>
      </w:r>
      <w:r/>
    </w:p>
    <w:p>
      <w:pPr>
        <w:pStyle w:val="671"/>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2.我们完全理解贵方不一定将合同授予最低报价的供应商。</w:t>
      </w:r>
      <w:r/>
    </w:p>
    <w:p>
      <w:pPr>
        <w:pStyle w:val="671"/>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3.我们已详细审核全部磋商文件及其有效补充文件，我们知道必须放弃提出含糊不清或误解问题的权利。</w:t>
      </w:r>
      <w:r/>
    </w:p>
    <w:p>
      <w:pPr>
        <w:pStyle w:val="671"/>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671"/>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671"/>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6.一旦我方成交,我方将根据磋商文件的规定，严格履行合同的责任和义务,并保证在磋商文件规定的时间完成项目，交付买方验收、使用。</w:t>
      </w:r>
      <w:r/>
    </w:p>
    <w:p>
      <w:pPr>
        <w:pStyle w:val="671"/>
        <w:ind w:left="425"/>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7.我方与本磋商有关的正式通讯地址为：</w:t>
      </w:r>
      <w:r/>
    </w:p>
    <w:p>
      <w:pPr>
        <w:pStyle w:val="671"/>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地          址：</w:t>
      </w:r>
      <w:r/>
    </w:p>
    <w:p>
      <w:pPr>
        <w:pStyle w:val="671"/>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邮          编：</w:t>
      </w:r>
      <w:r/>
    </w:p>
    <w:p>
      <w:pPr>
        <w:pStyle w:val="671"/>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电          话：</w:t>
      </w:r>
      <w:r/>
    </w:p>
    <w:p>
      <w:pPr>
        <w:pStyle w:val="671"/>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真：</w:t>
      </w:r>
      <w:r/>
    </w:p>
    <w:p>
      <w:pPr>
        <w:pStyle w:val="671"/>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供</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应</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商</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行：</w:t>
      </w:r>
      <w:r/>
    </w:p>
    <w:p>
      <w:pPr>
        <w:pStyle w:val="671"/>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账          号： </w:t>
      </w:r>
      <w:r/>
    </w:p>
    <w:p>
      <w:pPr>
        <w:pStyle w:val="671"/>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日           期：________年____月____日</w:t>
      </w:r>
      <w:r/>
    </w:p>
    <w:p>
      <w:pPr>
        <w:pStyle w:val="671"/>
        <w:ind w:firstLine="240"/>
        <w:jc w:val="center"/>
        <w:pageBreakBefore w:val="0"/>
        <w:spacing w:beforeAutospacing="0" w:afterAutospacing="0" w:line="500" w:lineRule="exact"/>
        <w:rPr>
          <w:color w:val="auto"/>
          <w:highlight w:val="none"/>
        </w:rPr>
      </w:pPr>
      <w:r>
        <w:rPr>
          <w:color w:val="auto"/>
          <w:highlight w:val="none"/>
        </w:rPr>
        <w:t xml:space="preserve"> </w:t>
      </w:r>
      <w:r/>
    </w:p>
    <w:p>
      <w:pPr>
        <w:pStyle w:val="671"/>
        <w:ind w:firstLine="240"/>
        <w:jc w:val="center"/>
        <w:pageBreakBefore w:val="0"/>
        <w:spacing w:beforeAutospacing="0" w:afterAutospacing="0" w:line="500" w:lineRule="exact"/>
        <w:rPr>
          <w:color w:val="auto"/>
          <w:highlight w:val="none"/>
        </w:rPr>
      </w:pPr>
      <w:r>
        <w:rPr>
          <w:color w:val="auto"/>
          <w:highlight w:val="none"/>
        </w:rPr>
      </w:r>
      <w:r/>
    </w:p>
    <w:p>
      <w:pPr>
        <w:pStyle w:val="671"/>
        <w:ind w:firstLine="240"/>
        <w:jc w:val="center"/>
        <w:pageBreakBefore w:val="0"/>
        <w:spacing w:beforeAutospacing="0" w:afterAutospacing="0" w:line="500" w:lineRule="exact"/>
        <w:rPr>
          <w:color w:val="auto"/>
          <w:highlight w:val="none"/>
        </w:rPr>
      </w:pPr>
      <w:r>
        <w:rPr>
          <w:color w:val="auto"/>
          <w:highlight w:val="none"/>
        </w:rPr>
      </w:r>
      <w:r/>
    </w:p>
    <w:p>
      <w:pPr>
        <w:pStyle w:val="671"/>
        <w:ind w:firstLine="240"/>
        <w:jc w:val="center"/>
        <w:pageBreakBefore w:val="0"/>
        <w:spacing w:beforeAutospacing="0" w:afterAutospacing="0" w:line="500" w:lineRule="exact"/>
        <w:rPr>
          <w:color w:val="auto"/>
          <w:highlight w:val="none"/>
        </w:rPr>
      </w:pPr>
      <w:r>
        <w:rPr>
          <w:color w:val="auto"/>
          <w:highlight w:val="none"/>
        </w:rPr>
      </w:r>
      <w:r/>
    </w:p>
    <w:p>
      <w:pPr>
        <w:pStyle w:val="671"/>
        <w:ind w:firstLine="240"/>
        <w:jc w:val="center"/>
        <w:pageBreakBefore w:val="0"/>
        <w:spacing w:beforeAutospacing="0" w:afterAutospacing="0" w:line="500" w:lineRule="exact"/>
        <w:rPr>
          <w:color w:val="auto"/>
          <w:highlight w:val="none"/>
        </w:rPr>
      </w:pPr>
      <w:r>
        <w:rPr>
          <w:color w:val="auto"/>
          <w:highlight w:val="none"/>
        </w:rPr>
      </w:r>
      <w:r/>
    </w:p>
    <w:p>
      <w:pPr>
        <w:pStyle w:val="671"/>
        <w:jc w:val="center"/>
        <w:pageBreakBefore w:val="0"/>
        <w:spacing w:beforeAutospacing="0" w:afterAutospacing="0" w:line="500" w:lineRule="exact"/>
        <w:rPr>
          <w:color w:val="auto"/>
          <w:highlight w:val="none"/>
        </w:rPr>
      </w:pPr>
      <w:r>
        <w:rPr>
          <w:color w:val="auto"/>
          <w:highlight w:val="none"/>
        </w:rPr>
        <w:t xml:space="preserve"> </w:t>
      </w:r>
      <w:r/>
    </w:p>
    <w:p>
      <w:pPr>
        <w:pStyle w:val="671"/>
        <w:jc w:val="center"/>
        <w:pageBreakBefore w:val="0"/>
        <w:spacing w:beforeAutospacing="0" w:afterAutospacing="0" w:line="500" w:lineRule="exact"/>
        <w:rPr>
          <w:i/>
          <w:iCs/>
          <w:color w:val="auto"/>
          <w:highlight w:val="none"/>
          <w:u w:val="single"/>
        </w:rPr>
        <w:outlineLvl w:val="0"/>
      </w:pPr>
      <w:r>
        <w:rPr>
          <w:rFonts w:hint="eastAsia" w:ascii="黑体" w:hAnsi="宋体" w:eastAsia="黑体" w:cs="黑体"/>
          <w:b/>
          <w:i/>
          <w:iCs/>
          <w:color w:val="auto"/>
          <w:sz w:val="32"/>
          <w:szCs w:val="32"/>
          <w:highlight w:val="none"/>
          <w:u w:val="single"/>
          <w:lang w:val="en-US" w:eastAsia="zh-CN"/>
        </w:rPr>
        <w:t xml:space="preserve"> 十、中小</w:t>
      </w:r>
      <w:r>
        <w:rPr>
          <w:rFonts w:hint="eastAsia" w:ascii="黑体" w:hAnsi="宋体" w:eastAsia="黑体" w:cs="黑体"/>
          <w:b/>
          <w:i/>
          <w:iCs/>
          <w:color w:val="auto"/>
          <w:sz w:val="32"/>
          <w:szCs w:val="32"/>
          <w:highlight w:val="none"/>
          <w:u w:val="single"/>
        </w:rPr>
        <w:t xml:space="preserve">企业声明函（服务）</w:t>
      </w:r>
      <w:r/>
    </w:p>
    <w:p>
      <w:pPr>
        <w:pStyle w:val="671"/>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671"/>
        <w:ind w:firstLine="482"/>
        <w:jc w:val="both"/>
        <w:spacing w:beforeAutospacing="0" w:afterAutospacing="0" w:line="560" w:lineRule="exact"/>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cs="宋体"/>
          <w:color w:val="000000"/>
          <w:lang w:val="en-US" w:eastAsia="zh-CN"/>
        </w:rPr>
        <w:t xml:space="preserve">江苏鑫缘项目管理有限公司</w:t>
      </w:r>
      <w:r>
        <w:rPr>
          <w:rFonts w:hint="eastAsia" w:ascii="宋体" w:hAnsi="宋体" w:eastAsia="宋体" w:cs="宋体"/>
          <w:color w:val="000000"/>
        </w:rPr>
        <w:t xml:space="preserve">组织的</w:t>
      </w:r>
      <w:r>
        <w:rPr>
          <w:rFonts w:hint="eastAsia" w:ascii="宋体" w:hAnsi="宋体" w:cs="宋体"/>
          <w:sz w:val="24"/>
          <w:szCs w:val="24"/>
          <w:highlight w:val="none"/>
          <w:u w:val="single"/>
          <w:lang w:val="en-US" w:eastAsia="zh-CN"/>
        </w:rPr>
        <w:t xml:space="preserve">射阳县农业农村局</w:t>
      </w:r>
      <w:r>
        <w:rPr>
          <w:rFonts w:hint="eastAsia" w:ascii="宋体" w:hAnsi="宋体" w:eastAsia="宋体" w:cs="宋体"/>
          <w:color w:val="000000"/>
        </w:rPr>
        <w:t xml:space="preserve">采购编号为</w:t>
      </w:r>
      <w:r>
        <w:rPr>
          <w:rFonts w:hint="eastAsia" w:ascii="宋体" w:hAnsi="宋体" w:eastAsia="宋体" w:cs="宋体"/>
          <w:color w:val="auto"/>
          <w:sz w:val="24"/>
          <w:szCs w:val="24"/>
          <w:highlight w:val="none"/>
        </w:rPr>
        <w:t xml:space="preserve">JSZC-320924-XYGS-C2026-0006</w:t>
      </w:r>
      <w:r>
        <w:rPr>
          <w:rFonts w:hint="eastAsia" w:ascii="宋体" w:hAnsi="宋体" w:eastAsia="宋体" w:cs="宋体"/>
          <w:lang w:val="en-US" w:eastAsia="zh-CN"/>
        </w:rPr>
        <w:t xml:space="preserve">  </w:t>
      </w:r>
      <w:r>
        <w:rPr>
          <w:rFonts w:hint="eastAsia" w:ascii="宋体" w:hAnsi="宋体" w:eastAsia="宋体" w:cs="宋体"/>
          <w:color w:val="000000"/>
        </w:rPr>
        <w:t xml:space="preserve">，</w:t>
      </w:r>
      <w:r>
        <w:rPr>
          <w:rFonts w:hint="eastAsia" w:ascii="宋体" w:hAnsi="宋体" w:eastAsia="宋体" w:cs="宋体"/>
          <w:color w:val="auto"/>
          <w:sz w:val="24"/>
          <w:szCs w:val="24"/>
          <w:highlight w:val="none"/>
          <w:u w:val="single"/>
          <w:lang w:eastAsia="zh-CN"/>
        </w:rPr>
        <w:t xml:space="preserve">射阳县农业农村局农药和肥料包装废弃物回收处置项目</w:t>
      </w:r>
      <w:r>
        <w:rPr>
          <w:rFonts w:hint="eastAsia" w:ascii="宋体" w:hAnsi="宋体" w:eastAsia="宋体" w:cs="宋体"/>
          <w:color w:val="000000"/>
        </w:rPr>
        <w:t xml:space="preserve">的采购活动，服务全部由符合政策的</w:t>
      </w:r>
      <w:r>
        <w:rPr>
          <w:rFonts w:hint="eastAsia" w:ascii="宋体" w:hAnsi="宋体" w:cs="宋体"/>
          <w:color w:val="000000"/>
          <w:lang w:val="en-US" w:eastAsia="zh-CN"/>
        </w:rPr>
        <w:t xml:space="preserve">中小</w:t>
      </w:r>
      <w:r>
        <w:rPr>
          <w:rFonts w:hint="eastAsia" w:ascii="宋体" w:hAnsi="宋体" w:eastAsia="宋体" w:cs="宋体"/>
          <w:color w:val="000000"/>
        </w:rPr>
        <w:t xml:space="preserve">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71"/>
        <w:ind w:firstLine="480"/>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cs="宋体"/>
          <w:color w:val="000000"/>
          <w:u w:val="single"/>
          <w:lang w:val="en-US" w:eastAsia="zh-CN"/>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w:t>
      </w:r>
      <w:r>
        <w:rPr>
          <w:rFonts w:hint="eastAsia" w:ascii="宋体" w:hAnsi="宋体" w:eastAsia="宋体" w:cs="宋体"/>
          <w:color w:val="000000"/>
          <w:u w:val="single"/>
          <w:lang w:val="en-US" w:eastAsia="zh-CN"/>
        </w:rPr>
        <w:t xml:space="preserve">中型企业、</w:t>
      </w:r>
      <w:r>
        <w:rPr>
          <w:rFonts w:hint="eastAsia" w:ascii="宋体" w:hAnsi="宋体" w:eastAsia="宋体" w:cs="宋体"/>
          <w:color w:val="000000"/>
          <w:u w:val="single"/>
        </w:rPr>
        <w:t xml:space="preserve">小型企业、微型企业）；</w:t>
      </w:r>
      <w:r/>
    </w:p>
    <w:p>
      <w:pPr>
        <w:pStyle w:val="671"/>
        <w:ind w:firstLine="363"/>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w:t>
      </w:r>
      <w:r/>
    </w:p>
    <w:p>
      <w:pPr>
        <w:pStyle w:val="671"/>
        <w:ind w:firstLine="363"/>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671"/>
        <w:ind w:firstLine="363"/>
        <w:jc w:val="both"/>
        <w:keepLines w:val="0"/>
        <w:keepNext w:val="0"/>
        <w:pageBreakBefore w:val="0"/>
        <w:spacing w:beforeAutospacing="0" w:afterAutospacing="0" w:line="400" w:lineRule="exact"/>
        <w:widowControl w:val="off"/>
        <w:outlineLvl w:val="9"/>
      </w:pPr>
      <w:r>
        <w:rPr>
          <w:rFonts w:hint="eastAsia" w:ascii="宋体" w:hAnsi="宋体" w:eastAsia="宋体" w:cs="宋体"/>
          <w:color w:val="000000"/>
        </w:rPr>
        <w:t xml:space="preserve">本企业对上述声明内容的真实性负责。如有虚假，将依法承担相应责任</w:t>
      </w:r>
      <w:r/>
    </w:p>
    <w:p>
      <w:pPr>
        <w:pStyle w:val="671"/>
        <w:ind w:right="720"/>
        <w:jc w:val="both"/>
        <w:keepLines w:val="0"/>
        <w:keepNext w:val="0"/>
        <w:pageBreakBefore w:val="0"/>
        <w:spacing w:beforeAutospacing="0" w:afterAutospacing="0" w:line="400" w:lineRule="exact"/>
        <w:widowControl w:val="off"/>
      </w:pPr>
      <w:r>
        <w:t xml:space="preserve"> </w:t>
      </w:r>
      <w:r/>
    </w:p>
    <w:p>
      <w:pPr>
        <w:pStyle w:val="671"/>
        <w:ind w:right="180" w:firstLine="360"/>
        <w:jc w:val="right"/>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企业名称（加盖CA电子公章）：</w:t>
      </w:r>
      <w:r/>
    </w:p>
    <w:p>
      <w:pPr>
        <w:pStyle w:val="671"/>
        <w:ind w:right="480" w:firstLine="7128"/>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日  期：</w:t>
      </w:r>
      <w:r/>
    </w:p>
    <w:p>
      <w:pPr>
        <w:pStyle w:val="671"/>
        <w:ind w:firstLine="240"/>
        <w:jc w:val="both"/>
        <w:keepLines w:val="0"/>
        <w:keepNext w:val="0"/>
        <w:pageBreakBefore w:val="0"/>
        <w:spacing w:beforeAutospacing="0" w:afterAutospacing="0" w:line="400" w:lineRule="exact"/>
        <w:widowControl w:val="off"/>
      </w:pPr>
      <w:r>
        <w:t xml:space="preserve"> </w:t>
      </w:r>
      <w:r/>
    </w:p>
    <w:p>
      <w:pPr>
        <w:pStyle w:val="671"/>
        <w:ind w:firstLine="480"/>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671"/>
        <w:ind w:firstLine="480"/>
        <w:jc w:val="both"/>
        <w:keepLines w:val="0"/>
        <w:keepNext w:val="0"/>
        <w:pageBreakBefore w:val="0"/>
        <w:spacing w:beforeAutospacing="0" w:afterAutospacing="0" w:line="400" w:lineRule="exact"/>
        <w:widowControl w:val="off"/>
        <w:rPr>
          <w:rFonts w:hint="eastAsia" w:eastAsia="宋体"/>
          <w:lang w:eastAsia="zh-CN"/>
        </w:rPr>
      </w:pPr>
      <w:r>
        <w:rPr>
          <w:rFonts w:hint="eastAsia" w:ascii="宋体" w:hAnsi="宋体" w:eastAsia="宋体" w:cs="宋体"/>
          <w:color w:val="000000"/>
        </w:rPr>
        <w:t xml:space="preserve">备注2：供应商如不提供此声明函，价格将不做相应扣除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w:t>
      </w:r>
      <w:r/>
    </w:p>
    <w:p>
      <w:pPr>
        <w:pStyle w:val="671"/>
        <w:ind w:firstLine="960"/>
        <w:jc w:val="both"/>
        <w:spacing w:beforeAutospacing="0" w:afterAutospacing="0" w:line="0" w:lineRule="atLeast"/>
        <w:rPr>
          <w:rFonts w:ascii="宋体" w:hAnsi="宋体"/>
        </w:rPr>
      </w:pPr>
      <w:r>
        <w:rPr>
          <w:rFonts w:ascii="宋体" w:hAnsi="宋体"/>
        </w:rPr>
      </w:r>
      <w:r/>
    </w:p>
    <w:p>
      <w:pPr>
        <w:pStyle w:val="671"/>
        <w:jc w:val="center"/>
        <w:pageBreakBefore w:val="0"/>
        <w:spacing w:beforeAutospacing="0" w:afterAutospacing="0" w:line="500" w:lineRule="exact"/>
        <w:rPr>
          <w:color w:val="auto"/>
          <w:highlight w:val="none"/>
        </w:rPr>
        <w:outlineLvl w:val="0"/>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、残疾人福利性单位声明函</w:t>
      </w:r>
      <w:r/>
    </w:p>
    <w:p>
      <w:pPr>
        <w:pStyle w:val="671"/>
        <w:ind w:firstLine="482"/>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lang w:eastAsia="zh-CN"/>
        </w:rPr>
        <w:t xml:space="preserve">〔2017〕141号</w:t>
      </w:r>
      <w:r>
        <w:rPr>
          <w:rFonts w:hint="eastAsia" w:ascii="宋体" w:hAnsi="宋体" w:eastAsia="宋体" w:cs="宋体"/>
          <w:color w:val="000000"/>
          <w:sz w:val="24"/>
          <w:szCs w:val="24"/>
          <w:highlight w:val="none"/>
        </w:rPr>
        <w:t xml:space="preserve">）的规定，本单位为符合条件的残疾人福利性单位，且本单位参加</w:t>
      </w:r>
      <w:r>
        <w:rPr>
          <w:rFonts w:hint="eastAsia" w:ascii="宋体" w:hAnsi="宋体" w:eastAsia="宋体" w:cs="宋体"/>
          <w:color w:val="000000"/>
          <w:sz w:val="24"/>
          <w:szCs w:val="24"/>
          <w:highlight w:val="none"/>
          <w:u w:val="single"/>
          <w:lang w:eastAsia="zh-CN"/>
        </w:rPr>
        <w:t xml:space="preserve">射阳县农业农村局</w:t>
      </w:r>
      <w:r>
        <w:rPr>
          <w:rFonts w:hint="eastAsia" w:ascii="宋体" w:hAnsi="宋体" w:eastAsia="宋体" w:cs="宋体"/>
          <w:color w:val="000000"/>
          <w:sz w:val="24"/>
          <w:szCs w:val="24"/>
          <w:highlight w:val="none"/>
        </w:rPr>
        <w:t xml:space="preserve">单位的采购文件编号为</w:t>
      </w:r>
      <w:r>
        <w:rPr>
          <w:rFonts w:hint="eastAsia" w:ascii="宋体" w:hAnsi="宋体" w:eastAsia="宋体" w:cs="宋体"/>
          <w:color w:val="auto"/>
          <w:sz w:val="24"/>
          <w:szCs w:val="24"/>
          <w:highlight w:val="none"/>
        </w:rPr>
        <w:t xml:space="preserve">JSZC-320924-XYGS-C2026-0006</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lang w:eastAsia="zh-CN"/>
        </w:rPr>
        <w:t xml:space="preserve">射阳县农业农村局农药和肥料包装废弃物回收处置项目</w:t>
      </w:r>
      <w:r>
        <w:rPr>
          <w:rFonts w:hint="eastAsia" w:ascii="宋体" w:hAnsi="宋体" w:eastAsia="宋体" w:cs="宋体"/>
          <w:color w:val="000000"/>
          <w:sz w:val="24"/>
          <w:szCs w:val="24"/>
          <w:highlight w:val="none"/>
        </w:rPr>
        <w:t xml:space="preserve">项目采购活动由本单位提供服务。</w:t>
      </w:r>
      <w:r/>
    </w:p>
    <w:p>
      <w:pPr>
        <w:pStyle w:val="671"/>
        <w:ind w:firstLine="480"/>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p>
    <w:p>
      <w:pPr>
        <w:pStyle w:val="671"/>
        <w:ind w:firstLine="480"/>
        <w:jc w:val="both"/>
        <w:keepLines w:val="0"/>
        <w:keepNext w:val="0"/>
        <w:pageBreakBefore w:val="0"/>
        <w:spacing w:beforeAutospacing="0" w:afterAutospacing="0" w:line="500" w:lineRule="exact"/>
        <w:widowControl w:val="off"/>
        <w:rPr>
          <w:color w:val="auto"/>
          <w:sz w:val="24"/>
          <w:szCs w:val="24"/>
          <w:highlight w:val="none"/>
        </w:rPr>
      </w:pPr>
      <w:r>
        <w:rPr>
          <w:color w:val="auto"/>
          <w:sz w:val="24"/>
          <w:szCs w:val="24"/>
          <w:highlight w:val="none"/>
        </w:rPr>
        <w:t xml:space="preserve"> </w:t>
      </w:r>
      <w:r/>
    </w:p>
    <w:p>
      <w:pPr>
        <w:pStyle w:val="671"/>
        <w:ind w:firstLine="480"/>
        <w:jc w:val="both"/>
        <w:keepLines w:val="0"/>
        <w:keepNext w:val="0"/>
        <w:pageBreakBefore w:val="0"/>
        <w:spacing w:beforeAutospacing="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w:t>
      </w:r>
      <w:r>
        <w:rPr>
          <w:rFonts w:hint="eastAsia" w:ascii="宋体" w:hAnsi="宋体" w:eastAsia="宋体" w:cs="宋体"/>
          <w:color w:val="auto"/>
          <w:sz w:val="24"/>
          <w:szCs w:val="24"/>
          <w:highlight w:val="none"/>
          <w:lang w:eastAsia="zh-CN"/>
        </w:rPr>
        <w:t xml:space="preserve">（如项目全面面向中小企业，则资格审查不通过）</w:t>
      </w:r>
      <w:r>
        <w:rPr>
          <w:rFonts w:hint="eastAsia" w:ascii="宋体" w:hAnsi="宋体" w:eastAsia="宋体" w:cs="宋体"/>
          <w:color w:val="auto"/>
          <w:sz w:val="24"/>
          <w:szCs w:val="24"/>
          <w:highlight w:val="none"/>
        </w:rPr>
        <w:t xml:space="preserve">。2、成交供应商为残疾人福利单位的，此声明函将随成交结果同时公告，接受社会监督）</w:t>
      </w:r>
      <w:r/>
    </w:p>
    <w:p>
      <w:pPr>
        <w:pStyle w:val="671"/>
        <w:ind w:firstLine="624"/>
        <w:jc w:val="both"/>
        <w:keepLines w:val="0"/>
        <w:keepNext w:val="0"/>
        <w:pageBreakBefore w:val="0"/>
        <w:spacing w:beforeAutospacing="0" w:afterAutospacing="0" w:line="500" w:lineRule="exact"/>
        <w:widowControl w:val="off"/>
        <w:rPr>
          <w:color w:val="auto"/>
          <w:sz w:val="24"/>
          <w:szCs w:val="24"/>
          <w:highlight w:val="none"/>
        </w:rPr>
      </w:pPr>
      <w:r>
        <w:rPr>
          <w:color w:val="auto"/>
          <w:sz w:val="24"/>
          <w:szCs w:val="24"/>
          <w:highlight w:val="none"/>
        </w:rPr>
        <w:t xml:space="preserve"> </w:t>
      </w:r>
      <w:r/>
    </w:p>
    <w:p>
      <w:pPr>
        <w:pStyle w:val="671"/>
        <w:ind w:right="1560" w:firstLine="624"/>
        <w:jc w:val="center"/>
        <w:keepLines w:val="0"/>
        <w:keepNext w:val="0"/>
        <w:pageBreakBefore w:val="0"/>
        <w:spacing w:beforeAutospacing="0" w:afterAutospacing="0" w:line="500" w:lineRule="exact"/>
        <w:widowControl w:val="off"/>
        <w:tabs>
          <w:tab w:val="left" w:pos="4864" w:leader="none"/>
        </w:tabs>
        <w:rPr>
          <w:color w:val="auto"/>
          <w:sz w:val="24"/>
          <w:szCs w:val="24"/>
          <w:highlight w:val="none"/>
        </w:rPr>
      </w:pPr>
      <w:r>
        <w:rPr>
          <w:rFonts w:ascii="仿宋_GB2312" w:eastAsia="仿宋_GB2312" w:cs="仿宋_GB2312"/>
          <w:color w:val="auto"/>
          <w:sz w:val="24"/>
          <w:szCs w:val="24"/>
          <w:highlight w:val="none"/>
        </w:rPr>
        <w:t xml:space="preserve">             </w:t>
      </w:r>
      <w:r>
        <w:rPr>
          <w:rFonts w:hint="eastAsia" w:ascii="宋体" w:hAnsi="宋体" w:eastAsia="宋体" w:cs="宋体"/>
          <w:color w:val="auto"/>
          <w:sz w:val="24"/>
          <w:szCs w:val="24"/>
          <w:highlight w:val="none"/>
        </w:rPr>
        <w:t xml:space="preserve">          供应商全称（加盖CA电子公章）：</w:t>
      </w:r>
      <w:r/>
    </w:p>
    <w:p>
      <w:pPr>
        <w:pStyle w:val="671"/>
        <w:ind w:right="1560" w:firstLine="480"/>
        <w:jc w:val="center"/>
        <w:keepLines w:val="0"/>
        <w:keepNext w:val="0"/>
        <w:pageBreakBefore w:val="0"/>
        <w:spacing w:beforeAutospacing="0" w:afterAutospacing="0" w:line="500" w:lineRule="exact"/>
        <w:widowControl w:val="off"/>
        <w:tabs>
          <w:tab w:val="left" w:pos="4864" w:leader="none"/>
        </w:tabs>
        <w:rPr>
          <w:color w:val="auto"/>
          <w:sz w:val="24"/>
          <w:szCs w:val="24"/>
          <w:highlight w:val="none"/>
        </w:rPr>
      </w:pPr>
      <w:r>
        <w:rPr>
          <w:rFonts w:hint="eastAsia" w:ascii="宋体" w:hAnsi="宋体" w:eastAsia="宋体" w:cs="宋体"/>
          <w:color w:val="auto"/>
          <w:sz w:val="24"/>
          <w:szCs w:val="24"/>
          <w:highlight w:val="none"/>
        </w:rPr>
        <w:t xml:space="preserve">        日  期：</w:t>
      </w:r>
      <w:r/>
    </w:p>
    <w:p>
      <w:pPr>
        <w:pStyle w:val="671"/>
        <w:jc w:val="center"/>
        <w:pageBreakBefore w:val="0"/>
        <w:spacing w:beforeAutospacing="0" w:afterAutospacing="0" w:line="500" w:lineRule="exact"/>
        <w:rPr>
          <w:color w:val="auto"/>
          <w:highlight w:val="none"/>
        </w:rPr>
      </w:pPr>
      <w:r>
        <w:rPr>
          <w:color w:val="auto"/>
          <w:highlight w:val="none"/>
        </w:rPr>
        <w:t xml:space="preserve"> </w:t>
      </w:r>
      <w:r/>
    </w:p>
    <w:p>
      <w:pPr>
        <w:pStyle w:val="671"/>
        <w:jc w:val="center"/>
        <w:pageBreakBefore w:val="0"/>
        <w:spacing w:beforeAutospacing="0" w:afterAutospacing="0" w:line="500" w:lineRule="exact"/>
        <w:rPr>
          <w:color w:val="auto"/>
          <w:highlight w:val="none"/>
        </w:rPr>
      </w:pPr>
      <w:r>
        <w:rPr>
          <w:color w:val="auto"/>
          <w:highlight w:val="none"/>
        </w:rPr>
        <w:t xml:space="preserve"> </w:t>
      </w:r>
      <w:r/>
    </w:p>
    <w:p>
      <w:pPr>
        <w:pStyle w:val="671"/>
        <w:jc w:val="center"/>
        <w:pageBreakBefore w:val="0"/>
        <w:spacing w:beforeAutospacing="0" w:afterAutospacing="0" w:line="500" w:lineRule="exact"/>
        <w:rPr>
          <w:color w:val="auto"/>
          <w:highlight w:val="none"/>
        </w:rPr>
      </w:pPr>
      <w:r>
        <w:rPr>
          <w:color w:val="auto"/>
          <w:highlight w:val="none"/>
        </w:rPr>
        <w:t xml:space="preserve"> </w:t>
      </w:r>
      <w:r/>
    </w:p>
    <w:p>
      <w:pPr>
        <w:pStyle w:val="671"/>
        <w:jc w:val="center"/>
        <w:pageBreakBefore w:val="0"/>
        <w:spacing w:beforeAutospacing="0" w:afterAutospacing="0" w:line="500" w:lineRule="exact"/>
        <w:rPr>
          <w:color w:val="auto"/>
          <w:highlight w:val="none"/>
        </w:rPr>
      </w:pPr>
      <w:r>
        <w:rPr>
          <w:color w:val="auto"/>
          <w:highlight w:val="none"/>
        </w:rPr>
        <w:t xml:space="preserve"> </w:t>
      </w:r>
      <w:r/>
    </w:p>
    <w:p>
      <w:pPr>
        <w:pStyle w:val="671"/>
        <w:jc w:val="center"/>
        <w:pageBreakBefore w:val="0"/>
        <w:spacing w:beforeAutospacing="0" w:afterAutospacing="0" w:line="500" w:lineRule="exact"/>
        <w:rPr>
          <w:color w:val="auto"/>
          <w:highlight w:val="none"/>
        </w:rPr>
      </w:pPr>
      <w:r>
        <w:rPr>
          <w:color w:val="auto"/>
          <w:highlight w:val="none"/>
        </w:rPr>
        <w:t xml:space="preserve"> </w:t>
      </w:r>
      <w:r/>
    </w:p>
    <w:p>
      <w:pPr>
        <w:pStyle w:val="671"/>
        <w:jc w:val="center"/>
        <w:pageBreakBefore w:val="0"/>
        <w:spacing w:beforeAutospacing="0" w:afterAutospacing="0" w:line="500" w:lineRule="exact"/>
        <w:rPr>
          <w:color w:val="auto"/>
          <w:highlight w:val="none"/>
        </w:rPr>
      </w:pPr>
      <w:r>
        <w:rPr>
          <w:color w:val="auto"/>
          <w:highlight w:val="none"/>
        </w:rPr>
        <w:t xml:space="preserve"> </w:t>
      </w:r>
      <w:r/>
    </w:p>
    <w:p>
      <w:pPr>
        <w:pStyle w:val="671"/>
        <w:jc w:val="center"/>
        <w:pageBreakBefore w:val="0"/>
        <w:spacing w:beforeAutospacing="0" w:afterAutospacing="0" w:line="500" w:lineRule="exact"/>
        <w:rPr>
          <w:color w:val="auto"/>
          <w:highlight w:val="none"/>
        </w:rPr>
      </w:pPr>
      <w:r>
        <w:rPr>
          <w:color w:val="auto"/>
          <w:highlight w:val="none"/>
        </w:rPr>
        <w:t xml:space="preserve"> </w:t>
      </w:r>
      <w:r/>
    </w:p>
    <w:p>
      <w:pPr>
        <w:pStyle w:val="671"/>
        <w:jc w:val="center"/>
        <w:pageBreakBefore w:val="0"/>
        <w:spacing w:beforeAutospacing="0" w:afterAutospacing="0" w:line="500" w:lineRule="exact"/>
        <w:rPr>
          <w:color w:val="auto"/>
          <w:highlight w:val="none"/>
        </w:rPr>
      </w:pPr>
      <w:r>
        <w:rPr>
          <w:color w:val="auto"/>
          <w:highlight w:val="none"/>
        </w:rPr>
        <w:t xml:space="preserve"> </w:t>
      </w:r>
      <w:r/>
    </w:p>
    <w:p>
      <w:pPr>
        <w:pStyle w:val="671"/>
        <w:jc w:val="center"/>
        <w:pageBreakBefore w:val="0"/>
        <w:spacing w:beforeAutospacing="0" w:afterAutospacing="0" w:line="500" w:lineRule="exact"/>
        <w:rPr>
          <w:color w:val="auto"/>
          <w:highlight w:val="none"/>
        </w:rPr>
      </w:pPr>
      <w:r>
        <w:rPr>
          <w:color w:val="auto"/>
          <w:highlight w:val="none"/>
        </w:rPr>
        <w:t xml:space="preserve"> </w:t>
      </w:r>
      <w:r/>
    </w:p>
    <w:p>
      <w:pPr>
        <w:pStyle w:val="671"/>
        <w:jc w:val="center"/>
        <w:pageBreakBefore w:val="0"/>
        <w:spacing w:beforeAutospacing="0" w:afterAutospacing="0" w:line="500" w:lineRule="exact"/>
        <w:rPr>
          <w:color w:val="auto"/>
          <w:highlight w:val="none"/>
        </w:rPr>
      </w:pPr>
      <w:r>
        <w:rPr>
          <w:color w:val="auto"/>
          <w:highlight w:val="none"/>
        </w:rPr>
      </w:r>
      <w:r/>
    </w:p>
    <w:p>
      <w:pPr>
        <w:pageBreakBefore w:val="0"/>
        <w:spacing w:line="500" w:lineRule="exact"/>
        <w:rPr>
          <w:rFonts w:hint="eastAsia" w:ascii="黑体" w:hAnsi="黑体" w:eastAsia="黑体" w:cs="黑体"/>
          <w:b/>
          <w:color w:val="ff0000"/>
          <w:sz w:val="32"/>
          <w:szCs w:val="32"/>
          <w:lang w:val="en-US" w:eastAsia="zh-CN"/>
        </w:rPr>
      </w:pPr>
      <w:r>
        <w:rPr>
          <w:rFonts w:hint="eastAsia" w:ascii="黑体" w:hAnsi="黑体" w:eastAsia="黑体" w:cs="黑体"/>
          <w:b/>
          <w:color w:val="ff0000"/>
          <w:sz w:val="32"/>
          <w:szCs w:val="32"/>
          <w:lang w:val="en-US" w:eastAsia="zh-CN"/>
        </w:rPr>
        <w:br w:type="page" w:clear="all"/>
      </w:r>
      <w:r/>
    </w:p>
    <w:p>
      <w:pPr>
        <w:pStyle w:val="671"/>
        <w:jc w:val="center"/>
        <w:pageBreakBefore w:val="0"/>
        <w:spacing w:beforeAutospacing="0" w:afterAutospacing="0" w:line="500" w:lineRule="exact"/>
        <w:rPr>
          <w:rFonts w:hint="eastAsia" w:ascii="黑体" w:hAnsi="宋体" w:eastAsia="黑体" w:cs="黑体"/>
          <w:b/>
          <w:i/>
          <w:iCs/>
          <w:color w:val="000000"/>
          <w:sz w:val="32"/>
          <w:szCs w:val="32"/>
          <w:u w:val="single"/>
        </w:rPr>
        <w:outlineLvl w:val="0"/>
      </w:pPr>
      <w:r>
        <w:rPr>
          <w:rFonts w:hint="eastAsia" w:ascii="黑体" w:hAnsi="宋体" w:eastAsia="黑体" w:cs="黑体"/>
          <w:b/>
          <w:i/>
          <w:iCs/>
          <w:color w:val="000000"/>
          <w:sz w:val="32"/>
          <w:szCs w:val="32"/>
          <w:u w:val="single"/>
          <w:lang w:val="en-US" w:eastAsia="zh-CN"/>
        </w:rPr>
        <w:t xml:space="preserve">十二、</w:t>
      </w:r>
      <w:r>
        <w:rPr>
          <w:rFonts w:hint="eastAsia" w:ascii="黑体" w:hAnsi="宋体" w:eastAsia="黑体" w:cs="黑体"/>
          <w:b/>
          <w:i/>
          <w:iCs/>
          <w:color w:val="000000"/>
          <w:sz w:val="32"/>
          <w:szCs w:val="32"/>
          <w:u w:val="single"/>
        </w:rPr>
        <w:t xml:space="preserve">资格性审查响应对照表</w:t>
      </w:r>
      <w:r/>
    </w:p>
    <w:tbl>
      <w:tblPr>
        <w:tblStyle w:val="646"/>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320"/>
        <w:gridCol w:w="1807"/>
        <w:gridCol w:w="1785"/>
      </w:tblGrid>
      <w:tr>
        <w:trPr>
          <w:trHeight w:val="882"/>
        </w:trPr>
        <w:tc>
          <w:tcPr>
            <w:tcW w:w="64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tcW w:w="532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资格性审查响应内容</w:t>
            </w:r>
            <w:r/>
          </w:p>
        </w:tc>
        <w:tc>
          <w:tcPr>
            <w:tcW w:w="1807"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是否响应</w:t>
            </w:r>
            <w:r/>
          </w:p>
          <w:p>
            <w:pPr>
              <w:jc w:val="center"/>
              <w:keepLines w:val="0"/>
              <w:keepNext w:val="0"/>
              <w:pageBreakBefore w:val="0"/>
              <w:spacing w:line="36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（填是或者否）</w:t>
            </w:r>
            <w:r/>
          </w:p>
        </w:tc>
        <w:tc>
          <w:tcPr>
            <w:tcW w:w="1785"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cstheme="minorEastAsia"/>
                <w:b/>
                <w:sz w:val="24"/>
                <w:szCs w:val="24"/>
                <w:lang w:val="en-US" w:eastAsia="zh-CN"/>
              </w:rPr>
              <w:t xml:space="preserve">响应文件</w:t>
            </w:r>
            <w:r>
              <w:rPr>
                <w:rFonts w:hint="eastAsia" w:asciiTheme="minorEastAsia" w:hAnsiTheme="minorEastAsia" w:eastAsiaTheme="minorEastAsia" w:cstheme="minorEastAsia"/>
                <w:b/>
                <w:sz w:val="24"/>
                <w:szCs w:val="24"/>
              </w:rPr>
              <w:t xml:space="preserve">中的</w:t>
            </w:r>
            <w:r/>
          </w:p>
          <w:p>
            <w:pPr>
              <w:jc w:val="center"/>
              <w:keepLines w:val="0"/>
              <w:keepNext w:val="0"/>
              <w:pageBreakBefore w:val="0"/>
              <w:spacing w:line="36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页码位置</w:t>
            </w:r>
            <w:r/>
          </w:p>
        </w:tc>
      </w:tr>
      <w:tr>
        <w:trPr>
          <w:trHeight w:val="585"/>
        </w:trPr>
        <w:tc>
          <w:tcPr>
            <w:tcW w:w="64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tcW w:w="5320"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b w:val="0"/>
                <w:bCs/>
                <w:iCs/>
                <w:sz w:val="21"/>
                <w:szCs w:val="21"/>
              </w:rPr>
            </w:pPr>
            <w:r>
              <w:rPr>
                <w:rFonts w:hint="eastAsia" w:asciiTheme="minorEastAsia" w:hAnsiTheme="minorEastAsia" w:eastAsiaTheme="minorEastAsia" w:cstheme="minorEastAsia"/>
                <w:b w:val="0"/>
                <w:bCs/>
                <w:i w:val="0"/>
                <w:iCs/>
                <w:color w:val="000000"/>
                <w:sz w:val="21"/>
                <w:szCs w:val="21"/>
                <w:highlight w:val="none"/>
                <w:u w:val="none"/>
              </w:rPr>
              <w:t xml:space="preserve">法人或者其他组织的营业执照等证明文件，自然人的身份证明</w:t>
            </w:r>
            <w:r>
              <w:rPr>
                <w:rFonts w:hint="eastAsia" w:asciiTheme="minorEastAsia" w:hAnsiTheme="minorEastAsia" w:eastAsiaTheme="minorEastAsia" w:cstheme="minorEastAsia"/>
                <w:b w:val="0"/>
                <w:bCs/>
                <w:i w:val="0"/>
                <w:iCs/>
                <w:color w:val="000000"/>
                <w:sz w:val="21"/>
                <w:szCs w:val="21"/>
                <w:highlight w:val="none"/>
                <w:u w:val="none"/>
                <w:lang w:eastAsia="zh-CN"/>
              </w:rPr>
              <w:t xml:space="preserve">；</w:t>
            </w:r>
            <w:r/>
          </w:p>
        </w:tc>
        <w:tc>
          <w:tcPr>
            <w:tcW w:w="1807"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tc>
        <w:tc>
          <w:tcPr>
            <w:tcW w:w="1785"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tc>
      </w:tr>
      <w:tr>
        <w:trPr>
          <w:trHeight w:val="585"/>
        </w:trPr>
        <w:tc>
          <w:tcPr>
            <w:tcW w:w="64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5320"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iCs/>
                <w:sz w:val="21"/>
                <w:szCs w:val="21"/>
              </w:rPr>
            </w:pPr>
            <w:r>
              <w:rPr>
                <w:rFonts w:hint="eastAsia" w:asciiTheme="minorEastAsia" w:hAnsiTheme="minorEastAsia" w:eastAsiaTheme="minorEastAsia" w:cstheme="minorEastAsia"/>
                <w:i w:val="0"/>
                <w:iCs/>
                <w:color w:val="000000"/>
                <w:sz w:val="21"/>
                <w:szCs w:val="21"/>
                <w:highlight w:val="none"/>
                <w:u w:val="none"/>
                <w:lang w:val="en-US" w:eastAsia="zh-CN" w:bidi="ar-SA"/>
              </w:rPr>
              <w:t xml:space="preserve">上一年度的财务状况报表（至少提供资产负债表、利润表、现金流量表，投标人成立不满一年无需提供）</w:t>
            </w:r>
            <w:r>
              <w:rPr>
                <w:rFonts w:hint="eastAsia" w:asciiTheme="minorEastAsia" w:hAnsiTheme="minorEastAsia" w:cstheme="minorEastAsia"/>
                <w:i w:val="0"/>
                <w:iCs/>
                <w:color w:val="000000"/>
                <w:sz w:val="21"/>
                <w:szCs w:val="21"/>
                <w:highlight w:val="none"/>
                <w:u w:val="none"/>
                <w:lang w:val="en-US" w:eastAsia="zh-CN" w:bidi="ar-SA"/>
              </w:rPr>
              <w:t xml:space="preserve">；</w:t>
            </w:r>
            <w:r/>
          </w:p>
        </w:tc>
        <w:tc>
          <w:tcPr>
            <w:tcW w:w="1807"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585"/>
        </w:trPr>
        <w:tc>
          <w:tcPr>
            <w:tcW w:w="64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5320"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iCs/>
                <w:sz w:val="21"/>
                <w:szCs w:val="21"/>
              </w:rPr>
            </w:pPr>
            <w:r>
              <w:rPr>
                <w:rFonts w:hint="eastAsia" w:asciiTheme="minorEastAsia" w:hAnsiTheme="minorEastAsia" w:eastAsiaTheme="minorEastAsia" w:cstheme="minorEastAsia"/>
                <w:i w:val="0"/>
                <w:iCs/>
                <w:color w:val="auto"/>
                <w:sz w:val="21"/>
                <w:szCs w:val="21"/>
                <w:highlight w:val="none"/>
                <w:u w:val="none"/>
              </w:rPr>
              <w:t xml:space="preserve">具备履行合同所必需的设备和专业技术能力的书面声明</w:t>
            </w:r>
            <w:r>
              <w:rPr>
                <w:rFonts w:hint="eastAsia" w:asciiTheme="minorEastAsia" w:hAnsiTheme="minorEastAsia" w:cstheme="minorEastAsia"/>
                <w:i w:val="0"/>
                <w:iCs/>
                <w:color w:val="auto"/>
                <w:sz w:val="21"/>
                <w:szCs w:val="21"/>
                <w:highlight w:val="none"/>
                <w:u w:val="none"/>
                <w:lang w:eastAsia="zh-CN"/>
              </w:rPr>
              <w:t xml:space="preserve">；</w:t>
            </w:r>
            <w:r/>
          </w:p>
        </w:tc>
        <w:tc>
          <w:tcPr>
            <w:tcW w:w="1807"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22"/>
        </w:trPr>
        <w:tc>
          <w:tcPr>
            <w:tcW w:w="64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5320"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iCs/>
                <w:sz w:val="21"/>
                <w:szCs w:val="21"/>
              </w:rPr>
            </w:pPr>
            <w:r>
              <w:rPr>
                <w:rFonts w:hint="eastAsia" w:asciiTheme="minorEastAsia" w:hAnsiTheme="minorEastAsia" w:eastAsiaTheme="minorEastAsia" w:cstheme="minorEastAsia"/>
                <w:i w:val="0"/>
                <w:iCs/>
                <w:color w:val="000000"/>
                <w:sz w:val="21"/>
                <w:szCs w:val="21"/>
                <w:highlight w:val="none"/>
                <w:u w:val="none"/>
              </w:rPr>
              <w:t xml:space="preserve">依法缴纳税收和社会保障资金的相关材料（</w:t>
            </w:r>
            <w:r>
              <w:rPr>
                <w:rFonts w:hint="eastAsia" w:asciiTheme="minorEastAsia" w:hAnsiTheme="minorEastAsia" w:eastAsiaTheme="minorEastAsia" w:cstheme="minorEastAsia"/>
                <w:i w:val="0"/>
                <w:iCs/>
                <w:color w:val="auto"/>
                <w:sz w:val="21"/>
                <w:szCs w:val="21"/>
                <w:highlight w:val="none"/>
                <w:u w:val="none"/>
              </w:rPr>
              <w:t xml:space="preserve">提供提交磋商响应文件截止时间前一年内至少一个月依法缴纳税收及缴纳社会保障资金的证明材料。磋商供应商依法享受缓缴、免缴税收、社会保障资金的提供证明材料。</w:t>
            </w:r>
            <w:r>
              <w:rPr>
                <w:rFonts w:hint="eastAsia" w:asciiTheme="minorEastAsia" w:hAnsiTheme="minorEastAsia" w:eastAsiaTheme="minorEastAsia" w:cstheme="minorEastAsia"/>
                <w:i w:val="0"/>
                <w:iCs/>
                <w:color w:val="000000"/>
                <w:sz w:val="21"/>
                <w:szCs w:val="21"/>
                <w:highlight w:val="none"/>
                <w:u w:val="none"/>
              </w:rPr>
              <w:t xml:space="preserve">）</w:t>
            </w:r>
            <w:r>
              <w:rPr>
                <w:rFonts w:hint="eastAsia" w:asciiTheme="minorEastAsia" w:hAnsiTheme="minorEastAsia" w:eastAsiaTheme="minorEastAsia" w:cstheme="minorEastAsia"/>
                <w:i w:val="0"/>
                <w:iCs/>
                <w:color w:val="000000"/>
                <w:sz w:val="21"/>
                <w:szCs w:val="21"/>
                <w:highlight w:val="none"/>
                <w:u w:val="none"/>
                <w:lang w:eastAsia="zh-CN"/>
              </w:rPr>
              <w:t xml:space="preserve">；</w:t>
            </w:r>
            <w:r/>
          </w:p>
        </w:tc>
        <w:tc>
          <w:tcPr>
            <w:tcW w:w="1807"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22"/>
        </w:trPr>
        <w:tc>
          <w:tcPr>
            <w:tcW w:w="64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5320"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iCs/>
                <w:sz w:val="21"/>
                <w:szCs w:val="21"/>
              </w:rPr>
            </w:pPr>
            <w:r>
              <w:rPr>
                <w:rFonts w:hint="eastAsia" w:asciiTheme="minorEastAsia" w:hAnsiTheme="minorEastAsia" w:eastAsiaTheme="minorEastAsia" w:cstheme="minorEastAsia"/>
                <w:i w:val="0"/>
                <w:iCs/>
                <w:color w:val="000000"/>
                <w:sz w:val="21"/>
                <w:szCs w:val="21"/>
                <w:highlight w:val="none"/>
                <w:u w:val="none"/>
              </w:rPr>
              <w:t xml:space="preserve">参加政府采购活动前 3 年内在经营活动中没有重大违法记录的书面声明</w:t>
            </w:r>
            <w:r>
              <w:rPr>
                <w:rFonts w:hint="eastAsia" w:asciiTheme="minorEastAsia" w:hAnsiTheme="minorEastAsia" w:eastAsiaTheme="minorEastAsia" w:cstheme="minorEastAsia"/>
                <w:i w:val="0"/>
                <w:iCs/>
                <w:color w:val="000000"/>
                <w:sz w:val="21"/>
                <w:szCs w:val="21"/>
                <w:highlight w:val="none"/>
                <w:u w:val="none"/>
                <w:lang w:eastAsia="zh-CN"/>
              </w:rPr>
              <w:t xml:space="preserve">；</w:t>
            </w:r>
            <w:r/>
          </w:p>
        </w:tc>
        <w:tc>
          <w:tcPr>
            <w:tcW w:w="1807"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22"/>
        </w:trPr>
        <w:tc>
          <w:tcPr>
            <w:tcW w:w="64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W w:w="5320"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iCs/>
                <w:sz w:val="21"/>
                <w:szCs w:val="21"/>
              </w:rPr>
            </w:pPr>
            <w:r>
              <w:rPr>
                <w:rFonts w:hint="eastAsia" w:hAnsi="宋体"/>
                <w:iCs/>
                <w:sz w:val="21"/>
                <w:szCs w:val="21"/>
              </w:rPr>
              <w:t xml:space="preserve">单位负责人为同一人或者存在直接控股、服务关系的不同供应商，不得参加同一合同项下的政府采购活动的声明</w:t>
            </w:r>
            <w:r/>
          </w:p>
        </w:tc>
        <w:tc>
          <w:tcPr>
            <w:tcW w:w="1807"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684"/>
        </w:trPr>
        <w:tc>
          <w:tcPr>
            <w:tcW w:w="64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W w:w="5320" w:type="dxa"/>
            <w:vAlign w:val="center"/>
            <w:textDirection w:val="lrTb"/>
            <w:noWrap w:val="false"/>
          </w:tcPr>
          <w:p>
            <w:pPr>
              <w:jc w:val="left"/>
              <w:keepLines w:val="0"/>
              <w:keepNext w:val="0"/>
              <w:pageBreakBefore w:val="0"/>
              <w:spacing w:line="360" w:lineRule="exact"/>
              <w:widowControl w:val="off"/>
              <w:rPr>
                <w:rFonts w:hint="default" w:asciiTheme="minorEastAsia" w:hAnsiTheme="minorEastAsia" w:eastAsiaTheme="minorEastAsia" w:cstheme="minorEastAsia"/>
                <w:iCs/>
                <w:sz w:val="21"/>
                <w:szCs w:val="21"/>
                <w:lang w:val="en-US" w:eastAsia="zh-CN"/>
              </w:rPr>
            </w:pPr>
            <w:r>
              <w:rPr>
                <w:rFonts w:hint="eastAsia" w:hAnsi="宋体" w:eastAsia="宋体"/>
                <w:iCs/>
                <w:sz w:val="21"/>
                <w:szCs w:val="21"/>
                <w:lang w:val="en-US" w:eastAsia="zh-CN"/>
              </w:rPr>
              <w:t xml:space="preserve">中</w:t>
            </w:r>
            <w:r>
              <w:rPr>
                <w:rFonts w:hint="eastAsia" w:hAnsi="宋体"/>
                <w:iCs/>
                <w:sz w:val="21"/>
                <w:szCs w:val="21"/>
              </w:rPr>
              <w:t xml:space="preserve">小企业声明函</w:t>
            </w:r>
            <w:r/>
          </w:p>
        </w:tc>
        <w:tc>
          <w:tcPr>
            <w:tcW w:w="1807"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684"/>
        </w:trPr>
        <w:tc>
          <w:tcPr>
            <w:tcW w:w="646" w:type="dxa"/>
            <w:vAlign w:val="center"/>
            <w:textDirection w:val="lrTb"/>
            <w:noWrap w:val="false"/>
          </w:tcPr>
          <w:p>
            <w:pPr>
              <w:jc w:val="center"/>
              <w:keepLines w:val="0"/>
              <w:keepNext w:val="0"/>
              <w:pageBreakBefore w:val="0"/>
              <w:spacing w:line="360" w:lineRule="exact"/>
              <w:widowControl w:val="off"/>
              <w:rPr>
                <w:rFonts w:hint="eastAsia" w:eastAsia="宋体" w:asciiTheme="minorEastAsia" w:hAnsiTheme="minorEastAsia" w:cstheme="minorEastAsia"/>
                <w:sz w:val="24"/>
                <w:szCs w:val="24"/>
                <w:lang w:val="en-US" w:eastAsia="zh-CN"/>
              </w:rPr>
            </w:pPr>
            <w:r>
              <w:rPr>
                <w:rFonts w:hint="eastAsia" w:eastAsia="宋体" w:asciiTheme="minorEastAsia" w:hAnsiTheme="minorEastAsia" w:cstheme="minorEastAsia"/>
                <w:sz w:val="24"/>
                <w:szCs w:val="24"/>
                <w:lang w:val="en-US" w:eastAsia="zh-CN"/>
              </w:rPr>
              <w:t xml:space="preserve">8</w:t>
            </w:r>
            <w:r/>
          </w:p>
        </w:tc>
        <w:tc>
          <w:tcPr>
            <w:tcW w:w="5320" w:type="dxa"/>
            <w:vAlign w:val="center"/>
            <w:textDirection w:val="lrTb"/>
            <w:noWrap w:val="false"/>
          </w:tcPr>
          <w:p>
            <w:pPr>
              <w:jc w:val="left"/>
              <w:keepLines w:val="0"/>
              <w:keepNext w:val="0"/>
              <w:pageBreakBefore w:val="0"/>
              <w:spacing w:line="360" w:lineRule="exact"/>
              <w:widowControl w:val="off"/>
              <w:rPr>
                <w:rFonts w:hint="eastAsia" w:hAnsi="宋体" w:eastAsia="宋体"/>
                <w:iCs/>
                <w:sz w:val="21"/>
                <w:szCs w:val="21"/>
                <w:lang w:val="en-US" w:eastAsia="zh-CN"/>
              </w:rPr>
            </w:pPr>
            <w:r>
              <w:rPr>
                <w:rFonts w:hint="eastAsia" w:hAnsi="宋体"/>
                <w:iCs/>
                <w:sz w:val="21"/>
                <w:szCs w:val="21"/>
              </w:rPr>
              <w:t xml:space="preserve">投标人必须为未被列入“信用中国”网站(www.creditchina.gov.cn)、中国政府采购网(www.ccgp.gov.cn)、信用江苏（www.jscredit.gov.cn）、渠道信用记录失信被执行人、重大税收违法案件当事人名单、政府采购严重违法失信行为记录名单。</w:t>
            </w:r>
            <w:r/>
          </w:p>
        </w:tc>
        <w:tc>
          <w:tcPr>
            <w:tcW w:w="1807"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684"/>
        </w:trPr>
        <w:tc>
          <w:tcPr>
            <w:tcW w:w="646" w:type="dxa"/>
            <w:vAlign w:val="center"/>
            <w:textDirection w:val="lrTb"/>
            <w:noWrap w:val="false"/>
          </w:tcPr>
          <w:p>
            <w:pPr>
              <w:jc w:val="center"/>
              <w:keepLines w:val="0"/>
              <w:keepNext w:val="0"/>
              <w:pageBreakBefore w:val="0"/>
              <w:spacing w:line="360" w:lineRule="exact"/>
              <w:widowControl w:val="off"/>
              <w:rPr>
                <w:rFonts w:hint="eastAsia" w:eastAsia="宋体" w:asciiTheme="minorEastAsia" w:hAnsiTheme="minorEastAsia" w:cstheme="minorEastAsia"/>
                <w:sz w:val="24"/>
                <w:szCs w:val="24"/>
                <w:lang w:val="en-US" w:eastAsia="zh-CN"/>
              </w:rPr>
            </w:pPr>
            <w:r>
              <w:rPr>
                <w:rFonts w:hint="eastAsia" w:eastAsia="宋体" w:asciiTheme="minorEastAsia" w:hAnsiTheme="minorEastAsia" w:cstheme="minorEastAsia"/>
                <w:sz w:val="24"/>
                <w:szCs w:val="24"/>
                <w:lang w:val="en-US" w:eastAsia="zh-CN"/>
              </w:rPr>
              <w:t xml:space="preserve">9</w:t>
            </w:r>
            <w:r/>
          </w:p>
        </w:tc>
        <w:tc>
          <w:tcPr>
            <w:tcW w:w="5320" w:type="dxa"/>
            <w:vAlign w:val="center"/>
            <w:textDirection w:val="lrTb"/>
            <w:noWrap w:val="false"/>
          </w:tcPr>
          <w:p>
            <w:pPr>
              <w:jc w:val="left"/>
              <w:keepLines w:val="0"/>
              <w:keepNext w:val="0"/>
              <w:pageBreakBefore w:val="0"/>
              <w:spacing w:line="360" w:lineRule="exact"/>
              <w:widowControl w:val="off"/>
              <w:rPr>
                <w:rFonts w:hint="eastAsia" w:hAnsi="宋体"/>
                <w:iCs/>
                <w:sz w:val="21"/>
                <w:szCs w:val="21"/>
              </w:rPr>
            </w:pPr>
            <w:r>
              <w:rPr>
                <w:rFonts w:hint="eastAsia" w:hAnsi="宋体"/>
                <w:iCs/>
                <w:sz w:val="21"/>
                <w:szCs w:val="21"/>
              </w:rPr>
              <w:t xml:space="preserve">磋商文件中要求的其他材料</w:t>
            </w:r>
            <w:r/>
          </w:p>
        </w:tc>
        <w:tc>
          <w:tcPr>
            <w:tcW w:w="1807"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pageBreakBefore w:val="0"/>
        <w:spacing w:line="500" w:lineRule="exact"/>
        <w:rPr>
          <w:rFonts w:hAnsi="宋体" w:eastAsia="宋体" w:cs="宋体"/>
          <w:iCs/>
          <w:sz w:val="24"/>
          <w:szCs w:val="24"/>
          <w:lang w:val="zh-CN"/>
        </w:rPr>
      </w:pPr>
      <w:r>
        <w:rPr>
          <w:rFonts w:hint="eastAsia" w:hAnsi="宋体" w:eastAsia="宋体" w:cs="宋体"/>
          <w:iCs/>
          <w:sz w:val="24"/>
          <w:szCs w:val="24"/>
          <w:lang w:val="zh-CN"/>
        </w:rPr>
        <w:t xml:space="preserve">注：本表须明确填写并按</w:t>
      </w:r>
      <w:r>
        <w:rPr>
          <w:rFonts w:hint="eastAsia" w:hAnsi="宋体" w:eastAsia="宋体" w:cs="宋体"/>
          <w:iCs/>
          <w:sz w:val="24"/>
          <w:szCs w:val="24"/>
          <w:lang w:val="en-US" w:eastAsia="zh-CN"/>
        </w:rPr>
        <w:t xml:space="preserve">磋商</w:t>
      </w:r>
      <w:r>
        <w:rPr>
          <w:rFonts w:hint="eastAsia" w:hAnsi="宋体" w:eastAsia="宋体" w:cs="宋体"/>
          <w:iCs/>
          <w:sz w:val="24"/>
          <w:szCs w:val="24"/>
          <w:lang w:val="zh-CN"/>
        </w:rPr>
        <w:t xml:space="preserve">文件要求提供材料，否则资格性检查无法通过。</w:t>
      </w:r>
      <w:r/>
    </w:p>
    <w:p>
      <w:pPr>
        <w:pStyle w:val="671"/>
        <w:ind w:right="1560" w:firstLine="624"/>
        <w:jc w:val="right"/>
        <w:pageBreakBefore w:val="0"/>
        <w:spacing w:line="500" w:lineRule="exact"/>
        <w:tabs>
          <w:tab w:val="left" w:pos="4864" w:leader="none"/>
        </w:tabs>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供应商</w:t>
      </w:r>
      <w:r>
        <w:rPr>
          <w:rFonts w:hint="eastAsia" w:ascii="宋体" w:hAnsi="宋体" w:eastAsia="宋体" w:cs="宋体"/>
          <w:color w:val="000000"/>
        </w:rPr>
        <w:t xml:space="preserve">全称（加盖CA电子公章）：</w:t>
      </w:r>
      <w:r/>
    </w:p>
    <w:p>
      <w:pPr>
        <w:pStyle w:val="671"/>
        <w:ind w:right="1560" w:firstLine="480"/>
        <w:jc w:val="right"/>
        <w:pageBreakBefore w:val="0"/>
        <w:spacing w:line="500" w:lineRule="exact"/>
        <w:tabs>
          <w:tab w:val="left" w:pos="4864" w:leader="none"/>
        </w:tabs>
        <w:rPr>
          <w:rFonts w:ascii="宋体" w:hAnsi="宋体" w:eastAsia="宋体" w:cs="宋体"/>
          <w:color w:val="000000"/>
          <w:sz w:val="30"/>
          <w:szCs w:val="30"/>
        </w:rPr>
      </w:pPr>
      <w:r>
        <w:rPr>
          <w:rFonts w:hint="eastAsia" w:ascii="宋体" w:hAnsi="宋体" w:eastAsia="宋体" w:cs="宋体"/>
          <w:color w:val="000000"/>
        </w:rPr>
        <w:t xml:space="preserve"> 日  期：</w:t>
      </w:r>
      <w:r/>
    </w:p>
    <w:p>
      <w:pPr>
        <w:pStyle w:val="671"/>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注： 行数不够，可自行添加。</w:t>
      </w:r>
      <w:r/>
    </w:p>
    <w:p>
      <w:pPr>
        <w:pStyle w:val="671"/>
        <w:jc w:val="center"/>
        <w:spacing w:beforeAutospacing="0" w:afterAutospacing="0"/>
        <w:rPr>
          <w:color w:val="auto"/>
          <w:highlight w:val="none"/>
        </w:rPr>
      </w:pPr>
      <w:r>
        <w:rPr>
          <w:color w:val="auto"/>
          <w:highlight w:val="none"/>
        </w:rPr>
      </w:r>
      <w:r/>
    </w:p>
    <w:p>
      <w:pPr>
        <w:pStyle w:val="671"/>
        <w:jc w:val="center"/>
        <w:spacing w:beforeAutospacing="0" w:afterAutospacing="0"/>
        <w:rPr>
          <w:color w:val="auto"/>
          <w:highlight w:val="none"/>
        </w:rPr>
      </w:pPr>
      <w:r>
        <w:rPr>
          <w:color w:val="auto"/>
          <w:highlight w:val="none"/>
        </w:rPr>
        <w:t xml:space="preserve"> </w:t>
      </w:r>
      <w:r/>
    </w:p>
    <w:p>
      <w:pPr>
        <w:pStyle w:val="671"/>
        <w:jc w:val="center"/>
        <w:spacing w:beforeAutospacing="0" w:afterAutospacing="0"/>
        <w:rPr>
          <w:color w:val="auto"/>
          <w:highlight w:val="none"/>
        </w:rPr>
      </w:pPr>
      <w:r>
        <w:rPr>
          <w:color w:val="auto"/>
          <w:highlight w:val="none"/>
        </w:rPr>
        <w:t xml:space="preserve"> </w:t>
      </w:r>
      <w:r/>
    </w:p>
    <w:p>
      <w:pPr>
        <w:pStyle w:val="637"/>
        <w:numPr>
          <w:ilvl w:val="1"/>
          <w:numId w:val="0"/>
        </w:numPr>
        <w:ind w:left="0" w:firstLine="0"/>
        <w:jc w:val="center"/>
        <w:tabs>
          <w:tab w:val="left" w:pos="851" w:leader="none"/>
        </w:tabs>
        <w:outlineLvl w:val="0"/>
      </w:pPr>
      <w:r>
        <w:rPr>
          <w:color w:val="auto"/>
          <w:highlight w:val="none"/>
        </w:rPr>
        <w:t xml:space="preserve"> </w:t>
      </w:r>
      <w:r>
        <w:rPr>
          <w:rFonts w:hint="eastAsia" w:ascii="黑体" w:hAnsi="宋体" w:eastAsia="黑体" w:cs="黑体"/>
          <w:b/>
          <w:i/>
          <w:iCs/>
          <w:color w:val="000000"/>
          <w:sz w:val="32"/>
          <w:szCs w:val="32"/>
          <w:highlight w:val="none"/>
        </w:rPr>
        <w:t xml:space="preserve">十</w:t>
      </w:r>
      <w:r>
        <w:rPr>
          <w:rFonts w:hint="eastAsia" w:ascii="黑体" w:eastAsia="黑体" w:cs="黑体"/>
          <w:b/>
          <w:i/>
          <w:iCs/>
          <w:color w:val="000000"/>
          <w:sz w:val="32"/>
          <w:szCs w:val="32"/>
          <w:highlight w:val="none"/>
          <w:lang w:eastAsia="zh-CN"/>
        </w:rPr>
        <w:t xml:space="preserve">三</w:t>
      </w:r>
      <w:r>
        <w:rPr>
          <w:rFonts w:hint="eastAsia" w:ascii="黑体" w:hAnsi="宋体" w:eastAsia="黑体" w:cs="黑体"/>
          <w:b/>
          <w:i/>
          <w:iCs/>
          <w:color w:val="000000"/>
          <w:sz w:val="32"/>
          <w:szCs w:val="32"/>
          <w:highlight w:val="none"/>
        </w:rPr>
        <w:t xml:space="preserve">、</w:t>
      </w:r>
      <w:r>
        <w:rPr>
          <w:rFonts w:hint="eastAsia" w:ascii="黑体" w:hAnsi="宋体" w:eastAsia="黑体" w:cs="黑体"/>
          <w:b/>
          <w:i/>
          <w:iCs/>
          <w:color w:val="000000"/>
          <w:sz w:val="32"/>
          <w:szCs w:val="32"/>
          <w:u w:val="single"/>
          <w:lang w:val="en-US" w:eastAsia="zh-CN" w:bidi="ar-SA"/>
        </w:rPr>
        <w:t xml:space="preserve">符合性检查响应对照表</w:t>
      </w:r>
      <w:r/>
    </w:p>
    <w:tbl>
      <w:tblPr>
        <w:tblStyle w:val="646"/>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4650"/>
        <w:gridCol w:w="2085"/>
        <w:gridCol w:w="2021"/>
      </w:tblGrid>
      <w:tr>
        <w:trPr>
          <w:trHeight w:val="882"/>
        </w:trPr>
        <w:tc>
          <w:tcPr>
            <w:tcW w:w="802" w:type="dxa"/>
            <w:vAlign w:val="center"/>
            <w:textDirection w:val="lrTb"/>
            <w:noWrap w:val="false"/>
          </w:tcPr>
          <w:p>
            <w:pPr>
              <w:jc w:val="center"/>
              <w:spacing w:line="240" w:lineRule="atLeast"/>
              <w:rPr>
                <w:rFonts w:hAnsi="宋体" w:eastAsia="宋体" w:cs="宋体"/>
                <w:b/>
                <w:sz w:val="24"/>
                <w:szCs w:val="24"/>
              </w:rPr>
            </w:pPr>
            <w:r>
              <w:rPr>
                <w:rFonts w:hint="eastAsia" w:hAnsi="宋体" w:eastAsia="宋体" w:cs="宋体"/>
                <w:b/>
                <w:sz w:val="24"/>
                <w:szCs w:val="24"/>
              </w:rPr>
              <w:t xml:space="preserve">序号</w:t>
            </w:r>
            <w:r/>
          </w:p>
        </w:tc>
        <w:tc>
          <w:tcPr>
            <w:tcW w:w="4650" w:type="dxa"/>
            <w:vAlign w:val="center"/>
            <w:textDirection w:val="lrTb"/>
            <w:noWrap w:val="false"/>
          </w:tcPr>
          <w:p>
            <w:pPr>
              <w:jc w:val="center"/>
              <w:spacing w:line="240" w:lineRule="atLeast"/>
              <w:rPr>
                <w:rFonts w:hAnsi="宋体" w:eastAsia="宋体" w:cs="宋体"/>
                <w:b/>
                <w:sz w:val="24"/>
                <w:szCs w:val="24"/>
              </w:rPr>
            </w:pPr>
            <w:r>
              <w:rPr>
                <w:rFonts w:hint="eastAsia" w:hAnsi="宋体" w:eastAsia="宋体" w:cs="宋体"/>
                <w:b/>
                <w:sz w:val="24"/>
                <w:szCs w:val="24"/>
              </w:rPr>
              <w:t xml:space="preserve">符合性检查响应内容</w:t>
            </w:r>
            <w:r/>
          </w:p>
        </w:tc>
        <w:tc>
          <w:tcPr>
            <w:tcW w:w="2085" w:type="dxa"/>
            <w:vAlign w:val="center"/>
            <w:textDirection w:val="lrTb"/>
            <w:noWrap w:val="false"/>
          </w:tcPr>
          <w:p>
            <w:pPr>
              <w:jc w:val="center"/>
              <w:spacing w:line="240" w:lineRule="atLeast"/>
              <w:rPr>
                <w:rFonts w:hAnsi="宋体" w:eastAsia="宋体" w:cs="宋体"/>
                <w:b/>
                <w:sz w:val="24"/>
                <w:szCs w:val="24"/>
              </w:rPr>
            </w:pPr>
            <w:r>
              <w:rPr>
                <w:rFonts w:hint="eastAsia" w:hAnsi="宋体" w:eastAsia="宋体" w:cs="宋体"/>
                <w:b/>
                <w:sz w:val="24"/>
                <w:szCs w:val="24"/>
              </w:rPr>
              <w:t xml:space="preserve">是否响应</w:t>
            </w:r>
            <w:r/>
          </w:p>
          <w:p>
            <w:pPr>
              <w:jc w:val="center"/>
              <w:spacing w:line="240" w:lineRule="atLeast"/>
              <w:rPr>
                <w:rFonts w:hAnsi="宋体" w:eastAsia="宋体" w:cs="宋体"/>
                <w:b/>
                <w:sz w:val="24"/>
                <w:szCs w:val="24"/>
              </w:rPr>
            </w:pPr>
            <w:r>
              <w:rPr>
                <w:rFonts w:hint="eastAsia" w:hAnsi="宋体" w:eastAsia="宋体" w:cs="宋体"/>
                <w:b/>
                <w:sz w:val="24"/>
                <w:szCs w:val="24"/>
              </w:rPr>
              <w:t xml:space="preserve">（填是或者否）</w:t>
            </w:r>
            <w:r/>
          </w:p>
        </w:tc>
        <w:tc>
          <w:tcPr>
            <w:tcW w:w="2021" w:type="dxa"/>
            <w:vAlign w:val="center"/>
            <w:textDirection w:val="lrTb"/>
            <w:noWrap w:val="false"/>
          </w:tcPr>
          <w:p>
            <w:pPr>
              <w:jc w:val="center"/>
              <w:spacing w:line="240" w:lineRule="atLeast"/>
              <w:rPr>
                <w:rFonts w:hAnsi="宋体" w:eastAsia="宋体" w:cs="宋体"/>
                <w:b/>
                <w:sz w:val="24"/>
                <w:szCs w:val="24"/>
              </w:rPr>
            </w:pPr>
            <w:r>
              <w:rPr>
                <w:rFonts w:hint="eastAsia" w:hAnsi="宋体" w:cs="宋体"/>
                <w:b/>
                <w:sz w:val="24"/>
                <w:szCs w:val="24"/>
                <w:lang w:val="en-US" w:eastAsia="zh-CN"/>
              </w:rPr>
              <w:t xml:space="preserve">响应文件</w:t>
            </w:r>
            <w:r>
              <w:rPr>
                <w:rFonts w:hint="eastAsia" w:hAnsi="宋体" w:eastAsia="宋体" w:cs="宋体"/>
                <w:b/>
                <w:sz w:val="24"/>
                <w:szCs w:val="24"/>
              </w:rPr>
              <w:t xml:space="preserve">中的</w:t>
            </w:r>
            <w:r/>
          </w:p>
          <w:p>
            <w:pPr>
              <w:jc w:val="center"/>
              <w:spacing w:line="240" w:lineRule="atLeast"/>
              <w:rPr>
                <w:rFonts w:hAnsi="宋体" w:eastAsia="宋体" w:cs="宋体"/>
                <w:b/>
                <w:sz w:val="24"/>
                <w:szCs w:val="24"/>
              </w:rPr>
            </w:pPr>
            <w:r>
              <w:rPr>
                <w:rFonts w:hint="eastAsia" w:hAnsi="宋体" w:eastAsia="宋体" w:cs="宋体"/>
                <w:b/>
                <w:sz w:val="24"/>
                <w:szCs w:val="24"/>
              </w:rPr>
              <w:t xml:space="preserve">页码位置</w:t>
            </w:r>
            <w:r/>
          </w:p>
        </w:tc>
      </w:tr>
      <w:tr>
        <w:trPr>
          <w:trHeight w:val="592"/>
        </w:trPr>
        <w:tc>
          <w:tcPr>
            <w:tcW w:w="802" w:type="dxa"/>
            <w:vAlign w:val="center"/>
            <w:textDirection w:val="lrTb"/>
            <w:noWrap w:val="false"/>
          </w:tcPr>
          <w:p>
            <w:pPr>
              <w:jc w:val="center"/>
              <w:spacing w:line="240" w:lineRule="auto"/>
              <w:rPr>
                <w:rFonts w:hint="eastAsia" w:hAnsi="宋体" w:eastAsia="宋体" w:cs="宋体"/>
                <w:iCs/>
                <w:sz w:val="24"/>
                <w:szCs w:val="24"/>
                <w:lang w:val="en-US" w:eastAsia="zh-CN"/>
              </w:rPr>
            </w:pPr>
            <w:r>
              <w:rPr>
                <w:rFonts w:hint="eastAsia" w:hAnsi="宋体" w:eastAsia="宋体" w:cs="宋体"/>
                <w:iCs/>
                <w:sz w:val="24"/>
                <w:szCs w:val="24"/>
                <w:lang w:val="en-US" w:eastAsia="zh-CN"/>
              </w:rPr>
              <w:t xml:space="preserve">1</w:t>
            </w:r>
            <w:r/>
          </w:p>
        </w:tc>
        <w:tc>
          <w:tcPr>
            <w:tcW w:w="4650" w:type="dxa"/>
            <w:vAlign w:val="center"/>
            <w:textDirection w:val="lrTb"/>
            <w:noWrap w:val="false"/>
          </w:tcPr>
          <w:p>
            <w:pPr>
              <w:jc w:val="left"/>
              <w:spacing w:line="240" w:lineRule="auto"/>
              <w:rPr>
                <w:rFonts w:hint="eastAsia" w:hAnsi="宋体" w:eastAsia="宋体" w:cs="宋体"/>
                <w:iCs/>
                <w:sz w:val="24"/>
                <w:szCs w:val="24"/>
              </w:rPr>
            </w:pPr>
            <w:r>
              <w:rPr>
                <w:rFonts w:hint="eastAsia" w:hAnsi="宋体" w:eastAsia="宋体" w:cs="宋体"/>
                <w:iCs/>
                <w:sz w:val="24"/>
                <w:szCs w:val="24"/>
              </w:rPr>
              <w:t xml:space="preserve">最高限价 </w:t>
            </w:r>
            <w:r/>
          </w:p>
        </w:tc>
        <w:tc>
          <w:tcPr>
            <w:tcW w:w="2085" w:type="dxa"/>
            <w:vAlign w:val="center"/>
            <w:textDirection w:val="lrTb"/>
            <w:noWrap w:val="false"/>
          </w:tcPr>
          <w:p>
            <w:pPr>
              <w:rPr>
                <w:rFonts w:hAnsi="宋体" w:eastAsia="宋体" w:cs="宋体"/>
                <w:b/>
                <w:sz w:val="24"/>
                <w:szCs w:val="24"/>
              </w:rPr>
            </w:pPr>
            <w:r>
              <w:rPr>
                <w:rFonts w:hAnsi="宋体" w:eastAsia="宋体" w:cs="宋体"/>
                <w:b/>
                <w:sz w:val="24"/>
                <w:szCs w:val="24"/>
              </w:rPr>
            </w:r>
            <w:r/>
          </w:p>
        </w:tc>
        <w:tc>
          <w:tcPr>
            <w:tcW w:w="2021" w:type="dxa"/>
            <w:vAlign w:val="center"/>
            <w:textDirection w:val="lrTb"/>
            <w:noWrap w:val="false"/>
          </w:tcPr>
          <w:p>
            <w:pPr>
              <w:rPr>
                <w:rFonts w:hAnsi="宋体" w:eastAsia="宋体" w:cs="宋体"/>
                <w:b/>
                <w:sz w:val="24"/>
                <w:szCs w:val="24"/>
              </w:rPr>
            </w:pPr>
            <w:r>
              <w:rPr>
                <w:rFonts w:hAnsi="宋体" w:eastAsia="宋体" w:cs="宋体"/>
                <w:b/>
                <w:sz w:val="24"/>
                <w:szCs w:val="24"/>
              </w:rPr>
            </w:r>
            <w:r/>
          </w:p>
        </w:tc>
      </w:tr>
      <w:tr>
        <w:trPr>
          <w:trHeight w:val="592"/>
        </w:trPr>
        <w:tc>
          <w:tcPr>
            <w:tcW w:w="802" w:type="dxa"/>
            <w:vAlign w:val="center"/>
            <w:textDirection w:val="lrTb"/>
            <w:noWrap w:val="false"/>
          </w:tcPr>
          <w:p>
            <w:pPr>
              <w:jc w:val="center"/>
              <w:spacing w:line="240" w:lineRule="auto"/>
              <w:rPr>
                <w:rFonts w:hint="eastAsia" w:hAnsi="宋体" w:eastAsia="宋体" w:cs="宋体"/>
                <w:iCs/>
                <w:sz w:val="24"/>
                <w:szCs w:val="24"/>
                <w:lang w:val="en-US" w:eastAsia="zh-CN"/>
              </w:rPr>
            </w:pPr>
            <w:r>
              <w:rPr>
                <w:rFonts w:hint="eastAsia" w:hAnsi="宋体" w:eastAsia="宋体" w:cs="宋体"/>
                <w:iCs/>
                <w:sz w:val="24"/>
                <w:szCs w:val="24"/>
                <w:lang w:val="en-US" w:eastAsia="zh-CN"/>
              </w:rPr>
              <w:t xml:space="preserve">2</w:t>
            </w:r>
            <w:r/>
          </w:p>
        </w:tc>
        <w:tc>
          <w:tcPr>
            <w:tcW w:w="4650" w:type="dxa"/>
            <w:vAlign w:val="center"/>
            <w:textDirection w:val="lrTb"/>
            <w:noWrap w:val="false"/>
          </w:tcPr>
          <w:p>
            <w:pPr>
              <w:jc w:val="left"/>
              <w:spacing w:line="240" w:lineRule="auto"/>
              <w:rPr>
                <w:rFonts w:hAnsi="宋体" w:eastAsia="宋体" w:cs="宋体"/>
                <w:iCs/>
                <w:sz w:val="24"/>
                <w:szCs w:val="24"/>
              </w:rPr>
            </w:pPr>
            <w:r>
              <w:rPr>
                <w:rFonts w:hint="eastAsia" w:hAnsi="宋体" w:eastAsia="宋体" w:cs="宋体"/>
                <w:iCs/>
                <w:sz w:val="24"/>
                <w:szCs w:val="24"/>
              </w:rPr>
              <w:t xml:space="preserve">合同履行期限</w:t>
            </w:r>
            <w:r/>
          </w:p>
        </w:tc>
        <w:tc>
          <w:tcPr>
            <w:tcW w:w="2085" w:type="dxa"/>
            <w:vAlign w:val="center"/>
            <w:textDirection w:val="lrTb"/>
            <w:noWrap w:val="false"/>
          </w:tcPr>
          <w:p>
            <w:pPr>
              <w:rPr>
                <w:rFonts w:hAnsi="宋体" w:eastAsia="宋体" w:cs="宋体"/>
                <w:b/>
                <w:sz w:val="24"/>
                <w:szCs w:val="24"/>
              </w:rPr>
            </w:pPr>
            <w:r>
              <w:rPr>
                <w:rFonts w:hAnsi="宋体" w:eastAsia="宋体" w:cs="宋体"/>
                <w:b/>
                <w:sz w:val="24"/>
                <w:szCs w:val="24"/>
              </w:rPr>
            </w:r>
            <w:r/>
          </w:p>
        </w:tc>
        <w:tc>
          <w:tcPr>
            <w:tcW w:w="2021" w:type="dxa"/>
            <w:vAlign w:val="center"/>
            <w:textDirection w:val="lrTb"/>
            <w:noWrap w:val="false"/>
          </w:tcPr>
          <w:p>
            <w:pPr>
              <w:rPr>
                <w:rFonts w:hAnsi="宋体" w:eastAsia="宋体" w:cs="宋体"/>
                <w:b/>
                <w:sz w:val="24"/>
                <w:szCs w:val="24"/>
              </w:rPr>
            </w:pPr>
            <w:r>
              <w:rPr>
                <w:rFonts w:hAnsi="宋体" w:eastAsia="宋体" w:cs="宋体"/>
                <w:b/>
                <w:sz w:val="24"/>
                <w:szCs w:val="24"/>
              </w:rPr>
            </w:r>
            <w:r/>
          </w:p>
        </w:tc>
      </w:tr>
      <w:tr>
        <w:trPr>
          <w:trHeight w:val="592"/>
        </w:trPr>
        <w:tc>
          <w:tcPr>
            <w:tcW w:w="802" w:type="dxa"/>
            <w:vAlign w:val="center"/>
            <w:textDirection w:val="lrTb"/>
            <w:noWrap w:val="false"/>
          </w:tcPr>
          <w:p>
            <w:pPr>
              <w:jc w:val="center"/>
              <w:spacing w:line="240" w:lineRule="auto"/>
              <w:rPr>
                <w:rFonts w:hint="eastAsia" w:hAnsi="宋体" w:eastAsia="宋体" w:cs="宋体"/>
                <w:iCs/>
                <w:sz w:val="24"/>
                <w:szCs w:val="24"/>
                <w:lang w:val="en-US" w:eastAsia="zh-CN"/>
              </w:rPr>
            </w:pPr>
            <w:r>
              <w:rPr>
                <w:rFonts w:hint="eastAsia" w:hAnsi="宋体" w:eastAsia="宋体" w:cs="宋体"/>
                <w:iCs/>
                <w:sz w:val="24"/>
                <w:szCs w:val="24"/>
                <w:lang w:val="en-US" w:eastAsia="zh-CN"/>
              </w:rPr>
              <w:t xml:space="preserve">3</w:t>
            </w:r>
            <w:r/>
          </w:p>
        </w:tc>
        <w:tc>
          <w:tcPr>
            <w:tcW w:w="4650" w:type="dxa"/>
            <w:vAlign w:val="center"/>
            <w:textDirection w:val="lrTb"/>
            <w:noWrap w:val="false"/>
          </w:tcPr>
          <w:p>
            <w:pPr>
              <w:rPr>
                <w:rFonts w:hAnsi="宋体" w:eastAsia="宋体" w:cs="宋体"/>
                <w:iCs/>
                <w:sz w:val="24"/>
                <w:szCs w:val="24"/>
              </w:rPr>
            </w:pPr>
            <w:r>
              <w:rPr>
                <w:rFonts w:hint="eastAsia" w:hAnsi="宋体"/>
                <w:b/>
                <w:bCs/>
                <w:iCs/>
                <w:sz w:val="24"/>
                <w:szCs w:val="22"/>
              </w:rPr>
              <w:t xml:space="preserve">供应商须注册有江苏省生态环境厅统一门户账号（江苏省固体废物管理信息系统，即环保脸谱）</w:t>
            </w:r>
            <w:r/>
          </w:p>
        </w:tc>
        <w:tc>
          <w:tcPr>
            <w:tcW w:w="2085" w:type="dxa"/>
            <w:vAlign w:val="center"/>
            <w:textDirection w:val="lrTb"/>
            <w:noWrap w:val="false"/>
          </w:tcPr>
          <w:p>
            <w:pPr>
              <w:rPr>
                <w:rFonts w:hAnsi="宋体" w:eastAsia="宋体" w:cs="宋体"/>
                <w:sz w:val="24"/>
                <w:szCs w:val="24"/>
              </w:rPr>
            </w:pPr>
            <w:r>
              <w:rPr>
                <w:rFonts w:hAnsi="宋体" w:eastAsia="宋体" w:cs="宋体"/>
                <w:sz w:val="24"/>
                <w:szCs w:val="24"/>
              </w:rPr>
            </w:r>
            <w:r/>
          </w:p>
        </w:tc>
        <w:tc>
          <w:tcPr>
            <w:tcW w:w="2021" w:type="dxa"/>
            <w:vAlign w:val="center"/>
            <w:textDirection w:val="lrTb"/>
            <w:noWrap w:val="false"/>
          </w:tcPr>
          <w:p>
            <w:pPr>
              <w:rPr>
                <w:rFonts w:hAnsi="宋体" w:eastAsia="宋体" w:cs="宋体"/>
                <w:sz w:val="24"/>
                <w:szCs w:val="24"/>
              </w:rPr>
            </w:pPr>
            <w:r>
              <w:rPr>
                <w:rFonts w:hAnsi="宋体" w:eastAsia="宋体" w:cs="宋体"/>
                <w:sz w:val="24"/>
                <w:szCs w:val="24"/>
              </w:rPr>
            </w:r>
            <w:r/>
          </w:p>
        </w:tc>
      </w:tr>
      <w:tr>
        <w:trPr>
          <w:trHeight w:val="592"/>
        </w:trPr>
        <w:tc>
          <w:tcPr>
            <w:tcW w:w="802" w:type="dxa"/>
            <w:vAlign w:val="center"/>
            <w:textDirection w:val="lrTb"/>
            <w:noWrap w:val="false"/>
          </w:tcPr>
          <w:p>
            <w:pPr>
              <w:jc w:val="center"/>
              <w:spacing w:line="240" w:lineRule="auto"/>
              <w:rPr>
                <w:rFonts w:hint="eastAsia" w:hAnsi="宋体" w:eastAsia="宋体" w:cs="宋体"/>
                <w:iCs/>
                <w:sz w:val="24"/>
                <w:szCs w:val="24"/>
                <w:lang w:val="en-US" w:eastAsia="zh-CN"/>
              </w:rPr>
            </w:pPr>
            <w:r>
              <w:rPr>
                <w:rFonts w:hint="eastAsia" w:hAnsi="宋体" w:eastAsia="宋体" w:cs="宋体"/>
                <w:iCs/>
                <w:sz w:val="24"/>
                <w:szCs w:val="24"/>
                <w:lang w:val="en-US" w:eastAsia="zh-CN"/>
              </w:rPr>
              <w:t xml:space="preserve">4</w:t>
            </w:r>
            <w:r/>
          </w:p>
        </w:tc>
        <w:tc>
          <w:tcPr>
            <w:tcW w:w="4650" w:type="dxa"/>
            <w:vAlign w:val="center"/>
            <w:textDirection w:val="lrTb"/>
            <w:noWrap w:val="false"/>
          </w:tcPr>
          <w:p>
            <w:pPr>
              <w:rPr>
                <w:rFonts w:hAnsi="宋体" w:eastAsia="宋体" w:cs="宋体"/>
                <w:iCs/>
                <w:sz w:val="24"/>
                <w:szCs w:val="24"/>
              </w:rPr>
            </w:pPr>
            <w:r>
              <w:rPr>
                <w:rFonts w:hint="eastAsia" w:hAnsi="宋体" w:eastAsia="宋体" w:cs="宋体"/>
                <w:iCs/>
                <w:sz w:val="24"/>
                <w:szCs w:val="24"/>
              </w:rPr>
              <w:t xml:space="preserve">实质性响应内容</w:t>
            </w:r>
            <w:r>
              <w:rPr>
                <w:rFonts w:hint="eastAsia" w:hAnsi="宋体" w:eastAsia="宋体" w:cs="宋体"/>
                <w:iCs/>
                <w:sz w:val="24"/>
                <w:szCs w:val="24"/>
                <w:lang w:val="en-US" w:eastAsia="zh-CN"/>
              </w:rPr>
              <w:t xml:space="preserve">承诺</w:t>
            </w:r>
            <w:r/>
          </w:p>
        </w:tc>
        <w:tc>
          <w:tcPr>
            <w:tcW w:w="2085" w:type="dxa"/>
            <w:vAlign w:val="center"/>
            <w:textDirection w:val="lrTb"/>
            <w:noWrap w:val="false"/>
          </w:tcPr>
          <w:p>
            <w:pPr>
              <w:rPr>
                <w:rFonts w:hAnsi="宋体" w:eastAsia="宋体" w:cs="宋体"/>
                <w:sz w:val="24"/>
                <w:szCs w:val="24"/>
              </w:rPr>
            </w:pPr>
            <w:r>
              <w:rPr>
                <w:rFonts w:hAnsi="宋体" w:eastAsia="宋体" w:cs="宋体"/>
                <w:sz w:val="24"/>
                <w:szCs w:val="24"/>
              </w:rPr>
            </w:r>
            <w:r/>
          </w:p>
        </w:tc>
        <w:tc>
          <w:tcPr>
            <w:tcW w:w="2021" w:type="dxa"/>
            <w:vAlign w:val="center"/>
            <w:textDirection w:val="lrTb"/>
            <w:noWrap w:val="false"/>
          </w:tcPr>
          <w:p>
            <w:pPr>
              <w:rPr>
                <w:rFonts w:hAnsi="宋体" w:eastAsia="宋体" w:cs="宋体"/>
                <w:sz w:val="24"/>
                <w:szCs w:val="24"/>
              </w:rPr>
            </w:pPr>
            <w:r>
              <w:rPr>
                <w:rFonts w:hAnsi="宋体" w:eastAsia="宋体" w:cs="宋体"/>
                <w:sz w:val="24"/>
                <w:szCs w:val="24"/>
              </w:rPr>
            </w:r>
            <w:r/>
          </w:p>
        </w:tc>
      </w:tr>
      <w:tr>
        <w:trPr>
          <w:trHeight w:val="592"/>
        </w:trPr>
        <w:tc>
          <w:tcPr>
            <w:tcW w:w="802" w:type="dxa"/>
            <w:vAlign w:val="center"/>
            <w:textDirection w:val="lrTb"/>
            <w:noWrap w:val="false"/>
          </w:tcPr>
          <w:p>
            <w:pPr>
              <w:jc w:val="center"/>
              <w:rPr>
                <w:rFonts w:hint="eastAsia" w:hAnsi="宋体" w:eastAsia="宋体" w:cs="宋体"/>
                <w:sz w:val="24"/>
                <w:szCs w:val="24"/>
                <w:lang w:val="en-US" w:eastAsia="zh-CN"/>
              </w:rPr>
            </w:pPr>
            <w:r>
              <w:rPr>
                <w:rFonts w:hint="eastAsia" w:hAnsi="宋体" w:eastAsia="宋体" w:cs="宋体"/>
                <w:sz w:val="24"/>
                <w:szCs w:val="24"/>
                <w:lang w:val="en-US" w:eastAsia="zh-CN"/>
              </w:rPr>
              <w:t xml:space="preserve">5</w:t>
            </w:r>
            <w:r/>
          </w:p>
        </w:tc>
        <w:tc>
          <w:tcPr>
            <w:tcW w:w="4650" w:type="dxa"/>
            <w:vAlign w:val="center"/>
            <w:textDirection w:val="lrTb"/>
            <w:noWrap w:val="false"/>
          </w:tcPr>
          <w:p>
            <w:pPr>
              <w:spacing w:line="590" w:lineRule="atLeast"/>
              <w:rPr>
                <w:rFonts w:hAnsi="宋体" w:eastAsia="宋体" w:cs="宋体"/>
                <w:iCs/>
                <w:sz w:val="24"/>
                <w:szCs w:val="24"/>
              </w:rPr>
            </w:pPr>
            <w:r>
              <w:rPr>
                <w:rFonts w:hAnsi="宋体" w:eastAsia="宋体" w:cs="宋体"/>
                <w:iCs/>
                <w:sz w:val="24"/>
                <w:szCs w:val="24"/>
              </w:rPr>
            </w:r>
            <w:r/>
          </w:p>
        </w:tc>
        <w:tc>
          <w:tcPr>
            <w:tcW w:w="2085" w:type="dxa"/>
            <w:vAlign w:val="center"/>
            <w:textDirection w:val="lrTb"/>
            <w:noWrap w:val="false"/>
          </w:tcPr>
          <w:p>
            <w:pPr>
              <w:rPr>
                <w:rFonts w:hAnsi="宋体" w:eastAsia="宋体" w:cs="宋体"/>
                <w:sz w:val="24"/>
                <w:szCs w:val="24"/>
              </w:rPr>
            </w:pPr>
            <w:r>
              <w:rPr>
                <w:rFonts w:hAnsi="宋体" w:eastAsia="宋体" w:cs="宋体"/>
                <w:sz w:val="24"/>
                <w:szCs w:val="24"/>
              </w:rPr>
            </w:r>
            <w:r/>
          </w:p>
        </w:tc>
        <w:tc>
          <w:tcPr>
            <w:tcW w:w="2021" w:type="dxa"/>
            <w:vAlign w:val="center"/>
            <w:textDirection w:val="lrTb"/>
            <w:noWrap w:val="false"/>
          </w:tcPr>
          <w:p>
            <w:pPr>
              <w:rPr>
                <w:rFonts w:hAnsi="宋体" w:eastAsia="宋体" w:cs="宋体"/>
                <w:sz w:val="24"/>
                <w:szCs w:val="24"/>
              </w:rPr>
            </w:pPr>
            <w:r>
              <w:rPr>
                <w:rFonts w:hAnsi="宋体" w:eastAsia="宋体" w:cs="宋体"/>
                <w:sz w:val="24"/>
                <w:szCs w:val="24"/>
              </w:rPr>
            </w:r>
            <w:r/>
          </w:p>
        </w:tc>
      </w:tr>
      <w:tr>
        <w:trPr>
          <w:trHeight w:val="592"/>
        </w:trPr>
        <w:tc>
          <w:tcPr>
            <w:tcW w:w="802" w:type="dxa"/>
            <w:vAlign w:val="center"/>
            <w:textDirection w:val="lrTb"/>
            <w:noWrap w:val="false"/>
          </w:tcPr>
          <w:p>
            <w:pPr>
              <w:jc w:val="center"/>
              <w:rPr>
                <w:rFonts w:hint="eastAsia" w:hAnsi="宋体" w:eastAsia="宋体" w:cs="宋体"/>
                <w:sz w:val="24"/>
                <w:szCs w:val="24"/>
                <w:lang w:val="en-US" w:eastAsia="zh-CN"/>
              </w:rPr>
            </w:pPr>
            <w:r>
              <w:rPr>
                <w:rFonts w:hint="eastAsia" w:hAnsi="宋体" w:eastAsia="宋体" w:cs="宋体"/>
                <w:sz w:val="24"/>
                <w:szCs w:val="24"/>
                <w:lang w:val="en-US" w:eastAsia="zh-CN"/>
              </w:rPr>
              <w:t xml:space="preserve">6</w:t>
            </w:r>
            <w:r/>
          </w:p>
        </w:tc>
        <w:tc>
          <w:tcPr>
            <w:tcW w:w="4650" w:type="dxa"/>
            <w:vAlign w:val="center"/>
            <w:textDirection w:val="lrTb"/>
            <w:noWrap w:val="false"/>
          </w:tcPr>
          <w:p>
            <w:pPr>
              <w:spacing w:line="590" w:lineRule="atLeast"/>
              <w:rPr>
                <w:rFonts w:hAnsi="宋体" w:eastAsia="宋体" w:cs="宋体"/>
                <w:iCs/>
                <w:sz w:val="24"/>
                <w:szCs w:val="24"/>
              </w:rPr>
            </w:pPr>
            <w:r>
              <w:rPr>
                <w:rFonts w:hAnsi="宋体" w:eastAsia="宋体" w:cs="宋体"/>
                <w:iCs/>
                <w:sz w:val="24"/>
                <w:szCs w:val="24"/>
              </w:rPr>
            </w:r>
            <w:r/>
          </w:p>
        </w:tc>
        <w:tc>
          <w:tcPr>
            <w:tcW w:w="2085" w:type="dxa"/>
            <w:vAlign w:val="center"/>
            <w:textDirection w:val="lrTb"/>
            <w:noWrap w:val="false"/>
          </w:tcPr>
          <w:p>
            <w:pPr>
              <w:rPr>
                <w:rFonts w:hAnsi="宋体" w:eastAsia="宋体" w:cs="宋体"/>
                <w:sz w:val="24"/>
                <w:szCs w:val="24"/>
              </w:rPr>
            </w:pPr>
            <w:r>
              <w:rPr>
                <w:rFonts w:hAnsi="宋体" w:eastAsia="宋体" w:cs="宋体"/>
                <w:sz w:val="24"/>
                <w:szCs w:val="24"/>
              </w:rPr>
            </w:r>
            <w:r/>
          </w:p>
        </w:tc>
        <w:tc>
          <w:tcPr>
            <w:tcW w:w="2021" w:type="dxa"/>
            <w:vAlign w:val="center"/>
            <w:textDirection w:val="lrTb"/>
            <w:noWrap w:val="false"/>
          </w:tcPr>
          <w:p>
            <w:pPr>
              <w:rPr>
                <w:rFonts w:hAnsi="宋体" w:eastAsia="宋体" w:cs="宋体"/>
                <w:sz w:val="24"/>
                <w:szCs w:val="24"/>
              </w:rPr>
            </w:pPr>
            <w:r>
              <w:rPr>
                <w:rFonts w:hAnsi="宋体" w:eastAsia="宋体" w:cs="宋体"/>
                <w:sz w:val="24"/>
                <w:szCs w:val="24"/>
              </w:rPr>
            </w:r>
            <w:r/>
          </w:p>
        </w:tc>
      </w:tr>
    </w:tbl>
    <w:p>
      <w:pPr>
        <w:ind w:firstLine="210"/>
        <w:rPr>
          <w:rFonts w:hAnsi="宋体" w:eastAsia="宋体" w:cs="宋体"/>
          <w:sz w:val="24"/>
          <w:szCs w:val="24"/>
          <w:lang w:val="zh-CN"/>
        </w:rPr>
      </w:pPr>
      <w:r>
        <w:rPr>
          <w:rFonts w:hAnsi="宋体" w:eastAsia="宋体" w:cs="宋体"/>
          <w:sz w:val="24"/>
          <w:szCs w:val="24"/>
          <w:lang w:val="zh-CN"/>
        </w:rPr>
      </w:r>
      <w:r/>
    </w:p>
    <w:p>
      <w:pPr>
        <w:ind w:firstLine="210"/>
        <w:rPr>
          <w:rFonts w:hAnsi="宋体" w:eastAsia="宋体" w:cs="宋体"/>
          <w:color w:val="000000"/>
          <w:sz w:val="24"/>
          <w:szCs w:val="22"/>
          <w:lang w:val="zh-CN"/>
        </w:rPr>
      </w:pPr>
      <w:r>
        <w:rPr>
          <w:rFonts w:hint="eastAsia" w:hAnsi="宋体" w:eastAsia="宋体" w:cs="宋体"/>
          <w:color w:val="000000"/>
          <w:sz w:val="24"/>
          <w:szCs w:val="22"/>
          <w:lang w:val="zh-CN"/>
        </w:rPr>
        <w:t xml:space="preserve">注：本表须明确填写并按</w:t>
      </w:r>
      <w:r>
        <w:rPr>
          <w:rFonts w:hint="eastAsia" w:hAnsi="宋体" w:eastAsia="宋体" w:cs="宋体"/>
          <w:color w:val="000000"/>
          <w:sz w:val="24"/>
          <w:szCs w:val="22"/>
          <w:lang w:val="en-US" w:eastAsia="zh-CN"/>
        </w:rPr>
        <w:t xml:space="preserve">磋商</w:t>
      </w:r>
      <w:r>
        <w:rPr>
          <w:rFonts w:hint="eastAsia" w:hAnsi="宋体" w:eastAsia="宋体" w:cs="宋体"/>
          <w:color w:val="000000"/>
          <w:sz w:val="24"/>
          <w:szCs w:val="22"/>
          <w:lang w:val="zh-CN"/>
        </w:rPr>
        <w:t xml:space="preserve">文件要求提供材料，否则符合性检查无法通过。</w:t>
      </w:r>
      <w:r/>
    </w:p>
    <w:p>
      <w:pPr>
        <w:ind w:firstLine="210"/>
        <w:rPr>
          <w:rFonts w:hAnsi="宋体" w:eastAsia="宋体" w:cs="宋体"/>
          <w:color w:val="000000"/>
          <w:sz w:val="24"/>
          <w:szCs w:val="22"/>
          <w:lang w:val="zh-CN"/>
        </w:rPr>
      </w:pPr>
      <w:r>
        <w:rPr>
          <w:rFonts w:hAnsi="宋体" w:eastAsia="宋体" w:cs="宋体"/>
          <w:color w:val="000000"/>
          <w:sz w:val="24"/>
          <w:szCs w:val="22"/>
          <w:lang w:val="zh-CN"/>
        </w:rPr>
      </w:r>
      <w:r/>
    </w:p>
    <w:p>
      <w:pPr>
        <w:ind w:firstLine="210"/>
        <w:rPr>
          <w:rFonts w:cs="宋体"/>
          <w:szCs w:val="28"/>
          <w:lang w:val="zh-CN"/>
        </w:rPr>
      </w:pPr>
      <w:r>
        <w:rPr>
          <w:rFonts w:cs="宋体"/>
          <w:szCs w:val="28"/>
          <w:lang w:val="zh-CN"/>
        </w:rPr>
      </w:r>
      <w:r/>
    </w:p>
    <w:p>
      <w:pPr>
        <w:pStyle w:val="671"/>
        <w:ind w:right="1560" w:firstLine="624"/>
        <w:jc w:val="right"/>
        <w:spacing w:line="0" w:lineRule="atLeast"/>
        <w:tabs>
          <w:tab w:val="left" w:pos="4864" w:leader="none"/>
        </w:tabs>
        <w:rPr>
          <w:rFonts w:ascii="宋体" w:hAnsi="宋体" w:eastAsia="宋体" w:cs="宋体"/>
          <w:color w:val="000000"/>
        </w:rPr>
      </w:pPr>
      <w:r>
        <w:rPr>
          <w:rFonts w:hint="eastAsia" w:ascii="宋体" w:hAnsi="宋体" w:eastAsia="宋体" w:cs="宋体"/>
          <w:color w:val="000000"/>
        </w:rPr>
        <w:t xml:space="preserve">             </w:t>
      </w:r>
      <w:r/>
    </w:p>
    <w:p>
      <w:pPr>
        <w:pStyle w:val="671"/>
        <w:ind w:right="1560" w:firstLine="624"/>
        <w:jc w:val="right"/>
        <w:spacing w:line="0" w:lineRule="atLeast"/>
        <w:tabs>
          <w:tab w:val="left" w:pos="4864" w:leader="none"/>
        </w:tabs>
        <w:rPr>
          <w:rFonts w:ascii="宋体" w:hAnsi="宋体" w:eastAsia="宋体" w:cs="宋体"/>
          <w:color w:val="000000"/>
        </w:rPr>
      </w:pPr>
      <w:r>
        <w:rPr>
          <w:rFonts w:ascii="宋体" w:hAnsi="宋体" w:eastAsia="宋体" w:cs="宋体"/>
          <w:color w:val="000000"/>
        </w:rPr>
      </w:r>
      <w:r/>
    </w:p>
    <w:p>
      <w:pPr>
        <w:pStyle w:val="671"/>
        <w:ind w:right="1560" w:firstLine="624"/>
        <w:jc w:val="right"/>
        <w:spacing w:line="0" w:lineRule="atLeast"/>
        <w:tabs>
          <w:tab w:val="left" w:pos="4864" w:leader="none"/>
        </w:tabs>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供应商</w:t>
      </w:r>
      <w:r>
        <w:rPr>
          <w:rFonts w:hint="eastAsia" w:ascii="宋体" w:hAnsi="宋体" w:eastAsia="宋体" w:cs="宋体"/>
          <w:color w:val="000000"/>
        </w:rPr>
        <w:t xml:space="preserve">全称（加盖CA电子公章）：</w:t>
      </w:r>
      <w:r/>
    </w:p>
    <w:p>
      <w:pPr>
        <w:pStyle w:val="671"/>
        <w:ind w:right="1560" w:firstLine="480"/>
        <w:jc w:val="right"/>
        <w:spacing w:line="0" w:lineRule="atLeast"/>
        <w:tabs>
          <w:tab w:val="left" w:pos="4864" w:leader="none"/>
        </w:tabs>
      </w:pPr>
      <w:r>
        <w:rPr>
          <w:rFonts w:hint="eastAsia" w:ascii="宋体" w:hAnsi="宋体" w:eastAsia="宋体" w:cs="宋体"/>
          <w:color w:val="000000"/>
        </w:rPr>
        <w:t xml:space="preserve">        日  期：</w:t>
      </w:r>
      <w:r/>
    </w:p>
    <w:p>
      <w:pPr>
        <w:pStyle w:val="671"/>
        <w:jc w:val="both"/>
        <w:spacing w:beforeAutospacing="0" w:afterAutospacing="0"/>
        <w:rPr>
          <w:color w:val="auto"/>
          <w:highlight w:val="none"/>
        </w:rPr>
      </w:pPr>
      <w:r>
        <w:rPr>
          <w:color w:val="auto"/>
          <w:highlight w:val="none"/>
        </w:rPr>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71"/>
        <w:jc w:val="both"/>
        <w:spacing w:beforeAutospacing="0" w:afterAutospacing="0"/>
        <w:rPr>
          <w:color w:val="auto"/>
          <w:highlight w:val="none"/>
        </w:rPr>
      </w:pPr>
      <w:r>
        <w:rPr>
          <w:color w:val="auto"/>
          <w:highlight w:val="none"/>
        </w:rPr>
        <w:t xml:space="preserve"> </w:t>
      </w:r>
      <w:r/>
    </w:p>
    <w:p>
      <w:pPr>
        <w:pStyle w:val="636"/>
        <w:jc w:val="left"/>
        <w:spacing w:line="360" w:lineRule="auto"/>
        <w:rPr>
          <w:rFonts w:hint="eastAsia" w:hAnsi="宋体" w:eastAsia="宋体"/>
          <w:b/>
          <w:bCs/>
          <w:sz w:val="32"/>
          <w:szCs w:val="32"/>
        </w:rPr>
      </w:pPr>
      <w:r/>
      <w:bookmarkStart w:id="185" w:name="_Hlt26955054"/>
      <w:r>
        <w:rPr>
          <w:rFonts w:hint="eastAsia" w:ascii="黑体" w:hAnsi="宋体" w:eastAsia="黑体" w:cs="黑体"/>
          <w:b/>
          <w:color w:val="auto"/>
          <w:sz w:val="32"/>
          <w:szCs w:val="32"/>
          <w:highlight w:val="none"/>
        </w:rPr>
        <w:br w:type="page" w:clear="all"/>
      </w:r>
      <w:r>
        <w:rPr>
          <w:rFonts w:hint="eastAsia" w:hAnsi="宋体" w:eastAsia="宋体"/>
          <w:b/>
          <w:bCs/>
          <w:sz w:val="32"/>
          <w:szCs w:val="32"/>
        </w:rPr>
        <w:t xml:space="preserve">            </w:t>
      </w:r>
      <w:r/>
    </w:p>
    <w:p>
      <w:pPr>
        <w:pStyle w:val="636"/>
        <w:jc w:val="center"/>
        <w:spacing w:line="360" w:lineRule="auto"/>
        <w:rPr>
          <w:rFonts w:hint="eastAsia" w:hAnsi="宋体" w:eastAsia="宋体" w:cs="Times New Roman"/>
          <w:sz w:val="28"/>
          <w:szCs w:val="28"/>
          <w:lang w:val="en-US" w:eastAsia="zh-CN"/>
        </w:rPr>
        <w:outlineLvl w:val="9"/>
      </w:pPr>
      <w:r>
        <w:rPr>
          <w:rFonts w:hint="eastAsia"/>
          <w:b/>
          <w:bCs/>
          <w:sz w:val="32"/>
          <w:szCs w:val="32"/>
          <w:lang w:val="en-US" w:eastAsia="zh-CN"/>
        </w:rPr>
        <w:t xml:space="preserve">十四、</w:t>
      </w:r>
      <w:r>
        <w:rPr>
          <w:rFonts w:hint="eastAsia" w:hAnsi="宋体" w:eastAsia="宋体"/>
          <w:b/>
          <w:bCs/>
          <w:sz w:val="32"/>
          <w:szCs w:val="32"/>
        </w:rPr>
        <w:t xml:space="preserve">实质性响应内容</w:t>
      </w:r>
      <w:r>
        <w:rPr>
          <w:rFonts w:hint="eastAsia"/>
          <w:b/>
          <w:bCs/>
          <w:sz w:val="32"/>
          <w:szCs w:val="32"/>
          <w:lang w:val="en-US" w:eastAsia="zh-CN"/>
        </w:rPr>
        <w:t xml:space="preserve">承诺</w:t>
      </w:r>
      <w:r/>
    </w:p>
    <w:p>
      <w:pPr>
        <w:pStyle w:val="837"/>
        <w:ind w:firstLine="560"/>
        <w:rPr>
          <w:rFonts w:hAnsi="宋体" w:cs="Times New Roman"/>
          <w:sz w:val="28"/>
          <w:szCs w:val="28"/>
        </w:rPr>
      </w:pPr>
      <w:r>
        <w:rPr>
          <w:rFonts w:hint="eastAsia" w:hAnsi="宋体" w:cs="Times New Roman"/>
          <w:sz w:val="28"/>
          <w:szCs w:val="28"/>
        </w:rPr>
        <w:t xml:space="preserve">我公司承诺响应磋商文件采购需求</w:t>
      </w:r>
      <w:r>
        <w:rPr>
          <w:rFonts w:hint="eastAsia" w:hAnsi="宋体" w:cs="Times New Roman"/>
          <w:sz w:val="28"/>
          <w:szCs w:val="28"/>
          <w:lang w:eastAsia="zh-CN"/>
        </w:rPr>
        <w:t xml:space="preserve">中</w:t>
      </w:r>
      <w:r>
        <w:rPr>
          <w:rFonts w:hint="eastAsia" w:hAnsi="宋体" w:cs="Times New Roman"/>
          <w:sz w:val="28"/>
          <w:szCs w:val="28"/>
        </w:rPr>
        <w:t xml:space="preserve">的全部内容。</w:t>
      </w:r>
      <w:r/>
    </w:p>
    <w:p>
      <w:pPr>
        <w:ind w:firstLine="3080"/>
        <w:spacing w:line="560" w:lineRule="exact"/>
        <w:rPr>
          <w:rFonts w:hint="eastAsia" w:hAnsi="宋体" w:cs="Times New Roman"/>
          <w:sz w:val="28"/>
          <w:szCs w:val="28"/>
          <w:lang w:val="en-US" w:eastAsia="zh-CN" w:bidi="ar-SA"/>
        </w:rPr>
      </w:pPr>
      <w:r>
        <w:rPr>
          <w:rFonts w:hint="eastAsia" w:hAnsi="宋体" w:cs="Times New Roman"/>
          <w:sz w:val="28"/>
          <w:szCs w:val="28"/>
          <w:lang w:val="en-US" w:eastAsia="zh-CN" w:bidi="ar-SA"/>
        </w:rPr>
      </w:r>
      <w:r/>
    </w:p>
    <w:p>
      <w:pPr>
        <w:ind w:firstLine="2640"/>
        <w:spacing w:line="560" w:lineRule="exact"/>
        <w:rPr>
          <w:rFonts w:hint="eastAsia" w:hAnsi="宋体" w:cs="Times New Roman"/>
          <w:sz w:val="24"/>
          <w:szCs w:val="24"/>
          <w:lang w:val="en-US" w:eastAsia="zh-CN" w:bidi="ar-SA"/>
        </w:rPr>
      </w:pPr>
      <w:r>
        <w:rPr>
          <w:rFonts w:hint="eastAsia" w:hAnsi="宋体" w:cs="Times New Roman"/>
          <w:sz w:val="24"/>
          <w:szCs w:val="24"/>
          <w:lang w:val="en-US" w:eastAsia="zh-CN" w:bidi="ar-SA"/>
        </w:rPr>
      </w:r>
      <w:r/>
    </w:p>
    <w:p>
      <w:pPr>
        <w:ind w:firstLine="4320"/>
        <w:spacing w:line="560" w:lineRule="exact"/>
        <w:rPr>
          <w:rFonts w:hint="eastAsia" w:hAnsi="宋体" w:cs="Times New Roman" w:asciiTheme="minorHAnsi" w:eastAsiaTheme="minorEastAsia"/>
          <w:sz w:val="24"/>
          <w:szCs w:val="24"/>
          <w:lang w:val="en-US" w:eastAsia="zh-CN" w:bidi="ar-SA"/>
        </w:rPr>
      </w:pPr>
      <w:r>
        <w:rPr>
          <w:rFonts w:hint="eastAsia" w:hAnsi="宋体" w:cs="Times New Roman"/>
          <w:sz w:val="24"/>
          <w:szCs w:val="24"/>
          <w:lang w:val="en-US" w:eastAsia="zh-CN" w:bidi="ar-SA"/>
        </w:rPr>
        <w:t xml:space="preserve">供应商全称（加盖CA电子公章）</w:t>
      </w:r>
      <w:r>
        <w:rPr>
          <w:rFonts w:hint="eastAsia" w:hAnsi="宋体" w:cs="Times New Roman" w:asciiTheme="minorHAnsi" w:eastAsiaTheme="minorEastAsia"/>
          <w:sz w:val="24"/>
          <w:szCs w:val="24"/>
          <w:lang w:val="en-US" w:eastAsia="zh-CN" w:bidi="ar-SA"/>
        </w:rPr>
        <w:t xml:space="preserve">：</w:t>
      </w:r>
      <w:r/>
    </w:p>
    <w:p>
      <w:pPr>
        <w:pStyle w:val="655"/>
        <w:ind w:right="0" w:firstLine="4068"/>
        <w:spacing w:line="560" w:lineRule="exact"/>
        <w:rPr>
          <w:rFonts w:hint="eastAsia" w:hAnsi="宋体" w:cs="Times New Roman" w:asciiTheme="minorHAnsi" w:eastAsiaTheme="minorEastAsia"/>
          <w:sz w:val="24"/>
          <w:szCs w:val="24"/>
          <w:lang w:val="en-US" w:eastAsia="zh-CN" w:bidi="ar-SA"/>
        </w:rPr>
      </w:pPr>
      <w:r>
        <w:rPr>
          <w:rFonts w:hint="eastAsia" w:hAnsi="宋体" w:cs="Times New Roman" w:asciiTheme="minorHAnsi" w:eastAsiaTheme="minorEastAsia"/>
          <w:sz w:val="24"/>
          <w:szCs w:val="24"/>
          <w:lang w:val="en-US" w:eastAsia="zh-CN" w:bidi="ar-SA"/>
        </w:rPr>
        <w:t xml:space="preserve">日期：      年     月     日</w:t>
      </w:r>
      <w:r/>
    </w:p>
    <w:p>
      <w:pPr>
        <w:pStyle w:val="655"/>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5"/>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5"/>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5"/>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5"/>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5"/>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5"/>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5"/>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5"/>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827"/>
        <w:numPr>
          <w:ilvl w:val="2"/>
          <w:numId w:val="0"/>
        </w:numPr>
        <w:ind w:left="0" w:firstLine="0"/>
        <w:rPr>
          <w:rFonts w:hint="eastAsia"/>
        </w:rPr>
        <w:outlineLvl w:val="9"/>
      </w:pPr>
      <w:r/>
      <w:bookmarkStart w:id="186" w:name="_格式2__法定代表人授权书"/>
      <w:r/>
      <w:bookmarkStart w:id="187" w:name="_Toc462564146"/>
      <w:r/>
      <w:bookmarkStart w:id="188" w:name="_Hlt26609389"/>
      <w:r/>
      <w:bookmarkStart w:id="189" w:name="_Hlt26671374"/>
      <w:r/>
      <w:bookmarkStart w:id="190" w:name="_Hlt26955066"/>
      <w:r/>
      <w:r/>
    </w:p>
    <w:p>
      <w:pPr>
        <w:pStyle w:val="671"/>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71"/>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left"/>
        <w:spacing w:before="50" w:after="50"/>
        <w:widowControl/>
        <w:rPr>
          <w:rFonts w:hint="default" w:ascii="宋体" w:hAnsi="宋体" w:eastAsia="宋体" w:cs="宋体"/>
          <w:b/>
          <w:bCs/>
          <w:color w:val="ff0000"/>
          <w:sz w:val="32"/>
          <w:szCs w:val="32"/>
          <w:lang w:val="en-US" w:eastAsia="zh-CN"/>
        </w:rPr>
      </w:pPr>
      <w:r>
        <w:rPr>
          <w:rFonts w:hint="default" w:ascii="宋体" w:hAnsi="宋体" w:eastAsia="宋体" w:cs="宋体"/>
          <w:b/>
          <w:bCs/>
          <w:color w:val="ff0000"/>
          <w:sz w:val="32"/>
          <w:szCs w:val="32"/>
          <w:lang w:val="en-US" w:eastAsia="zh-CN"/>
        </w:rPr>
      </w:r>
      <w:r/>
    </w:p>
    <w:p>
      <w:pPr>
        <w:jc w:val="left"/>
        <w:spacing w:before="50" w:after="50"/>
        <w:widowControl/>
        <w:rPr>
          <w:rFonts w:hint="default" w:ascii="宋体" w:hAnsi="宋体" w:eastAsia="宋体" w:cs="宋体"/>
          <w:b/>
          <w:bCs/>
          <w:color w:val="ff0000"/>
          <w:sz w:val="32"/>
          <w:szCs w:val="32"/>
          <w:lang w:val="en-US" w:eastAsia="zh-CN"/>
        </w:rPr>
      </w:pPr>
      <w:r>
        <w:rPr>
          <w:rFonts w:hint="default" w:ascii="宋体" w:hAnsi="宋体" w:eastAsia="宋体" w:cs="宋体"/>
          <w:b/>
          <w:bCs/>
          <w:color w:val="ff0000"/>
          <w:sz w:val="32"/>
          <w:szCs w:val="32"/>
          <w:lang w:val="en-US" w:eastAsia="zh-CN"/>
        </w:rPr>
      </w:r>
      <w:r/>
    </w:p>
    <w:p>
      <w:pPr>
        <w:jc w:val="left"/>
        <w:spacing w:before="50" w:after="50"/>
        <w:widowControl/>
        <w:rPr>
          <w:rFonts w:hint="default" w:ascii="宋体" w:hAnsi="宋体" w:eastAsia="宋体" w:cs="宋体"/>
          <w:b/>
          <w:bCs/>
          <w:color w:val="ff0000"/>
          <w:sz w:val="32"/>
          <w:szCs w:val="32"/>
          <w:lang w:val="en-US" w:eastAsia="zh-CN"/>
        </w:rPr>
      </w:pPr>
      <w:r>
        <w:rPr>
          <w:rFonts w:hint="default" w:ascii="宋体" w:hAnsi="宋体" w:eastAsia="宋体" w:cs="宋体"/>
          <w:b/>
          <w:bCs/>
          <w:color w:val="ff0000"/>
          <w:sz w:val="32"/>
          <w:szCs w:val="32"/>
          <w:lang w:val="en-US" w:eastAsia="zh-CN"/>
        </w:rPr>
      </w:r>
      <w:r/>
    </w:p>
    <w:p>
      <w:pPr>
        <w:jc w:val="left"/>
        <w:spacing w:before="50" w:after="50"/>
        <w:widowControl/>
        <w:rPr>
          <w:rFonts w:hint="eastAsia" w:ascii="宋体" w:hAnsi="宋体" w:eastAsia="宋体" w:cs="宋体"/>
          <w:b/>
          <w:bCs/>
          <w:color w:val="ff0000"/>
          <w:sz w:val="32"/>
          <w:szCs w:val="32"/>
        </w:rPr>
      </w:pPr>
      <w:r>
        <w:rPr>
          <w:rFonts w:hint="default" w:ascii="宋体" w:hAnsi="宋体" w:eastAsia="宋体" w:cs="宋体"/>
          <w:b/>
          <w:bCs/>
          <w:color w:val="ff0000"/>
          <w:sz w:val="32"/>
          <w:szCs w:val="32"/>
          <w:lang w:val="en-US" w:eastAsia="zh-CN"/>
        </w:rPr>
        <w:t xml:space="preserve">符合性审查内容：投标人提供江苏省生态环境厅统一门户自有账号的相关证明材料（江苏省固体废物管理信息系统，即环保脸谱）。</w:t>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line="360" w:lineRule="auto"/>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val="en-US" w:eastAsia="zh-CN"/>
        </w:rPr>
        <w:t xml:space="preserve">五</w:t>
      </w:r>
      <w:r>
        <w:rPr>
          <w:rFonts w:hint="eastAsia" w:ascii="宋体" w:hAnsi="宋体" w:eastAsia="宋体" w:cs="宋体"/>
          <w:b/>
          <w:bCs/>
          <w:color w:val="000000"/>
          <w:sz w:val="32"/>
          <w:szCs w:val="32"/>
        </w:rPr>
        <w:t xml:space="preserve">、</w:t>
      </w:r>
      <w:r>
        <w:rPr>
          <w:rFonts w:hint="eastAsia" w:ascii="宋体" w:hAnsi="宋体" w:eastAsia="宋体" w:cs="宋体"/>
          <w:b/>
          <w:bCs/>
          <w:color w:val="000000"/>
          <w:sz w:val="32"/>
          <w:szCs w:val="32"/>
          <w:lang w:val="en-US" w:eastAsia="zh-CN"/>
        </w:rPr>
        <w:t xml:space="preserve">组织管理方案方案、企业服务方案等</w:t>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pStyle w:val="671"/>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71"/>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71"/>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71"/>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71"/>
        <w:numPr>
          <w:ilvl w:val="0"/>
          <w:numId w:val="0"/>
        </w:numPr>
        <w:jc w:val="center"/>
        <w:spacing w:beforeAutospacing="0" w:afterAutospacing="0"/>
        <w:rPr>
          <w:rFonts w:hint="eastAsia" w:ascii="黑体" w:hAnsi="宋体" w:eastAsia="黑体" w:cs="黑体"/>
          <w:b/>
          <w:i/>
          <w:color w:val="auto"/>
          <w:sz w:val="32"/>
          <w:szCs w:val="32"/>
          <w:highlight w:val="none"/>
          <w:u w:val="single"/>
          <w:lang w:val="en-US" w:eastAsia="zh-CN"/>
        </w:rPr>
        <w:outlineLvl w:val="0"/>
      </w:pPr>
      <w:r>
        <w:rPr>
          <w:rFonts w:hint="eastAsia" w:ascii="黑体" w:hAnsi="宋体" w:eastAsia="黑体" w:cs="黑体"/>
          <w:b/>
          <w:i/>
          <w:color w:val="auto"/>
          <w:sz w:val="32"/>
          <w:szCs w:val="32"/>
          <w:highlight w:val="none"/>
          <w:u w:val="single"/>
          <w:lang w:val="en-US" w:eastAsia="zh-CN"/>
        </w:rPr>
        <w:t xml:space="preserve">十六、报价表</w:t>
      </w:r>
      <w:r/>
    </w:p>
    <w:p>
      <w:pPr>
        <w:pStyle w:val="671"/>
        <w:ind w:firstLine="48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（一轮报价表）</w:t>
      </w:r>
      <w:r/>
    </w:p>
    <w:p>
      <w:pPr>
        <w:pStyle w:val="671"/>
        <w:ind w:firstLine="480"/>
        <w:jc w:val="both"/>
        <w:spacing w:beforeAutospacing="0" w:afterAutospacing="0"/>
        <w:rPr>
          <w:color w:val="auto"/>
          <w:highlight w:val="none"/>
        </w:rPr>
      </w:pP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全称（加盖CA电子签章）：</w:t>
      </w:r>
      <w:r/>
    </w:p>
    <w:p>
      <w:pPr>
        <w:pStyle w:val="671"/>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7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71"/>
        <w:jc w:val="both"/>
        <w:spacing w:beforeAutospacing="0" w:afterAutospacing="0"/>
        <w:rPr>
          <w:color w:val="auto"/>
          <w:highlight w:val="none"/>
        </w:rPr>
      </w:pPr>
      <w:r>
        <w:rPr>
          <w:color w:val="auto"/>
          <w:highlight w:val="none"/>
        </w:rPr>
        <w:t xml:space="preserve"> </w:t>
      </w:r>
      <w:r/>
    </w:p>
    <w:tbl>
      <w:tblPr>
        <w:tblStyle w:val="646"/>
        <w:tblW w:w="5027" w:type="pct"/>
        <w:tblInd w:w="-3"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89"/>
        <w:gridCol w:w="8018"/>
      </w:tblGrid>
      <w:tr>
        <w:trPr>
          <w:trHeight w:val="917"/>
        </w:trPr>
        <w:tc>
          <w:tcPr>
            <w:tcW w:w="953" w:type="pct"/>
            <w:vAlign w:val="center"/>
            <w:textDirection w:val="lrTb"/>
            <w:noWrap w:val="false"/>
          </w:tcPr>
          <w:p>
            <w:pPr>
              <w:jc w:val="center"/>
              <w:spacing w:line="480" w:lineRule="exact"/>
              <w:rPr>
                <w:rFonts w:ascii="宋体" w:hAnsi="宋体" w:cs="Angsana New"/>
                <w:sz w:val="24"/>
                <w:lang w:bidi="th-TH"/>
              </w:rPr>
            </w:pPr>
            <w:r>
              <w:rPr>
                <w:rFonts w:hint="eastAsia" w:ascii="宋体" w:hAnsi="宋体" w:cs="Angsana New"/>
                <w:sz w:val="24"/>
                <w:lang w:bidi="th-TH"/>
              </w:rPr>
              <w:t xml:space="preserve">项目编号</w:t>
            </w:r>
            <w:r/>
          </w:p>
        </w:tc>
        <w:tc>
          <w:tcPr>
            <w:tcW w:w="4046" w:type="pct"/>
            <w:vAlign w:val="center"/>
            <w:textDirection w:val="lrTb"/>
            <w:noWrap w:val="false"/>
          </w:tcPr>
          <w:p>
            <w:pPr>
              <w:jc w:val="left"/>
              <w:spacing w:line="480" w:lineRule="exact"/>
              <w:rPr>
                <w:rFonts w:ascii="宋体" w:hAnsi="宋体" w:cs="Angsana New"/>
                <w:sz w:val="24"/>
                <w:lang w:bidi="th-TH"/>
              </w:rPr>
            </w:pPr>
            <w:r>
              <w:rPr>
                <w:rFonts w:hint="eastAsia" w:ascii="宋体" w:hAnsi="宋体" w:cs="Angsana New"/>
                <w:sz w:val="24"/>
                <w:lang w:bidi="th-TH"/>
              </w:rPr>
              <w:t xml:space="preserve">JSZC-320924-XYGS-C2026-0006</w:t>
            </w:r>
            <w:r/>
          </w:p>
        </w:tc>
      </w:tr>
      <w:tr>
        <w:trPr>
          <w:trHeight w:val="928"/>
        </w:trPr>
        <w:tc>
          <w:tcPr>
            <w:tcW w:w="953" w:type="pct"/>
            <w:vAlign w:val="center"/>
            <w:textDirection w:val="lrTb"/>
            <w:noWrap w:val="false"/>
          </w:tcPr>
          <w:p>
            <w:pPr>
              <w:jc w:val="center"/>
              <w:spacing w:line="480" w:lineRule="exact"/>
              <w:rPr>
                <w:rFonts w:ascii="宋体" w:hAnsi="宋体" w:cs="Angsana New"/>
                <w:sz w:val="24"/>
                <w:lang w:bidi="th-TH"/>
              </w:rPr>
            </w:pPr>
            <w:r>
              <w:rPr>
                <w:rFonts w:hint="eastAsia" w:ascii="宋体" w:hAnsi="宋体" w:cs="Angsana New"/>
                <w:sz w:val="24"/>
                <w:lang w:bidi="th-TH"/>
              </w:rPr>
              <w:t xml:space="preserve">项目名称</w:t>
            </w:r>
            <w:r/>
          </w:p>
        </w:tc>
        <w:tc>
          <w:tcPr>
            <w:tcW w:w="4046" w:type="pct"/>
            <w:vAlign w:val="center"/>
            <w:textDirection w:val="lrTb"/>
            <w:noWrap w:val="false"/>
          </w:tcPr>
          <w:p>
            <w:pPr>
              <w:jc w:val="left"/>
              <w:spacing w:line="480" w:lineRule="exact"/>
              <w:rPr>
                <w:rFonts w:ascii="宋体" w:hAnsi="宋体" w:cs="Angsana New"/>
                <w:sz w:val="24"/>
                <w:lang w:bidi="th-TH"/>
              </w:rPr>
            </w:pPr>
            <w:r>
              <w:rPr>
                <w:rFonts w:ascii="宋体" w:hAnsi="宋体" w:cs="Angsana New"/>
                <w:sz w:val="24"/>
                <w:lang w:bidi="th-TH"/>
              </w:rPr>
            </w:r>
            <w:r/>
          </w:p>
        </w:tc>
      </w:tr>
      <w:tr>
        <w:trPr>
          <w:trHeight w:val="919"/>
        </w:trPr>
        <w:tc>
          <w:tcPr>
            <w:tcW w:w="953" w:type="pct"/>
            <w:vAlign w:val="center"/>
            <w:textDirection w:val="lrTb"/>
            <w:noWrap w:val="false"/>
          </w:tcPr>
          <w:p>
            <w:pPr>
              <w:jc w:val="center"/>
              <w:spacing w:line="480" w:lineRule="exact"/>
              <w:rPr>
                <w:rFonts w:ascii="宋体" w:hAnsi="宋体" w:cs="Angsana New"/>
                <w:sz w:val="24"/>
                <w:lang w:bidi="th-TH"/>
              </w:rPr>
            </w:pPr>
            <w:r>
              <w:rPr>
                <w:rFonts w:hint="eastAsia" w:ascii="宋体" w:hAnsi="宋体" w:cs="Angsana New"/>
                <w:sz w:val="24"/>
                <w:lang w:bidi="th-TH"/>
              </w:rPr>
              <w:t xml:space="preserve">投标报价</w:t>
            </w:r>
            <w:r/>
          </w:p>
          <w:p>
            <w:pPr>
              <w:jc w:val="center"/>
              <w:spacing w:line="480" w:lineRule="exact"/>
              <w:rPr>
                <w:rFonts w:ascii="宋体" w:hAnsi="宋体" w:cs="Angsana New"/>
                <w:sz w:val="24"/>
                <w:lang w:bidi="th-TH"/>
              </w:rPr>
            </w:pPr>
            <w:r>
              <w:rPr>
                <w:rFonts w:hint="eastAsia" w:ascii="宋体" w:hAnsi="宋体" w:cs="Angsana New"/>
                <w:sz w:val="24"/>
                <w:lang w:bidi="th-TH"/>
              </w:rPr>
              <w:t xml:space="preserve">（单价）  </w:t>
            </w:r>
            <w:r/>
          </w:p>
        </w:tc>
        <w:tc>
          <w:tcPr>
            <w:tcW w:w="4046" w:type="pct"/>
            <w:vAlign w:val="center"/>
            <w:textDirection w:val="lrTb"/>
            <w:noWrap w:val="false"/>
          </w:tcPr>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szCs w:val="24"/>
              </w:rPr>
            </w:pPr>
            <w:r>
              <w:rPr>
                <w:rFonts w:hint="eastAsia" w:ascii="宋体" w:hAnsi="宋体" w:cs="宋体"/>
                <w:sz w:val="24"/>
                <w:szCs w:val="24"/>
              </w:rPr>
              <w:t xml:space="preserve">大写：</w:t>
            </w:r>
            <w:r>
              <w:rPr>
                <w:rFonts w:hint="eastAsia" w:ascii="宋体" w:hAnsi="宋体" w:cs="宋体"/>
                <w:sz w:val="24"/>
                <w:szCs w:val="24"/>
                <w:u w:val="single"/>
              </w:rPr>
              <w:t xml:space="preserve">           </w:t>
            </w:r>
            <w:r>
              <w:rPr>
                <w:rFonts w:hint="eastAsia" w:ascii="宋体" w:hAnsi="宋体" w:eastAsia="宋体" w:cs="宋体"/>
                <w:color w:val="000000"/>
                <w:sz w:val="24"/>
                <w:szCs w:val="24"/>
              </w:rPr>
              <w:t xml:space="preserve">万元/吨</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eastAsia="宋体" w:cs="宋体"/>
                <w:color w:val="000000"/>
                <w:sz w:val="24"/>
                <w:szCs w:val="24"/>
              </w:rPr>
              <w:t xml:space="preserve">万元/吨</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备注：不得超最高限价（单价）：</w:t>
            </w:r>
            <w:r>
              <w:rPr>
                <w:rFonts w:hint="eastAsia" w:ascii="宋体" w:hAnsi="宋体" w:eastAsia="宋体" w:cs="宋体"/>
                <w:color w:val="000000"/>
                <w:sz w:val="24"/>
                <w:szCs w:val="24"/>
              </w:rPr>
              <w:t xml:space="preserve">1.2万元/吨</w:t>
            </w:r>
            <w:r/>
          </w:p>
          <w:p>
            <w:pPr>
              <w:pStyle w:val="652"/>
            </w:pPr>
            <w:r/>
            <w:r/>
          </w:p>
        </w:tc>
      </w:tr>
      <w:tr>
        <w:trPr>
          <w:trHeight w:val="862"/>
        </w:trPr>
        <w:tc>
          <w:tcPr>
            <w:tcW w:w="953" w:type="pct"/>
            <w:vAlign w:val="center"/>
            <w:textDirection w:val="lrTb"/>
            <w:noWrap w:val="false"/>
          </w:tcPr>
          <w:p>
            <w:pPr>
              <w:jc w:val="center"/>
              <w:spacing w:line="480" w:lineRule="exact"/>
              <w:rPr>
                <w:rFonts w:ascii="宋体" w:hAnsi="宋体" w:cs="Angsana New"/>
                <w:sz w:val="24"/>
                <w:lang w:bidi="th-TH"/>
              </w:rPr>
            </w:pPr>
            <w:r>
              <w:rPr>
                <w:rFonts w:hint="eastAsia" w:hAnsi="宋体" w:eastAsia="宋体" w:cs="宋体"/>
                <w:iCs/>
                <w:sz w:val="24"/>
                <w:szCs w:val="24"/>
              </w:rPr>
              <w:t xml:space="preserve">合同履行期限</w:t>
            </w:r>
            <w:r/>
          </w:p>
        </w:tc>
        <w:tc>
          <w:tcPr>
            <w:tcW w:w="4046" w:type="pct"/>
            <w:vAlign w:val="center"/>
            <w:textDirection w:val="lrTb"/>
            <w:noWrap w:val="false"/>
          </w:tcPr>
          <w:p>
            <w:pPr>
              <w:jc w:val="left"/>
              <w:spacing w:line="480" w:lineRule="exact"/>
              <w:rPr>
                <w:rFonts w:ascii="宋体" w:hAnsi="宋体" w:cs="Angsana New"/>
                <w:sz w:val="24"/>
                <w:lang w:bidi="th-TH"/>
              </w:rPr>
            </w:pPr>
            <w:r>
              <w:rPr>
                <w:rFonts w:hint="eastAsia" w:hAnsi="宋体" w:eastAsia="宋体" w:cs="宋体"/>
                <w:iCs/>
                <w:sz w:val="24"/>
                <w:szCs w:val="24"/>
              </w:rPr>
              <w:t xml:space="preserve">签订合同之日起至202</w:t>
            </w:r>
            <w:r>
              <w:rPr>
                <w:rFonts w:hint="eastAsia" w:hAnsi="宋体" w:eastAsia="宋体" w:cs="宋体"/>
                <w:iCs/>
                <w:sz w:val="24"/>
                <w:szCs w:val="24"/>
                <w:lang w:val="en-US" w:eastAsia="zh-CN"/>
              </w:rPr>
              <w:t xml:space="preserve">6</w:t>
            </w:r>
            <w:r>
              <w:rPr>
                <w:rFonts w:hint="eastAsia" w:hAnsi="宋体" w:eastAsia="宋体" w:cs="宋体"/>
                <w:iCs/>
                <w:sz w:val="24"/>
                <w:szCs w:val="24"/>
              </w:rPr>
              <w:t xml:space="preserve">年12月30日，履约期间如遇国家政策性调整的，按最新政策执行。</w:t>
            </w:r>
            <w:r/>
          </w:p>
        </w:tc>
      </w:tr>
    </w:tbl>
    <w:p>
      <w:pPr>
        <w:spacing w:line="360" w:lineRule="auto"/>
        <w:rPr>
          <w:rFonts w:ascii="宋体" w:hAnsi="宋体"/>
          <w:sz w:val="24"/>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sz w:val="24"/>
        </w:rPr>
        <w:t xml:space="preserve">注：“报价表”中“投标报价</w:t>
      </w:r>
      <w:r>
        <w:rPr>
          <w:rFonts w:hint="eastAsia" w:ascii="宋体" w:hAnsi="宋体" w:eastAsia="宋体"/>
          <w:sz w:val="24"/>
          <w:lang w:eastAsia="zh-CN"/>
        </w:rPr>
        <w:t xml:space="preserve">（</w:t>
      </w:r>
      <w:r>
        <w:rPr>
          <w:rFonts w:hint="eastAsia" w:ascii="宋体" w:hAnsi="宋体" w:eastAsia="宋体"/>
          <w:sz w:val="24"/>
          <w:lang w:val="en-US" w:eastAsia="zh-CN"/>
        </w:rPr>
        <w:t xml:space="preserve">单价）</w:t>
      </w:r>
      <w:r>
        <w:rPr>
          <w:rFonts w:hint="eastAsia" w:ascii="宋体" w:hAnsi="宋体"/>
          <w:sz w:val="24"/>
        </w:rPr>
        <w:t xml:space="preserve">”金额应当与“</w:t>
      </w:r>
      <w:r>
        <w:rPr>
          <w:rFonts w:ascii="宋体" w:hAnsi="宋体"/>
          <w:b/>
          <w:bCs/>
          <w:sz w:val="24"/>
        </w:rPr>
        <w:t xml:space="preserve">磋商报价表</w:t>
      </w:r>
      <w:r>
        <w:rPr>
          <w:rFonts w:hint="eastAsia" w:ascii="宋体" w:hAnsi="宋体"/>
          <w:sz w:val="24"/>
        </w:rPr>
        <w:t xml:space="preserve">”中“单价”金额一致</w:t>
      </w:r>
      <w:r>
        <w:rPr>
          <w:rFonts w:hint="eastAsia" w:ascii="宋体" w:hAnsi="宋体" w:eastAsia="宋体"/>
          <w:sz w:val="24"/>
          <w:lang w:eastAsia="zh-CN"/>
        </w:rPr>
        <w:t xml:space="preserve">，</w:t>
      </w:r>
      <w:r>
        <w:rPr>
          <w:rFonts w:hint="default" w:ascii="Arial" w:hAnsi="Arial" w:eastAsia="宋体" w:cs="Arial"/>
          <w:color w:val="000000"/>
          <w:sz w:val="24"/>
          <w:szCs w:val="24"/>
        </w:rPr>
        <w:t xml:space="preserve">如不一致，以系统中“</w:t>
      </w:r>
      <w:r>
        <w:rPr>
          <w:rFonts w:hint="default" w:ascii="Arial" w:hAnsi="Arial" w:eastAsia="宋体" w:cs="Arial"/>
          <w:b/>
          <w:bCs/>
          <w:color w:val="000000"/>
          <w:sz w:val="24"/>
          <w:szCs w:val="24"/>
        </w:rPr>
        <w:t xml:space="preserve">磋商报价表</w:t>
      </w:r>
      <w:r>
        <w:rPr>
          <w:rFonts w:hint="default" w:ascii="Arial" w:hAnsi="Arial" w:eastAsia="宋体" w:cs="Arial"/>
          <w:color w:val="000000"/>
          <w:sz w:val="24"/>
          <w:szCs w:val="24"/>
        </w:rPr>
        <w:t xml:space="preserve">”中“单价”金额为准。</w:t>
      </w:r>
      <w:bookmarkStart w:id="191" w:name="_GoBack"/>
      <w:r/>
      <w:bookmarkEnd w:id="191"/>
      <w:r/>
      <w:r/>
    </w:p>
    <w:p>
      <w:pPr>
        <w:pStyle w:val="671"/>
        <w:ind w:firstLine="48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r/>
    </w:p>
    <w:p>
      <w:pPr>
        <w:pStyle w:val="671"/>
        <w:ind w:firstLine="48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71"/>
        <w:ind w:firstLine="480"/>
        <w:jc w:val="right"/>
        <w:spacing w:beforeAutospacing="0" w:afterAutospacing="0"/>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71"/>
        <w:ind w:firstLine="480"/>
        <w:jc w:val="both"/>
        <w:spacing w:beforeAutospacing="0" w:afterAutospacing="0"/>
        <w:rPr>
          <w:highlight w:val="none"/>
        </w:rPr>
      </w:pPr>
      <w:r>
        <w:rPr>
          <w:highlight w:val="none"/>
        </w:rPr>
        <w:t xml:space="preserve"> </w:t>
      </w:r>
      <w:r/>
    </w:p>
    <w:p>
      <w:pPr>
        <w:pStyle w:val="671"/>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27"/>
        <w:numPr>
          <w:ilvl w:val="2"/>
          <w:numId w:val="0"/>
        </w:numPr>
        <w:ind w:left="288" w:firstLine="0"/>
        <w:rPr>
          <w:rFonts w:hint="eastAsia"/>
          <w:lang w:val="en-US" w:eastAsia="zh-CN"/>
        </w:rPr>
        <w:outlineLvl w:val="9"/>
      </w:pPr>
      <w:r>
        <w:rPr>
          <w:rFonts w:hint="eastAsia"/>
          <w:lang w:val="en-US" w:eastAsia="zh-CN"/>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default"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十七、其他材料</w:t>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ascii="宋体" w:hAnsi="宋体" w:eastAsia="宋体" w:cs="宋体"/>
          <w:color w:val="auto"/>
          <w:sz w:val="24"/>
          <w:highlight w:val="none"/>
        </w:rPr>
        <w:outlineLvl w:val="0"/>
      </w:pPr>
      <w:r>
        <w:rPr>
          <w:rFonts w:hint="eastAsia" w:ascii="黑体" w:hAnsi="宋体" w:eastAsia="黑体" w:cs="黑体"/>
          <w:b/>
          <w:color w:val="auto"/>
          <w:sz w:val="32"/>
          <w:szCs w:val="32"/>
          <w:highlight w:val="none"/>
          <w:lang w:val="en-US" w:eastAsia="zh-CN" w:bidi="ar-SA"/>
        </w:rPr>
        <w:t xml:space="preserve">十八、盐城市政府采购事前信用承诺书</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671"/>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pStyle w:val="67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1"/>
        <w:jc w:val="center"/>
        <w:spacing w:beforeAutospacing="0" w:afterAutospacing="0"/>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pStyle w:val="671"/>
        <w:jc w:val="center"/>
        <w:spacing w:beforeAutospacing="0" w:afterAutospacing="0"/>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pStyle w:val="671"/>
        <w:jc w:val="center"/>
        <w:spacing w:beforeAutospacing="0" w:afterAutospacing="0"/>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pStyle w:val="671"/>
        <w:jc w:val="center"/>
        <w:spacing w:beforeAutospacing="0" w:afterAutospacing="0"/>
        <w:rPr>
          <w:rFonts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质疑函范本</w:t>
      </w:r>
      <w:r/>
    </w:p>
    <w:p>
      <w:pPr>
        <w:pStyle w:val="671"/>
        <w:jc w:val="both"/>
        <w:spacing w:before="290" w:beforeAutospacing="0" w:afterAutospacing="0" w:line="360" w:lineRule="auto"/>
        <w:rPr>
          <w:rFonts w:ascii="宋体" w:hAnsi="宋体" w:eastAsia="宋体" w:cs="宋体"/>
          <w:color w:val="auto"/>
          <w:highlight w:val="none"/>
        </w:rPr>
        <w:outlineLvl w:val="1"/>
      </w:pPr>
      <w:r>
        <w:rPr>
          <w:rFonts w:hint="eastAsia" w:ascii="宋体" w:hAnsi="宋体" w:eastAsia="宋体" w:cs="宋体"/>
          <w:color w:val="auto"/>
          <w:highlight w:val="none"/>
        </w:rPr>
        <w:t xml:space="preserve">一、质疑供应商基本信息</w:t>
      </w:r>
      <w:r/>
    </w:p>
    <w:p>
      <w:pPr>
        <w:pStyle w:val="67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ascii="宋体" w:hAnsi="宋体" w:eastAsia="宋体" w:cs="宋体"/>
          <w:color w:val="auto"/>
          <w:highlight w:val="none"/>
        </w:rPr>
        <w:outlineLvl w:val="1"/>
      </w:pPr>
      <w:r>
        <w:rPr>
          <w:rFonts w:hint="eastAsia" w:ascii="宋体" w:hAnsi="宋体" w:eastAsia="宋体" w:cs="宋体"/>
          <w:color w:val="auto"/>
          <w:highlight w:val="none"/>
        </w:rPr>
        <w:t xml:space="preserve">二、质疑项目基本情况</w:t>
      </w:r>
      <w:r/>
    </w:p>
    <w:p>
      <w:pPr>
        <w:pStyle w:val="67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ascii="宋体" w:hAnsi="宋体" w:eastAsia="宋体" w:cs="宋体"/>
          <w:color w:val="auto"/>
          <w:highlight w:val="none"/>
        </w:rPr>
        <w:outlineLvl w:val="1"/>
      </w:pPr>
      <w:r>
        <w:rPr>
          <w:rFonts w:hint="eastAsia" w:ascii="宋体" w:hAnsi="宋体" w:eastAsia="宋体" w:cs="宋体"/>
          <w:color w:val="auto"/>
          <w:highlight w:val="none"/>
        </w:rPr>
        <w:t xml:space="preserve">三、质疑事项具体内容</w:t>
      </w:r>
      <w:r/>
    </w:p>
    <w:p>
      <w:pPr>
        <w:pStyle w:val="67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71"/>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7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71"/>
        <w:jc w:val="both"/>
        <w:spacing w:beforeAutospacing="0" w:afterAutospacing="0" w:line="360" w:lineRule="auto"/>
        <w:rPr>
          <w:rFonts w:ascii="宋体" w:hAnsi="宋体" w:eastAsia="宋体" w:cs="宋体"/>
          <w:color w:val="auto"/>
          <w:highlight w:val="none"/>
        </w:rPr>
        <w:outlineLvl w:val="1"/>
      </w:pPr>
      <w:r>
        <w:rPr>
          <w:rFonts w:hint="eastAsia" w:ascii="宋体" w:hAnsi="宋体" w:eastAsia="宋体" w:cs="宋体"/>
          <w:color w:val="auto"/>
          <w:highlight w:val="none"/>
        </w:rPr>
        <w:t xml:space="preserve">四、与质疑事项相关的质疑请求</w:t>
      </w:r>
      <w:r/>
    </w:p>
    <w:p>
      <w:pPr>
        <w:pStyle w:val="67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71"/>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7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7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7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7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7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71"/>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671"/>
        <w:ind w:firstLine="420"/>
        <w:jc w:val="both"/>
        <w:spacing w:beforeAutospacing="0" w:afterAutospacing="0"/>
        <w:rPr>
          <w:color w:val="auto"/>
          <w:highlight w:val="none"/>
        </w:rPr>
      </w:pPr>
      <w:r>
        <w:rPr>
          <w:color w:val="auto"/>
          <w:highlight w:val="none"/>
        </w:rPr>
        <w:t xml:space="preserve"> </w:t>
      </w:r>
      <w:bookmarkEnd w:id="6"/>
      <w:r/>
      <w:bookmarkEnd w:id="49"/>
      <w:r/>
      <w:bookmarkEnd w:id="96"/>
      <w:r/>
      <w:bookmarkEnd w:id="97"/>
      <w:r/>
      <w:bookmarkEnd w:id="98"/>
      <w:r/>
      <w:bookmarkEnd w:id="99"/>
      <w:r/>
      <w:bookmarkEnd w:id="100"/>
      <w:r/>
      <w:bookmarkEnd w:id="101"/>
      <w:r/>
      <w:bookmarkEnd w:id="102"/>
      <w:r/>
      <w:bookmarkEnd w:id="103"/>
      <w:r/>
      <w:bookmarkEnd w:id="112"/>
      <w:r/>
      <w:bookmarkEnd w:id="113"/>
      <w:r/>
      <w:bookmarkEnd w:id="120"/>
      <w:r/>
      <w:bookmarkEnd w:id="169"/>
      <w:r/>
      <w:bookmarkEnd w:id="170"/>
      <w:r/>
      <w:bookmarkEnd w:id="176"/>
      <w:r/>
      <w:bookmarkEnd w:id="177"/>
      <w:r/>
      <w:bookmarkEnd w:id="178"/>
      <w:r/>
      <w:bookmarkEnd w:id="181"/>
      <w:r/>
      <w:bookmarkEnd w:id="182"/>
      <w:r/>
      <w:bookmarkEnd w:id="183"/>
      <w:r/>
      <w:bookmarkEnd w:id="184"/>
      <w:r/>
      <w:bookmarkEnd w:id="185"/>
      <w:r/>
      <w:bookmarkEnd w:id="186"/>
      <w:r/>
      <w:bookmarkEnd w:id="187"/>
      <w:r/>
      <w:bookmarkEnd w:id="188"/>
      <w:r/>
      <w:bookmarkEnd w:id="189"/>
      <w:r/>
      <w:bookmarkEnd w:id="190"/>
      <w:r/>
      <w:r/>
    </w:p>
    <w:p>
      <w:pPr>
        <w:rPr>
          <w:color w:val="auto"/>
          <w:highlight w:val="none"/>
        </w:rPr>
      </w:pPr>
      <w:r>
        <w:rPr>
          <w:color w:val="auto"/>
          <w:highlight w:val="none"/>
        </w:rPr>
      </w:r>
      <w:r/>
    </w:p>
    <w:sectPr>
      <w:footerReference w:type="default" r:id="rId9"/>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ngsana New">
    <w:panose1 w:val="02020603050405020304"/>
  </w:font>
  <w:font w:name="方正魏碑_GBK">
    <w:panose1 w:val="020B0503020202020204"/>
  </w:font>
  <w:font w:name="Calibri">
    <w:panose1 w:val="020F0502020204030204"/>
  </w:font>
  <w:font w:name="Courier New">
    <w:panose1 w:val="02070309020205020404"/>
  </w:font>
  <w:font w:name="等线">
    <w:panose1 w:val="02010600030101010101"/>
  </w:font>
  <w:font w:name="仿宋">
    <w:panose1 w:val="02010609060101010101"/>
  </w:font>
  <w:font w:name="黑体">
    <w:panose1 w:val="02010609060101010101"/>
  </w:font>
  <w:font w:name="仿宋_GB2312">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tabs>
          <w:tab w:val="left" w:pos="851" w:leader="none"/>
        </w:tabs>
      </w:pPr>
      <w:rPr>
        <w:rFonts w:hint="eastAsia"/>
      </w:rPr>
    </w:lvl>
    <w:lvl w:ilvl="1">
      <w:start w:val="1"/>
      <w:numFmt w:val="decimalZero"/>
      <w:isLgl w:val="false"/>
      <w:suff w:val="tab"/>
      <w:lvlText w:val="节 %1.%2"/>
      <w:lvlJc w:val="left"/>
      <w:pPr>
        <w:ind w:left="0" w:firstLine="0"/>
        <w:tabs>
          <w:tab w:val="left" w:pos="720" w:leader="none"/>
        </w:tabs>
      </w:pPr>
      <w:rPr>
        <w:rFonts w:hint="eastAsia"/>
      </w:rPr>
    </w:lvl>
    <w:lvl w:ilvl="2">
      <w:start w:val="1"/>
      <w:numFmt w:val="lowerLetter"/>
      <w:pStyle w:val="827"/>
      <w:isLgl w:val="false"/>
      <w:suff w:val="tab"/>
      <w:lvlText w:val="(%3)"/>
      <w:lvlJc w:val="left"/>
      <w:pPr>
        <w:ind w:left="720" w:hanging="432"/>
        <w:tabs>
          <w:tab w:val="left" w:pos="720" w:leader="none"/>
        </w:tabs>
      </w:pPr>
      <w:rPr>
        <w:rFonts w:hint="eastAsia"/>
      </w:rPr>
    </w:lvl>
    <w:lvl w:ilvl="3">
      <w:start w:val="1"/>
      <w:numFmt w:val="lowerRoman"/>
      <w:isLgl w:val="false"/>
      <w:suff w:val="tab"/>
      <w:lvlText w:val="(%4)"/>
      <w:lvlJc w:val="right"/>
      <w:pPr>
        <w:ind w:left="864" w:hanging="144"/>
        <w:tabs>
          <w:tab w:val="left" w:pos="864" w:leader="none"/>
        </w:tabs>
      </w:pPr>
      <w:rPr>
        <w:rFonts w:hint="eastAsia"/>
      </w:rPr>
    </w:lvl>
    <w:lvl w:ilvl="4">
      <w:start w:val="1"/>
      <w:numFmt w:val="decimal"/>
      <w:isLgl w:val="false"/>
      <w:suff w:val="tab"/>
      <w:lvlText w:val="%5)"/>
      <w:lvlJc w:val="left"/>
      <w:pPr>
        <w:ind w:left="1008" w:hanging="432"/>
        <w:tabs>
          <w:tab w:val="left" w:pos="1008" w:leader="none"/>
        </w:tabs>
      </w:pPr>
      <w:rPr>
        <w:rFonts w:hint="eastAsia"/>
      </w:rPr>
    </w:lvl>
    <w:lvl w:ilvl="5">
      <w:start w:val="1"/>
      <w:numFmt w:val="lowerLetter"/>
      <w:isLgl w:val="false"/>
      <w:suff w:val="tab"/>
      <w:lvlText w:val="%6)"/>
      <w:lvlJc w:val="left"/>
      <w:pPr>
        <w:ind w:left="1152" w:hanging="432"/>
        <w:tabs>
          <w:tab w:val="left" w:pos="1152" w:leader="none"/>
        </w:tabs>
      </w:pPr>
      <w:rPr>
        <w:rFonts w:hint="eastAsia"/>
      </w:rPr>
    </w:lvl>
    <w:lvl w:ilvl="6">
      <w:start w:val="1"/>
      <w:numFmt w:val="lowerRoman"/>
      <w:isLgl w:val="false"/>
      <w:suff w:val="tab"/>
      <w:lvlText w:val="%7)"/>
      <w:lvlJc w:val="right"/>
      <w:pPr>
        <w:ind w:left="1296" w:hanging="288"/>
        <w:tabs>
          <w:tab w:val="left" w:pos="1296" w:leader="none"/>
        </w:tabs>
      </w:pPr>
      <w:rPr>
        <w:rFonts w:hint="eastAsia"/>
      </w:rPr>
    </w:lvl>
    <w:lvl w:ilvl="7">
      <w:start w:val="1"/>
      <w:numFmt w:val="lowerLetter"/>
      <w:isLgl w:val="false"/>
      <w:suff w:val="tab"/>
      <w:lvlText w:val="%8."/>
      <w:lvlJc w:val="left"/>
      <w:pPr>
        <w:ind w:left="1440" w:hanging="432"/>
        <w:tabs>
          <w:tab w:val="left" w:pos="1440" w:leader="none"/>
        </w:tabs>
      </w:pPr>
      <w:rPr>
        <w:rFonts w:hint="eastAsia"/>
      </w:rPr>
    </w:lvl>
    <w:lvl w:ilvl="8">
      <w:start w:val="1"/>
      <w:numFmt w:val="lowerRoman"/>
      <w:isLgl w:val="false"/>
      <w:suff w:val="tab"/>
      <w:lvlText w:val="%9."/>
      <w:lvlJc w:val="right"/>
      <w:pPr>
        <w:ind w:left="1584" w:hanging="144"/>
        <w:tabs>
          <w:tab w:val="left" w:pos="1584"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5"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36">
    <w:name w:val="Heading 1"/>
    <w:basedOn w:val="635"/>
    <w:next w:val="635"/>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637">
    <w:name w:val="Heading 2"/>
    <w:basedOn w:val="635"/>
    <w:next w:val="64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38">
    <w:name w:val="Heading 3"/>
    <w:basedOn w:val="635"/>
    <w:next w:val="635"/>
    <w:link w:val="682"/>
    <w:uiPriority w:val="9"/>
    <w:unhideWhenUsed/>
    <w:qFormat/>
    <w:pPr>
      <w:keepLines/>
      <w:keepNext/>
      <w:spacing w:before="320" w:after="200"/>
      <w:outlineLvl w:val="2"/>
    </w:pPr>
    <w:rPr>
      <w:rFonts w:ascii="Arial" w:hAnsi="Arial" w:eastAsia="Arial" w:cs="Arial"/>
      <w:sz w:val="30"/>
      <w:szCs w:val="30"/>
    </w:rPr>
  </w:style>
  <w:style w:type="paragraph" w:styleId="639">
    <w:name w:val="Heading 4"/>
    <w:basedOn w:val="635"/>
    <w:next w:val="635"/>
    <w:link w:val="683"/>
    <w:uiPriority w:val="9"/>
    <w:unhideWhenUsed/>
    <w:qFormat/>
    <w:pPr>
      <w:keepLines/>
      <w:keepNext/>
      <w:spacing w:before="320" w:after="200"/>
      <w:outlineLvl w:val="3"/>
    </w:pPr>
    <w:rPr>
      <w:rFonts w:ascii="Arial" w:hAnsi="Arial" w:eastAsia="Arial" w:cs="Arial"/>
      <w:b/>
      <w:bCs/>
      <w:sz w:val="26"/>
      <w:szCs w:val="26"/>
    </w:rPr>
  </w:style>
  <w:style w:type="paragraph" w:styleId="640">
    <w:name w:val="Heading 5"/>
    <w:basedOn w:val="635"/>
    <w:next w:val="635"/>
    <w:link w:val="684"/>
    <w:uiPriority w:val="9"/>
    <w:unhideWhenUsed/>
    <w:qFormat/>
    <w:pPr>
      <w:keepLines/>
      <w:keepNext/>
      <w:spacing w:before="320" w:after="200"/>
      <w:outlineLvl w:val="4"/>
    </w:pPr>
    <w:rPr>
      <w:rFonts w:ascii="Arial" w:hAnsi="Arial" w:eastAsia="Arial" w:cs="Arial"/>
      <w:b/>
      <w:bCs/>
      <w:sz w:val="24"/>
      <w:szCs w:val="24"/>
    </w:rPr>
  </w:style>
  <w:style w:type="paragraph" w:styleId="641">
    <w:name w:val="Heading 6"/>
    <w:basedOn w:val="635"/>
    <w:next w:val="635"/>
    <w:link w:val="685"/>
    <w:uiPriority w:val="9"/>
    <w:unhideWhenUsed/>
    <w:qFormat/>
    <w:pPr>
      <w:keepLines/>
      <w:keepNext/>
      <w:spacing w:before="320" w:after="200"/>
      <w:outlineLvl w:val="5"/>
    </w:pPr>
    <w:rPr>
      <w:rFonts w:ascii="Arial" w:hAnsi="Arial" w:eastAsia="Arial" w:cs="Arial"/>
      <w:b/>
      <w:bCs/>
      <w:sz w:val="22"/>
      <w:szCs w:val="22"/>
    </w:rPr>
  </w:style>
  <w:style w:type="paragraph" w:styleId="642">
    <w:name w:val="Heading 7"/>
    <w:basedOn w:val="635"/>
    <w:next w:val="635"/>
    <w:link w:val="686"/>
    <w:uiPriority w:val="9"/>
    <w:unhideWhenUsed/>
    <w:qFormat/>
    <w:pPr>
      <w:keepLines/>
      <w:keepNext/>
      <w:spacing w:before="320" w:after="200"/>
      <w:outlineLvl w:val="6"/>
    </w:pPr>
    <w:rPr>
      <w:rFonts w:ascii="Arial" w:hAnsi="Arial" w:eastAsia="Arial" w:cs="Arial"/>
      <w:b/>
      <w:bCs/>
      <w:i/>
      <w:iCs/>
      <w:sz w:val="22"/>
      <w:szCs w:val="22"/>
    </w:rPr>
  </w:style>
  <w:style w:type="paragraph" w:styleId="643">
    <w:name w:val="Heading 8"/>
    <w:basedOn w:val="635"/>
    <w:next w:val="635"/>
    <w:link w:val="687"/>
    <w:uiPriority w:val="9"/>
    <w:unhideWhenUsed/>
    <w:qFormat/>
    <w:pPr>
      <w:keepLines/>
      <w:keepNext/>
      <w:spacing w:before="320" w:after="200"/>
      <w:outlineLvl w:val="7"/>
    </w:pPr>
    <w:rPr>
      <w:rFonts w:ascii="Arial" w:hAnsi="Arial" w:eastAsia="Arial" w:cs="Arial"/>
      <w:i/>
      <w:iCs/>
      <w:sz w:val="22"/>
      <w:szCs w:val="22"/>
    </w:rPr>
  </w:style>
  <w:style w:type="paragraph" w:styleId="644">
    <w:name w:val="Heading 9"/>
    <w:basedOn w:val="635"/>
    <w:next w:val="635"/>
    <w:link w:val="688"/>
    <w:uiPriority w:val="9"/>
    <w:unhideWhenUsed/>
    <w:qFormat/>
    <w:pPr>
      <w:keepLines/>
      <w:keepNext/>
      <w:spacing w:before="320" w:after="200"/>
      <w:outlineLvl w:val="8"/>
    </w:pPr>
    <w:rPr>
      <w:rFonts w:ascii="Arial" w:hAnsi="Arial" w:eastAsia="Arial" w:cs="Arial"/>
      <w:i/>
      <w:iCs/>
      <w:sz w:val="21"/>
      <w:szCs w:val="21"/>
    </w:rPr>
  </w:style>
  <w:style w:type="character" w:styleId="645" w:default="1">
    <w:name w:val="Default Paragraph Font"/>
    <w:uiPriority w:val="1"/>
    <w:semiHidden/>
    <w:unhideWhenUsed/>
    <w:qFormat/>
  </w:style>
  <w:style w:type="table" w:styleId="646" w:default="1">
    <w:name w:val="Normal Table"/>
    <w:uiPriority w:val="99"/>
    <w:semiHidden/>
    <w:unhideWhenUsed/>
    <w:qFormat/>
    <w:tblPr>
      <w:tblCellMar>
        <w:left w:w="108" w:type="dxa"/>
        <w:top w:w="0" w:type="dxa"/>
        <w:right w:w="108" w:type="dxa"/>
        <w:bottom w:w="0" w:type="dxa"/>
      </w:tblCellMar>
    </w:tblPr>
  </w:style>
  <w:style w:type="paragraph" w:styleId="647">
    <w:name w:val="Normal Indent"/>
    <w:basedOn w:val="635"/>
    <w:uiPriority w:val="0"/>
    <w:qFormat/>
    <w:pPr>
      <w:ind w:firstLine="420"/>
    </w:pPr>
    <w:rPr>
      <w:rFonts w:ascii="Times New Roman" w:eastAsia="宋体"/>
      <w:szCs w:val="20"/>
    </w:rPr>
  </w:style>
  <w:style w:type="paragraph" w:styleId="648">
    <w:name w:val="toc 7"/>
    <w:basedOn w:val="635"/>
    <w:next w:val="635"/>
    <w:uiPriority w:val="39"/>
    <w:unhideWhenUsed/>
    <w:qFormat/>
    <w:pPr>
      <w:ind w:left="1701" w:right="0" w:firstLine="0"/>
      <w:spacing w:after="57"/>
    </w:pPr>
  </w:style>
  <w:style w:type="paragraph" w:styleId="649">
    <w:name w:val="Note Heading"/>
    <w:basedOn w:val="635"/>
    <w:next w:val="635"/>
    <w:uiPriority w:val="0"/>
    <w:qFormat/>
    <w:rPr>
      <w:rFonts w:ascii="Verdana" w:hAnsi="Verdana"/>
      <w:szCs w:val="20"/>
    </w:rPr>
  </w:style>
  <w:style w:type="paragraph" w:styleId="650">
    <w:name w:val="Caption"/>
    <w:basedOn w:val="635"/>
    <w:next w:val="63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1">
    <w:name w:val="annotation text"/>
    <w:basedOn w:val="635"/>
    <w:uiPriority w:val="0"/>
    <w:qFormat/>
    <w:pPr>
      <w:jc w:val="left"/>
    </w:pPr>
  </w:style>
  <w:style w:type="paragraph" w:styleId="652">
    <w:name w:val="Body Text"/>
    <w:basedOn w:val="635"/>
    <w:next w:val="635"/>
    <w:uiPriority w:val="0"/>
    <w:qFormat/>
    <w:pPr>
      <w:spacing w:after="120"/>
    </w:pPr>
  </w:style>
  <w:style w:type="paragraph" w:styleId="653">
    <w:name w:val="Body Text Indent"/>
    <w:basedOn w:val="635"/>
    <w:next w:val="654"/>
    <w:uiPriority w:val="0"/>
    <w:qFormat/>
    <w:pPr>
      <w:ind w:left="420"/>
      <w:spacing w:after="120"/>
    </w:pPr>
    <w:rPr>
      <w:sz w:val="24"/>
    </w:rPr>
  </w:style>
  <w:style w:type="paragraph" w:styleId="654">
    <w:name w:val="envelope return"/>
    <w:basedOn w:val="635"/>
    <w:uiPriority w:val="99"/>
    <w:qFormat/>
    <w:rPr>
      <w:rFonts w:ascii="Arial" w:hAnsi="Arial" w:cs="Arial"/>
    </w:rPr>
  </w:style>
  <w:style w:type="paragraph" w:styleId="655">
    <w:name w:val="Block Text"/>
    <w:basedOn w:val="635"/>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656">
    <w:name w:val="toc 5"/>
    <w:basedOn w:val="635"/>
    <w:next w:val="635"/>
    <w:uiPriority w:val="39"/>
    <w:unhideWhenUsed/>
    <w:qFormat/>
    <w:pPr>
      <w:ind w:left="1134" w:right="0" w:firstLine="0"/>
      <w:spacing w:after="57"/>
    </w:pPr>
  </w:style>
  <w:style w:type="paragraph" w:styleId="657">
    <w:name w:val="toc 3"/>
    <w:basedOn w:val="635"/>
    <w:next w:val="635"/>
    <w:uiPriority w:val="39"/>
    <w:unhideWhenUsed/>
    <w:qFormat/>
    <w:pPr>
      <w:ind w:left="567" w:right="0" w:firstLine="0"/>
      <w:spacing w:after="57"/>
    </w:pPr>
  </w:style>
  <w:style w:type="paragraph" w:styleId="658">
    <w:name w:val="Plain Text"/>
    <w:basedOn w:val="635"/>
    <w:next w:val="635"/>
    <w:uiPriority w:val="0"/>
    <w:qFormat/>
    <w:rPr>
      <w:rFonts w:hint="eastAsia" w:hAnsi="Courier New" w:eastAsia="宋体"/>
      <w:sz w:val="21"/>
    </w:rPr>
  </w:style>
  <w:style w:type="paragraph" w:styleId="659">
    <w:name w:val="toc 8"/>
    <w:basedOn w:val="635"/>
    <w:next w:val="635"/>
    <w:uiPriority w:val="39"/>
    <w:unhideWhenUsed/>
    <w:qFormat/>
    <w:pPr>
      <w:ind w:left="1984" w:right="0" w:firstLine="0"/>
      <w:spacing w:after="57"/>
    </w:pPr>
  </w:style>
  <w:style w:type="paragraph" w:styleId="660">
    <w:name w:val="endnote text"/>
    <w:basedOn w:val="635"/>
    <w:link w:val="825"/>
    <w:uiPriority w:val="99"/>
    <w:semiHidden/>
    <w:unhideWhenUsed/>
    <w:qFormat/>
    <w:pPr>
      <w:spacing w:after="0" w:line="240" w:lineRule="auto"/>
    </w:pPr>
    <w:rPr>
      <w:sz w:val="20"/>
    </w:rPr>
  </w:style>
  <w:style w:type="paragraph" w:styleId="661">
    <w:name w:val="Footer"/>
    <w:basedOn w:val="635"/>
    <w:link w:val="830"/>
    <w:uiPriority w:val="0"/>
    <w:qFormat/>
    <w:pPr>
      <w:jc w:val="left"/>
      <w:tabs>
        <w:tab w:val="center" w:pos="4153" w:leader="none"/>
        <w:tab w:val="right" w:pos="8306" w:leader="none"/>
      </w:tabs>
    </w:pPr>
    <w:rPr>
      <w:sz w:val="18"/>
      <w:szCs w:val="18"/>
    </w:rPr>
  </w:style>
  <w:style w:type="paragraph" w:styleId="662">
    <w:name w:val="Header"/>
    <w:basedOn w:val="635"/>
    <w:link w:val="829"/>
    <w:uiPriority w:val="0"/>
    <w:qFormat/>
    <w:pPr>
      <w:jc w:val="center"/>
      <w:tabs>
        <w:tab w:val="center" w:pos="4153" w:leader="none"/>
        <w:tab w:val="right" w:pos="8306" w:leader="none"/>
      </w:tabs>
      <w:pBdr>
        <w:bottom w:val="single" w:color="auto" w:sz="6" w:space="1"/>
      </w:pBdr>
    </w:pPr>
    <w:rPr>
      <w:sz w:val="18"/>
      <w:szCs w:val="18"/>
    </w:rPr>
  </w:style>
  <w:style w:type="paragraph" w:styleId="663">
    <w:name w:val="toc 1"/>
    <w:basedOn w:val="635"/>
    <w:next w:val="635"/>
    <w:uiPriority w:val="39"/>
    <w:unhideWhenUsed/>
    <w:qFormat/>
    <w:pPr>
      <w:ind w:left="0" w:right="0" w:firstLine="0"/>
      <w:spacing w:after="57"/>
    </w:pPr>
  </w:style>
  <w:style w:type="paragraph" w:styleId="664">
    <w:name w:val="toc 4"/>
    <w:basedOn w:val="635"/>
    <w:next w:val="635"/>
    <w:uiPriority w:val="39"/>
    <w:unhideWhenUsed/>
    <w:qFormat/>
    <w:pPr>
      <w:ind w:left="850" w:right="0" w:firstLine="0"/>
      <w:spacing w:after="57"/>
    </w:pPr>
  </w:style>
  <w:style w:type="paragraph" w:styleId="665">
    <w:name w:val="Subtitle"/>
    <w:basedOn w:val="635"/>
    <w:next w:val="635"/>
    <w:link w:val="691"/>
    <w:uiPriority w:val="11"/>
    <w:qFormat/>
    <w:pPr>
      <w:spacing w:before="200" w:after="200"/>
    </w:pPr>
    <w:rPr>
      <w:sz w:val="24"/>
      <w:szCs w:val="24"/>
    </w:rPr>
  </w:style>
  <w:style w:type="paragraph" w:styleId="666">
    <w:name w:val="footnote text"/>
    <w:basedOn w:val="635"/>
    <w:link w:val="824"/>
    <w:uiPriority w:val="99"/>
    <w:semiHidden/>
    <w:unhideWhenUsed/>
    <w:qFormat/>
    <w:pPr>
      <w:spacing w:after="40" w:line="240" w:lineRule="auto"/>
    </w:pPr>
    <w:rPr>
      <w:sz w:val="18"/>
    </w:rPr>
  </w:style>
  <w:style w:type="paragraph" w:styleId="667">
    <w:name w:val="toc 6"/>
    <w:basedOn w:val="635"/>
    <w:next w:val="635"/>
    <w:uiPriority w:val="0"/>
    <w:qFormat/>
    <w:pPr>
      <w:ind w:left="1200"/>
      <w:jc w:val="left"/>
    </w:pPr>
    <w:rPr>
      <w:rFonts w:ascii="Calibri" w:hAnsi="Calibri"/>
      <w:sz w:val="18"/>
      <w:szCs w:val="18"/>
    </w:rPr>
  </w:style>
  <w:style w:type="paragraph" w:styleId="668">
    <w:name w:val="table of figures"/>
    <w:basedOn w:val="635"/>
    <w:next w:val="635"/>
    <w:uiPriority w:val="99"/>
    <w:unhideWhenUsed/>
    <w:qFormat/>
    <w:pPr>
      <w:spacing w:after="0" w:afterAutospacing="0"/>
    </w:pPr>
  </w:style>
  <w:style w:type="paragraph" w:styleId="669">
    <w:name w:val="toc 2"/>
    <w:basedOn w:val="635"/>
    <w:next w:val="635"/>
    <w:uiPriority w:val="39"/>
    <w:unhideWhenUsed/>
    <w:qFormat/>
    <w:pPr>
      <w:ind w:left="283" w:right="0" w:firstLine="0"/>
      <w:spacing w:after="57"/>
    </w:pPr>
  </w:style>
  <w:style w:type="paragraph" w:styleId="670">
    <w:name w:val="toc 9"/>
    <w:basedOn w:val="635"/>
    <w:next w:val="635"/>
    <w:uiPriority w:val="39"/>
    <w:unhideWhenUsed/>
    <w:qFormat/>
    <w:pPr>
      <w:ind w:left="2268" w:right="0" w:firstLine="0"/>
      <w:spacing w:after="57"/>
    </w:pPr>
  </w:style>
  <w:style w:type="paragraph" w:styleId="671">
    <w:name w:val="Normal (Web)"/>
    <w:basedOn w:val="635"/>
    <w:uiPriority w:val="0"/>
    <w:qFormat/>
    <w:pPr>
      <w:jc w:val="left"/>
      <w:spacing w:beforeAutospacing="1" w:afterAutospacing="1"/>
    </w:pPr>
    <w:rPr>
      <w:rFonts w:cs="Times New Roman"/>
      <w:sz w:val="24"/>
    </w:rPr>
  </w:style>
  <w:style w:type="paragraph" w:styleId="672">
    <w:name w:val="Title"/>
    <w:basedOn w:val="635"/>
    <w:next w:val="635"/>
    <w:link w:val="690"/>
    <w:uiPriority w:val="10"/>
    <w:qFormat/>
    <w:pPr>
      <w:contextualSpacing/>
      <w:spacing w:before="300" w:after="200"/>
    </w:pPr>
    <w:rPr>
      <w:sz w:val="48"/>
      <w:szCs w:val="48"/>
    </w:rPr>
  </w:style>
  <w:style w:type="paragraph" w:styleId="673">
    <w:name w:val="Body Text First Indent"/>
    <w:basedOn w:val="635"/>
    <w:next w:val="667"/>
    <w:uiPriority w:val="0"/>
    <w:qFormat/>
    <w:pPr>
      <w:ind w:firstLine="420"/>
    </w:pPr>
    <w:rPr>
      <w:sz w:val="24"/>
    </w:rPr>
  </w:style>
  <w:style w:type="paragraph" w:styleId="674">
    <w:name w:val="Body Text First Indent 2"/>
    <w:basedOn w:val="653"/>
    <w:uiPriority w:val="0"/>
    <w:qFormat/>
    <w:pPr>
      <w:ind w:firstLine="420"/>
    </w:pPr>
  </w:style>
  <w:style w:type="table" w:styleId="675">
    <w:name w:val="Table Grid"/>
    <w:basedOn w:val="64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6">
    <w:name w:val="endnote reference"/>
    <w:basedOn w:val="645"/>
    <w:uiPriority w:val="99"/>
    <w:semiHidden/>
    <w:unhideWhenUsed/>
    <w:qFormat/>
    <w:rPr>
      <w:vertAlign w:val="superscript"/>
    </w:rPr>
  </w:style>
  <w:style w:type="character" w:styleId="677">
    <w:name w:val="Emphasis"/>
    <w:uiPriority w:val="0"/>
    <w:qFormat/>
    <w:rPr>
      <w:i/>
    </w:rPr>
  </w:style>
  <w:style w:type="character" w:styleId="678">
    <w:name w:val="Hyperlink"/>
    <w:uiPriority w:val="99"/>
    <w:unhideWhenUsed/>
    <w:qFormat/>
    <w:rPr>
      <w:color w:val="0563c1" w:themeColor="hyperlink"/>
      <w:u w:val="single"/>
      <w14:textFill>
        <w14:solidFill>
          <w14:schemeClr w14:val="hlink"/>
        </w14:solidFill>
      </w14:textFill>
    </w:rPr>
  </w:style>
  <w:style w:type="character" w:styleId="679">
    <w:name w:val="footnote reference"/>
    <w:basedOn w:val="645"/>
    <w:uiPriority w:val="99"/>
    <w:unhideWhenUsed/>
    <w:qFormat/>
    <w:rPr>
      <w:vertAlign w:val="superscript"/>
    </w:rPr>
  </w:style>
  <w:style w:type="character" w:styleId="680" w:customStyle="1">
    <w:name w:val="Heading 1 Char"/>
    <w:basedOn w:val="645"/>
    <w:uiPriority w:val="9"/>
    <w:qFormat/>
    <w:rPr>
      <w:rFonts w:ascii="Arial" w:hAnsi="Arial" w:eastAsia="Arial" w:cs="Arial"/>
      <w:sz w:val="40"/>
      <w:szCs w:val="40"/>
    </w:rPr>
  </w:style>
  <w:style w:type="character" w:styleId="681" w:customStyle="1">
    <w:name w:val="Heading 2 Char"/>
    <w:basedOn w:val="645"/>
    <w:uiPriority w:val="9"/>
    <w:qFormat/>
    <w:rPr>
      <w:rFonts w:ascii="Arial" w:hAnsi="Arial" w:eastAsia="Arial" w:cs="Arial"/>
      <w:sz w:val="34"/>
    </w:rPr>
  </w:style>
  <w:style w:type="character" w:styleId="682" w:customStyle="1">
    <w:name w:val="Heading 3 Char"/>
    <w:basedOn w:val="645"/>
    <w:link w:val="638"/>
    <w:uiPriority w:val="9"/>
    <w:qFormat/>
    <w:rPr>
      <w:rFonts w:ascii="Arial" w:hAnsi="Arial" w:eastAsia="Arial" w:cs="Arial"/>
      <w:sz w:val="30"/>
      <w:szCs w:val="30"/>
    </w:rPr>
  </w:style>
  <w:style w:type="character" w:styleId="683" w:customStyle="1">
    <w:name w:val="Heading 4 Char"/>
    <w:basedOn w:val="645"/>
    <w:link w:val="639"/>
    <w:uiPriority w:val="9"/>
    <w:qFormat/>
    <w:rPr>
      <w:rFonts w:ascii="Arial" w:hAnsi="Arial" w:eastAsia="Arial" w:cs="Arial"/>
      <w:b/>
      <w:bCs/>
      <w:sz w:val="26"/>
      <w:szCs w:val="26"/>
    </w:rPr>
  </w:style>
  <w:style w:type="character" w:styleId="684" w:customStyle="1">
    <w:name w:val="Heading 5 Char"/>
    <w:basedOn w:val="645"/>
    <w:link w:val="640"/>
    <w:uiPriority w:val="9"/>
    <w:qFormat/>
    <w:rPr>
      <w:rFonts w:ascii="Arial" w:hAnsi="Arial" w:eastAsia="Arial" w:cs="Arial"/>
      <w:b/>
      <w:bCs/>
      <w:sz w:val="24"/>
      <w:szCs w:val="24"/>
    </w:rPr>
  </w:style>
  <w:style w:type="character" w:styleId="685" w:customStyle="1">
    <w:name w:val="Heading 6 Char"/>
    <w:basedOn w:val="645"/>
    <w:link w:val="641"/>
    <w:uiPriority w:val="9"/>
    <w:qFormat/>
    <w:rPr>
      <w:rFonts w:ascii="Arial" w:hAnsi="Arial" w:eastAsia="Arial" w:cs="Arial"/>
      <w:b/>
      <w:bCs/>
      <w:sz w:val="22"/>
      <w:szCs w:val="22"/>
    </w:rPr>
  </w:style>
  <w:style w:type="character" w:styleId="686" w:customStyle="1">
    <w:name w:val="Heading 7 Char"/>
    <w:basedOn w:val="645"/>
    <w:link w:val="642"/>
    <w:uiPriority w:val="9"/>
    <w:qFormat/>
    <w:rPr>
      <w:rFonts w:ascii="Arial" w:hAnsi="Arial" w:eastAsia="Arial" w:cs="Arial"/>
      <w:b/>
      <w:bCs/>
      <w:i/>
      <w:iCs/>
      <w:sz w:val="22"/>
      <w:szCs w:val="22"/>
    </w:rPr>
  </w:style>
  <w:style w:type="character" w:styleId="687" w:customStyle="1">
    <w:name w:val="Heading 8 Char"/>
    <w:basedOn w:val="645"/>
    <w:link w:val="643"/>
    <w:uiPriority w:val="9"/>
    <w:qFormat/>
    <w:rPr>
      <w:rFonts w:ascii="Arial" w:hAnsi="Arial" w:eastAsia="Arial" w:cs="Arial"/>
      <w:i/>
      <w:iCs/>
      <w:sz w:val="22"/>
      <w:szCs w:val="22"/>
    </w:rPr>
  </w:style>
  <w:style w:type="character" w:styleId="688" w:customStyle="1">
    <w:name w:val="Heading 9 Char"/>
    <w:basedOn w:val="645"/>
    <w:link w:val="644"/>
    <w:uiPriority w:val="9"/>
    <w:qFormat/>
    <w:rPr>
      <w:rFonts w:ascii="Arial" w:hAnsi="Arial" w:eastAsia="Arial" w:cs="Arial"/>
      <w:i/>
      <w:iCs/>
      <w:sz w:val="21"/>
      <w:szCs w:val="21"/>
    </w:rPr>
  </w:style>
  <w:style w:type="paragraph" w:styleId="689">
    <w:name w:val="No Spacing"/>
    <w:uiPriority w:val="1"/>
    <w:qFormat/>
    <w:pPr>
      <w:spacing w:before="0" w:after="0" w:line="240" w:lineRule="auto"/>
    </w:pPr>
    <w:rPr>
      <w:rFonts w:hint="default" w:ascii="Times New Roman" w:hAnsi="Times New Roman" w:eastAsia="宋体" w:cs="Times New Roman"/>
    </w:rPr>
  </w:style>
  <w:style w:type="character" w:styleId="690" w:customStyle="1">
    <w:name w:val="Title Char"/>
    <w:basedOn w:val="645"/>
    <w:link w:val="672"/>
    <w:uiPriority w:val="10"/>
    <w:qFormat/>
    <w:rPr>
      <w:sz w:val="48"/>
      <w:szCs w:val="48"/>
    </w:rPr>
  </w:style>
  <w:style w:type="character" w:styleId="691" w:customStyle="1">
    <w:name w:val="Subtitle Char"/>
    <w:basedOn w:val="645"/>
    <w:link w:val="665"/>
    <w:uiPriority w:val="11"/>
    <w:qFormat/>
    <w:rPr>
      <w:sz w:val="24"/>
      <w:szCs w:val="24"/>
    </w:rPr>
  </w:style>
  <w:style w:type="paragraph" w:styleId="692">
    <w:name w:val="Quote"/>
    <w:basedOn w:val="635"/>
    <w:next w:val="635"/>
    <w:link w:val="693"/>
    <w:uiPriority w:val="29"/>
    <w:qFormat/>
    <w:pPr>
      <w:ind w:left="720" w:right="720"/>
    </w:pPr>
    <w:rPr>
      <w:i/>
    </w:rPr>
  </w:style>
  <w:style w:type="character" w:styleId="693" w:customStyle="1">
    <w:name w:val="Quote Char"/>
    <w:link w:val="692"/>
    <w:uiPriority w:val="29"/>
    <w:qFormat/>
    <w:rPr>
      <w:i/>
    </w:rPr>
  </w:style>
  <w:style w:type="paragraph" w:styleId="694">
    <w:name w:val="Intense Quote"/>
    <w:basedOn w:val="635"/>
    <w:next w:val="635"/>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customStyle="1">
    <w:name w:val="Intense Quote Char"/>
    <w:link w:val="694"/>
    <w:uiPriority w:val="30"/>
    <w:qFormat/>
    <w:rPr>
      <w:i/>
    </w:rPr>
  </w:style>
  <w:style w:type="character" w:styleId="696" w:customStyle="1">
    <w:name w:val="Header Char"/>
    <w:basedOn w:val="645"/>
    <w:uiPriority w:val="99"/>
    <w:qFormat/>
  </w:style>
  <w:style w:type="character" w:styleId="697" w:customStyle="1">
    <w:name w:val="Footer Char"/>
    <w:basedOn w:val="645"/>
    <w:uiPriority w:val="99"/>
    <w:qFormat/>
  </w:style>
  <w:style w:type="character" w:styleId="698" w:customStyle="1">
    <w:name w:val="Caption Char"/>
    <w:uiPriority w:val="99"/>
    <w:qFormat/>
  </w:style>
  <w:style w:type="table" w:styleId="699" w:customStyle="1">
    <w:name w:val="Table Grid Light"/>
    <w:basedOn w:val="6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0" w:customStyle="1">
    <w:name w:val="Plain Table 1"/>
    <w:basedOn w:val="6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Plain Table 2"/>
    <w:basedOn w:val="6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Plain Table 3"/>
    <w:basedOn w:val="6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customStyle="1">
    <w:name w:val="Plain Table 4"/>
    <w:basedOn w:val="6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customStyle="1">
    <w:name w:val="Plain Table 5"/>
    <w:basedOn w:val="6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5" w:customStyle="1">
    <w:name w:val="Grid Table 1 Light"/>
    <w:basedOn w:val="6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1"/>
    <w:basedOn w:val="64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2"/>
    <w:basedOn w:val="64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3"/>
    <w:basedOn w:val="64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4"/>
    <w:basedOn w:val="64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5"/>
    <w:basedOn w:val="64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6"/>
    <w:basedOn w:val="64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12" w:customStyle="1">
    <w:name w:val="Grid Table 2"/>
    <w:basedOn w:val="6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3" w:customStyle="1">
    <w:name w:val="Grid Table 2 - Accent 1"/>
    <w:basedOn w:val="64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14" w:customStyle="1">
    <w:name w:val="Grid Table 2 - Accent 2"/>
    <w:basedOn w:val="64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15" w:customStyle="1">
    <w:name w:val="Grid Table 2 - Accent 3"/>
    <w:basedOn w:val="64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16" w:customStyle="1">
    <w:name w:val="Grid Table 2 - Accent 4"/>
    <w:basedOn w:val="64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17" w:customStyle="1">
    <w:name w:val="Grid Table 2 - Accent 5"/>
    <w:basedOn w:val="64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18" w:customStyle="1">
    <w:name w:val="Grid Table 2 - Accent 6"/>
    <w:basedOn w:val="64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19" w:customStyle="1">
    <w:name w:val="Grid Table 3"/>
    <w:basedOn w:val="6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1"/>
    <w:basedOn w:val="64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2"/>
    <w:basedOn w:val="64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3"/>
    <w:basedOn w:val="64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4"/>
    <w:basedOn w:val="64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5"/>
    <w:basedOn w:val="64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6"/>
    <w:basedOn w:val="64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4"/>
    <w:basedOn w:val="6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customStyle="1">
    <w:name w:val="Grid Table 4 - Accent 1"/>
    <w:basedOn w:val="64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28" w:customStyle="1">
    <w:name w:val="Grid Table 4 - Accent 2"/>
    <w:basedOn w:val="64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29" w:customStyle="1">
    <w:name w:val="Grid Table 4 - Accent 3"/>
    <w:basedOn w:val="64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0" w:customStyle="1">
    <w:name w:val="Grid Table 4 - Accent 4"/>
    <w:basedOn w:val="64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31" w:customStyle="1">
    <w:name w:val="Grid Table 4 - Accent 5"/>
    <w:basedOn w:val="64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32" w:customStyle="1">
    <w:name w:val="Grid Table 4 - Accent 6"/>
    <w:basedOn w:val="64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33" w:customStyle="1">
    <w:name w:val="Grid Table 5 Dark"/>
    <w:basedOn w:val="6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4" w:customStyle="1">
    <w:name w:val="Grid Table 5 Dark- Accent 1"/>
    <w:basedOn w:val="6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5" w:customStyle="1">
    <w:name w:val="Grid Table 5 Dark - Accent 2"/>
    <w:basedOn w:val="6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36" w:customStyle="1">
    <w:name w:val="Grid Table 5 Dark - Accent 3"/>
    <w:basedOn w:val="6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37" w:customStyle="1">
    <w:name w:val="Grid Table 5 Dark- Accent 4"/>
    <w:basedOn w:val="6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38" w:customStyle="1">
    <w:name w:val="Grid Table 5 Dark - Accent 5"/>
    <w:basedOn w:val="6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39" w:customStyle="1">
    <w:name w:val="Grid Table 5 Dark - Accent 6"/>
    <w:basedOn w:val="6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0" w:customStyle="1">
    <w:name w:val="Grid Table 6 Colorful"/>
    <w:basedOn w:val="6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1" w:customStyle="1">
    <w:name w:val="Grid Table 6 Colorful - Accent 1"/>
    <w:basedOn w:val="64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42" w:customStyle="1">
    <w:name w:val="Grid Table 6 Colorful - Accent 2"/>
    <w:basedOn w:val="64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43" w:customStyle="1">
    <w:name w:val="Grid Table 6 Colorful - Accent 3"/>
    <w:basedOn w:val="64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44" w:customStyle="1">
    <w:name w:val="Grid Table 6 Colorful - Accent 4"/>
    <w:basedOn w:val="64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45" w:customStyle="1">
    <w:name w:val="Grid Table 6 Colorful - Accent 5"/>
    <w:basedOn w:val="64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6" w:customStyle="1">
    <w:name w:val="Grid Table 6 Colorful - Accent 6"/>
    <w:basedOn w:val="64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7" w:customStyle="1">
    <w:name w:val="Grid Table 7 Colorful"/>
    <w:basedOn w:val="6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8" w:customStyle="1">
    <w:name w:val="Grid Table 7 Colorful - Accent 1"/>
    <w:basedOn w:val="64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49" w:customStyle="1">
    <w:name w:val="Grid Table 7 Colorful - Accent 2"/>
    <w:basedOn w:val="64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0" w:customStyle="1">
    <w:name w:val="Grid Table 7 Colorful - Accent 3"/>
    <w:basedOn w:val="64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1" w:customStyle="1">
    <w:name w:val="Grid Table 7 Colorful - Accent 4"/>
    <w:basedOn w:val="64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52" w:customStyle="1">
    <w:name w:val="Grid Table 7 Colorful - Accent 5"/>
    <w:basedOn w:val="64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53" w:customStyle="1">
    <w:name w:val="Grid Table 7 Colorful - Accent 6"/>
    <w:basedOn w:val="64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4" w:customStyle="1">
    <w:name w:val="List Table 1 Light"/>
    <w:basedOn w:val="6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customStyle="1">
    <w:name w:val="List Table 1 Light - Accent 1"/>
    <w:basedOn w:val="64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56" w:customStyle="1">
    <w:name w:val="List Table 1 Light - Accent 2"/>
    <w:basedOn w:val="64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57" w:customStyle="1">
    <w:name w:val="List Table 1 Light - Accent 3"/>
    <w:basedOn w:val="64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58" w:customStyle="1">
    <w:name w:val="List Table 1 Light - Accent 4"/>
    <w:basedOn w:val="64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59" w:customStyle="1">
    <w:name w:val="List Table 1 Light - Accent 5"/>
    <w:basedOn w:val="64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0" w:customStyle="1">
    <w:name w:val="List Table 1 Light - Accent 6"/>
    <w:basedOn w:val="64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1" w:customStyle="1">
    <w:name w:val="List Table 2"/>
    <w:basedOn w:val="6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2 - Accent 1"/>
    <w:basedOn w:val="64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63" w:customStyle="1">
    <w:name w:val="List Table 2 - Accent 2"/>
    <w:basedOn w:val="64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4" w:customStyle="1">
    <w:name w:val="List Table 2 - Accent 3"/>
    <w:basedOn w:val="64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5" w:customStyle="1">
    <w:name w:val="List Table 2 - Accent 4"/>
    <w:basedOn w:val="64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66" w:customStyle="1">
    <w:name w:val="List Table 2 - Accent 5"/>
    <w:basedOn w:val="64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67" w:customStyle="1">
    <w:name w:val="List Table 2 - Accent 6"/>
    <w:basedOn w:val="64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68" w:customStyle="1">
    <w:name w:val="List Table 3"/>
    <w:basedOn w:val="6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3 - Accent 1"/>
    <w:basedOn w:val="64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0" w:customStyle="1">
    <w:name w:val="List Table 3 - Accent 2"/>
    <w:basedOn w:val="64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71" w:customStyle="1">
    <w:name w:val="List Table 3 - Accent 3"/>
    <w:basedOn w:val="64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72" w:customStyle="1">
    <w:name w:val="List Table 3 - Accent 4"/>
    <w:basedOn w:val="64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73" w:customStyle="1">
    <w:name w:val="List Table 3 - Accent 5"/>
    <w:basedOn w:val="64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74" w:customStyle="1">
    <w:name w:val="List Table 3 - Accent 6"/>
    <w:basedOn w:val="64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5" w:customStyle="1">
    <w:name w:val="List Table 4"/>
    <w:basedOn w:val="6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4 - Accent 1"/>
    <w:basedOn w:val="64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7" w:customStyle="1">
    <w:name w:val="List Table 4 - Accent 2"/>
    <w:basedOn w:val="64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78" w:customStyle="1">
    <w:name w:val="List Table 4 - Accent 3"/>
    <w:basedOn w:val="64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79" w:customStyle="1">
    <w:name w:val="List Table 4 - Accent 4"/>
    <w:basedOn w:val="64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0" w:customStyle="1">
    <w:name w:val="List Table 4 - Accent 5"/>
    <w:basedOn w:val="64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1" w:customStyle="1">
    <w:name w:val="List Table 4 - Accent 6"/>
    <w:basedOn w:val="64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82" w:customStyle="1">
    <w:name w:val="List Table 5 Dark"/>
    <w:basedOn w:val="6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1"/>
    <w:basedOn w:val="64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2"/>
    <w:basedOn w:val="64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3"/>
    <w:basedOn w:val="64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4"/>
    <w:basedOn w:val="64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5"/>
    <w:basedOn w:val="64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6"/>
    <w:basedOn w:val="64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6 Colorful"/>
    <w:basedOn w:val="6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List Table 6 Colorful - Accent 1"/>
    <w:basedOn w:val="64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91" w:customStyle="1">
    <w:name w:val="List Table 6 Colorful - Accent 2"/>
    <w:basedOn w:val="64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92" w:customStyle="1">
    <w:name w:val="List Table 6 Colorful - Accent 3"/>
    <w:basedOn w:val="64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93" w:customStyle="1">
    <w:name w:val="List Table 6 Colorful - Accent 4"/>
    <w:basedOn w:val="64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94" w:customStyle="1">
    <w:name w:val="List Table 6 Colorful - Accent 5"/>
    <w:basedOn w:val="64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95" w:customStyle="1">
    <w:name w:val="List Table 6 Colorful - Accent 6"/>
    <w:basedOn w:val="64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96" w:customStyle="1">
    <w:name w:val="List Table 7 Colorful"/>
    <w:basedOn w:val="6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List Table 7 Colorful - Accent 1"/>
    <w:basedOn w:val="64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98" w:customStyle="1">
    <w:name w:val="List Table 7 Colorful - Accent 2"/>
    <w:basedOn w:val="64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9" w:customStyle="1">
    <w:name w:val="List Table 7 Colorful - Accent 3"/>
    <w:basedOn w:val="64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0" w:customStyle="1">
    <w:name w:val="List Table 7 Colorful - Accent 4"/>
    <w:basedOn w:val="64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1" w:customStyle="1">
    <w:name w:val="List Table 7 Colorful - Accent 5"/>
    <w:basedOn w:val="64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02" w:customStyle="1">
    <w:name w:val="List Table 7 Colorful - Accent 6"/>
    <w:basedOn w:val="64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03" w:customStyle="1">
    <w:name w:val="Lined - Accent"/>
    <w:basedOn w:val="6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4" w:customStyle="1">
    <w:name w:val="Lined - Accent 1"/>
    <w:basedOn w:val="6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5" w:customStyle="1">
    <w:name w:val="Lined - Accent 2"/>
    <w:basedOn w:val="6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6" w:customStyle="1">
    <w:name w:val="Lined - Accent 3"/>
    <w:basedOn w:val="6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7" w:customStyle="1">
    <w:name w:val="Lined - Accent 4"/>
    <w:basedOn w:val="6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08" w:customStyle="1">
    <w:name w:val="Lined - Accent 5"/>
    <w:basedOn w:val="6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9" w:customStyle="1">
    <w:name w:val="Lined - Accent 6"/>
    <w:basedOn w:val="6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0" w:customStyle="1">
    <w:name w:val="Bordered &amp; Lined - Accent"/>
    <w:basedOn w:val="64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1" w:customStyle="1">
    <w:name w:val="Bordered &amp; Lined - Accent 1"/>
    <w:basedOn w:val="64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2" w:customStyle="1">
    <w:name w:val="Bordered &amp; Lined - Accent 2"/>
    <w:basedOn w:val="64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3" w:customStyle="1">
    <w:name w:val="Bordered &amp; Lined - Accent 3"/>
    <w:basedOn w:val="64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4" w:customStyle="1">
    <w:name w:val="Bordered &amp; Lined - Accent 4"/>
    <w:basedOn w:val="64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5" w:customStyle="1">
    <w:name w:val="Bordered &amp; Lined - Accent 5"/>
    <w:basedOn w:val="64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6" w:customStyle="1">
    <w:name w:val="Bordered &amp; Lined - Accent 6"/>
    <w:basedOn w:val="64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7" w:customStyle="1">
    <w:name w:val="Bordered"/>
    <w:basedOn w:val="64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8" w:customStyle="1">
    <w:name w:val="Bordered - Accent 1"/>
    <w:basedOn w:val="64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19" w:customStyle="1">
    <w:name w:val="Bordered - Accent 2"/>
    <w:basedOn w:val="64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0" w:customStyle="1">
    <w:name w:val="Bordered - Accent 3"/>
    <w:basedOn w:val="64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1" w:customStyle="1">
    <w:name w:val="Bordered - Accent 4"/>
    <w:basedOn w:val="64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22" w:customStyle="1">
    <w:name w:val="Bordered - Accent 5"/>
    <w:basedOn w:val="64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23" w:customStyle="1">
    <w:name w:val="Bordered - Accent 6"/>
    <w:basedOn w:val="64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4" w:customStyle="1">
    <w:name w:val="Footnote Text Char"/>
    <w:link w:val="666"/>
    <w:uiPriority w:val="99"/>
    <w:qFormat/>
    <w:rPr>
      <w:sz w:val="18"/>
    </w:rPr>
  </w:style>
  <w:style w:type="character" w:styleId="825" w:customStyle="1">
    <w:name w:val="Endnote Text Char"/>
    <w:link w:val="660"/>
    <w:uiPriority w:val="99"/>
    <w:qFormat/>
    <w:rPr>
      <w:sz w:val="20"/>
    </w:rPr>
  </w:style>
  <w:style w:type="paragraph" w:styleId="826" w:customStyle="1">
    <w:name w:val="TOC Heading"/>
    <w:uiPriority w:val="39"/>
    <w:unhideWhenUsed/>
    <w:qFormat/>
    <w:rPr>
      <w:rFonts w:hint="default" w:ascii="Times New Roman" w:hAnsi="Times New Roman" w:eastAsia="宋体" w:cs="Times New Roman"/>
    </w:rPr>
  </w:style>
  <w:style w:type="paragraph" w:styleId="827" w:customStyle="1">
    <w:name w:val="标题 31"/>
    <w:basedOn w:val="635"/>
    <w:next w:val="635"/>
    <w:uiPriority w:val="0"/>
    <w:qFormat/>
    <w:pPr>
      <w:numPr>
        <w:ilvl w:val="2"/>
        <w:numId w:val="1"/>
      </w:numPr>
      <w:keepLines/>
      <w:keepNext/>
      <w:spacing w:before="260" w:after="260" w:line="416" w:lineRule="atLeast"/>
      <w:outlineLvl w:val="2"/>
    </w:pPr>
    <w:rPr>
      <w:b/>
      <w:bCs/>
      <w:sz w:val="32"/>
      <w:szCs w:val="32"/>
    </w:rPr>
  </w:style>
  <w:style w:type="paragraph" w:styleId="828" w:customStyle="1">
    <w:name w:val="Default"/>
    <w:basedOn w:val="635"/>
    <w:uiPriority w:val="0"/>
    <w:semiHidden/>
    <w:qFormat/>
    <w:pPr>
      <w:jc w:val="left"/>
    </w:pPr>
    <w:rPr>
      <w:rFonts w:ascii="宋体" w:hAnsi="Calibri" w:cs="宋体"/>
      <w:color w:val="000000"/>
      <w:sz w:val="24"/>
    </w:rPr>
  </w:style>
  <w:style w:type="character" w:styleId="829" w:customStyle="1">
    <w:name w:val="页眉 Char"/>
    <w:basedOn w:val="645"/>
    <w:link w:val="662"/>
    <w:uiPriority w:val="0"/>
    <w:qFormat/>
    <w:rPr>
      <w:rFonts w:asciiTheme="minorHAnsi" w:hAnsiTheme="minorHAnsi" w:eastAsiaTheme="minorEastAsia" w:cstheme="minorBidi"/>
      <w:sz w:val="18"/>
      <w:szCs w:val="18"/>
    </w:rPr>
  </w:style>
  <w:style w:type="character" w:styleId="830" w:customStyle="1">
    <w:name w:val="页脚 Char"/>
    <w:basedOn w:val="645"/>
    <w:link w:val="661"/>
    <w:uiPriority w:val="0"/>
    <w:qFormat/>
    <w:rPr>
      <w:rFonts w:asciiTheme="minorHAnsi" w:hAnsiTheme="minorHAnsi" w:eastAsiaTheme="minorEastAsia" w:cstheme="minorBidi"/>
      <w:sz w:val="18"/>
      <w:szCs w:val="18"/>
    </w:rPr>
  </w:style>
  <w:style w:type="paragraph" w:styleId="831" w:customStyle="1">
    <w:name w:val="普通正文"/>
    <w:basedOn w:val="635"/>
    <w:uiPriority w:val="0"/>
    <w:qFormat/>
    <w:pPr>
      <w:ind w:firstLine="480"/>
      <w:jc w:val="left"/>
      <w:spacing w:before="120" w:after="120" w:line="360" w:lineRule="auto"/>
    </w:pPr>
    <w:rPr>
      <w:rFonts w:ascii="Arial" w:hAnsi="Arial" w:eastAsia="等线" w:cs="Arial"/>
      <w:sz w:val="24"/>
      <w:szCs w:val="24"/>
    </w:rPr>
  </w:style>
  <w:style w:type="paragraph" w:styleId="832" w:customStyle="1">
    <w:name w:val="正文首行缩进 21"/>
    <w:basedOn w:val="833"/>
    <w:uiPriority w:val="0"/>
    <w:qFormat/>
    <w:pPr>
      <w:ind w:firstLine="420"/>
    </w:pPr>
  </w:style>
  <w:style w:type="paragraph" w:styleId="833" w:customStyle="1">
    <w:name w:val="正文文本缩进1"/>
    <w:basedOn w:val="635"/>
    <w:uiPriority w:val="0"/>
    <w:qFormat/>
    <w:pPr>
      <w:ind w:left="420"/>
      <w:spacing w:after="120"/>
    </w:pPr>
  </w:style>
  <w:style w:type="paragraph" w:styleId="834">
    <w:name w:val="List Paragraph"/>
    <w:basedOn w:val="635"/>
    <w:uiPriority w:val="34"/>
    <w:qFormat/>
    <w:pPr>
      <w:ind w:firstLine="420"/>
      <w:spacing w:line="240" w:lineRule="auto"/>
    </w:pPr>
    <w:rPr>
      <w:rFonts w:ascii="Times New Roman" w:eastAsia="宋体"/>
      <w:sz w:val="20"/>
      <w:szCs w:val="24"/>
    </w:rPr>
  </w:style>
  <w:style w:type="paragraph" w:styleId="835" w:customStyle="1">
    <w:name w:val="1 正文"/>
    <w:basedOn w:val="635"/>
    <w:uiPriority w:val="0"/>
    <w:qFormat/>
    <w:pPr>
      <w:ind w:firstLine="420"/>
    </w:pPr>
    <w:rPr>
      <w:rFonts w:hAnsi="宋体"/>
      <w:sz w:val="24"/>
    </w:rPr>
  </w:style>
  <w:style w:type="paragraph" w:styleId="836" w:customStyle="1">
    <w:name w:val="首行缩进"/>
    <w:basedOn w:val="635"/>
    <w:uiPriority w:val="0"/>
    <w:qFormat/>
    <w:pPr>
      <w:ind w:firstLine="480"/>
      <w:spacing w:line="360" w:lineRule="auto"/>
    </w:pPr>
    <w:rPr>
      <w:rFonts w:ascii="宋体" w:hAnsi="宋体" w:cs="宋体"/>
      <w:sz w:val="24"/>
    </w:rPr>
  </w:style>
  <w:style w:type="paragraph" w:styleId="837" w:customStyle="1">
    <w:name w:val="正文空2格  1."/>
    <w:basedOn w:val="635"/>
    <w:uiPriority w:val="0"/>
    <w:qFormat/>
    <w:pPr>
      <w:ind w:firstLine="480"/>
    </w:pPr>
    <w:rPr>
      <w:rFonts w:cs="宋体"/>
      <w:szCs w:val="20"/>
    </w:rPr>
  </w:style>
  <w:style w:type="paragraph" w:styleId="838" w:customStyle="1">
    <w:name w:val="普通(网站)1"/>
    <w:basedOn w:val="635"/>
    <w:uiPriority w:val="0"/>
    <w:qFormat/>
    <w:rPr>
      <w:rFonts w:ascii="Times New Roman"/>
      <w:szCs w:val="24"/>
    </w:rPr>
  </w:style>
  <w:style w:type="table" w:styleId="839" w:customStyle="1">
    <w:name w:val="Table Normal"/>
    <w:uiPriority w:val="0"/>
    <w:semiHidden/>
    <w:unhideWhenUsed/>
    <w:qFormat/>
    <w:tblPr>
      <w:tblCellMar>
        <w:left w:w="0" w:type="dxa"/>
        <w:top w:w="0" w:type="dxa"/>
        <w:right w:w="0" w:type="dxa"/>
        <w:bottom w:w="0" w:type="dxa"/>
      </w:tblCellMar>
    </w:tblPr>
  </w:style>
  <w:style w:type="paragraph" w:styleId="840" w:customStyle="1">
    <w:name w:val="Normal_0_2"/>
    <w:uiPriority w:val="0"/>
    <w:qFormat/>
    <w:rPr>
      <w:rFonts w:hint="default" w:ascii="Calibri" w:hAnsi="Calibri" w:eastAsia="Times New Roman" w:cs="Times New Roman"/>
      <w:sz w:val="24"/>
      <w:szCs w:val="24"/>
      <w:lang w:val="en-US" w:eastAsia="zh-CN" w:bidi="ar-SA"/>
    </w:rPr>
  </w:style>
  <w:style w:type="paragraph" w:styleId="84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842" w:customStyle="1">
    <w:name w:val="方案正文"/>
    <w:basedOn w:val="843"/>
    <w:uiPriority w:val="0"/>
    <w:qFormat/>
    <w:pPr>
      <w:ind w:firstLine="359"/>
      <w:jc w:val="left"/>
      <w:spacing w:before="156"/>
    </w:pPr>
    <w:rPr>
      <w:rFonts w:ascii="Arial" w:hAnsi="Arial" w:eastAsia="宋体" w:cs="宋体"/>
    </w:rPr>
  </w:style>
  <w:style w:type="paragraph" w:styleId="843" w:customStyle="1">
    <w:name w:val="公文正文"/>
    <w:basedOn w:val="653"/>
    <w:uiPriority w:val="0"/>
    <w:qFormat/>
    <w:pPr>
      <w:ind w:left="0" w:firstLine="200"/>
      <w:spacing w:after="0" w:line="240" w:lineRule="auto"/>
    </w:pPr>
    <w:rPr>
      <w:rFonts w:ascii="仿宋_GB2312" w:hAnsi="宋体" w:eastAsia="仿宋_GB2312"/>
      <w:sz w:val="28"/>
      <w:szCs w:val="24"/>
    </w:rPr>
  </w:style>
  <w:style w:type="paragraph" w:styleId="844" w:customStyle="1">
    <w:name w:val="列出段落3"/>
    <w:basedOn w:val="635"/>
    <w:uiPriority w:val="0"/>
    <w:qFormat/>
    <w:pPr>
      <w:ind w:firstLine="420"/>
    </w:pPr>
    <w:rPr>
      <w:szCs w:val="20"/>
    </w:rPr>
  </w:style>
  <w:style w:type="numbering" w:styleId="74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huangjun</cp:lastModifiedBy>
  <cp:revision>192</cp:revision>
  <dcterms:created xsi:type="dcterms:W3CDTF">2014-10-29T12:08:00Z</dcterms:created>
  <dcterms:modified xsi:type="dcterms:W3CDTF">2026-10-27T05:09:42Z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044CA59DA58D479CAB6DE1C3A700DC63_13</vt:lpwstr>
  </property>
  <property fmtid="{D5CDD505-2E9C-101B-9397-08002B2CF9AE}" pid="4" name="KSOTemplateDocerSaveRecord">
    <vt:lpwstr>eyJoZGlkIjoiYWEzMjZlMjU2ZGY5MDFjYWZjNDIzMDU5ODJmZjgyMmQiLCJ1c2VySWQiOiI1NzEwNTg2MDAifQ==</vt:lpwstr>
  </property>
</Properties>
</file>