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71"/>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eastAsia="黑体"/>
          <w:b/>
          <w:bCs/>
          <w:color w:val="000000"/>
          <w:sz w:val="84"/>
          <w:szCs w:val="24"/>
          <w:highlight w:val="none"/>
        </w:rPr>
      </w:r>
      <w:r/>
    </w:p>
    <w:p>
      <w:pPr>
        <w:pStyle w:val="871"/>
        <w:ind w:firstLine="1606"/>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项目名称：海安市实验中学外迁工程智能化建设</w:t>
      </w:r>
      <w:r>
        <w:rPr>
          <w:rFonts w:hint="eastAsia" w:ascii="Arial" w:hAnsi="Arial"/>
          <w:b/>
          <w:bCs/>
          <w:color w:val="000000"/>
          <w:sz w:val="32"/>
          <w:szCs w:val="24"/>
          <w:highlight w:val="none"/>
        </w:rPr>
      </w:r>
      <w:r/>
    </w:p>
    <w:p>
      <w:pPr>
        <w:pStyle w:val="871"/>
        <w:ind w:firstLine="1606"/>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项目编号：JSZC-320685-JZCG-G2026-0025</w:t>
      </w:r>
      <w:r>
        <w:rPr>
          <w:rFonts w:hint="eastAsia" w:ascii="Arial" w:hAnsi="Arial"/>
          <w:b/>
          <w:bCs/>
          <w:color w:val="000000"/>
          <w:sz w:val="32"/>
          <w:szCs w:val="24"/>
          <w:highlight w:val="none"/>
        </w:rPr>
      </w:r>
      <w:r/>
    </w:p>
    <w:p>
      <w:pPr>
        <w:pStyle w:val="871"/>
        <w:ind w:left="2100" w:hanging="2100"/>
        <w:rPr>
          <w:rFonts w:hint="eastAsia" w:ascii="Times New Roman" w:hAnsi="Times New Roman"/>
          <w:b/>
          <w:color w:val="000000"/>
          <w:sz w:val="30"/>
          <w:szCs w:val="30"/>
          <w:highlight w:val="none"/>
        </w:rPr>
      </w:pPr>
      <w:r>
        <w:rPr>
          <w:rFonts w:hint="eastAsia" w:ascii="Times New Roman" w:hAnsi="Times New Roman"/>
          <w:color w:val="000000"/>
          <w:szCs w:val="21"/>
          <w:highlight w:val="none"/>
        </w:rPr>
        <w:t xml:space="preserve">           </w:t>
      </w:r>
      <w:r>
        <w:rPr>
          <w:rFonts w:hint="eastAsia" w:ascii="Times New Roman" w:hAnsi="Times New Roman"/>
          <w:b/>
          <w:color w:val="000000"/>
          <w:sz w:val="30"/>
          <w:szCs w:val="30"/>
          <w:highlight w:val="none"/>
        </w:rPr>
        <w:t xml:space="preserve">     </w:t>
      </w:r>
      <w:r>
        <w:rPr>
          <w:rFonts w:hint="eastAsia" w:ascii="Times New Roman" w:hAnsi="Times New Roman"/>
          <w:b/>
          <w:color w:val="000000"/>
          <w:sz w:val="30"/>
          <w:szCs w:val="30"/>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71"/>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71"/>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71"/>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71"/>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71"/>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海安市公共资源交易中心</w:t>
      </w:r>
      <w:r>
        <w:rPr>
          <w:rFonts w:hint="eastAsia" w:ascii="Arial" w:hAnsi="Arial"/>
          <w:b/>
          <w:bCs/>
          <w:color w:val="000000"/>
          <w:sz w:val="32"/>
          <w:szCs w:val="24"/>
          <w:highlight w:val="none"/>
        </w:rPr>
      </w:r>
      <w:r/>
    </w:p>
    <w:p>
      <w:pPr>
        <w:pStyle w:val="871"/>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2</w:t>
      </w:r>
      <w:r>
        <w:rPr>
          <w:rFonts w:hint="eastAsia" w:ascii="Arial" w:hAnsi="Arial"/>
          <w:b/>
          <w:bCs/>
          <w:color w:val="000000"/>
          <w:sz w:val="32"/>
          <w:szCs w:val="24"/>
          <w:highlight w:val="none"/>
          <w:lang w:val="en-US" w:eastAsia="zh-CN"/>
        </w:rPr>
        <w:t xml:space="preserve">026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9</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lang w:val="en-US" w:eastAsia="zh-CN"/>
        </w:rPr>
        <w:t xml:space="preserve">3</w:t>
      </w:r>
      <w:r>
        <w:rPr>
          <w:rFonts w:hint="eastAsia" w:ascii="Arial" w:hAnsi="Arial"/>
          <w:b/>
          <w:bCs/>
          <w:color w:val="000000"/>
          <w:sz w:val="32"/>
          <w:szCs w:val="24"/>
          <w:highlight w:val="none"/>
          <w:lang w:val="en-US" w:eastAsia="zh-CN"/>
        </w:rPr>
        <w:t xml:space="preserve">0</w:t>
      </w:r>
      <w:r>
        <w:rPr>
          <w:rFonts w:hint="eastAsia" w:ascii="Arial" w:hAnsi="Arial"/>
          <w:b/>
          <w:bCs/>
          <w:color w:val="000000"/>
          <w:sz w:val="32"/>
          <w:szCs w:val="24"/>
          <w:highlight w:val="none"/>
        </w:rPr>
        <w:t xml:space="preserve">日</w:t>
      </w:r>
      <w:r>
        <w:rPr>
          <w:rFonts w:hint="eastAsia" w:ascii="Arial" w:hAnsi="Arial"/>
          <w:b/>
          <w:bCs/>
          <w:color w:val="000000"/>
          <w:sz w:val="32"/>
          <w:szCs w:val="24"/>
          <w:highlight w:val="none"/>
        </w:rPr>
      </w:r>
      <w:r/>
    </w:p>
    <w:p>
      <w:pPr>
        <w:pStyle w:val="871"/>
        <w:jc w:val="left"/>
        <w:spacing w:before="120" w:after="120" w:line="360" w:lineRule="auto"/>
        <w:rPr>
          <w:rFonts w:ascii="黑体" w:hAnsi="Arial" w:eastAsia="黑体"/>
          <w:b/>
          <w:color w:val="000000"/>
          <w:sz w:val="44"/>
          <w:szCs w:val="21"/>
          <w:highlight w:val="none"/>
        </w:rPr>
      </w:pPr>
      <w:r>
        <w:rPr>
          <w:rFonts w:hint="eastAsia" w:ascii="Arial" w:hAnsi="Arial"/>
          <w:color w:val="000000"/>
          <w:sz w:val="24"/>
          <w:szCs w:val="24"/>
          <w:highlight w:val="none"/>
        </w:rPr>
        <w:t xml:space="preserve">                   </w:t>
      </w:r>
      <w:bookmarkStart w:id="0" w:name="_Toc120614210"/>
      <w:r/>
      <w:bookmarkStart w:id="1" w:name="_Toc479757206"/>
      <w:r/>
      <w:bookmarkStart w:id="2" w:name="_Toc16938516"/>
      <w:r/>
      <w:bookmarkStart w:id="3" w:name="_Toc20823272"/>
      <w:r/>
      <w:bookmarkStart w:id="4" w:name="_Toc513029200"/>
      <w:r/>
      <w:bookmarkStart w:id="5" w:name="_Toc523127445"/>
      <w:r>
        <w:rPr>
          <w:rFonts w:ascii="黑体" w:hAnsi="Arial" w:eastAsia="黑体"/>
          <w:b/>
          <w:color w:val="000000"/>
          <w:sz w:val="44"/>
          <w:szCs w:val="21"/>
          <w:highlight w:val="none"/>
        </w:rPr>
      </w:r>
      <w:r/>
    </w:p>
    <w:p>
      <w:pPr>
        <w:pStyle w:val="871"/>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871"/>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871"/>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r>
      <w:r/>
    </w:p>
    <w:p>
      <w:pPr>
        <w:pStyle w:val="871"/>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r>
      <w:r/>
    </w:p>
    <w:p>
      <w:pPr>
        <w:pStyle w:val="871"/>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jc w:val="center"/>
        <w:keepNext/>
        <w:spacing w:line="560" w:lineRule="exac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 xml:space="preserve">投标邀请</w:t>
      </w:r>
      <w:r>
        <w:rPr>
          <w:rFonts w:hint="eastAsia" w:ascii="黑体" w:hAnsi="Times New Roman" w:eastAsia="黑体"/>
          <w:bCs/>
          <w:color w:val="000000"/>
          <w:sz w:val="44"/>
          <w:szCs w:val="44"/>
          <w:highlight w:val="none"/>
        </w:rPr>
      </w:r>
      <w:r/>
    </w:p>
    <w:p>
      <w:pPr>
        <w:pStyle w:val="87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受海安市实验中学的委托，海安市公共资源中心就海安市实验中学外迁工程智能化建设(项目编号：JSZC-320685-JZCG-G2026-0025)进行公开招标采购，欢迎符合条件的供应商投标。</w:t>
      </w:r>
      <w:r>
        <w:rPr>
          <w:rFonts w:ascii="宋体" w:hAnsi="宋体"/>
          <w:color w:val="000000"/>
          <w:sz w:val="24"/>
          <w:szCs w:val="24"/>
          <w:highlight w:val="none"/>
        </w:rPr>
      </w:r>
      <w:r/>
    </w:p>
    <w:p>
      <w:pPr>
        <w:pStyle w:val="871"/>
        <w:ind w:firstLine="480"/>
        <w:spacing w:line="5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71"/>
        <w:ind w:firstLine="480"/>
        <w:spacing w:line="5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海安市实验中学外迁工程智能化建设的潜在投标人可在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2026</w:t>
      </w:r>
      <w:r>
        <w:rPr>
          <w:rFonts w:ascii="宋体" w:hAnsi="宋体"/>
          <w:color w:val="000000"/>
          <w:sz w:val="24"/>
          <w:szCs w:val="24"/>
          <w:highlight w:val="none"/>
          <w:u w:val="single"/>
        </w:rPr>
        <w:t xml:space="preserve">  </w:t>
      </w:r>
      <w:r>
        <w:rPr>
          <w:rFonts w:hint="eastAsia" w:ascii="宋体" w:hAnsi="宋体"/>
          <w:bCs/>
          <w:color w:val="000000"/>
          <w:sz w:val="24"/>
          <w:szCs w:val="24"/>
          <w:highlight w:val="none"/>
          <w:u w:val="single"/>
        </w:rPr>
        <w:t xml:space="preserve">年 </w:t>
      </w:r>
      <w:r>
        <w:rPr>
          <w:rFonts w:hint="eastAsia" w:ascii="宋体" w:hAnsi="宋体"/>
          <w:bCs/>
          <w:color w:val="000000"/>
          <w:sz w:val="24"/>
          <w:szCs w:val="24"/>
          <w:highlight w:val="none"/>
          <w:u w:val="single"/>
          <w:lang w:val="en-US" w:eastAsia="zh-CN"/>
        </w:rPr>
        <w:t xml:space="preserve">10</w:t>
      </w:r>
      <w:r>
        <w:rPr>
          <w:rFonts w:hint="eastAsia" w:ascii="宋体" w:hAnsi="宋体"/>
          <w:bCs/>
          <w:color w:val="000000"/>
          <w:sz w:val="24"/>
          <w:szCs w:val="24"/>
          <w:highlight w:val="none"/>
          <w:u w:val="single"/>
        </w:rPr>
        <w:t xml:space="preserve"> 月 </w:t>
      </w:r>
      <w:r>
        <w:rPr>
          <w:rFonts w:hint="eastAsia" w:ascii="宋体" w:hAnsi="宋体"/>
          <w:bCs/>
          <w:color w:val="000000"/>
          <w:sz w:val="24"/>
          <w:szCs w:val="24"/>
          <w:highlight w:val="none"/>
          <w:u w:val="single"/>
          <w:lang w:val="en-US" w:eastAsia="zh-CN"/>
        </w:rPr>
        <w:t xml:space="preserve">21</w:t>
      </w:r>
      <w:r>
        <w:rPr>
          <w:rFonts w:hint="eastAsia" w:ascii="宋体" w:hAnsi="宋体"/>
          <w:bCs/>
          <w:color w:val="000000"/>
          <w:sz w:val="24"/>
          <w:szCs w:val="24"/>
          <w:highlight w:val="none"/>
          <w:u w:val="single"/>
        </w:rPr>
        <w:t xml:space="preserve"> 日  </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  点  </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u w:val="single"/>
        </w:rPr>
        <w:t xml:space="preserve">  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1"/>
        <w:ind w:firstLine="498"/>
        <w:keepLines/>
        <w:keepNext/>
        <w:spacing w:line="560" w:lineRule="exact"/>
        <w:rPr>
          <w:rFonts w:ascii="Times New Roman" w:hAnsi="Times New Roman"/>
          <w:b/>
          <w:bCs/>
          <w:color w:val="000000"/>
          <w:sz w:val="32"/>
          <w:szCs w:val="32"/>
          <w:highlight w:val="none"/>
        </w:rPr>
        <w:outlineLvl w:val="2"/>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Times New Roman" w:hAnsi="Times New Roman"/>
          <w:b/>
          <w:bCs/>
          <w:color w:val="000000"/>
          <w:sz w:val="32"/>
          <w:szCs w:val="32"/>
          <w:highlight w:val="none"/>
        </w:rPr>
        <w:t xml:space="preserve">一、项目基本情况</w:t>
      </w:r>
      <w:bookmarkEnd w:id="6"/>
      <w:r/>
      <w:bookmarkEnd w:id="7"/>
      <w:r/>
      <w:bookmarkEnd w:id="8"/>
      <w:r/>
      <w:bookmarkEnd w:id="9"/>
      <w:r/>
      <w:bookmarkEnd w:id="10"/>
      <w:r>
        <w:rPr>
          <w:rFonts w:ascii="Times New Roman" w:hAnsi="Times New Roman"/>
          <w:b/>
          <w:bCs/>
          <w:color w:val="000000"/>
          <w:sz w:val="32"/>
          <w:szCs w:val="32"/>
          <w:highlight w:val="none"/>
        </w:rPr>
      </w:r>
      <w:r/>
    </w:p>
    <w:p>
      <w:pPr>
        <w:pStyle w:val="87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1.项目编号：JSZC-320685-JZCG-G2026-0025</w:t>
      </w:r>
      <w:r>
        <w:rPr>
          <w:rFonts w:ascii="宋体" w:hAnsi="宋体"/>
          <w:color w:val="000000"/>
          <w:sz w:val="24"/>
          <w:szCs w:val="24"/>
          <w:highlight w:val="none"/>
        </w:rPr>
      </w:r>
      <w:r/>
    </w:p>
    <w:p>
      <w:pPr>
        <w:pStyle w:val="87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2.项目名称：海安市实验中学外迁工程智能化建设</w:t>
      </w:r>
      <w:r>
        <w:rPr>
          <w:rFonts w:ascii="宋体" w:hAnsi="宋体"/>
          <w:color w:val="000000"/>
          <w:sz w:val="24"/>
          <w:szCs w:val="24"/>
          <w:highlight w:val="none"/>
        </w:rPr>
      </w:r>
      <w:r/>
    </w:p>
    <w:p>
      <w:pPr>
        <w:pStyle w:val="871"/>
        <w:ind w:firstLine="480"/>
        <w:spacing w:line="560" w:lineRule="exact"/>
        <w:rPr>
          <w:rFonts w:hint="eastAsia" w:ascii="宋体" w:hAnsi="宋体" w:eastAsia="宋体"/>
          <w:color w:val="000000"/>
          <w:sz w:val="24"/>
          <w:szCs w:val="24"/>
          <w:highlight w:val="none"/>
          <w:lang w:val="en-US" w:eastAsia="zh-CN"/>
        </w:rPr>
      </w:pPr>
      <w:r/>
      <w:bookmarkEnd w:id="11"/>
      <w:r>
        <w:rPr>
          <w:rFonts w:hint="eastAsia" w:ascii="宋体" w:hAnsi="宋体"/>
          <w:color w:val="000000"/>
          <w:sz w:val="24"/>
          <w:szCs w:val="24"/>
          <w:highlight w:val="none"/>
        </w:rPr>
        <w:t xml:space="preserve">3.项目类型：</w:t>
      </w:r>
      <w:r>
        <w:rPr>
          <w:rFonts w:hint="eastAsia" w:ascii="宋体" w:hAnsi="宋体"/>
          <w:color w:val="000000"/>
          <w:sz w:val="24"/>
          <w:szCs w:val="24"/>
          <w:highlight w:val="none"/>
          <w:lang w:val="en-US" w:eastAsia="zh-CN"/>
        </w:rPr>
        <w:t xml:space="preserve">货物</w:t>
      </w:r>
      <w:r>
        <w:rPr>
          <w:rFonts w:hint="eastAsia" w:ascii="宋体" w:hAnsi="宋体" w:eastAsia="宋体"/>
          <w:color w:val="000000"/>
          <w:sz w:val="24"/>
          <w:szCs w:val="24"/>
          <w:highlight w:val="none"/>
          <w:lang w:val="en-US" w:eastAsia="zh-CN"/>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4.项目行业：详细内容见本招标文件第三章。</w:t>
      </w:r>
      <w:r>
        <w:rPr>
          <w:rFonts w:hint="eastAsia" w:ascii="宋体" w:hAnsi="宋体"/>
          <w:color w:val="000000"/>
          <w:sz w:val="24"/>
          <w:szCs w:val="24"/>
          <w:highlight w:val="none"/>
        </w:rPr>
      </w:r>
      <w:r/>
    </w:p>
    <w:p>
      <w:pPr>
        <w:pStyle w:val="871"/>
        <w:ind w:firstLine="480"/>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5.预算金额：</w:t>
      </w:r>
      <w:r>
        <w:rPr>
          <w:rFonts w:hint="eastAsia" w:ascii="宋体" w:hAnsi="宋体"/>
          <w:color w:val="000000"/>
          <w:sz w:val="24"/>
          <w:szCs w:val="24"/>
          <w:highlight w:val="none"/>
          <w:lang w:val="en-US" w:eastAsia="zh-CN"/>
        </w:rPr>
        <w:t xml:space="preserve">1029.3</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采购包一：547.5万元，采购包二：481.8万元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6.最高限价：</w:t>
      </w:r>
      <w:r>
        <w:rPr>
          <w:rFonts w:hint="eastAsia" w:ascii="宋体" w:hAnsi="宋体"/>
          <w:color w:val="000000"/>
          <w:sz w:val="24"/>
          <w:szCs w:val="24"/>
          <w:highlight w:val="none"/>
          <w:lang w:val="en-US" w:eastAsia="zh-CN"/>
        </w:rPr>
        <w:t xml:space="preserve">1029.3</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采购包一最高限价547.5万元，采购包二最高限价481.8万元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，投标报价超过最高限价的投标将作为无效投标处理。</w:t>
      </w:r>
      <w:r>
        <w:rPr>
          <w:rFonts w:hint="eastAsia" w:ascii="宋体" w:hAnsi="宋体"/>
          <w:color w:val="000000"/>
          <w:sz w:val="24"/>
          <w:szCs w:val="24"/>
          <w:highlight w:val="none"/>
        </w:rPr>
      </w:r>
      <w:r/>
    </w:p>
    <w:p>
      <w:pPr>
        <w:pStyle w:val="871"/>
        <w:ind w:firstLine="480"/>
        <w:spacing w:line="56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7.采购需求：</w:t>
      </w:r>
      <w:r>
        <w:rPr>
          <w:rFonts w:hint="eastAsia" w:ascii="宋体" w:hAnsi="宋体" w:cs="宋体"/>
          <w:color w:val="000000"/>
          <w:sz w:val="24"/>
          <w:szCs w:val="24"/>
          <w:highlight w:val="none"/>
        </w:rPr>
        <w:t xml:space="preserve">详细内容见本招标文件第三章，</w:t>
      </w:r>
      <w:r>
        <w:rPr>
          <w:rFonts w:ascii="宋体" w:hAnsi="宋体" w:cs="宋体"/>
          <w:color w:val="000000"/>
          <w:sz w:val="24"/>
          <w:szCs w:val="24"/>
          <w:highlight w:val="none"/>
        </w:rPr>
        <w:t xml:space="preserve">请仔细研究。</w:t>
      </w:r>
      <w:r>
        <w:rPr>
          <w:rFonts w:ascii="宋体" w:hAnsi="宋体" w:cs="宋体"/>
          <w:color w:val="000000"/>
          <w:sz w:val="24"/>
          <w:szCs w:val="24"/>
          <w:highlight w:val="none"/>
        </w:rPr>
      </w:r>
      <w:r/>
    </w:p>
    <w:p>
      <w:pPr>
        <w:pStyle w:val="871"/>
        <w:ind w:firstLine="480"/>
        <w:spacing w:line="56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8.合同履行期限：</w:t>
      </w:r>
      <w:r>
        <w:rPr>
          <w:rFonts w:hint="eastAsia" w:ascii="宋体" w:hAnsi="宋体"/>
          <w:color w:val="000000"/>
          <w:sz w:val="24"/>
          <w:szCs w:val="24"/>
          <w:highlight w:val="none"/>
          <w:lang w:val="en-US" w:eastAsia="zh-CN"/>
        </w:rPr>
        <w:t xml:space="preserve">三年</w:t>
      </w:r>
      <w:r>
        <w:rPr>
          <w:rFonts w:ascii="宋体" w:hAnsi="宋体"/>
          <w:color w:val="000000"/>
          <w:sz w:val="24"/>
          <w:szCs w:val="24"/>
          <w:highlight w:val="none"/>
          <w:u w:val="single"/>
        </w:rPr>
      </w:r>
      <w:r/>
    </w:p>
    <w:p>
      <w:pPr>
        <w:pStyle w:val="871"/>
        <w:ind w:firstLine="498"/>
        <w:keepLines/>
        <w:keepNext/>
        <w:spacing w:line="560" w:lineRule="exact"/>
        <w:rPr>
          <w:rFonts w:ascii="Times New Roman" w:hAnsi="Times New Roman"/>
          <w:b/>
          <w:bCs/>
          <w:color w:val="000000"/>
          <w:sz w:val="32"/>
          <w:szCs w:val="32"/>
          <w:highlight w:val="none"/>
        </w:rPr>
        <w:outlineLvl w:val="2"/>
      </w:pPr>
      <w:r/>
      <w:bookmarkStart w:id="12" w:name="_Toc38985264"/>
      <w:r/>
      <w:bookmarkStart w:id="13" w:name="_Toc28359080"/>
      <w:r/>
      <w:bookmarkStart w:id="14" w:name="_Toc35393791"/>
      <w:r/>
      <w:bookmarkStart w:id="15" w:name="_Toc35393622"/>
      <w:r/>
      <w:bookmarkStart w:id="16" w:name="_Toc28359003"/>
      <w:r>
        <w:rPr>
          <w:rFonts w:hint="eastAsia" w:ascii="Times New Roman" w:hAnsi="Times New Roman"/>
          <w:b/>
          <w:bCs/>
          <w:color w:val="000000"/>
          <w:sz w:val="32"/>
          <w:szCs w:val="32"/>
          <w:highlight w:val="none"/>
        </w:rPr>
        <w:t xml:space="preserve">二、申请人的资格要求：</w:t>
      </w:r>
      <w:bookmarkEnd w:id="12"/>
      <w:r/>
      <w:bookmarkEnd w:id="13"/>
      <w:r/>
      <w:bookmarkEnd w:id="14"/>
      <w:r/>
      <w:bookmarkEnd w:id="15"/>
      <w:r/>
      <w:bookmarkEnd w:id="16"/>
      <w:r>
        <w:rPr>
          <w:rFonts w:ascii="Times New Roman" w:hAnsi="Times New Roman"/>
          <w:b/>
          <w:bCs/>
          <w:color w:val="000000"/>
          <w:sz w:val="32"/>
          <w:szCs w:val="32"/>
          <w:highlight w:val="none"/>
        </w:rPr>
      </w:r>
      <w:r/>
    </w:p>
    <w:p>
      <w:pPr>
        <w:pStyle w:val="871"/>
        <w:ind w:firstLine="480"/>
        <w:spacing w:line="560" w:lineRule="exact"/>
        <w:rPr>
          <w:rFonts w:hint="eastAsia" w:ascii="宋体" w:hAnsi="宋体"/>
          <w:color w:val="000000"/>
          <w:sz w:val="24"/>
          <w:szCs w:val="24"/>
          <w:highlight w:val="none"/>
        </w:rPr>
      </w:pPr>
      <w:r/>
      <w:bookmarkStart w:id="17" w:name="_Toc38985265"/>
      <w:r/>
      <w:bookmarkStart w:id="18" w:name="_Toc35393792"/>
      <w:r/>
      <w:bookmarkStart w:id="19" w:name="_Toc28359004"/>
      <w:r/>
      <w:bookmarkStart w:id="20" w:name="_Toc28359081"/>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1.满足《中华人民共和国政府采购法》第二十二条规定。（按附件1格式进行声明并提供营业执照，投标文件中无需提供其他证明材料）</w:t>
      </w:r>
      <w:r>
        <w:rPr>
          <w:rFonts w:ascii="宋体" w:hAnsi="宋体"/>
          <w:color w:val="000000"/>
          <w:sz w:val="24"/>
          <w:szCs w:val="24"/>
          <w:highlight w:val="none"/>
        </w:rPr>
      </w:r>
      <w:r/>
    </w:p>
    <w:p>
      <w:pPr>
        <w:pStyle w:val="871"/>
        <w:ind w:firstLine="480"/>
        <w:spacing w:line="56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r>
        <w:rPr>
          <w:rFonts w:hint="eastAsia" w:ascii="华文新魏" w:hAnsi="宋体" w:eastAsia="华文新魏"/>
          <w:color w:val="000000"/>
          <w:sz w:val="36"/>
          <w:szCs w:val="36"/>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3.落实政府采购政策需满足的资格要求：无。</w:t>
      </w:r>
      <w:r>
        <w:rPr>
          <w:rFonts w:hint="eastAsia" w:ascii="宋体" w:hAnsi="宋体"/>
          <w:color w:val="000000"/>
          <w:sz w:val="24"/>
          <w:szCs w:val="24"/>
          <w:highlight w:val="none"/>
        </w:rPr>
      </w:r>
      <w:r/>
    </w:p>
    <w:p>
      <w:pPr>
        <w:pStyle w:val="871"/>
        <w:ind w:firstLine="480"/>
        <w:spacing w:line="56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4.本项目不接受联合体投标。</w:t>
      </w:r>
      <w:r>
        <w:rPr>
          <w:rFonts w:hint="eastAsia" w:ascii="宋体" w:hAnsi="宋体" w:cs="宋体"/>
          <w:color w:val="000000"/>
          <w:sz w:val="24"/>
          <w:szCs w:val="24"/>
          <w:highlight w:val="none"/>
        </w:rPr>
      </w:r>
      <w:r/>
    </w:p>
    <w:p>
      <w:pPr>
        <w:pStyle w:val="8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5.本项目</w:t>
      </w:r>
      <w:r>
        <w:rPr>
          <w:rFonts w:hint="eastAsia" w:ascii="宋体" w:hAnsi="宋体"/>
          <w:color w:val="000000"/>
          <w:sz w:val="24"/>
          <w:szCs w:val="24"/>
          <w:highlight w:val="none"/>
        </w:rPr>
        <w:t xml:space="preserve">不接受分包。</w:t>
      </w:r>
      <w:r>
        <w:rPr>
          <w:rFonts w:ascii="宋体" w:hAnsi="宋体" w:cs="宋体"/>
          <w:color w:val="000000"/>
          <w:sz w:val="24"/>
          <w:szCs w:val="24"/>
          <w:highlight w:val="none"/>
        </w:rPr>
      </w:r>
      <w:r/>
    </w:p>
    <w:p>
      <w:pPr>
        <w:pStyle w:val="87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ascii="宋体" w:hAnsi="宋体"/>
          <w:color w:val="000000"/>
          <w:sz w:val="24"/>
          <w:szCs w:val="24"/>
          <w:highlight w:val="none"/>
        </w:rPr>
      </w:r>
      <w:r/>
    </w:p>
    <w:p>
      <w:pPr>
        <w:pStyle w:val="871"/>
        <w:ind w:firstLine="847"/>
        <w:keepLines/>
        <w:keepNext/>
        <w:spacing w:line="560" w:lineRule="exact"/>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无</w:t>
      </w:r>
      <w:r>
        <w:rPr>
          <w:rFonts w:hint="eastAsia" w:ascii="宋体" w:hAnsi="宋体"/>
          <w:color w:val="000000"/>
          <w:sz w:val="24"/>
          <w:szCs w:val="24"/>
          <w:highlight w:val="none"/>
          <w:lang w:val="en-US" w:eastAsia="zh-CN"/>
        </w:rPr>
      </w:r>
      <w:r/>
    </w:p>
    <w:p>
      <w:pPr>
        <w:pStyle w:val="871"/>
        <w:ind w:firstLine="498"/>
        <w:keepLines/>
        <w:keepNext/>
        <w:spacing w:line="560" w:lineRule="exact"/>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三、获取招标文件</w:t>
      </w:r>
      <w:bookmarkEnd w:id="17"/>
      <w:r/>
      <w:bookmarkEnd w:id="18"/>
      <w:r/>
      <w:bookmarkEnd w:id="19"/>
      <w:r/>
      <w:bookmarkEnd w:id="20"/>
      <w:r/>
      <w:bookmarkEnd w:id="21"/>
      <w:r>
        <w:rPr>
          <w:rFonts w:ascii="Times New Roman" w:hAnsi="Times New Roman"/>
          <w:b/>
          <w:bCs/>
          <w:color w:val="000000"/>
          <w:sz w:val="32"/>
          <w:szCs w:val="32"/>
          <w:highlight w:val="none"/>
        </w:rPr>
      </w:r>
      <w:r/>
    </w:p>
    <w:p>
      <w:pPr>
        <w:pStyle w:val="871"/>
        <w:ind w:firstLine="540"/>
        <w:spacing w:line="560" w:lineRule="exact"/>
        <w:rPr>
          <w:rFonts w:hint="eastAsia" w:ascii="宋体" w:hAnsi="宋体" w:cs="宋体"/>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1.时间：自招标文件公告发布之日起5个工作日。</w:t>
      </w:r>
      <w:r>
        <w:rPr>
          <w:rFonts w:hint="eastAsia" w:ascii="宋体" w:hAnsi="宋体" w:cs="宋体"/>
          <w:color w:val="000000"/>
          <w:sz w:val="24"/>
          <w:szCs w:val="24"/>
          <w:highlight w:val="none"/>
        </w:rPr>
      </w:r>
      <w:r/>
    </w:p>
    <w:p>
      <w:pPr>
        <w:pStyle w:val="871"/>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2.方式：在“江苏政府采购网”自行免费下载招标文件。</w:t>
      </w:r>
      <w:r>
        <w:rPr>
          <w:rFonts w:hint="eastAsia" w:ascii="宋体" w:hAnsi="宋体" w:cs="宋体"/>
          <w:color w:val="000000"/>
          <w:sz w:val="24"/>
          <w:szCs w:val="24"/>
          <w:highlight w:val="none"/>
        </w:rPr>
      </w:r>
      <w:r/>
    </w:p>
    <w:p>
      <w:pPr>
        <w:pStyle w:val="871"/>
        <w:ind w:firstLine="498"/>
        <w:keepLines/>
        <w:keepNext/>
        <w:spacing w:line="560" w:lineRule="exact"/>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四、提交投标文件</w:t>
      </w:r>
      <w:bookmarkEnd w:id="22"/>
      <w:r/>
      <w:bookmarkEnd w:id="23"/>
      <w:r>
        <w:rPr>
          <w:rFonts w:hint="eastAsia" w:ascii="Times New Roman" w:hAnsi="Times New Roman"/>
          <w:b/>
          <w:bCs/>
          <w:color w:val="000000"/>
          <w:sz w:val="32"/>
          <w:szCs w:val="32"/>
          <w:highlight w:val="none"/>
        </w:rPr>
        <w:t xml:space="preserve">截止时间、开标时间和地点</w:t>
      </w:r>
      <w:bookmarkEnd w:id="24"/>
      <w:r/>
      <w:bookmarkEnd w:id="25"/>
      <w:r/>
      <w:bookmarkEnd w:id="26"/>
      <w:r>
        <w:rPr>
          <w:rFonts w:ascii="Times New Roman" w:hAnsi="Times New Roman"/>
          <w:b/>
          <w:bCs/>
          <w:color w:val="000000"/>
          <w:sz w:val="32"/>
          <w:szCs w:val="32"/>
          <w:highlight w:val="none"/>
        </w:rPr>
      </w:r>
      <w:r/>
    </w:p>
    <w:p>
      <w:pPr>
        <w:pStyle w:val="871"/>
        <w:ind w:firstLine="480"/>
        <w:spacing w:line="56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 年 </w:t>
      </w:r>
      <w:r>
        <w:rPr>
          <w:rFonts w:hint="eastAsia" w:ascii="宋体" w:hAnsi="宋体"/>
          <w:bCs/>
          <w:color w:val="000000"/>
          <w:sz w:val="24"/>
          <w:szCs w:val="24"/>
          <w:highlight w:val="none"/>
          <w:u w:val="single"/>
          <w:lang w:val="en-US" w:eastAsia="zh-CN"/>
        </w:rPr>
        <w:t xml:space="preserve">10</w:t>
      </w:r>
      <w:r>
        <w:rPr>
          <w:rFonts w:hint="eastAsia" w:ascii="宋体" w:hAnsi="宋体"/>
          <w:bCs/>
          <w:color w:val="000000"/>
          <w:sz w:val="24"/>
          <w:szCs w:val="24"/>
          <w:highlight w:val="none"/>
          <w:u w:val="single"/>
        </w:rPr>
        <w:t xml:space="preserve"> 月 </w:t>
      </w:r>
      <w:r>
        <w:rPr>
          <w:rFonts w:hint="eastAsia" w:ascii="宋体" w:hAnsi="宋体"/>
          <w:bCs/>
          <w:color w:val="000000"/>
          <w:sz w:val="24"/>
          <w:szCs w:val="24"/>
          <w:highlight w:val="none"/>
          <w:u w:val="single"/>
          <w:lang w:val="en-US" w:eastAsia="zh-CN"/>
        </w:rPr>
        <w:t xml:space="preserve">21</w:t>
      </w:r>
      <w:r>
        <w:rPr>
          <w:rFonts w:hint="eastAsia" w:ascii="宋体" w:hAnsi="宋体"/>
          <w:bCs/>
          <w:color w:val="000000"/>
          <w:sz w:val="24"/>
          <w:szCs w:val="24"/>
          <w:highlight w:val="none"/>
          <w:u w:val="single"/>
        </w:rPr>
        <w:t xml:space="preserve"> 日  </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  点  </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u w:val="single"/>
        </w:rPr>
        <w:t xml:space="preserve">  分</w:t>
      </w:r>
      <w:r>
        <w:rPr>
          <w:rFonts w:hint="eastAsia" w:ascii="宋体" w:hAnsi="宋体"/>
          <w:bCs/>
          <w:color w:val="000000"/>
          <w:sz w:val="24"/>
          <w:szCs w:val="24"/>
          <w:highlight w:val="none"/>
        </w:rPr>
        <w:t xml:space="preserve">（北京时间）。</w:t>
      </w:r>
      <w:r>
        <w:rPr>
          <w:rFonts w:hint="eastAsia" w:ascii="宋体" w:hAnsi="宋体" w:cs="宋体"/>
          <w:color w:val="000000"/>
          <w:sz w:val="24"/>
          <w:szCs w:val="24"/>
          <w:highlight w:val="none"/>
        </w:rPr>
        <w:t xml:space="preserve">（自招标文件开始发出之日起至投标人提交投标文件截止之日止，不得少于20日。）</w:t>
      </w:r>
      <w:r>
        <w:rPr>
          <w:rFonts w:ascii="宋体" w:hAnsi="宋体"/>
          <w:bCs/>
          <w:color w:val="000000"/>
          <w:sz w:val="24"/>
          <w:szCs w:val="24"/>
          <w:highlight w:val="none"/>
          <w:u w:val="singl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2.地点：“苏采云”政府采购交易系统网上开标大厅。</w:t>
      </w:r>
      <w:r>
        <w:rPr>
          <w:rFonts w:hint="eastAsia" w:ascii="宋体" w:hAnsi="宋体"/>
          <w:color w:val="000000"/>
          <w:sz w:val="24"/>
          <w:szCs w:val="24"/>
          <w:highlight w:val="none"/>
        </w:rPr>
      </w:r>
      <w:r/>
    </w:p>
    <w:p>
      <w:pPr>
        <w:pStyle w:val="871"/>
        <w:ind w:firstLine="480"/>
        <w:spacing w:line="560" w:lineRule="exact"/>
        <w:rPr>
          <w:rFonts w:hint="eastAsia" w:ascii="宋体" w:hAnsi="宋体"/>
          <w:bCs/>
          <w:color w:val="000000"/>
          <w:sz w:val="24"/>
          <w:szCs w:val="24"/>
          <w:highlight w:val="none"/>
          <w:u w:val="single"/>
        </w:rPr>
      </w:pPr>
      <w:r>
        <w:rPr>
          <w:rFonts w:hint="eastAsia" w:ascii="宋体" w:hAnsi="宋体" w:cs="宋体"/>
          <w:color w:val="000000"/>
          <w:sz w:val="24"/>
          <w:szCs w:val="21"/>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000000"/>
          <w:sz w:val="24"/>
          <w:szCs w:val="21"/>
          <w:highlight w:val="none"/>
        </w:rPr>
        <w:t xml:space="preserve">投标供应商解密限定在开标后30分钟之内完成</w:t>
      </w:r>
      <w:r>
        <w:rPr>
          <w:rFonts w:hint="eastAsia" w:ascii="宋体" w:hAnsi="宋体" w:cs="宋体"/>
          <w:color w:val="000000"/>
          <w:sz w:val="24"/>
          <w:szCs w:val="21"/>
          <w:highlight w:val="none"/>
        </w:rPr>
        <w:t xml:space="preserve">。</w:t>
      </w:r>
      <w:r>
        <w:rPr>
          <w:rFonts w:hint="eastAsia" w:ascii="宋体" w:hAnsi="宋体" w:cs="宋体"/>
          <w:b/>
          <w:color w:val="000000"/>
          <w:sz w:val="24"/>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000000"/>
          <w:sz w:val="24"/>
          <w:szCs w:val="21"/>
          <w:highlight w:val="none"/>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bCs/>
          <w:color w:val="000000"/>
          <w:sz w:val="24"/>
          <w:szCs w:val="24"/>
          <w:highlight w:val="none"/>
          <w:u w:val="single"/>
        </w:rPr>
      </w:r>
      <w:r/>
    </w:p>
    <w:p>
      <w:pPr>
        <w:pStyle w:val="871"/>
        <w:ind w:firstLine="498"/>
        <w:keepLines/>
        <w:keepNext/>
        <w:spacing w:line="560" w:lineRule="exact"/>
        <w:rPr>
          <w:rFonts w:ascii="Times New Roman" w:hAnsi="Times New Roman"/>
          <w:b/>
          <w:bCs/>
          <w:color w:val="000000"/>
          <w:sz w:val="32"/>
          <w:szCs w:val="32"/>
          <w:highlight w:val="none"/>
        </w:rPr>
        <w:outlineLvl w:val="2"/>
      </w:pPr>
      <w:r/>
      <w:bookmarkStart w:id="27" w:name="_Toc35393794"/>
      <w:r/>
      <w:bookmarkStart w:id="28" w:name="_Toc35393625"/>
      <w:r/>
      <w:bookmarkStart w:id="29" w:name="_Toc38985267"/>
      <w:r/>
      <w:bookmarkStart w:id="30" w:name="_Toc28359007"/>
      <w:r/>
      <w:bookmarkStart w:id="31" w:name="_Toc28359084"/>
      <w:r>
        <w:rPr>
          <w:rFonts w:hint="eastAsia" w:ascii="Times New Roman" w:hAnsi="Times New Roman"/>
          <w:b/>
          <w:bCs/>
          <w:color w:val="000000"/>
          <w:sz w:val="32"/>
          <w:szCs w:val="32"/>
          <w:highlight w:val="none"/>
        </w:rPr>
        <w:t xml:space="preserve">五、公告期限</w:t>
      </w:r>
      <w:bookmarkEnd w:id="27"/>
      <w:r/>
      <w:bookmarkEnd w:id="28"/>
      <w:r/>
      <w:bookmarkEnd w:id="29"/>
      <w:r/>
      <w:bookmarkEnd w:id="30"/>
      <w:r/>
      <w:bookmarkEnd w:id="31"/>
      <w:r>
        <w:rPr>
          <w:rFonts w:ascii="Times New Roman" w:hAnsi="Times New Roman"/>
          <w:b/>
          <w:bCs/>
          <w:color w:val="000000"/>
          <w:sz w:val="32"/>
          <w:szCs w:val="32"/>
          <w:highlight w:val="none"/>
        </w:rPr>
      </w:r>
      <w:r/>
    </w:p>
    <w:p>
      <w:pPr>
        <w:pStyle w:val="871"/>
        <w:ind w:firstLine="480"/>
        <w:spacing w:line="560" w:lineRule="exact"/>
        <w:rPr>
          <w:rFonts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871"/>
        <w:ind w:firstLine="498"/>
        <w:keepLines/>
        <w:keepNext/>
        <w:spacing w:line="560" w:lineRule="exact"/>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六、其他补充事宜</w:t>
      </w:r>
      <w:bookmarkEnd w:id="32"/>
      <w:r/>
      <w:bookmarkEnd w:id="33"/>
      <w:r/>
      <w:bookmarkEnd w:id="34"/>
      <w:r>
        <w:rPr>
          <w:rFonts w:ascii="Times New Roman" w:hAnsi="Times New Roman"/>
          <w:b/>
          <w:bCs/>
          <w:color w:val="000000"/>
          <w:sz w:val="32"/>
          <w:szCs w:val="32"/>
          <w:highlight w:val="none"/>
        </w:rPr>
      </w:r>
      <w:r/>
    </w:p>
    <w:p>
      <w:pPr>
        <w:pStyle w:val="87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1.投标保证金：免收</w:t>
      </w:r>
      <w:r>
        <w:rPr>
          <w:rFonts w:hint="eastAsia" w:ascii="宋体" w:hAnsi="宋体" w:cs="宋体"/>
          <w:color w:val="000000"/>
          <w:sz w:val="24"/>
          <w:szCs w:val="24"/>
          <w:highlight w:val="none"/>
        </w:rPr>
      </w:r>
      <w:r/>
    </w:p>
    <w:p>
      <w:pPr>
        <w:pStyle w:val="87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2.项目开标活动模式：不见面远程开标模式，投标人在各自地点通过“苏采云”政府采购交易系统参加开标会。</w:t>
      </w:r>
      <w:r>
        <w:rPr>
          <w:rFonts w:hint="eastAsia" w:ascii="宋体" w:hAnsi="宋体" w:cs="宋体"/>
          <w:color w:val="000000"/>
          <w:sz w:val="24"/>
          <w:szCs w:val="24"/>
          <w:highlight w:val="none"/>
        </w:rPr>
      </w:r>
      <w:r/>
    </w:p>
    <w:p>
      <w:pPr>
        <w:pStyle w:val="87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3.项目演示、样品、答辩等（如有请描述）：有/无</w:t>
      </w:r>
      <w:r>
        <w:rPr>
          <w:rFonts w:hint="eastAsia" w:ascii="宋体" w:hAnsi="宋体" w:cs="宋体"/>
          <w:color w:val="000000"/>
          <w:sz w:val="24"/>
          <w:szCs w:val="24"/>
          <w:highlight w:val="none"/>
        </w:rPr>
      </w:r>
      <w:r/>
    </w:p>
    <w:p>
      <w:pPr>
        <w:pStyle w:val="87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000000"/>
          <w:sz w:val="24"/>
          <w:szCs w:val="24"/>
          <w:highlight w:val="none"/>
        </w:rPr>
      </w:r>
      <w:r/>
    </w:p>
    <w:p>
      <w:pPr>
        <w:pStyle w:val="87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color w:val="000000"/>
          <w:sz w:val="24"/>
          <w:szCs w:val="24"/>
          <w:highlight w:val="none"/>
          <w:u w:val="single"/>
        </w:rPr>
        <w:t xml:space="preserve">http://www.ccgp-jiangsu.gov.cn/jiangsu/zlxz/ee/ee3a4bc5a3454aa2b0d9312230633ce9.html</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7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领取CA和办理电子签章：供应商可选择就近地市自行办理，具体联系方式见《苏采云系统供应商操作手册》（以下简称《操作手册》）），进行注册并按《操作手册》要求制作、上传电子投标文件；也可前往“江苏政务服务网”（www.jszwfw.gov.cn），“一企来办”专栏下“政府采购”模块详细了解关于CA办理、标书制作、开标投标指引等事宜。</w:t>
      </w:r>
      <w:r>
        <w:rPr>
          <w:rFonts w:hint="eastAsia" w:ascii="宋体" w:hAnsi="宋体" w:cs="宋体"/>
          <w:color w:val="000000"/>
          <w:sz w:val="24"/>
          <w:szCs w:val="24"/>
          <w:highlight w:val="none"/>
        </w:rPr>
      </w:r>
      <w:r/>
    </w:p>
    <w:p>
      <w:pPr>
        <w:pStyle w:val="87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cs="宋体"/>
          <w:color w:val="000000"/>
          <w:sz w:val="24"/>
          <w:szCs w:val="24"/>
          <w:highlight w:val="none"/>
        </w:rPr>
      </w:r>
      <w:r/>
    </w:p>
    <w:p>
      <w:pPr>
        <w:pStyle w:val="87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color w:val="000000"/>
          <w:sz w:val="24"/>
          <w:szCs w:val="24"/>
          <w:highlight w:val="none"/>
        </w:rPr>
      </w:r>
      <w:r/>
    </w:p>
    <w:p>
      <w:pPr>
        <w:pStyle w:val="8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7.有关本次招标的事项若存在变动或修改，敬请及时关注海安市公共资源交易中心在“江苏政府采购网”发布的更正公告。</w:t>
      </w:r>
      <w:r>
        <w:rPr>
          <w:rFonts w:ascii="宋体" w:hAnsi="宋体" w:cs="宋体"/>
          <w:color w:val="000000"/>
          <w:sz w:val="24"/>
          <w:szCs w:val="24"/>
          <w:highlight w:val="none"/>
        </w:rPr>
      </w:r>
      <w:r/>
    </w:p>
    <w:p>
      <w:pPr>
        <w:pStyle w:val="871"/>
        <w:ind w:firstLine="498"/>
        <w:keepLines/>
        <w:keepNext/>
        <w:spacing w:line="560" w:lineRule="exact"/>
        <w:rPr>
          <w:rFonts w:ascii="Times New Roman" w:hAnsi="Times New Roman"/>
          <w:b/>
          <w:bCs/>
          <w:color w:val="000000"/>
          <w:sz w:val="32"/>
          <w:szCs w:val="32"/>
          <w:highlight w:val="none"/>
        </w:rPr>
        <w:outlineLvl w:val="2"/>
      </w:pPr>
      <w:r/>
      <w:bookmarkStart w:id="35" w:name="_Toc35393627"/>
      <w:r/>
      <w:bookmarkStart w:id="36" w:name="_Toc28359008"/>
      <w:r/>
      <w:bookmarkStart w:id="37" w:name="_Toc38985269"/>
      <w:r/>
      <w:bookmarkStart w:id="38" w:name="_Toc35393796"/>
      <w:r/>
      <w:bookmarkStart w:id="39" w:name="_Toc28359085"/>
      <w:r>
        <w:rPr>
          <w:rFonts w:hint="eastAsia" w:ascii="Times New Roman" w:hAnsi="Times New Roman"/>
          <w:b/>
          <w:bCs/>
          <w:color w:val="000000"/>
          <w:sz w:val="32"/>
          <w:szCs w:val="32"/>
          <w:highlight w:val="none"/>
        </w:rPr>
        <w:t xml:space="preserve">七、本次招标联系方式</w:t>
      </w:r>
      <w:bookmarkEnd w:id="35"/>
      <w:r/>
      <w:bookmarkEnd w:id="36"/>
      <w:r/>
      <w:bookmarkEnd w:id="37"/>
      <w:r/>
      <w:bookmarkEnd w:id="38"/>
      <w:r/>
      <w:bookmarkEnd w:id="39"/>
      <w:r>
        <w:rPr>
          <w:rFonts w:ascii="Times New Roman" w:hAnsi="Times New Roman"/>
          <w:b/>
          <w:bCs/>
          <w:color w:val="000000"/>
          <w:sz w:val="32"/>
          <w:szCs w:val="32"/>
          <w:highlight w:val="none"/>
        </w:rPr>
      </w:r>
      <w:r/>
    </w:p>
    <w:p>
      <w:pPr>
        <w:pStyle w:val="871"/>
        <w:jc w:val="left"/>
        <w:spacing w:line="56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871"/>
        <w:ind w:left="1079" w:hanging="30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名 称：海安市实验中学</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71"/>
        <w:ind w:left="1079" w:hanging="30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地址：海安市草坝支路8号</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71"/>
        <w:ind w:left="1079" w:hanging="30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黄跃</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71"/>
        <w:ind w:left="1079" w:hanging="30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lang w:val="en-US" w:eastAsia="zh-CN"/>
        </w:rPr>
        <w:t xml:space="preserve">13862702290</w:t>
      </w:r>
      <w:r>
        <w:rPr>
          <w:rFonts w:hint="eastAsia" w:ascii="宋体" w:hAnsi="宋体"/>
          <w:color w:val="000000"/>
          <w:sz w:val="24"/>
          <w:szCs w:val="24"/>
          <w:highlight w:val="none"/>
        </w:rPr>
        <w:t xml:space="preserve"> </w:t>
      </w:r>
      <w:bookmarkStart w:id="40" w:name="_Toc28359086"/>
      <w:r/>
      <w:bookmarkStart w:id="41" w:name="_Toc28359009"/>
      <w:r>
        <w:rPr>
          <w:rFonts w:ascii="宋体" w:hAnsi="宋体"/>
          <w:color w:val="000000"/>
          <w:sz w:val="24"/>
          <w:szCs w:val="24"/>
          <w:highlight w:val="none"/>
        </w:rPr>
      </w:r>
      <w:r/>
    </w:p>
    <w:p>
      <w:pPr>
        <w:pStyle w:val="871"/>
        <w:ind w:left="1079" w:hanging="300"/>
        <w:jc w:val="left"/>
        <w:spacing w:line="56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color w:val="000000"/>
          <w:highlight w:val="none"/>
        </w:rPr>
        <w:t xml:space="preserve"> </w:t>
      </w:r>
      <w:r>
        <w:rPr>
          <w:rFonts w:hint="eastAsia" w:ascii="宋体" w:hAnsi="宋体" w:cs="宋体"/>
          <w:color w:val="000000"/>
          <w:sz w:val="24"/>
          <w:szCs w:val="24"/>
          <w:highlight w:val="none"/>
        </w:rPr>
        <w:t xml:space="preserve">海安市公共资源交易中心</w:t>
      </w:r>
      <w:r>
        <w:rPr>
          <w:rFonts w:ascii="宋体" w:hAnsi="宋体"/>
          <w:color w:val="000000"/>
          <w:sz w:val="24"/>
          <w:szCs w:val="24"/>
          <w:highlight w:val="none"/>
        </w:rPr>
      </w:r>
      <w:r/>
    </w:p>
    <w:p>
      <w:pPr>
        <w:pStyle w:val="871"/>
        <w:ind w:firstLine="72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地　址：海安市中坝南路108号海心安·政务服务广场E座四层。</w:t>
      </w:r>
      <w:r>
        <w:rPr>
          <w:rFonts w:ascii="宋体" w:hAnsi="宋体"/>
          <w:color w:val="000000"/>
          <w:sz w:val="24"/>
          <w:szCs w:val="24"/>
          <w:highlight w:val="none"/>
        </w:rPr>
      </w:r>
      <w:r/>
    </w:p>
    <w:p>
      <w:pPr>
        <w:pStyle w:val="871"/>
        <w:ind w:firstLine="72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联系人：见项目联系方式</w:t>
      </w:r>
      <w:r>
        <w:rPr>
          <w:rFonts w:ascii="宋体" w:hAnsi="宋体"/>
          <w:color w:val="000000"/>
          <w:sz w:val="24"/>
          <w:szCs w:val="24"/>
          <w:highlight w:val="none"/>
        </w:rPr>
      </w:r>
      <w:r/>
    </w:p>
    <w:p>
      <w:pPr>
        <w:pStyle w:val="871"/>
        <w:ind w:firstLine="720"/>
        <w:spacing w:line="56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联系方式：</w:t>
      </w:r>
      <w:bookmarkStart w:id="42" w:name="_Toc28359087"/>
      <w:r/>
      <w:bookmarkStart w:id="43" w:name="_Toc28359010"/>
      <w:r>
        <w:rPr>
          <w:rFonts w:ascii="宋体" w:hAnsi="宋体"/>
          <w:color w:val="000000"/>
          <w:sz w:val="24"/>
          <w:szCs w:val="24"/>
          <w:highlight w:val="none"/>
        </w:rPr>
        <w:t xml:space="preserve">0513-81819585</w:t>
      </w:r>
      <w:r>
        <w:rPr>
          <w:rFonts w:hint="eastAsia" w:ascii="宋体" w:hAnsi="宋体"/>
          <w:color w:val="000000"/>
          <w:sz w:val="24"/>
          <w:szCs w:val="24"/>
          <w:highlight w:val="none"/>
          <w:u w:val="single"/>
        </w:rPr>
      </w:r>
      <w:r/>
    </w:p>
    <w:p>
      <w:pPr>
        <w:pStyle w:val="871"/>
        <w:ind w:firstLine="720"/>
        <w:spacing w:line="560" w:lineRule="exact"/>
        <w:rPr>
          <w:rFonts w:ascii="宋体" w:hAnsi="宋体"/>
          <w:color w:val="000000"/>
          <w:sz w:val="24"/>
          <w:szCs w:val="24"/>
          <w:highlight w:val="none"/>
        </w:rPr>
      </w:pPr>
      <w:r>
        <w:rPr>
          <w:rFonts w:ascii="宋体" w:hAnsi="宋体"/>
          <w:color w:val="000000"/>
          <w:sz w:val="24"/>
          <w:szCs w:val="24"/>
          <w:highlight w:val="none"/>
        </w:rPr>
        <w:t xml:space="preserve">3.项目联系方式</w:t>
      </w:r>
      <w:r>
        <w:rPr>
          <w:rFonts w:ascii="宋体" w:hAnsi="宋体"/>
          <w:color w:val="000000"/>
          <w:sz w:val="24"/>
          <w:szCs w:val="24"/>
          <w:highlight w:val="none"/>
        </w:rPr>
      </w:r>
      <w:r/>
    </w:p>
    <w:p>
      <w:pPr>
        <w:pStyle w:val="871"/>
        <w:ind w:firstLine="720"/>
        <w:spacing w:line="560" w:lineRule="exact"/>
        <w:rPr>
          <w:rFonts w:ascii="宋体" w:hAnsi="宋体"/>
          <w:color w:val="000000"/>
          <w:sz w:val="24"/>
          <w:szCs w:val="24"/>
          <w:highlight w:val="none"/>
        </w:rPr>
      </w:pPr>
      <w:r>
        <w:rPr>
          <w:rFonts w:ascii="宋体" w:hAnsi="宋体"/>
          <w:color w:val="000000"/>
          <w:sz w:val="24"/>
          <w:szCs w:val="24"/>
          <w:highlight w:val="none"/>
        </w:rPr>
        <w:t xml:space="preserve">招标文件制作人: 0513-81819585</w:t>
      </w:r>
      <w:r>
        <w:rPr>
          <w:rFonts w:ascii="宋体" w:hAnsi="宋体"/>
          <w:color w:val="000000"/>
          <w:sz w:val="24"/>
          <w:szCs w:val="24"/>
          <w:highlight w:val="none"/>
        </w:rPr>
      </w:r>
      <w:r/>
    </w:p>
    <w:p>
      <w:pPr>
        <w:pStyle w:val="871"/>
        <w:ind w:firstLine="720"/>
        <w:spacing w:line="560" w:lineRule="exact"/>
        <w:rPr>
          <w:rFonts w:ascii="宋体" w:hAnsi="宋体"/>
          <w:color w:val="000000"/>
          <w:sz w:val="24"/>
          <w:szCs w:val="24"/>
          <w:highlight w:val="none"/>
        </w:rPr>
      </w:pPr>
      <w:r>
        <w:rPr>
          <w:rFonts w:ascii="宋体" w:hAnsi="宋体"/>
          <w:color w:val="000000"/>
          <w:sz w:val="24"/>
          <w:szCs w:val="24"/>
          <w:highlight w:val="none"/>
        </w:rPr>
        <w:t xml:space="preserve">项目开标人： 0513-</w:t>
      </w:r>
      <w:r>
        <w:rPr>
          <w:rFonts w:hint="eastAsia" w:ascii="宋体" w:hAnsi="宋体"/>
          <w:color w:val="000000"/>
          <w:sz w:val="24"/>
          <w:szCs w:val="24"/>
          <w:highlight w:val="none"/>
        </w:rPr>
        <w:t xml:space="preserve">81819585</w:t>
      </w:r>
      <w:r>
        <w:rPr>
          <w:rFonts w:ascii="宋体" w:hAnsi="宋体"/>
          <w:color w:val="000000"/>
          <w:sz w:val="24"/>
          <w:szCs w:val="24"/>
          <w:highlight w:val="none"/>
        </w:rPr>
      </w:r>
      <w:r/>
    </w:p>
    <w:p>
      <w:pPr>
        <w:pStyle w:val="871"/>
        <w:ind w:firstLine="720"/>
        <w:spacing w:line="560" w:lineRule="exact"/>
        <w:rPr>
          <w:rFonts w:hint="eastAsia" w:ascii="宋体" w:hAnsi="宋体"/>
          <w:color w:val="000000"/>
          <w:sz w:val="24"/>
          <w:szCs w:val="24"/>
          <w:highlight w:val="none"/>
        </w:rPr>
      </w:pPr>
      <w:r>
        <w:rPr>
          <w:rFonts w:ascii="宋体" w:hAnsi="宋体"/>
          <w:color w:val="000000"/>
          <w:sz w:val="24"/>
          <w:szCs w:val="24"/>
          <w:highlight w:val="none"/>
        </w:rPr>
        <w:t xml:space="preserve">交易系统软件维护人员：</w:t>
      </w:r>
      <w:bookmarkEnd w:id="42"/>
      <w:r/>
      <w:bookmarkEnd w:id="43"/>
      <w:r/>
      <w:bookmarkStart w:id="44" w:name="_Toc120614211"/>
      <w:r>
        <w:rPr>
          <w:rFonts w:ascii="宋体" w:hAnsi="宋体"/>
          <w:color w:val="000000"/>
          <w:sz w:val="24"/>
          <w:szCs w:val="24"/>
          <w:highlight w:val="none"/>
        </w:rPr>
        <w:t xml:space="preserve"> </w:t>
      </w:r>
      <w:r>
        <w:rPr>
          <w:rFonts w:hint="eastAsia" w:ascii="宋体" w:hAnsi="宋体"/>
          <w:color w:val="000000"/>
          <w:sz w:val="24"/>
          <w:szCs w:val="24"/>
          <w:highlight w:val="none"/>
        </w:rPr>
        <w:t xml:space="preserve">0519-86722801、0513-59001950</w:t>
      </w:r>
      <w:r>
        <w:rPr>
          <w:rFonts w:hint="eastAsia" w:ascii="宋体" w:hAnsi="宋体"/>
          <w:color w:val="000000"/>
          <w:sz w:val="24"/>
          <w:szCs w:val="24"/>
          <w:highlight w:val="none"/>
        </w:rPr>
      </w:r>
      <w:r/>
    </w:p>
    <w:p>
      <w:pPr>
        <w:pStyle w:val="871"/>
        <w:ind w:firstLine="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firstLine="1325"/>
        <w:spacing w:line="560" w:lineRule="exact"/>
        <w:rPr>
          <w:rFonts w:hint="eastAsia" w:ascii="黑体" w:hAnsi="Arial" w:eastAsia="黑体" w:cs="Arial"/>
          <w:b/>
          <w:bCs/>
          <w:color w:val="000000"/>
          <w:sz w:val="44"/>
          <w:szCs w:val="44"/>
          <w:highlight w:val="none"/>
        </w:rPr>
      </w:pPr>
      <w:r>
        <w:rPr>
          <w:rFonts w:hint="eastAsia" w:ascii="黑体" w:hAnsi="Arial" w:eastAsia="黑体" w:cs="Arial"/>
          <w:b/>
          <w:bCs/>
          <w:color w:val="000000"/>
          <w:sz w:val="44"/>
          <w:szCs w:val="44"/>
          <w:highlight w:val="none"/>
        </w:rPr>
      </w:r>
      <w:r/>
    </w:p>
    <w:p>
      <w:pPr>
        <w:pStyle w:val="871"/>
        <w:ind w:firstLine="1325"/>
        <w:spacing w:line="560" w:lineRule="exact"/>
        <w:rPr>
          <w:rFonts w:hint="eastAsia" w:ascii="黑体" w:hAnsi="Arial" w:eastAsia="黑体" w:cs="Arial"/>
          <w:b/>
          <w:bCs/>
          <w:color w:val="000000"/>
          <w:sz w:val="44"/>
          <w:szCs w:val="44"/>
          <w:highlight w:val="none"/>
        </w:rPr>
      </w:pPr>
      <w:r>
        <w:rPr>
          <w:rFonts w:hint="eastAsia" w:ascii="黑体" w:hAnsi="Arial" w:eastAsia="黑体" w:cs="Arial"/>
          <w:b/>
          <w:bCs/>
          <w:color w:val="000000"/>
          <w:sz w:val="44"/>
          <w:szCs w:val="44"/>
          <w:highlight w:val="none"/>
        </w:rPr>
      </w:r>
      <w:r/>
    </w:p>
    <w:p>
      <w:pPr>
        <w:pStyle w:val="871"/>
        <w:ind w:firstLine="1325"/>
        <w:spacing w:line="560" w:lineRule="exact"/>
        <w:rPr>
          <w:rFonts w:hint="eastAsia" w:ascii="黑体" w:hAnsi="Arial" w:eastAsia="黑体" w:cs="Arial"/>
          <w:b/>
          <w:bCs/>
          <w:color w:val="000000"/>
          <w:sz w:val="44"/>
          <w:szCs w:val="44"/>
          <w:highlight w:val="none"/>
        </w:rPr>
      </w:pPr>
      <w:r>
        <w:rPr>
          <w:rFonts w:hint="eastAsia" w:ascii="黑体" w:hAnsi="Arial" w:eastAsia="黑体" w:cs="Arial"/>
          <w:b/>
          <w:bCs/>
          <w:color w:val="000000"/>
          <w:sz w:val="44"/>
          <w:szCs w:val="44"/>
          <w:highlight w:val="none"/>
        </w:rPr>
      </w:r>
      <w:r/>
    </w:p>
    <w:p>
      <w:pPr>
        <w:pStyle w:val="871"/>
        <w:ind w:firstLine="1325"/>
        <w:spacing w:line="560" w:lineRule="exact"/>
        <w:rPr>
          <w:rFonts w:hint="eastAsia" w:ascii="黑体" w:hAnsi="Arial" w:eastAsia="黑体" w:cs="Arial"/>
          <w:b/>
          <w:bCs/>
          <w:color w:val="000000"/>
          <w:sz w:val="44"/>
          <w:szCs w:val="44"/>
          <w:highlight w:val="none"/>
        </w:rPr>
      </w:pPr>
      <w:r>
        <w:rPr>
          <w:rFonts w:hint="eastAsia" w:ascii="黑体" w:hAnsi="Arial" w:eastAsia="黑体" w:cs="Arial"/>
          <w:b/>
          <w:bCs/>
          <w:color w:val="000000"/>
          <w:sz w:val="44"/>
          <w:szCs w:val="44"/>
          <w:highlight w:val="none"/>
        </w:rPr>
      </w:r>
      <w:r/>
    </w:p>
    <w:p>
      <w:pPr>
        <w:pStyle w:val="871"/>
        <w:ind w:firstLine="1325"/>
        <w:spacing w:line="560" w:lineRule="exact"/>
        <w:rPr>
          <w:rFonts w:hint="eastAsia" w:ascii="黑体" w:hAnsi="Arial" w:eastAsia="黑体" w:cs="Arial"/>
          <w:b/>
          <w:bCs/>
          <w:color w:val="000000"/>
          <w:sz w:val="44"/>
          <w:szCs w:val="44"/>
          <w:highlight w:val="none"/>
        </w:rPr>
      </w:pPr>
      <w:r>
        <w:rPr>
          <w:rFonts w:hint="eastAsia" w:ascii="黑体" w:hAnsi="Arial" w:eastAsia="黑体" w:cs="Arial"/>
          <w:b/>
          <w:bCs/>
          <w:color w:val="000000"/>
          <w:sz w:val="44"/>
          <w:szCs w:val="44"/>
          <w:highlight w:val="none"/>
        </w:rPr>
      </w:r>
      <w:r/>
    </w:p>
    <w:p>
      <w:pPr>
        <w:pStyle w:val="871"/>
        <w:ind w:firstLine="1325"/>
        <w:spacing w:line="560" w:lineRule="exact"/>
        <w:rPr>
          <w:rFonts w:hint="eastAsia" w:ascii="黑体" w:hAnsi="Arial" w:eastAsia="黑体" w:cs="Arial"/>
          <w:b/>
          <w:bCs/>
          <w:color w:val="000000"/>
          <w:sz w:val="44"/>
          <w:szCs w:val="44"/>
          <w:highlight w:val="none"/>
        </w:rPr>
      </w:pPr>
      <w:r>
        <w:rPr>
          <w:rFonts w:hint="eastAsia" w:ascii="黑体" w:hAnsi="Arial" w:eastAsia="黑体" w:cs="Arial"/>
          <w:b/>
          <w:bCs/>
          <w:color w:val="000000"/>
          <w:sz w:val="44"/>
          <w:szCs w:val="44"/>
          <w:highlight w:val="none"/>
        </w:rPr>
      </w:r>
      <w:r/>
    </w:p>
    <w:p>
      <w:pPr>
        <w:pStyle w:val="871"/>
        <w:jc w:val="center"/>
        <w:keepNext/>
        <w:spacing w:line="560" w:lineRule="exac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highlight w:val="none"/>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hAnsi="Times New Roman" w:eastAsia="黑体"/>
          <w:color w:val="000000"/>
          <w:sz w:val="44"/>
          <w:szCs w:val="44"/>
          <w:highlight w:val="none"/>
        </w:rPr>
        <w:t xml:space="preserve">投标人须知</w:t>
      </w:r>
      <w:bookmarkEnd w:id="45"/>
      <w:r/>
      <w:bookmarkEnd w:id="46"/>
      <w:r/>
      <w:bookmarkEnd w:id="47"/>
      <w:r/>
      <w:bookmarkEnd w:id="48"/>
      <w:r>
        <w:rPr>
          <w:rFonts w:hint="eastAsia" w:ascii="黑体" w:hAnsi="Times New Roman" w:eastAsia="黑体"/>
          <w:color w:val="000000"/>
          <w:sz w:val="44"/>
          <w:szCs w:val="44"/>
          <w:highlight w:val="none"/>
        </w:rPr>
      </w:r>
      <w:r/>
    </w:p>
    <w:p>
      <w:pPr>
        <w:pStyle w:val="871"/>
        <w:ind w:firstLine="498"/>
        <w:keepLines/>
        <w:keepNext/>
        <w:spacing w:line="520" w:lineRule="exact"/>
        <w:rPr>
          <w:rFonts w:hint="eastAsia" w:ascii="Times New Roman" w:hAnsi="Times New Roman"/>
          <w:b/>
          <w:bCs/>
          <w:color w:val="000000"/>
          <w:sz w:val="32"/>
          <w:szCs w:val="32"/>
          <w:highlight w:val="none"/>
        </w:rPr>
        <w:outlineLvl w:val="2"/>
      </w:pPr>
      <w:r/>
      <w:bookmarkStart w:id="49" w:name="_Toc20823275"/>
      <w:r/>
      <w:bookmarkStart w:id="50" w:name="_Toc16938519"/>
      <w:r/>
      <w:bookmarkStart w:id="51" w:name="_Toc513029203"/>
      <w:r/>
      <w:bookmarkStart w:id="52" w:name="_Toc120614214"/>
      <w:r>
        <w:rPr>
          <w:rFonts w:hint="eastAsia" w:ascii="Times New Roman" w:hAnsi="Times New Roman"/>
          <w:b/>
          <w:bCs/>
          <w:color w:val="000000"/>
          <w:sz w:val="32"/>
          <w:szCs w:val="32"/>
          <w:highlight w:val="none"/>
        </w:rPr>
        <w:t xml:space="preserve">一、总则</w:t>
      </w:r>
      <w:bookmarkEnd w:id="49"/>
      <w:r/>
      <w:bookmarkEnd w:id="50"/>
      <w:r/>
      <w:bookmarkEnd w:id="51"/>
      <w:r/>
      <w:bookmarkEnd w:id="52"/>
      <w:r>
        <w:rPr>
          <w:rFonts w:hint="eastAsia" w:ascii="Times New Roman" w:hAnsi="Times New Roman"/>
          <w:b/>
          <w:bCs/>
          <w:color w:val="000000"/>
          <w:sz w:val="32"/>
          <w:szCs w:val="32"/>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53" w:name="_Hlt16619475"/>
      <w:r/>
      <w:bookmarkEnd w:id="53"/>
      <w:r/>
      <w:bookmarkStart w:id="54" w:name="_Toc458694821"/>
      <w:r/>
      <w:bookmarkStart w:id="55" w:name="_Toc513029204"/>
      <w:r/>
      <w:bookmarkStart w:id="56" w:name="_Toc20823276"/>
      <w:r/>
      <w:bookmarkStart w:id="57" w:name="_Toc16938520"/>
      <w:r>
        <w:rPr>
          <w:rFonts w:hint="eastAsia" w:ascii="Arial" w:hAnsi="Arial" w:eastAsia="黑体" w:cs="Arial"/>
          <w:color w:val="000000"/>
          <w:sz w:val="28"/>
          <w:szCs w:val="28"/>
          <w:highlight w:val="none"/>
        </w:rPr>
        <w:t xml:space="preserve">1</w:t>
      </w:r>
      <w:bookmarkEnd w:id="54"/>
      <w:r>
        <w:rPr>
          <w:rFonts w:hint="eastAsia" w:ascii="Arial" w:hAnsi="Arial" w:eastAsia="黑体" w:cs="Arial"/>
          <w:color w:val="000000"/>
          <w:sz w:val="28"/>
          <w:szCs w:val="28"/>
          <w:highlight w:val="none"/>
        </w:rPr>
        <w:t xml:space="preserve">、招标方式</w:t>
      </w:r>
      <w:bookmarkEnd w:id="55"/>
      <w:r/>
      <w:bookmarkEnd w:id="56"/>
      <w:r/>
      <w:bookmarkEnd w:id="57"/>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58" w:name="_Toc20823277"/>
      <w:r/>
      <w:bookmarkStart w:id="59" w:name="_Toc513029205"/>
      <w:r/>
      <w:bookmarkStart w:id="60" w:name="_Toc16938521"/>
      <w:r>
        <w:rPr>
          <w:rFonts w:hint="eastAsia" w:ascii="Arial" w:hAnsi="Arial" w:eastAsia="黑体" w:cs="Arial"/>
          <w:color w:val="000000"/>
          <w:sz w:val="28"/>
          <w:szCs w:val="28"/>
          <w:highlight w:val="none"/>
        </w:rPr>
        <w:t xml:space="preserve">2、合格的投标人</w:t>
      </w:r>
      <w:bookmarkEnd w:id="58"/>
      <w:r/>
      <w:bookmarkEnd w:id="59"/>
      <w:r/>
      <w:bookmarkEnd w:id="60"/>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 满足招标公告中供应商的资格要求的规定。</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61" w:name="_Toc513029206"/>
      <w:r/>
      <w:bookmarkStart w:id="62" w:name="_Toc16938522"/>
      <w:r/>
      <w:bookmarkStart w:id="63" w:name="_Toc20823278"/>
      <w:r>
        <w:rPr>
          <w:rFonts w:hint="eastAsia" w:ascii="Arial" w:hAnsi="Arial" w:eastAsia="黑体" w:cs="Arial"/>
          <w:color w:val="000000"/>
          <w:sz w:val="28"/>
          <w:szCs w:val="28"/>
          <w:highlight w:val="none"/>
        </w:rPr>
        <w:t xml:space="preserve">3、适用法律</w:t>
      </w:r>
      <w:bookmarkEnd w:id="61"/>
      <w:r/>
      <w:bookmarkEnd w:id="62"/>
      <w:r/>
      <w:bookmarkEnd w:id="63"/>
      <w:r>
        <w:rPr>
          <w:rFonts w:hint="eastAsia" w:ascii="Arial" w:hAnsi="Arial" w:eastAsia="黑体" w:cs="Arial"/>
          <w:color w:val="000000"/>
          <w:sz w:val="28"/>
          <w:szCs w:val="28"/>
          <w:highlight w:val="none"/>
        </w:rPr>
      </w:r>
      <w:r/>
    </w:p>
    <w:p>
      <w:pPr>
        <w:pStyle w:val="871"/>
        <w:ind w:firstLine="42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71"/>
        <w:ind w:firstLine="42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3.2 在本项目政府采购活动过程中，如果所执行的标准有更新的，按照最新标准执行。</w:t>
      </w:r>
      <w:r>
        <w:rPr>
          <w:rFonts w:hint="eastAsia" w:ascii="宋体" w:hAnsi="宋体"/>
          <w:color w:val="000000"/>
          <w:sz w:val="24"/>
          <w:szCs w:val="21"/>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64" w:name="_Toc462564067"/>
      <w:r/>
      <w:bookmarkStart w:id="65" w:name="_Toc513029207"/>
      <w:r/>
      <w:bookmarkStart w:id="66" w:name="_Toc20823279"/>
      <w:r/>
      <w:bookmarkStart w:id="67" w:name="_Toc16938523"/>
      <w:r>
        <w:rPr>
          <w:rFonts w:hint="eastAsia" w:ascii="Arial" w:hAnsi="Arial" w:eastAsia="黑体" w:cs="Arial"/>
          <w:color w:val="000000"/>
          <w:sz w:val="28"/>
          <w:szCs w:val="28"/>
          <w:highlight w:val="none"/>
        </w:rPr>
        <w:t xml:space="preserve">4、投标费用</w:t>
      </w:r>
      <w:bookmarkEnd w:id="64"/>
      <w:r/>
      <w:bookmarkEnd w:id="65"/>
      <w:r/>
      <w:bookmarkEnd w:id="66"/>
      <w:r/>
      <w:bookmarkEnd w:id="67"/>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投标人应自行承担所有与参加投标有关的费用，无论投标过程中的做法和结果如何，海安市公共资源交易中心（以下简称交易中心）在任何情况下均无义务和责任承担这些费用。</w:t>
      </w:r>
      <w:r>
        <w:rPr>
          <w:rFonts w:hint="eastAsia" w:ascii="宋体" w:hAnsi="宋体"/>
          <w:color w:val="000000"/>
          <w:sz w:val="24"/>
          <w:szCs w:val="21"/>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 本次招标交易中心和采购人不收取标书工本费与中标服务费。</w:t>
      </w:r>
      <w:r>
        <w:rPr>
          <w:rFonts w:hint="eastAsia" w:ascii="宋体" w:hAnsi="宋体"/>
          <w:color w:val="000000"/>
          <w:sz w:val="24"/>
          <w:szCs w:val="21"/>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5、招标文件的约束力</w:t>
      </w:r>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871"/>
        <w:ind w:firstLine="321"/>
        <w:keepLines/>
        <w:keepNext/>
        <w:spacing w:line="520" w:lineRule="exact"/>
        <w:rPr>
          <w:rFonts w:hint="eastAsia" w:ascii="Times New Roman" w:hAnsi="Times New Roman"/>
          <w:b/>
          <w:bCs/>
          <w:color w:val="000000"/>
          <w:sz w:val="32"/>
          <w:szCs w:val="32"/>
          <w:highlight w:val="none"/>
        </w:rPr>
        <w:outlineLvl w:val="2"/>
      </w:pPr>
      <w:r/>
      <w:bookmarkStart w:id="68" w:name="_Toc16938525"/>
      <w:r/>
      <w:bookmarkStart w:id="69" w:name="_Toc120614215"/>
      <w:r/>
      <w:bookmarkStart w:id="70" w:name="_Toc20823281"/>
      <w:r/>
      <w:bookmarkStart w:id="71" w:name="_Toc513029209"/>
      <w:r>
        <w:rPr>
          <w:rFonts w:hint="eastAsia" w:ascii="Times New Roman" w:hAnsi="Times New Roman"/>
          <w:b/>
          <w:bCs/>
          <w:color w:val="000000"/>
          <w:sz w:val="32"/>
          <w:szCs w:val="32"/>
          <w:highlight w:val="none"/>
        </w:rPr>
        <w:t xml:space="preserve">二、招标文件</w:t>
      </w:r>
      <w:bookmarkEnd w:id="68"/>
      <w:r/>
      <w:bookmarkEnd w:id="69"/>
      <w:r/>
      <w:bookmarkEnd w:id="70"/>
      <w:r/>
      <w:bookmarkEnd w:id="71"/>
      <w:r>
        <w:rPr>
          <w:rFonts w:hint="eastAsia" w:ascii="Times New Roman" w:hAnsi="Times New Roman"/>
          <w:b/>
          <w:bCs/>
          <w:color w:val="000000"/>
          <w:sz w:val="32"/>
          <w:szCs w:val="32"/>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72" w:name="_Toc20823282"/>
      <w:r/>
      <w:bookmarkStart w:id="73" w:name="_Toc513029210"/>
      <w:r/>
      <w:bookmarkStart w:id="74" w:name="_Toc16938526"/>
      <w:r>
        <w:rPr>
          <w:rFonts w:hint="eastAsia" w:ascii="Arial" w:hAnsi="Arial" w:eastAsia="黑体" w:cs="Arial"/>
          <w:color w:val="000000"/>
          <w:sz w:val="28"/>
          <w:szCs w:val="28"/>
          <w:highlight w:val="none"/>
        </w:rPr>
        <w:t xml:space="preserve">6、招标文件构成</w:t>
      </w:r>
      <w:bookmarkEnd w:id="72"/>
      <w:r/>
      <w:bookmarkEnd w:id="73"/>
      <w:r/>
      <w:bookmarkEnd w:id="74"/>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871"/>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71"/>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871"/>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（3）采购需求</w:t>
      </w:r>
      <w:r>
        <w:rPr>
          <w:rFonts w:hint="eastAsia" w:ascii="宋体" w:hAnsi="宋体"/>
          <w:color w:val="000000"/>
          <w:sz w:val="24"/>
          <w:szCs w:val="24"/>
          <w:highlight w:val="none"/>
        </w:rPr>
      </w:r>
      <w:r/>
    </w:p>
    <w:p>
      <w:pPr>
        <w:pStyle w:val="871"/>
        <w:ind w:firstLine="360"/>
        <w:spacing w:line="52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（4）</w:t>
      </w:r>
      <w:r>
        <w:rPr>
          <w:rFonts w:hint="eastAsia" w:ascii="Times New Roman" w:hAnsi="宋体"/>
          <w:color w:val="000000"/>
          <w:sz w:val="24"/>
          <w:szCs w:val="24"/>
          <w:highlight w:val="none"/>
        </w:rPr>
        <w:t xml:space="preserve">评标方法与评标标准</w:t>
      </w:r>
      <w:r>
        <w:rPr>
          <w:rFonts w:hint="eastAsia" w:ascii="Times New Roman" w:hAnsi="Times New Roman"/>
          <w:color w:val="000000"/>
          <w:sz w:val="24"/>
          <w:szCs w:val="24"/>
          <w:highlight w:val="none"/>
        </w:rPr>
      </w:r>
      <w:r/>
    </w:p>
    <w:p>
      <w:pPr>
        <w:pStyle w:val="871"/>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（5）投标文件格式</w:t>
      </w:r>
      <w:r>
        <w:rPr>
          <w:rFonts w:hint="eastAsia" w:ascii="宋体" w:hAnsi="宋体"/>
          <w:color w:val="000000"/>
          <w:sz w:val="24"/>
          <w:szCs w:val="24"/>
          <w:highlight w:val="none"/>
        </w:rPr>
      </w:r>
      <w:r/>
    </w:p>
    <w:p>
      <w:pPr>
        <w:pStyle w:val="871"/>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（6）附件（如有）</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请仔细检查招标文件是否齐全，如有缺漏请立即与交易中心联系解决。</w:t>
      </w:r>
      <w:r>
        <w:rPr>
          <w:rFonts w:hint="eastAsia" w:ascii="宋体" w:hAnsi="宋体"/>
          <w:color w:val="000000"/>
          <w:sz w:val="24"/>
          <w:szCs w:val="21"/>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871"/>
        <w:ind w:firstLine="560"/>
        <w:keepLines/>
        <w:keepNext/>
        <w:spacing w:line="520" w:lineRule="exact"/>
        <w:rPr>
          <w:rFonts w:hint="eastAsia" w:ascii="Arial" w:hAnsi="Arial" w:eastAsia="黑体" w:cs="Arial"/>
          <w:color w:val="000000"/>
          <w:sz w:val="28"/>
          <w:szCs w:val="28"/>
          <w:highlight w:val="none"/>
        </w:rPr>
        <w:outlineLvl w:val="3"/>
      </w:pPr>
      <w:r/>
      <w:bookmarkStart w:id="75" w:name="_Toc513029212"/>
      <w:r/>
      <w:bookmarkStart w:id="76" w:name="_Toc20823284"/>
      <w:r/>
      <w:bookmarkStart w:id="77" w:name="_Toc16938528"/>
      <w:r/>
      <w:bookmarkStart w:id="78" w:name="_Toc462564071"/>
      <w:r>
        <w:rPr>
          <w:rFonts w:hint="eastAsia" w:ascii="Arial" w:hAnsi="Arial" w:eastAsia="黑体" w:cs="Arial"/>
          <w:color w:val="000000"/>
          <w:sz w:val="28"/>
          <w:szCs w:val="28"/>
          <w:highlight w:val="none"/>
        </w:rPr>
        <w:t xml:space="preserve">7、招标文件的修改</w:t>
      </w:r>
      <w:bookmarkEnd w:id="75"/>
      <w:r/>
      <w:bookmarkEnd w:id="76"/>
      <w:r/>
      <w:bookmarkEnd w:id="77"/>
      <w:r/>
      <w:bookmarkEnd w:id="78"/>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，交易中心可以对招标文件进行修改。</w:t>
      </w:r>
      <w:r>
        <w:rPr>
          <w:rFonts w:hint="eastAsia" w:ascii="宋体" w:hAnsi="宋体"/>
          <w:color w:val="000000"/>
          <w:sz w:val="24"/>
          <w:szCs w:val="21"/>
          <w:highlight w:val="none"/>
        </w:rPr>
      </w:r>
      <w:r/>
    </w:p>
    <w:p>
      <w:pPr>
        <w:pStyle w:val="871"/>
        <w:ind w:firstLine="480"/>
        <w:spacing w:line="520" w:lineRule="exact"/>
        <w:rPr>
          <w:rFonts w:hint="eastAsia" w:ascii="宋体" w:hAnsi="Arial"/>
          <w:color w:val="000000"/>
          <w:sz w:val="28"/>
          <w:szCs w:val="21"/>
          <w:highlight w:val="none"/>
        </w:rPr>
      </w:pPr>
      <w:r>
        <w:rPr>
          <w:rFonts w:hint="eastAsia" w:ascii="宋体" w:hAnsi="宋体"/>
          <w:bCs/>
          <w:color w:val="000000"/>
          <w:sz w:val="24"/>
          <w:szCs w:val="21"/>
          <w:highlight w:val="none"/>
        </w:rPr>
        <w:t xml:space="preserve">7.2 </w:t>
      </w:r>
      <w:r>
        <w:rPr>
          <w:rFonts w:hint="eastAsia" w:ascii="宋体" w:hAnsi="宋体"/>
          <w:color w:val="000000"/>
          <w:sz w:val="24"/>
          <w:szCs w:val="21"/>
          <w:highlight w:val="none"/>
        </w:rPr>
        <w:t xml:space="preserve">交易中心</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7.3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871"/>
        <w:ind w:firstLine="482"/>
        <w:keepLines/>
        <w:keepNext/>
        <w:spacing w:line="520" w:lineRule="exact"/>
        <w:rPr>
          <w:rFonts w:hint="eastAsia" w:ascii="Times New Roman" w:hAnsi="Times New Roman"/>
          <w:b/>
          <w:bCs/>
          <w:color w:val="000000"/>
          <w:sz w:val="32"/>
          <w:szCs w:val="32"/>
          <w:highlight w:val="none"/>
        </w:rPr>
        <w:outlineLvl w:val="2"/>
      </w:pPr>
      <w:r/>
      <w:bookmarkStart w:id="79" w:name="_Toc20823285"/>
      <w:r/>
      <w:bookmarkStart w:id="80" w:name="_Toc120614216"/>
      <w:r/>
      <w:bookmarkStart w:id="81" w:name="_Toc462564072"/>
      <w:r/>
      <w:bookmarkStart w:id="82" w:name="_Toc513029213"/>
      <w:r/>
      <w:bookmarkStart w:id="83" w:name="_Toc16938529"/>
      <w:r>
        <w:rPr>
          <w:rFonts w:hint="eastAsia" w:ascii="Times New Roman" w:hAnsi="Times New Roman"/>
          <w:b/>
          <w:bCs/>
          <w:color w:val="000000"/>
          <w:sz w:val="32"/>
          <w:szCs w:val="32"/>
          <w:highlight w:val="none"/>
        </w:rPr>
        <w:t xml:space="preserve">三、投标文件的编制</w:t>
      </w:r>
      <w:bookmarkEnd w:id="79"/>
      <w:r/>
      <w:bookmarkEnd w:id="80"/>
      <w:r/>
      <w:bookmarkEnd w:id="81"/>
      <w:r/>
      <w:bookmarkEnd w:id="82"/>
      <w:r/>
      <w:bookmarkEnd w:id="83"/>
      <w:r>
        <w:rPr>
          <w:rFonts w:hint="eastAsia" w:ascii="Times New Roman" w:hAnsi="Times New Roman"/>
          <w:b/>
          <w:bCs/>
          <w:color w:val="000000"/>
          <w:sz w:val="32"/>
          <w:szCs w:val="32"/>
          <w:highlight w:val="none"/>
        </w:rPr>
      </w:r>
      <w:r/>
    </w:p>
    <w:p>
      <w:pPr>
        <w:pStyle w:val="871"/>
        <w:ind w:firstLine="560"/>
        <w:keepLines/>
        <w:keepNext/>
        <w:spacing w:line="520" w:lineRule="exact"/>
        <w:rPr>
          <w:rFonts w:hint="eastAsia" w:ascii="Arial" w:hAnsi="Arial" w:eastAsia="黑体" w:cs="Arial"/>
          <w:b/>
          <w:color w:val="000000"/>
          <w:sz w:val="28"/>
          <w:szCs w:val="28"/>
          <w:highlight w:val="none"/>
        </w:rPr>
        <w:outlineLvl w:val="3"/>
      </w:pPr>
      <w:r/>
      <w:bookmarkStart w:id="84" w:name="_Toc513029214"/>
      <w:r/>
      <w:bookmarkStart w:id="85" w:name="_Toc16938530"/>
      <w:r/>
      <w:bookmarkStart w:id="86" w:name="_Toc20823286"/>
      <w:r/>
      <w:bookmarkStart w:id="87" w:name="_Toc462564073"/>
      <w:r>
        <w:rPr>
          <w:rFonts w:hint="eastAsia" w:ascii="Arial" w:hAnsi="Arial" w:eastAsia="黑体" w:cs="Arial"/>
          <w:color w:val="000000"/>
          <w:sz w:val="28"/>
          <w:szCs w:val="28"/>
          <w:highlight w:val="none"/>
        </w:rPr>
        <w:t xml:space="preserve">8、投标文件的语言及度量衡单位</w:t>
      </w:r>
      <w:bookmarkEnd w:id="84"/>
      <w:r/>
      <w:bookmarkEnd w:id="85"/>
      <w:r/>
      <w:bookmarkEnd w:id="86"/>
      <w:r/>
      <w:bookmarkEnd w:id="87"/>
      <w:r>
        <w:rPr>
          <w:rFonts w:hint="eastAsia" w:ascii="Arial" w:hAnsi="Arial" w:eastAsia="黑体" w:cs="Arial"/>
          <w:b/>
          <w:color w:val="000000"/>
          <w:sz w:val="28"/>
          <w:szCs w:val="28"/>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投标人提交的投标文件以及投标人与交易中心就有关投标的所有来往通知、函件和文件均应使用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除技术性能另有规定外，投标文件所使用的度量衡单位，均须采用国家法定计量单位。</w:t>
      </w:r>
      <w:r>
        <w:rPr>
          <w:rFonts w:hint="eastAsia" w:ascii="宋体" w:hAnsi="宋体"/>
          <w:color w:val="000000"/>
          <w:sz w:val="24"/>
          <w:szCs w:val="21"/>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88" w:name="_Toc462564074"/>
      <w:r/>
      <w:bookmarkStart w:id="89" w:name="_Toc513029215"/>
      <w:r/>
      <w:bookmarkStart w:id="90" w:name="_Toc20823287"/>
      <w:r/>
      <w:bookmarkStart w:id="91" w:name="_Toc16938531"/>
      <w:r>
        <w:rPr>
          <w:rFonts w:hint="eastAsia" w:ascii="Arial" w:hAnsi="Arial" w:eastAsia="黑体" w:cs="Arial"/>
          <w:color w:val="000000"/>
          <w:sz w:val="28"/>
          <w:szCs w:val="28"/>
          <w:highlight w:val="none"/>
        </w:rPr>
        <w:t xml:space="preserve">9、投标文件构成</w:t>
      </w:r>
      <w:bookmarkEnd w:id="88"/>
      <w:r/>
      <w:bookmarkEnd w:id="89"/>
      <w:r/>
      <w:bookmarkEnd w:id="90"/>
      <w:r/>
      <w:bookmarkEnd w:id="91"/>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9.2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92" w:name="_Hlt26670360"/>
      <w:r/>
      <w:bookmarkEnd w:id="92"/>
      <w:r/>
      <w:bookmarkStart w:id="93" w:name="_Hlt26668975"/>
      <w:r/>
      <w:bookmarkEnd w:id="93"/>
      <w:r/>
      <w:bookmarkStart w:id="94" w:name="_Hlt26954838"/>
      <w:r/>
      <w:bookmarkEnd w:id="94"/>
      <w:r/>
      <w:bookmarkStart w:id="95" w:name="_Toc14577357"/>
      <w:r/>
      <w:bookmarkStart w:id="96" w:name="_Toc49090509"/>
      <w:r/>
      <w:bookmarkStart w:id="97" w:name="_Toc513029219"/>
      <w:r/>
      <w:bookmarkStart w:id="98" w:name="_Toc14577354"/>
      <w:r/>
      <w:bookmarkStart w:id="99" w:name="_Toc513029216"/>
      <w:r/>
      <w:bookmarkStart w:id="100" w:name="_Toc49090507"/>
      <w:r/>
      <w:bookmarkStart w:id="101" w:name="_Toc49090508"/>
      <w:r/>
      <w:bookmarkStart w:id="102" w:name="_Toc14577355"/>
      <w:r>
        <w:rPr>
          <w:rFonts w:hint="eastAsia" w:ascii="Arial" w:hAnsi="Arial" w:eastAsia="黑体" w:cs="Arial"/>
          <w:color w:val="000000"/>
          <w:sz w:val="28"/>
          <w:szCs w:val="28"/>
          <w:highlight w:val="none"/>
        </w:rPr>
        <w:t xml:space="preserve">10、证明投标人及投标标的符合招标文件规定的文件</w:t>
      </w:r>
      <w:bookmarkEnd w:id="95"/>
      <w:r/>
      <w:bookmarkEnd w:id="96"/>
      <w:r/>
      <w:bookmarkEnd w:id="97"/>
      <w:r>
        <w:rPr>
          <w:rFonts w:hint="eastAsia" w:ascii="Arial" w:hAnsi="Arial" w:eastAsia="黑体" w:cs="Arial"/>
          <w:color w:val="000000"/>
          <w:sz w:val="28"/>
          <w:szCs w:val="28"/>
          <w:highlight w:val="none"/>
        </w:rPr>
      </w:r>
      <w:r/>
    </w:p>
    <w:p>
      <w:pPr>
        <w:pStyle w:val="871"/>
        <w:spacing w:line="520" w:lineRule="exact"/>
        <w:rPr>
          <w:rFonts w:hint="eastAsia" w:ascii="宋体" w:hAnsi="宋体"/>
          <w:color w:val="000000"/>
          <w:sz w:val="24"/>
          <w:szCs w:val="24"/>
          <w:highlight w:val="none"/>
        </w:rPr>
      </w:pPr>
      <w:r/>
      <w:bookmarkEnd w:id="98"/>
      <w:r/>
      <w:bookmarkEnd w:id="99"/>
      <w:r/>
      <w:bookmarkEnd w:id="100"/>
      <w:r>
        <w:rPr>
          <w:rFonts w:hint="eastAsia" w:ascii="宋体" w:hAnsi="宋体"/>
          <w:color w:val="000000"/>
          <w:sz w:val="24"/>
          <w:szCs w:val="24"/>
          <w:highlight w:val="none"/>
        </w:rPr>
        <w:t xml:space="preserve">    10.1 投标人应按照招标文件要求提交证明文件，证明其及投标标的符合招标文件规定。</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10.2 招标文件对证明文件无明确形式要求的，证明文件可以以文字资料、图纸和数据等形式提交。</w:t>
      </w:r>
      <w:r>
        <w:rPr>
          <w:rFonts w:hint="eastAsia" w:ascii="宋体" w:hAnsi="宋体"/>
          <w:color w:val="000000"/>
          <w:sz w:val="24"/>
          <w:szCs w:val="24"/>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End w:id="101"/>
      <w:r/>
      <w:bookmarkEnd w:id="102"/>
      <w:r>
        <w:rPr>
          <w:rFonts w:hint="eastAsia" w:ascii="Arial" w:hAnsi="Arial" w:eastAsia="黑体" w:cs="Arial"/>
          <w:color w:val="000000"/>
          <w:sz w:val="28"/>
          <w:szCs w:val="28"/>
          <w:highlight w:val="none"/>
        </w:rPr>
        <w:t xml:space="preserve">11、投标分项报价表</w:t>
      </w:r>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11.1 </w:t>
      </w:r>
      <w:r>
        <w:rPr>
          <w:rFonts w:hint="eastAsia" w:ascii="宋体" w:hAnsi="宋体"/>
          <w:color w:val="000000"/>
          <w:sz w:val="24"/>
          <w:szCs w:val="21"/>
          <w:highlight w:val="none"/>
        </w:rPr>
        <w:t xml:space="preserve">投标人应按照招标文件规定格式填报投标分项报价表。</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11.2 </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103" w:name="_Hlt26954731"/>
      <w:r/>
      <w:bookmarkEnd w:id="103"/>
      <w:r/>
      <w:bookmarkStart w:id="104" w:name="_Hlt26670486"/>
      <w:r/>
      <w:bookmarkEnd w:id="104"/>
      <w:r/>
      <w:bookmarkStart w:id="105" w:name="_Hlt26954846"/>
      <w:r/>
      <w:bookmarkEnd w:id="105"/>
      <w:r/>
      <w:bookmarkStart w:id="106" w:name="_Hlt26670482"/>
      <w:r/>
      <w:bookmarkEnd w:id="106"/>
      <w:r/>
      <w:bookmarkStart w:id="107" w:name="_Hlt26954848"/>
      <w:r/>
      <w:bookmarkEnd w:id="107"/>
      <w:r>
        <w:rPr>
          <w:rFonts w:hint="eastAsia" w:ascii="Arial" w:hAnsi="Arial" w:eastAsia="黑体" w:cs="Arial"/>
          <w:color w:val="000000"/>
          <w:sz w:val="28"/>
          <w:szCs w:val="28"/>
          <w:highlight w:val="none"/>
        </w:rPr>
        <w:t xml:space="preserve">12、技术要求响应及偏离表、商务要求响应及偏离表</w:t>
      </w:r>
      <w:r>
        <w:rPr>
          <w:rFonts w:hint="eastAsia" w:ascii="Arial" w:hAnsi="Arial" w:eastAsia="黑体" w:cs="Arial"/>
          <w:color w:val="000000"/>
          <w:sz w:val="28"/>
          <w:szCs w:val="28"/>
          <w:highlight w:val="none"/>
        </w:rPr>
      </w:r>
      <w:r/>
    </w:p>
    <w:p>
      <w:pPr>
        <w:pStyle w:val="871"/>
        <w:ind w:firstLine="480"/>
        <w:spacing w:line="520" w:lineRule="exact"/>
        <w:rPr>
          <w:rFonts w:hint="eastAsia" w:ascii="宋体" w:hAnsi="Arial" w:cs="宋体"/>
          <w:color w:val="000000"/>
          <w:sz w:val="24"/>
          <w:szCs w:val="21"/>
          <w:highlight w:val="none"/>
          <w:lang w:val="zh-CN"/>
        </w:rPr>
      </w:pPr>
      <w:r>
        <w:rPr>
          <w:rFonts w:hint="eastAsia" w:ascii="宋体" w:hAnsi="Arial" w:cs="宋体"/>
          <w:bCs/>
          <w:color w:val="000000"/>
          <w:sz w:val="24"/>
          <w:szCs w:val="21"/>
          <w:highlight w:val="none"/>
          <w:lang w:val="zh-CN"/>
        </w:rPr>
        <w:t xml:space="preserve">12.1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rPr>
          <w:rFonts w:hint="eastAsia" w:ascii="宋体" w:hAnsi="Arial" w:cs="宋体"/>
          <w:color w:val="000000"/>
          <w:sz w:val="24"/>
          <w:szCs w:val="21"/>
          <w:highlight w:val="none"/>
          <w:lang w:val="zh-CN"/>
        </w:rPr>
      </w:r>
      <w:r/>
    </w:p>
    <w:p>
      <w:pPr>
        <w:pStyle w:val="871"/>
        <w:ind w:firstLine="480"/>
        <w:spacing w:line="52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12.2 投标人可在投标文件中提供认为需要的其他技术文件或说明。</w:t>
      </w:r>
      <w:r>
        <w:rPr>
          <w:rFonts w:hint="eastAsia" w:ascii="宋体" w:hAnsi="Arial" w:cs="宋体"/>
          <w:color w:val="000000"/>
          <w:sz w:val="24"/>
          <w:szCs w:val="21"/>
          <w:highlight w:val="none"/>
          <w:lang w:val="zh-CN"/>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13、服务承诺、培训计划、人员安排及其他</w:t>
      </w:r>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13.1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13.2 投标人需根据招标文件要求提供培训计划。</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108" w:name="_Toc49090510"/>
      <w:r/>
      <w:bookmarkStart w:id="109" w:name="_Toc14577359"/>
      <w:r>
        <w:rPr>
          <w:rFonts w:hint="eastAsia" w:ascii="Arial" w:hAnsi="Arial" w:eastAsia="黑体" w:cs="Arial"/>
          <w:color w:val="000000"/>
          <w:sz w:val="28"/>
          <w:szCs w:val="28"/>
          <w:highlight w:val="none"/>
        </w:rPr>
        <w:t xml:space="preserve">14、投标函和开标一览表</w:t>
      </w:r>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14.1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End w:id="108"/>
      <w:r/>
      <w:bookmarkEnd w:id="109"/>
      <w:r/>
      <w:bookmarkStart w:id="110" w:name="_Toc14577360"/>
      <w:r/>
      <w:bookmarkStart w:id="111" w:name="_Toc49090511"/>
      <w:r>
        <w:rPr>
          <w:rFonts w:hint="eastAsia" w:ascii="Arial" w:hAnsi="Arial" w:eastAsia="黑体" w:cs="Arial"/>
          <w:color w:val="000000"/>
          <w:sz w:val="28"/>
          <w:szCs w:val="28"/>
          <w:highlight w:val="none"/>
        </w:rPr>
        <w:t xml:space="preserve">15、投标有效期</w:t>
      </w:r>
      <w:bookmarkEnd w:id="110"/>
      <w:r/>
      <w:bookmarkEnd w:id="111"/>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15.1 投标有效期为交易中心规定的开标之日后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16、投标有效期的延长</w:t>
      </w:r>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1"/>
        <w:keepLines/>
        <w:keepNext/>
        <w:spacing w:line="520" w:lineRule="exact"/>
        <w:rPr>
          <w:rFonts w:hint="eastAsia" w:ascii="Times New Roman" w:hAnsi="Times New Roman"/>
          <w:b/>
          <w:bCs/>
          <w:color w:val="000000"/>
          <w:sz w:val="32"/>
          <w:szCs w:val="32"/>
          <w:highlight w:val="none"/>
        </w:rPr>
        <w:outlineLvl w:val="2"/>
      </w:pPr>
      <w:r/>
      <w:bookmarkStart w:id="112" w:name="_Hlt26954852"/>
      <w:r/>
      <w:bookmarkEnd w:id="112"/>
      <w:r/>
      <w:bookmarkStart w:id="113" w:name="_Hlt26954739"/>
      <w:r/>
      <w:bookmarkEnd w:id="113"/>
      <w:r/>
      <w:bookmarkStart w:id="114" w:name="_Toc20823296"/>
      <w:r/>
      <w:bookmarkStart w:id="115" w:name="_Toc513029224"/>
      <w:r/>
      <w:bookmarkStart w:id="116" w:name="_Toc120614217"/>
      <w:r/>
      <w:bookmarkStart w:id="117" w:name="_Toc16938540"/>
      <w:r>
        <w:rPr>
          <w:rFonts w:hint="eastAsia" w:ascii="Times New Roman" w:hAnsi="Times New Roman"/>
          <w:b/>
          <w:bCs/>
          <w:color w:val="000000"/>
          <w:sz w:val="32"/>
          <w:szCs w:val="32"/>
          <w:highlight w:val="none"/>
        </w:rPr>
        <w:t xml:space="preserve">四、投标文件的递交</w:t>
      </w:r>
      <w:bookmarkEnd w:id="114"/>
      <w:r/>
      <w:bookmarkEnd w:id="115"/>
      <w:r/>
      <w:bookmarkEnd w:id="116"/>
      <w:r/>
      <w:bookmarkEnd w:id="117"/>
      <w:r>
        <w:rPr>
          <w:rFonts w:hint="eastAsia" w:ascii="Times New Roman" w:hAnsi="Times New Roman"/>
          <w:b/>
          <w:bCs/>
          <w:color w:val="000000"/>
          <w:sz w:val="32"/>
          <w:szCs w:val="32"/>
          <w:highlight w:val="none"/>
        </w:rPr>
      </w:r>
      <w:r/>
    </w:p>
    <w:p>
      <w:pPr>
        <w:pStyle w:val="871"/>
        <w:ind w:firstLine="420"/>
        <w:keepLines/>
        <w:keepNext/>
        <w:spacing w:line="520" w:lineRule="exact"/>
        <w:rPr>
          <w:rFonts w:hint="eastAsia" w:ascii="黑体" w:hAnsi="Arial" w:eastAsia="黑体" w:cs="Arial"/>
          <w:color w:val="000000"/>
          <w:sz w:val="28"/>
          <w:szCs w:val="28"/>
          <w:highlight w:val="none"/>
        </w:rPr>
        <w:outlineLvl w:val="3"/>
      </w:pPr>
      <w:r/>
      <w:bookmarkStart w:id="118" w:name="_Toc513029225"/>
      <w:r/>
      <w:bookmarkStart w:id="119" w:name="_Toc20823297"/>
      <w:r/>
      <w:bookmarkStart w:id="120" w:name="_Toc462564084"/>
      <w:r/>
      <w:bookmarkStart w:id="121" w:name="_Toc16938541"/>
      <w:r>
        <w:rPr>
          <w:rFonts w:hint="eastAsia" w:ascii="Arial" w:hAnsi="Arial" w:eastAsia="黑体" w:cs="Arial"/>
          <w:color w:val="000000"/>
          <w:sz w:val="28"/>
          <w:szCs w:val="28"/>
          <w:highlight w:val="none"/>
        </w:rPr>
        <w:t xml:space="preserve">17、电子</w:t>
      </w:r>
      <w:r>
        <w:rPr>
          <w:rFonts w:hint="eastAsia" w:ascii="黑体" w:hAnsi="Arial" w:eastAsia="黑体" w:cs="Arial"/>
          <w:color w:val="000000"/>
          <w:sz w:val="28"/>
          <w:szCs w:val="28"/>
          <w:highlight w:val="none"/>
        </w:rPr>
        <w:t xml:space="preserve">投标文件</w:t>
      </w:r>
      <w:bookmarkEnd w:id="118"/>
      <w:r/>
      <w:bookmarkEnd w:id="119"/>
      <w:r/>
      <w:bookmarkEnd w:id="120"/>
      <w:r/>
      <w:bookmarkEnd w:id="121"/>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871"/>
        <w:ind w:left="525"/>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 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w:t>
      </w:r>
      <w:r>
        <w:rPr>
          <w:rFonts w:hint="eastAsia" w:ascii="宋体" w:hAnsi="宋体"/>
          <w:bCs/>
          <w:color w:val="000000"/>
          <w:sz w:val="24"/>
          <w:szCs w:val="21"/>
          <w:highlight w:val="none"/>
        </w:rPr>
      </w:r>
      <w:r/>
    </w:p>
    <w:p>
      <w:pPr>
        <w:pStyle w:val="871"/>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文件。</w:t>
      </w:r>
      <w:bookmarkStart w:id="122" w:name="_Toc20823298"/>
      <w:r/>
      <w:bookmarkStart w:id="123" w:name="_Toc16938542"/>
      <w:r/>
      <w:bookmarkStart w:id="124" w:name="_Toc513029226"/>
      <w:r>
        <w:rPr>
          <w:rFonts w:ascii="宋体" w:hAnsi="宋体"/>
          <w:bCs/>
          <w:color w:val="000000"/>
          <w:sz w:val="24"/>
          <w:szCs w:val="21"/>
          <w:highlight w:val="none"/>
        </w:rPr>
      </w:r>
      <w:r/>
    </w:p>
    <w:p>
      <w:pPr>
        <w:pStyle w:val="871"/>
        <w:ind w:firstLine="420"/>
        <w:keepLines/>
        <w:keepNext/>
        <w:spacing w:line="52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w:t>
      </w:r>
      <w:r>
        <w:rPr>
          <w:rFonts w:hint="eastAsia" w:ascii="Arial" w:hAnsi="Arial" w:eastAsia="黑体" w:cs="Arial"/>
          <w:bCs/>
          <w:color w:val="000000"/>
          <w:sz w:val="28"/>
          <w:szCs w:val="28"/>
          <w:highlight w:val="none"/>
        </w:rPr>
        <w:t xml:space="preserve">8、投标截止日期</w:t>
      </w:r>
      <w:bookmarkEnd w:id="122"/>
      <w:r/>
      <w:bookmarkEnd w:id="123"/>
      <w:r/>
      <w:bookmarkEnd w:id="124"/>
      <w:r>
        <w:rPr>
          <w:rFonts w:hint="eastAsia" w:ascii="宋体" w:hAnsi="宋体" w:eastAsia="黑体" w:cs="Arial"/>
          <w:bCs/>
          <w:color w:val="000000"/>
          <w:sz w:val="24"/>
          <w:szCs w:val="28"/>
          <w:highlight w:val="none"/>
        </w:rPr>
      </w:r>
      <w:r/>
    </w:p>
    <w:p>
      <w:pPr>
        <w:pStyle w:val="871"/>
        <w:ind w:firstLine="480"/>
        <w:spacing w:line="520" w:lineRule="exact"/>
        <w:rPr>
          <w:rFonts w:hint="eastAsia" w:ascii="宋体" w:hAnsi="宋体"/>
          <w:bCs/>
          <w:color w:val="000000"/>
          <w:sz w:val="24"/>
          <w:szCs w:val="21"/>
          <w:highlight w:val="none"/>
          <w:u w:val="singl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8.1</w:t>
      </w:r>
      <w:r>
        <w:rPr>
          <w:rFonts w:hint="eastAsia" w:ascii="宋体" w:hAnsi="宋体"/>
          <w:bCs/>
          <w:color w:val="000000"/>
          <w:sz w:val="24"/>
          <w:szCs w:val="21"/>
          <w:highlight w:val="none"/>
        </w:rPr>
        <w:t xml:space="preserve"> </w:t>
      </w:r>
      <w:r>
        <w:rPr>
          <w:rFonts w:hint="eastAsia" w:ascii="宋体" w:hAnsi="宋体"/>
          <w:b/>
          <w:bCs/>
          <w:color w:val="000000"/>
          <w:sz w:val="24"/>
          <w:szCs w:val="21"/>
          <w:highlight w:val="none"/>
          <w:u w:val="single"/>
        </w:rPr>
        <w:t xml:space="preserve">投标人上传电子投标文件的时间不得迟于招标公告中规定的投标截止时间。</w:t>
      </w:r>
      <w:r>
        <w:rPr>
          <w:rFonts w:hint="eastAsia" w:ascii="宋体" w:hAnsi="宋体"/>
          <w:bCs/>
          <w:color w:val="000000"/>
          <w:sz w:val="24"/>
          <w:szCs w:val="21"/>
          <w:highlight w:val="none"/>
          <w:u w:val="singl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8.2</w:t>
      </w:r>
      <w:r>
        <w:rPr>
          <w:rFonts w:hint="eastAsia" w:ascii="宋体" w:hAnsi="宋体"/>
          <w:bCs/>
          <w:color w:val="000000"/>
          <w:sz w:val="24"/>
          <w:szCs w:val="21"/>
          <w:highlight w:val="none"/>
        </w:rPr>
        <w:t xml:space="preserve"> 交易中心可以按照规定，通过修改招标文件酌情延长投标截止日期，在此情况下，投标人的所有权利和义务以及投标人受制的截止日期均应以延长后新的截止日期为准。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125" w:name="_Toc20823299"/>
      <w:r/>
      <w:bookmarkStart w:id="126" w:name="_Toc513029227"/>
      <w:r/>
      <w:bookmarkStart w:id="127" w:name="_Toc16938543"/>
      <w:r>
        <w:rPr>
          <w:rFonts w:hint="eastAsia" w:ascii="Arial" w:hAnsi="Arial" w:eastAsia="黑体" w:cs="Arial"/>
          <w:color w:val="000000"/>
          <w:sz w:val="28"/>
          <w:szCs w:val="28"/>
          <w:highlight w:val="none"/>
        </w:rPr>
        <w:t xml:space="preserve">19、投标文件</w:t>
      </w:r>
      <w:bookmarkEnd w:id="125"/>
      <w:r/>
      <w:bookmarkEnd w:id="126"/>
      <w:r/>
      <w:bookmarkEnd w:id="127"/>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19.1 交易中心拒绝接收在其规定的投标截止时间后上传的任何投标文件。</w:t>
      </w:r>
      <w:r>
        <w:rPr>
          <w:rFonts w:hint="eastAsia" w:ascii="宋体" w:hAnsi="宋体"/>
          <w:bCs/>
          <w:color w:val="000000"/>
          <w:sz w:val="24"/>
          <w:szCs w:val="21"/>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128" w:name="_Toc20823300"/>
      <w:r/>
      <w:bookmarkStart w:id="129" w:name="_Toc16938544"/>
      <w:r/>
      <w:bookmarkStart w:id="130" w:name="_Toc513029228"/>
      <w:r>
        <w:rPr>
          <w:rFonts w:hint="eastAsia" w:ascii="Arial" w:hAnsi="Arial" w:eastAsia="黑体" w:cs="Arial"/>
          <w:color w:val="000000"/>
          <w:sz w:val="28"/>
          <w:szCs w:val="28"/>
          <w:highlight w:val="none"/>
        </w:rPr>
        <w:t xml:space="preserve">20、投标文件的撤回和修改</w:t>
      </w:r>
      <w:bookmarkEnd w:id="128"/>
      <w:r/>
      <w:bookmarkEnd w:id="129"/>
      <w:r/>
      <w:bookmarkEnd w:id="130"/>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20.1 投标文件的撤回</w:t>
      </w:r>
      <w:r>
        <w:rPr>
          <w:rFonts w:hint="eastAsia" w:ascii="宋体" w:hAnsi="宋体"/>
          <w:color w:val="000000"/>
          <w:sz w:val="24"/>
          <w:szCs w:val="21"/>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20.1.1 电子投标文件的撤回</w:t>
      </w:r>
      <w:r>
        <w:rPr>
          <w:rFonts w:hint="eastAsia" w:ascii="宋体" w:hAnsi="宋体"/>
          <w:color w:val="000000"/>
          <w:sz w:val="24"/>
          <w:szCs w:val="21"/>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20.2.1投标人可在投标截止时间前，对其电子投标文件进行修改，具体操作方法见《操作手册》。</w:t>
      </w:r>
      <w:r>
        <w:rPr>
          <w:rFonts w:hint="eastAsia" w:ascii="宋体" w:hAnsi="宋体"/>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20.</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20.3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871"/>
        <w:ind w:firstLine="482"/>
        <w:keepLines/>
        <w:keepNext/>
        <w:spacing w:line="520" w:lineRule="exact"/>
        <w:rPr>
          <w:rFonts w:hint="eastAsia" w:ascii="Times New Roman" w:hAnsi="Times New Roman"/>
          <w:b/>
          <w:bCs/>
          <w:color w:val="000000"/>
          <w:sz w:val="32"/>
          <w:szCs w:val="32"/>
          <w:highlight w:val="none"/>
        </w:rPr>
        <w:outlineLvl w:val="2"/>
      </w:pPr>
      <w:r/>
      <w:bookmarkStart w:id="131" w:name="_Toc16938545"/>
      <w:r/>
      <w:bookmarkStart w:id="132" w:name="_Toc513029229"/>
      <w:r/>
      <w:bookmarkStart w:id="133" w:name="_Toc120614218"/>
      <w:r/>
      <w:bookmarkStart w:id="134" w:name="_Toc20823301"/>
      <w:r>
        <w:rPr>
          <w:rFonts w:hint="eastAsia" w:ascii="Times New Roman" w:hAnsi="Times New Roman"/>
          <w:b/>
          <w:bCs/>
          <w:color w:val="000000"/>
          <w:sz w:val="32"/>
          <w:szCs w:val="32"/>
          <w:highlight w:val="none"/>
        </w:rPr>
        <w:t xml:space="preserve">五、开标与评标</w:t>
      </w:r>
      <w:bookmarkEnd w:id="131"/>
      <w:r/>
      <w:bookmarkEnd w:id="132"/>
      <w:r/>
      <w:bookmarkEnd w:id="133"/>
      <w:r/>
      <w:bookmarkEnd w:id="134"/>
      <w:r>
        <w:rPr>
          <w:rFonts w:hint="eastAsia" w:ascii="Times New Roman" w:hAnsi="Times New Roman"/>
          <w:b/>
          <w:bCs/>
          <w:color w:val="000000"/>
          <w:sz w:val="32"/>
          <w:szCs w:val="32"/>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135" w:name="_Toc20823302"/>
      <w:r/>
      <w:bookmarkStart w:id="136" w:name="_Toc513029230"/>
      <w:r/>
      <w:bookmarkStart w:id="137" w:name="_Toc16938546"/>
      <w:r>
        <w:rPr>
          <w:rFonts w:hint="eastAsia" w:ascii="Arial" w:hAnsi="Arial" w:eastAsia="黑体" w:cs="Arial"/>
          <w:color w:val="000000"/>
          <w:sz w:val="28"/>
          <w:szCs w:val="28"/>
          <w:highlight w:val="none"/>
        </w:rPr>
        <w:t xml:space="preserve">21、开标</w:t>
      </w:r>
      <w:bookmarkEnd w:id="135"/>
      <w:r/>
      <w:bookmarkEnd w:id="136"/>
      <w:r/>
      <w:bookmarkEnd w:id="137"/>
      <w:r>
        <w:rPr>
          <w:rFonts w:hint="eastAsia" w:ascii="Arial" w:hAnsi="Arial" w:eastAsia="黑体" w:cs="Arial"/>
          <w:color w:val="000000"/>
          <w:sz w:val="28"/>
          <w:szCs w:val="28"/>
          <w:highlight w:val="none"/>
        </w:rPr>
      </w:r>
      <w:r/>
    </w:p>
    <w:p>
      <w:pPr>
        <w:pStyle w:val="871"/>
        <w:ind w:firstLine="360"/>
        <w:spacing w:line="520" w:lineRule="exact"/>
        <w:rPr>
          <w:rFonts w:hint="eastAsia" w:ascii="Times New Roman" w:hAnsi="Times New Roman"/>
          <w:color w:val="000000"/>
          <w:szCs w:val="21"/>
          <w:highlight w:val="none"/>
        </w:rPr>
      </w:pPr>
      <w:r>
        <w:rPr>
          <w:rFonts w:hint="eastAsia" w:ascii="宋体" w:hAnsi="宋体"/>
          <w:color w:val="000000"/>
          <w:sz w:val="24"/>
          <w:szCs w:val="21"/>
          <w:highlight w:val="none"/>
        </w:rPr>
        <w:t xml:space="preserve">21.1</w:t>
      </w:r>
      <w:r>
        <w:rPr>
          <w:rFonts w:hint="eastAsia" w:ascii="宋体" w:hAnsi="宋体"/>
          <w:bCs/>
          <w:color w:val="000000"/>
          <w:sz w:val="24"/>
          <w:szCs w:val="21"/>
          <w:highlight w:val="none"/>
        </w:rPr>
        <w:t xml:space="preserve"> 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ascii="Times New Roman" w:hAnsi="Times New Roman"/>
          <w:color w:val="000000"/>
          <w:szCs w:val="21"/>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开标仪式由交易中心组织。苏采云系统将自动对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21.3投标人在开标过程中涉及到的投标文件解密、开标结果确认等工作，应按照《操作手册》规定执行。</w:t>
      </w:r>
      <w:r>
        <w:rPr>
          <w:rFonts w:hint="eastAsia" w:ascii="宋体" w:hAnsi="宋体"/>
          <w:color w:val="000000"/>
          <w:sz w:val="24"/>
          <w:szCs w:val="24"/>
          <w:highlight w:val="none"/>
        </w:rPr>
      </w:r>
      <w:r/>
    </w:p>
    <w:p>
      <w:pPr>
        <w:pStyle w:val="871"/>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138" w:name="_Toc16938547"/>
      <w:r/>
      <w:bookmarkStart w:id="139" w:name="_Toc20823303"/>
      <w:r/>
      <w:bookmarkStart w:id="140" w:name="_Toc513029231"/>
      <w:r>
        <w:rPr>
          <w:rFonts w:hint="eastAsia" w:ascii="Arial" w:hAnsi="Arial" w:eastAsia="黑体" w:cs="Arial"/>
          <w:color w:val="000000"/>
          <w:sz w:val="28"/>
          <w:szCs w:val="28"/>
          <w:highlight w:val="none"/>
        </w:rPr>
        <w:t xml:space="preserve">22、评标委员会</w:t>
      </w:r>
      <w:r>
        <w:rPr>
          <w:rFonts w:hint="eastAsia" w:ascii="Arial" w:hAnsi="Arial" w:eastAsia="黑体" w:cs="Arial"/>
          <w:color w:val="000000"/>
          <w:sz w:val="28"/>
          <w:szCs w:val="28"/>
          <w:highlight w:val="none"/>
        </w:rPr>
      </w:r>
      <w:r/>
    </w:p>
    <w:p>
      <w:pPr>
        <w:pStyle w:val="871"/>
        <w:spacing w:line="52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开标后，交易中心将立即组织评标委员会（以下简称评委会）进行评标。</w:t>
      </w:r>
      <w:r>
        <w:rPr>
          <w:rFonts w:hint="eastAsia" w:ascii="宋体" w:hAnsi="宋体"/>
          <w:b/>
          <w:color w:val="000000"/>
          <w:sz w:val="24"/>
          <w:szCs w:val="24"/>
          <w:highlight w:val="none"/>
        </w:rPr>
      </w:r>
      <w:r/>
    </w:p>
    <w:p>
      <w:pPr>
        <w:pStyle w:val="871"/>
        <w:spacing w:line="52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评委会由采购人代表和有关技术、经济等方面的专家组成，且人员构成符合政府采购有关规定。</w:t>
      </w:r>
      <w:r>
        <w:rPr>
          <w:rFonts w:hint="eastAsia" w:ascii="宋体" w:hAnsi="宋体"/>
          <w:color w:val="000000"/>
          <w:sz w:val="24"/>
          <w:szCs w:val="24"/>
          <w:highlight w:val="none"/>
        </w:rPr>
      </w:r>
      <w:r/>
    </w:p>
    <w:p>
      <w:pPr>
        <w:pStyle w:val="871"/>
        <w:spacing w:line="52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22.3评委会独立工作，负责评审所有投标文件并确定中标侯选人。</w:t>
      </w:r>
      <w:r>
        <w:rPr>
          <w:rFonts w:hint="eastAsia" w:ascii="宋体" w:hAnsi="宋体"/>
          <w:color w:val="000000"/>
          <w:sz w:val="24"/>
          <w:szCs w:val="24"/>
          <w:highlight w:val="none"/>
        </w:rPr>
      </w:r>
      <w:r/>
    </w:p>
    <w:p>
      <w:pPr>
        <w:pStyle w:val="871"/>
        <w:ind w:firstLine="420"/>
        <w:keepLines/>
        <w:keepNext/>
        <w:spacing w:line="52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23、评标过程的保密与公正</w:t>
      </w:r>
      <w:r>
        <w:rPr>
          <w:rFonts w:hint="eastAsia" w:ascii="黑体" w:hAnsi="Arial" w:eastAsia="黑体" w:cs="Arial"/>
          <w:color w:val="000000"/>
          <w:sz w:val="28"/>
          <w:szCs w:val="28"/>
          <w:highlight w:val="none"/>
        </w:rPr>
      </w:r>
      <w:r/>
    </w:p>
    <w:p>
      <w:pPr>
        <w:pStyle w:val="871"/>
        <w:ind w:firstLine="480"/>
        <w:spacing w:line="520" w:lineRule="exact"/>
        <w:rPr>
          <w:rFonts w:hint="eastAsia" w:ascii="宋体" w:hAnsi="宋体"/>
          <w:bCs/>
          <w:color w:val="000000"/>
          <w:sz w:val="24"/>
          <w:szCs w:val="21"/>
          <w:highlight w:val="none"/>
        </w:rPr>
      </w:pPr>
      <w:r/>
      <w:bookmarkEnd w:id="138"/>
      <w:r/>
      <w:bookmarkEnd w:id="139"/>
      <w:r/>
      <w:bookmarkEnd w:id="140"/>
      <w:r>
        <w:rPr>
          <w:rFonts w:hint="eastAsia" w:ascii="宋体" w:hAnsi="宋体"/>
          <w:color w:val="000000"/>
          <w:sz w:val="24"/>
          <w:szCs w:val="21"/>
          <w:highlight w:val="none"/>
        </w:rPr>
        <w:t xml:space="preserve">23.1</w:t>
      </w:r>
      <w:r>
        <w:rPr>
          <w:rFonts w:hint="eastAsia" w:ascii="宋体" w:hAnsi="宋体"/>
          <w:bCs/>
          <w:color w:val="000000"/>
          <w:sz w:val="24"/>
          <w:szCs w:val="21"/>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szCs w:val="21"/>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交易中心和评标委员会不向未中标的投标人解释未中标原因，也不公布评标过程中的相关细节。</w:t>
      </w:r>
      <w:r>
        <w:rPr>
          <w:rFonts w:hint="eastAsia" w:ascii="宋体" w:hAnsi="宋体"/>
          <w:color w:val="000000"/>
          <w:sz w:val="24"/>
          <w:szCs w:val="24"/>
          <w:highlight w:val="none"/>
        </w:rPr>
      </w:r>
      <w:r/>
    </w:p>
    <w:p>
      <w:pPr>
        <w:pStyle w:val="871"/>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bookmarkStart w:id="141" w:name="_Toc20823304"/>
      <w:r/>
      <w:bookmarkStart w:id="142" w:name="_Toc513029232"/>
      <w:r/>
      <w:bookmarkStart w:id="143" w:name="_Toc16938548"/>
      <w:r>
        <w:rPr>
          <w:rFonts w:hint="eastAsia" w:ascii="Arial" w:hAnsi="Arial" w:eastAsia="黑体" w:cs="Arial"/>
          <w:color w:val="000000"/>
          <w:sz w:val="28"/>
          <w:szCs w:val="28"/>
          <w:highlight w:val="none"/>
        </w:rPr>
        <w:t xml:space="preserve">24、投标文件的澄清</w:t>
      </w:r>
      <w:bookmarkEnd w:id="141"/>
      <w:r/>
      <w:bookmarkEnd w:id="142"/>
      <w:r/>
      <w:bookmarkEnd w:id="143"/>
      <w:r>
        <w:rPr>
          <w:rFonts w:hint="eastAsia" w:ascii="Arial" w:hAnsi="Arial" w:eastAsia="黑体" w:cs="Arial"/>
          <w:color w:val="000000"/>
          <w:sz w:val="28"/>
          <w:szCs w:val="28"/>
          <w:highlight w:val="none"/>
        </w:rPr>
      </w:r>
      <w:r/>
    </w:p>
    <w:p>
      <w:pPr>
        <w:pStyle w:val="871"/>
        <w:ind w:firstLine="480"/>
        <w:spacing w:line="520" w:lineRule="exact"/>
        <w:rPr>
          <w:rFonts w:ascii="宋体" w:hAnsi="宋体"/>
          <w:color w:val="000000"/>
          <w:sz w:val="24"/>
          <w:szCs w:val="24"/>
          <w:highlight w:val="none"/>
        </w:rPr>
      </w:pPr>
      <w:r/>
      <w:bookmarkStart w:id="144" w:name="_Toc20823305"/>
      <w:r/>
      <w:bookmarkStart w:id="145" w:name="_Toc513029233"/>
      <w:r/>
      <w:bookmarkStart w:id="146" w:name="_Toc16938549"/>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871"/>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25、对投标文件的初审</w:t>
      </w:r>
      <w:bookmarkEnd w:id="144"/>
      <w:r/>
      <w:bookmarkEnd w:id="145"/>
      <w:r/>
      <w:bookmarkEnd w:id="146"/>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25.1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25.1.3 未通过资格审查或符合性审查的投标人，交易中心将在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中告知未通过资格审查或符合性审查的原因，评审结束后，交易中心将不再告知未通过资格审查或符合性审查的原因。</w:t>
      </w:r>
      <w:r>
        <w:rPr>
          <w:rFonts w:hint="eastAsia" w:ascii="宋体" w:hAnsi="宋体"/>
          <w:bCs/>
          <w:color w:val="000000"/>
          <w:sz w:val="24"/>
          <w:szCs w:val="21"/>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25.2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25.3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25.4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871"/>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871"/>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871"/>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871"/>
        <w:ind w:firstLine="480"/>
        <w:spacing w:line="520" w:lineRule="exact"/>
        <w:rPr>
          <w:rFonts w:ascii="宋体" w:hAnsi="宋体"/>
          <w:bCs/>
          <w:color w:val="000000"/>
          <w:sz w:val="24"/>
          <w:szCs w:val="21"/>
          <w:highlight w:val="none"/>
        </w:rPr>
      </w:pPr>
      <w:r>
        <w:rPr>
          <w:rFonts w:hint="eastAsia" w:ascii="宋体" w:hAnsi="宋体"/>
          <w:color w:val="000000"/>
          <w:sz w:val="24"/>
          <w:szCs w:val="21"/>
          <w:highlight w:val="none"/>
        </w:rPr>
        <w:t xml:space="preserve">25.5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871"/>
        <w:ind w:firstLine="480"/>
        <w:spacing w:line="520" w:lineRule="exact"/>
        <w:rPr>
          <w:rFonts w:ascii="宋体" w:hAnsi="宋体"/>
          <w:color w:val="000000"/>
          <w:sz w:val="24"/>
          <w:szCs w:val="21"/>
          <w:highlight w:val="none"/>
        </w:rPr>
      </w:pPr>
      <w:r/>
      <w:bookmarkStart w:id="147" w:name="_Toc20823306"/>
      <w:r/>
      <w:bookmarkStart w:id="148" w:name="_Toc513029234"/>
      <w:r/>
      <w:bookmarkStart w:id="149" w:name="_Toc16938550"/>
      <w:r>
        <w:rPr>
          <w:rFonts w:hint="eastAsia" w:ascii="宋体" w:hAnsi="宋体"/>
          <w:color w:val="000000"/>
          <w:sz w:val="24"/>
          <w:szCs w:val="21"/>
          <w:highlight w:val="none"/>
        </w:rPr>
        <w:t xml:space="preserve">25.6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871"/>
        <w:ind w:firstLine="480"/>
        <w:spacing w:line="52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871"/>
        <w:ind w:firstLine="420"/>
        <w:spacing w:line="52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871"/>
        <w:ind w:firstLine="42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25.7投标人在开、评标全过程中应保持通讯畅通，及时登录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并安排专人与交易中心及评标委员会联系。</w:t>
      </w:r>
      <w:r>
        <w:rPr>
          <w:rFonts w:hint="eastAsia" w:ascii="宋体" w:hAnsi="宋体"/>
          <w:color w:val="000000"/>
          <w:sz w:val="24"/>
          <w:szCs w:val="21"/>
          <w:highlight w:val="none"/>
        </w:rPr>
      </w:r>
      <w:r/>
    </w:p>
    <w:p>
      <w:pPr>
        <w:pStyle w:val="871"/>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26、异常低价投标审查</w:t>
      </w:r>
      <w:r>
        <w:rPr>
          <w:rFonts w:hint="eastAsia" w:ascii="Arial" w:hAnsi="Arial" w:eastAsia="黑体" w:cs="Arial"/>
          <w:color w:val="000000"/>
          <w:sz w:val="28"/>
          <w:szCs w:val="28"/>
          <w:highlight w:val="none"/>
        </w:rPr>
      </w:r>
      <w:r/>
    </w:p>
    <w:p>
      <w:pPr>
        <w:pStyle w:val="871"/>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26.1 评标过程中出现下列情形之一的，评标委员会应当启动异常低价投标审查程序：</w:t>
      </w:r>
      <w:r>
        <w:rPr>
          <w:rFonts w:hint="eastAsia" w:ascii="宋体" w:hAnsi="宋体"/>
          <w:bCs/>
          <w:color w:val="000000"/>
          <w:sz w:val="24"/>
          <w:highlight w:val="none"/>
        </w:rPr>
      </w:r>
      <w:r/>
    </w:p>
    <w:p>
      <w:pPr>
        <w:pStyle w:val="871"/>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bCs/>
          <w:color w:val="000000"/>
          <w:sz w:val="24"/>
          <w:highlight w:val="none"/>
        </w:rPr>
      </w:r>
      <w:r/>
    </w:p>
    <w:p>
      <w:pPr>
        <w:pStyle w:val="871"/>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bCs/>
          <w:color w:val="000000"/>
          <w:sz w:val="24"/>
          <w:highlight w:val="none"/>
        </w:rPr>
      </w:r>
      <w:r/>
    </w:p>
    <w:p>
      <w:pPr>
        <w:pStyle w:val="871"/>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（3）投标（响应）报价低于采购项目最高限价45%的，即投标（响应）报价&lt;采购项目最高限价×45%；</w:t>
      </w:r>
      <w:r>
        <w:rPr>
          <w:rFonts w:hint="eastAsia" w:ascii="宋体" w:hAnsi="宋体"/>
          <w:bCs/>
          <w:color w:val="000000"/>
          <w:sz w:val="24"/>
          <w:highlight w:val="none"/>
        </w:rPr>
      </w:r>
      <w:r/>
    </w:p>
    <w:p>
      <w:pPr>
        <w:pStyle w:val="871"/>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（4）评审委员会基于专业判断，认为供应商报价过低，有可能影响产品质量或者不能诚信履约的其他情形。</w:t>
      </w:r>
      <w:r>
        <w:rPr>
          <w:rFonts w:hint="eastAsia" w:ascii="宋体" w:hAnsi="宋体"/>
          <w:bCs/>
          <w:color w:val="000000"/>
          <w:sz w:val="24"/>
          <w:highlight w:val="none"/>
        </w:rPr>
      </w:r>
      <w:r/>
    </w:p>
    <w:p>
      <w:pPr>
        <w:pStyle w:val="871"/>
        <w:ind w:firstLine="480"/>
        <w:spacing w:line="520" w:lineRule="exact"/>
        <w:rPr>
          <w:rFonts w:hint="eastAsia" w:ascii="宋体" w:hAnsi="宋体"/>
          <w:bCs/>
          <w:color w:val="000000"/>
          <w:sz w:val="24"/>
          <w:highlight w:val="none"/>
        </w:rPr>
      </w:pPr>
      <w:r>
        <w:rPr>
          <w:rFonts w:hint="eastAsia" w:ascii="宋体" w:hAnsi="宋体"/>
          <w:bCs/>
          <w:color w:val="000000"/>
          <w:sz w:val="24"/>
          <w:highlight w:val="none"/>
        </w:rPr>
        <w:t xml:space="preserve">26.2 启动异常低价投标审查后，评标委员会应当要求相关供应商在评标现场合理的时间内（一般不少于30分钟），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bCs/>
          <w:color w:val="000000"/>
          <w:sz w:val="24"/>
          <w:highlight w:val="none"/>
        </w:rPr>
      </w:r>
      <w:r/>
    </w:p>
    <w:p>
      <w:pPr>
        <w:pStyle w:val="871"/>
        <w:ind w:left="479"/>
        <w:spacing w:line="520" w:lineRule="exact"/>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147"/>
      <w:r/>
      <w:bookmarkEnd w:id="148"/>
      <w:r/>
      <w:bookmarkEnd w:id="149"/>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871"/>
        <w:ind w:left="479"/>
        <w:spacing w:line="520" w:lineRule="exact"/>
        <w:rPr>
          <w:rFonts w:hint="eastAsia" w:ascii="宋体" w:hAnsi="宋体"/>
          <w:bCs/>
          <w:color w:val="000000"/>
          <w:sz w:val="24"/>
          <w:szCs w:val="21"/>
          <w:highlight w:val="none"/>
        </w:rPr>
      </w:pPr>
      <w:r/>
      <w:bookmarkStart w:id="150" w:name="_Toc20823307"/>
      <w:r/>
      <w:bookmarkStart w:id="151" w:name="_Toc513029235"/>
      <w:r/>
      <w:bookmarkStart w:id="152"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p>
    <w:p>
      <w:pPr>
        <w:pStyle w:val="871"/>
        <w:ind w:left="479"/>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871"/>
        <w:ind w:left="479"/>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871"/>
        <w:ind w:firstLine="480"/>
        <w:spacing w:line="52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871"/>
        <w:ind w:firstLine="360"/>
        <w:spacing w:line="520" w:lineRule="exact"/>
        <w:rPr>
          <w:rFonts w:hint="eastAsia" w:ascii="宋体" w:hAnsi="宋体"/>
          <w:b/>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
          <w:bCs/>
          <w:i/>
          <w:color w:val="000000"/>
          <w:sz w:val="24"/>
          <w:szCs w:val="21"/>
          <w:highlight w:val="none"/>
          <w:u w:val="singl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27.1.13 投标人所投标产品不符合招标文件中所列国家强制性标准的。</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.1.14 其他法律、法规及本招标文件规定的属无效投标的情形。</w:t>
      </w:r>
      <w:r>
        <w:rPr>
          <w:rFonts w:hint="eastAsia" w:ascii="宋体" w:hAnsi="宋体"/>
          <w:bCs/>
          <w:color w:val="000000"/>
          <w:sz w:val="24"/>
          <w:szCs w:val="21"/>
          <w:highlight w:val="none"/>
        </w:rPr>
      </w:r>
      <w:r/>
    </w:p>
    <w:p>
      <w:pPr>
        <w:pStyle w:val="871"/>
        <w:ind w:left="479"/>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废标条款</w:t>
      </w:r>
      <w:r>
        <w:rPr>
          <w:rFonts w:hint="eastAsia" w:ascii="宋体" w:hAnsi="宋体"/>
          <w:bCs/>
          <w:color w:val="000000"/>
          <w:sz w:val="24"/>
          <w:szCs w:val="21"/>
          <w:highlight w:val="none"/>
        </w:rPr>
      </w:r>
      <w:r/>
    </w:p>
    <w:p>
      <w:pPr>
        <w:pStyle w:val="871"/>
        <w:ind w:left="479"/>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871"/>
        <w:ind w:left="479"/>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871"/>
        <w:ind w:left="479"/>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ascii="宋体" w:hAnsi="宋体"/>
          <w:bCs/>
          <w:color w:val="000000"/>
          <w:sz w:val="24"/>
          <w:szCs w:val="21"/>
          <w:highlight w:val="none"/>
        </w:rPr>
      </w:r>
      <w:r/>
    </w:p>
    <w:p>
      <w:pPr>
        <w:pStyle w:val="871"/>
        <w:ind w:left="479"/>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1"/>
        <w:ind w:left="479"/>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871"/>
        <w:ind w:firstLine="482"/>
        <w:keepLines/>
        <w:keepNext/>
        <w:spacing w:line="520" w:lineRule="exact"/>
        <w:rPr>
          <w:rFonts w:hint="eastAsia" w:ascii="Times New Roman" w:hAnsi="Times New Roman"/>
          <w:b/>
          <w:bCs/>
          <w:color w:val="000000"/>
          <w:sz w:val="32"/>
          <w:szCs w:val="32"/>
          <w:highlight w:val="none"/>
        </w:rPr>
        <w:outlineLvl w:val="2"/>
      </w:pPr>
      <w:r/>
      <w:bookmarkStart w:id="153" w:name="_Toc120614219"/>
      <w:r>
        <w:rPr>
          <w:rFonts w:hint="eastAsia" w:ascii="Times New Roman" w:hAnsi="Times New Roman"/>
          <w:b/>
          <w:bCs/>
          <w:color w:val="000000"/>
          <w:sz w:val="32"/>
          <w:szCs w:val="32"/>
          <w:highlight w:val="none"/>
        </w:rPr>
        <w:t xml:space="preserve">六、</w:t>
      </w:r>
      <w:bookmarkEnd w:id="150"/>
      <w:r/>
      <w:bookmarkEnd w:id="151"/>
      <w:r/>
      <w:bookmarkEnd w:id="152"/>
      <w:r>
        <w:rPr>
          <w:rFonts w:hint="eastAsia" w:ascii="Times New Roman" w:hAnsi="Times New Roman"/>
          <w:b/>
          <w:bCs/>
          <w:color w:val="000000"/>
          <w:sz w:val="32"/>
          <w:szCs w:val="32"/>
          <w:highlight w:val="none"/>
        </w:rPr>
        <w:t xml:space="preserve">定标</w:t>
      </w:r>
      <w:bookmarkEnd w:id="153"/>
      <w:r>
        <w:rPr>
          <w:rFonts w:hint="eastAsia" w:ascii="Times New Roman" w:hAnsi="Times New Roman"/>
          <w:b/>
          <w:bCs/>
          <w:color w:val="000000"/>
          <w:sz w:val="32"/>
          <w:szCs w:val="32"/>
          <w:highlight w:val="none"/>
        </w:rPr>
      </w:r>
      <w:r/>
    </w:p>
    <w:p>
      <w:pPr>
        <w:pStyle w:val="871"/>
        <w:ind w:firstLine="600"/>
        <w:keepLines/>
        <w:keepNext/>
        <w:spacing w:line="520" w:lineRule="exact"/>
        <w:rPr>
          <w:rFonts w:hint="eastAsia" w:ascii="黑体" w:hAnsi="宋体" w:eastAsia="黑体"/>
          <w:bCs/>
          <w:color w:val="000000"/>
          <w:sz w:val="30"/>
          <w:szCs w:val="30"/>
          <w:highlight w:val="none"/>
        </w:rPr>
        <w:outlineLvl w:val="3"/>
      </w:pPr>
      <w:r/>
      <w:bookmarkStart w:id="154" w:name="_Toc513029238"/>
      <w:r/>
      <w:bookmarkStart w:id="155" w:name="_Toc20823310"/>
      <w:r/>
      <w:bookmarkStart w:id="156"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154"/>
      <w:r>
        <w:rPr>
          <w:rFonts w:hint="eastAsia" w:ascii="黑体" w:hAnsi="宋体" w:eastAsia="黑体"/>
          <w:bCs/>
          <w:color w:val="000000"/>
          <w:sz w:val="30"/>
          <w:szCs w:val="30"/>
          <w:highlight w:val="none"/>
        </w:rPr>
        <w:t xml:space="preserve">确定</w:t>
      </w:r>
      <w:bookmarkEnd w:id="155"/>
      <w:r/>
      <w:bookmarkEnd w:id="156"/>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.2采购人应根据评委会推荐的中标候选人确定中标人</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.3</w:t>
      </w:r>
      <w:r>
        <w:rPr>
          <w:rFonts w:hint="eastAsia" w:ascii="宋体" w:hAnsi="宋体"/>
          <w:color w:val="000000"/>
          <w:sz w:val="24"/>
          <w:szCs w:val="24"/>
          <w:highlight w:val="none"/>
        </w:rPr>
        <w:t xml:space="preserve">交易中心将在“江苏政府采购网”发布中标公告，公告期限为1个工作日。</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.4若有充分证据证明，中标人出现下列情况之一的，一经查实，将被取消中标资格：</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.4.1提供虚假材料谋取中标的。</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.4.2向采购人、交易中心行贿或者提供其他不正当利益的。</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.4.3属于本文件规定的无效条件，但在评标过程中又未被评委会发现的。</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.4.4与采购人或者其他供应商恶意串通的。</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.4.5采取不正当手段诋毁、排挤其他供应商的。</w:t>
      </w:r>
      <w:r>
        <w:rPr>
          <w:rFonts w:hint="eastAsia" w:ascii="宋体" w:hAnsi="宋体"/>
          <w:color w:val="000000"/>
          <w:sz w:val="24"/>
          <w:szCs w:val="24"/>
          <w:highlight w:val="none"/>
        </w:rPr>
      </w:r>
      <w:r/>
    </w:p>
    <w:p>
      <w:pPr>
        <w:pStyle w:val="871"/>
        <w:ind w:firstLine="480"/>
        <w:spacing w:line="520" w:lineRule="exact"/>
        <w:rPr>
          <w:rFonts w:ascii="宋体" w:hAnsi="宋体"/>
          <w:color w:val="000000"/>
          <w:sz w:val="24"/>
          <w:szCs w:val="24"/>
          <w:highlight w:val="none"/>
        </w:rPr>
      </w:pPr>
      <w:r/>
      <w:bookmarkStart w:id="157" w:name="_Toc200451960"/>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w:t>
      </w:r>
      <w:r>
        <w:rPr>
          <w:rFonts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r>
        <w:rPr>
          <w:rFonts w:ascii="宋体" w:hAnsi="宋体"/>
          <w:color w:val="000000"/>
          <w:sz w:val="24"/>
          <w:szCs w:val="24"/>
          <w:highlight w:val="none"/>
        </w:rPr>
      </w:r>
      <w:r/>
    </w:p>
    <w:p>
      <w:pPr>
        <w:pStyle w:val="871"/>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.5.1不同投标人的投标文件由同一单位或者个人编制；</w:t>
      </w:r>
      <w:r>
        <w:rPr>
          <w:rFonts w:ascii="宋体" w:hAnsi="宋体"/>
          <w:color w:val="000000"/>
          <w:sz w:val="24"/>
          <w:szCs w:val="24"/>
          <w:highlight w:val="none"/>
        </w:rPr>
      </w:r>
      <w:r/>
    </w:p>
    <w:p>
      <w:pPr>
        <w:pStyle w:val="871"/>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.5.2不同投标人委托同一单位或者个人办理投标事宜；</w:t>
      </w:r>
      <w:r>
        <w:rPr>
          <w:rFonts w:ascii="宋体" w:hAnsi="宋体"/>
          <w:color w:val="000000"/>
          <w:sz w:val="24"/>
          <w:szCs w:val="24"/>
          <w:highlight w:val="none"/>
        </w:rPr>
      </w:r>
      <w:r/>
    </w:p>
    <w:p>
      <w:pPr>
        <w:pStyle w:val="871"/>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.5.3 不同投标人的投标文件载明的项目管理成员或者联系人员为同一人；</w:t>
      </w:r>
      <w:r>
        <w:rPr>
          <w:rFonts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.5.4不同投标人的投标文件异常一致或者投标报价呈规律性差异；</w:t>
      </w:r>
      <w:r>
        <w:rPr>
          <w:rFonts w:hint="eastAsia" w:ascii="宋体" w:hAnsi="宋体"/>
          <w:color w:val="000000"/>
          <w:sz w:val="24"/>
          <w:szCs w:val="24"/>
          <w:highlight w:val="none"/>
        </w:rPr>
      </w:r>
      <w:r/>
    </w:p>
    <w:p>
      <w:pPr>
        <w:pStyle w:val="871"/>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28.5.5不同投标人的投标文件相互混装。</w:t>
      </w:r>
      <w:r>
        <w:rPr>
          <w:rFonts w:ascii="宋体" w:hAnsi="宋体"/>
          <w:color w:val="000000"/>
          <w:sz w:val="24"/>
          <w:szCs w:val="24"/>
          <w:highlight w:val="none"/>
        </w:rPr>
      </w:r>
      <w:r/>
    </w:p>
    <w:p>
      <w:pPr>
        <w:pStyle w:val="871"/>
        <w:ind w:firstLine="600"/>
        <w:keepLines/>
        <w:keepNext/>
        <w:spacing w:line="52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157"/>
      <w:r>
        <w:rPr>
          <w:rFonts w:hint="eastAsia" w:ascii="黑体" w:hAnsi="宋体" w:eastAsia="黑体"/>
          <w:bCs/>
          <w:color w:val="000000"/>
          <w:sz w:val="30"/>
          <w:szCs w:val="30"/>
          <w:highlight w:val="none"/>
        </w:rPr>
      </w:r>
      <w:r/>
    </w:p>
    <w:p>
      <w:pPr>
        <w:pStyle w:val="871"/>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color w:val="000000"/>
          <w:sz w:val="24"/>
          <w:szCs w:val="24"/>
          <w:highlight w:val="none"/>
        </w:rPr>
      </w:r>
      <w:r/>
    </w:p>
    <w:p>
      <w:pPr>
        <w:pStyle w:val="871"/>
        <w:ind w:firstLine="480"/>
        <w:spacing w:line="52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hint="eastAsia" w:ascii="Times New Roman" w:hAnsi="宋体" w:cs="宋体"/>
          <w:color w:val="000000"/>
          <w:sz w:val="24"/>
          <w:szCs w:val="24"/>
          <w:highlight w:val="none"/>
        </w:rPr>
      </w:r>
      <w:r/>
    </w:p>
    <w:p>
      <w:pPr>
        <w:pStyle w:val="871"/>
        <w:ind w:firstLine="480"/>
        <w:spacing w:line="520" w:lineRule="exact"/>
        <w:rPr>
          <w:rFonts w:hint="eastAsia" w:ascii="Times New Roman" w:hAnsi="宋体" w:cs="宋体"/>
          <w:color w:val="000000"/>
          <w:sz w:val="24"/>
          <w:szCs w:val="24"/>
          <w:highlight w:val="none"/>
        </w:rPr>
      </w:pPr>
      <w:r>
        <w:rPr>
          <w:rFonts w:hint="eastAsia" w:ascii="宋体" w:hAnsi="宋体"/>
          <w:color w:val="000000"/>
          <w:sz w:val="24"/>
          <w:szCs w:val="24"/>
          <w:highlight w:val="none"/>
        </w:rPr>
        <w:t xml:space="preserve">29.2.3</w:t>
      </w:r>
      <w:r>
        <w:rPr>
          <w:rFonts w:ascii="Times New Roman" w:hAnsi="宋体" w:cs="宋体"/>
          <w:color w:val="000000"/>
          <w:sz w:val="24"/>
          <w:szCs w:val="24"/>
          <w:highlight w:val="none"/>
        </w:rPr>
        <w:t xml:space="preserve">对中标或者成交结果提出质疑的，为中标或者成交结果公告期限届满之日。</w:t>
      </w:r>
      <w:r>
        <w:rPr>
          <w:rFonts w:hint="eastAsia" w:ascii="Times New Roman" w:hAnsi="宋体" w:cs="宋体"/>
          <w:color w:val="000000"/>
          <w:sz w:val="24"/>
          <w:szCs w:val="24"/>
          <w:highlight w:val="none"/>
        </w:rPr>
      </w:r>
      <w:r/>
    </w:p>
    <w:p>
      <w:pPr>
        <w:pStyle w:val="871"/>
        <w:ind w:firstLine="480"/>
        <w:spacing w:line="52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871"/>
        <w:ind w:firstLine="480"/>
        <w:spacing w:line="520" w:lineRule="exact"/>
        <w:rPr>
          <w:rFonts w:ascii="宋体" w:hAnsi="宋体"/>
          <w:b/>
          <w:color w:val="000000"/>
          <w:sz w:val="24"/>
          <w:szCs w:val="24"/>
          <w:highlight w:val="none"/>
        </w:rPr>
      </w:pPr>
      <w:r>
        <w:rPr>
          <w:rFonts w:hint="eastAsia" w:ascii="宋体" w:hAnsi="宋体"/>
          <w:color w:val="000000"/>
          <w:sz w:val="24"/>
          <w:szCs w:val="24"/>
          <w:highlight w:val="none"/>
        </w:rPr>
        <w:t xml:space="preserve">29.4采购人负责供应商质疑答复。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rPr>
          <w:rFonts w:ascii="宋体" w:hAnsi="宋体"/>
          <w:b/>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采购人只接收以纸质原件形式送达的质疑,建议供应商尽量通过邮寄方式提交质疑（采购人不接受未填写快递运单的快件）。</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采购人质疑接收联系人为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黄跃</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，联系地址：</w:t>
      </w:r>
      <w:r>
        <w:rPr>
          <w:rFonts w:hint="eastAsia" w:ascii="宋体" w:hAnsi="宋体"/>
          <w:color w:val="000000"/>
          <w:sz w:val="24"/>
          <w:szCs w:val="24"/>
          <w:highlight w:val="none"/>
          <w:u w:val="single"/>
        </w:rPr>
        <w:t xml:space="preserve">   海安市草坝支路8号 </w:t>
      </w: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13862702290</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.5.1内容不符合《政府采购质疑和投诉办法》第十二条规定的质疑。</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.5.2超出政府采购法定期限的质疑。</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.5.3以传真、电子邮件等方式递交的非原件形式的质疑。</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.5.4未参加投标活动的供应商或在投标活动中自身权益未受到损害的供应商所提出的质疑。</w:t>
      </w:r>
      <w:r>
        <w:rPr>
          <w:rFonts w:hint="eastAsia" w:ascii="宋体" w:hAnsi="宋体"/>
          <w:color w:val="000000"/>
          <w:sz w:val="24"/>
          <w:szCs w:val="24"/>
          <w:highlight w:val="none"/>
        </w:rPr>
      </w:r>
      <w:r/>
    </w:p>
    <w:p>
      <w:pPr>
        <w:pStyle w:val="871"/>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871"/>
        <w:ind w:firstLine="468"/>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71"/>
        <w:ind w:firstLine="600"/>
        <w:keepLines/>
        <w:keepNext/>
        <w:spacing w:line="52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871"/>
        <w:ind w:firstLine="60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30</w:t>
      </w:r>
      <w:r>
        <w:rPr>
          <w:rFonts w:hint="eastAsia" w:ascii="宋体" w:hAnsi="宋体"/>
          <w:color w:val="000000"/>
          <w:sz w:val="24"/>
          <w:szCs w:val="24"/>
          <w:highlight w:val="none"/>
        </w:rPr>
        <w:t xml:space="preserve">.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871"/>
        <w:ind w:firstLine="60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871"/>
        <w:keepLines/>
        <w:keepNext/>
        <w:spacing w:line="520" w:lineRule="exact"/>
        <w:rPr>
          <w:rFonts w:hint="eastAsia" w:ascii="Times New Roman" w:hAnsi="Times New Roman"/>
          <w:b/>
          <w:bCs/>
          <w:color w:val="000000"/>
          <w:sz w:val="32"/>
          <w:szCs w:val="32"/>
          <w:highlight w:val="none"/>
        </w:rPr>
        <w:outlineLvl w:val="2"/>
      </w:pPr>
      <w:r/>
      <w:bookmarkStart w:id="158" w:name="_Toc120614220"/>
      <w:r/>
      <w:bookmarkStart w:id="159" w:name="_Toc16938552"/>
      <w:r/>
      <w:bookmarkStart w:id="160" w:name="_Toc20823308"/>
      <w:r/>
      <w:bookmarkStart w:id="161" w:name="_Toc513029236"/>
      <w:r>
        <w:rPr>
          <w:rFonts w:hint="eastAsia" w:ascii="Times New Roman" w:hAnsi="Times New Roman"/>
          <w:b/>
          <w:bCs/>
          <w:color w:val="000000"/>
          <w:sz w:val="32"/>
          <w:szCs w:val="32"/>
          <w:highlight w:val="none"/>
        </w:rPr>
        <w:t xml:space="preserve">七、授予合同</w:t>
      </w:r>
      <w:bookmarkEnd w:id="158"/>
      <w:r>
        <w:rPr>
          <w:rFonts w:hint="eastAsia" w:ascii="Times New Roman" w:hAnsi="Times New Roman"/>
          <w:b/>
          <w:bCs/>
          <w:color w:val="000000"/>
          <w:sz w:val="32"/>
          <w:szCs w:val="32"/>
          <w:highlight w:val="none"/>
        </w:rPr>
      </w:r>
      <w:r/>
    </w:p>
    <w:p>
      <w:pPr>
        <w:pStyle w:val="871"/>
        <w:ind w:firstLine="600"/>
        <w:keepLines/>
        <w:keepNext/>
        <w:spacing w:line="520" w:lineRule="exact"/>
        <w:rPr>
          <w:rFonts w:hint="eastAsia" w:ascii="黑体" w:hAnsi="宋体" w:eastAsia="黑体"/>
          <w:bCs/>
          <w:color w:val="000000"/>
          <w:sz w:val="30"/>
          <w:szCs w:val="30"/>
          <w:highlight w:val="none"/>
        </w:rPr>
        <w:outlineLvl w:val="3"/>
      </w:pPr>
      <w:r/>
      <w:bookmarkEnd w:id="159"/>
      <w:r/>
      <w:bookmarkEnd w:id="160"/>
      <w:r/>
      <w:bookmarkEnd w:id="161"/>
      <w:r/>
      <w:bookmarkStart w:id="162" w:name="_Toc513029237"/>
      <w:r/>
      <w:bookmarkStart w:id="163" w:name="_Toc16938553"/>
      <w:r/>
      <w:bookmarkStart w:id="164"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、签订合同</w:t>
      </w:r>
      <w:r>
        <w:rPr>
          <w:rFonts w:hint="eastAsia" w:ascii="黑体" w:hAnsi="宋体" w:eastAsia="黑体"/>
          <w:bCs/>
          <w:color w:val="000000"/>
          <w:sz w:val="30"/>
          <w:szCs w:val="30"/>
          <w:highlight w:val="none"/>
        </w:rPr>
      </w:r>
      <w:r/>
    </w:p>
    <w:p>
      <w:pPr>
        <w:pStyle w:val="871"/>
        <w:ind w:firstLine="60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.l中标人应当在中标通知书发出之日起三十日内，按照招标文件确定的事项与采购人签订政府采购合同。</w:t>
      </w:r>
      <w:r>
        <w:rPr>
          <w:rFonts w:hint="eastAsia" w:ascii="宋体" w:hAnsi="宋体"/>
          <w:color w:val="000000"/>
          <w:sz w:val="24"/>
          <w:szCs w:val="24"/>
          <w:highlight w:val="none"/>
        </w:rPr>
      </w:r>
      <w:r/>
    </w:p>
    <w:p>
      <w:pPr>
        <w:pStyle w:val="871"/>
        <w:ind w:firstLine="60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871"/>
        <w:ind w:firstLine="60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31.3 签订合同后，</w:t>
      </w:r>
      <w:r>
        <w:rPr>
          <w:rFonts w:hint="eastAsia" w:ascii="宋体" w:hAnsi="宋体"/>
          <w:b/>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rPr>
      </w:r>
      <w:r/>
    </w:p>
    <w:p>
      <w:pPr>
        <w:pStyle w:val="871"/>
        <w:ind w:firstLine="600"/>
        <w:keepLines/>
        <w:keepNext/>
        <w:spacing w:line="52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87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871"/>
        <w:ind w:firstLine="600"/>
        <w:keepLines/>
        <w:keepNext/>
        <w:spacing w:line="520" w:lineRule="exact"/>
        <w:rPr>
          <w:rFonts w:ascii="黑体" w:hAnsi="宋体" w:eastAsia="黑体"/>
          <w:bCs/>
          <w:color w:val="000000"/>
          <w:sz w:val="30"/>
          <w:szCs w:val="30"/>
          <w:highlight w:val="none"/>
        </w:rPr>
        <w:outlineLvl w:val="3"/>
      </w:pPr>
      <w:r/>
      <w:bookmarkEnd w:id="162"/>
      <w:r/>
      <w:bookmarkEnd w:id="163"/>
      <w:r/>
      <w:bookmarkEnd w:id="164"/>
      <w:r/>
      <w:bookmarkStart w:id="165" w:name="_Toc513029242"/>
      <w:r/>
      <w:bookmarkStart w:id="166" w:name="_Toc20823314"/>
      <w:r/>
      <w:bookmarkStart w:id="167" w:name="_Toc120614221"/>
      <w:r/>
      <w:bookmarkStart w:id="168" w:name="_Toc16938558"/>
      <w:r/>
      <w:bookmarkStart w:id="169" w:name="_Toc47975720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p>
    <w:p>
      <w:pPr>
        <w:pStyle w:val="871"/>
        <w:ind w:firstLine="555"/>
        <w:spacing w:line="52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rPr>
          <w:rFonts w:hint="eastAsia" w:ascii="宋体" w:hAnsi="宋体"/>
          <w:bCs/>
          <w:color w:val="000000"/>
          <w:sz w:val="24"/>
          <w:szCs w:val="24"/>
          <w:highlight w:val="none"/>
        </w:rPr>
      </w:r>
      <w:r/>
    </w:p>
    <w:p>
      <w:pPr>
        <w:pStyle w:val="871"/>
        <w:jc w:val="center"/>
        <w:spacing w:line="560" w:lineRule="exact"/>
        <w:rPr>
          <w:rFonts w:hint="eastAsia" w:ascii="宋体" w:hAnsi="宋体" w:cs="Courier New"/>
          <w:color w:val="000000"/>
          <w:sz w:val="24"/>
          <w:szCs w:val="24"/>
          <w:highlight w:val="none"/>
        </w:rPr>
      </w:pPr>
      <w:r/>
      <w:bookmarkEnd w:id="165"/>
      <w:r/>
      <w:bookmarkEnd w:id="166"/>
      <w:r/>
      <w:bookmarkEnd w:id="167"/>
      <w:r/>
      <w:bookmarkEnd w:id="168"/>
      <w:r/>
      <w:bookmarkEnd w:id="169"/>
      <w:r/>
      <w:bookmarkStart w:id="170" w:name="_Hlt16619369"/>
      <w:r/>
      <w:bookmarkEnd w:id="170"/>
      <w:r/>
      <w:bookmarkStart w:id="171" w:name="_Hlt16619350"/>
      <w:r/>
      <w:bookmarkStart w:id="172" w:name="_Toc16938590"/>
      <w:r/>
      <w:bookmarkStart w:id="173" w:name="_Toc120614244"/>
      <w:r/>
      <w:bookmarkStart w:id="174" w:name="_Toc20823346"/>
      <w:r/>
      <w:bookmarkStart w:id="175" w:name="_Toc462564139"/>
      <w:r/>
      <w:bookmarkStart w:id="176" w:name="_Toc479757211"/>
      <w:r>
        <w:rPr>
          <w:rFonts w:ascii="黑体" w:hAnsi="Courier New" w:eastAsia="黑体" w:cs="Courier New"/>
          <w:bCs/>
          <w:color w:val="000000"/>
          <w:sz w:val="44"/>
          <w:szCs w:val="21"/>
          <w:highlight w:val="none"/>
        </w:rPr>
        <w:br w:type="page" w:clear="all"/>
      </w:r>
      <w:r>
        <w:rPr>
          <w:rFonts w:hint="eastAsia" w:ascii="黑体" w:hAnsi="Courier New" w:eastAsia="黑体" w:cs="Courier New"/>
          <w:bCs/>
          <w:color w:val="000000"/>
          <w:sz w:val="44"/>
          <w:szCs w:val="21"/>
          <w:highlight w:val="none"/>
        </w:rPr>
        <w:t xml:space="preserve">第</w:t>
      </w:r>
      <w:bookmarkEnd w:id="171"/>
      <w:r>
        <w:rPr>
          <w:rFonts w:hint="eastAsia" w:ascii="黑体" w:hAnsi="Courier New" w:eastAsia="黑体" w:cs="Courier New"/>
          <w:bCs/>
          <w:color w:val="000000"/>
          <w:sz w:val="44"/>
          <w:szCs w:val="21"/>
          <w:highlight w:val="none"/>
        </w:rPr>
        <w:t xml:space="preserve">三章 采购需求</w:t>
      </w:r>
      <w:bookmarkEnd w:id="172"/>
      <w:r/>
      <w:bookmarkEnd w:id="173"/>
      <w:r/>
      <w:bookmarkEnd w:id="174"/>
      <w:r>
        <w:rPr>
          <w:rFonts w:hint="eastAsia" w:ascii="宋体" w:hAnsi="宋体" w:cs="Courier New"/>
          <w:color w:val="000000"/>
          <w:sz w:val="24"/>
          <w:szCs w:val="24"/>
          <w:highlight w:val="none"/>
        </w:rPr>
      </w:r>
      <w:r/>
    </w:p>
    <w:p>
      <w:pPr>
        <w:pStyle w:val="871"/>
        <w:ind w:firstLine="600"/>
        <w:keepLines/>
        <w:keepNext/>
        <w:spacing w:line="520" w:lineRule="exact"/>
        <w:rPr>
          <w:rFonts w:hint="eastAsia" w:ascii="黑体" w:hAnsi="宋体" w:eastAsia="黑体" w:cs="Times New Roman"/>
          <w:bCs/>
          <w:color w:val="000000"/>
          <w:sz w:val="30"/>
          <w:szCs w:val="30"/>
          <w:highlight w:val="none"/>
          <w:lang w:val="en-US" w:eastAsia="zh-CN"/>
        </w:rPr>
        <w:outlineLvl w:val="3"/>
      </w:pPr>
      <w:r/>
      <w:bookmarkStart w:id="177" w:name="_Toc49090575"/>
      <w:r/>
      <w:bookmarkStart w:id="178" w:name="_Toc26554093"/>
      <w:r>
        <w:rPr>
          <w:rFonts w:hint="eastAsia" w:ascii="黑体" w:hAnsi="宋体" w:eastAsia="黑体" w:cs="Times New Roman"/>
          <w:bCs/>
          <w:color w:val="000000"/>
          <w:sz w:val="30"/>
          <w:szCs w:val="30"/>
          <w:highlight w:val="none"/>
          <w:lang w:val="en-US" w:eastAsia="zh-CN"/>
        </w:rPr>
      </w:r>
      <w:r/>
    </w:p>
    <w:p>
      <w:pPr>
        <w:pStyle w:val="871"/>
        <w:ind w:firstLine="600"/>
        <w:keepLines/>
        <w:keepNext/>
        <w:spacing w:line="520" w:lineRule="exact"/>
        <w:rPr>
          <w:rFonts w:hint="eastAsia" w:ascii="黑体" w:hAnsi="宋体" w:eastAsia="黑体" w:cs="Times New Roman"/>
          <w:bCs/>
          <w:color w:val="000000"/>
          <w:sz w:val="30"/>
          <w:szCs w:val="30"/>
          <w:highlight w:val="none"/>
        </w:rPr>
        <w:outlineLvl w:val="3"/>
      </w:pPr>
      <w:r>
        <w:rPr>
          <w:rFonts w:hint="eastAsia" w:ascii="黑体" w:hAnsi="宋体" w:eastAsia="黑体" w:cs="Times New Roman"/>
          <w:bCs/>
          <w:color w:val="000000"/>
          <w:sz w:val="30"/>
          <w:szCs w:val="30"/>
          <w:highlight w:val="none"/>
          <w:lang w:val="en-US" w:eastAsia="zh-CN"/>
        </w:rPr>
        <w:t xml:space="preserve">采购包一：547.5万元</w:t>
      </w:r>
      <w:r>
        <w:rPr>
          <w:rFonts w:hint="eastAsia" w:ascii="黑体" w:hAnsi="宋体" w:eastAsia="黑体" w:cs="Times New Roman"/>
          <w:bCs/>
          <w:color w:val="000000"/>
          <w:sz w:val="30"/>
          <w:szCs w:val="30"/>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1、项目背景</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海安市实验中学外迁工程智能化建设项目是该校新校区建设的重要配套工程，建设内容涵盖报告厅、行政楼六楼大会议室及无纸化会议室三个功能空间的智能化系统建设。</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各功能空间用途不同，对智能化系统的要求各有侧重：报告厅需配置扩声、灯光、舞台机械、显示等系统，满足大型集会及演出需要；大会议室需配置扩声及显示系统，满足日常会议需求；无纸化会议室需配置会议终端及配套管理系统，实现会议流程的信息化管理。各系统之间在信号传输、设备控制、安装空间等方面需统筹规划、协调配合。</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2、建设目标</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以建设同类院校领先水平的校园智能化系统为目标，综合运用计算机控制、集中控制管理、网络传输、多媒体等先进技术，将音响扩声、会议发言、灯光照明、舞台机械、视频显示、内部通讯、控制管理等子系统有机整合，实现系统高度集成、智能联动、统一管控。具体目标如下：</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（1）报告厅智能化</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报告厅主要满足学校学术报告、话剧演出、大型集会等活动的使用需要，主要包含扩声系统、LED显示系统、舞台灯光系统、舞台机械系统、视频会议系统、智能集中控制系统等几个部分。系统配置需满足大型报告厅对音频覆盖、舞台呈现、视频展示及远程会议等综合功能的实际需求。</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（2）行政楼六楼大会议室</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行政楼六楼大会议室主要满足学校重要行政会议、专题会议及日常办公会议的使用需要，主要包含视频显示系统、音响扩声系统、全数字会议系统、矩阵切换系统、会议录播系统等几个部分。系统配置需满足80人规模会议对视频呈现、发言讨论、信号切换及会议记录等功能的使用需求。</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（3）行政楼无纸化会议室</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行政楼无纸化会议室主要满足学校日常行政办公会议、文件审议、专题研讨等无纸化办公场景的使用需要，主要包含视频显示系统、扩声系统、全数字会议系统、无纸化系统、信号管理系统、会议录播系统等几个部分。系统配置需满足无纸化会议对文件分发、同步阅览、发言表决及会议记录等功能的实际使用需求。</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项目实施过程中，需要响应供应商合理安排施工工序，确保各系统安装到位、调试正常，保障项目整体交付质量。</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3、建设原则</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本项目设计与建设遵循以下原则：</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先进性原则：采用网络化与人性化管理设计，以集成化、数字化主流产品为核心设备，实现智能一体化的总体设计与实施。</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可靠性原则：系统整体结构及关键部件采用容错技术，具备足够的冗余和备份能力，确保系统长期稳定可靠运行。</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可扩充性原则：系统架构预留扩展空间和升级接口，各子系统预留部分节点，满足未来功能扩充和技术升级的需要。</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管理可控性和维护简易性原则：采用模块化设计和分级控制架构，提供强大且易于操作的软硬件管理功能，便于故障诊断和日常维护。</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实用性原则：充分考虑各类产品的性能价格比，关键性产品以性能先进性为主，非关键性产品以实用性为主。</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经济性原则：在保证系统先进、可靠和高性能价格比的前提下，通过优化设计达到最经济性的建设目标。</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整洁美观性原则：系统布线结构合理，施工工艺专业，设备外观整洁大方，与建筑装修环境协调统一。</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兼容性原则：系统具备良好的开放性和互操作性，可与视频会议系统、校园信息化平台等第三方系统无缝对接；各功能空间系统之间信号互通、管理联动。</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统筹协调原则：各系统之间在信号传输、设备控制、安装空间等方面统筹规划、协调配合，确保整体功能完整、接口统一、管理高效</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4、其他要求</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（1）投标人提供的所有设备、材料和系统均应符合国家有关环保、节能、安全及电磁兼容的相关标准和要求；</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（2）系统所使用的软件应具有合法的知识产权授权，不得侵犯任何第三方的知识产权；</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（3）系统的建设应符合国家及地方关于网络安全、数据安全的相关法规和标准要求；</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（4）若在项目实施期间有新的国家、行业或地方标准颁布实施，投标人应主动按新标准执行，且不因此增加招标人费用。</w:t>
      </w:r>
      <w:r>
        <w:rPr>
          <w:rFonts w:hint="eastAsia" w:ascii="宋体" w:hAnsi="宋体" w:eastAsia="宋体" w:cs="Times New Roman"/>
          <w:color w:val="000000"/>
          <w:sz w:val="24"/>
          <w:szCs w:val="24"/>
          <w:highlight w:val="none"/>
        </w:rPr>
      </w:r>
      <w:r/>
    </w:p>
    <w:p>
      <w:pPr>
        <w:pStyle w:val="871"/>
        <w:ind w:firstLine="498"/>
        <w:keepLines/>
        <w:keepNext/>
        <w:spacing w:line="560" w:lineRule="exact"/>
        <w:rPr>
          <w:rFonts w:hint="eastAsia"/>
          <w:b/>
          <w:bCs/>
          <w:color w:val="000000"/>
          <w:sz w:val="32"/>
          <w:szCs w:val="32"/>
          <w:highlight w:val="none"/>
        </w:rPr>
        <w:outlineLvl w:val="2"/>
      </w:pPr>
      <w:r>
        <w:rPr>
          <w:rFonts w:hint="eastAsia"/>
          <w:b/>
          <w:bCs/>
          <w:color w:val="000000"/>
          <w:sz w:val="32"/>
          <w:szCs w:val="32"/>
          <w:highlight w:val="none"/>
        </w:rPr>
      </w:r>
      <w:r/>
    </w:p>
    <w:p>
      <w:pPr>
        <w:pStyle w:val="871"/>
        <w:ind w:firstLine="467"/>
        <w:keepLines/>
        <w:keepNext/>
        <w:spacing w:line="560" w:lineRule="exact"/>
        <w:rPr>
          <w:rFonts w:hint="eastAsia" w:ascii="黑体" w:hAnsi="黑体" w:eastAsia="黑体" w:cs="黑体"/>
          <w:b/>
          <w:bCs/>
          <w:color w:val="000000"/>
          <w:sz w:val="30"/>
          <w:szCs w:val="30"/>
          <w:highlight w:val="none"/>
        </w:rPr>
        <w:outlineLvl w:val="2"/>
      </w:pPr>
      <w:r>
        <w:rPr>
          <w:rFonts w:hint="eastAsia" w:ascii="黑体" w:hAnsi="黑体" w:eastAsia="黑体" w:cs="黑体"/>
          <w:b/>
          <w:bCs/>
          <w:color w:val="000000"/>
          <w:sz w:val="30"/>
          <w:szCs w:val="30"/>
          <w:highlight w:val="none"/>
        </w:rPr>
        <w:t xml:space="preserve">采购标的清单</w:t>
      </w:r>
      <w:r>
        <w:rPr>
          <w:rFonts w:hint="eastAsia" w:ascii="黑体" w:hAnsi="黑体" w:eastAsia="黑体" w:cs="黑体"/>
          <w:b/>
          <w:bCs/>
          <w:color w:val="000000"/>
          <w:sz w:val="30"/>
          <w:szCs w:val="30"/>
          <w:highlight w:val="none"/>
        </w:rPr>
      </w:r>
      <w:r/>
    </w:p>
    <w:tbl>
      <w:tblPr>
        <w:tblpPr w:horzAnchor="page" w:tblpX="1785" w:vertAnchor="text" w:tblpY="691" w:leftFromText="180" w:topFromText="0" w:rightFromText="180" w:bottomFromText="0"/>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55"/>
        <w:gridCol w:w="3708"/>
        <w:gridCol w:w="781"/>
        <w:gridCol w:w="1306"/>
        <w:gridCol w:w="2619"/>
      </w:tblGrid>
      <w:tr>
        <w:trPr>
          <w:trHeight w:val="380"/>
        </w:trPr>
        <w:tc>
          <w:tcPr>
            <w:gridSpan w:val="5"/>
            <w:tcBorders>
              <w:top w:val="single" w:color="000000" w:sz="8" w:space="0"/>
              <w:left w:val="single" w:color="000000" w:sz="8" w:space="0"/>
              <w:bottom w:val="single" w:color="000000" w:sz="8" w:space="0"/>
              <w:right w:val="single" w:color="000000" w:sz="8" w:space="0"/>
            </w:tcBorders>
            <w:tcW w:w="9169"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报告厅智能化</w:t>
            </w:r>
            <w:r>
              <w:rPr>
                <w:rFonts w:hint="eastAsia" w:ascii="宋体" w:hAnsi="宋体" w:eastAsia="宋体" w:cs="Times New Roman"/>
                <w:color w:val="000000"/>
                <w:sz w:val="24"/>
                <w:szCs w:val="24"/>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序号</w:t>
            </w:r>
            <w:r>
              <w:rPr>
                <w:rFonts w:hint="eastAsia" w:ascii="宋体" w:hAnsi="宋体" w:eastAsia="宋体" w:cs="Times New Roman"/>
                <w:color w:val="000000"/>
                <w:sz w:val="24"/>
                <w:szCs w:val="24"/>
              </w:rPr>
            </w:r>
            <w:r/>
          </w:p>
        </w:tc>
        <w:tc>
          <w:tcPr>
            <w:tcBorders>
              <w:top w:val="single" w:color="000000" w:sz="8" w:space="0"/>
              <w:left w:val="none" w:color="000000" w:sz="4" w:space="0"/>
              <w:bottom w:val="single" w:color="000000" w:sz="8" w:space="0"/>
              <w:right w:val="single" w:color="000000" w:sz="8" w:space="0"/>
            </w:tcBorders>
            <w:tcW w:w="2022" w:type="dxa"/>
            <w:vAlign w:val="center"/>
            <w:textDirection w:val="lrTb"/>
            <w:noWrap w:val="false"/>
          </w:tcPr>
          <w:p>
            <w:pPr>
              <w:pStyle w:val="871"/>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设备名称</w:t>
            </w:r>
            <w:r>
              <w:rPr>
                <w:rFonts w:hint="eastAsia" w:ascii="宋体" w:hAnsi="宋体" w:eastAsia="宋体" w:cs="Times New Roman"/>
                <w:color w:val="000000"/>
                <w:sz w:val="24"/>
                <w:szCs w:val="24"/>
              </w:rPr>
            </w:r>
            <w:r/>
          </w:p>
        </w:tc>
        <w:tc>
          <w:tcPr>
            <w:tcBorders>
              <w:top w:val="single" w:color="000000" w:sz="8" w:space="0"/>
              <w:left w:val="none" w:color="000000" w:sz="4" w:space="0"/>
              <w:bottom w:val="single" w:color="000000" w:sz="8" w:space="0"/>
              <w:right w:val="single" w:color="000000" w:sz="8" w:space="0"/>
            </w:tcBorders>
            <w:tcW w:w="426" w:type="dxa"/>
            <w:vAlign w:val="center"/>
            <w:textDirection w:val="lrTb"/>
            <w:noWrap w:val="false"/>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单位</w:t>
            </w:r>
            <w:r>
              <w:rPr>
                <w:rFonts w:hint="eastAsia" w:ascii="宋体" w:hAnsi="宋体" w:eastAsia="宋体" w:cs="Times New Roman"/>
                <w:color w:val="000000"/>
                <w:sz w:val="24"/>
                <w:szCs w:val="24"/>
              </w:rPr>
            </w:r>
            <w:r/>
          </w:p>
        </w:tc>
        <w:tc>
          <w:tcPr>
            <w:tcBorders>
              <w:top w:val="single" w:color="000000" w:sz="8" w:space="0"/>
              <w:left w:val="none" w:color="000000" w:sz="4" w:space="0"/>
              <w:bottom w:val="single" w:color="000000" w:sz="8" w:space="0"/>
              <w:right w:val="single" w:color="000000" w:sz="8" w:space="0"/>
            </w:tcBorders>
            <w:tcW w:w="711"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工程量</w:t>
            </w:r>
            <w:r>
              <w:rPr>
                <w:rFonts w:hint="eastAsia" w:ascii="宋体" w:hAnsi="宋体" w:eastAsia="宋体" w:cs="Times New Roman"/>
                <w:color w:val="000000"/>
                <w:sz w:val="24"/>
                <w:szCs w:val="24"/>
              </w:rPr>
            </w:r>
            <w:r/>
          </w:p>
        </w:tc>
        <w:tc>
          <w:tcPr>
            <w:tcBorders>
              <w:top w:val="single" w:color="000000" w:sz="8" w:space="0"/>
              <w:left w:val="none" w:color="000000" w:sz="4" w:space="0"/>
              <w:bottom w:val="single" w:color="000000" w:sz="8" w:space="0"/>
              <w:right w:val="single" w:color="000000" w:sz="8" w:space="0"/>
            </w:tcBorders>
            <w:tcW w:w="1427"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对应中小企业划分标准所属行业</w:t>
            </w:r>
            <w:r>
              <w:rPr>
                <w:rFonts w:hint="eastAsia" w:ascii="宋体" w:hAnsi="宋体" w:eastAsia="宋体" w:cs="Times New Roman"/>
                <w:color w:val="000000"/>
                <w:sz w:val="24"/>
                <w:szCs w:val="24"/>
              </w:rPr>
            </w:r>
            <w:r/>
          </w:p>
        </w:tc>
      </w:tr>
      <w:tr>
        <w:trPr>
          <w:trHeight w:val="121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主扩三分频恒曲线线阵列窄角度全频扬声器(远场）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121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主扩三分频恒曲线线阵列窄角度全频扬声器(中场）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rPr>
            </w:r>
            <w:r/>
          </w:p>
        </w:tc>
      </w:tr>
      <w:tr>
        <w:trPr>
          <w:trHeight w:val="121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主扩三分频恒曲线线阵列窄角度全频扬声器(近场）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拉声像扬声器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超低音扬声器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补声扬声器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流动返听扬声器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固定返听声扬声器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台唇扬声器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主扩功率放大器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拉声像功率放大器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超低音功率放大器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补声功率放大器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流动返听功率放大器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固定返听功率放大器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台唇功率放大器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数字音频处理器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数字调音台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数字接口箱</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大合唱话筒</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乐器话筒</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演讲会讨话筒单元</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智能跟踪处理主机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单手持无线话筒</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单腰包无线话筒</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单领夹无线话筒</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无线数字工作台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0</wp:posOffset>
                      </wp:positionH>
                      <wp:positionV relativeFrom="paragraph">
                        <wp:posOffset>0</wp:posOffset>
                      </wp:positionV>
                      <wp:extent cx="6350" cy="635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68;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12"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0</wp:posOffset>
                      </wp:positionH>
                      <wp:positionV relativeFrom="paragraph">
                        <wp:posOffset>0</wp:posOffset>
                      </wp:positionV>
                      <wp:extent cx="6350" cy="635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69;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13"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0</wp:posOffset>
                      </wp:positionH>
                      <wp:positionV relativeFrom="paragraph">
                        <wp:posOffset>0</wp:posOffset>
                      </wp:positionV>
                      <wp:extent cx="6350" cy="635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70;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14"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0</wp:posOffset>
                      </wp:positionH>
                      <wp:positionV relativeFrom="paragraph">
                        <wp:posOffset>0</wp:posOffset>
                      </wp:positionV>
                      <wp:extent cx="6350" cy="635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71;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15"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0</wp:posOffset>
                      </wp:positionH>
                      <wp:positionV relativeFrom="paragraph">
                        <wp:posOffset>0</wp:posOffset>
                      </wp:positionV>
                      <wp:extent cx="6350" cy="635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72;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16"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0</wp:posOffset>
                      </wp:positionH>
                      <wp:positionV relativeFrom="paragraph">
                        <wp:posOffset>0</wp:posOffset>
                      </wp:positionV>
                      <wp:extent cx="6350" cy="63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73;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17" o:title=""/>
                    </v:shape>
                  </w:pict>
                </mc:Fallback>
              </mc:AlternateContent>
            </w:r>
            <w:r>
              <w:rPr>
                <w:rFonts w:hint="eastAsia" w:ascii="宋体" w:hAnsi="宋体" w:eastAsia="宋体" w:cs="Times New Roman"/>
                <w:color w:val="000000"/>
                <w:sz w:val="24"/>
                <w:szCs w:val="24"/>
              </w:rPr>
              <w:t xml:space="preserve">天线分配器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定向天线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8路电源时序器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专业声卡</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监听音箱</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一拖八无线内通系统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全无线Tally灯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LED显示屏</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m²</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98.51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同步控制系统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4K视频控制器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配电系统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工程结构</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大屏系统布线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控制电脑</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播放软件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辅助显示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辅助显示壁挂架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返看液晶显示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返看液晶移动支架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远程视频会议终端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可视化多功能综合管理服务器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可视化操作管理软件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多功能综合智慧终端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多功能综合管理软件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电源控制器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控制触控屏</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千兆网络交换机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无线路由器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主高清摄像机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辅高清摄像机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电动调焦静音LED聚光灯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LED摇头切割灯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200W 中程面光灯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LED平板柔光灯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380W三合一电脑灯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静音LED染色帕灯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LED平板柔光灯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静音LED染色帕灯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0</wp:posOffset>
                      </wp:positionH>
                      <wp:positionV relativeFrom="paragraph">
                        <wp:posOffset>0</wp:posOffset>
                      </wp:positionV>
                      <wp:extent cx="6350" cy="635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74;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18"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0</wp:posOffset>
                      </wp:positionH>
                      <wp:positionV relativeFrom="paragraph">
                        <wp:posOffset>0</wp:posOffset>
                      </wp:positionV>
                      <wp:extent cx="6350" cy="635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75;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19" o:title=""/>
                    </v:shape>
                  </w:pict>
                </mc:Fallback>
              </mc:AlternateContent>
            </w:r>
            <w:r>
              <w:rPr>
                <w:rFonts w:hint="eastAsia" w:ascii="宋体" w:hAnsi="宋体" w:eastAsia="宋体" w:cs="Times New Roman"/>
                <w:color w:val="000000"/>
                <w:sz w:val="24"/>
                <w:szCs w:val="24"/>
              </w:rPr>
              <w:t xml:space="preserve">16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LED平板柔光灯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0</wp:posOffset>
                      </wp:positionH>
                      <wp:positionV relativeFrom="paragraph">
                        <wp:posOffset>0</wp:posOffset>
                      </wp:positionV>
                      <wp:extent cx="6350" cy="635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76;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20" o:title=""/>
                    </v:shape>
                  </w:pict>
                </mc:Fallback>
              </mc:AlternateContent>
            </w:r>
            <w:r>
              <w:rPr>
                <w:rFonts w:hint="eastAsia" w:ascii="宋体" w:hAnsi="宋体" w:eastAsia="宋体" w:cs="Times New Roman"/>
                <w:color w:val="000000"/>
                <w:sz w:val="24"/>
                <w:szCs w:val="24"/>
              </w:rPr>
              <w:t xml:space="preserve">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380W三合一电脑灯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静音LED染色帕灯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0</wp:posOffset>
                      </wp:positionH>
                      <wp:positionV relativeFrom="paragraph">
                        <wp:posOffset>0</wp:posOffset>
                      </wp:positionV>
                      <wp:extent cx="6350" cy="635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77;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21" o:title=""/>
                    </v:shape>
                  </w:pict>
                </mc:Fallback>
              </mc:AlternateContent>
            </w:r>
            <w:r>
              <w:rPr>
                <w:rFonts w:hint="eastAsia" w:ascii="宋体" w:hAnsi="宋体" w:eastAsia="宋体" w:cs="Times New Roman"/>
                <w:color w:val="000000"/>
                <w:sz w:val="24"/>
                <w:szCs w:val="24"/>
              </w:rPr>
              <w:t xml:space="preserve">16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摇头光束灯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静音LED染色帕灯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380W三合一电脑灯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0</wp:posOffset>
                      </wp:positionH>
                      <wp:positionV relativeFrom="paragraph">
                        <wp:posOffset>0</wp:posOffset>
                      </wp:positionV>
                      <wp:extent cx="6350" cy="635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78;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22" o:title=""/>
                    </v:shape>
                  </w:pict>
                </mc:Fallback>
              </mc:AlternateConten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静音LED染色帕灯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0</wp:posOffset>
                      </wp:positionH>
                      <wp:positionV relativeFrom="paragraph">
                        <wp:posOffset>0</wp:posOffset>
                      </wp:positionV>
                      <wp:extent cx="6350" cy="635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79;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23"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0</wp:posOffset>
                      </wp:positionH>
                      <wp:positionV relativeFrom="paragraph">
                        <wp:posOffset>0</wp:posOffset>
                      </wp:positionV>
                      <wp:extent cx="6350" cy="635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80;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24" o:title=""/>
                    </v:shape>
                  </w:pict>
                </mc:Fallback>
              </mc:AlternateContent>
            </w:r>
            <w:r>
              <w:rPr>
                <w:rFonts w:hint="eastAsia" w:ascii="宋体" w:hAnsi="宋体" w:eastAsia="宋体" w:cs="Times New Roman"/>
                <w:color w:val="000000"/>
                <w:sz w:val="24"/>
                <w:szCs w:val="24"/>
              </w:rPr>
              <w:t xml:space="preserve">16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摇头光束灯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both"/>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静音LED染色帕灯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0</wp:posOffset>
                      </wp:positionH>
                      <wp:positionV relativeFrom="paragraph">
                        <wp:posOffset>0</wp:posOffset>
                      </wp:positionV>
                      <wp:extent cx="6350" cy="635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81;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25" o:title=""/>
                    </v:shape>
                  </w:pict>
                </mc:Fallback>
              </mc:AlternateContent>
            </w:r>
            <w:r>
              <w:rPr>
                <w:rFonts w:hint="eastAsia" w:ascii="宋体" w:hAnsi="宋体" w:eastAsia="宋体" w:cs="Times New Roman"/>
                <w:color w:val="000000"/>
                <w:sz w:val="24"/>
                <w:szCs w:val="24"/>
              </w:rPr>
              <w:t xml:space="preserve">24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4096CH专业控台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both"/>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0</wp:posOffset>
                      </wp:positionH>
                      <wp:positionV relativeFrom="paragraph">
                        <wp:posOffset>0</wp:posOffset>
                      </wp:positionV>
                      <wp:extent cx="6350" cy="635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82;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26" o:title=""/>
                    </v:shape>
                  </w:pict>
                </mc:Fallback>
              </mc:AlternateContent>
            </w: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8路信号放大器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both"/>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智能电源直通柜</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both"/>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灯具挂钩</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鹰形灯钩（摇头灯用）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0</wp:posOffset>
                      </wp:positionH>
                      <wp:positionV relativeFrom="paragraph">
                        <wp:posOffset>0</wp:posOffset>
                      </wp:positionV>
                      <wp:extent cx="6350" cy="635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83;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27" o:title=""/>
                    </v:shape>
                  </w:pict>
                </mc:Fallback>
              </mc:AlternateContent>
            </w:r>
            <w:r>
              <w:rPr>
                <w:rFonts w:hint="eastAsia" w:ascii="宋体" w:hAnsi="宋体" w:eastAsia="宋体" w:cs="Times New Roman"/>
                <w:color w:val="000000"/>
                <w:sz w:val="24"/>
                <w:szCs w:val="24"/>
              </w:rPr>
              <w:t xml:space="preserve">59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保险绳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0</wp:posOffset>
                      </wp:positionH>
                      <wp:positionV relativeFrom="paragraph">
                        <wp:posOffset>0</wp:posOffset>
                      </wp:positionV>
                      <wp:extent cx="6350" cy="635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84;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28" o:title=""/>
                    </v:shape>
                  </w:pict>
                </mc:Fallback>
              </mc:AlternateContent>
            </w:r>
            <w:r>
              <w:rPr>
                <w:rFonts w:hint="eastAsia" w:ascii="宋体" w:hAnsi="宋体" w:eastAsia="宋体" w:cs="Times New Roman"/>
                <w:color w:val="000000"/>
                <w:sz w:val="24"/>
                <w:szCs w:val="24"/>
              </w:rPr>
              <w:t xml:space="preserve">258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变频调速拉幕机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0</wp:posOffset>
                      </wp:positionH>
                      <wp:positionV relativeFrom="paragraph">
                        <wp:posOffset>0</wp:posOffset>
                      </wp:positionV>
                      <wp:extent cx="6350" cy="635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85;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29" o:title=""/>
                    </v:shape>
                  </w:pict>
                </mc:Fallback>
              </mc:AlternateContent>
            </w: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0</wp:posOffset>
                      </wp:positionH>
                      <wp:positionV relativeFrom="paragraph">
                        <wp:posOffset>0</wp:posOffset>
                      </wp:positionV>
                      <wp:extent cx="6350" cy="635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86;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30" o:title=""/>
                    </v:shape>
                  </w:pict>
                </mc:Fallback>
              </mc:AlternateContent>
            </w: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恒速对开拉幕机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0</wp:posOffset>
                      </wp:positionH>
                      <wp:positionV relativeFrom="paragraph">
                        <wp:posOffset>0</wp:posOffset>
                      </wp:positionV>
                      <wp:extent cx="6350" cy="635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87;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31" o:title=""/>
                    </v:shape>
                  </w:pict>
                </mc:Fallback>
              </mc:AlternateContent>
            </w: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0</wp:posOffset>
                      </wp:positionH>
                      <wp:positionV relativeFrom="paragraph">
                        <wp:posOffset>0</wp:posOffset>
                      </wp:positionV>
                      <wp:extent cx="6350" cy="635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88;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32" o:title=""/>
                    </v:shape>
                  </w:pict>
                </mc:Fallback>
              </mc:AlternateContent>
            </w: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幕布轨道</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0</wp:posOffset>
                      </wp:positionH>
                      <wp:positionV relativeFrom="paragraph">
                        <wp:posOffset>0</wp:posOffset>
                      </wp:positionV>
                      <wp:extent cx="6350" cy="635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89;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33" o:title=""/>
                    </v:shape>
                  </w:pict>
                </mc:Fallback>
              </mc:AlternateContent>
            </w: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0</wp:posOffset>
                      </wp:positionH>
                      <wp:positionV relativeFrom="paragraph">
                        <wp:posOffset>0</wp:posOffset>
                      </wp:positionV>
                      <wp:extent cx="6350" cy="635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90;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34" o:title=""/>
                    </v:shape>
                  </w:pict>
                </mc:Fallback>
              </mc:AlternateContent>
            </w: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导向滑轮</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小滑车</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0</wp:posOffset>
                      </wp:positionH>
                      <wp:positionV relativeFrom="paragraph">
                        <wp:posOffset>0</wp:posOffset>
                      </wp:positionV>
                      <wp:extent cx="6350" cy="635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91;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35" o:title=""/>
                    </v:shape>
                  </w:pict>
                </mc:Fallback>
              </mc:AlternateContent>
            </w: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升降景用吊杆机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升降灯光吊杆机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升降侧光吊杆机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滑轮</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0</wp:posOffset>
                      </wp:positionH>
                      <wp:positionV relativeFrom="paragraph">
                        <wp:posOffset>0</wp:posOffset>
                      </wp:positionV>
                      <wp:extent cx="6350" cy="635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92;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36" o:title=""/>
                    </v:shape>
                  </w:pict>
                </mc:Fallback>
              </mc:AlternateContent>
            </w:r>
            <w:r>
              <w:rPr>
                <w:rFonts w:hint="eastAsia" w:ascii="宋体" w:hAnsi="宋体" w:eastAsia="宋体" w:cs="Times New Roman"/>
                <w:color w:val="000000"/>
                <w:sz w:val="24"/>
                <w:szCs w:val="24"/>
              </w:rPr>
              <w:t xml:space="preserve">14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吊杆杆体</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0</wp:posOffset>
                      </wp:positionH>
                      <wp:positionV relativeFrom="paragraph">
                        <wp:posOffset>0</wp:posOffset>
                      </wp:positionV>
                      <wp:extent cx="6350" cy="635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93;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37" o:title=""/>
                    </v:shape>
                  </w:pict>
                </mc:Fallback>
              </mc:AlternateContent>
            </w: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0</wp:posOffset>
                      </wp:positionH>
                      <wp:positionV relativeFrom="paragraph">
                        <wp:posOffset>0</wp:posOffset>
                      </wp:positionV>
                      <wp:extent cx="6350" cy="635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94;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38" o:title=""/>
                    </v:shape>
                  </w:pict>
                </mc:Fallback>
              </mc:AlternateContent>
            </w:r>
            <w:r>
              <w:rPr>
                <w:rFonts w:hint="eastAsia" w:ascii="宋体" w:hAnsi="宋体" w:eastAsia="宋体" w:cs="Times New Roman"/>
                <w:color w:val="000000"/>
                <w:sz w:val="24"/>
                <w:szCs w:val="24"/>
              </w:rPr>
              <w:t xml:space="preserve">12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吊杆杆体</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0</wp:posOffset>
                      </wp:positionH>
                      <wp:positionV relativeFrom="paragraph">
                        <wp:posOffset>0</wp:posOffset>
                      </wp:positionV>
                      <wp:extent cx="6350" cy="635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95;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39" o:title=""/>
                    </v:shape>
                  </w:pict>
                </mc:Fallback>
              </mc:AlternateContent>
            </w: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0</wp:posOffset>
                      </wp:positionH>
                      <wp:positionV relativeFrom="paragraph">
                        <wp:posOffset>0</wp:posOffset>
                      </wp:positionV>
                      <wp:extent cx="6350" cy="635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96;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40" o:title=""/>
                    </v:shape>
                  </w:pict>
                </mc:Fallback>
              </mc:AlternateContent>
            </w: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收线框</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0</wp:posOffset>
                      </wp:positionH>
                      <wp:positionV relativeFrom="paragraph">
                        <wp:posOffset>0</wp:posOffset>
                      </wp:positionV>
                      <wp:extent cx="6350" cy="635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97;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41" o:title=""/>
                    </v:shape>
                  </w:pict>
                </mc:Fallback>
              </mc:AlternateContent>
            </w: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钢丝绳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m</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1960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断火开关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0</wp:posOffset>
                      </wp:positionH>
                      <wp:positionV relativeFrom="paragraph">
                        <wp:posOffset>0</wp:posOffset>
                      </wp:positionV>
                      <wp:extent cx="6350" cy="635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98;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42" o:title=""/>
                    </v:shape>
                  </w:pict>
                </mc:Fallback>
              </mc:AlternateContent>
            </w: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0</wp:posOffset>
                      </wp:positionH>
                      <wp:positionV relativeFrom="paragraph">
                        <wp:posOffset>0</wp:posOffset>
                      </wp:positionV>
                      <wp:extent cx="6350" cy="635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99;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43" o:title=""/>
                    </v:shape>
                  </w:pict>
                </mc:Fallback>
              </mc:AlternateContent>
            </w:r>
            <w:r>
              <w:rPr>
                <w:rFonts w:hint="eastAsia" w:ascii="宋体" w:hAnsi="宋体" w:eastAsia="宋体" w:cs="Times New Roman"/>
                <w:color w:val="000000"/>
                <w:sz w:val="24"/>
                <w:szCs w:val="24"/>
              </w:rPr>
              <w:t xml:space="preserve">14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限位器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电动葫芦</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舞台控制系统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0</wp:posOffset>
                      </wp:positionH>
                      <wp:positionV relativeFrom="paragraph">
                        <wp:posOffset>0</wp:posOffset>
                      </wp:positionV>
                      <wp:extent cx="6350" cy="635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300;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44" o:title=""/>
                    </v:shape>
                  </w:pict>
                </mc:Fallback>
              </mc:AlternateContent>
            </w:r>
            <w:r>
              <w:rPr>
                <w:rFonts w:hint="eastAsia" w:ascii="宋体" w:hAnsi="宋体" w:eastAsia="宋体" w:cs="Times New Roman"/>
                <w:color w:val="000000"/>
                <w:sz w:val="24"/>
                <w:szCs w:val="24"/>
              </w:rPr>
              <w:t xml:space="preserve">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舞台栅顶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99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前檐幕</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对开大幕</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600.6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对开底幕</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0</wp:posOffset>
                      </wp:positionH>
                      <wp:positionV relativeFrom="paragraph">
                        <wp:posOffset>0</wp:posOffset>
                      </wp:positionV>
                      <wp:extent cx="6350" cy="635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301;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45"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0</wp:posOffset>
                      </wp:positionH>
                      <wp:positionV relativeFrom="paragraph">
                        <wp:posOffset>0</wp:posOffset>
                      </wp:positionV>
                      <wp:extent cx="6350" cy="635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302;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46"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0</wp:posOffset>
                      </wp:positionH>
                      <wp:positionV relativeFrom="paragraph">
                        <wp:posOffset>0</wp:posOffset>
                      </wp:positionV>
                      <wp:extent cx="6350" cy="635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303;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47"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0</wp:posOffset>
                      </wp:positionH>
                      <wp:positionV relativeFrom="paragraph">
                        <wp:posOffset>0</wp:posOffset>
                      </wp:positionV>
                      <wp:extent cx="6350" cy="635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304;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48"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0</wp:posOffset>
                      </wp:positionH>
                      <wp:positionV relativeFrom="paragraph">
                        <wp:posOffset>0</wp:posOffset>
                      </wp:positionV>
                      <wp:extent cx="6350" cy="635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305;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49" o:title=""/>
                    </v:shape>
                  </w:pict>
                </mc:Fallback>
              </mc:AlternateConten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487.2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檐幕</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0</wp:posOffset>
                      </wp:positionH>
                      <wp:positionV relativeFrom="paragraph">
                        <wp:posOffset>0</wp:posOffset>
                      </wp:positionV>
                      <wp:extent cx="6350" cy="635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306;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50"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0</wp:posOffset>
                      </wp:positionH>
                      <wp:positionV relativeFrom="paragraph">
                        <wp:posOffset>0</wp:posOffset>
                      </wp:positionV>
                      <wp:extent cx="6350" cy="635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307;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51"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0</wp:posOffset>
                      </wp:positionH>
                      <wp:positionV relativeFrom="paragraph">
                        <wp:posOffset>0</wp:posOffset>
                      </wp:positionV>
                      <wp:extent cx="6350" cy="635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308;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52"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0</wp:posOffset>
                      </wp:positionH>
                      <wp:positionV relativeFrom="paragraph">
                        <wp:posOffset>0</wp:posOffset>
                      </wp:positionV>
                      <wp:extent cx="6350" cy="635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309;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53"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0</wp:posOffset>
                      </wp:positionH>
                      <wp:positionV relativeFrom="paragraph">
                        <wp:posOffset>0</wp:posOffset>
                      </wp:positionV>
                      <wp:extent cx="6350" cy="635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310;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54" o:title=""/>
                    </v:shape>
                  </w:pict>
                </mc:Fallback>
              </mc:AlternateConten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边幕</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0</wp:posOffset>
                      </wp:positionH>
                      <wp:positionV relativeFrom="paragraph">
                        <wp:posOffset>0</wp:posOffset>
                      </wp:positionV>
                      <wp:extent cx="6350" cy="635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311;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55"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0</wp:posOffset>
                      </wp:positionH>
                      <wp:positionV relativeFrom="paragraph">
                        <wp:posOffset>0</wp:posOffset>
                      </wp:positionV>
                      <wp:extent cx="6350" cy="635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312;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56"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0</wp:posOffset>
                      </wp:positionH>
                      <wp:positionV relativeFrom="paragraph">
                        <wp:posOffset>0</wp:posOffset>
                      </wp:positionV>
                      <wp:extent cx="6350" cy="635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313;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57"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0</wp:posOffset>
                      </wp:positionH>
                      <wp:positionV relativeFrom="paragraph">
                        <wp:posOffset>0</wp:posOffset>
                      </wp:positionV>
                      <wp:extent cx="6350" cy="635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314;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58"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0</wp:posOffset>
                      </wp:positionH>
                      <wp:positionV relativeFrom="paragraph">
                        <wp:posOffset>0</wp:posOffset>
                      </wp:positionV>
                      <wp:extent cx="6350" cy="635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315;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59"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0</wp:posOffset>
                      </wp:positionH>
                      <wp:positionV relativeFrom="paragraph">
                        <wp:posOffset>0</wp:posOffset>
                      </wp:positionV>
                      <wp:extent cx="6350" cy="635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316;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60"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0</wp:posOffset>
                      </wp:positionH>
                      <wp:positionV relativeFrom="paragraph">
                        <wp:posOffset>0</wp:posOffset>
                      </wp:positionV>
                      <wp:extent cx="6350" cy="635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317;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61"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0</wp:posOffset>
                      </wp:positionH>
                      <wp:positionV relativeFrom="paragraph">
                        <wp:posOffset>0</wp:posOffset>
                      </wp:positionV>
                      <wp:extent cx="6350" cy="635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318;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62"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0</wp:posOffset>
                      </wp:positionH>
                      <wp:positionV relativeFrom="paragraph">
                        <wp:posOffset>0</wp:posOffset>
                      </wp:positionV>
                      <wp:extent cx="6350" cy="635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319;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63" o:title=""/>
                    </v:shape>
                  </w:pict>
                </mc:Fallback>
              </mc:AlternateConten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294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衬里</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556.6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标准机柜</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0</wp:posOffset>
                      </wp:positionH>
                      <wp:positionV relativeFrom="paragraph">
                        <wp:posOffset>0</wp:posOffset>
                      </wp:positionV>
                      <wp:extent cx="6350" cy="635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320;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64"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0</wp:posOffset>
                      </wp:positionH>
                      <wp:positionV relativeFrom="paragraph">
                        <wp:posOffset>0</wp:posOffset>
                      </wp:positionV>
                      <wp:extent cx="6350" cy="635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321;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65" o:title=""/>
                    </v:shape>
                  </w:pict>
                </mc:Fallback>
              </mc:AlternateContent>
            </w: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both"/>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灯光机柜</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both"/>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音响支架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通用话筒落地支架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乐谱曲谱架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both"/>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操作台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both"/>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信息插座</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0</wp:posOffset>
                      </wp:positionH>
                      <wp:positionV relativeFrom="paragraph">
                        <wp:posOffset>0</wp:posOffset>
                      </wp:positionV>
                      <wp:extent cx="6350" cy="635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322;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66" o:title=""/>
                    </v:shape>
                  </w:pict>
                </mc:Fallback>
              </mc:AlternateContent>
            </w: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both"/>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音响插座</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0</wp:posOffset>
                      </wp:positionH>
                      <wp:positionV relativeFrom="paragraph">
                        <wp:posOffset>0</wp:posOffset>
                      </wp:positionV>
                      <wp:extent cx="6350" cy="635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323;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67" o:title=""/>
                    </v:shape>
                  </w:pict>
                </mc:Fallback>
              </mc:AlternateContent>
            </w: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音响插座</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0</wp:posOffset>
                      </wp:positionH>
                      <wp:positionV relativeFrom="paragraph">
                        <wp:posOffset>0</wp:posOffset>
                      </wp:positionV>
                      <wp:extent cx="6350" cy="635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324;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68" o:title=""/>
                    </v:shape>
                  </w:pict>
                </mc:Fallback>
              </mc:AlternateContent>
            </w: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both"/>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音箱线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1800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音箱线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1600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音频线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0</wp:posOffset>
                      </wp:positionH>
                      <wp:positionV relativeFrom="paragraph">
                        <wp:posOffset>0</wp:posOffset>
                      </wp:positionV>
                      <wp:extent cx="6350" cy="635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325;o:allowoverlap:true;o:allowincell:true;mso-position-horizontal-relative:text;margin-left:0.0pt;mso-position-horizontal:absolute;mso-position-vertical-relative:text;margin-top:0.0pt;mso-position-vertical:absolute;width:0.5pt;height:0.5pt;mso-wrap-distance-left:9.0pt;mso-wrap-distance-top:0.0pt;mso-wrap-distance-right:9.0pt;mso-wrap-distance-bottom:0.0pt;" stroked="f">
                      <v:path textboxrect="0,0,0,0"/>
                      <v:imagedata r:id="rId69" o:title=""/>
                    </v:shape>
                  </w:pict>
                </mc:Fallback>
              </mc:AlternateContent>
            </w: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1000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电源线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电源线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HDMI线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HDMI线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HDMI线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六类非屏蔽双绞线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箱</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灯光电源线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4000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灯光信号线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4000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灯光总进线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舞台机械线缆</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1650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舞台机械信号线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1650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大屏电源线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桥架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120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130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管材</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300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131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管材</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米</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800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132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接插件、专用数据插座等</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80"/>
        </w:trPr>
        <w:tc>
          <w:tcPr>
            <w:gridSpan w:val="4"/>
            <w:tcBorders>
              <w:top w:val="none" w:color="000000" w:sz="4" w:space="0"/>
              <w:left w:val="single" w:color="000000" w:sz="8" w:space="0"/>
              <w:bottom w:val="single" w:color="000000" w:sz="8" w:space="0"/>
              <w:right w:val="single" w:color="000000" w:sz="8" w:space="0"/>
            </w:tcBorders>
            <w:tcW w:w="6550"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行政楼六楼大会议室</w:t>
            </w:r>
            <w:r>
              <w:rPr>
                <w:rFonts w:hint="eastAsia" w:ascii="宋体" w:hAnsi="宋体" w:eastAsia="宋体" w:cs="Times New Roman"/>
                <w:color w:val="000000"/>
                <w:sz w:val="24"/>
                <w:szCs w:val="24"/>
              </w:rPr>
            </w:r>
            <w:r/>
          </w:p>
        </w:tc>
        <w:tc>
          <w:tcPr>
            <w:tcBorders>
              <w:top w:val="none" w:color="000000" w:sz="4" w:space="0"/>
              <w:left w:val="single" w:color="000000" w:sz="8"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133</w:t>
            </w:r>
            <w:r>
              <w:rPr>
                <w:rFonts w:hint="eastAsia" w:ascii="宋体" w:hAnsi="宋体" w:eastAsia="宋体" w:cs="Times New Roman"/>
                <w:color w:val="000000"/>
                <w:sz w:val="24"/>
                <w:szCs w:val="24"/>
              </w:rPr>
            </w:r>
            <w:r/>
          </w:p>
        </w:tc>
        <w:tc>
          <w:tcPr>
            <w:tcBorders>
              <w:top w:val="single" w:color="000000" w:sz="8"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1.视频显示系统</w:t>
            </w:r>
            <w:r>
              <w:rPr>
                <w:rFonts w:hint="eastAsia" w:ascii="宋体" w:hAnsi="宋体" w:eastAsia="宋体" w:cs="Times New Roman"/>
                <w:color w:val="000000"/>
                <w:sz w:val="24"/>
                <w:szCs w:val="24"/>
              </w:rPr>
            </w:r>
            <w:r/>
          </w:p>
        </w:tc>
        <w:tc>
          <w:tcPr>
            <w:shd w:val="clear" w:color="auto" w:fill="ceeaca"/>
            <w:tcBorders>
              <w:top w:val="single" w:color="000000" w:sz="8"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shd w:val="clear" w:color="auto" w:fill="ceeaca"/>
            <w:tcBorders>
              <w:top w:val="single" w:color="000000" w:sz="8"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shd w:val="clear" w:color="auto" w:fill="ceeaca"/>
            <w:tcBorders>
              <w:top w:val="single" w:color="000000" w:sz="8"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134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top"/>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LED显示屏</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top"/>
            <w:textDirection w:val="lrTb"/>
            <w:noWrap w:val="false"/>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m²</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top"/>
            <w:textDirection w:val="lrTb"/>
            <w:noWrap w:val="false"/>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18.02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135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top"/>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同步控制系统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top"/>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top"/>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136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top"/>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视频控制器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top"/>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top"/>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137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top"/>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配电系统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top"/>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top"/>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138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top"/>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工程结构</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top"/>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top"/>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139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top"/>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大屏系统布线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top"/>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top"/>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140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top"/>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安装调试</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top"/>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top"/>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141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2.音响扩声系统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142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专业音箱</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143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专业音箱</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144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专业功放</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145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专业功放</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146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支架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6</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147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调音台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148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AI音频处理器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149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触摸屏</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150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新中控编辑软件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151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数字音频处理器软件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152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AI反馈抑制器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153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电源管理器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154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无线话筒</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155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话筒呼叫控制嵌入软件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156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话筒天线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157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多媒体地插座</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个</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158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3.全数字会议系统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159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全数字会议系统主机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数字会议系统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会议话筒处理器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会议话筒</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会议主席控制内嵌软件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会议话筒</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全数字会议系统音频传输内嵌软件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连接线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根</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插座</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个</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音频隔离器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个</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169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4.矩阵系统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170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超高清视频无缝切换矩阵</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171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智能混合矩阵切换嵌入软件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5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172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多媒体地插座</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个</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5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173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返看电视机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5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174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移动落地电视挂架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175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5.会议录播系统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176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摄像机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105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177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高清视频会议专用摄像头内嵌软件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5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178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AI智慧录播主机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179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嵌入式DSP的编解码器系统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6.辅助材料</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r>
      <w:tr>
        <w:trPr>
          <w:trHeight w:val="5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音频连接线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根</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16</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5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音频连接线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根</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5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音频连接线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根</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机柜</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其它辅材</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批</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80"/>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gridSpan w:val="3"/>
            <w:tcBorders>
              <w:top w:val="none" w:color="000000" w:sz="4" w:space="0"/>
              <w:left w:val="none" w:color="000000" w:sz="4" w:space="0"/>
              <w:bottom w:val="single" w:color="000000" w:sz="8" w:space="0"/>
              <w:right w:val="none" w:color="000000" w:sz="4" w:space="0"/>
            </w:tcBorders>
            <w:tcW w:w="5795"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2235200</wp:posOffset>
                      </wp:positionH>
                      <wp:positionV relativeFrom="paragraph">
                        <wp:posOffset>0</wp:posOffset>
                      </wp:positionV>
                      <wp:extent cx="6350" cy="635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326;o:allowoverlap:true;o:allowincell:true;mso-position-horizontal-relative:text;margin-left:176.0pt;mso-position-horizontal:absolute;mso-position-vertical-relative:text;margin-top:0.0pt;mso-position-vertical:absolute;width:0.5pt;height:0.5pt;mso-wrap-distance-left:9.0pt;mso-wrap-distance-top:0.0pt;mso-wrap-distance-right:9.0pt;mso-wrap-distance-bottom:0.0pt;" stroked="f">
                      <v:path textboxrect="0,0,0,0"/>
                      <v:imagedata r:id="rId70"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2235200</wp:posOffset>
                      </wp:positionH>
                      <wp:positionV relativeFrom="paragraph">
                        <wp:posOffset>0</wp:posOffset>
                      </wp:positionV>
                      <wp:extent cx="6350" cy="635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327;o:allowoverlap:true;o:allowincell:true;mso-position-horizontal-relative:text;margin-left:176.0pt;mso-position-horizontal:absolute;mso-position-vertical-relative:text;margin-top:0.0pt;mso-position-vertical:absolute;width:0.5pt;height:0.5pt;mso-wrap-distance-left:9.0pt;mso-wrap-distance-top:0.0pt;mso-wrap-distance-right:9.0pt;mso-wrap-distance-bottom:0.0pt;" stroked="f">
                      <v:path textboxrect="0,0,0,0"/>
                      <v:imagedata r:id="rId71"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2235200</wp:posOffset>
                      </wp:positionH>
                      <wp:positionV relativeFrom="paragraph">
                        <wp:posOffset>0</wp:posOffset>
                      </wp:positionV>
                      <wp:extent cx="6350" cy="635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328;o:allowoverlap:true;o:allowincell:true;mso-position-horizontal-relative:text;margin-left:176.0pt;mso-position-horizontal:absolute;mso-position-vertical-relative:text;margin-top:0.0pt;mso-position-vertical:absolute;width:0.5pt;height:0.5pt;mso-wrap-distance-left:9.0pt;mso-wrap-distance-top:0.0pt;mso-wrap-distance-right:9.0pt;mso-wrap-distance-bottom:0.0pt;" stroked="f">
                      <v:path textboxrect="0,0,0,0"/>
                      <v:imagedata r:id="rId72"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2863850</wp:posOffset>
                      </wp:positionH>
                      <wp:positionV relativeFrom="paragraph">
                        <wp:posOffset>0</wp:posOffset>
                      </wp:positionV>
                      <wp:extent cx="6350" cy="635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329;o:allowoverlap:true;o:allowincell:true;mso-position-horizontal-relative:text;margin-left:225.5pt;mso-position-horizontal:absolute;mso-position-vertical-relative:text;margin-top:0.0pt;mso-position-vertical:absolute;width:0.5pt;height:0.5pt;mso-wrap-distance-left:9.0pt;mso-wrap-distance-top:0.0pt;mso-wrap-distance-right:9.0pt;mso-wrap-distance-bottom:0.0pt;" stroked="f">
                      <v:path textboxrect="0,0,0,0"/>
                      <v:imagedata r:id="rId73"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2863850</wp:posOffset>
                      </wp:positionH>
                      <wp:positionV relativeFrom="paragraph">
                        <wp:posOffset>0</wp:posOffset>
                      </wp:positionV>
                      <wp:extent cx="6350" cy="635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330;o:allowoverlap:true;o:allowincell:true;mso-position-horizontal-relative:text;margin-left:225.5pt;mso-position-horizontal:absolute;mso-position-vertical-relative:text;margin-top:0.0pt;mso-position-vertical:absolute;width:0.5pt;height:0.5pt;mso-wrap-distance-left:9.0pt;mso-wrap-distance-top:0.0pt;mso-wrap-distance-right:9.0pt;mso-wrap-distance-bottom:0.0pt;" stroked="f">
                      <v:path textboxrect="0,0,0,0"/>
                      <v:imagedata r:id="rId74" o:title=""/>
                    </v:shape>
                  </w:pict>
                </mc:Fallback>
              </mc:AlternateContent>
            </w:r>
            <w:r>
              <w:rPr>
                <w:rFonts w:hint="eastAsia" w:ascii="宋体" w:hAnsi="宋体" w:eastAsia="宋体" w:cs="Times New Roman"/>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2863850</wp:posOffset>
                      </wp:positionH>
                      <wp:positionV relativeFrom="paragraph">
                        <wp:posOffset>0</wp:posOffset>
                      </wp:positionV>
                      <wp:extent cx="6350" cy="635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63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331;o:allowoverlap:true;o:allowincell:true;mso-position-horizontal-relative:text;margin-left:225.5pt;mso-position-horizontal:absolute;mso-position-vertical-relative:text;margin-top:0.0pt;mso-position-vertical:absolute;width:0.5pt;height:0.5pt;mso-wrap-distance-left:9.0pt;mso-wrap-distance-top:0.0pt;mso-wrap-distance-right:9.0pt;mso-wrap-distance-bottom:0.0pt;" stroked="f">
                      <v:path textboxrect="0,0,0,0"/>
                      <v:imagedata r:id="rId75" o:title=""/>
                    </v:shape>
                  </w:pict>
                </mc:Fallback>
              </mc:AlternateContent>
            </w:r>
            <w:r>
              <w:rPr>
                <w:rFonts w:hint="eastAsia" w:ascii="宋体" w:hAnsi="宋体" w:eastAsia="宋体" w:cs="Times New Roman"/>
                <w:color w:val="000000"/>
                <w:sz w:val="24"/>
                <w:szCs w:val="24"/>
              </w:rPr>
              <w:t xml:space="preserve">行政楼无纸化会议室</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none" w:color="000000" w:sz="4"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r>
      <w:tr>
        <w:trPr>
          <w:trHeight w:val="36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1.视频显示系统</w:t>
            </w:r>
            <w:r>
              <w:rPr>
                <w:rFonts w:hint="eastAsia" w:ascii="宋体" w:hAnsi="宋体" w:eastAsia="宋体" w:cs="Times New Roman"/>
                <w:color w:val="000000"/>
                <w:sz w:val="24"/>
                <w:szCs w:val="24"/>
              </w:rPr>
            </w:r>
            <w:r/>
          </w:p>
        </w:tc>
        <w:tc>
          <w:tcPr>
            <w:tcBorders>
              <w:top w:val="single" w:color="000000" w:sz="8" w:space="0"/>
              <w:left w:val="none" w:color="000000" w:sz="4" w:space="0"/>
              <w:bottom w:val="single" w:color="000000" w:sz="8" w:space="0"/>
              <w:right w:val="none" w:color="000000" w:sz="4"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single" w:color="000000" w:sz="8" w:space="0"/>
              <w:left w:val="none" w:color="000000" w:sz="4" w:space="0"/>
              <w:bottom w:val="single" w:color="000000" w:sz="8" w:space="0"/>
              <w:right w:val="none" w:color="000000" w:sz="4"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single" w:color="000000" w:sz="8" w:space="0"/>
              <w:left w:val="none" w:color="000000" w:sz="4" w:space="0"/>
              <w:bottom w:val="single" w:color="000000" w:sz="8" w:space="0"/>
              <w:right w:val="none" w:color="000000" w:sz="4"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LED显示屏</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m²</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同步控制系统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189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视频控制器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190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配电系统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191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工程结构</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192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大屏系统布线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19</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安装调试</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194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2.扩声系统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195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专业音箱</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196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专业功放</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197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支架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198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AI音频处理器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rPr>
              <w:t xml:space="preserve">19</w:t>
            </w: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触摸屏</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新中控编辑软件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数字音频处理器软件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AI反馈抑制器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电源管理器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无线话筒</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话筒呼叫控制嵌入软件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话筒天线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多媒体地插座</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3.全数字会议系统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209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全数字会议系统主机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210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数字会议系统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211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会议话筒处理器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212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会议话筒</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213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会议主席控制内嵌软件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214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会议话筒</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215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全数字会议系统音频传输内嵌软件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216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连接线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217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插座</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218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音频隔离器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个</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219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4.无纸化系统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220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无纸化主机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221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智能无纸化会议管理服务器软件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222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无纸化流媒体主机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223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无纸化流媒体服务器嵌入软件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224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无纸化升降器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225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无纸化升降器内嵌软件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226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无纸化会议终端</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227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无纸化会议终端软件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jc w:val="center"/>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228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网络主机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229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5.信号管理系统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230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无缝高清矩阵切换器</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231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高清无缝混插矩阵切换内嵌软件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232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HDMI超高清无缝输入卡</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233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高清矩阵输入板卡内嵌软件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234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HDMI超高清无缝输出卡</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235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高清矩阵输出板卡内嵌软件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236</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6.会议录播系统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237</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摄像机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238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高清视频会议专用摄像头内嵌软件</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4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239</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AI智慧录播主机</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73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240</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嵌入式DSP的编解码器系统</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套</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241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7.辅助材料</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242</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音频连接线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243</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音频连接线</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244</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机柜</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台</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295"/>
        </w:trPr>
        <w:tc>
          <w:tcPr>
            <w:tcBorders>
              <w:top w:val="none" w:color="000000" w:sz="4" w:space="0"/>
              <w:left w:val="single" w:color="000000" w:sz="8" w:space="0"/>
              <w:bottom w:val="single" w:color="000000" w:sz="8" w:space="0"/>
              <w:right w:val="single" w:color="000000" w:sz="8" w:space="0"/>
            </w:tcBorders>
            <w:tcW w:w="412" w:type="dxa"/>
            <w:vAlign w:val="center"/>
            <w:textDirection w:val="lrTb"/>
            <w:noWrap/>
          </w:tcPr>
          <w:p>
            <w:pPr>
              <w:pStyle w:val="871"/>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245</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2022"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其它辅材</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42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批</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711"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rPr>
              <w:framePr w:vAnchor="text" w:hAnchor="page" w:x="1785" w:y="691"/>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pStyle w:val="871"/>
              <w:ind w:firstLine="480"/>
              <w:jc w:val="left"/>
              <w:spacing w:line="520" w:lineRule="exact"/>
              <w:rPr>
                <w:rFonts w:hint="eastAsia" w:ascii="宋体" w:hAnsi="宋体" w:eastAsia="宋体" w:cs="Times New Roman"/>
                <w:color w:val="000000"/>
                <w:sz w:val="24"/>
                <w:szCs w:val="24"/>
                <w:lang w:val="en-US" w:eastAsia="zh-CN"/>
              </w:rPr>
              <w:framePr w:vAnchor="text" w:hAnchor="page" w:x="1785" w:y="691"/>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bl>
    <w:p>
      <w:pPr>
        <w:pStyle w:val="871"/>
        <w:ind w:firstLine="480"/>
        <w:jc w:val="center"/>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1、本项目为交钥匙工程，请投标人认真复核清单，若有缺项漏项请自行考虑到成本中。</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2、投标人应自行勘查现场，以便对项目充分了解和把握，招标人默认投标人已充分了解项目及可能存在的风险。</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871"/>
        <w:ind w:firstLine="600"/>
        <w:spacing w:line="520" w:lineRule="exact"/>
        <w:rPr>
          <w:rFonts w:hint="eastAsia" w:ascii="宋体" w:hAnsi="宋体" w:eastAsia="宋体" w:cs="Times New Roman"/>
          <w:color w:val="000000"/>
          <w:sz w:val="24"/>
          <w:szCs w:val="24"/>
          <w:highlight w:val="none"/>
          <w:lang w:val="en-US" w:eastAsia="zh-CN"/>
        </w:rPr>
      </w:pPr>
      <w:r>
        <w:rPr>
          <w:rFonts w:hint="eastAsia" w:ascii="黑体" w:hAnsi="黑体" w:eastAsia="黑体" w:cs="黑体"/>
          <w:color w:val="000000"/>
          <w:sz w:val="30"/>
          <w:szCs w:val="30"/>
          <w:highlight w:val="none"/>
          <w:lang w:val="en-US" w:eastAsia="zh-CN"/>
        </w:rPr>
        <w:t xml:space="preserve">采购包二：481.8万元</w:t>
      </w:r>
      <w:r>
        <w:rPr>
          <w:rFonts w:hint="eastAsia" w:ascii="宋体" w:hAnsi="宋体" w:eastAsia="宋体" w:cs="Times New Roman"/>
          <w:color w:val="000000"/>
          <w:sz w:val="24"/>
          <w:szCs w:val="24"/>
          <w:highlight w:val="none"/>
          <w:lang w:val="en-US" w:eastAsia="zh-CN"/>
        </w:rPr>
      </w:r>
      <w:r/>
    </w:p>
    <w:p>
      <w:pPr>
        <w:pStyle w:val="871"/>
        <w:ind w:firstLine="48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本标项为新校区智能化系统建设及老校区设备迁移工程，实施范围包含教室内智慧黑板及班牌、智慧校园综合管理系统、校园消费 / 宿管 / 水控 / 充值管理系统、校园公共广播系统、户外大屏系统、智慧黑板及智慧班牌、校园公共区域智能化配套等系统的设备采购、安装调试与系统集成，同时承担老校区部分可复用智能化设备的拆卸、搬迁、安装与联调工作。</w:t>
      </w:r>
      <w:r>
        <w:rPr>
          <w:rFonts w:hint="eastAsia" w:ascii="宋体" w:hAnsi="宋体" w:eastAsia="宋体" w:cs="Times New Roman"/>
          <w:color w:val="000000"/>
          <w:sz w:val="24"/>
          <w:szCs w:val="24"/>
          <w:highlight w:val="none"/>
          <w:lang w:val="en-US" w:eastAsia="zh-CN"/>
        </w:rPr>
      </w:r>
      <w:r/>
    </w:p>
    <w:p>
      <w:pPr>
        <w:pStyle w:val="871"/>
        <w:ind w:firstLine="48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本项目建设遵循 “统一规划、技术先进、安全可靠、兼容扩展” 的原则，所有系统设计与设备选型须符合国家教育信息化技术标准与网络安全规范，实现各子系统互联互通、数据共享，适配中学教学、管理、后勤服务等多场景应用。供应商须具备相应智能化系统集成能力与校园项目实施经验，提供方案深化设计、设备供货、安装调试、操作培训、质保运维等全流程服务，确保项目交付后稳定运行，为学校智慧化办学提供坚实支撑。</w:t>
      </w:r>
      <w:r>
        <w:rPr>
          <w:rFonts w:hint="eastAsia" w:ascii="宋体" w:hAnsi="宋体" w:eastAsia="宋体" w:cs="Times New Roman"/>
          <w:color w:val="000000"/>
          <w:sz w:val="24"/>
          <w:szCs w:val="24"/>
          <w:highlight w:val="none"/>
          <w:lang w:val="en-US" w:eastAsia="zh-CN"/>
        </w:rPr>
      </w:r>
      <w:r/>
    </w:p>
    <w:p>
      <w:pPr>
        <w:pStyle w:val="871"/>
        <w:ind w:firstLine="48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871"/>
        <w:ind w:firstLine="467"/>
        <w:keepLines/>
        <w:keepNext/>
        <w:spacing w:line="560" w:lineRule="exact"/>
        <w:rPr>
          <w:rFonts w:hint="eastAsia" w:ascii="黑体" w:hAnsi="黑体" w:eastAsia="黑体" w:cs="黑体"/>
          <w:b/>
          <w:bCs/>
          <w:color w:val="000000"/>
          <w:sz w:val="30"/>
          <w:szCs w:val="30"/>
        </w:rPr>
        <w:outlineLvl w:val="2"/>
      </w:pPr>
      <w:r>
        <w:rPr>
          <w:rFonts w:hint="eastAsia" w:ascii="黑体" w:hAnsi="黑体" w:eastAsia="黑体" w:cs="黑体"/>
          <w:b/>
          <w:bCs/>
          <w:color w:val="000000"/>
          <w:sz w:val="30"/>
          <w:szCs w:val="30"/>
        </w:rPr>
        <w:t xml:space="preserve">采购标的清单</w:t>
      </w:r>
      <w:r>
        <w:rPr>
          <w:rFonts w:hint="eastAsia" w:ascii="黑体" w:hAnsi="黑体" w:eastAsia="黑体" w:cs="黑体"/>
          <w:b/>
          <w:bCs/>
          <w:color w:val="000000"/>
          <w:sz w:val="30"/>
          <w:szCs w:val="30"/>
        </w:rPr>
      </w:r>
      <w:r/>
    </w:p>
    <w:tbl>
      <w:tblPr>
        <w:tblW w:w="860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20"/>
        <w:gridCol w:w="3259"/>
        <w:gridCol w:w="836"/>
        <w:gridCol w:w="1065"/>
        <w:gridCol w:w="2425"/>
      </w:tblGrid>
      <w:tr>
        <w:trPr>
          <w:trHeight w:val="56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序号</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项目名称</w:t>
            </w:r>
            <w:r>
              <w:rPr>
                <w:rFonts w:hint="eastAsia" w:ascii="宋体" w:hAnsi="宋体" w:eastAsia="宋体" w:cs="Times New Roman"/>
                <w:color w:val="000000"/>
                <w:sz w:val="24"/>
                <w:szCs w:val="24"/>
              </w:rPr>
            </w:r>
            <w:r/>
          </w:p>
        </w:tc>
        <w:tc>
          <w:tcPr>
            <w:tcW w:w="836" w:type="dxa"/>
            <w:vAlign w:val="center"/>
            <w:textDirection w:val="lrTb"/>
            <w:noWrap w:val="false"/>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单位</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数量</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对应中小企业划分标准所属行业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一、教学多媒体</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智慧黑板</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60</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内置电脑</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60</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备授课教学软件</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60</w:t>
            </w:r>
            <w:r>
              <w:rPr>
                <w:rFonts w:hint="eastAsia" w:ascii="宋体" w:hAnsi="宋体" w:eastAsia="宋体" w:cs="Times New Roman"/>
                <w:color w:val="000000"/>
                <w:sz w:val="24"/>
                <w:szCs w:val="24"/>
              </w:rPr>
            </w:r>
            <w:r/>
          </w:p>
        </w:tc>
        <w:tc>
          <w:tcPr>
            <w:tcW w:w="2425" w:type="dxa"/>
            <w:vAlign w:val="center"/>
            <w:textDirection w:val="lrTb"/>
            <w:noWrap/>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内置展台</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60</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定制讲台</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60</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集中控制软件</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60</w:t>
            </w:r>
            <w:r>
              <w:rPr>
                <w:rFonts w:hint="eastAsia" w:ascii="宋体" w:hAnsi="宋体" w:eastAsia="宋体" w:cs="Times New Roman"/>
                <w:color w:val="000000"/>
                <w:sz w:val="24"/>
                <w:szCs w:val="24"/>
              </w:rPr>
            </w:r>
            <w:r/>
          </w:p>
        </w:tc>
        <w:tc>
          <w:tcPr>
            <w:tcW w:w="2425" w:type="dxa"/>
            <w:vAlign w:val="center"/>
            <w:textDirection w:val="lrTb"/>
            <w:noWrap/>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二、电子班牌</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电子班牌</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60</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三、校园公共广播</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3.1行政楼广播室</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主机服务器</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控制主机</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数字化IP网络广播客户端管理软件</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jc w:val="right"/>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消防联动</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采集器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其它配套设备</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寻呼话筒</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IP网络音箱</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CD播放器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调谐器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前置放大器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话筒</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IP音频采集器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电源管理器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3.2室外广播室</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台式电脑</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IP网络广播系统分控软件</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寻呼话筒</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IP网络音箱</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U段无线话筒</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话筒天线</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前置放大器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IP音频采集器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电源管理器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3.3宿舍分控点</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寻呼话筒</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3.4篮球馆设备</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U段无线话筒</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3.5周边设备</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IP网络功放终端</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IP网络功放终端</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IP网络功放终端</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  14</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IP网络功放终端</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IP网络功放终端</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3.6音箱设备</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天花喇叭</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只</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404</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壁挂音箱</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只</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29</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音柱</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只</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音柱</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只</w:t>
            </w:r>
            <w:r>
              <w:rPr>
                <w:rFonts w:hint="eastAsia" w:ascii="宋体" w:hAnsi="宋体" w:eastAsia="宋体" w:cs="Times New Roman"/>
                <w:color w:val="000000"/>
                <w:sz w:val="24"/>
                <w:szCs w:val="24"/>
              </w:rPr>
            </w:r>
            <w:r/>
          </w:p>
        </w:tc>
        <w:tc>
          <w:tcPr>
            <w:tcW w:w="1065" w:type="dxa"/>
            <w:vAlign w:val="center"/>
            <w:textDirection w:val="lrTb"/>
            <w:noWrap/>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36</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3.7辅助材料</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辅助材料</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项</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四、消费、宿管、水控系统</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智能物联一卡通系统</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智慧校园综合管理系统</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微信服务平台</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宿舍出入管理系统软件</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一卡（脸）通消费软件</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一卡通控水管理软件</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通用读卡器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智能卡</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张</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2000</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一卡通服务器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人脸+刷卡消费机</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36</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控水网关</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智能控水一体机</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230</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13</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电源配电箱</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只</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20</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14</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直流电源</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20</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15</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开水智能控水器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40</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开水计量一体阀</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只</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40</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17</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视频网关</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18</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可视化大屏</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19</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宿管单机芯高端摆闸</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20</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宿管双机芯高端摆闸</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宿管智能终端（人脸+刷卡）</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36</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五、空调预充值系统</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智能用电管理系统</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单相电子式费控电能表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230</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单相电子式费控电能表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98</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数据网关</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明装壁挂箱</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明装壁挂箱</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明装壁挂箱</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24</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充电圈存机</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六、户外LED视频显示系统</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LED屏幕</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tc>
        <w:tc>
          <w:tcPr>
            <w:tcW w:w="1065" w:type="dxa"/>
            <w:vAlign w:val="center"/>
            <w:textDirection w:val="lrTb"/>
            <w:noWrap/>
          </w:tcPr>
          <w:p>
            <w:pPr>
              <w:pStyle w:val="871"/>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30.00</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系统软件</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多媒体播放盒</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配电系统</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强电线缆</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项</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弱电线缆</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项</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空调</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台</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铝板</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项</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立柱</w:t>
            </w: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项</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土方</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0</wp:posOffset>
                      </wp:positionH>
                      <wp:positionV relativeFrom="paragraph">
                        <wp:posOffset>0</wp:posOffset>
                      </wp:positionV>
                      <wp:extent cx="8890" cy="889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889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32;o:allowoverlap:true;o:allowincell:true;mso-position-horizontal-relative:text;margin-left:0.0pt;mso-position-horizontal:absolute;mso-position-vertical-relative:text;margin-top:0.0pt;mso-position-vertical:absolute;width:0.7pt;height:0.7pt;mso-wrap-distance-left:9.0pt;mso-wrap-distance-top:0.0pt;mso-wrap-distance-right:9.0pt;mso-wrap-distance-bottom:0.0pt;" stroked="f">
                      <v:path textboxrect="0,0,0,0"/>
                      <v:imagedata r:id="rId76" o:title=""/>
                    </v:shape>
                  </w:pict>
                </mc:Fallback>
              </mc:AlternateContent>
            </w:r>
            <w:r>
              <w:rPr>
                <w:rFonts w:hint="eastAsia" w:ascii="宋体" w:hAnsi="宋体" w:eastAsia="宋体" w:cs="Times New Roman"/>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0</wp:posOffset>
                      </wp:positionH>
                      <wp:positionV relativeFrom="paragraph">
                        <wp:posOffset>0</wp:posOffset>
                      </wp:positionV>
                      <wp:extent cx="8890" cy="952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889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33;o:allowoverlap:true;o:allowincell:true;mso-position-horizontal-relative:text;margin-left:0.0pt;mso-position-horizontal:absolute;mso-position-vertical-relative:text;margin-top:0.0pt;mso-position-vertical:absolute;width:0.7pt;height:0.8pt;mso-wrap-distance-left:9.0pt;mso-wrap-distance-top:0.0pt;mso-wrap-distance-right:9.0pt;mso-wrap-distance-bottom:0.0pt;" stroked="f">
                      <v:path textboxrect="0,0,0,0"/>
                      <v:imagedata r:id="rId77" o:title=""/>
                    </v:shape>
                  </w:pict>
                </mc:Fallback>
              </mc:AlternateContent>
            </w:r>
            <w:r>
              <w:rPr>
                <w:rFonts w:hint="eastAsia" w:ascii="宋体" w:hAnsi="宋体" w:eastAsia="宋体" w:cs="Times New Roman"/>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0</wp:posOffset>
                      </wp:positionH>
                      <wp:positionV relativeFrom="paragraph">
                        <wp:posOffset>0</wp:posOffset>
                      </wp:positionV>
                      <wp:extent cx="8890" cy="1143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8890" cy="11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34;o:allowoverlap:true;o:allowincell:true;mso-position-horizontal-relative:text;margin-left:0.0pt;mso-position-horizontal:absolute;mso-position-vertical-relative:text;margin-top:0.0pt;mso-position-vertical:absolute;width:0.7pt;height:0.9pt;mso-wrap-distance-left:9.0pt;mso-wrap-distance-top:0.0pt;mso-wrap-distance-right:9.0pt;mso-wrap-distance-bottom:0.0pt;" stroked="f">
                      <v:path textboxrect="0,0,0,0"/>
                      <v:imagedata r:id="rId78" o:title=""/>
                    </v:shape>
                  </w:pict>
                </mc:Fallback>
              </mc:AlternateContent>
            </w:r>
            <w:r>
              <w:rPr>
                <w:rFonts w:hint="eastAsia" w:ascii="宋体" w:hAnsi="宋体" w:eastAsia="宋体" w:cs="Times New Roman"/>
                <w:color w:val="000000"/>
                <w:sz w:val="24"/>
                <w:szCs w:val="24"/>
                <w:lang w:val="en-US" w:eastAsia="zh-CN"/>
              </w:rPr>
              <w:t xml:space="preserve">项</w:t>
            </w: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0</wp:posOffset>
                      </wp:positionH>
                      <wp:positionV relativeFrom="paragraph">
                        <wp:posOffset>0</wp:posOffset>
                      </wp:positionV>
                      <wp:extent cx="9525" cy="9525"/>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3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9" o:title=""/>
                    </v:shape>
                  </w:pict>
                </mc:Fallback>
              </mc:AlternateContent>
            </w:r>
            <w:r>
              <w:rPr>
                <w:rFonts w:hint="eastAsia" w:ascii="宋体" w:hAnsi="宋体" w:eastAsia="宋体" w:cs="Times New Roman"/>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0</wp:posOffset>
                      </wp:positionH>
                      <wp:positionV relativeFrom="paragraph">
                        <wp:posOffset>0</wp:posOffset>
                      </wp:positionV>
                      <wp:extent cx="9525" cy="889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9525"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36;o:allowoverlap:true;o:allowincell:true;mso-position-horizontal-relative:text;margin-left:0.0pt;mso-position-horizontal:absolute;mso-position-vertical-relative:text;margin-top:0.0pt;mso-position-vertical:absolute;width:0.8pt;height:0.7pt;mso-wrap-distance-left:9.0pt;mso-wrap-distance-top:0.0pt;mso-wrap-distance-right:9.0pt;mso-wrap-distance-bottom:0.0pt;" stroked="f">
                      <v:path textboxrect="0,0,0,0"/>
                      <v:imagedata r:id="rId80" o:title=""/>
                    </v:shape>
                  </w:pict>
                </mc:Fallback>
              </mc:AlternateContent>
            </w:r>
            <w:r>
              <w:rPr>
                <w:rFonts w:hint="eastAsia" w:ascii="宋体" w:hAnsi="宋体" w:eastAsia="宋体" w:cs="Times New Roman"/>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0</wp:posOffset>
                      </wp:positionH>
                      <wp:positionV relativeFrom="paragraph">
                        <wp:posOffset>0</wp:posOffset>
                      </wp:positionV>
                      <wp:extent cx="9525" cy="1143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9525" cy="11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37;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81" o:title=""/>
                    </v:shape>
                  </w:pict>
                </mc:Fallback>
              </mc:AlternateConten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11</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钢架结构</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项</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七、智慧校园系统</w:t>
            </w:r>
            <w:r>
              <w:rPr>
                <w:rFonts w:hint="eastAsia" w:ascii="宋体" w:hAnsi="宋体" w:eastAsia="宋体" w:cs="Times New Roman"/>
                <w:color w:val="000000"/>
                <w:sz w:val="24"/>
                <w:szCs w:val="24"/>
              </w:rPr>
            </w:r>
            <w:r/>
          </w:p>
        </w:tc>
        <w:tc>
          <w:tcPr>
            <w:tcW w:w="3259"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36" w:type="dxa"/>
            <w:vAlign w:val="center"/>
            <w:textDirection w:val="lrTb"/>
            <w:noWrap/>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65" w:type="dxa"/>
            <w:vAlign w:val="center"/>
            <w:textDirection w:val="lrTb"/>
            <w:noWrap/>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425" w:type="dxa"/>
            <w:vAlign w:val="center"/>
            <w:textDirection w:val="lrTb"/>
            <w:noWrap/>
          </w:tcPr>
          <w:p>
            <w:pPr>
              <w:pStyle w:val="871"/>
              <w:ind w:firstLine="480"/>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系统设置</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组织用户管理</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基础信息</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应用管理</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安全审计</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门户平台</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流程平台</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业务定制平台</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集成平台</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报表平台</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AI平台</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AI助理</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13</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AI智能体</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14</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AI客服</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15</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统一用户管理与统一身份认证</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审批</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17</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公文</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18</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信息</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19</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会议</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20</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内部邮件</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通讯录</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场馆预约</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23</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工资条</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24</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问卷调查</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25</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排课</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课表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27</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选课</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28</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在线评教</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29</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德育</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30</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固定资产</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消耗品</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课堂教学软件</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33</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教师备授课一体软件</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34</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精准教学与讲评系统</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35</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校讯</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36</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审批</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37</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请假</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38</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德育</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39</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选课</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40</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课表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套</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41</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高速缓存</w:t>
            </w:r>
            <w:r>
              <w:rPr>
                <w:rFonts w:hint="eastAsia" w:ascii="宋体" w:hAnsi="宋体" w:eastAsia="宋体" w:cs="Times New Roman"/>
                <w:color w:val="000000"/>
                <w:sz w:val="24"/>
                <w:szCs w:val="24"/>
              </w:rPr>
            </w:r>
            <w:r/>
          </w:p>
        </w:tc>
        <w:tc>
          <w:tcPr>
            <w:tcW w:w="836" w:type="dxa"/>
            <w:vAlign w:val="center"/>
            <w:textDirection w:val="lrTb"/>
            <w:noWrap w:val="false"/>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5年</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42</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数据存储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5年</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43</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文件存储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5年</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44</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负载均衡</w:t>
            </w:r>
            <w:r>
              <w:rPr>
                <w:rFonts w:hint="eastAsia" w:ascii="宋体" w:hAnsi="宋体" w:eastAsia="宋体" w:cs="Times New Roman"/>
                <w:color w:val="000000"/>
                <w:sz w:val="24"/>
                <w:szCs w:val="24"/>
              </w:rPr>
            </w:r>
            <w:r/>
          </w:p>
        </w:tc>
        <w:tc>
          <w:tcPr>
            <w:tcW w:w="836" w:type="dxa"/>
            <w:vAlign w:val="center"/>
            <w:textDirection w:val="lrTb"/>
            <w:noWrap w:val="false"/>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5年</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45</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云资源关系型数据库MySQL</w:t>
            </w:r>
            <w:r>
              <w:rPr>
                <w:rFonts w:hint="eastAsia" w:ascii="宋体" w:hAnsi="宋体" w:eastAsia="宋体" w:cs="Times New Roman"/>
                <w:color w:val="000000"/>
                <w:sz w:val="24"/>
                <w:szCs w:val="24"/>
              </w:rPr>
            </w:r>
            <w:r/>
          </w:p>
        </w:tc>
        <w:tc>
          <w:tcPr>
            <w:tcW w:w="836" w:type="dxa"/>
            <w:vAlign w:val="center"/>
            <w:textDirection w:val="lrTb"/>
            <w:noWrap w:val="false"/>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5年</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46</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文件转化服务器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5年</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47</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web服务器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5年</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r>
        <w:trPr>
          <w:trHeight w:val="300"/>
        </w:trPr>
        <w:tc>
          <w:tcPr>
            <w:tcW w:w="1020"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48</w:t>
            </w:r>
            <w:r>
              <w:rPr>
                <w:rFonts w:hint="eastAsia" w:ascii="宋体" w:hAnsi="宋体" w:eastAsia="宋体" w:cs="Times New Roman"/>
                <w:color w:val="000000"/>
                <w:sz w:val="24"/>
                <w:szCs w:val="24"/>
              </w:rPr>
            </w:r>
            <w:r/>
          </w:p>
        </w:tc>
        <w:tc>
          <w:tcPr>
            <w:tcW w:w="3259" w:type="dxa"/>
            <w:vAlign w:val="center"/>
            <w:textDirection w:val="lrTb"/>
            <w:noWrap w:val="false"/>
          </w:tcPr>
          <w:p>
            <w:pPr>
              <w:pStyle w:val="871"/>
              <w:ind w:firstLine="480"/>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应用服务器</w:t>
            </w:r>
            <w:r>
              <w:rPr>
                <w:rFonts w:hint="eastAsia" w:ascii="宋体" w:hAnsi="宋体" w:eastAsia="宋体" w:cs="Times New Roman"/>
                <w:color w:val="000000"/>
                <w:sz w:val="24"/>
                <w:szCs w:val="24"/>
              </w:rPr>
            </w:r>
            <w:r/>
          </w:p>
        </w:tc>
        <w:tc>
          <w:tcPr>
            <w:tcW w:w="836" w:type="dxa"/>
            <w:vAlign w:val="center"/>
            <w:textDirection w:val="lrTb"/>
            <w:noWrap w:val="false"/>
          </w:tcPr>
          <w:p>
            <w:pPr>
              <w:pStyle w:val="871"/>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5年</w:t>
            </w:r>
            <w:r>
              <w:rPr>
                <w:rFonts w:hint="eastAsia" w:ascii="宋体" w:hAnsi="宋体" w:eastAsia="宋体" w:cs="Times New Roman"/>
                <w:color w:val="000000"/>
                <w:sz w:val="24"/>
                <w:szCs w:val="24"/>
              </w:rPr>
            </w:r>
            <w:r/>
          </w:p>
        </w:tc>
        <w:tc>
          <w:tcPr>
            <w:tcW w:w="1065" w:type="dxa"/>
            <w:vAlign w:val="center"/>
            <w:textDirection w:val="lrTb"/>
            <w:noWrap w:val="false"/>
          </w:tcPr>
          <w:p>
            <w:pPr>
              <w:pStyle w:val="871"/>
              <w:ind w:firstLine="480"/>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r>
            <w:r/>
          </w:p>
        </w:tc>
        <w:tc>
          <w:tcPr>
            <w:tcW w:w="2425" w:type="dxa"/>
            <w:vAlign w:val="center"/>
            <w:textDirection w:val="lrTb"/>
            <w:noWrap w:val="false"/>
          </w:tcPr>
          <w:p>
            <w:pPr>
              <w:pStyle w:val="871"/>
              <w:spacing w:line="5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lang w:val="en-US" w:eastAsia="zh-CN"/>
              </w:rPr>
            </w:r>
            <w:r/>
          </w:p>
        </w:tc>
      </w:tr>
    </w:tbl>
    <w:p>
      <w:pPr>
        <w:pStyle w:val="871"/>
        <w:ind w:firstLine="48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1、本项目为交钥匙工程，请投标人认真复核清单，若有缺项漏项请自行考虑到成本中。</w:t>
      </w:r>
      <w:r>
        <w:rPr>
          <w:rFonts w:hint="eastAsia" w:ascii="宋体" w:hAnsi="宋体" w:eastAsia="宋体" w:cs="Times New Roman"/>
          <w:color w:val="000000"/>
          <w:sz w:val="24"/>
          <w:szCs w:val="24"/>
          <w:highlight w:val="none"/>
        </w:rPr>
      </w:r>
      <w:r/>
    </w:p>
    <w:p>
      <w:pPr>
        <w:pStyle w:val="871"/>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2、投标人应自行勘查现场，以便对项目充分了解和把握，招标人默认投标人已充分了解项目及可能存在的风险。</w:t>
      </w:r>
      <w:r>
        <w:rPr>
          <w:rFonts w:hint="eastAsia" w:ascii="宋体" w:hAnsi="宋体" w:eastAsia="宋体" w:cs="Times New Roman"/>
          <w:color w:val="000000"/>
          <w:sz w:val="24"/>
          <w:szCs w:val="24"/>
          <w:highlight w:val="none"/>
        </w:rPr>
      </w:r>
      <w:r/>
    </w:p>
    <w:p>
      <w:pPr>
        <w:pStyle w:val="871"/>
        <w:ind w:firstLine="482"/>
        <w:spacing w:after="145"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71"/>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二、技术要求</w:t>
      </w:r>
      <w:r>
        <w:rPr>
          <w:rFonts w:hint="eastAsia" w:ascii="宋体" w:hAnsi="宋体"/>
          <w:b/>
          <w:color w:val="000000"/>
          <w:sz w:val="24"/>
          <w:szCs w:val="24"/>
          <w:highlight w:val="none"/>
        </w:rPr>
      </w:r>
      <w:r/>
    </w:p>
    <w:p>
      <w:pPr>
        <w:pStyle w:val="871"/>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b/>
          <w:bCs/>
          <w:color w:val="000000"/>
          <w:sz w:val="24"/>
          <w:szCs w:val="24"/>
          <w:highlight w:val="none"/>
        </w:rPr>
        <w:t xml:space="preserve">其中加</w:t>
      </w:r>
      <w:r>
        <w:rPr>
          <w:rFonts w:hint="eastAsia" w:ascii="宋体" w:hAnsi="宋体" w:cs="宋体"/>
          <w:color w:val="000000"/>
          <w:sz w:val="24"/>
          <w:szCs w:val="24"/>
          <w:highlight w:val="none"/>
          <w:lang w:bidi="ar"/>
        </w:rPr>
        <w:t xml:space="preserve">★</w:t>
      </w:r>
      <w:r>
        <w:rPr>
          <w:rFonts w:hint="eastAsia" w:ascii="宋体" w:hAnsi="宋体"/>
          <w:b/>
          <w:bCs/>
          <w:color w:val="000000"/>
          <w:sz w:val="24"/>
          <w:szCs w:val="24"/>
          <w:highlight w:val="none"/>
        </w:rPr>
        <w:t xml:space="preserve">条款为实质性要求。</w:t>
      </w:r>
      <w:r>
        <w:rPr>
          <w:rFonts w:hint="eastAsia" w:ascii="宋体" w:hAnsi="宋体"/>
          <w:bCs/>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采购包一：</w:t>
      </w:r>
      <w:r>
        <w:rPr>
          <w:rFonts w:hint="eastAsia" w:ascii="宋体" w:hAnsi="宋体"/>
          <w:b w:val="0"/>
          <w:bCs w:val="0"/>
          <w:color w:val="000000"/>
          <w:sz w:val="24"/>
          <w:szCs w:val="24"/>
          <w:highlight w:val="none"/>
          <w:lang w:val="en-US" w:eastAsia="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756"/>
        <w:gridCol w:w="1356"/>
        <w:gridCol w:w="7057"/>
      </w:tblGrid>
      <w:tr>
        <w:trPr>
          <w:trHeight w:val="375"/>
        </w:trPr>
        <w:tc>
          <w:tcPr>
            <w:gridSpan w:val="3"/>
            <w:tcBorders>
              <w:top w:val="single" w:color="000000" w:sz="4" w:space="0"/>
              <w:left w:val="single" w:color="000000" w:sz="4" w:space="0"/>
              <w:bottom w:val="single" w:color="000000" w:sz="4" w:space="0"/>
              <w:right w:val="none" w:color="000000" w:sz="4" w:space="0"/>
            </w:tcBorders>
            <w:tcW w:w="916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报告厅智能化</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序号</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设备名称</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项目特征描述</w:t>
            </w:r>
            <w:r>
              <w:rPr>
                <w:rFonts w:hint="eastAsia" w:ascii="宋体" w:hAnsi="宋体"/>
                <w:b w:val="0"/>
                <w:bCs w:val="0"/>
                <w:color w:val="000000"/>
                <w:sz w:val="24"/>
                <w:szCs w:val="24"/>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主扩三分频恒曲线线阵列窄角度全频扬声器(远场）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1、三分频恒曲线线阵列窄角度全频扬声器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2、不少于1个12寸低音单元，不少于1个2寸中音单元，不少于1个1.2寸高音单元，采用定制同轴驱动单元；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3、频率响应不窄于(-3dB)：60Hz-20kHz；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4.额定功率：≥425W；长期连续功率：850W；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▲5、指向性不窄于(H×V)：80°×15°；（投标时提供有 CMA 或 CNAS认证标识第三方检测机构出具的检测报告中的测试试验项目、且判断结论为符合/合格的检测报告，并加盖投标人公章）</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▲6、最大声压级：≥137.5dB；（投标时提供有 CMA 或 CNAS认证标识第三方检测机构出具的检测报告中的测试试验项目、且判断结论为符合/合格的检测报告，并加盖投标人公章）</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7、支持无源全频、分频双功放两种驱动方式；</w:t>
            </w:r>
            <w:r>
              <w:rPr>
                <w:rFonts w:hint="eastAsia" w:ascii="宋体" w:hAnsi="宋体"/>
                <w:b w:val="0"/>
                <w:bCs w:val="0"/>
                <w:color w:val="000000"/>
                <w:sz w:val="24"/>
                <w:szCs w:val="24"/>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主扩三分频恒曲线线阵列窄角度全频扬声器(中场）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1、三分频恒曲线线阵列窄角度全频扬声器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2、不少于1个12寸低音单元，不少于1个2寸中音单元，不少于1个1.2寸高音单元，采用定制同轴驱动单元；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3、频率响应不窄于(-3dB)：60Hz-20kHz；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4.额定功率：≥425W；长期连续功率：850W；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5、指向性不窄于(H×V)：80°×40°；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6、最大声压级：≥137.5dB；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7、支持无源全频、分频双功放两种驱动方式；</w:t>
            </w:r>
            <w:r>
              <w:rPr>
                <w:rFonts w:hint="eastAsia" w:ascii="宋体" w:hAnsi="宋体"/>
                <w:b w:val="0"/>
                <w:bCs w:val="0"/>
                <w:color w:val="000000"/>
                <w:sz w:val="24"/>
                <w:szCs w:val="24"/>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主扩三分频恒曲线线阵列窄角度全频扬声器(近场）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1、三分频恒曲线线阵列窄角度全频扬声器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2、不少于1个12寸低音单元，不少于1个2寸中音单元，不少于1个1.2寸高音单元，采用定制同轴驱动单元；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3、频率响应不窄于(-3dB)：60Hz-20kHz；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4.额定功率：≥425W；长期连续功率：850W；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5、指向性不窄于(H×V)：120°×40°；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6、最大声压级：≥137.5dB；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7、支持无源全频、分频双功放两种驱动方式；</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拉声像扬声器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1、不劣于15"，两分频，低频反射式；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2、频率范围：不劣于45-20kHz；</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3、最大声压级：不劣于131dB；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4、额定功率：不劣于400w；</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5、灵敏度：不劣于99dB；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6、覆盖角度：90°*90°；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7、额定阻抗：8Ω；</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超低音扬声器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低频驱动器：不劣于2×18“（457.2毫米）低音扬声器</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频率范围（-10 dB）：不劣于35 Hz-200 Hz</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频率响应（±3dB）：不劣于45Hz-200 Hz</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系统额定功率:（连续/音乐/峰值）不劣于1400瓦/2800W/5600W</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最大声压级：不劣于136dB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并联环路直通开关：可选择的4欧姆（两个低音扬声器并联）和8欧姆（每个低音扬声器单独输入）</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补声扬声器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1、低频驱动器：不劣于12"，两分频，低频反射式；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2、频率范围：47-20kHz；</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3、最大声压级：不劣于129dB；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4、额定功率：不劣于350w；</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5、灵敏度：不劣于97.5dB；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6、覆盖角度：90°*90°；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7、额定阻抗：8Ω；</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流动返听扬声器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1、低频驱动器：不劣于12"，两分频，低频反射式；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2、频率范围：47-20kHz；</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3、最大声压级：不劣于129dB；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4、额定功率：不劣于350w；</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5、灵敏度：不劣于97.5dB；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6、覆盖角度：90°*90°；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7、额定阻抗：8Ω；</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固定返听声扬声器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1、低频驱动器：不劣于12"，两分频，低频反射式；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2、频率范围：47-20kHz；</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3、最大声压级：不劣于129dB；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4、额定功率：不劣于350w；</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5、灵敏度：不劣于97.5dB；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6、覆盖角度：90°*90°；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7、额定阻抗：8Ω；</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台唇扬声器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1、低频驱动器：不劣于10"，两分频，低频反射式；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2、频率范围：50-20kHz；</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3、最大声压级：126dB；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4、额定功率：300w；</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5、灵敏度：95dB；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6、覆盖角度：90°*90°；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7、额定阻抗：8Ω；</w:t>
            </w:r>
            <w:r>
              <w:rPr>
                <w:rFonts w:hint="eastAsia" w:ascii="宋体" w:hAnsi="宋体"/>
                <w:b w:val="0"/>
                <w:bCs w:val="0"/>
                <w:color w:val="000000"/>
                <w:sz w:val="24"/>
                <w:szCs w:val="24"/>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主扩功率放大器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1、立体声模式：8Ω ≥1300W×2  4Ω ≥2015W×2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2、失真度：≤0.03%</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3、频率响应不窄于：25Hz-20kHz，±1dB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4、阻尼系数f=1KHz 8OHMS：&gt;240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5、信噪比：≥95dB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6、额定输出功率 8 OHM 1KHz 时分离度：&gt;70dB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7、防止短路，超载过热，启动/关机噪音,其他信号干扰等</w:t>
            </w:r>
            <w:r>
              <w:rPr>
                <w:rFonts w:hint="eastAsia" w:ascii="宋体" w:hAnsi="宋体"/>
                <w:b w:val="0"/>
                <w:bCs w:val="0"/>
                <w:color w:val="000000"/>
                <w:sz w:val="24"/>
                <w:szCs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拉声像功率放大器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1、立体声模式：8Ω ≥830W×2  4Ω ≥1150W×2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2、失真度：≤0.03%</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3、频率响应不窄于：25Hz-20kHz，±1dB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4、阻尼系数f=1KHz 8OHMS：&gt;240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5、信噪比：≥95dB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6、额定输出功率 8 OHM 1KHz 时分离度：&gt;70dB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7、防止短路，超载过热，启动/关机噪音,其他信号干扰等</w:t>
            </w:r>
            <w:r>
              <w:rPr>
                <w:rFonts w:hint="eastAsia" w:ascii="宋体" w:hAnsi="宋体"/>
                <w:b w:val="0"/>
                <w:bCs w:val="0"/>
                <w:color w:val="000000"/>
                <w:sz w:val="24"/>
                <w:szCs w:val="24"/>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超低音功率放大器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1、立体声模式：8Ω ≥1300W×2  4Ω ≥2015W×2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2、失真度：≤0.03%</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3、频率响应不窄于：25Hz-20kHz，±1dB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4、阻尼系数f=1KHz 8OHMS：&gt;240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5、信噪比：≥95dB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6、额定输出功率 8 OHM 1KHz 时分离度：&gt;70dB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7、防止短路，超载过热，启动/关机噪音,其他信号干扰等</w:t>
            </w:r>
            <w:r>
              <w:rPr>
                <w:rFonts w:hint="eastAsia" w:ascii="宋体" w:hAnsi="宋体"/>
                <w:b w:val="0"/>
                <w:bCs w:val="0"/>
                <w:color w:val="000000"/>
                <w:sz w:val="24"/>
                <w:szCs w:val="24"/>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补声功率放大器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1、立体声模式：8Ω ≥600W×2  4Ω ≥895W×2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2、失真度：≤0.03%</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3、频率响应不窄于：25Hz-20kHz，±1dB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4、阻尼系数f=1KHz 8OHMS：&gt;240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5、信噪比：≥95dB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6、额定输出功率 8 OHM 1KHz 时分离度：&gt;70dB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7、防止短路，超载过热，启动/关机噪音,其他信号干扰等</w:t>
            </w:r>
            <w:r>
              <w:rPr>
                <w:rFonts w:hint="eastAsia" w:ascii="宋体" w:hAnsi="宋体"/>
                <w:b w:val="0"/>
                <w:bCs w:val="0"/>
                <w:color w:val="000000"/>
                <w:sz w:val="24"/>
                <w:szCs w:val="24"/>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流动返听功率放大器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1、立体声模式：8Ω ≥600W×2  4Ω ≥895W×2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2、失真度：≤0.03%</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3、频率响应不窄于：25Hz-20kHz，±1dB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4、阻尼系数f=1KHz 8OHMS：&gt;240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5、信噪比：≥95dB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6、额定输出功率 8 OHM 1KHz 时分离度：&gt;70dB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7、防止短路，超载过热，启动/关机噪音,其他信号干扰等</w:t>
            </w:r>
            <w:r>
              <w:rPr>
                <w:rFonts w:hint="eastAsia" w:ascii="宋体" w:hAnsi="宋体"/>
                <w:b w:val="0"/>
                <w:bCs w:val="0"/>
                <w:color w:val="000000"/>
                <w:sz w:val="24"/>
                <w:szCs w:val="24"/>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固定返听功率放大器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1、立体声模式：8Ω ≥600W×2  4Ω ≥895W×2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2、失真度：≤0.03%</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3、频率响应不窄于：25Hz-20kHz，±1dB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4、阻尼系数f=1KHz 8OHMS：&gt;240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5、信噪比：≥95dB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6、额定输出功率 8 OHM 1KHz 时分离度：&gt;70dB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7、防止短路，超载过热，启动/关机噪音,其他信号干扰等</w:t>
            </w:r>
            <w:r>
              <w:rPr>
                <w:rFonts w:hint="eastAsia" w:ascii="宋体" w:hAnsi="宋体"/>
                <w:b w:val="0"/>
                <w:bCs w:val="0"/>
                <w:color w:val="000000"/>
                <w:sz w:val="24"/>
                <w:szCs w:val="24"/>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台唇功率放大器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1、立体声模式：8Ω ≥400W×2  4Ω ≥645W×2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2、失真度：≤0.03%</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3、频率响应：20Hz-20kHz，±1dB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4、阻尼系数f=1KHz 8OHMS：&gt;240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5、信噪比：≥95dB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6、额定输出功率 8 OHM 1KHz 时分离度：&gt;70dB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7、防止短路，超载过热，启动/关机噪音,其他信号干扰等</w:t>
            </w:r>
            <w:r>
              <w:rPr>
                <w:rFonts w:hint="eastAsia" w:ascii="宋体" w:hAnsi="宋体"/>
                <w:b w:val="0"/>
                <w:bCs w:val="0"/>
                <w:color w:val="000000"/>
                <w:sz w:val="24"/>
                <w:szCs w:val="24"/>
                <w:highlight w:val="none"/>
              </w:rPr>
            </w:r>
            <w:r/>
          </w:p>
        </w:tc>
      </w:tr>
      <w:tr>
        <w:trPr>
          <w:trHeight w:val="1527"/>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17</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数字音频处理器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不少于8输入通道，不少于8输出通道</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内置可编程中控功能，不少于1路232，1路485和UDP接口，可外接8路232扩展器。</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需内置两进两出USB声卡，支持录播和远程会议；</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支持PoE供电与DC12V双电源</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输入输出量化不低于48KHz/24bit；</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输入通道应该具备：</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输入增益6dB步长，不少于9个档位；</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不低于8段PEQ，且提供不低于五种滤波器类型选择；</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两路自适应回声消除(AEC)，噪声抑制(ANS)</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每个通道应不低于8个点的自适应反馈抑制（AFC）；</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输出通道应该具备：</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不低于8段PEQ,分频器、延时器、限幅器。</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不低于10x7矩阵；</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不低于16组预设；</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支持输入输出通道LINK和分组功能；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输入动态范围不低于：110dB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输出动态范围不低于：112dB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频率响应范围不低于20～20kHz(±0.5dB);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THD+N:不低于-100dB@17dBu</w:t>
            </w:r>
            <w:r>
              <w:rPr>
                <w:rFonts w:hint="eastAsia" w:ascii="宋体" w:hAnsi="宋体"/>
                <w:b w:val="0"/>
                <w:bCs w:val="0"/>
                <w:color w:val="000000"/>
                <w:sz w:val="24"/>
                <w:szCs w:val="24"/>
                <w:highlight w:val="none"/>
              </w:rPr>
            </w:r>
            <w:r/>
          </w:p>
        </w:tc>
      </w:tr>
      <w:tr>
        <w:trPr>
          <w:trHeight w:val="33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数字调音台</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输入处理通道：≥30个输入通道, ≥7个辅助输入通道, ≥7个辅助返送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2、输出处理通道：≥15个AUX通道，≥5个矩阵, LCR母线</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3、≥8/16内部效果器(立体声/单声道)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4、≥500/ 100场景文件(场景快照/场景快照列表)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5、≥100储存点(包括处理参数和推子)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6、≥40位浮点信号处理能力</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7、A/D转换器：24-Bit，≥114dB动态范围</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8、D/A转换器：24-Bit，≥120dB动态范围</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9、≤0.8 ms I/O延迟(主控台输入到输出)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10、≥30个话筒放大器的输入接口( XLR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11、≥2个RCA输入/输出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12、≥15个XLR输出接口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13、≥6个AUX输入/输出(TRS平衡)</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14、≥2个AES50端口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15、≥7寸TFT液晶主显示器，不小于800×480分辨率</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19</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数字接口箱</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1、≥32XLR输入端，≥16XLR输出端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2、≥2个AES50端口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3、MIDI输入端/输出端：≥1/1</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4、≥1个USB</w:t>
            </w:r>
            <w:r>
              <w:rPr>
                <w:rFonts w:hint="eastAsia" w:ascii="宋体" w:hAnsi="宋体"/>
                <w:b w:val="0"/>
                <w:bCs w:val="0"/>
                <w:color w:val="000000"/>
                <w:sz w:val="24"/>
                <w:szCs w:val="24"/>
                <w:highlight w:val="none"/>
              </w:rPr>
            </w:r>
            <w:r/>
          </w:p>
        </w:tc>
      </w:tr>
      <w:tr>
        <w:trPr>
          <w:trHeight w:val="1107"/>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大合唱话筒</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大动膜电容麦克风设有8字形功能，适用于录音棚和舞台演出录音。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采用镀金膜片，即使在极高声压中，可以防止电背极本身的缺点。</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话筒内部装有防震的音头支架，传感器能有效压制处理噪声。MR-32是一支全性能的麦克风。</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主要参数：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32MM金膜电容式音头</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指向性：8字形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灵敏度：-30.6dB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频率范围：50Hz-20KHz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最大声压器：200dB（1KHz，失真≤1%）</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供电：48V幻像供电。</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极限声压值(1% THD@1 kHz): 130dB(0dB),140dB(-10dB)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等效声压值(按照IEC 651):19dB-A</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信噪比 :78dB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额定阻抗:680Ω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额定终端阻抗:&gt;1kΩ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电流消耗:3mA</w:t>
            </w:r>
            <w:r>
              <w:rPr>
                <w:rFonts w:hint="eastAsia" w:ascii="宋体" w:hAnsi="宋体"/>
                <w:b w:val="0"/>
                <w:bCs w:val="0"/>
                <w:color w:val="000000"/>
                <w:sz w:val="24"/>
                <w:szCs w:val="24"/>
                <w:highlight w:val="none"/>
              </w:rPr>
            </w:r>
            <w:r/>
          </w:p>
        </w:tc>
      </w:tr>
      <w:tr>
        <w:trPr>
          <w:trHeight w:val="171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乐器话筒</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本柱极式电容麦克风具有良好的束状特性，因此它们特别适合立体声录音。无论是整个乐队还是单独的声音源（如打击乐器、钢琴或歌队）、采用这对电容式麦克风，你在录音时总能达到杰出的空间效果。束状特性尤其适用于存在多个声音源的录音情况。由于能够抑制来自后部的不希望接收的声波、可获得良好的声音源分离、以及容易避免反馈。</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转换器原理 电容器、16mm薄膜(0.63")</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声学工作方式 压差接收器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方向特性 束状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接口 镀金，平衡式XLR接口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灵敏度（1kHz时） -29 dBV(0 dBV=0.775V/Pa)</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频率响应 80 Hz - 20 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衰减 -10 dB (-12dB Butwrth)</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极限声压值(1% THD@1 kHz) 130 dB(0 dB), 140 dB(-10 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等效声压值(按照IEC 651) 19 dB-A</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信噪比 78 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额定阻抗 680Ω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额定终端阻抗 &gt;1 kΩ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供电 +48伏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电流消耗 3mA</w:t>
            </w:r>
            <w:r>
              <w:rPr>
                <w:rFonts w:hint="eastAsia" w:ascii="宋体" w:hAnsi="宋体"/>
                <w:b w:val="0"/>
                <w:bCs w:val="0"/>
                <w:color w:val="000000"/>
                <w:sz w:val="24"/>
                <w:szCs w:val="24"/>
                <w:highlight w:val="none"/>
              </w:rPr>
            </w:r>
            <w:r/>
          </w:p>
        </w:tc>
      </w:tr>
      <w:tr>
        <w:trPr>
          <w:trHeight w:val="84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演讲会讨话筒单元</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整体美观大方，根据声学和人体美学原理设计的方形咪头外壳，蜂窝式咪头内腔，保证音质饱满，尤其是远距离拾音时音质厚实。</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实施高端工业制造:加工精度高，工艺精细，纯铝合拉丝纹外壳，金属质感强。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双工作指示灯:底座开关和咪杆带工作指示灯环。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底座与话筒标可折分。</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有效拾音距离40-60cm(视搭配的设备与声场而定)。</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触摸开关和轻触开关两种</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开关有3种自定义可调工作模式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有长按住开关工作，放开开关关闭的工作模式，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触摸开关开启触摸开关关闭模式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直接插上48v幻像供电开启断电关闭工作模式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指向特性 心型指向</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频率响应 50Hz-14KHz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灵敏度 -52dB/±3dB(1KHz)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参考拾音距离 30-70cm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综合失真 0.488%</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输出阻抗 200Ω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最大承受音压 135dB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信噪比 66dB.1KHz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动态范围 111dB.1KHz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电源供应 DC 48V 幻象电源</w:t>
            </w:r>
            <w:r>
              <w:rPr>
                <w:rFonts w:hint="eastAsia" w:ascii="宋体" w:hAnsi="宋体"/>
                <w:b w:val="0"/>
                <w:bCs w:val="0"/>
                <w:color w:val="000000"/>
                <w:sz w:val="24"/>
                <w:szCs w:val="24"/>
                <w:highlight w:val="none"/>
              </w:rPr>
            </w:r>
            <w:r/>
          </w:p>
        </w:tc>
      </w:tr>
      <w:tr>
        <w:trPr>
          <w:trHeight w:val="294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23</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智能跟踪处理主机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主机可以自动控制多个麦克风的增益，实现平滑高度还原声音自然的混音效果。</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主机能够实时检测每个麦克风的输入信号，并根据其活动状态自动调整增益。当一个麦克风的信号增强时，其他麦克风的增益会相应降低，以保持整体混音电平的稳定。</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主机通过语音激活检测技术，混音器可以快速识别哪个麦克风正在使用，并将焦点集中在该麦克风上，同时降低其他麦克风的增益，从而减少背景噪音和干扰。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主机在麦克风之间进行切换时能够实现平滑自然的过渡，避免了突然变化或音频中断。</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主机通常具有反馈抑制功能，可以有效地减少音频系统中的啸叫和回声问题。</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主机工作原理使其在会议系统、演讲、现场表演等需要处理多个麦克风的场合中非常有用。它可以提高音频质量，减少人工干预，提供更加专业和自然的混音效果。</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主机每个输⼊通道都有⼀个两段均衡器。均衡器可以减少不需要的低频拾⾳，从⽽使领夹式、界⾯式、台面式和⼿持式等不同话筒类型声⾳统⼀。</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主机能够⾃动调节以适应室内背景噪声变化的快速启动⽆噪声话筒选择在启动多个话筒时，每个通道可进⾏⾃动增益调整</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主机⽤于每个通道的可调整低频滚落和⾼频倾斜均衡通道启动和削波指示器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主机带有可选阈值和发光⼆极管指示灯的峰值响应输出限幅器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主机支持8路有源 48V 平衡话筒</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主机带有⼿动电平控制器的辅助电平输⼊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主机能接中控控制，能将每路话筒发言时就会发送信号给中控主机，并实现摄像跟踪功能。</w:t>
            </w:r>
            <w:r>
              <w:rPr>
                <w:rFonts w:hint="eastAsia" w:ascii="宋体" w:hAnsi="宋体"/>
                <w:b w:val="0"/>
                <w:bCs w:val="0"/>
                <w:color w:val="000000"/>
                <w:sz w:val="24"/>
                <w:szCs w:val="24"/>
                <w:highlight w:val="none"/>
              </w:rPr>
            </w:r>
            <w:r/>
          </w:p>
        </w:tc>
      </w:tr>
      <w:tr>
        <w:trPr>
          <w:trHeight w:val="303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24</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单手持无线话筒</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无线接收机主要特征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真正分集接收，采用双天线、双接收线路，纯自动选讯(True Diversity)接收方式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全新单通道数字自动选迅远距离话筒，有lD号加密，不易受干扰，不会窜频，自动搜干净频率，自设开关锁，面板上可以搜索频率，自设面板功能锁，安全使用。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接收机通道具有独立的100个频道可调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采用独特的CPU控制开关机，发射或接收不管处于何种状态，开关机都无冲击声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采用专业二次变频和三级射频滤波技术，多套使用互不干扰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发射机自动同步接收机工作频率，</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音码和射频强度双重静噪杜绝干扰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发射机锁定模式避免错误关机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面板自带耳机监听功能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带网口式设计，利用无线管理软件进行综合管理</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主机有高、低发射功率，通过红外对频能调整发射器的高、低发射功率。</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真分集双通道540-790mhz无线话筒，有效工作距离80-120米（视环境而定），低失真低噪声高保真。</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接收机RF和AF电平灯是7段LED灯显示，美观直观，使接收信号更纯。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2.0寸TFT彩屏，显示坐标式频普扫描过程，可调接收灵敏度sq，电池电量显示、系统开关锁，名字，中英文操作菜单。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采用1只音频隔离变压器技术，4层电路板，让声音更加纯净、饱满。</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NEUTPIK 平衡卡龙输出音量20是0dB输出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有可选MIC低电平与LINE高电平输出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发射器技术参数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管身材质：纯铝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预设频道：200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振荡模式：PLL相位锁定频率合成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载波频率范围：UHF640-690MHz  UHF530-580MHz UHF470-510MHz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频率宽度：50MHz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频率调整：自动追锁接收机工作频道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输出功率：（高）30mW / （低）3mW（或依照电波法规）</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谐波辐射：＜-55dBC</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最大偏移度：±68KHz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频率响应：50HZ-15KHz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带锁定开关，5档输出增益调整</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0.96寸OLED显示屏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有四种音头：动圈、电容、可兼容SHURE、DPA、AUDIX等音头使用、选择适合自己的个性化使用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指向性：动圈式心形指向性</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灵敏度：-51±2dB（0db=1V/ubar at 1KHz）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 输出阻抗：270Ω±15％ at  1 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使用电池：AA电池两只</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操作显示：LCD同时显示电池容量、频道, 低电压警示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最大发射距离：100米</w:t>
            </w:r>
            <w:r>
              <w:rPr>
                <w:rFonts w:hint="eastAsia" w:ascii="宋体" w:hAnsi="宋体"/>
                <w:b w:val="0"/>
                <w:bCs w:val="0"/>
                <w:color w:val="000000"/>
                <w:sz w:val="24"/>
                <w:szCs w:val="24"/>
                <w:highlight w:val="none"/>
              </w:rPr>
            </w:r>
            <w:r/>
          </w:p>
        </w:tc>
      </w:tr>
      <w:tr>
        <w:trPr>
          <w:trHeight w:val="667"/>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25</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单腰包无线话筒</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无线接收机主要特征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真正分集接收，采用双天线、双接收线路，纯自动选讯(True Diversity)接收方式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全新单通道数字自动选迅远距离话筒，有lD号加密，不易受干扰，不会窜频，自动搜干净频率，自设开关锁，面板上可以搜索频率，自设面板功能锁，安全使用。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接收机通道具有独立的100个频道可调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采用独特的CPU控制开关机，发射或接收不管处于何种状态，开关机都无冲击声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采用专业二次变频和三级射频滤波技术，多套使用互不干扰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发射机自动同步接收机工作频率，</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音码和射频强度双重静噪杜绝干扰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发射机锁定模式避免错误关机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面板自带耳机监听功能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带网口式设计，利用无线管理软件进行综合管理</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主机有高、低发射功率，通过红外对频能调整发射器的高、低发射功率。</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真分集双通道540-790mhz无线话筒，有效工作距离80-120米（视环境而定），低失真低噪声高保真。</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接收机RF和AF电平灯是7段LED灯显示，美观直观，使接收信号更纯。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2.0寸TFT彩屏，显示坐标式频普扫描过程，可调接收灵敏度sq，电池电量显示、系统开关锁，名字，中英文操作菜单。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采用1只音频隔离变压器技术，4层电路板，让声音更加纯净、饱满。</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NEUTPIK 平衡卡龙输出音量20是0dB输出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有可选MIC低电平与LINE高电平输出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无线发射器主要特征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宽带调变电路，射频带宽高达50MHZ（200个频道）。完全杜绝串频干扰，特别适合大批量同时使用。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具有高低发射功率转换，应对不同使用场合。</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具有ACT自动追锁频道功能，可快速精准的自动锁定接收机工作频道。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发射电路，两只高效率、低耗电的电池可以连续使用6小时。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管身上配置OLED显示器，显示工作频道、电池存量。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袖珍型天线设计，大大减轻人体对发射器讯号的干扰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振荡模式：PLL相位锁定频率合成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载波频段： UHF640-690MHz  UHF530-580MHz UHF470-510MHz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频率宽度：50MHz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频率调整：自动追锁接收机工作频道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带锁定开关，5档输出增益调整</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输出功率：30mW/3mW（或依照电波法规）</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谐波辐射：＜-55dBC</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最大偏移度：±68KHz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预设频道：200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频率响应：50~16,000Hz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指向性：心型指向性</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感度：-80±3dB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输出阻抗：600Ω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使用电池：AA电池两只</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操作显示：OLED同时显示电池容量、频道, 低电压警示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最大发射距离：80-120米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腰包能与shure 头戴、领夹线通用</w:t>
            </w:r>
            <w:r>
              <w:rPr>
                <w:rFonts w:hint="eastAsia" w:ascii="宋体" w:hAnsi="宋体"/>
                <w:b w:val="0"/>
                <w:bCs w:val="0"/>
                <w:color w:val="000000"/>
                <w:sz w:val="24"/>
                <w:szCs w:val="24"/>
                <w:highlight w:val="none"/>
              </w:rPr>
            </w:r>
            <w:r/>
          </w:p>
        </w:tc>
      </w:tr>
      <w:tr>
        <w:trPr>
          <w:trHeight w:val="517"/>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26</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单领夹无线话筒</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无线接收机主要特征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真正分集接收，采用双天线、双接收线路，纯自动选讯(True Diversity)接收方式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全新单通道数字自动选迅远距离话筒，有lD号加密，不易受干扰，不会窜频，自动搜干净频率，自设开关锁，面板上可以搜索频率，自设面板功能锁，安全使用。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接收机通道具有独立的100个频道可调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采用独特的CPU控制开关机，发射或接收不管处于何种状态，开关机都无冲击声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采用专业二次变频和三级射频滤波技术，多套使用互不干扰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发射机自动同步接收机工作频率，</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音码和射频强度双重静噪杜绝干扰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发射机锁定模式避免错误关机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面板自带耳机监听功能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带网口式设计，利用无线管理软件进行综合管理</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主机有高、低发射功率，通过红外对频能调整发射器的高、低发射功率。</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真分集双通道540-790mhz无线话筒，有效工作距离80-120米（视环境而定），低失真低噪声高保真。</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接收机RF和AF电平灯是7段LED灯显示，美观直观，使接收信号更纯。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2.0寸TFT彩屏，显示坐标式频普扫描过程，可调接收灵敏度sq，电池电量显示、系统开关锁，名字，中英文操作菜单。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采用1只音频隔离变压器技术，4层电路板，让声音更加纯净、饱满。</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NEUTPIK 平衡卡龙输出音量20是0dB输出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有可选MIC低电平与LINE高电平输出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无线发射器主要特征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宽带调变电路，射频带宽高达50MHZ（200个频道）。完全杜绝串频干扰，特别适合大批量同时使用。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具有高低发射功率转换，应对不同使用场合。</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具有ACT自动追锁频道功能，可快速精准的自动锁定接收机工作频道。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发射电路，两只高效率、低耗电的电池可以连续使用6小时。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管身上配置OLED显示器，显示工作频道、电池存量。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袖珍型天线设计，大大减轻人体对发射器讯号的干扰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振荡模式：PLL相位锁定频率合成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载波频段： UHF640-690MHz  UHF530-580MHz UHF470-510MHz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频率宽度：50MHz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频率调整：自动追锁接收机工作频道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带锁定开关，5档输出增益调整</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输出功率：30mW/3mW（或依照电波法规）</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谐波辐射：＜-55dBC</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最大偏移度：±68KHz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预设频道：200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频率响应：50~16,000Hz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指向性：心型指向性</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感度：-80±3dB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输出阻抗：600Ω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使用电池：AA电池两只</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操作显示：OLED同时显示电池容量、频道, 低电压警示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最大发射距离：80-120米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腰包能与shure 头戴、领夹线通用</w:t>
            </w:r>
            <w:r>
              <w:rPr>
                <w:rFonts w:hint="eastAsia" w:ascii="宋体" w:hAnsi="宋体"/>
                <w:b w:val="0"/>
                <w:bCs w:val="0"/>
                <w:color w:val="000000"/>
                <w:sz w:val="24"/>
                <w:szCs w:val="24"/>
                <w:highlight w:val="none"/>
              </w:rPr>
            </w:r>
            <w:r/>
          </w:p>
        </w:tc>
      </w:tr>
      <w:tr>
        <w:trPr>
          <w:trHeight w:val="18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27</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无线数字工作台</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电脑管理软件，连接电脑后可以检测干扰信号和干净信号，帮助设备工作更稳定，可控SQ的灵敏度，看到话筒的电池电量，可以操作红外线对频，可多套叠机连接交换机联机使用。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具有增强的图形用户界面，提供无线电射频频谱图、现场演出监控方面提供支持。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最全面综合高效的无线系统控制软件。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在使用期间，无线麦克风管理软件可对联网的硬件参数进行远程调整，对频率、增益、射频输出功率等可立刻作出更改。</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显示无线系统每个频道的音频和无线射频电平、电池寿命等。提供通过软件的快速响应选择，在检测到干扰、干净、电池使用时间、无线射频信号强度等状况出现时即时解决问题。</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可以多套窜接在交换机上同时工作。</w:t>
            </w:r>
            <w:r>
              <w:rPr>
                <w:rFonts w:hint="eastAsia" w:ascii="宋体" w:hAnsi="宋体"/>
                <w:b w:val="0"/>
                <w:bCs w:val="0"/>
                <w:color w:val="000000"/>
                <w:sz w:val="24"/>
                <w:szCs w:val="24"/>
                <w:highlight w:val="none"/>
              </w:rPr>
            </w:r>
            <w:r/>
          </w:p>
        </w:tc>
      </w:tr>
      <w:tr>
        <w:trPr>
          <w:trHeight w:val="225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28</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9525" cy="889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9525"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524288;o:allowoverlap:true;o:allowincell:true;mso-position-horizontal-relative:text;margin-left:0.0pt;mso-position-horizontal:absolute;mso-position-vertical-relative:text;margin-top:0.0pt;mso-position-vertical:absolute;width:0.8pt;height:0.7pt;mso-wrap-distance-left:9.0pt;mso-wrap-distance-top:0.0pt;mso-wrap-distance-right:9.0pt;mso-wrap-distance-bottom:0.0pt;" stroked="f">
                      <v:path textboxrect="0,0,0,0"/>
                      <v:imagedata r:id="rId82" o:title=""/>
                    </v:shape>
                  </w:pict>
                </mc:Fallback>
              </mc:AlternateContent>
            </w: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9525" cy="952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24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3" o:title=""/>
                    </v:shape>
                  </w:pict>
                </mc:Fallback>
              </mc:AlternateContent>
            </w: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9525" cy="9525"/>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2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4" o:title=""/>
                    </v:shape>
                  </w:pict>
                </mc:Fallback>
              </mc:AlternateContent>
            </w: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9525" cy="10795"/>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24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5" o:title=""/>
                    </v:shape>
                  </w:pict>
                </mc:Fallback>
              </mc:AlternateContent>
            </w: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9525" cy="10795"/>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24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6" o:title=""/>
                    </v:shape>
                  </w:pict>
                </mc:Fallback>
              </mc:AlternateContent>
            </w: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9525" cy="889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9525"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245;o:allowoverlap:true;o:allowincell:true;mso-position-horizontal-relative:text;margin-left:0.0pt;mso-position-horizontal:absolute;mso-position-vertical-relative:text;margin-top:0.0pt;mso-position-vertical:absolute;width:0.8pt;height:0.7pt;mso-wrap-distance-left:9.0pt;mso-wrap-distance-top:0.0pt;mso-wrap-distance-right:9.0pt;mso-wrap-distance-bottom:0.0pt;" stroked="f">
                      <v:path textboxrect="0,0,0,0"/>
                      <v:imagedata r:id="rId87" o:title=""/>
                    </v:shape>
                  </w:pict>
                </mc:Fallback>
              </mc:AlternateContent>
            </w:r>
            <w:r>
              <w:rPr>
                <w:rFonts w:hint="eastAsia" w:ascii="宋体" w:hAnsi="宋体"/>
                <w:b w:val="0"/>
                <w:bCs w:val="0"/>
                <w:color w:val="000000"/>
                <w:sz w:val="24"/>
                <w:szCs w:val="24"/>
                <w:highlight w:val="none"/>
              </w:rPr>
              <w:t xml:space="preserve">天线分配器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同品牌配套天线分配器，满足系统集成。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天线分配器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频响范围: 470-870 MHz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RF 输出水平(增益):-0.5 to 3dB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天线信号1进5出，可给连多台分配器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第三个指定阻率:24 dBm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阻抗:50 Ohm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输入电压:220-260V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4个输出电压插座:12-18V, 4 s</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天线调压电压:12-18V</w:t>
            </w:r>
            <w:r>
              <w:rPr>
                <w:rFonts w:hint="eastAsia" w:ascii="宋体" w:hAnsi="宋体"/>
                <w:b w:val="0"/>
                <w:bCs w:val="0"/>
                <w:color w:val="000000"/>
                <w:sz w:val="24"/>
                <w:szCs w:val="24"/>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29</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定向天线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定向天线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频响范围: 470-870 MHz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增益：10dBi</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水平折射宽度 110°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垂直宽度: 30°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混合功率: 50W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BNC接口 </w:t>
            </w:r>
            <w:r>
              <w:rPr>
                <w:rFonts w:hint="eastAsia" w:ascii="宋体" w:hAnsi="宋体"/>
                <w:b w:val="0"/>
                <w:bCs w:val="0"/>
                <w:color w:val="000000"/>
                <w:sz w:val="24"/>
                <w:szCs w:val="24"/>
                <w:highlight w:val="none"/>
              </w:rPr>
            </w:r>
            <w:r/>
          </w:p>
        </w:tc>
      </w:tr>
      <w:tr>
        <w:trPr>
          <w:trHeight w:val="18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30</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8路电源时序器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创新功能MCU芯片精准控制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可设定峰值电流/功率，自由设定电源功率</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电压显示精准数值，过庄/低压报警自动关机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峰值电流超负载保护，确保贵重音响设备安全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面板通道独立关闭</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采用30A优质继电器，总输出电流最大50A（可设）</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8路万用插座继电器受控与2路万用插座直通</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时间顺序：每路之间间隔1秒工作</w:t>
            </w:r>
            <w:r>
              <w:rPr>
                <w:rFonts w:hint="eastAsia" w:ascii="宋体" w:hAnsi="宋体"/>
                <w:b w:val="0"/>
                <w:b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专业声卡</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2输入/2输出的USB音频接口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2个低噪音话筒前置功放XLR组合插孔</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吉他和其他高阻抗源的Hi-Z输入</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MIDI输入/输出端子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广泛屏蔽的低噪音设计</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牢固小巧的金属硬件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醒目易读的指示灯显示重要讯息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低延迟的类兼容驱动程序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支架可在各类场所进行安静操作</w:t>
            </w:r>
            <w:r>
              <w:rPr>
                <w:rFonts w:hint="eastAsia" w:ascii="宋体" w:hAnsi="宋体"/>
                <w:b w:val="0"/>
                <w:bCs w:val="0"/>
                <w:color w:val="000000"/>
                <w:sz w:val="24"/>
                <w:szCs w:val="24"/>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监听音箱</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音箱类型：2路双功放有源工作室监听音箱</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频率响应：-10dB 54Hz-30kHz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部件：LF 5" 锥面；HF 1" 半球形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分频：2kHz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输出功率：总共70W，LF 45W，HF 25W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输入灵敏度/阻抗：-10dBu/10k ohms</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输入接口（并联）：XLR3-31型（平衡）PHONE（平衡）</w:t>
            </w:r>
            <w:r>
              <w:rPr>
                <w:rFonts w:hint="eastAsia" w:ascii="宋体" w:hAnsi="宋体"/>
                <w:b w:val="0"/>
                <w:bCs w:val="0"/>
                <w:color w:val="000000"/>
                <w:sz w:val="24"/>
                <w:szCs w:val="24"/>
                <w:highlight w:val="none"/>
              </w:rPr>
            </w:r>
            <w:r/>
          </w:p>
        </w:tc>
      </w:tr>
      <w:tr>
        <w:trPr>
          <w:trHeight w:val="27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33</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一拖八无线内通系统</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1.通话主机采用1U标准机架式设计，配备扬声器、音量控制旋钮、4Pin XLR头戴耳机口、3Pin XLR麦克接口、DB 25Pin Tally输入接口、ANT收发天线接口、AUX音频输入输出和220V电源接口，主机可上机架安装。</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2.通话主机配备1个水晶自锁按键，可根据需要开关主机扬声器，支持12路红绿双色tally提示灯显示。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3.主机配备9个LED水晶复位键，包括1-9通道单向/双向通话控制按键和1个主机与分站加密配置按键。</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4.通话分机采用铝合金阳极氧化工艺外壳设计，提供ant收发接口、旋钮音量开关、6pin m-XLR耳机口、设置操作组合按键、TALLY外接口和mini USB充电口，供电采用5000mAh大容量锂电池，满足10小时以上持续工作使用。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5.分机提供LED显示屏，提供四个操作按键，LED屏幕显示具有电量显示、分机配置，通话连接指示灯、发射、接受状态指示等，用户可根据需要进行可视化操作设置，已达到现场使用需求。</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6.通话主机采用1U高度19寸标准,面板采用铝合金CNC工业制造，重量仅2.28kg,轻便适用，美观大气。</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7.通话系统支持洋铭、索尼、松下、ross、BMD等切换台及天影视通、大洋、上洋、索贝等一体机实现Tally提示。</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34</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全无线Tally灯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Tally灯</w:t>
            </w:r>
            <w:r>
              <w:rPr>
                <w:rFonts w:hint="eastAsia" w:ascii="宋体" w:hAnsi="宋体"/>
                <w:b w:val="0"/>
                <w:bCs w:val="0"/>
                <w:color w:val="000000"/>
                <w:sz w:val="24"/>
                <w:szCs w:val="24"/>
                <w:highlight w:val="none"/>
              </w:rPr>
            </w:r>
            <w:r/>
          </w:p>
        </w:tc>
      </w:tr>
      <w:tr>
        <w:trPr>
          <w:trHeight w:val="16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35</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LED显示屏</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显示屏宽度16.64米，高度5.92米，显示分辨率≥6656点×2368点；</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★1.像素间距：≤2.5mm；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2.像素密度：≥160000点/㎡；</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3.像素构成：表贴三合一；</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4.白平衡亮度：≥835nits可调；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5.对比度：≥10000:1；</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6.安装维护方式：同时支持完全前、后安装，支持前拆前维护和后拆后维护；</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6.亮度鉴别等级C级，BJ≥20；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7.可视角度：水平视角≥175°，垂直视角≥175°；</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8.刷新频率：≥3840Hz，换帧频率：50Hz&amp;60Hz；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9.像素失控率：≤1/2000000 出厂为0（无死点）；</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10.峰值功率：≤400W/㎡；平均功率：≤125W/㎡；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11.使用寿命：≥100000小时；MTBF平均失效间隔时间：≥100000小时；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12.屏体散热：采用无风扇散热结构；</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13.LED显示屏带有智能(黑屏)节电功能，开启智能节电功能比没有开启节能55%以上；</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14.显示屏休眠模式的功耗：平米最大功耗≤45W/㎡；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15.模组供电：屏体发光模组采用4.5VDC的安全电压供电；</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16.稳定性试验：设备在正常工作条件下，连续工作168h，未出现电性、机械及操作系统的故障；</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17.具有一键除湿功能，对显示屏灯珠进行预热，蒸发LED灯珠内部湿气，支持自动检测长时间没有使用屏体，将启动除湿模式30min，使屏体从10%到100%亮度逐步显示，提升产品稳定性；</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18.静态图像清晰度、运动图像清晰度、图像均匀性、拼装精度根据SJ/T 11590-2016 LED显示屏图像质量主观评价方法符合评价优(5分)；</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19.具有视频降噪、增强、运动补偿、色坐标变换处理、钝化处理、无几何失真和非线性失真现象、消鬼影拖尾，无“毛毛虫”“鬼影”跟随现象；</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20.具有防潮，防尘，防腐蚀，防电磁干扰、防静电等功能，具有过流、短路、过压、欠压保护等功能；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21.具有双备份电源/双信号冗余备份技术，支持双电网供电，当其中一路交流电网跳闸后，另外一路电网继续供电，实现不间断供电，支持热备份，当其中一块电源失效后，另外一块电源继续工作，从而实现不间断供电；</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22.LED显示屏可实时监控显示屏工作状态，具有故障自动告警功能，发生故障立即发消息到指定邮箱，及时处理；具有多点测温系统，均衡散热，防止局部温度过高造成色彩漂移，并提高显示屏寿命；具有电源温度控制系统，提供电源实时温度监控，超出设定温度自动报警，防止过温失效；具备智能的白平衡补偿和修正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▲23.为了保证屏幕显示的图像清晰、颜色准确以及亮度均匀，提高用户的观看效果，需具有显示屏画面自动校正系统功能，为避免软件知识产权使用纠纷，需提供计算机软件著作权登记证书扫描件；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▲24.为了使显示的图像清晰、细腻，所投产品具有图像清晰度优化处理功能，需提供第三方权威机构出具的证明材料扫描件；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w:t>
            </w: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t xml:space="preserve">.显示屏具有LED驱动器，包括其的LED显示屏及LED驱动芯片的驱动方法，具有LED显示屏拼接误差的检测方法和装置；显示屏采用一体化驱动主板设计，有自带驱动控制的LED显示单元及其生产方法的技术证书，提供国家权威部门出具的技术证明文件扫描件；</w:t>
            </w:r>
            <w:r>
              <w:rPr>
                <w:rFonts w:hint="eastAsia" w:ascii="宋体" w:hAnsi="宋体"/>
                <w:b w:val="0"/>
                <w:bCs w:val="0"/>
                <w:color w:val="000000"/>
                <w:sz w:val="24"/>
                <w:szCs w:val="24"/>
                <w:highlight w:val="none"/>
              </w:rPr>
            </w:r>
            <w:r/>
          </w:p>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w:t>
            </w: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t xml:space="preserve">.显示屏采用一体化驱动主板设计，有自带驱动控制的LED显示单元及其生产方法的技术证书，提供国家权威部门出具的技术证明文件扫描件</w:t>
            </w:r>
            <w:r>
              <w:rPr>
                <w:rFonts w:hint="eastAsia" w:ascii="宋体" w:hAnsi="宋体"/>
                <w:b w:val="0"/>
                <w:bCs w:val="0"/>
                <w:color w:val="000000"/>
                <w:sz w:val="24"/>
                <w:szCs w:val="24"/>
                <w:highlight w:val="none"/>
              </w:rPr>
            </w:r>
            <w:r/>
          </w:p>
        </w:tc>
      </w:tr>
      <w:tr>
        <w:trPr>
          <w:trHeight w:val="125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36</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同步控制系统</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1、单卡最大带载分辨率 512×512@60Hz；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2、无需转接板，单卡自带HUB75接口，更加稳定；</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3、支持亮度校正，对每个灯点的亮度进行校正，有效消除亮度差异，使整屏的亮度达到高度一致；</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4、快速亮暗线调节在调试软件上进行快速亮暗线调节，快速解决因箱体及模组拼接造成的显示屏亮暗线，调节过程中即时生效，简单易用；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5、配合支持3D功能的独立主控，在软件或独立主控的操作面板上开启3D功能，并设置3D参数，使画面显示3D效果；</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Mapping功能开启，每个箱体上会显示数字，清楚告诉您当前箱体是哪个网口下的哪张接收卡，直观的看到显示屏连接状况。从此让箱体排查变得轻松简单，快速定位问题箱体，再也无需再爬上爬下，根据走线更改连屏文件即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7、可以监测自身的温度和电压，无需其他外设，在软件上可以查看接收卡的温度和电压；</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8、支持画面90度倍数旋转；</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9、支持5pin液晶模块，用于显示接收卡的温度、电压、单次运行时间和总运行时间；</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10、支持回读接收卡的固件程序并保存到本地；</w:t>
            </w:r>
            <w:r>
              <w:rPr>
                <w:rFonts w:hint="eastAsia" w:ascii="宋体" w:hAnsi="宋体"/>
                <w:b w:val="0"/>
                <w:bCs w:val="0"/>
                <w:color w:val="000000"/>
                <w:sz w:val="24"/>
                <w:szCs w:val="24"/>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37</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4K视频控制器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1、采用标准 19 英寸金属结构机箱，机箱为后挂耳结构，上盖无螺钉安装:外壳防护等级符合GB/T 4208-2017中IP20的要求;采用纯硬件 FPGA 架构设计、运行稳定、可靠、高效。</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2、输入接口至少包含2路 HDMI2.0,1路 DP1.2+HDMI 2.0二选一,4路 HDMI1.3,1路USB3.0,支持选配1路 3G-SDI(IN+LOOP)，最大支持3路4096*2160@60HZ信号同时输入</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3、视频输出支持可达32路千兆网口输出，4路10G-OPT光口，最大带载可达2080万像素，最宽支持16384,最高8192。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4、音频输入支持视频口伴随音频输入及独立输入两种模式，音频输出支持网口扩展输出及3.5mm独立音频口输出；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5、支持输入源备份功能，主源丢失下，无需人为操作可自动切换至备源显示，切换过程无黑屏；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6、可支持144HZ高帧率输入输出，输出支持插帧、抽帧、倍频（2倍频、3倍频、4倍频）功能，可将30HZ信号，倍频至120HZ输出；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7、图层能力：支持不少于12个2K图层或6个4K*1K图层或3个4K*2K图层，全部图层大小和位置可单独调节。4K接口输入2K信号，按2K图层计算图层资源；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支持U盘即插即播功能，最大支持4K级（3840*2160@60fps）图片和视频的流畅播放，播放列表计切换效果支持自定义编排，最多支持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10、设备标配全彩液晶，搭配实体按键，方便对设备整体状态的监控及设备功能的控制:设备功能按键及丝印信息采用全中文提示；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11、无需第三方硬件，设备自身支持多种大屏 OSD 功能:图片、滚动字幕(横向、竖向)、天气预报、时钟等，支持字体间距、颜色、位置、不透明度、滚动速度等参数设置，支持任意比例缩放；</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38</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配电系统</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定制大屏专用配电系统，三相五线制，额定负载不小于70kW，内含接触器、控制开关等，支持分区逐级上电，避免浪涌对电路的冲击。支持手动/自动控制。</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39</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工程结构</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大屏支架采用冷镀锌矩形方钢，整体冷镀锌防腐，镀层均匀，无起皮；主龙骨规格采用30×40mm、20×40mm冷镀锌方钢；横竖杆件采用满焊/螺栓连接，焊接部位须做除锈防腐处理。钢架整体平面度≤3mm，外包黑色哑光不锈钢装饰板，钢架表面无毛刺及锐角等可划伤的可能性存在。</w:t>
            </w:r>
            <w:r>
              <w:rPr>
                <w:rFonts w:hint="eastAsia" w:ascii="宋体" w:hAnsi="宋体"/>
                <w:b w:val="0"/>
                <w:bCs w:val="0"/>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40</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大屏系统布线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需满足现场实际使用需求，主电缆长度不少于5米，规格不低于YJV4*35mm²+1*16mm²，分路电缆RVV3*2.5mm²*21组，大屏信号线：超5类网线*34根，HDMI传输线2根，控制线RVV3*1.0mm²*1组，多媒体地插等。</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控制电脑</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需采用国产处理器</w:t>
            </w: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运行内存不少于</w:t>
            </w:r>
            <w:r>
              <w:rPr>
                <w:rFonts w:hint="eastAsia" w:ascii="宋体" w:hAnsi="宋体"/>
                <w:b w:val="0"/>
                <w:bCs w:val="0"/>
                <w:color w:val="000000"/>
                <w:sz w:val="24"/>
                <w:szCs w:val="24"/>
                <w:highlight w:val="none"/>
              </w:rPr>
              <w:t xml:space="preserve">32GB/</w:t>
            </w:r>
            <w:r>
              <w:rPr>
                <w:rFonts w:hint="eastAsia" w:ascii="宋体" w:hAnsi="宋体"/>
                <w:b w:val="0"/>
                <w:bCs w:val="0"/>
                <w:color w:val="000000"/>
                <w:sz w:val="24"/>
                <w:szCs w:val="24"/>
                <w:highlight w:val="none"/>
                <w:lang w:val="en-US" w:eastAsia="zh-CN"/>
              </w:rPr>
              <w:t xml:space="preserve">固态硬盘容量不少于1TB，机械硬盘容量不少于2TB</w:t>
            </w: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采用独立显卡，显存不少于6G</w:t>
            </w:r>
            <w:r>
              <w:rPr>
                <w:rFonts w:hint="eastAsia" w:ascii="宋体" w:hAnsi="宋体"/>
                <w:b w:val="0"/>
                <w:bCs w:val="0"/>
                <w:color w:val="000000"/>
                <w:sz w:val="24"/>
                <w:szCs w:val="24"/>
                <w:highlight w:val="none"/>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播放软件</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图文、视频编辑播放软件</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43</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辅助显示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75英寸4K高清120HZ刷新率4G</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44</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辅助显示壁挂架</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可伸缩壁挂架</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45</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返看液晶显示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75英寸4K高清120HZ刷新率4G</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46</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返看液晶移动支架</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可移动支架</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47</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远程视频会议终端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预留接口</w:t>
            </w:r>
            <w:r>
              <w:rPr>
                <w:rFonts w:hint="eastAsia" w:ascii="宋体" w:hAnsi="宋体"/>
                <w:b w:val="0"/>
                <w:bCs w:val="0"/>
                <w:color w:val="000000"/>
                <w:sz w:val="24"/>
                <w:szCs w:val="24"/>
                <w:highlight w:val="none"/>
              </w:rPr>
            </w:r>
            <w:r/>
          </w:p>
        </w:tc>
      </w:tr>
      <w:tr>
        <w:trPr>
          <w:trHeight w:val="40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48</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可视化多功能综合管理服务器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★1、主机为纯嵌入式架构，具有音频处理器、视频矩阵、录播编解码、视频会议终端、多方互动MCU、可编程中控功能。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2、采用插卡式机箱，4U标准机箱高度；可插入视频接口卡，音频接口卡，中控接口卡；</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3、采用的插卡式机箱,4U标准机箱高度。可插入视频接口卡、音频接口卡、中控接口卡；</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音频板卡槽位1个，视频输入板卡槽位4个，视频输出板卡槽位4个，中控板卡槽位1个。</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输入/输出板卡每卡4路，信号类型支持DVI、HDMI、3G-SDI、HDBaseT、光纤，兼容VGA/CVBS/YPbPr（转接），支持热插拔；音频板卡：12路MIC输入（带48V幻象供电）、6路LINE线路输入、4路远端解码音频输入、8路平衡音频输出，中控板卡:1路LAN网口、2路USB接口、8路红外发送、8路I0输入和输出、8路RS232、1路RS485、1路RS422。</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4、支持视频切换矩阵功能，可以拖动切换视频源，切换过程不黑屏，视频无抖动。</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5、内置音频处理模块，支持多种模式的自动混音功能，无需外接混音器；支持回声消除AEC，反馈抑制AFC，自动增益控制AGC,噪声消除ANS、麦克风多级变声保护功能，输出通道具备最高31段参量均衡调节、 延时器，高低通滤波器，限幅器，反相处理功能。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▲6、支持手动录制、预约录制、定时录制、开机自动录制。支持录制文件循环覆盖存储、分段录制，支持选择某个录制文件下载、删除、批量下载。（投标时提供有 CMA 或 CNAS认证标识第三方检测机构出具的检测报告中的测试试验项目、且判断结论为符合/合格的检测报告，并加盖投标人公章）</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7、录制文件既可存储在本地硬盘，也可以上传到云资源管理平台或第三方FTP服务器；支持FTP手动上传、自动上传、定时上传等录制模式。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8、主机支持网络回放+下载、本地回放+U盘下载，支持插入外接USB移动存储设备拷贝下载录制文件，并可选择多路外接移动设备。支持扩展双USB外置光驱同步刻录。</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9、支持向第三方媒体资源平台（red5）直播推流，实现互联网直播，支持互联网二维码一键直播应用。</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10、支持H.323、SIP协议。支持主机与主机、主机与第三方视频会议终端对接、主机与移动通讯终端对接，实现音视频互动。</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11、可作为视频会议终端进行GK注册，允许通过E164号、别名、会议号及纯IP地址呼叫；支持注册SIP，允许通过别名、会议号及纯IP地址呼叫。</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▲12、主机自带四点MCU（多点控制单元），支持四方互动组会，支持联系人通讯录，一键呼叫，挂断，群呼管理。（投标时提供有 CMA 或 CNAS认证标识第三方检测机构出具的检测报告中的测试试验项目、且判断结论为符合/合格的检测报告，并加盖投标人公章）</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13、支持H.264，H.265编码，分辨率支持4K@30Hz，码率支持16Mbps。编码分辨率、码率、帧率可调。支持10路音视频编码，每路支持双流；4路音视频解码。</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▲14、音频支持AAC、G.711、G.722、G.729、OPUS、MP3协议（投标时提供有 CMA 或 CNAS认证标识第三方检测机构出具的检测报告中的测试试验项目、且判断结论为符合/合格的检测报告，并加盖投标人公章）</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15、主机自带中控接口。支持红外学习，支持串口和网络数据传输。支持自定义中控按钮编程，如灯光、大屏、环境控制等，支持添加摄像头、时序电源、红外遥控等外设，支持导入可编程中控界面。</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录播控制支持开始录制、暂停、停止、录制通道选择、直播推送，具有单流（电影模式加资源模式）和多流（资源模式）录制功能，支持电影模式和资源模式可同时工作。资源模式录制的每一路视频文件完整封装。</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17、2路合成画面，支持本地画面、远程互动画面合成布局。</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18、25种合成模式支持：2/4/6/8/9等分割模式、1+1，1+3，1+5，1+7组合模式、画中画模式。合成分辨率支持4K，且可设置。</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19、支持叠加字幕（支持字体、字号、颜色、位置、背景透明度调节）、台标（支持透明度调节、自定义位置）、图像马赛克处理（支持透明度调节、自定义位置）、插入片头片尾功能。</w:t>
            </w:r>
            <w:r>
              <w:rPr>
                <w:rFonts w:hint="eastAsia" w:ascii="宋体" w:hAnsi="宋体"/>
                <w:b w:val="0"/>
                <w:bCs w:val="0"/>
                <w:color w:val="000000"/>
                <w:sz w:val="24"/>
                <w:szCs w:val="24"/>
                <w:highlight w:val="none"/>
              </w:rPr>
            </w:r>
            <w:r/>
          </w:p>
        </w:tc>
      </w:tr>
      <w:tr>
        <w:trPr>
          <w:trHeight w:val="441"/>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49</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可视化操作管理软件</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1.具备所见即所得的可视化交互式控制和显示功能，控制终端可实时预览回显所有视频信号（包括输入视频信号源、输出视频信号源及主流IPC视频信号源）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2.支持调节视频信号源的亮度、色彩、对比度、色调、饱和度等参数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3.软件具备支持信号源图像去黑边、裁剪、局部放大、偏移校正功能；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4.支持定制化开发中央控制界面，支持对灯光、窗帘、投影机、投影幕、摄像头、会议设备、音频系统等周边环境设备进行实时控制管理及双向反馈，无需外加设备即可实现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5.软件支持控制电脑端PPT播放、翻页，控制视频播放、暂停、停止等功能；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6.实时监测环境的温度、照明、空气质量等进行智能调节，并实时上传数据，为环境改造提供相应的数据依据</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7.可自定义编辑设置内容、字体、大小、颜色、背景透明度等参数；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8.一个界面可实现设备控制管理、视频信号切换、画面拼接、音视频录播等功能；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9.软件具备实时预览本地化信号、远程信号、IPC信号；</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10.软件可根据用户需求、习惯自由选择预案内容进行保存，保存的预案还可以在调用前进行内容预览，确保准确调用；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11.屏幕录制画面可自由选择，单屏、双屏、三分屏、四份屏等模式选择；</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12..拼接功能支持组合画面模式选择，可设置一分屏，2分屏、4分屏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13.软件拼接区域、矩阵区域、录制区域、环境控制区域可调节居中位置、并支持界面放大、缩小；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14.软件支持重点部分进行马赛克及变声处理；</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15.软件平台采用统一加密认证，有效简化用户操作，也保证了同一用户在不同的应用系统中身份的一致性</w:t>
            </w:r>
            <w:r>
              <w:rPr>
                <w:rFonts w:hint="eastAsia" w:ascii="宋体" w:hAnsi="宋体"/>
                <w:b w:val="0"/>
                <w:bCs w:val="0"/>
                <w:color w:val="000000"/>
                <w:sz w:val="24"/>
                <w:szCs w:val="24"/>
                <w:highlight w:val="none"/>
              </w:rPr>
            </w:r>
            <w:r/>
          </w:p>
        </w:tc>
      </w:tr>
      <w:tr>
        <w:trPr>
          <w:trHeight w:val="382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50</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多功能综合智慧终端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1.国产自主可控DSP纯嵌入式硬件架构，Linux嵌入式操作系统，支持7*24小时工作；去中心化完全分布式架构，无需配置功能服务器即可构建纯分布式音视频网络;系统内任何单一节点故障不会影响系统使用。</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2.前面板内置显示屏，实时显示IP、版本、时间以及自定义信息。具有电源、网络连接、信号状态和运行状态指示灯，支持多种类型视频接口采集，包括VGA、DVI、HDMI、DP、SDI、YPbPr、USB-UVC等信号输入。</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3.支持分辨率自适应功能，源进源出，不损失信号分辨率，支持不低于4K@60分辨率采集和编码，并且向下兼容其他分辨率。</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▲4.支持码率变码流、定码流、固定QP，可适应多种带宽环境。传输码率范围32kbps～40Mbps。（投标时提供有 CMA 或 CNAS认证标识第三方检测机构出具的检测报告中的测试试验项目、且判断结论为符合/合格的检测报告，并加盖投标人公章）</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5.H.265、H.264(HP/MP/BP)编码协议，≥1路4K@60、1920×1080@60Hz音视频主、子双码流。音频编码格式支持AAC/G.711/opus/G.722.2，采样率8K-48K可调。</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6.支持RTSP等标准流媒体协议，系统可直接解码网络摄像机信号并上屏显示，无需第三方提供转码服务器。支持0NVIF协议直接对IPC进行云台控制。</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▲7.支持同步输出,拼接画面帧同步输出显示，多个显示终端拼接同步精度误差小于0.01ms，动态图像无撕裂不同步现象。（投标时提供有 CMA 或 CNAS认证标识第三方检测机构出具的检测报告中的测试试验项目、且判断结论为符合/合格的检测报告，并加盖投标人公章）</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8.连接多头显卡输出的超大分辨率图像信号时，支持输入节点编组功能，保证源端同步编码。支持解码端统一时钟解码，确保多口显卡输出超高清图像整屏点对点显示的同步性。</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9.支持KVM可视化，在OSD菜单上可对系统内所有信号进行可视化预览，切换，跨屏，漫游，大屏推送与接管、抓取，远程交互协同，支持KVM权限管理。</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10.具备安全KVM键鼠传输接口，采用非USB接口的安全传输协议传输KVM坐席键鼠控制流。杜绝其他数据传输，确保计算机主机不会通过本系统连接互联网或者通过本系统将数据泄露到网络系统；</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▲11.支持多方视频会议功能，最多可 16 方使用登录摄像头即可召开多方会议，可共享任意计算机画面，多达 16 个分屏画面。具备联系人通讯录，支持一键呼叫，挂断，群呼管理，采用SIP、H.323协议。（投标时提供有 CMA 或 CNAS认证标识第三方检测机构出具的检测报告中的测试试验项目、且判断结论为符合/合格的检测报告，并加盖投标人公章）</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12.支持空闲自动锁定KVM坐席；支持快捷键隐藏/显示OSD菜单，支持把本地坐席列表中的任意视频源推送到本地或者远端的拼接大屏任意区域显示。</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13.坐席人员具备可选的用户权限，使用授权的账号密码登陆,实现在不同工位灵活办公指挥，根据各类业务坐席人员的实际需要实时调整，实现工位职能互换、工位权限互换、组别灵活划分等应用场景。</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14.坐席节点支持远程USB数据的拷贝、Ukey、CA认证等外设的接入，设置U盘锁定后，接入的 U 盘将锁定在固定信号源上，进行信号源切换操作后该信号源仍可使用锁定U盘。</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15.节点支持USB摄像机接入，结合语音透传功能可以实现本地视频通话、远程视频会议等功能。</w:t>
            </w:r>
            <w:r>
              <w:rPr>
                <w:rFonts w:hint="eastAsia" w:ascii="宋体" w:hAnsi="宋体"/>
                <w:b w:val="0"/>
                <w:b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多功能综合管理软件</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1、用于分布式KVM坐席拼控系统的管理控制，支持B/S、C/S架构。</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2、集中控制：集控界面集预案、大屏拼控、视频监视，云台控制，可编程中控，音频调节，直播/录制、暂停等控制，系统状态、系统配置等功能于一体。</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3、信号源管理：支持各种信源分组管理，能够对不同的输入信号源的类型分类、命名以便快速查找到目标信号源。</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4、拼屏管理：支持自由操控，可实现所有视频信号源的视窗管理、拼接、任意缩放、整屏和画中画、漫游等功能，可实现对视窗参数的调整（叠加关系、位置、大小、比例等）。</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5、拼屏分组：支持拼屏分组管理，可添加多组拼接屏统一管理；支持拼接屏分区域管理，只有获得授权的用户才可以在设定区域内操作开窗。</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6、可视化预览：支持对任意信号源视窗进行实时回显和预览。</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7、预布局推送：支持画面要素预布局，可在操作端以可视化形式对画面布局预先排布，此过程不影响当前大屏正常显示；完成预布局后可一键发送该布局同步到大屏显示，提高准确性，避免误操作。</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客户端KVM穿透：客户端支持穿透PC信号源桌面进行远程KVM操作。通过客户端对大屏上显示的PPT文件进行播放、上下翻页以及结束播放等操作;也可以替代鼠标键盘进行视频的播放、暂停、快进、停止等一系列操作。</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9、预存布局：平台内置多种画面布局模式，可实现1/2/4/9/16等分屏模式，不低于23种布局模式预存，可一键调用。并具有一键清屏，布局锁定功能。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10、预案管理：软件可根据用户需求、习惯自由选择预案内容进行保存。可将显示内容组合和布局保存为场景预案，快速调取、轮巡播放。保存场景数量不少于6400 个，支持一键调取保存的场景预案;场景调取响应速度&lt;l5ms;</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11、画面设置：支持输出画面设置，可通过客户端对输出画面亮度、对比度、色调、饱和度进行自定义设置。</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12、底图功能：支持上传预存超大分辨率底图显示功能，实现全屏超高清点对点显示模式。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13、字幕功能：具有拼屏字幕叠加显示功能，支持用户调整字幕的位置、动作、滚动速度、 颜色、字体、字号等;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14、音频调控：可实现对音频处理器，功放，录制，远程终端等通道音频参数的调节，支持视频内嵌音频切换路由管理。支持调节通道音量大小、静音调节，实时电平音柱显示，一键场景调取。</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15、录播控制：支持录播功能，具有在线直播，组播，点播等功能，可将文件存储至分布式资源服务器中。通过客户端软件对传输的视频图像进行存储、转发和回放，具备开始、暂停、停止录像功能。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16、融合通讯：支持视频监控、视频会议、SIP电话、智能终端（手机/单兵）等交互融合通讯方式；具备通讯录、拨号呼叫、一键群呼与挂断功能。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17、定制化界面：管理软件支持编程式自定义编辑，具有专门界面设计器，根据需求任意编辑界面风格、界面布局、按键、LOGO添加、具备多个控件可自定义设置，可满足用户个性化需求。</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18、可编程中控：可编程中控：可编程页面支持图片、文字、按键等编程应用，实现中控的集中控制管理；可以对周围环境灯光、窗帘、电源、云台、空调等设备的集中管理。</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19、摄像机云台：可通过按钮实现云台8个方向的转动、调整镜头变倍、调节光圈以及调用预置位；</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20、节点状态监控：可显示节点设备运行状态以及IP地址等基本信息；可通过客户端软件查询输入/输出设备的电源在线、电压、输入/输出信号状态。</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21、Web管理：支持Web界面管理，提供快速配置设备端口，支持web端口修改密码、修改IP地址、网络抓包、丢包统计、串口收码、清除用户设置、恢复出厂设置、导出日志，在线升级；</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日志管理：支持日志管理，可查看系统操作记录、报警日志、故障日志、变更日志等，支持统计报表功能，可便捷地进行所需报表筛选查看；具备故障告警，一旦发生预警会立刻推送警示信息，具备环境监测功能实时对现有设备监管。</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电源控制器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1、T-BUS，串口，网络控制；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2、最多可以同时使用8路；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3、T-BUS总线控制，可以通过ID拨码设定ID。</w:t>
            </w:r>
            <w:r>
              <w:rPr>
                <w:rFonts w:hint="eastAsia" w:ascii="宋体" w:hAnsi="宋体"/>
                <w:b w:val="0"/>
                <w:bCs w:val="0"/>
                <w:color w:val="000000"/>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53</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控制触控屏</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硬盘容量：64G</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屏幕尺寸：10.2英寸</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屏幕分辨率：2048*1536</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支持蓝牙4.0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双摄像头：前置120万，后置500万像素，支持录制1080P视频</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续航时长：10小时左右</w:t>
            </w:r>
            <w:r>
              <w:rPr>
                <w:rFonts w:hint="eastAsia" w:ascii="宋体" w:hAnsi="宋体"/>
                <w:b w:val="0"/>
                <w:bCs w:val="0"/>
                <w:color w:val="000000"/>
                <w:sz w:val="24"/>
                <w:szCs w:val="24"/>
                <w:highlight w:val="none"/>
              </w:rPr>
            </w:r>
            <w:r/>
          </w:p>
        </w:tc>
      </w:tr>
      <w:tr>
        <w:trPr>
          <w:trHeight w:val="78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54</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千兆网络交换机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主要参数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产品类型 千兆以太网交换机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传输速率 10/100/1000Mbps</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交换方式 存储-转发</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交换容量≥256Gbps</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包转发率 ≥92Mpps</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MAC地址表 8K</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端口参数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端口结构 非模块化</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端口数量 ≥28个</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端口描述 24个10/100/1000Base-T以太网端口，4个100/1000 Base-X SFP光口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控制端口 1个Console口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传输模式 全双工/半双工自适应</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55</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无线路由器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千兆路由器无线速率3000M</w:t>
            </w:r>
            <w:r>
              <w:rPr>
                <w:rFonts w:hint="eastAsia" w:ascii="宋体" w:hAnsi="宋体"/>
                <w:b w:val="0"/>
                <w:bCs w:val="0"/>
                <w:color w:val="000000"/>
                <w:sz w:val="24"/>
                <w:szCs w:val="24"/>
                <w:highlight w:val="none"/>
              </w:rPr>
            </w:r>
            <w:r/>
          </w:p>
        </w:tc>
      </w:tr>
      <w:tr>
        <w:trPr>
          <w:trHeight w:val="225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56</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主高清摄像机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1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摄像机应采用≥1/2.5 英寸背照式图像传感器，有效像素不劣于 851 万；</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t xml:space="preserve">分辨率应支持 3840×2160（4K），最高输出不低于 30fps；</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t xml:space="preserve">、不劣于20倍光学变焦。（投标时提供有 CMA 或 CNAS认证标识第三方检测机构出具的检测报告中的测试试验项目、且判断结论为符合/合格的检测报告，并加盖投标人公章）</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rPr>
              <w:t xml:space="preserve">、具备HDMI2.0高清输出，具备3G-SDI接口，可同时输出HDMI、3G-SDI、USB3.0、LAN四路高清数字信号。（投标时提供有 CMA 或 CNAS认证标识第三方检测机构出具的检测报告中的测试试验项目、且判断结论为符合/合格的检测报告，并加盖投标人公章）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t xml:space="preserve">、支持4KP30fps、4KP25fps、4KP59.94fps、4KP29.97fps、1080P60fps、1080P50fps、1080I60fps、1080P50fps等分辨率。（投标时提供有 CMA 或 CNAS认证标识第三方检测机构出具的检测报告中的测试试验项目、且判断结论为符合/合格的检测报告，并加盖投标人公章）</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t xml:space="preserve">、3G-SDI高清输出：支持，1080P60/50/30/25、720P60/50等多种高清视频制式。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7</w:t>
            </w:r>
            <w:r>
              <w:rPr>
                <w:rFonts w:hint="eastAsia" w:ascii="宋体" w:hAnsi="宋体"/>
                <w:b w:val="0"/>
                <w:bCs w:val="0"/>
                <w:color w:val="000000"/>
                <w:sz w:val="24"/>
                <w:szCs w:val="24"/>
                <w:highlight w:val="none"/>
              </w:rPr>
              <w:t xml:space="preserve">、255个位置预设位：可通过串口对255个位置进行预先设置，包括水平、俯仰、变倍进行预设，即使在摄像机掉电关闭时，预设数据也可以保存下来。</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8</w:t>
            </w:r>
            <w:r>
              <w:rPr>
                <w:rFonts w:hint="eastAsia" w:ascii="宋体" w:hAnsi="宋体"/>
                <w:b w:val="0"/>
                <w:bCs w:val="0"/>
                <w:color w:val="000000"/>
                <w:sz w:val="24"/>
                <w:szCs w:val="24"/>
                <w:highlight w:val="none"/>
              </w:rPr>
              <w:t xml:space="preserve">、采用最新AI人脸自动追踪功能，内置高速处理器以及采用独家先进的图像处理和分析算法，用户可根据使用环境，选择实时跟踪与区域跟踪。</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9</w:t>
            </w:r>
            <w:r>
              <w:rPr>
                <w:rFonts w:hint="eastAsia" w:ascii="宋体" w:hAnsi="宋体"/>
                <w:b w:val="0"/>
                <w:bCs w:val="0"/>
                <w:color w:val="000000"/>
                <w:sz w:val="24"/>
                <w:szCs w:val="24"/>
                <w:highlight w:val="none"/>
              </w:rPr>
              <w:t xml:space="preserve">、多功能遥控器：配备有操作简便的遥控器，除了可进行基本设定，以及对水平、俯仰、变倍等进行控制外，还可以通过遥控器调出菜单设定摄像机的相关参数。</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w:t>
            </w:r>
            <w:r>
              <w:rPr>
                <w:rFonts w:hint="eastAsia" w:ascii="宋体" w:hAnsi="宋体"/>
                <w:b w:val="0"/>
                <w:bCs w:val="0"/>
                <w:color w:val="000000"/>
                <w:sz w:val="24"/>
                <w:szCs w:val="24"/>
                <w:highlight w:val="none"/>
                <w:lang w:val="en-US" w:eastAsia="zh-CN"/>
              </w:rPr>
              <w:t xml:space="preserve">0</w:t>
            </w:r>
            <w:r>
              <w:rPr>
                <w:rFonts w:hint="eastAsia" w:ascii="宋体" w:hAnsi="宋体"/>
                <w:b w:val="0"/>
                <w:bCs w:val="0"/>
                <w:color w:val="000000"/>
                <w:sz w:val="24"/>
                <w:szCs w:val="24"/>
                <w:highlight w:val="none"/>
              </w:rPr>
              <w:t xml:space="preserve">、OSD中英文菜单功能：丰富的OSD菜单，可用遥控器控制中英文OSD菜单。</w:t>
            </w:r>
            <w:r>
              <w:rPr>
                <w:rFonts w:hint="eastAsia" w:ascii="宋体" w:hAnsi="宋体"/>
                <w:b w:val="0"/>
                <w:bCs w:val="0"/>
                <w:color w:val="000000"/>
                <w:sz w:val="24"/>
                <w:szCs w:val="24"/>
                <w:highlight w:val="none"/>
              </w:rPr>
            </w:r>
            <w:r/>
          </w:p>
        </w:tc>
      </w:tr>
      <w:tr>
        <w:trPr>
          <w:trHeight w:val="132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57</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辅高清摄像机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1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摄像机应采用≥1/2.5 英寸背照式图像传感器，有效像素不劣于 851 万；</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t xml:space="preserve">分辨率应支持 3840×2160（4K），最高输出不低于 30fps；</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t xml:space="preserve">、不劣于20倍光学变焦。（投标时提供有 CMA 或 CNAS认证标识第三方检测机构出具的检测报告中的测试试验项目、且判断结论为符合/合格的检测报告，并加盖投标人公章）</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rPr>
              <w:t xml:space="preserve">、具备HDMI2.0高清输出，具备3G-SDI接口，可同时输出HDMI、3G-SDI、USB3.0、LAN四路高清数字信号。（投标时提供有 CMA 或 CNAS认证标识第三方检测机构出具的检测报告中的测试试验项目、且判断结论为符合/合格的检测报告，并加盖投标人公章）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t xml:space="preserve">、支持4KP30fps、4KP25fps、4KP59.94fps、4KP29.97fps、1080P60fps、1080P50fps、1080I60fps、1080P50fps等分辨率。（投标时提供有 CMA 或 CNAS认证标识第三方检测机构出具的检测报告中的测试试验项目、且判断结论为符合/合格的检测报告，并加盖投标人公章）</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t xml:space="preserve">、3G-SDI高清输出：支持，1080P60/50/30/25、720P60/50等多种高清视频制式。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7</w:t>
            </w:r>
            <w:r>
              <w:rPr>
                <w:rFonts w:hint="eastAsia" w:ascii="宋体" w:hAnsi="宋体"/>
                <w:b w:val="0"/>
                <w:bCs w:val="0"/>
                <w:color w:val="000000"/>
                <w:sz w:val="24"/>
                <w:szCs w:val="24"/>
                <w:highlight w:val="none"/>
              </w:rPr>
              <w:t xml:space="preserve">、255个位置预设位：可通过串口对255个位置进行预先设置，包括水平、俯仰、变倍进行预设，即使在摄像机掉电关闭时，预设数据也可以保存下来。</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8</w:t>
            </w:r>
            <w:r>
              <w:rPr>
                <w:rFonts w:hint="eastAsia" w:ascii="宋体" w:hAnsi="宋体"/>
                <w:b w:val="0"/>
                <w:bCs w:val="0"/>
                <w:color w:val="000000"/>
                <w:sz w:val="24"/>
                <w:szCs w:val="24"/>
                <w:highlight w:val="none"/>
              </w:rPr>
              <w:t xml:space="preserve">、采用最新AI人脸自动追踪功能，内置高速处理器以及采用独家先进的图像处理和分析算法，用户可根据使用环境，选择实时跟踪与区域跟踪。</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9</w:t>
            </w:r>
            <w:r>
              <w:rPr>
                <w:rFonts w:hint="eastAsia" w:ascii="宋体" w:hAnsi="宋体"/>
                <w:b w:val="0"/>
                <w:bCs w:val="0"/>
                <w:color w:val="000000"/>
                <w:sz w:val="24"/>
                <w:szCs w:val="24"/>
                <w:highlight w:val="none"/>
              </w:rPr>
              <w:t xml:space="preserve">、多功能遥控器：配备有操作简便的遥控器，除了可进行基本设定，以及对水平、俯仰、变倍等进行控制外，还可以通过遥控器调出菜单设定摄像机的相关参数。</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w:t>
            </w:r>
            <w:r>
              <w:rPr>
                <w:rFonts w:hint="eastAsia" w:ascii="宋体" w:hAnsi="宋体"/>
                <w:b w:val="0"/>
                <w:bCs w:val="0"/>
                <w:color w:val="000000"/>
                <w:sz w:val="24"/>
                <w:szCs w:val="24"/>
                <w:highlight w:val="none"/>
                <w:lang w:val="en-US" w:eastAsia="zh-CN"/>
              </w:rPr>
              <w:t xml:space="preserve">0</w:t>
            </w:r>
            <w:r>
              <w:rPr>
                <w:rFonts w:hint="eastAsia" w:ascii="宋体" w:hAnsi="宋体"/>
                <w:b w:val="0"/>
                <w:bCs w:val="0"/>
                <w:color w:val="000000"/>
                <w:sz w:val="24"/>
                <w:szCs w:val="24"/>
                <w:highlight w:val="none"/>
              </w:rPr>
              <w:t xml:space="preserve">、OSD中英文菜单功能：丰富的OSD菜单，可用遥控器控制中英文OSD菜单。</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58</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电动调焦静音LED聚光灯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1、其中心照度光照度达≥3600Lux/5米；聚光模式，其中心照度光照度达≥900Lux/10米</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2、采用节能的200W LED 光源，在灯光照射下没有炙热感，不会影响环境温度变化</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3、10-60度,投射光斑大小可调</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4、视网膜蓝光危害等级：RG0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5、温度：距离灯光3米照射处，升温小于＜1°</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6、色温：2700k~5600K 色温可调</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7、操作方式：3种操作方式（DMX模式、用户程序模式、内置程序模式）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▲8、灯具外壳防火阻燃性：垂直燃烧测试标准V-1或以下阻燃等级要求（投标时提供有 CMA 或 CNAS认证标识第三方检测机构出具的检测报告中的测试试验项目、且判断结论为合格的检测报告，并加盖投标人公章）</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▲9、辐射骚扰：30MHz至1GHz频率范围内的辐射骚扰值小于40 dBμV（投标时提供有 CMA 或 CNAS认证标识第三方检测机构出具的检测报告中的测试试验项目、且判断结论为合格的检测报告，并加盖投标人公章）</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10、静音：灯具无风扇，全静音，全铝机箱散热</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59</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LED摇头切割灯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1、光源功率：≥500W LED光源，光源寿命：≥25000小时，显色指数：Ra≥85。</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2、变焦角度：≤6°－≥50°，电子变焦。</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3、噪音：在距离灯具出风口1m距离进行测量，灯具在全亮运行状态噪音值≤50dB（A）。</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4、控制协议：灯具控制支持DMX512控制、RDM、自走、主从等控制，控制通道≥26通道。</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5、显示屏：LCD彩色液晶触摸屏，屏幕语言支持中英文语言切换，支持查看灯具累积使用时间和灯具功能异常错误报警提示。</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6、颜色盘：≥1个颜色盘，≥8种颜色+白光。</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7、效果配置：≥1个独立CMY混色盘，≥1个独立CTO色温盘，≥1个独立雾化盘，支持频闪功能。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8、切割系统：≥1套四片式全程图形切割系统，切割图形可实现±90°旋转。</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9、运行系统：水平运行系统不劣于540°、垂直运行系统不劣于270°，带微调功能和自动纠错回位功能。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散热系统：灯具散热系统须具有风扇转速智能识别调速控制功能，①当检测到灯具处于100%功率输出状态，智能加大风机转速输出，调速散热；②当检测到灯具处于50%功率输出状态，智能降速，减少噪音污染；③当检测到灯具处于灭泡待机状态，散热风机自动停转，减少功率损耗。</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11、外壳材质阻燃等级：灯具塑料外壳防火阻燃等级≤V-0等级。</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12、产品质量：所投产品应满足国家现行灯具相关质量标准要求。</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60</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200W 中程面光灯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1、光源功率：≥1颗200W LED灯珠，光源寿命：≥25000小时，光源色温：3200K-5600K。</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2、显色指数：Ra≥90。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3、光源视网膜蓝光危害等级：≤RG0。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4、中心照度：5米投射距离，中心照度≥500Lux。</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5、频闪：频闪波动深度FPF限值≤3.2% (f=100Hz)或波动频率f＞3125Hz，波动深度无限制。</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6、透镜角度：≥60°，可搭配4片遮光菲，调整光斑。</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7、控制系统：支持DMX512、RDM、自走、主从等控制；≥2通道模式。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8、调光：调光精度0-100%，≥16Bit调光曲线。</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9、运行噪音：亮泡状态噪声≤35dB（A），灭泡状态噪音≤25dB（A），在距离灯具出风口1m距离进行测量。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散热系统：灯具散热系统须具有风扇转速智能识别调速控制功能，①当检测到灯具处于100%功率输出状态，智能加大风机转速输出，调速散热；②当检测到灯具处于50%功率输出状态，智能降速，减少噪音污染；③当检测到灯具处于灭泡待机状态，散热风机自动停转，减少功率损耗。</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11、系统保护：灯具电气系统须具有过热、过流、过压、低温热启动、过载保护。</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12、供电要求：国标三芯带地线电源线供电，电源线外露长度≥1.4米，支持手拉手输入/输出并联供电。</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13、产品质量：所投产品应满足国家现行灯具相关质量标准要求。</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LED平板柔光灯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1、功率：不小于250W</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2、显色指数：Ra≥92</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3、静音：全铝机箱散热，无风扇，全静音</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4、出光角度：出光角度：120°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5、中心照度：其中心照度光照度达≥1500Lux/3米；≥300Lux/8米；</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6、调光：DMX512电动调光，独立电子线性调光，高达65535位级别的曲线调光模式。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7、采用节能的1080颗LED高亮度灯珠光源，在灯光照射下没有炙热感，不会影响环境温度变化</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8、垂直燃烧测试标准V-1或以下阻燃等级要求。</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9、色温：2900K-5800K±150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10、眩光值：小于10GR</w:t>
            </w:r>
            <w:r>
              <w:rPr>
                <w:rFonts w:hint="eastAsia" w:ascii="宋体" w:hAnsi="宋体"/>
                <w:b w:val="0"/>
                <w:bCs w:val="0"/>
                <w:color w:val="000000"/>
                <w:sz w:val="24"/>
                <w:szCs w:val="24"/>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380W三合一电脑灯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1、光源功率：≥370W灯泡光源，光源寿命：≥2000小时。</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2、变焦角度：≤5°－≥40°，电动变焦。</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3、中心照度：10米投射距离，中心照度＞250000Lx（5°），中心照度＞12000Lx（40°）。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4、变焦角度：图案≤5°～≥40°，光束≤2.5°～≥4°，雾化≤8°～≥50°，电动变焦。</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5、控制系统：支持DMX512、RDM、自走、主从等控制；≥2种通道模式可切换，最小通道≥20通道，最大通道≥22通道。</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效果配置：≥1个旋转图案盘，≥7个旋转图案+白光；≥1个固定图案盘，≥12个图案+白光；≥1个效果图案盘，≥2个图案+白光；≥1个颜色盘，≥8种颜色+白光；≥1个色温盘，可实现色温3200K-6000K线性调节；≥2个棱镜盘，≥1个8棱镜+1个6排镜；≥1个雾化盘，≥2片雾化片，可实现中度雾化和轻度雾化切换。</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7、显示屏：LCD液晶触摸显示屏，支持中英文语言切换。</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8、运行系统：X轴运行角度不劣于540°，Y轴运行角度不劣于270°；带自动回位纠正功能。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9、运行噪音：亮泡状态噪声≤50dB（A），灭泡状态噪音≤45dB（A）。</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散热系统：灯具散热系统须具有风扇转速智能识别调速控制功能，①当检测到灯具处于100%功率输出状态，智能加大风机转速输出，调速散热；②当检测到灯具处于灭泡待机状态，散热风机自动停转，减少功率损耗。</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11、灯具基本要求：①功率因数RF≥0.95；②防触电保护型式≤Ⅰ类；③接地规定电阻≤0.5Ω；④灯具外壳符合650℃灼热丝（耐热、耐火和耐起痕）试验要求。</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63</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静音LED染色帕灯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1、功率：不小于180W</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2、光源：采用节能的54颗×3W LED灯珠 ，在灯光照射下没有炙热感，不会影响环境温度变化</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3、显色指数：Ra≥92</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4、静音：铸铝机箱对流传热，智能温控，单色全静音</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5、透镜角度：25°</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6、中心照度：其中心照度光照度达≥4500Lux/5米；≥1200Lux/10米；</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7、支持8Bit PWM  RGBW混色，色域覆盖广，过渡平滑无跳变，1670万种颜色(0-100%饱和度可调)</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8、异步频闪：单色、混色温频闪；速度可调；最慢速：1次/秒 最快速：25次/秒</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9、温度监控：内置温度保护传感器</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10视网膜蓝光危害等级：RG0</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64</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LED平板柔光灯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1、功率：不小于250W</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2、显色指数：Ra≥92</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3、静音：全铝机箱散热，无风扇，全静音</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4、出光角度：出光角度：120°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5、中心照度：其中心照度光照度达≥1500Lux/3米；≥300Lux/8米；</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6、调光：DMX512电动调光，独立电子线性调光，高达65535位级别的曲线调光模式。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7、采用节能的1080颗LED高亮度灯珠光源，在灯光照射下没有炙热感，不会影响环境温度变化</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8、垂直燃烧测试标准V-1或以下阻燃等级要求。</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9、色温：2900K-5800K±150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10、眩光值：小于10GR</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65</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静音LED染色帕灯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1、功率：不小于180W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2、光源：采用节能的54颗×3W LED灯珠 ，在灯光照射下没有炙热感，不会影响环境温度变化</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3、显色指数：Ra≥92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4、静音：铸铝机箱对流传热，智能温控，单色全静音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5、透镜角度：25°</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6、中心照度：其中心照度光照度达≥4500Lux/5米；≥1200Lux/10米；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7、支持8Bit PWM  RGBW混色，色域覆盖广，过渡平滑无跳变，1670万种颜色(0-100%饱和度可调)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8、异步频闪：单色、混色温频闪；速度可调；最慢速：1次/秒 最快速：25次/秒</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9、温度监控：内置温度保护传感器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10视网膜蓝光危害等级：RG0。</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66</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LED平板柔光灯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1、功率：不小于250W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2、显色指数：Ra≥92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3、静音：全铝机箱散热，无风扇，全静音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4、出光角度：出光角度：120°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5、中心照度：其中心照度光照度达≥1500Lux/3米；≥300Lux/8米；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6、调光：DMX512电动调光，独立电子线性调光，高达65535位级别的曲线调光模式。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7、采用节能的1080颗LED高亮度灯珠光源，在灯光照射下没有炙热感，不会影响环境温度变化</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8、垂直燃烧测试标准V-1或以下阻燃等级要求。</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9、色温：2900K-5800K±150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10、眩光值：小于10GR</w:t>
            </w:r>
            <w:r>
              <w:rPr>
                <w:rFonts w:hint="eastAsia" w:ascii="宋体" w:hAnsi="宋体"/>
                <w:b w:val="0"/>
                <w:bCs w:val="0"/>
                <w:color w:val="000000"/>
                <w:sz w:val="24"/>
                <w:szCs w:val="24"/>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67</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380W三合一电脑灯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1、光源功率：≥370W灯泡光源，光源寿命：≥2000小时。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2、变焦角度：≤5°－≥40°，电动变焦。</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3、中心照度：10米投射距离，中心照度＞250000Lx（5°），中心照度＞12000Lx（40°）。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4、变焦角度：图案≤5°～≥40°，光束≤2.5°～≥4°，雾化≤8°～≥50°，电动变焦。</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5、控制系统：支持DMX512、RDM、自走、主从等控制；≥2种通道模式可切换，最小通道≥20通道，最大通道≥22通道。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效果配置：≥1个旋转图案盘，≥7个旋转图案+白光；≥1个固定图案盘，≥12个图案+白光；≥1个效果图案盘，≥2个图案+白光；≥1个颜色盘，≥8种颜色+白光；≥1个色温盘，可实现色温3200K-6000K线性调节；≥2个棱镜盘，≥1个8棱镜+1个6排镜；≥1个雾化盘，≥2片雾化片，可实现中度雾化和轻度雾化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7、显示屏：LCD液晶触摸显示屏，支持中英文语言切换。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8、运行系统：X轴运行角度不劣于540°，Y轴运行角度不劣于270°；带自动回位纠正功能。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9、运行噪音：亮泡状态噪声≤50dB（A），灭泡状态噪音≤45dB（A）。</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散热系统：灯具散热系统须具有风扇转速智能识别调速控制功能，①当检测到灯具处于100%功率输出状态，智能加大风机转速输出，调速散热；②当检测到灯具处于灭泡待机状态，散热风机自动停转，减少功率损耗。</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11、灯具基本要求：①功率因数RF≥0.95；②防触电保护型式≤Ⅰ类；③接地规定电阻≤0.5Ω；④灯具外壳符合650℃灼热丝（耐热、耐火和耐起痕）试验要求。</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68</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静音LED染色帕灯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1、功率：不小于180W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2、光源：采用节能的54颗×3W LED灯珠 ，在灯光照射下没有炙热感，不会影响环境温度变化</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3、显色指数：Ra≥92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4、静音：铸铝机箱对流传热，智能温控，单色全静音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5、透镜角度：25°</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6、中心照度：其中心照度光照度达≥4500Lux/5米；≥1200Lux/10米；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7、支持8Bit PWM  RGBW混色，色域覆盖广，过渡平滑无跳变，1670万种颜色(0-100%饱和度可调)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8、异步频闪：单色、混色温频闪；速度可调；最慢速：1次/秒 最快速：25次/秒</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9、温度监控：内置温度保护传感器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10视网膜蓝光危害等级：RG0。</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69</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摇头光束灯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1、光源功率：≥260W光源，光源寿命：≥2000小时。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2、光束角度：≤2.5°，电动变焦。</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3、控制系统：支持DMX512、RDM、自走、主从等控制；≥2种通道模式可切换，最小通道≥16通道，最大通道≥19通道。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4、效果配置：≥1个固定图案盘，≥13个图案+白光；≥2个颜色盘，≥20种颜色+白光；≥2个棱镜盘，≥1个8棱镜+一个24 棱镜；≥1个雾化盘，≥2片雾化片，可实现中度雾化和轻度雾化切换。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5、显示屏：LCD液晶显示屏，支持中英文语言切换。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6、运行系统：X轴运行角度不劣于540°，Y轴运行角度不劣于270°；带自动回位纠正功能。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7、X/Y轴定位偏差：X／Y轴重复运转定位，X／Y轴（水平/垂直）角度偏移≤0.1°。</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散热系统：灯具散热系统须具有风扇转速智能识别调速控制功能，①当检测到灯具处于100%功率输出状态，智能加大风机转速输出，调速散热；②当检测到灯具处于灭泡待机状态，散热风机自动停转，减少功率损耗。</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9、系统保护：灯具电气系统须具有过热、过流、过压、低温热启动、过载保护。</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10、外壳材质阻燃等级：灯具塑料外壳防火阻燃等级≤V-0等级。</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70</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静音LED染色帕灯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1、功率：不小于180W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2、光源：采用节能的54颗×3W LED灯珠 ，在灯光照射下没有炙热感，不会影响环境温度变化</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3、显色指数：Ra≥92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4、静音：铸铝机箱对流传热，智能温控，单色全静音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5、透镜角度：25°</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6、中心照度：其中心照度光照度达≥4500Lux/5米；≥1200Lux/10米；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7、支持8Bit PWM  RGBW混色，色域覆盖广，过渡平滑无跳变，1670万种颜色(0-100%饱和度可调)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8、异步频闪：单色、混色温频闪；速度可调；最慢速：1次/秒 最快速：25次/秒</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9、温度监控：内置温度保护传感器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10视网膜蓝光危害等级：RG0。</w:t>
            </w:r>
            <w:r>
              <w:rPr>
                <w:rFonts w:hint="eastAsia" w:ascii="宋体" w:hAnsi="宋体"/>
                <w:b w:val="0"/>
                <w:bCs w:val="0"/>
                <w:color w:val="000000"/>
                <w:sz w:val="24"/>
                <w:szCs w:val="24"/>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380W三合一电脑灯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1、光源功率：≥370W灯泡光源，光源寿命：≥2000小时。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2、变焦角度：≤5°－≥40°，电动变焦。</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3、中心照度：10米投射距离，中心照度＞250000Lx（5°），中心照度＞12000Lx（40°）。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4、变焦角度：图案≤5°～≥40°，光束≤2.5°～≥4°，雾化≤8°～≥50°，电动变焦。</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5、控制系统：支持DMX512、RDM、自走、主从等控制；≥2种通道模式可切换，最小通道≥20通道，最大通道≥22通道。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效果配置：≥1个旋转图案盘，≥7个旋转图案+白光；≥1个固定图案盘，≥12个图案+白光；≥1个效果图案盘，≥2个图案+白光；≥1个颜色盘，≥8种颜色+白光；≥1个色温盘，可实现色温3200K-6000K线性调节；≥2个棱镜盘，≥1个8棱镜+1个6排镜；≥1个雾化盘，≥2片雾化片，可实现中度雾化和轻度雾化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7、显示屏：LCD液晶触摸显示屏，支持中英文语言切换。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8、运行系统：X轴运行角度不劣于540°，Y轴运行角度不劣于270°；带自动回位纠正功能。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9、运行噪音：亮泡状态噪声≤50dB（A），灭泡状态噪音≤45dB（A）。</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散热系统：灯具散热系统须具有风扇转速智能识别调速控制功能，①当检测到灯具处于100%功率输出状态，智能加大风机转速输出，调速散热；②当检测到灯具处于灭泡待机状态，散热风机自动停转，减少功率损耗。</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11、灯具基本要求：①功率因数RF≥0.95；②防触电保护型式≤Ⅰ类；③接地规定电阻≤0.5Ω；④灯具外壳符合650℃灼热丝（耐热、耐火和耐起痕）试验要求。</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静音LED染色帕灯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1、功率：不小于180W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2、光源：采用节能的54颗×3W LED灯珠 ，在灯光照射下没有炙热感，不会影响环境温度变化</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3、显色指数：Ra≥92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4、静音：铸铝机箱对流传热，智能温控，单色全静音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5、透镜角度：25°</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6、中心照度：其中心照度光照度达≥4500Lux/5米；≥1200Lux/10米；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7、支持8Bit PWM  RGBW混色，色域覆盖广，过渡平滑无跳变，1670万种颜色(0-100%饱和度可调)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8、异步频闪：单色、混色温频闪；速度可调；最慢速：1次/秒 最快速：25次/秒</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9、温度监控：内置温度保护传感器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10视网膜蓝光危害等级：RG0。</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73</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摇头光束灯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1、光源功率：≥260W光源，光源寿命：≥2000小时。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2、光束角度：≤2.5°，电动变焦。</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3、控制系统：支持DMX512、RDM、自走、主从等控制；≥2种通道模式可切换，最小通道≥16通道，最大通道≥19通道。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4、效果配置：≥1个固定图案盘，≥13个图案+白光；≥2个颜色盘，≥20种颜色+白光；≥2个棱镜盘，≥1个8棱镜+一个24 棱镜；≥1个雾化盘，≥2片雾化片，可实现中度雾化和轻度雾化切换。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5、显示屏：LCD液晶显示屏，支持中英文语言切换。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6、运行系统：X轴运行角度不劣于540°，Y轴运行角度不劣于270°；带自动回位纠正功能。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7、X/Y轴定位偏差：X／Y轴重复运转定位，X／Y轴（水平/垂直）角度偏移≤0.1°。</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散热系统：灯具散热系统须具有风扇转速智能识别调速控制功能，①当检测到灯具处于100%功率输出状态，智能加大风机转速输出，调速散热；②当检测到灯具处于灭泡待机状态，散热风机自动停转，减少功率损耗。</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9、系统保护：灯具电气系统须具有过热、过流、过压、低温热启动、过载保护。</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10、外壳材质阻燃等级：灯具塑料外壳防火阻燃等级≤V-0等级。</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74</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静音LED染色帕灯</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1、功率：不小于180W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2、光源：采用节能的54颗×3W LED灯珠 ，在灯光照射下没有炙热感，不会影响环境温度变化</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3、显色指数：Ra≥92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4、静音：铸铝机箱对流传热，智能温控，单色全静音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5、透镜角度：25°</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6、中心照度：其中心照度光照度达≥4500Lux/5米；≥1200Lux/10米；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7、支持8Bit PWM  RGBW混色，色域覆盖广，过渡平滑无跳变，1670万种颜色(0-100%饱和度可调)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8、异步频闪：单色、混色温频闪；速度可调；最慢速：1次/秒 最快速：25次/秒</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9、温度监控：内置温度保护传感器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10视网膜蓝光危害等级：RG0。</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75</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4096CH专业控台</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1、操作系统：≥128G 固态硬盘，≥4G 内存。</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2、通道模式：≥8个标准DMX512输出端口，≥4096个通道，支持Artnet网络功能，并可扩展至≥12个DMX 输出口，≥6144个DMX 通道。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3、屏幕显示：≥1个15.6 寸高分辩率宽屏触摸屏。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4、操作界面：≥3个转轮，≥2个专用的亮度和速度轮，≥10个宏功能按键，≥20 个重放推杆。</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5、支持涂鸦式手写命名功能，支持CITP协议，可在控台上直接看到媒体服务器里媒体片段的图像缩略图；可预览服务器或数字灯的内置素材；内置像素映射及内置图形发生器，支持wi-fi接入,可使用Ipod Touch 和iphone等无线控灯，移动设备远程控制灯具，内置Visualiser 可视化舞台模拟软件，内置不间断UPS电源，可意外断电保护，防止数据丢失。</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6、支持≥1000 个虚拟程序重放，可配接≥1000个灯具，可储存≥1000个灯具组，可储存≥1000个场景，可储存素材数量≥1000个，可同时运行≥65个重演场景，可储存≥100个节目。</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7、支持同型号控台数据备份，自带Art-net网络端口，可直接在电脑进行灯光模拟。</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8、内置时间码和外置MIDI触发功能,可实现声光同步。</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9、产品保证：控台设备生产厂家需具备有控制系统软件自主开发能力，有能力为今后的控制系统软件升级更新，提供维护保障。</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76</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8路信号放大器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1、信号输入：≥1路信号输入，≥9路信号输出，外置信号阻断器。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2、信号指示：前置双八路信号指示灯，实时监控信号传输况。</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3、信号传输频率：≥4种速率可调节：25ms/50ms/ 100ms/200ms。</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4、全端口光电隔离，具有防止远距离讯号联机带来的物理性讯号返弹干扰的功能。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5、支持多台设备串联扩展，内置信号放大与抗干扰阻断器，以保证DMX-512网络中的通讯不被相互干扰。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6、内置信号保持功能设置，当DMX输出端口无信号或系统控制讯号关闭时，保持灯光亮度，避免黑场。</w:t>
            </w:r>
            <w:r>
              <w:rPr>
                <w:rFonts w:hint="eastAsia" w:ascii="宋体" w:hAnsi="宋体"/>
                <w:b w:val="0"/>
                <w:bCs w:val="0"/>
                <w:color w:val="000000"/>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77</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智能电源直通柜</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1、供电：三相五线AC380±10%，频率50Hz±5%</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2、功率输出：≥36路×3KW输出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3、设备要求：总控及分控空气开关具有过流、短路保护功能；具有电流表、电压表，可实时查看各相电压和电流，静音型航空箱一体式立柜，带4个轮子。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4、智能控制：支持DMX512继电器分路控制。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5、产品质量：产品保护接地装置，接地电阻≤0.5Ω；48小时潮湿试验，基本绝缘的绝缘电阻≥2MΩ；绝缘材料制成的防触电外露零件符合（650℃尖端温度）30s灼热丝试验合格。</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78</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灯具挂钩</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材质：铝材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厚度：≥3mm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宽度：≥20mm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可安全承重量：≥250Kg</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79</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鹰形灯钩（摇头灯用）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材质：铝材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厚度：≥3mm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宽度：≥20mm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可安全承重量：≥200Kg</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80</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保险绳</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材质：钢丝绳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直径：≥3mm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长度：≥75mm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可安全承重量：≥25Kg</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变频调速拉幕机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1、驱动类型：钢丝绳曳引</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2、载荷：幕布自重</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3、对开速度：0.01-1.0m/s</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▲4、噪音：在观众席第一排中部应小于或等于50dB(A)（投标时提供有 CMA 或 CNAS认证标识第三方检测机构出具的检测报告中的测试试验项目、且判断结论为合格的检测报告，并加盖投标人公章）</w:t>
            </w:r>
            <w:r>
              <w:rPr>
                <w:rFonts w:hint="eastAsia" w:ascii="宋体" w:hAnsi="宋体"/>
                <w:b w:val="0"/>
                <w:bCs w:val="0"/>
                <w:color w:val="000000"/>
                <w:sz w:val="24"/>
                <w:szCs w:val="24"/>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恒速对开拉幕机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1、驱动类型：钢丝绳曳引</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2、载荷：幕布自重</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3、对开速度：≥0.4m/s</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对开电机功率：0.75kw</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4、噪音：在观众席第一排中部应小于或等于50dB(A)</w:t>
            </w:r>
            <w:r>
              <w:rPr>
                <w:rFonts w:hint="eastAsia" w:ascii="宋体" w:hAnsi="宋体"/>
                <w:b w:val="0"/>
                <w:bCs w:val="0"/>
                <w:color w:val="000000"/>
                <w:sz w:val="24"/>
                <w:szCs w:val="24"/>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83</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幕布轨道</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幕布轨道，现场制作；国标型材</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84</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导向滑轮</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￠100滑轮，1槽滑轮，底座、轴等组成，哑光黑色烤漆</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85</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小滑车</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0</wp:posOffset>
                      </wp:positionH>
                      <wp:positionV relativeFrom="paragraph">
                        <wp:posOffset>0</wp:posOffset>
                      </wp:positionV>
                      <wp:extent cx="9525" cy="952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24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8" o:title=""/>
                    </v:shape>
                  </w:pict>
                </mc:Fallback>
              </mc:AlternateContent>
            </w:r>
            <w:r>
              <w:rPr>
                <w:rFonts w:hint="eastAsia" w:ascii="宋体" w:hAnsi="宋体"/>
                <w:b w:val="0"/>
                <w:bCs w:val="0"/>
                <w:color w:val="000000"/>
                <w:sz w:val="24"/>
                <w:szCs w:val="24"/>
                <w:highlight w:val="none"/>
              </w:rPr>
              <w:t xml:space="preserve">尼龙静音</w:t>
            </w:r>
            <w:r>
              <w:rPr>
                <w:rFonts w:hint="eastAsia" w:ascii="宋体" w:hAnsi="宋体"/>
                <w:b w:val="0"/>
                <w:bCs w:val="0"/>
                <w:color w:val="000000"/>
                <w:sz w:val="24"/>
                <w:szCs w:val="24"/>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86</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升降景用吊杆机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驱动类型：钢丝绳卷扬式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速度：≥0.2m/s</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载荷：≥600kg</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噪音：在观众席第一排中部应小于或等于50dB(A)</w:t>
            </w:r>
            <w:r>
              <w:rPr>
                <w:rFonts w:hint="eastAsia" w:ascii="宋体" w:hAnsi="宋体"/>
                <w:b w:val="0"/>
                <w:bCs w:val="0"/>
                <w:color w:val="000000"/>
                <w:sz w:val="24"/>
                <w:szCs w:val="24"/>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87</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升降灯光吊杆机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1、驱动类型：钢丝绳卷扬式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2、速度：≥0.2m/s</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3、载荷：≥800kg</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4、噪音：在观众席第一排中部应小于或等于50dB(A)</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88</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升降侧光吊杆机</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1、驱动类型：钢丝绳卷扬式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2、速度：≥0.2m/s</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3、载荷：≥800kg</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4、噪音：在观众席第一排中部应小于或等于50dB(A)</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89</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滑轮</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￠120滑轮，底座、轴等组成，哑光黑色烤漆；</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90</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吊杆杆体</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￠48钢管H型杆体，分上、下两层，中间采用40*20方管/5#扁铁连接，防锈底漆、黑色面漆；</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吊杆杆体</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￠48钢管△型杆体，分上、下两层，中间采用40*20方管/5#扁铁连接，防锈底漆、黑色面漆；</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收线框</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0</wp:posOffset>
                      </wp:positionH>
                      <wp:positionV relativeFrom="paragraph">
                        <wp:posOffset>0</wp:posOffset>
                      </wp:positionV>
                      <wp:extent cx="9525" cy="952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24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9" o:title=""/>
                    </v:shape>
                  </w:pict>
                </mc:Fallback>
              </mc:AlternateContent>
            </w:r>
            <w:r>
              <w:rPr>
                <w:rFonts w:hint="eastAsia" w:ascii="宋体" w:hAnsi="宋体"/>
                <w:b w:val="0"/>
                <w:bCs w:val="0"/>
                <w:color w:val="000000"/>
                <w:sz w:val="24"/>
                <w:szCs w:val="24"/>
                <w:highlight w:val="none"/>
              </w:rPr>
              <w:t xml:space="preserve">电缆收纳框，防锈底漆、黑色面漆；</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93</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钢丝绳</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航空钢丝绳￠4.2</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94</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断火开关</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9525" cy="952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24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0" o:title=""/>
                    </v:shape>
                  </w:pict>
                </mc:Fallback>
              </mc:AlternateContent>
            </w:r>
            <w:r>
              <w:rPr>
                <w:rFonts w:hint="eastAsia" w:ascii="宋体" w:hAnsi="宋体"/>
                <w:b w:val="0"/>
                <w:bCs w:val="0"/>
                <w:color w:val="000000"/>
                <w:sz w:val="24"/>
                <w:szCs w:val="24"/>
                <w:highlight w:val="none"/>
              </w:rPr>
              <w:t xml:space="preserve">防冲顶保护装置</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95</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限位器</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限制杆体升降高度，幕布闭合位置。</w:t>
            </w:r>
            <w:r>
              <w:rPr>
                <w:rFonts w:hint="eastAsia" w:ascii="宋体" w:hAnsi="宋体"/>
                <w:b w:val="0"/>
                <w:bCs w:val="0"/>
                <w:color w:val="000000"/>
                <w:sz w:val="24"/>
                <w:szCs w:val="24"/>
                <w:highlight w:val="none"/>
              </w:rPr>
            </w:r>
            <w:r/>
          </w:p>
        </w:tc>
      </w:tr>
      <w:tr>
        <w:trPr>
          <w:trHeight w:val="977"/>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96</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电动葫芦</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防护等级:IP54</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电源标配:三相电 380v-50Hz</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接电持续率:40%JC</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电机绝缘等级:F级</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电机功率:750w</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电机转速:1380r/mmin</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超载保护装置:机械保护</w:t>
            </w:r>
            <w:r>
              <w:rPr>
                <w:rFonts w:hint="eastAsia" w:ascii="宋体" w:hAnsi="宋体"/>
                <w:b w:val="0"/>
                <w:bCs w:val="0"/>
                <w:color w:val="000000"/>
                <w:sz w:val="24"/>
                <w:szCs w:val="24"/>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97</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舞台控制系统</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9525" cy="889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9525"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249;o:allowoverlap:true;o:allowincell:true;mso-position-horizontal-relative:text;margin-left:0.0pt;mso-position-horizontal:absolute;mso-position-vertical-relative:text;margin-top:0.0pt;mso-position-vertical:absolute;width:0.8pt;height:0.7pt;mso-wrap-distance-left:9.0pt;mso-wrap-distance-top:0.0pt;mso-wrap-distance-right:9.0pt;mso-wrap-distance-bottom:0.0pt;" stroked="f">
                      <v:path textboxrect="0,0,0,0"/>
                      <v:imagedata r:id="rId91" o:title=""/>
                    </v:shape>
                  </w:pict>
                </mc:Fallback>
              </mc:AlternateContent>
            </w:r>
            <w:r>
              <w:rPr>
                <w:rFonts w:hint="eastAsia" w:ascii="宋体" w:hAnsi="宋体"/>
                <w:b w:val="0"/>
                <w:bCs w:val="0"/>
                <w:color w:val="000000"/>
                <w:sz w:val="24"/>
                <w:szCs w:val="24"/>
                <w:highlight w:val="none"/>
              </w:rPr>
              <w:t xml:space="preserve">控制设备：分体式；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控制方式：按钮模拟控制；</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控制路数：16（14升降2对开）；</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保护装置：急停，电锁，乱相保护；</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设备包含：操作台与配套座椅，控制柜、控制台、连接控制柜和控制台的控制线缆</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98</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舞台栅顶</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承重梁，吊点梁，下挂吊筋，设备检修马道，均采用国标型材，满足设备的载荷，含马道照明。</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99</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前檐幕</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1、尺寸（长*高*数量*折比）：26.45*1.2*1*3:1；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2、颜色：枣红色（可选）；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3、材质：丝绒；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4、防火阻燃等级：B1级，续燃时间≤5S，阴燃时间≤5s，损毁长度≤150mm</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100</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对开大幕</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1、尺寸（长*高*数量*折比）：14.3*7*2*3：1；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2、颜色：枣红色（可选）；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3、材质：丝绒；</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4、防火阻燃等级：B1级，续燃时间≤5S，阴燃时间≤5s，损毁长度≤150mm</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对开底幕</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9525" cy="10795"/>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25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2" o:title=""/>
                    </v:shape>
                  </w:pict>
                </mc:Fallback>
              </mc:AlternateContent>
            </w: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0</wp:posOffset>
                      </wp:positionH>
                      <wp:positionV relativeFrom="paragraph">
                        <wp:posOffset>0</wp:posOffset>
                      </wp:positionV>
                      <wp:extent cx="9525" cy="1079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25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3" o:title=""/>
                    </v:shape>
                  </w:pict>
                </mc:Fallback>
              </mc:AlternateContent>
            </w: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0</wp:posOffset>
                      </wp:positionH>
                      <wp:positionV relativeFrom="paragraph">
                        <wp:posOffset>0</wp:posOffset>
                      </wp:positionV>
                      <wp:extent cx="9525" cy="10795"/>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25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4" o:title=""/>
                    </v:shape>
                  </w:pict>
                </mc:Fallback>
              </mc:AlternateContent>
            </w: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0</wp:posOffset>
                      </wp:positionH>
                      <wp:positionV relativeFrom="paragraph">
                        <wp:posOffset>0</wp:posOffset>
                      </wp:positionV>
                      <wp:extent cx="9525" cy="10795"/>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25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5" o:title=""/>
                    </v:shape>
                  </w:pict>
                </mc:Fallback>
              </mc:AlternateContent>
            </w:r>
            <w:r>
              <w:rPr>
                <w:rFonts w:hint="eastAsia" w:ascii="宋体" w:hAnsi="宋体"/>
                <w:b w:val="0"/>
                <w:bCs w:val="0"/>
                <w:color w:val="000000"/>
                <w:sz w:val="24"/>
                <w:szCs w:val="24"/>
                <w:highlight w:val="none"/>
              </w:rPr>
              <w:t xml:space="preserve"> 1、尺寸（长*高*数量*折比）11.6*7*2*3：1；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2、颜色：鹅黄色（可选）；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3、材质：丝绒；</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4、防火阻燃等级：B1级，续燃时间≤5S，阴燃时间≤5s，损毁长度≤150mm</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檐幕</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9525" cy="1079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25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6" o:title=""/>
                    </v:shape>
                  </w:pict>
                </mc:Fallback>
              </mc:AlternateContent>
            </w: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9525" cy="10795"/>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25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7" o:title=""/>
                    </v:shape>
                  </w:pict>
                </mc:Fallback>
              </mc:AlternateContent>
            </w: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9525" cy="10795"/>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25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8" o:title=""/>
                    </v:shape>
                  </w:pict>
                </mc:Fallback>
              </mc:AlternateContent>
            </w: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9525" cy="10795"/>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25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9" o:title=""/>
                    </v:shape>
                  </w:pict>
                </mc:Fallback>
              </mc:AlternateContent>
            </w: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9525" cy="10795"/>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25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0" o:title=""/>
                    </v:shape>
                  </w:pict>
                </mc:Fallback>
              </mc:AlternateContent>
            </w:r>
            <w:r>
              <w:rPr>
                <w:rFonts w:hint="eastAsia" w:ascii="宋体" w:hAnsi="宋体"/>
                <w:b w:val="0"/>
                <w:bCs w:val="0"/>
                <w:color w:val="000000"/>
                <w:sz w:val="24"/>
                <w:szCs w:val="24"/>
                <w:highlight w:val="none"/>
              </w:rPr>
              <w:t xml:space="preserve"> 1、尺寸（长*高*数量*折比）：50*1.2*1*3:1；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2、颜色：墨绿色（可选）；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3、材质：丝绒；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4、防火阻燃等级：B1级，续燃时间≤5S，阴燃时间≤5s，损毁长度≤150mm</w:t>
            </w:r>
            <w:r>
              <w:rPr>
                <w:rFonts w:hint="eastAsia" w:ascii="宋体" w:hAnsi="宋体"/>
                <w:b w:val="0"/>
                <w:bCs w:val="0"/>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103</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边幕</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1、尺寸（长*高*数量*折比）：14*7*1*3：1；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2、颜色：墨绿色（可选）；                     </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3、材质：丝绒；</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4、防火阻燃等级：B1级，续燃时间≤5S，阴燃时间≤5s，损毁长度≤150mm</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center"/>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104</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衬里</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1、材质：富春纺；</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2、防火阻燃等级：B1级，续燃时间≤5S，阴燃时间≤5s，损毁长度≤150mm</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center"/>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105</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标准机柜</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0</wp:posOffset>
                      </wp:positionV>
                      <wp:extent cx="9525" cy="10795"/>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25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1" o:title=""/>
                    </v:shape>
                  </w:pict>
                </mc:Fallback>
              </mc:AlternateContent>
            </w: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0</wp:posOffset>
                      </wp:positionH>
                      <wp:positionV relativeFrom="paragraph">
                        <wp:posOffset>0</wp:posOffset>
                      </wp:positionV>
                      <wp:extent cx="9525" cy="889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9525"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260;o:allowoverlap:true;o:allowincell:true;mso-position-horizontal-relative:text;margin-left:0.0pt;mso-position-horizontal:absolute;mso-position-vertical-relative:text;margin-top:0.0pt;mso-position-vertical:absolute;width:0.8pt;height:0.7pt;mso-wrap-distance-left:9.0pt;mso-wrap-distance-top:0.0pt;mso-wrap-distance-right:9.0pt;mso-wrap-distance-bottom:0.0pt;" stroked="f">
                      <v:path textboxrect="0,0,0,0"/>
                      <v:imagedata r:id="rId102" o:title=""/>
                    </v:shape>
                  </w:pict>
                </mc:Fallback>
              </mc:AlternateContent>
            </w:r>
            <w:r>
              <w:rPr>
                <w:rFonts w:hint="eastAsia" w:ascii="宋体" w:hAnsi="宋体"/>
                <w:b w:val="0"/>
                <w:bCs w:val="0"/>
                <w:color w:val="000000"/>
                <w:sz w:val="24"/>
                <w:szCs w:val="24"/>
                <w:highlight w:val="none"/>
              </w:rPr>
              <w:t xml:space="preserve">42U服务器机柜；加固型；配置不少于2台16A PDU</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center"/>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106</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灯光机柜</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22U,配置不少于1台16A PDU</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center"/>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107</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音响支架</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音箱专用壁挂支架</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center"/>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108</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通用话筒落地支架</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话筒专用支架</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center"/>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109</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乐谱曲谱架</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乐谱曲谱架</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center"/>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110</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操作台</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四人位</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center"/>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信息插座</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0</wp:posOffset>
                      </wp:positionV>
                      <wp:extent cx="9525" cy="1079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26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3" o:title=""/>
                    </v:shape>
                  </w:pict>
                </mc:Fallback>
              </mc:AlternateContent>
            </w:r>
            <w:r>
              <w:rPr>
                <w:rFonts w:hint="eastAsia" w:ascii="宋体" w:hAnsi="宋体"/>
                <w:b w:val="0"/>
                <w:bCs w:val="0"/>
                <w:color w:val="000000"/>
                <w:sz w:val="24"/>
                <w:szCs w:val="24"/>
                <w:highlight w:val="none"/>
              </w:rPr>
              <w:t xml:space="preserve">网络、HDMI、音频、电源</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center"/>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音响插座</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0</wp:posOffset>
                      </wp:positionH>
                      <wp:positionV relativeFrom="paragraph">
                        <wp:posOffset>0</wp:posOffset>
                      </wp:positionV>
                      <wp:extent cx="9525" cy="10795"/>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26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4" o:title=""/>
                    </v:shape>
                  </w:pict>
                </mc:Fallback>
              </mc:AlternateContent>
            </w:r>
            <w:r>
              <w:rPr>
                <w:rFonts w:hint="eastAsia" w:ascii="宋体" w:hAnsi="宋体"/>
                <w:b w:val="0"/>
                <w:bCs w:val="0"/>
                <w:color w:val="000000"/>
                <w:sz w:val="24"/>
                <w:szCs w:val="24"/>
                <w:highlight w:val="none"/>
              </w:rPr>
              <w:t xml:space="preserve">网络、HDMI、音频、电源</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center"/>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113</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音响插座</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0</wp:posOffset>
                      </wp:positionH>
                      <wp:positionV relativeFrom="paragraph">
                        <wp:posOffset>0</wp:posOffset>
                      </wp:positionV>
                      <wp:extent cx="9525" cy="10795"/>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26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5" o:title=""/>
                    </v:shape>
                  </w:pict>
                </mc:Fallback>
              </mc:AlternateContent>
            </w:r>
            <w:r>
              <w:rPr>
                <w:rFonts w:hint="eastAsia" w:ascii="宋体" w:hAnsi="宋体"/>
                <w:b w:val="0"/>
                <w:bCs w:val="0"/>
                <w:color w:val="000000"/>
                <w:sz w:val="24"/>
                <w:szCs w:val="24"/>
                <w:highlight w:val="none"/>
              </w:rPr>
              <w:t xml:space="preserve">卡龙头</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114</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音箱线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2×2平方，线芯导体为4N无氧铜细丝束绞而成，使导线表面积的增加，有效减低高频信号的衰减。</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115</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音箱线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2×4平方，线芯导体为5N无氧铜细丝束绞而成，使导线表面积的增加，有效减低高频信号的衰减。</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116</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音频线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0</wp:posOffset>
                      </wp:positionH>
                      <wp:positionV relativeFrom="paragraph">
                        <wp:posOffset>0</wp:posOffset>
                      </wp:positionV>
                      <wp:extent cx="9525" cy="1079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6" o:title=""/>
                    </v:shape>
                  </w:pict>
                </mc:Fallback>
              </mc:AlternateContent>
            </w:r>
            <w:r>
              <w:rPr>
                <w:rFonts w:hint="eastAsia" w:ascii="宋体" w:hAnsi="宋体"/>
                <w:b w:val="0"/>
                <w:bCs w:val="0"/>
                <w:color w:val="000000"/>
                <w:sz w:val="24"/>
                <w:szCs w:val="24"/>
                <w:highlight w:val="none"/>
              </w:rPr>
              <w:t xml:space="preserve">国标/屏蔽/2芯0.3平方/高纯铜/无氧铜</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117</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电源线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RVV2*1.0</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118</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电源线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RVV3*1.5</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119</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HDMI线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1.5米成品高清线</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120</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HDMI线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光纤高清线</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HDMI线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光纤高清线</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六类非屏蔽双绞线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六类</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123</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灯光电源线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ZR-RVV 3*2.5mm²</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124</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灯光信号线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RVVP2*0.5mm²</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125</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灯光总进线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YJV4*70mm²+1*35mm²</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126</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舞台机械线缆</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RVV3*2.5mm²</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127</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舞台机械信号线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RVV3*0.75mm²</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128</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大屏电源线</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RVV5*16mm²</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129</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桥架</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200*100</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130</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管材</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国产/钢管/各类接口等</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131</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管材</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国产/钢管/各类接口等</w:t>
            </w:r>
            <w:r>
              <w:rPr>
                <w:rFonts w:hint="eastAsia" w:ascii="宋体" w:hAnsi="宋体"/>
                <w:b w:val="0"/>
                <w:bCs w:val="0"/>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871"/>
              <w:jc w:val="right"/>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132</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接插件、专用数据插座等</w:t>
            </w:r>
            <w:r>
              <w:rPr>
                <w:rFonts w:hint="eastAsia" w:ascii="宋体" w:hAnsi="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音视频机械灯光接插件，专用数据插座、电焊条、防锈漆、稀释剂、切割片、膨胀螺丝、其它配件等。</w:t>
            </w:r>
            <w:r>
              <w:rPr>
                <w:rFonts w:hint="eastAsia" w:ascii="宋体" w:hAnsi="宋体"/>
                <w:b w:val="0"/>
                <w:bCs w:val="0"/>
                <w:color w:val="000000"/>
                <w:sz w:val="24"/>
                <w:szCs w:val="24"/>
                <w:highlight w:val="none"/>
              </w:rPr>
            </w:r>
            <w:r/>
          </w:p>
        </w:tc>
      </w:tr>
    </w:tbl>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br w:type="page" w:clear="all"/>
      </w:r>
      <w:r>
        <w:rPr>
          <w:rFonts w:hint="eastAsia" w:ascii="宋体" w:hAnsi="宋体"/>
          <w:b w:val="0"/>
          <w:bCs w:val="0"/>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116"/>
        <w:gridCol w:w="7057"/>
      </w:tblGrid>
      <w:tr>
        <w:trPr>
          <w:trHeight w:val="375"/>
        </w:trPr>
        <w:tc>
          <w:tcPr>
            <w:gridSpan w:val="3"/>
            <w:tcW w:w="916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行政楼六楼大会议室</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133</w:t>
            </w:r>
            <w:r>
              <w:rPr>
                <w:rFonts w:hint="eastAsia" w:ascii="宋体" w:hAnsi="宋体"/>
                <w:b w:val="0"/>
                <w:bCs w:val="0"/>
                <w:color w:val="000000"/>
                <w:sz w:val="24"/>
                <w:szCs w:val="24"/>
                <w:highlight w:val="none"/>
              </w:rPr>
            </w:r>
            <w:r/>
          </w:p>
        </w:tc>
        <w:tc>
          <w:tcPr>
            <w:gridSpan w:val="2"/>
            <w:tcW w:w="817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1.视频显示系统</w:t>
            </w:r>
            <w:r>
              <w:rPr>
                <w:rFonts w:hint="eastAsia" w:ascii="宋体" w:hAnsi="宋体"/>
                <w:b w:val="0"/>
                <w:bCs w:val="0"/>
                <w:color w:val="000000"/>
                <w:sz w:val="24"/>
                <w:szCs w:val="24"/>
                <w:highlight w:val="none"/>
              </w:rPr>
            </w:r>
            <w:r/>
          </w:p>
        </w:tc>
      </w:tr>
      <w:tr>
        <w:trPr>
          <w:trHeight w:val="56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134</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LED显示屏</w:t>
            </w:r>
            <w:r>
              <w:rPr>
                <w:rFonts w:hint="eastAsia" w:ascii="宋体" w:hAnsi="宋体"/>
                <w:b w:val="0"/>
                <w:bCs w:val="0"/>
                <w:color w:val="000000"/>
                <w:sz w:val="24"/>
                <w:szCs w:val="24"/>
                <w:highlight w:val="none"/>
              </w:rPr>
            </w:r>
            <w:r/>
          </w:p>
        </w:tc>
        <w:tc>
          <w:tcPr>
            <w:tcW w:w="3992" w:type="dxa"/>
            <w:vAlign w:val="top"/>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显示屏宽度7.04米，高度2.56米，显示分辨率≥3784点×1376点；</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★1.像素间距：≤1.86mm；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2.像素密度：≥288906点/㎡；</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3.像素构成：表贴三合一；</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4.白平衡亮度：≥835nits可调；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5.对比度：≥10000:1；</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6.安装维护方式：同时支持完全前、后安装，支持前拆前维护和后拆后维护；</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6.亮度鉴别等级C级，BJ≥20；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7.可视角度：水平视角≥175°，垂直视角≥175°；</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8.刷新频率：≥3840Hz，换帧频率：50Hz&amp;60Hz；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9.像素失控率：≤1/2000000 出厂为0（无死点）；</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10.峰值功率：≤400W/㎡；平均功率：≤125W/㎡；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11.使用寿命：≥100000小时；MTBF平均失效间隔时间：≥100000小时；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12.屏体散热：采用无风扇散热结构；</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13.LED显示屏带有智能(黑屏)节电功能，开启智能节电功能比没有开启节能55%以上；</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14.显示屏休眠模式的功耗：平米最大功耗≤45W/㎡；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15.模组供电：屏体发光模组采用4.5VDC的安全电压供电；</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16.稳定性试验：设备在正常工作条件下，连续工作168h，未出现电性、机械及操作系统的故障；</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17.具有一键除湿功能，对显示屏灯珠进行预热，蒸发LED灯珠内部湿气，支持自动检测长时间没有使用屏体，将启动除湿模式30min，使屏体从10%到100%亮度逐步显示，提升产品稳定性；</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18.具备数据传输安全技术，采用网线传导加扰技术，使用时无需配置，接上电源后即可实现各端口的网线传导加扰，防止传输信息怕失泄密及防止劫持相关设备；干扰信号带宽：10MHz～1.5GHz;相关干扰信号幅度(Vp-p)&gt;2.5V;无线防护输出功率40mW;电源隔离度 10KHz～30MHz≥40dB；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19.静态图像清晰度、运动图像清晰度、图像均匀性、拼装精度根据SJ/T 11590-2016 LED显示屏图像质量主观评价方法符合评价优(5分)；</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20.具有视频降噪、增强、运动补偿、色坐标变换处理、钝化处理、无几何失真和非线性失真现象、消鬼影拖尾，无“毛毛虫”“鬼影”跟随现象；</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21.具有防潮，防尘，防腐蚀，防电磁干扰、防静电等功能，具有过流、短路、过压、欠压保护等功能；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22.具有双备份电源/双信号冗余备份技术，支持双电网供电，当其中一路交流电网跳闸后，另外一路电网继续供电，实现不间断供电，支持热备份，当其中一块电源失效后，另外一块电源继续工作，从而实现不间断供电；</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23.LED显示屏可实时监控显示屏工作状态，具有故障自动告警功能，发生故障立即发消息到指定邮箱，及时处理；具有多点测温系统，均衡散热，防止局部温度过高造成色彩漂移，并提高显示屏寿命；具有电源温度控制系统，提供电源实时温度监控，超出设定温度自动报警，防止过温失效；具备智能的白平衡补偿和修正功能。</w:t>
            </w:r>
            <w:r>
              <w:rPr>
                <w:rFonts w:hint="eastAsia" w:ascii="宋体" w:hAnsi="宋体"/>
                <w:b w:val="0"/>
                <w:bCs w:val="0"/>
                <w:color w:val="000000"/>
                <w:sz w:val="24"/>
                <w:szCs w:val="24"/>
                <w:highlight w:val="none"/>
              </w:rPr>
            </w:r>
            <w:r/>
          </w:p>
        </w:tc>
      </w:tr>
      <w:tr>
        <w:trPr>
          <w:trHeight w:val="247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135</w:t>
            </w:r>
            <w:r>
              <w:rPr>
                <w:rFonts w:hint="eastAsia" w:ascii="宋体" w:hAnsi="宋体"/>
                <w:b w:val="0"/>
                <w:bCs w:val="0"/>
                <w:color w:val="000000"/>
                <w:sz w:val="24"/>
                <w:szCs w:val="24"/>
                <w:highlight w:val="none"/>
              </w:rPr>
            </w:r>
            <w:r/>
          </w:p>
        </w:tc>
        <w:tc>
          <w:tcPr>
            <w:tcW w:w="623"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同步控制系统</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1、单卡最大带载分辨率 512×512@60Hz；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2、无需转接板，单卡自带HUB75接口，更加稳定；</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3、支持亮度校正，对每个灯点的亮度进行校正，有效消除亮度差异，使整屏的亮度达到高度一致；</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4、快速亮暗线调节在调试软件上进行快速亮暗线调节，快速解决因箱体及模组拼接造成的显示屏亮暗线，调节过程中即时生效，简单易用；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5、配合支持3D功能的独立主控，在软件或独立主控的操作面板上开启3D功能，并设置3D参数，使画面显示3D效果；</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Mapping功能开启，每个箱体上会显示数字，清楚告诉您当前箱体是哪个网口下的哪张接收卡，直观的看到显示屏连接状况。从此让箱体排查变得轻松简单，快速定位问题箱体，再也无需再爬上爬下，根据走线更改连屏文件即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7、可以监测自身的温度和电压，无需其他外设，在软件上可以查看接收卡的温度和电压；</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8、支持画面90度倍数旋转；</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9、支持5pin液晶模块，用于显示接收卡的温度、电压、单次运行时间和总运行时间；</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10、支持回读接收卡的固件程序并保存到本地；</w:t>
            </w:r>
            <w:r>
              <w:rPr>
                <w:rFonts w:hint="eastAsia" w:ascii="宋体" w:hAnsi="宋体"/>
                <w:b w:val="0"/>
                <w:bCs w:val="0"/>
                <w:color w:val="000000"/>
                <w:sz w:val="24"/>
                <w:szCs w:val="24"/>
                <w:highlight w:val="none"/>
              </w:rPr>
            </w:r>
            <w:r/>
          </w:p>
        </w:tc>
      </w:tr>
      <w:tr>
        <w:trPr>
          <w:trHeight w:val="125"/>
        </w:trPr>
        <w:tc>
          <w:tcPr>
            <w:tcW w:w="384"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136</w:t>
            </w:r>
            <w:r>
              <w:rPr>
                <w:rFonts w:hint="eastAsia" w:ascii="宋体" w:hAnsi="宋体"/>
                <w:b w:val="0"/>
                <w:bCs w:val="0"/>
                <w:color w:val="000000"/>
                <w:sz w:val="24"/>
                <w:szCs w:val="24"/>
                <w:highlight w:val="none"/>
              </w:rPr>
            </w:r>
            <w:r/>
          </w:p>
        </w:tc>
        <w:tc>
          <w:tcPr>
            <w:tcW w:w="623"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视频控制器</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1、采用标准 19 英寸金属结构机箱，机箱为后挂耳结构，上盖无螺钉安装:外壳防护等级符合GB/T 4208-2017中IP20的要求;采用纯硬件 FPGA 架构设计、运行稳定、可靠、高效。</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2、输入接口至少包括1路HDMI2.0+LOOP,2路HDMI1.3，1路USB3.0，最大可支持4096*2160@60HZ信号输入，支持选配1路3G-SDI（IN+LOOP）。</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3、视频输出支持不少于10路千兆网口输出，1路10G-OPT光口，最大带载可达650万像素，最宽支持10240,最高8192。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4、音频输入支持视频口伴随音频输入及独立输入两种模式，音频输出支持网口扩展输出及3.5mm独立音频口输出；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5、支持输入源备份功能，主源丢失下，无需人为操作可自动切换至备源显示，切换过程无黑屏；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6、可支持144HZ高帧率输入输出，输出支持插帧、抽帧、倍频（2倍频、3倍频、4倍频）功能，可将30HZ信号，倍频至120HZ输出；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7、图层能力：最大可支持不少于6个2K图层或1个4K图层+2个2K图层，全部图层大小和位置可单独调节。4K接口输入2K信号，按2K图层计算图层资源；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支持U盘即插即播功能，最大支持4K级（3840*2160@60fps）图片和视频的流畅播放，播放列表计切换效果支持自定义编排，最多支持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10、标配全彩液晶，搭配实体按键，极大的方便了设备整体状态的监控及设备功能的控制:设备功能按键及丝印信息采用全中文提示，项目上无需粘贴额外的标签纸加以区分，清晰直观;</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137</w:t>
            </w:r>
            <w:r>
              <w:rPr>
                <w:rFonts w:hint="eastAsia" w:ascii="宋体" w:hAnsi="宋体"/>
                <w:b w:val="0"/>
                <w:bCs w:val="0"/>
                <w:color w:val="000000"/>
                <w:sz w:val="24"/>
                <w:szCs w:val="24"/>
                <w:highlight w:val="none"/>
              </w:rPr>
            </w:r>
            <w:r/>
          </w:p>
        </w:tc>
        <w:tc>
          <w:tcPr>
            <w:tcW w:w="623"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配电系统</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定制大屏专用配电系统，三相五线制，额定负载不小于20kW，内含接触器、控制开关等，支持分区逐级上电，避免浪涌对电路的冲击。支持手动/自动控制。</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138</w:t>
            </w:r>
            <w:r>
              <w:rPr>
                <w:rFonts w:hint="eastAsia" w:ascii="宋体" w:hAnsi="宋体"/>
                <w:b w:val="0"/>
                <w:bCs w:val="0"/>
                <w:color w:val="000000"/>
                <w:sz w:val="24"/>
                <w:szCs w:val="24"/>
                <w:highlight w:val="none"/>
              </w:rPr>
            </w:r>
            <w:r/>
          </w:p>
        </w:tc>
        <w:tc>
          <w:tcPr>
            <w:tcW w:w="623"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工程结构</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大屏支架采用冷镀锌矩形方钢，整体冷镀锌防腐，镀层均匀，无起皮；主龙骨规格采用30×40mm、20×40mm冷镀锌方钢；横竖杆件采用满焊/螺栓连接，焊接部位须做除锈防腐处理。钢架整体平面度≤3mm，外包黑色哑光不锈钢装饰板，钢架表面无毛刺及锐角等可划伤的可能性存在。</w:t>
            </w:r>
            <w:r>
              <w:rPr>
                <w:rFonts w:hint="eastAsia" w:ascii="宋体" w:hAnsi="宋体"/>
                <w:b w:val="0"/>
                <w:bCs w:val="0"/>
                <w:color w:val="000000"/>
                <w:sz w:val="24"/>
                <w:szCs w:val="24"/>
                <w:highlight w:val="none"/>
              </w:rPr>
            </w:r>
            <w:r/>
          </w:p>
        </w:tc>
      </w:tr>
      <w:tr>
        <w:trPr>
          <w:trHeight w:val="54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139</w:t>
            </w:r>
            <w:r>
              <w:rPr>
                <w:rFonts w:hint="eastAsia" w:ascii="宋体" w:hAnsi="宋体"/>
                <w:b w:val="0"/>
                <w:bCs w:val="0"/>
                <w:color w:val="000000"/>
                <w:sz w:val="24"/>
                <w:szCs w:val="24"/>
                <w:highlight w:val="none"/>
              </w:rPr>
            </w:r>
            <w:r/>
          </w:p>
        </w:tc>
        <w:tc>
          <w:tcPr>
            <w:tcW w:w="623"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大屏系统布线</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需满足现场实际使用需求，主电缆长度不少于20米，规格不低于RVV5*4mm²，分路电缆RVV3*2.5mm²*6组，大屏信号线：超5类网线*10根，HDMI传输线1根，控制线RVV3*1.0mm²*1组，多媒体地插等。</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140</w:t>
            </w:r>
            <w:r>
              <w:rPr>
                <w:rFonts w:hint="eastAsia" w:ascii="宋体" w:hAnsi="宋体"/>
                <w:b w:val="0"/>
                <w:bCs w:val="0"/>
                <w:color w:val="000000"/>
                <w:sz w:val="24"/>
                <w:szCs w:val="24"/>
                <w:highlight w:val="none"/>
              </w:rPr>
            </w:r>
            <w:r/>
          </w:p>
        </w:tc>
        <w:tc>
          <w:tcPr>
            <w:tcW w:w="623"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安装调试</w:t>
            </w:r>
            <w:r>
              <w:rPr>
                <w:rFonts w:hint="eastAsia" w:ascii="宋体" w:hAnsi="宋体"/>
                <w:b w:val="0"/>
                <w:bCs w:val="0"/>
                <w:color w:val="000000"/>
                <w:sz w:val="24"/>
                <w:szCs w:val="24"/>
                <w:highlight w:val="none"/>
              </w:rPr>
            </w:r>
            <w:r/>
          </w:p>
        </w:tc>
        <w:tc>
          <w:tcPr>
            <w:tcW w:w="3992"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大屏钢架安装，大屏安装及调试，包括项目实施所需的辅材。</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141</w:t>
            </w:r>
            <w:r>
              <w:rPr>
                <w:rFonts w:hint="eastAsia" w:ascii="宋体" w:hAnsi="宋体"/>
                <w:b w:val="0"/>
                <w:bCs w:val="0"/>
                <w:color w:val="000000"/>
                <w:sz w:val="24"/>
                <w:szCs w:val="24"/>
                <w:highlight w:val="none"/>
              </w:rPr>
            </w:r>
            <w:r/>
          </w:p>
        </w:tc>
        <w:tc>
          <w:tcPr>
            <w:gridSpan w:val="2"/>
            <w:tcW w:w="817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2.音响扩声系统</w:t>
            </w:r>
            <w:r>
              <w:rPr>
                <w:rFonts w:hint="eastAsia" w:ascii="宋体" w:hAnsi="宋体"/>
                <w:b w:val="0"/>
                <w:bCs w:val="0"/>
                <w:color w:val="000000"/>
                <w:sz w:val="24"/>
                <w:szCs w:val="24"/>
                <w:highlight w:val="none"/>
              </w:rPr>
            </w:r>
            <w:r/>
          </w:p>
        </w:tc>
      </w:tr>
      <w:tr>
        <w:trPr>
          <w:trHeight w:val="135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142</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专业音箱</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1.采用≥12寸低音喇叭单元和1只44mm压缩高音单元。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2.阻抗≤8Ω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3.频响等同或优于45Hz-20kHz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4.额定功率≥400W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5.灵敏度≥99dB/W/M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6.水平覆盖角≥90°，垂直覆盖角≥70°</w:t>
            </w:r>
            <w:r>
              <w:rPr>
                <w:rFonts w:hint="eastAsia" w:ascii="宋体" w:hAnsi="宋体"/>
                <w:b w:val="0"/>
                <w:bCs w:val="0"/>
                <w:color w:val="000000"/>
                <w:sz w:val="24"/>
                <w:szCs w:val="24"/>
                <w:highlight w:val="none"/>
              </w:rPr>
            </w:r>
            <w:r/>
          </w:p>
        </w:tc>
      </w:tr>
      <w:tr>
        <w:trPr>
          <w:trHeight w:val="135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143</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专业音箱</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1.采用≥10寸低音喇叭单元和1只44mm压缩高音单元。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2.阻抗≤8Ω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3.频响等同或优于45Hz-20kHz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4.额定功率≥300W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5.灵敏度≥98dB/W/M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6.水平覆盖角≥90°，垂直覆盖角≥70°</w:t>
            </w:r>
            <w:r>
              <w:rPr>
                <w:rFonts w:hint="eastAsia" w:ascii="宋体" w:hAnsi="宋体"/>
                <w:b w:val="0"/>
                <w:bCs w:val="0"/>
                <w:color w:val="000000"/>
                <w:sz w:val="24"/>
                <w:szCs w:val="24"/>
                <w:highlight w:val="none"/>
              </w:rPr>
            </w:r>
            <w:r/>
          </w:p>
        </w:tc>
      </w:tr>
      <w:tr>
        <w:trPr>
          <w:trHeight w:val="225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144</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专业功放</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1.标准≤1U机柜式设计；采用PFC+开关电源+D类数字功放设计方案；输出功率：立体声@8Ω：≥700W×2；立体声@4Ω：≥1000W×2；桥接@16Ω：≥1400W；桥接@8Ω：≥2000W。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2.开关电源采用LLC谐振电源短路保护电路和D类数字功放一体模块化设计，保证半桥LLC开关电源稳定性和可靠性。</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3.支持开机软启动功能，软启动过程中电源需求缓慢上升，减少对电网和其他电子设备的电流冲击。</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4.开关电源内置EMI电路，有效的抑制电源谐波。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5.数字功放核心的调制和匹配电路技术，让功放还原真实原声。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6.整机转换效率达到85%以上。</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7.数字功放电源自适应音频调整节能功能，实现智能削峰限幅器，控制功率模块及扬声器系统在安全范围内工作。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8.开机软启动，防止开机时向电网吸收大电流，干扰其它用电设备。</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9.内置≥6大保护电路模块，为功放的可靠性保驾护航，具有：过压保护，欠压保护，过流保护，直流保护，输出短路保护，温控风扇功能。</w:t>
            </w:r>
            <w:r>
              <w:rPr>
                <w:rFonts w:hint="eastAsia" w:ascii="宋体" w:hAnsi="宋体"/>
                <w:b w:val="0"/>
                <w:bCs w:val="0"/>
                <w:color w:val="000000"/>
                <w:sz w:val="24"/>
                <w:szCs w:val="24"/>
                <w:highlight w:val="none"/>
              </w:rPr>
            </w:r>
            <w:r/>
          </w:p>
        </w:tc>
      </w:tr>
      <w:tr>
        <w:trPr>
          <w:trHeight w:val="247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145</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专业功放</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1.标准≤1U机柜式设计；采用PFC+开关电源+D类数字功放设计方案；输出功率：立体声@8Ω：≥500W×2；立体声@4Ω：≥850W×2；桥接@16Ω：≥1000W ；桥接@8Ω：≥1700W。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2.开关电源采用LLC谐振电源短路保护电路和D类数字功放一体模块化设计，保证半桥LLC开关电源稳定性和可靠性。</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3.支持开机软启动功能，软启动过程中电源需求缓慢上升，减少对电网和其他电子设备的电流冲击。</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4.开关电源内置EMI电路，有效的抑制电源谐波。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5.数字功放核心的调制和匹配电路技术，让功放还原真实原声。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6.整机转换效率达到85%以上。</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7.数字功放电源自适应音频调整节能功能，实现智能削峰限幅器，控制功率模块及扬声器系统在安全范围内工作。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8.开机软启动，防止开机时向电网吸收大电流，干扰其它用电设备。</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9.内置≥6大保护电路模块，为功放的可靠性保驾护航，具有：过压保护，欠压保护，过流保护，直流保护，输出短路保护，温控风扇功能。</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146</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支架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音箱支架</w:t>
            </w:r>
            <w:r>
              <w:rPr>
                <w:rFonts w:hint="eastAsia" w:ascii="宋体" w:hAnsi="宋体"/>
                <w:b w:val="0"/>
                <w:bCs w:val="0"/>
                <w:color w:val="000000"/>
                <w:sz w:val="24"/>
                <w:szCs w:val="24"/>
                <w:highlight w:val="none"/>
              </w:rPr>
            </w:r>
            <w:r/>
          </w:p>
        </w:tc>
      </w:tr>
      <w:tr>
        <w:trPr>
          <w:trHeight w:val="112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147</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调音台</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1.支持≥8路麦克风输入兼容6路线路输入接口，CH1-CH6线路输入接口带48V幻象开关独立控制；≥2路立体声输入接口，≥4路RCA输入接口。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2.具有≥2组立体声输出、≥4路编组输出、≥4路辅助输出、≥1个耳机监听输出、≥1个接口双路效果输出 、≥1组控制室输出、≥1组主混音断点插入、≥6个断点插入。</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3.内置≥24位DSP效果器，提供≥100种预设效果。</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4.具备≥13个60mm行程的高精密碳膜推子。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5.内置USB声卡模块，支持连接电脑进行音乐播放和声音录音；内置MP3播放器，支持≥1个USB接口接U盘播放音乐。</w:t>
            </w:r>
            <w:r>
              <w:rPr>
                <w:rFonts w:hint="eastAsia" w:ascii="宋体" w:hAnsi="宋体"/>
                <w:b w:val="0"/>
                <w:bCs w:val="0"/>
                <w:color w:val="000000"/>
                <w:sz w:val="24"/>
                <w:szCs w:val="24"/>
                <w:highlight w:val="none"/>
              </w:rPr>
            </w:r>
            <w:r/>
          </w:p>
        </w:tc>
      </w:tr>
      <w:tr>
        <w:trPr>
          <w:trHeight w:val="472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148</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AI音频处理器</w:t>
            </w:r>
            <w:r>
              <w:rPr>
                <w:rFonts w:hint="eastAsia" w:ascii="宋体" w:hAnsi="宋体"/>
                <w:b w:val="0"/>
                <w:bCs w:val="0"/>
                <w:color w:val="000000"/>
                <w:sz w:val="24"/>
                <w:szCs w:val="24"/>
                <w:highlight w:val="none"/>
              </w:rPr>
            </w:r>
            <w:r/>
          </w:p>
        </w:tc>
        <w:tc>
          <w:tcPr>
            <w:tcW w:w="6806"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1.具有8进8出音频矩阵，输入可根据音源的不同调整灵敏度。每路输入支持48V幻象电源供电，可单独配置开启关闭。</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2.输入通道支持前级放大、信号发生</w:t>
            </w:r>
            <w:r>
              <w:rPr>
                <w:rFonts w:hint="eastAsia" w:ascii="宋体" w:hAnsi="宋体"/>
                <w:b w:val="0"/>
                <w:bCs w:val="0"/>
                <w:color w:val="000000"/>
                <w:sz w:val="24"/>
                <w:szCs w:val="24"/>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t xml:space="preserve">.具有分频器功能，提供贝塞尔、林克威治-瑞利、巴特沃斯三种滤波器类型供选择，并且支持6/12/18/24/30/36/42/48db/oct斜率设置，滤波器全频段可调。</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rPr>
              <w:t xml:space="preserve">.具有延时器功能，提供2000ms延时调整，用于调整各路输出信号延时，使得各路音频信号在到达听众耳朵保持同步。</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t xml:space="preserve">.具有回声消除功能，用于远程音视频会议，消除回声，增加语音清晰度；回声消除可以根据视频会场（房间）大小选择不同档位（具有小房间、中房间、大房间）三档可选；可调节降噪等级，具有6dB、12dB、18dB、24dB、30dB五档可选。（提供第三方检测机构出具的具有CMA或CNAS标识的检测报告扫描件或复印件）</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t xml:space="preserve">.可通过面板IPS真彩显示屏，显示设备网络信息、实时电平、通道静音状态等状态。</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7</w:t>
            </w:r>
            <w:r>
              <w:rPr>
                <w:rFonts w:hint="eastAsia" w:ascii="宋体" w:hAnsi="宋体"/>
                <w:b w:val="0"/>
                <w:bCs w:val="0"/>
                <w:color w:val="000000"/>
                <w:sz w:val="24"/>
                <w:szCs w:val="24"/>
                <w:highlight w:val="none"/>
              </w:rPr>
              <w:t xml:space="preserve">.产品具有PC客户端、手机移动端、安卓平板端、IOS手机移动端、IOS平板端不同控制方式，可以同时登入APP软件、PC客户端同时连接设备，并实现多端数据的同步。</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8</w:t>
            </w:r>
            <w:r>
              <w:rPr>
                <w:rFonts w:hint="eastAsia" w:ascii="宋体" w:hAnsi="宋体"/>
                <w:b w:val="0"/>
                <w:bCs w:val="0"/>
                <w:color w:val="000000"/>
                <w:sz w:val="24"/>
                <w:szCs w:val="24"/>
                <w:highlight w:val="none"/>
              </w:rPr>
              <w:t xml:space="preserve">.具有矩阵增益调节功能，每个输入通道参与混音的增益可调，增益调节范围等同或优于-72db到12db</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9</w:t>
            </w:r>
            <w:r>
              <w:rPr>
                <w:rFonts w:hint="eastAsia" w:ascii="宋体" w:hAnsi="宋体"/>
                <w:b w:val="0"/>
                <w:bCs w:val="0"/>
                <w:color w:val="000000"/>
                <w:sz w:val="24"/>
                <w:szCs w:val="24"/>
                <w:highlight w:val="none"/>
              </w:rPr>
              <w:t xml:space="preserve">.具有设备定位功能，客户端一键定位局域网内同类设备，被定位的设备会显示定位信息。</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10</w:t>
            </w:r>
            <w:r>
              <w:rPr>
                <w:rFonts w:hint="eastAsia" w:ascii="宋体" w:hAnsi="宋体"/>
                <w:b w:val="0"/>
                <w:bCs w:val="0"/>
                <w:color w:val="000000"/>
                <w:sz w:val="24"/>
                <w:szCs w:val="24"/>
                <w:highlight w:val="none"/>
              </w:rPr>
              <w:t xml:space="preserve">.采用AI人工智能宽度学习算法进行噪声抑制，根据使用场景不同AI语音降噪提供了强、中、弱三个档位可调整。</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w:t>
            </w: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前面板自带IPS真彩显示屏、≥1个编码旋钮、≥1个USB存储设备接口。后面板具有≥8路线路音频凤凰端子平衡输入接口、≥8路线路音频凤凰端子平衡输出接口、≥1个拨码开关、≥1个RJ45接口、≥1个RS232接口、≥1个RS485接口、≥8个可编程GPIO控制接口、≥1个接地柱。</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225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149</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触摸屏</w:t>
            </w:r>
            <w:r>
              <w:rPr>
                <w:rFonts w:hint="eastAsia" w:ascii="宋体" w:hAnsi="宋体"/>
                <w:b w:val="0"/>
                <w:bCs w:val="0"/>
                <w:color w:val="000000"/>
                <w:sz w:val="24"/>
                <w:szCs w:val="24"/>
                <w:highlight w:val="none"/>
              </w:rPr>
            </w:r>
            <w:r/>
          </w:p>
        </w:tc>
        <w:tc>
          <w:tcPr>
            <w:tcW w:w="6806"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1.设备采用操作系统等同或优于Android 11，显示器≥10.1 英寸，显示画面≥1920*1200分辨率，显示屏≥10点触控，摄像头像素≥500W。</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2.设备具有物理隐私拨片，滑动可遮挡摄像头，保护用户隐私。</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3.内置≥4个拾音麦，拾音距离可达≥5米；搭配中控主机支持通过语音助手控制切换矩阵显示画面、设备开关等功能。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4.具有距离传感器，支持感应人体位置，实现人来亮屏功能；具有光感传感器，支持采集周边环境光线亮度值并可将数值实时显示；具有温湿度传感器，支持采集周边温湿度环境并可将数值实时显示。</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5.具有语音唤醒控制功能；呼唤指令词即可唤醒AI语音助手，通过将语音转换成中控指令，实现对周边设备控制或场景调用。</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6.内置≥1个背光灯条，搭配中控主机可根据会议状态切换指示灯显示状态，无需接近即可了解会议室使用情况。</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支持对接会务管理系统；搭配中控主机，可通过手机APP或WEB端预约会议室，设置情景类型以及开始/结束时间；会议开始前，系统会自动调用场景，设备背光灯条自动亮起，同时联动开启室内空调、照明灯具；会议结束后设备联动关闭会议室空调、灯光等设备。</w:t>
            </w:r>
            <w:r>
              <w:rPr>
                <w:rFonts w:hint="eastAsia" w:ascii="宋体" w:hAnsi="宋体"/>
                <w:b w:val="0"/>
                <w:bCs w:val="0"/>
                <w:color w:val="000000"/>
                <w:sz w:val="24"/>
                <w:szCs w:val="24"/>
                <w:highlight w:val="none"/>
              </w:rPr>
            </w:r>
            <w:r/>
          </w:p>
        </w:tc>
      </w:tr>
      <w:tr>
        <w:trPr>
          <w:trHeight w:val="67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150</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新中控编辑软件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1.软件内嵌于中央控制系统触控设备，实现系统控制逻辑、处理等功能。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2.支持编程图片、图形、文字、按键等更具人性化的界面。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3.软件界面简单清晰、操作方便。</w:t>
            </w:r>
            <w:r>
              <w:rPr>
                <w:rFonts w:hint="eastAsia" w:ascii="宋体" w:hAnsi="宋体"/>
                <w:b w:val="0"/>
                <w:bCs w:val="0"/>
                <w:color w:val="000000"/>
                <w:sz w:val="24"/>
                <w:szCs w:val="24"/>
                <w:highlight w:val="none"/>
              </w:rPr>
            </w:r>
            <w:r/>
          </w:p>
        </w:tc>
      </w:tr>
      <w:tr>
        <w:trPr>
          <w:trHeight w:val="382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151</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数字音频处理器软件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1.支持通过软件管理四进四出、八进八出、十二进十二出、十六进十六出通道设备，支持单独配置开关。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2.可根据不同的使用场景存储≥8种预设模式，并通过软件实现场景模式的快速切换。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3.具有USB录播功能，支持通过USB接口播放mp3、wma、sbc、wav格式音频，录制MP3格式的音频,另外还支持录制音频查看并导入电脑本地。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4.支持数据备份功能，可导出预设的参数到本地、导入预设好的数据；支持固件升级，支持网口在线升级DSP固件。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5.支持跨平台使用，支持Windows操作系统，支持国产操作系统。</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6.支持非稳态AI降噪，并提供弱、中、强三种降噪强度，以适应不同环境噪声场景。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7.支持AI回声消除，可在复杂双讲与混响场景下抑制线性及非线性回声的同时去除背景噪声，最大程度保留近端有效语音。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8、投标的数字音频处理器软件与国产操作系统完成兼容性测试，能够达到兼容性要求及性能、可靠性要求，满足用户的关键性应用需求。</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9、支持部署于国产操作系统，与国产操作系统完成兼容性测试，能够达到通用兼容性要求及性能、可靠性要求，满足用户的关键性应用需求。</w:t>
            </w:r>
            <w:r>
              <w:rPr>
                <w:rFonts w:hint="eastAsia" w:ascii="宋体" w:hAnsi="宋体"/>
                <w:b w:val="0"/>
                <w:bCs w:val="0"/>
                <w:color w:val="000000"/>
                <w:sz w:val="24"/>
                <w:szCs w:val="24"/>
                <w:highlight w:val="none"/>
              </w:rPr>
            </w:r>
            <w:r/>
          </w:p>
        </w:tc>
      </w:tr>
      <w:tr>
        <w:trPr>
          <w:trHeight w:val="337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152</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AI反馈抑制器</w:t>
            </w:r>
            <w:r>
              <w:rPr>
                <w:rFonts w:hint="eastAsia" w:ascii="宋体" w:hAnsi="宋体"/>
                <w:b w:val="0"/>
                <w:bCs w:val="0"/>
                <w:color w:val="000000"/>
                <w:sz w:val="24"/>
                <w:szCs w:val="24"/>
                <w:highlight w:val="none"/>
              </w:rPr>
            </w:r>
            <w:r/>
          </w:p>
        </w:tc>
        <w:tc>
          <w:tcPr>
            <w:tcW w:w="6806"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▲1.支持通过声场校正按钮按下预测声反馈回路，支持高、中、低三档输入电平调节。（提供第三方检测机构出具的具有CMA或CNAS标识的检测报告扫描件或复印件）</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2.具有≥2个独立通道，每通道均支持0-99级数字音量调节及静音开关功能，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3.具有移频、陷波反馈抑制功能，支持使用≥48个可编程陷波点。</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4.具有≥2个完全独立的反馈抑制通道，支持每通道自适应反馈抑制（AFC）功能。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5.可通过编码旋钮和IPS屏幕控制和配置设备直通、场景，且屏幕能够显示IP地址、输入和输出通道的实时电平。</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▲6.具有设备定位功能，客户端一键定位局域网内同类设备，被定位的设备会显示定位信息。（提供第三方检测机构出具的具有CMA或CNAS标识的检测报告扫描件或复印件）</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7.具有均衡器功能，提供图示均衡器和参量均衡器类型，提供8段参量均衡器和31段图示均衡器可选。参量均衡器支持高架、低架、参量滤波器类型。图示均衡器支持单点带宽模式配置。</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8.具有分频器功能，具有贝塞尔、林克威治-瑞利、巴特沃斯三种滤波器类型及6/12/18/24/32/48db/oct多种可选。</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反馈抑制器软件可融入会议音频综合管理平台实现音频设备统一管理，平台可扫描音频处理器、混音器、抑制器、功放类产品在线情况，支持扫描同款产品多台在线设备状态，并显示设备硬件名称、硬件IP地址、在线、离线状态信息。（提供第三方检测机构出具的具有CMA或CNAS标识的检测报告扫描件或复印件）</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前面板自带IPS真彩显示屏、具有≥48个LED灯陷波状态指示灯（具有2×12个静态点和2×12个动态点）、≥1个编码旋钮；后面板具有≥1个船形开关、≥2路XLR母座+≥2路TRS母座模拟输入、≥2路XLR公座+≥2路TRS母座模拟输出、≥1个RJ45接口。</w:t>
            </w:r>
            <w:r>
              <w:rPr>
                <w:rFonts w:hint="eastAsia" w:ascii="宋体" w:hAnsi="宋体"/>
                <w:b w:val="0"/>
                <w:bCs w:val="0"/>
                <w:color w:val="000000"/>
                <w:sz w:val="24"/>
                <w:szCs w:val="24"/>
                <w:highlight w:val="none"/>
              </w:rPr>
            </w:r>
            <w:r/>
          </w:p>
        </w:tc>
      </w:tr>
      <w:tr>
        <w:trPr>
          <w:trHeight w:val="112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153</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电源管理器</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2.当远程控制有效时同时控制后板ALARM（报警）端口导通以起到级联控制ALARM（报警）功能。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3.单个通道最大负载功率≥2200W，所有通道负载总功率≥6000W。输出连接器：多用途电源插座。</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4.具有≥1路USB接口。</w:t>
            </w:r>
            <w:r>
              <w:rPr>
                <w:rFonts w:hint="eastAsia" w:ascii="宋体" w:hAnsi="宋体"/>
                <w:b w:val="0"/>
                <w:bCs w:val="0"/>
                <w:color w:val="000000"/>
                <w:sz w:val="24"/>
                <w:szCs w:val="24"/>
                <w:highlight w:val="none"/>
              </w:rPr>
            </w:r>
            <w:r/>
          </w:p>
        </w:tc>
      </w:tr>
      <w:tr>
        <w:trPr>
          <w:trHeight w:val="104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154</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无线话筒</w:t>
            </w:r>
            <w:r>
              <w:rPr>
                <w:rFonts w:hint="eastAsia" w:ascii="宋体" w:hAnsi="宋体"/>
                <w:b w:val="0"/>
                <w:bCs w:val="0"/>
                <w:color w:val="000000"/>
                <w:sz w:val="24"/>
                <w:szCs w:val="24"/>
                <w:highlight w:val="none"/>
              </w:rPr>
            </w:r>
            <w:r/>
          </w:p>
        </w:tc>
        <w:tc>
          <w:tcPr>
            <w:tcW w:w="6806"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1.具有混响、均衡、智能静音、音频加密、功率调节功能。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2.具有≥1台接收主机、≥2只手持发射机；频率范围等同或优于640MHz-690MHz。</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3.麦克风均衡器调节功能，具有高、中、低音三种调节档位，每种效果支持≥13档调节。</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4.可通过发射机显示屏，显示频率信息、音频加密状态、功率挡位、静音状态、电量格数信息。</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5.可通过接收机显示屏。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6.发射机供电方式支持Type-C直充、充电底座充电及5号电池（兼容镍氢/碱性/锂电池）供电。</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▲7.具有自动静音功能，麦克风跌落、抛掷时，毫秒级自动静音，避免冲击声；实时监测设备姿态，静置≥5秒静音，≥8分钟关机。（提供第三方检测机构出具的具有CMA或CNAS标识的检测报告扫描件或复印件）</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接收机前面板自带≥2个TFT-LCD显示屏、≥2个编码旋钮、≥2个频率扫描实体按键、≥2个红外对频实体按键、≥1个电源开关按键、≥1个二合一指示灯（红外发射管+对频指示灯）；后面板具有≥1个LINE-OUT接口、≥2个XLR-OUT接口、≥2个BNC接口、≥1个DC接口。发射机自带≥1个OLED显示屏，≥1个开关机/静音按键、≥1个工作状态指示灯。</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9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155</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话筒呼叫控制嵌入软件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1.软件内嵌于无线话筒系统设备，话筒呼叫控制功能。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2.采用UHF超高频段双真分集接收，并采用PLL锁相环多信道频率合成技术。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3.支持自动选讯接收方式。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4.支持信道选择、频率可调、可设置主机与话筒配对。</w:t>
            </w:r>
            <w:r>
              <w:rPr>
                <w:rFonts w:hint="eastAsia" w:ascii="宋体" w:hAnsi="宋体"/>
                <w:b w:val="0"/>
                <w:bCs w:val="0"/>
                <w:color w:val="000000"/>
                <w:sz w:val="24"/>
                <w:szCs w:val="24"/>
                <w:highlight w:val="none"/>
              </w:rPr>
            </w:r>
            <w:r/>
          </w:p>
        </w:tc>
      </w:tr>
      <w:tr>
        <w:trPr>
          <w:trHeight w:val="9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156</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话筒天线</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1.采用吸顶安装，射频频率范围等同或宽于470MHz～950MHz；具有≥五档位（0dB/3dB/6dB/12dB/15dB)增益设置。</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2.驻波比：≤2.0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3.输入阻抗：≤50Ω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4.指向性（水平）：≥120°</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157</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多媒体地插座</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多媒体地插座全铜隐藏式五孔HDMI高清音视频3.5音频6.35话筒</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地插</w:t>
            </w:r>
            <w:r>
              <w:rPr>
                <w:rFonts w:hint="eastAsia" w:ascii="宋体" w:hAnsi="宋体"/>
                <w:b w:val="0"/>
                <w:bCs w:val="0"/>
                <w:color w:val="000000"/>
                <w:sz w:val="24"/>
                <w:szCs w:val="24"/>
                <w:highlight w:val="none"/>
              </w:rPr>
              <w:t xml:space="preserve">模块任意搭配 </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158</w:t>
            </w:r>
            <w:r>
              <w:rPr>
                <w:rFonts w:hint="eastAsia" w:ascii="宋体" w:hAnsi="宋体"/>
                <w:b w:val="0"/>
                <w:bCs w:val="0"/>
                <w:color w:val="000000"/>
                <w:sz w:val="24"/>
                <w:szCs w:val="24"/>
                <w:highlight w:val="none"/>
              </w:rPr>
            </w:r>
            <w:r/>
          </w:p>
        </w:tc>
        <w:tc>
          <w:tcPr>
            <w:gridSpan w:val="2"/>
            <w:tcW w:w="817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3.全数字会议系统</w:t>
            </w:r>
            <w:r>
              <w:rPr>
                <w:rFonts w:hint="eastAsia" w:ascii="宋体" w:hAnsi="宋体"/>
                <w:b w:val="0"/>
                <w:bCs w:val="0"/>
                <w:color w:val="000000"/>
                <w:sz w:val="24"/>
                <w:szCs w:val="24"/>
                <w:highlight w:val="none"/>
              </w:rPr>
            </w:r>
            <w:r/>
          </w:p>
        </w:tc>
      </w:tr>
      <w:tr>
        <w:trPr>
          <w:trHeight w:val="91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159</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全数字会议系统主机</w:t>
            </w:r>
            <w:r>
              <w:rPr>
                <w:rFonts w:hint="eastAsia" w:ascii="宋体" w:hAnsi="宋体"/>
                <w:b w:val="0"/>
                <w:bCs w:val="0"/>
                <w:color w:val="000000"/>
                <w:sz w:val="24"/>
                <w:szCs w:val="24"/>
                <w:highlight w:val="none"/>
              </w:rPr>
            </w:r>
            <w:r/>
          </w:p>
        </w:tc>
        <w:tc>
          <w:tcPr>
            <w:tcW w:w="6806"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音频输出通道可配置为有线话筒角色分离输出模式、无线话筒角色分离输出模式、同传模式；每个音频输出通道都能独立调节音频参数，包括≥30级音量调节、≥10段均衡器调节、≥100级延时器调节功能；具有≥16路音频通道同时输出。</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t xml:space="preserve">.具有C/S、B/S管控架构，包括客户端、Web端、本机全彩触摸屏、安卓手</w:t>
            </w:r>
            <w:r>
              <w:rPr>
                <w:rFonts w:hint="eastAsia" w:ascii="宋体" w:hAnsi="宋体"/>
                <w:b w:val="0"/>
                <w:bCs w:val="0"/>
                <w:color w:val="000000"/>
                <w:sz w:val="24"/>
                <w:szCs w:val="24"/>
                <w:highlight w:val="none"/>
              </w:rPr>
              <w:t xml:space="preserve">机/平板控制方式；通过客户端、Web端可调节音频矩阵参数（包括EQ、音量、延时器、会议单元灵敏度等）、≥16通道输出模式切换、开关会议单元、控制角色分离主机功能；使用本机全彩触摸屏可调节会议模式、有线/无线会议单元开麦数量、编ID、主机/从机设置、显示亮度/输出音量调节、显示剩余使用天数、输入注册码进行主机注册功能；使用安卓手机/平板可控制会议单元开关、开启签到、投票、表决、接收会议服务信息、一键关闭无线会议单元功能，免客户端操作。（提供第三方检测机构出具的具有CMA或CNAS标识的检测报告扫描件或复印件）</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t xml:space="preserve">.支持在web管理端切换个性化主题风格功能，不同主题提供不同UI界面背景颜色。</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rPr>
              <w:t xml:space="preserve">.可通过Web端远程固件升级；数字会议主机实时监测无线会议单元在线状态、有线会议单元的在线状态、设备故障信息（火警提示（主机、会议单元提示）、ID重复）。</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t xml:space="preserve">.系统支持≥24台会议单元同时发言，其中支持≥16台有线会议单元和≥8台无线会议单元同时发言；具有自定义会议单元发言人数功能，有线会议单元发言人数范围可设置为等同或优于1至16之间；无线会议单元发言人数范围可设置为等同或优于1至8之间。（提供第三方检测机构出具的具有CMA或CNAS标识的检测报告扫描件或复印件）</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t xml:space="preserve">.支持搭配话筒处理器使用，提供反馈抑制、智能混音以及自动增益音频调节处理功能。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7</w:t>
            </w:r>
            <w:r>
              <w:rPr>
                <w:rFonts w:hint="eastAsia" w:ascii="宋体" w:hAnsi="宋体"/>
                <w:b w:val="0"/>
                <w:bCs w:val="0"/>
                <w:color w:val="000000"/>
                <w:sz w:val="24"/>
                <w:szCs w:val="24"/>
                <w:highlight w:val="none"/>
              </w:rPr>
              <w:t xml:space="preserve">.会议主机支持融入会议音频综合管理平台实现音频设备统一管理，平台可手动添加全数字会议系统主机类产品并查看在线情况；同款产品多台在线设备可手动添加，并显示设备硬件名称、硬件IP地址、在线、离线状态信息；平台具备一键上传配置信息至云端或保存本地进行备份功能和一键还原配置信息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8</w:t>
            </w:r>
            <w:r>
              <w:rPr>
                <w:rFonts w:hint="eastAsia" w:ascii="宋体" w:hAnsi="宋体"/>
                <w:b w:val="0"/>
                <w:bCs w:val="0"/>
                <w:color w:val="000000"/>
                <w:sz w:val="24"/>
                <w:szCs w:val="24"/>
                <w:highlight w:val="none"/>
              </w:rPr>
              <w:t xml:space="preserve">.支持≥10段EQ调节功能，≥16路多功能输出通道与≥2路LINEOUT输出通道都具有≥10段EQ调节功能。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9</w:t>
            </w:r>
            <w:r>
              <w:rPr>
                <w:rFonts w:hint="eastAsia" w:ascii="宋体" w:hAnsi="宋体"/>
                <w:b w:val="0"/>
                <w:bCs w:val="0"/>
                <w:color w:val="000000"/>
                <w:sz w:val="24"/>
                <w:szCs w:val="24"/>
                <w:highlight w:val="none"/>
              </w:rPr>
              <w:t xml:space="preserve">.自带≥4.3英寸全彩触摸屏；≥1个USB接口；≥2路RS-232接口、≥1路RS-485接口、≥4路RJ45通讯接口；≥1路RCA输入、≥1路卡侬输入、≥2路凤凰端子输入接口；≥1路RCA输出、≥1路卡侬输出、≥16路凤凰端子输出接口；≥1个拨码开关、≥1个接地柱，≥1个消防报警接口。</w:t>
            </w:r>
            <w:r>
              <w:rPr>
                <w:rFonts w:hint="eastAsia" w:ascii="宋体" w:hAnsi="宋体"/>
                <w:b w:val="0"/>
                <w:bCs w:val="0"/>
                <w:color w:val="000000"/>
                <w:sz w:val="24"/>
                <w:szCs w:val="24"/>
                <w:highlight w:val="none"/>
              </w:rPr>
            </w:r>
            <w:r/>
          </w:p>
        </w:tc>
      </w:tr>
      <w:tr>
        <w:trPr>
          <w:trHeight w:val="112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160</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数字会议系统</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1.软件内嵌于会议系统主机设备，应用于对传音会议系统音频传输软件的管理或控制。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2.支持同声传译功能。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3.内置DSP音频处理技术，支持EQ均衡调节音频处理能力。</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4.支持话筒管理能力，通过不同的模式限制话筒发言数量。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5.软件支持根据话筒ID提供不同的代码编号给中控系统，与中控系统对接后，可实现摄像自动跟踪功能。</w:t>
            </w:r>
            <w:r>
              <w:rPr>
                <w:rFonts w:hint="eastAsia" w:ascii="宋体" w:hAnsi="宋体"/>
                <w:b w:val="0"/>
                <w:bCs w:val="0"/>
                <w:color w:val="000000"/>
                <w:sz w:val="24"/>
                <w:szCs w:val="24"/>
                <w:highlight w:val="none"/>
              </w:rPr>
            </w:r>
            <w:r/>
          </w:p>
        </w:tc>
      </w:tr>
      <w:tr>
        <w:trPr>
          <w:trHeight w:val="27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161</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会议话筒处理器</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2.可对接摄像机实现摄像跟踪功能；内置≥64个话筒预置位，满足大型会议室摄像跟踪需求。</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3.后面板具有≥1个船形开关、≥4个RJ45、≥1个RS485、≥2个RS232、≥1个TYPE-C接口、≥1个拨码开关、≥1路卡侬输出接口和≥2路RCA输出接口；前面板具有≥1个AFC电容触摸开关；≥4个状态指示灯（包括≥1个AFC 功能状态指示灯、≥1个音频信号灯、≥1个处理器工作状态指示灯、≥1个工作电源指示灯）。</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处理器与数字会议主机通过网络传输链路传输会议单元音频信号，只需要通过网线即可以接收数字会议单元音频信号，并提供自动增益、自动混音、AFC反馈抑制（≥24个可编程陷波点）、EQ调节（≥31段图示均衡器调节）音频处理功能。</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5.采用啸叫检测门限更新法，移频+陷波组合反馈抑制方式，具有≥24个可编程陷波点，可自由分配动态/静态点，自动/手动切换。</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产品软件与数字会议主机软件集成，可以实现使用同一软件配置数字会议主机和会议话筒处理器；支持搭配音频综合管理平台集中管控各种音频设备，包含数字会议系统软件模块、电子桌牌软件模块、反馈抑制器软件模块、智能混音器软件模块、数字音频处理器软件模块、智控数字专业功放软件模块，各模块打开呈现在状态栏窗口，可快速管理和调用。</w:t>
            </w:r>
            <w:r>
              <w:rPr>
                <w:rFonts w:hint="eastAsia" w:ascii="宋体" w:hAnsi="宋体"/>
                <w:b w:val="0"/>
                <w:bCs w:val="0"/>
                <w:color w:val="000000"/>
                <w:sz w:val="24"/>
                <w:szCs w:val="24"/>
                <w:highlight w:val="none"/>
              </w:rPr>
            </w:r>
            <w:r/>
          </w:p>
        </w:tc>
      </w:tr>
      <w:tr>
        <w:trPr>
          <w:trHeight w:val="427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162</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会议话筒</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采用电容触摸按键。</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2.单元采用非压缩音频传输技术，≥48K采样率，等同或优于80Hz-16KHz带宽音质。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3.单元采用≥100M网络传输，网络连接采用网线手拉手。</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4.单元通信采用标准TCP/IP协议，且每个单元可支持ping包功能。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5.采用全彩触屏。咪杆高度（或长度）≤240mm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6.同声传译支持≥63+1通道，单元具有双通道收听功能，可同时收听不同译员通道。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7.单元支持 PC 软件话筒控制，支持声控功能。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8.主席单元具备关闭代表单元发言的优先权限。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9.每个单元支持web管理服务。</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10.支持≥四种语言切换，支持调节话筒ID号、话筒灵敏度、话筒EQ等参数。</w:t>
            </w:r>
            <w:r>
              <w:rPr>
                <w:rFonts w:hint="eastAsia" w:ascii="宋体" w:hAnsi="宋体"/>
                <w:b w:val="0"/>
                <w:bCs w:val="0"/>
                <w:color w:val="000000"/>
                <w:sz w:val="24"/>
                <w:szCs w:val="24"/>
                <w:highlight w:val="none"/>
              </w:rPr>
            </w:r>
            <w:r/>
          </w:p>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11.单元具有发言计时和定时发言功能，代表机具有申请发言功能。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12.单元内部具有反馈抑制功能，具有声控功能，声控灵敏度可调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13.单元具有≥5 段 EQ 调节功能。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14.单元支持签到功能，也可以通过PC软件禁止单元签到、控制单元签到等功能。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15.单元支持表决功能，有多种表决模式选择，且选项内容可自定义下发到单元显示。</w:t>
            </w:r>
            <w:r>
              <w:rPr>
                <w:rFonts w:hint="eastAsia" w:ascii="宋体" w:hAnsi="宋体"/>
                <w:b w:val="0"/>
                <w:bCs w:val="0"/>
                <w:color w:val="000000"/>
                <w:sz w:val="24"/>
                <w:szCs w:val="24"/>
                <w:highlight w:val="none"/>
              </w:rPr>
            </w:r>
            <w:r/>
          </w:p>
        </w:tc>
      </w:tr>
      <w:tr>
        <w:trPr>
          <w:trHeight w:val="9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163</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会议主席控制内嵌软件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技术参数：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1.软件内嵌于会议单元设备，应用于对会议系统音频传输软件的管理或控制。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2.支持签到功能，也可以通过PC软件禁止单元签到、控制单元签到等功能。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3.支持≥48KHz采样率音频处理能力。</w:t>
            </w:r>
            <w:r>
              <w:rPr>
                <w:rFonts w:hint="eastAsia" w:ascii="宋体" w:hAnsi="宋体"/>
                <w:b w:val="0"/>
                <w:bCs w:val="0"/>
                <w:color w:val="000000"/>
                <w:sz w:val="24"/>
                <w:szCs w:val="24"/>
                <w:highlight w:val="none"/>
              </w:rPr>
            </w:r>
            <w:r/>
          </w:p>
        </w:tc>
      </w:tr>
      <w:tr>
        <w:trPr>
          <w:trHeight w:val="405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164</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会议话筒</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1.采用电容触摸按键。</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2.单元采用非压缩音频传输技术，≥48K采样率，等同或优于80Hz-16KHz带宽音质。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3.单元采用≥100M网络传输，网络连接采用网线手拉手。</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4.单元通信采用标准TCP/IP协议，且每个单元可支持ping包功能。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5.采用全彩触屏。咪杆高度（或长度）≤240mm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6.同声传译支持≥63+1通道，单元具有双通道收听功能，可同时收听不同译员通道。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7.单元支持 PC 软件话筒控制，支持声控功能。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8.每个单元支持web管理服务。</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9.支持≥四种语言切换，支持调节话筒ID号、话筒灵敏度、话筒EQ等参数。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10.单元具有发言计时和定时发言功能，代表机具有申请发言功能。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11.单元内部具有反馈抑制功能，具有声控功能，声控灵敏度可调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12.单元具有≥5 段 EQ 调节功能。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13.单元支持签到功能，也可以通过PC软件禁止单元签到、控制单元签到等功能。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14.单元支持表决功能，有多种表决模式选择，且选项内容可自定义下发到单元显示。</w:t>
            </w:r>
            <w:r>
              <w:rPr>
                <w:rFonts w:hint="eastAsia" w:ascii="宋体" w:hAnsi="宋体"/>
                <w:b w:val="0"/>
                <w:bCs w:val="0"/>
                <w:color w:val="000000"/>
                <w:sz w:val="24"/>
                <w:szCs w:val="24"/>
                <w:highlight w:val="none"/>
              </w:rPr>
            </w:r>
            <w:r/>
          </w:p>
        </w:tc>
      </w:tr>
      <w:tr>
        <w:trPr>
          <w:trHeight w:val="9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165</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全数字会议系统音频传输内嵌软件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技术参数：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1.软件内嵌于会议单元设备，应用于对会议系统音频传输软件的管理或控制。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2.支持签到功能，也可以通过PC软件禁止单元签到、控制单元签到等功能。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3.支持≥48KHz采样率音频处理能力。</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166</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连接线</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≥20米延长线（一公一母）</w:t>
            </w:r>
            <w:r>
              <w:rPr>
                <w:rFonts w:hint="eastAsia" w:ascii="宋体" w:hAnsi="宋体"/>
                <w:b w:val="0"/>
                <w:bCs w:val="0"/>
                <w:color w:val="000000"/>
                <w:sz w:val="24"/>
                <w:szCs w:val="24"/>
                <w:highlight w:val="none"/>
              </w:rPr>
            </w:r>
            <w:r/>
          </w:p>
        </w:tc>
      </w:tr>
      <w:tr>
        <w:trPr>
          <w:trHeight w:val="67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167</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插座</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1.一进三出连接单元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2.采用 ≥100M/10M 自适应网络传输，可以实现手拉手级联。</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3.每个六芯航空接口支持IEEE802.3、IEEE802.3u、 IEEE802.3x规范。</w:t>
            </w:r>
            <w:r>
              <w:rPr>
                <w:rFonts w:hint="eastAsia" w:ascii="宋体" w:hAnsi="宋体"/>
                <w:b w:val="0"/>
                <w:bCs w:val="0"/>
                <w:color w:val="000000"/>
                <w:sz w:val="24"/>
                <w:szCs w:val="24"/>
                <w:highlight w:val="none"/>
              </w:rPr>
            </w:r>
            <w:r/>
          </w:p>
        </w:tc>
      </w:tr>
      <w:tr>
        <w:trPr>
          <w:trHeight w:val="157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168</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音频隔离器</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1.一款双通道音频隔离器。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2.低底噪、无50Hz交流“嗡”声、无高频“嗞啦”干扰。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3.点对点平衡传输音频，可以选择前面板2个接口中的任意一个COMBO接口输入，从后面板对应COMBO接口输出。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4.即插即用，支持热插拨。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5.隔离滤波音频传输最远传输信号等同或优于450－600米。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6.内置瞬态、浪涌抑制、抗静电保护电路。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7.具有≥2路XLR输入；具有≥2路XLR输出</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169</w:t>
            </w:r>
            <w:r>
              <w:rPr>
                <w:rFonts w:hint="eastAsia" w:ascii="宋体" w:hAnsi="宋体"/>
                <w:b w:val="0"/>
                <w:bCs w:val="0"/>
                <w:color w:val="000000"/>
                <w:sz w:val="24"/>
                <w:szCs w:val="24"/>
                <w:highlight w:val="none"/>
              </w:rPr>
            </w:r>
            <w:r/>
          </w:p>
        </w:tc>
        <w:tc>
          <w:tcPr>
            <w:gridSpan w:val="2"/>
            <w:tcW w:w="817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4.矩阵系统</w:t>
            </w:r>
            <w:r>
              <w:rPr>
                <w:rFonts w:hint="eastAsia" w:ascii="宋体" w:hAnsi="宋体"/>
                <w:b w:val="0"/>
                <w:bCs w:val="0"/>
                <w:color w:val="000000"/>
                <w:sz w:val="24"/>
                <w:szCs w:val="24"/>
                <w:highlight w:val="none"/>
              </w:rPr>
            </w:r>
            <w:r/>
          </w:p>
        </w:tc>
      </w:tr>
      <w:tr>
        <w:trPr>
          <w:trHeight w:val="144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170</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超高清视频无缝切换矩阵</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1.支持≥4个HDMI输入接口，≥4个HDMI输出接口。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2.最大输入输出分辨率≥3840×2160P@60Hz。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3.支持视频无缝切换、无闪屏、无黑屏。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4.控制接口：≥1×RS-232、≥1×RS-485、≥1×红外传感接收器、≥1×网口、≥1×UPDATE。</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5.面板按键：≥4×输入按键、≥4×输出按键、≥6×功能按键。</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6.支持EDID管理，可选默认EDID或者现场可学习。</w:t>
            </w:r>
            <w:r>
              <w:rPr>
                <w:rFonts w:hint="eastAsia" w:ascii="宋体" w:hAnsi="宋体"/>
                <w:b w:val="0"/>
                <w:bCs w:val="0"/>
                <w:color w:val="000000"/>
                <w:sz w:val="24"/>
                <w:szCs w:val="24"/>
                <w:highlight w:val="none"/>
              </w:rPr>
            </w:r>
            <w:r/>
          </w:p>
        </w:tc>
      </w:tr>
      <w:tr>
        <w:trPr>
          <w:trHeight w:val="12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171</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智能混合矩阵切换嵌入软件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1.软件内嵌于高清矩阵系统设备，实现信号的处理、切换功能。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2.支持分辨率≥1920×1080P@60Hz、4K的处理能力。</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3.采用创新的音频配置/切换技术，杜绝音频切换中的爆音、卡顿现象。</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4.支持音视频分离技术，音视频传输相互独立。</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5.支持OSD菜单，可配置输出画面参数。</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172</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多媒体地插座</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多媒体地插座全铜隐藏式五孔</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同时可配置HDMI高清、 3.5mm 音频、6.35mm 话筒</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模块任意搭配 </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r>
            <w:r/>
          </w:p>
        </w:tc>
      </w:tr>
      <w:tr>
        <w:trPr>
          <w:trHeight w:val="144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173</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返看电视机</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1.65英寸4K超高清全面屏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2.屏幕刷新率288hz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3.WIFI频段：2.4G&amp;5G</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4.CPU架构：四核A73</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5.运行内存：4G</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6.存储内存：64G</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174</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移动落地电视挂架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（65-86') 电视支架电视移动支架电视支架落地电视机支架小米电视推车可移动</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175</w:t>
            </w:r>
            <w:r>
              <w:rPr>
                <w:rFonts w:hint="eastAsia" w:ascii="宋体" w:hAnsi="宋体"/>
                <w:b w:val="0"/>
                <w:bCs w:val="0"/>
                <w:color w:val="000000"/>
                <w:sz w:val="24"/>
                <w:szCs w:val="24"/>
                <w:highlight w:val="none"/>
              </w:rPr>
            </w:r>
            <w:r/>
          </w:p>
        </w:tc>
        <w:tc>
          <w:tcPr>
            <w:gridSpan w:val="2"/>
            <w:tcW w:w="817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5.会议录播系统</w:t>
            </w:r>
            <w:r>
              <w:rPr>
                <w:rFonts w:hint="eastAsia" w:ascii="宋体" w:hAnsi="宋体"/>
                <w:b w:val="0"/>
                <w:bCs w:val="0"/>
                <w:color w:val="000000"/>
                <w:sz w:val="24"/>
                <w:szCs w:val="24"/>
                <w:highlight w:val="none"/>
              </w:rPr>
            </w:r>
            <w:r/>
          </w:p>
        </w:tc>
      </w:tr>
      <w:tr>
        <w:trPr>
          <w:trHeight w:val="32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176</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摄像机</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1.摄像机采用≥1/2.8英寸，像素≥842万高品质图像传感器，输出分辨率≥4K@30。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2.采用≥60.7°高品质光学镜头，光学变焦≥20倍，支持≥16倍数字变焦。</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3.支持AI人形跟踪功能，内置高速处理器以及采用先进的图像处理和分析算法，用户可根据使用环境，选择实时跟踪与区域跟踪。</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4.具备≥1路HDMI输出接口、≥1路3G-SDI、≥1路USB3.0输出接口、≥1路网络接口，支持≥4路视频接口同时输出。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5.具备≥1路3.5mm音频输入接口，支持AAC音频压缩。</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6.支持ONVIF、GB/T28181、RTSP、RTMP网络协议；支持RTMP推送模式，轻松连接流媒体服务器(Wowza、FMS)；支持RTP组播模式以及网络全命令VISCA控制协议。</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7.具备≥1路RS-485、≥1路RS-232控制接口，支持VISCA、PELCO-D、PELCO-P控制协议，以及支持自动识别协议。</w:t>
            </w:r>
            <w:r>
              <w:rPr>
                <w:rFonts w:hint="eastAsia" w:ascii="宋体" w:hAnsi="宋体"/>
                <w:b w:val="0"/>
                <w:bCs w:val="0"/>
                <w:color w:val="000000"/>
                <w:sz w:val="24"/>
                <w:szCs w:val="24"/>
                <w:highlight w:val="none"/>
              </w:rPr>
            </w:r>
            <w:r/>
          </w:p>
        </w:tc>
      </w:tr>
      <w:tr>
        <w:trPr>
          <w:trHeight w:val="12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177</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高清视频会议专用摄像头内嵌软件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1.软件内嵌于高清视频会议专用摄像头，实现高清视频拍摄采集处理功能。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2.支持对高清视频信号的处理、传输；支持H.264视频编解码技术能力。</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3.支持光学变焦处理能力，支持通过串口实现远程控制。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4.支持2D、3D降噪技术。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5.支持预置位设定及调用功能。</w:t>
            </w:r>
            <w:r>
              <w:rPr>
                <w:rFonts w:hint="eastAsia" w:ascii="宋体" w:hAnsi="宋体"/>
                <w:b w:val="0"/>
                <w:bCs w:val="0"/>
                <w:color w:val="000000"/>
                <w:sz w:val="24"/>
                <w:szCs w:val="24"/>
                <w:highlight w:val="none"/>
              </w:rPr>
            </w:r>
            <w:r/>
          </w:p>
        </w:tc>
      </w:tr>
      <w:tr>
        <w:trPr>
          <w:trHeight w:val="139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178</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AI智慧录播主机</w:t>
            </w:r>
            <w:r>
              <w:rPr>
                <w:rFonts w:hint="eastAsia" w:ascii="宋体" w:hAnsi="宋体"/>
                <w:b w:val="0"/>
                <w:bCs w:val="0"/>
                <w:color w:val="000000"/>
                <w:sz w:val="24"/>
                <w:szCs w:val="24"/>
                <w:highlight w:val="none"/>
              </w:rPr>
            </w:r>
            <w:r/>
          </w:p>
        </w:tc>
        <w:tc>
          <w:tcPr>
            <w:tcW w:w="6806"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1.内置LCD屏，显示设备运行状态、参数信息、硬盘容量、音频状态、资源通道录制状态、文件拷贝进度。设备具备≥4个物理按键，具备一键录制、停止、直播以及一键拷贝录制文件的能力。</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具备≥1路HDMI输入接口，≥4K分辨率画面采集以及音频采集；具备≥2路3G-SDI信号输入接口，且SDI接口具备POC功能，支持POC设备自适应识别，实现一条线完成视频传输、云台控制和供电功能。具备≥2路HDMI输出接口，其中≥1路4K分辨率以及音频输出；具备≥1路Type-C视频输出接口，≥1080P分辨率。具备≥3路3.5mm音频输入接口，≥3路3.5mm音频输出接口。</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具备≥1路RS-232凤凰端子接口和≥1路RS-485凤凰端子接口，RS-232端子具备12V供电，可对接各种串口协议设备并对该设备进行供电；具备≥3路USB接口、≥2路Type-C接口，可用于接U盘或者键盘鼠标，支持视频采集、文件拷贝、升级功能；自带2.4G遥控器，可通过遥控器实现控制录制和导播功能。具备≥4路802.3ab 1000Base-T千兆网络接口，其中≥3路具备POE功能，实现一根网线实现供电和供网；支持IPv4地址和IPv6地址。</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4.设备可实现≥6路4K网络摄像头同时接入解码，具备≥4路资源画面合成输出≥4K分辨率的PGM画面。</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5.具备嵌入式导播控制台，可实时预览≥7路画面：≥1路PGM画面预览和≥6路资源通道预览，支持≥7路视频流录制，录制的文件格式支持MP4、AVI、MOV、FLV、TS和MKV格式，码率支持256kbps~20Mbps。</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6.异常修复：具备供电异常导致的损坏的视频文件可进行文件修复，修复的文件格式包括MP4、AVI、MOV、FLV和MKV视频封装格式。</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具备软件中控，在录播管理界面填写好中控指令，即可通过界面进行中控操作，对接其它设备进行一键控制；支持录播安卓APP对接和控制；支持对接私有云平台服务器。对接成功后，云平台可对设备进行统一的管控，方便对多台录播设备进行管理。</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音视频互动模式下，可实现HDMI输出主会场和分会场的画面，当主会场开启辅流共享时，主会场和分会场的HDMI接口都输出主会场的电脑课件内容；主会场不开启辅流共享时，主会场的HDMI接口输出主会场的电脑课件内容，分会场的HDMI接口输出分会场的电脑课件内容。</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9.会议跟踪：对接会议讨论系统，可实现会议单元发言人跟踪、控制摄像头进行精准发言人拍摄，≥126个桌麦发言跟踪。支持多画面合成模式，发言人跟踪的画面切换仅切换主画面，其它辅画面保持不变。</w:t>
            </w:r>
            <w:r>
              <w:rPr>
                <w:rFonts w:hint="eastAsia" w:ascii="宋体" w:hAnsi="宋体"/>
                <w:b w:val="0"/>
                <w:bCs w:val="0"/>
                <w:color w:val="000000"/>
                <w:sz w:val="24"/>
                <w:szCs w:val="24"/>
                <w:highlight w:val="none"/>
              </w:rPr>
            </w:r>
            <w:r/>
          </w:p>
        </w:tc>
      </w:tr>
      <w:tr>
        <w:trPr>
          <w:trHeight w:val="12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179</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嵌入式DSP的编解码器系统</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1.软件内嵌录播主机，运行在Linux操作系统环境，支持B/S管理。</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2.软件支持添加录制片头、添加字幕、添加logo以及预约录制等功能。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3.软件支持对课堂或培训课堂录制的控制和管理，具有录制资源模式、录制电影模式、录制暂停、选择录制格式等功能。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4.软件支持多画面模式等，支持自定义布局。</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5.软件支持通过导播台、导播键盘、导播软件等方式进行控制和管理录播主机。</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180</w:t>
            </w:r>
            <w:r>
              <w:rPr>
                <w:rFonts w:hint="eastAsia" w:ascii="宋体" w:hAnsi="宋体"/>
                <w:b w:val="0"/>
                <w:bCs w:val="0"/>
                <w:color w:val="000000"/>
                <w:sz w:val="24"/>
                <w:szCs w:val="24"/>
                <w:highlight w:val="none"/>
              </w:rPr>
            </w:r>
            <w:r/>
          </w:p>
        </w:tc>
        <w:tc>
          <w:tcPr>
            <w:gridSpan w:val="2"/>
            <w:tcW w:w="817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6.辅助材料</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181</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音频连接线</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1.8米音频连接线：卡侬头（母）-卡侬头（公）</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182</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音频连接线</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1.8米音频连接线：3.5（耳机插头）-6.35话筒插头</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183</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音频连接线</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1.8米音频连接线：3.5（耳机插头）-双莲花（RCA）</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184</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机柜</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32U，600*800*1600，钢化玻璃门</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185</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其它辅材</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接插件、专用插座等</w:t>
            </w:r>
            <w:r>
              <w:rPr>
                <w:rFonts w:hint="eastAsia" w:ascii="宋体" w:hAnsi="宋体"/>
                <w:b w:val="0"/>
                <w:bCs w:val="0"/>
                <w:color w:val="000000"/>
                <w:sz w:val="24"/>
                <w:szCs w:val="24"/>
                <w:highlight w:val="none"/>
              </w:rPr>
            </w:r>
            <w:r/>
          </w:p>
        </w:tc>
      </w:tr>
      <w:tr>
        <w:trPr>
          <w:trHeight w:val="375"/>
        </w:trPr>
        <w:tc>
          <w:tcPr>
            <w:tcW w:w="384"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c>
          <w:tcPr>
            <w:gridSpan w:val="2"/>
            <w:tcW w:w="8173"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行政楼无纸化会议系统</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186</w:t>
            </w:r>
            <w:r>
              <w:rPr>
                <w:rFonts w:hint="eastAsia" w:ascii="宋体" w:hAnsi="宋体"/>
                <w:b w:val="0"/>
                <w:bCs w:val="0"/>
                <w:color w:val="000000"/>
                <w:sz w:val="24"/>
                <w:szCs w:val="24"/>
                <w:highlight w:val="none"/>
              </w:rPr>
            </w:r>
            <w:r/>
          </w:p>
        </w:tc>
        <w:tc>
          <w:tcPr>
            <w:gridSpan w:val="2"/>
            <w:tcW w:w="817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1.视频显示系统</w:t>
            </w:r>
            <w:r>
              <w:rPr>
                <w:rFonts w:hint="eastAsia" w:ascii="宋体" w:hAnsi="宋体"/>
                <w:b w:val="0"/>
                <w:bCs w:val="0"/>
                <w:color w:val="000000"/>
                <w:sz w:val="24"/>
                <w:szCs w:val="24"/>
                <w:highlight w:val="none"/>
              </w:rPr>
            </w:r>
            <w:r/>
          </w:p>
        </w:tc>
      </w:tr>
      <w:tr>
        <w:trPr>
          <w:trHeight w:val="10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187</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LED显示屏</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显示屏宽度3.84米，高度2.24米，显示分辨率≥2064点×1204点；</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★1.像素间距：≤1.86mm；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2.像素密度：≥288906点/㎡；</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3.像素构成：表贴三合一；</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4.白平衡亮度：≥835nits可调；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5.对比度：≥10000:1；</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6.安装维护方式：同时支持完全前、后安装，支持前拆前维护和后拆后维护；</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6.亮度鉴别等级C级，BJ≥20；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7.可视角度：水平视角≥175°，垂直视角≥175°；</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8.刷新频率：≥3840Hz，换帧频率：50Hz&amp;60Hz；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9.像素失控率：≤1/2000000 出厂为0（无死点）；</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10.峰值功率：≤400W/㎡；平均功率：≤125W/㎡；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11.使用寿命：≥100000小时；MTBF平均失效间隔时间：≥100000小时；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12.屏体散热：采用无风扇散热结构；</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13.LED显示屏带有智能(黑屏)节电功能，开启智能节电功能比没有开启节能55%以上；</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14.显示屏休眠模式的功耗：平米最大功耗≤45W/㎡；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15.模组供电：屏体发光模组采用4.5VDC的安全电压供电；</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16.稳定性试验：设备在正常工作条件下，连续工作168h，未出现电性、机械及操作系统的故障；</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17.具有一键除湿功能，对显示屏灯珠进行预热，蒸发LED灯珠内部湿气，支持自动检测长时间没有使用屏体，将启动除湿模式30min，使屏体从10%到100%亮度逐步显示，提升产品稳定性；</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18.具备数据传输安全技术，采用网线传导加扰技术，使用时无需配置，接上电源后即可实现各端口的网线传导加扰，防止传输信息怕失泄密及防止劫持相关设备；干扰信号带宽：10MHz～1.5GHz;相关干扰信号幅度(Vp-p)&gt;2.5V;无线防护输出功率40mW;电源隔离度 10KHz～30MHz≥40dB；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19.静态图像清晰度、运动图像清晰度、图像均匀性、拼装精度根据SJ/T 11590-2016 LED显示屏图像质量主观评价方法符合评价优(5分)；</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20.具有视频降噪、增强、运动补偿、色坐标变换处理、钝化处理、无几何失真和非线性失真现象、消鬼影拖尾，无“毛毛虫”“鬼影”跟随现象；</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21.具有防潮，防尘，防腐蚀，防电磁干扰、防静电等功能，具有过流、短路、过压、欠压保护等功能；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22.具有双备份电源/双信号冗余备份技术，支持双电网供电，当其中一路交流电网跳闸后，另外一路电网继续供电，实现不间断供电，支持热备份，当其中一块电源失效后，另外一块电源继续工作，从而实现不间断供电；</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23.LED显示屏可实时监控显示屏工作状态，具有故障自动告警功能，发生故障立即发消息到指定邮箱，及时处理；具有多点测温系统，均衡散热，防止局部温度过高造成色彩漂移，并提高显示屏寿命；具有电源温度控制系统，提供电源实时温度监控，超出设定温度自动报警，防止过温失效；具备智能的白平衡补偿和修正功能。</w:t>
            </w:r>
            <w:r>
              <w:rPr>
                <w:rFonts w:hint="eastAsia" w:ascii="宋体" w:hAnsi="宋体"/>
                <w:b w:val="0"/>
                <w:bCs w:val="0"/>
                <w:color w:val="000000"/>
                <w:sz w:val="24"/>
                <w:szCs w:val="24"/>
                <w:highlight w:val="none"/>
              </w:rPr>
            </w:r>
            <w:r/>
          </w:p>
        </w:tc>
      </w:tr>
      <w:tr>
        <w:trPr>
          <w:trHeight w:val="264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188</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同步控制系统</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1、单卡最大带载分辨率 512×512@60Hz；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2、无需转接板，单卡自带HUB75接口，更加稳定；</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3、支持亮度校正，对每个灯点的亮度进行校正，有效消除亮度差异，使整屏的亮度达到高度一致；</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4、快速亮暗线调节在调试软件上进行快速亮暗线调节，快速解决因箱体及模组拼接造成的显示屏亮暗线，调节过程中即时生效，简单易用；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5、配合支持3D功能的独立主控，在软件或独立主控的操作面板上开启3D功能，并设置3D参数，使画面显示3D效果；</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Mapping功能开启，每个箱体上会显示数字，清楚告诉您当前箱体是哪个网口下的哪张接收卡，直观的看到显示屏连接状况。从此让箱体排查变得轻松简单，快速定位问题箱体，再也无需再爬上爬下，根据走线更改连屏文件即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7、可以监测自身的温度和电压，无需其他外设，在软件上可以查看接收卡的温度和电压；</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8、支持画面90度倍数旋转；</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9、支持5pin液晶模块，用于显示接收卡的温度、电压、单次运行时间和总运行时间；</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10、支持回读接收卡的固件程序并保存到本地；</w:t>
            </w:r>
            <w:r>
              <w:rPr>
                <w:rFonts w:hint="eastAsia" w:ascii="宋体" w:hAnsi="宋体"/>
                <w:b w:val="0"/>
                <w:bCs w:val="0"/>
                <w:color w:val="000000"/>
                <w:sz w:val="24"/>
                <w:szCs w:val="24"/>
                <w:highlight w:val="none"/>
              </w:rPr>
            </w:r>
            <w:r/>
          </w:p>
        </w:tc>
      </w:tr>
      <w:tr>
        <w:trPr>
          <w:trHeight w:val="36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189</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视频控制器</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1、采用标准 19 英寸金属结构机箱，机箱为后挂耳结构，上盖无螺钉安装:外壳防护等级符合GB/T 4208-2017中IP20的要求;采用纯硬件 FPGA 架构设计、运行稳定、可靠、高效。</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2、输入接口至少包括1路HDMI2.0+LOOP,2路HDMI1.3，1路USB3.0，最大可支持4096*2160@60HZ信号输入，支持选配1路3G-SDI（IN+LOOP）。</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3、视频输出支持不少于6路千兆网口输出，1路10G-OPT光口，最大带载可达390万像素，最宽支持10240,最高8192。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4、音频输入支持视频口伴随音频输入及独立输入两种模式，音频输出支持网口扩展输出及3.5mm独立音频口输出；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5、支持输入源备份功能，主源丢失下，无需人为操作可自动切换至备源显示，切换过程无黑屏；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6、可支持144HZ高帧率输入输出，输出支持插帧、抽帧、倍频（2倍频、3倍频、4倍频）功能，可将30HZ信号，倍频至120HZ输出；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7、图层能力：最大可支持不少于6个2K图层或1个4K图层+2个2K图层，全部图层大小和位置可单独调节。4K接口输入2K信号，按2K图层计算图层资源；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支持U盘即插即播功能，最大支持4K级（3840*2160@60fps）图片和视频的流畅播放，播放列表计切换效果支持自定义编排，最多支持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10、标配全彩液晶，搭配实体按键，极大的方便了设备整体状态的监控及设备功能的控制:设备功能按键及丝印信息采用全中文提示，项目上无需粘贴额外的标签纸加以区分，清晰直观;</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190</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配电系统</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定制大屏专用配电系统，三相五线制，额定负载不小于10kW，内含接触器、控制开关等，支持分区逐级上电，避免浪涌对电路的冲击。支持手动/自动控制。</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191</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工程结构</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大屏支架采用冷镀锌矩形方钢，整体冷镀锌防腐，镀层均匀，无起皮；主龙骨规格采用30×40mm、20×40mm冷镀锌方钢；横竖杆件采用满焊/螺栓连接，焊接部位须做除锈防腐处理。钢架整体平面度≤3mm，外包黑色哑光不锈钢装饰板，钢架表面无毛刺及锐角等可划伤的可能性存在。</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192</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大屏系统布线</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需满足现场实际使用需求，主电缆长度不少于30米，规格不低于RVV3*4mm²，大屏信号线：超5类网线*6根，HDMI传输线1根，控制线RVV3*1.0mm²*1组，多媒体地插等。</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193</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安装调试</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大屏钢架安装，大屏安装及调试，包括项目实施所需的辅材。</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194</w:t>
            </w:r>
            <w:r>
              <w:rPr>
                <w:rFonts w:hint="eastAsia" w:ascii="宋体" w:hAnsi="宋体"/>
                <w:b w:val="0"/>
                <w:bCs w:val="0"/>
                <w:color w:val="000000"/>
                <w:sz w:val="24"/>
                <w:szCs w:val="24"/>
                <w:highlight w:val="none"/>
              </w:rPr>
            </w:r>
            <w:r/>
          </w:p>
        </w:tc>
        <w:tc>
          <w:tcPr>
            <w:gridSpan w:val="2"/>
            <w:tcW w:w="817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2.扩声系统</w:t>
            </w:r>
            <w:r>
              <w:rPr>
                <w:rFonts w:hint="eastAsia" w:ascii="宋体" w:hAnsi="宋体"/>
                <w:b w:val="0"/>
                <w:bCs w:val="0"/>
                <w:color w:val="000000"/>
                <w:sz w:val="24"/>
                <w:szCs w:val="24"/>
                <w:highlight w:val="none"/>
              </w:rPr>
            </w:r>
            <w:r/>
          </w:p>
        </w:tc>
      </w:tr>
      <w:tr>
        <w:trPr>
          <w:trHeight w:val="168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195</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专业音箱</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1.阻抗≤8Ω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2.频响等同或优于70Hz-20KHz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3.额定功率≥150W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4.灵敏度≥96dB/W/M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5.水平覆盖角≥100°，垂直覆盖角≥80°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6.高音≥3"锥形高音单元×2</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7.低音≥8"低音×1</w:t>
            </w:r>
            <w:r>
              <w:rPr>
                <w:rFonts w:hint="eastAsia" w:ascii="宋体" w:hAnsi="宋体"/>
                <w:b w:val="0"/>
                <w:bCs w:val="0"/>
                <w:color w:val="000000"/>
                <w:sz w:val="24"/>
                <w:szCs w:val="24"/>
                <w:highlight w:val="none"/>
              </w:rPr>
            </w:r>
            <w:r/>
          </w:p>
        </w:tc>
      </w:tr>
      <w:tr>
        <w:trPr>
          <w:trHeight w:val="144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196</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专业功放</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1.标准≤1U机箱设计，采用D类数字功放设计方案。</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2.标准XLR输入接口，和LINK输出口。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3.电源采用开关电源技术，效率高，有效的抑制电源谐波。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4.内置智能削峰限幅器，支持开机软启动，防止开机时向电网吸收大电流，干扰其它用电设备。 </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5.具有：过压保护，欠压保护，过流保护，直流保护，输出短路保护，温控风扇功能。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6.输出功率：立体声8Ω ：≥350W×2；立体声4Ω：≥600W×2；桥接16Ω：≥700W ；桥接8Ω：≥1200W。</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197</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支架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音箱支架</w:t>
            </w:r>
            <w:r>
              <w:rPr>
                <w:rFonts w:hint="eastAsia" w:ascii="宋体" w:hAnsi="宋体"/>
                <w:b w:val="0"/>
                <w:bCs w:val="0"/>
                <w:color w:val="000000"/>
                <w:sz w:val="24"/>
                <w:szCs w:val="24"/>
                <w:highlight w:val="none"/>
              </w:rPr>
            </w:r>
            <w:r/>
          </w:p>
        </w:tc>
      </w:tr>
      <w:tr>
        <w:trPr>
          <w:trHeight w:val="146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198</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AI音频处理器</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1.处理器≥4核，主频≥2.0GHz。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后面板具有≥8路线路音频凤凰端子平衡输入接口VN.QK01157Z（具有48V幻象供电）、≥8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3.输入通道支持前级放大、信号发生</w:t>
            </w:r>
            <w:r>
              <w:rPr>
                <w:rFonts w:hint="eastAsia" w:ascii="宋体" w:hAnsi="宋体"/>
                <w:b w:val="0"/>
                <w:bCs w:val="0"/>
                <w:color w:val="000000"/>
                <w:sz w:val="24"/>
                <w:szCs w:val="24"/>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4.具有矩阵增益调节功能，每个输入通道参与混音的增益可调，增益调节范围等同或优于-72dB到12dB。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5.音频处理器具有跨平台软件，可运行于windows操作系统或国产操作系统或macOS系统或Ubuntu桌面版操作系统。</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6.产品具有PC客户端、手机移动端、安卓平板端不同控制方式，可以同时登入APP软件、PC客户端同时连接设备，并实现多端数据的同步。</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7.设备具有编码旋钮和IPS屏幕，可用于控制和配置设备静音，增益，场景；IPS屏幕能够显示IP地址，输入和输出通道的实时电平。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11.支持双机热备份；当主机出现故障时，备用主机自动承担服务，切换时间≤2s。</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rPr>
                <w:rFonts w:hint="eastAsia" w:ascii="宋体" w:hAnsi="宋体"/>
                <w:b w:val="0"/>
                <w:bCs w:val="0"/>
                <w:color w:val="000000"/>
                <w:sz w:val="24"/>
                <w:szCs w:val="24"/>
                <w:highlight w:val="none"/>
              </w:rPr>
            </w:r>
            <w:r/>
          </w:p>
        </w:tc>
      </w:tr>
      <w:tr>
        <w:trPr>
          <w:trHeight w:val="216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199</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触摸屏</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1.设备采用操作系统等同或优于Android 11，显示器≥10.1 英寸，显示画面≥1920*1200分辨率，显示屏≥10点触控，摄像头像素≥500W。</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2.设备具有物理隐私拨片，滑动可遮挡摄像头，保护用户隐私。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3.内置≥4个拾音麦，拾音距离可达≥5米；搭配中控主机支持通过语音助手控制切换矩阵显示画面、设备开关等功能。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4.具有距离传感器，支持感应人体位置，实现人来亮屏功能；具有光感传感器，支持采集周边环境光线亮度值并可将数值实时显示；具有温湿度传感器，支持采集周边温湿度环境并可将数值实时显示。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5.具有语音唤醒控制功能；呼唤指令词即可唤醒AI语音助手，通过将语音转换成中控指令，实现对周边设备控制或场景调用。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6.内置≥1个背光灯条，搭配中控主机可根据会议状态切换指示灯显示状态，无需接近即可了解会议室使用情况。</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对接会务管理系统；搭配中控主机，可通过手机APP或WEB端预约会议室，设置情景类型以及开始/结束时间；会议开始前，系统会自动调用场景，设备背光灯条自动亮起，同时联动开启室内空调、照明灯具；会议结束后设备联动关闭会议室空调、灯光等设备。</w:t>
            </w:r>
            <w:r>
              <w:rPr>
                <w:rFonts w:hint="eastAsia" w:ascii="宋体" w:hAnsi="宋体"/>
                <w:b w:val="0"/>
                <w:bCs w:val="0"/>
                <w:color w:val="000000"/>
                <w:sz w:val="24"/>
                <w:szCs w:val="24"/>
                <w:highlight w:val="none"/>
              </w:rPr>
            </w:r>
            <w:r/>
          </w:p>
        </w:tc>
      </w:tr>
      <w:tr>
        <w:trPr>
          <w:trHeight w:val="72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200</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新中控编辑软件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1.软件内嵌于中央控制系统触控设备，实现系统控制逻辑、处理等功能。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2.支持编程图片、图形、文字、按键等更具人性化的界面。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3.软件界面简单清晰、操作方便。</w:t>
            </w:r>
            <w:r>
              <w:rPr>
                <w:rFonts w:hint="eastAsia" w:ascii="宋体" w:hAnsi="宋体"/>
                <w:b w:val="0"/>
                <w:bCs w:val="0"/>
                <w:color w:val="000000"/>
                <w:sz w:val="24"/>
                <w:szCs w:val="24"/>
                <w:highlight w:val="none"/>
              </w:rPr>
            </w:r>
            <w:r/>
          </w:p>
        </w:tc>
      </w:tr>
      <w:tr>
        <w:trPr>
          <w:trHeight w:val="1583"/>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201</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数字音频处理器软件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1.支持通过软件管理四进四出、八进八出、十二进十二出、十六进十六出通道设备，支持单独配置开关。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2.可根据不同的使用场景存储≥8种预设模式，并通过软件实现场景模式的快速切换。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具有专家模式和普通模式切换功能；专家模式提供齐全的功能操作界面，具有前级放大、信号发生器、扩展器、压缩器、≥12段参量均衡，≥31段图示均衡、自动增益（AGC）、AM自动混音功能（门限式、增益共享式）、AFC自适应反馈消除、AEC回声消除、ANC噪声消除、音频矩阵功能显示与控制；普通模式提供主要操作界面功能，防止非专业人员误调节音频参数，具有输入通道、输出通道和USB播放、USB录制、通道增益调节和静音开关控制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4.具有USB录播功能，支持通过USB接口播放mp3、wma、sbc、wav格式音频，录制MP3格式的音频,另外还支持录制音频查看并导入电脑本地。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5.支持数据备份功能，可导出预设的参数到本地、导入预设好的数据；支持固件升级，支持网口在线升级DSP固件。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6.支持跨平台使用，支持Windows操作系统，支持国产操作系统。</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7.支持非稳态AI降噪，并提供弱、中、强三种降噪强度，以适应不同环境噪声场景。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8.支持AI回声消除，可在复杂双讲与混响场景下抑制线性及非线性回声的同时去除背景噪声，最大程度保留近端有效语音。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9、投标的数字音频处理器软件与国产操作系统完成兼容性测试，能够达到兼容性要求及性能、可靠性要求，满足用户的关键性应用需求。</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10、支持部署于国产操作系统，与国产操作系统完成兼容性测试，能够达到通用兼容性要求及性能、可靠性要求，满足用户的关键性应用需求。</w:t>
            </w:r>
            <w:r>
              <w:rPr>
                <w:rFonts w:hint="eastAsia" w:ascii="宋体" w:hAnsi="宋体"/>
                <w:b w:val="0"/>
                <w:bCs w:val="0"/>
                <w:color w:val="000000"/>
                <w:sz w:val="24"/>
                <w:szCs w:val="24"/>
                <w:highlight w:val="none"/>
              </w:rPr>
            </w:r>
            <w:r/>
          </w:p>
        </w:tc>
      </w:tr>
      <w:tr>
        <w:trPr>
          <w:trHeight w:val="275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202</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AI反馈抑制器</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b w:val="0"/>
                <w:bCs w:val="0"/>
                <w:color w:val="000000"/>
                <w:sz w:val="24"/>
                <w:szCs w:val="24"/>
                <w:highlight w:val="none"/>
              </w:rPr>
            </w:r>
            <w:r/>
          </w:p>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2.支持声学校正按钮，按下可以预测声反馈回路；提供≥高/中/低三档输入电平调节。</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3.具有≥2个独立通道，每通道均支持等同或宽于0-99级数字音量调节及静音开关功能。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4.基于啸叫检测门限更新法，具有移频+陷波反馈抑制功能，可以使用≥48个可编程陷波点。</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6.设备具有编码旋钮和≥2.0英寸IPS屏幕，可用于控制和配置设备直通、场景。IPS屏幕能够显示IP地址，输入和输出通道的实时电平。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7.具有设备定位，PC客户端具有一键定位局域网内同类设备功能，被定位到的设备会在显示屏上显示定位信息。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8.支持多客户端数据同步，≥2个客户端以上连接混音器设备时，可实现多端数据同步。</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b w:val="0"/>
                <w:bCs w:val="0"/>
                <w:color w:val="000000"/>
                <w:sz w:val="24"/>
                <w:szCs w:val="24"/>
                <w:highlight w:val="none"/>
              </w:rPr>
            </w:r>
            <w:r/>
          </w:p>
        </w:tc>
      </w:tr>
      <w:tr>
        <w:trPr>
          <w:trHeight w:val="12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203</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电源管理器</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2.当远程控制有效时同时控制后板ALARM（报警）端口导通以起到级联控制ALARM（报警）功能。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3.单个通道最大负载功率≥2200W，所有通道负载总功率≥6000W。输出连接器：多用途电源插座。</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4.具有≥1路USB接口。</w:t>
            </w:r>
            <w:r>
              <w:rPr>
                <w:rFonts w:hint="eastAsia" w:ascii="宋体" w:hAnsi="宋体"/>
                <w:b w:val="0"/>
                <w:bCs w:val="0"/>
                <w:color w:val="000000"/>
                <w:sz w:val="24"/>
                <w:szCs w:val="24"/>
                <w:highlight w:val="none"/>
              </w:rPr>
            </w:r>
            <w:r/>
          </w:p>
        </w:tc>
      </w:tr>
      <w:tr>
        <w:trPr>
          <w:trHeight w:val="312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204</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无线话筒</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1.基于数字U段的传输技术，pi/4-DQPSK调制方式；传输距离≥80米，接收机具有≥2路平衡输出、≥1路非平衡混音输出；具有混响、均衡、智能静音、音频加密、功率调节功能。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2.具有≥1台接收主机、≥2只手持发射机；频率范围等同或宽于540MHz-590MHz、640MHz-690MHz两个频段使用。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3.具有自动静音功能，麦克风跌落、抛掷时，毫秒级自动静音，避免冲击声；实时监测设备姿态，静置≥5秒静音，≥8分钟关机，无需手动干预。</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4.具有多档位混响调节功能，混响效果≥15625个，效果占比、回响延时、混响幅度调节，三种音效各具有≥25档调节方式。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5.具有多频段均衡调节功能，均衡调节≥2197种，麦克风均衡器调节功能，具有高、中、低音三种调节档位，每种效果支持≥13档调节。</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6.具有ID码防串扰功能，采用32位唯一ID码，用于接收和发射配对，收发ID码必须相同才能对码，能够有效防止相同频率的信号相互串台。</w:t>
            </w:r>
            <w:r>
              <w:rPr>
                <w:rFonts w:hint="eastAsia" w:ascii="宋体" w:hAnsi="宋体"/>
                <w:b w:val="0"/>
                <w:bCs w:val="0"/>
                <w:color w:val="000000"/>
                <w:sz w:val="24"/>
                <w:szCs w:val="24"/>
                <w:highlight w:val="none"/>
              </w:rPr>
            </w:r>
            <w:r/>
          </w:p>
        </w:tc>
      </w:tr>
      <w:tr>
        <w:trPr>
          <w:trHeight w:val="96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205</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话筒呼叫控制嵌入软件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1.软件内嵌于无线话筒系统设备，话筒呼叫控制功能。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2.采用UHF超高频段双真分集接收，并采用PLL锁相环多信道频率合成技术。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3.支持自动选讯接收方式。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4.支持信道选择、频率可调、可设置主机与话筒配对。</w:t>
            </w:r>
            <w:r>
              <w:rPr>
                <w:rFonts w:hint="eastAsia" w:ascii="宋体" w:hAnsi="宋体"/>
                <w:b w:val="0"/>
                <w:bCs w:val="0"/>
                <w:color w:val="000000"/>
                <w:sz w:val="24"/>
                <w:szCs w:val="24"/>
                <w:highlight w:val="none"/>
              </w:rPr>
            </w:r>
            <w:r/>
          </w:p>
        </w:tc>
      </w:tr>
      <w:tr>
        <w:trPr>
          <w:trHeight w:val="96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206</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话筒天线</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1.采用吸顶安装，射频频率范围等同或宽于470MHz～950MHz；具有≥五档位（0dB/3dB/6dB/12dB/15dB)增益设置。</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2.驻波比：≤2.0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3.输入阻抗：≤50Ω</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4.指向性（水平）：≥120°</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207</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多媒体地插座</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多媒体地插座全铜隐藏式五孔</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同时可配置HDMI高清、 3.5mm 音频、6.35mm 话筒</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模块任意搭配 </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208</w:t>
            </w:r>
            <w:r>
              <w:rPr>
                <w:rFonts w:hint="eastAsia" w:ascii="宋体" w:hAnsi="宋体"/>
                <w:b w:val="0"/>
                <w:bCs w:val="0"/>
                <w:color w:val="000000"/>
                <w:sz w:val="24"/>
                <w:szCs w:val="24"/>
                <w:highlight w:val="none"/>
              </w:rPr>
            </w:r>
            <w:r/>
          </w:p>
        </w:tc>
        <w:tc>
          <w:tcPr>
            <w:gridSpan w:val="2"/>
            <w:tcW w:w="817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3.全数字会议系统</w:t>
            </w:r>
            <w:r>
              <w:rPr>
                <w:rFonts w:hint="eastAsia" w:ascii="宋体" w:hAnsi="宋体"/>
                <w:b w:val="0"/>
                <w:bCs w:val="0"/>
                <w:color w:val="000000"/>
                <w:sz w:val="24"/>
                <w:szCs w:val="24"/>
                <w:highlight w:val="none"/>
              </w:rPr>
            </w:r>
            <w:r/>
          </w:p>
        </w:tc>
      </w:tr>
      <w:tr>
        <w:trPr>
          <w:trHeight w:val="1067"/>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209</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全数字会议系统主机</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主机兼容同时连接有线与无线会议单元，二者可并行使用；采用跨域音频同步技术，有线与无线会议单元音频的音频无缝混音输出。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2.设备采用分段压缩混音处理技术和时钟同步传输技术，会议单元拾音到主机输出延时≤5ms。</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设备具有≥1个USB接口；后面板具有≥2路RS-232接口、≥1路RS-485接口、≥4路RJ45通讯接口；具有≥1路RCA输入、≥1路卡侬输入、≥2路凤凰端子输入接口；≥1路RCA输出、≥1路卡侬输出、≥16路凤凰端子输出接口；≥1个拨码开关、≥1个接地柱。</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6.主机具有≥16通道音频分组输出接口；采用会议分区相控技术，可拆分≥16个独立的会议系统使用，也可以组成一个大型的会议系统使用，实现多种方式的会议室合并/拆分。</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7.支持主机U盘和客户端软件两种录音方式；搭配会议话筒和录音盒可以录制单个会议单元发言音频和录制所有会议单元混音发言音频。</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8.WEB管理端具有切换个性化主题风格功能，可切换≥4种风格，可选简约主题、政务主题、时尚主题、活力主题，不同主题提供不同UI界面背景颜色。</w:t>
            </w:r>
            <w:r>
              <w:rPr>
                <w:rFonts w:hint="eastAsia" w:ascii="宋体" w:hAnsi="宋体"/>
                <w:b w:val="0"/>
                <w:bCs w:val="0"/>
                <w:color w:val="000000"/>
                <w:sz w:val="24"/>
                <w:szCs w:val="24"/>
                <w:highlight w:val="none"/>
              </w:rPr>
            </w:r>
            <w:r/>
          </w:p>
        </w:tc>
      </w:tr>
      <w:tr>
        <w:trPr>
          <w:trHeight w:val="12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210</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数字会议系统</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1.软件内嵌于会议系统主机设备，应用于对传音会议系统音频传输软件的管理或控制。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2.支持同声传译功能。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3.内置DSP音频处理技术，支持EQ均衡调节音频处理能力。</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4.支持话筒管理能力，通过不同的模式限制话筒发言数量。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5.软件支持根据话筒ID提供不同的代码编号给中控系统，与中控系统对接后，可实现摄像自动跟踪功能。</w:t>
            </w:r>
            <w:r>
              <w:rPr>
                <w:rFonts w:hint="eastAsia" w:ascii="宋体" w:hAnsi="宋体"/>
                <w:b w:val="0"/>
                <w:bCs w:val="0"/>
                <w:color w:val="000000"/>
                <w:sz w:val="24"/>
                <w:szCs w:val="24"/>
                <w:highlight w:val="none"/>
              </w:rPr>
            </w:r>
            <w:r/>
          </w:p>
        </w:tc>
      </w:tr>
      <w:tr>
        <w:trPr>
          <w:trHeight w:val="264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211</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会议话筒处理器</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2.可对接摄像机实现摄像跟踪功能；内置≥64个话筒预置位，满足大型会议室摄像跟踪需求。</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3.后面板具有≥1个船形开关、≥4个RJ45、≥1个RS485、≥2个RS232、≥1个TYPE-C接口、≥1个拨码开关、≥1路卡侬输出接口和≥2路RCA输出接口；前面板具有≥1个AFC电容触摸开关；≥4个状态指示灯（包括≥1个AFC 功能状态指示灯、≥1个音频信号灯、≥1个处理器工作状态指示灯、≥1个工作电源指示灯）。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处理器与数字会议主机通过网络传输链路传输会议单元音频信号，只需要通过网线即可以接收数字会议单元音频信号，并提供自动增益、自动混音、AFC反馈抑制（≥24个可编程陷波点）、EQ调节（≥31段图示均衡器调节）音频处理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5.采用啸叫检测门限更新法，移频+陷波组合反馈抑制方式，具有≥24个可编程陷波点，可自由分配动态/静态点，自动/手动切换。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产品软件与数字会议主机软件集成，可以实现使用同一软件配置数字会议主机和会议话筒处理器；支持搭配音频综合管理平台集中管控各种音频设备，包含数字会议系统软件模块、电子桌牌软件模块、反馈抑制器软件模块、智能混音器软件模块、数字音频处理器软件模块、智控数字专业功放软件模块，各模块打开呈现在状态栏窗口，可快速管理和调用。</w:t>
            </w:r>
            <w:r>
              <w:rPr>
                <w:rFonts w:hint="eastAsia" w:ascii="宋体" w:hAnsi="宋体"/>
                <w:b w:val="0"/>
                <w:bCs w:val="0"/>
                <w:color w:val="000000"/>
                <w:sz w:val="24"/>
                <w:szCs w:val="24"/>
                <w:highlight w:val="none"/>
              </w:rPr>
            </w:r>
            <w:r/>
          </w:p>
        </w:tc>
      </w:tr>
      <w:tr>
        <w:trPr>
          <w:trHeight w:val="9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212</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会议话筒</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1.采用电容触摸按键。</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2.单元采用非压缩音频传输技术，≥48K采样率，等同或优于80Hz-16KHz带宽音质。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3.单元采用≥100M网络传输，网络连接采用网线手拉手。</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4.单元通信采用标准TCP/IP协议，且每个单元可支持ping包功能。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5.采用全彩触屏。咪杆高度（或长度）≤240mm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6.同声传译支持≥63+1通道，单元具有双通道收听功能，可同时收听不同译员通道。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7.单元支持 PC 软件话筒控制，支持声控功能。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8.主席单元具备关闭代表单元发言的优先权限。</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9.每个单元支持web管理服务。</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10.支持≥四种语言切换，支持调节话筒ID号、话筒灵敏度、话筒EQ等参数。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11.单元具有发言计时和定时发言功能，代表机具有申请发言功能。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12.单元内部具有反馈抑制功能，具有声控功能，声控灵敏度可调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13.单元具有≥5 段 EQ 调节功能。</w:t>
            </w:r>
            <w:r>
              <w:rPr>
                <w:rFonts w:hint="eastAsia" w:ascii="宋体" w:hAnsi="宋体"/>
                <w:b w:val="0"/>
                <w:bCs w:val="0"/>
                <w:color w:val="000000"/>
                <w:sz w:val="24"/>
                <w:szCs w:val="24"/>
                <w:highlight w:val="none"/>
              </w:rPr>
            </w:r>
            <w:r/>
          </w:p>
        </w:tc>
      </w:tr>
      <w:tr>
        <w:trPr>
          <w:trHeight w:val="96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213</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会议主席控制内嵌软件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技术参数：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1.软件内嵌于会议单元设备，应用于对会议系统音频传输软件的管理或控制。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2.支持签到功能，也可以通过PC软件禁止单元签到、控制单元签到等功能。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3.支持≥48KHz采样率音频处理能力。</w:t>
            </w:r>
            <w:r>
              <w:rPr>
                <w:rFonts w:hint="eastAsia" w:ascii="宋体" w:hAnsi="宋体"/>
                <w:b w:val="0"/>
                <w:bCs w:val="0"/>
                <w:color w:val="000000"/>
                <w:sz w:val="24"/>
                <w:szCs w:val="24"/>
                <w:highlight w:val="none"/>
              </w:rPr>
            </w:r>
            <w:r/>
          </w:p>
        </w:tc>
      </w:tr>
      <w:tr>
        <w:trPr>
          <w:trHeight w:val="117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214</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会议话筒</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1.采用电容触摸按键。</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2.单元采用非压缩音频传输技术，≥48K采样率，等同或优于80Hz-16KHz带宽音质。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3.单元采用≥100M网络传输，网络连接采用网线手拉手。</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4.单元通信采用标准TCP/IP协议，且每个单元可支持ping包功能。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5.采用全彩触屏。咪杆高度（或长度）≤240mm</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6.同声传译支持≥63+1通道，单元具有双通道收听功能，可同时收听不同译员通道。</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7.单元支持 PC 软件话筒控制，支持声控功能。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8.每个单元支持web管理服务。</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9.支持≥四种语言切换，支持调节话筒ID号、话筒灵敏度、话筒EQ等参数。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10.单元具有发言计时和定时发言功能，代表机具有申请发言功能。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11.单元内部具有反馈抑制功能，具有声控功能，声控灵敏度可调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12.单元具有≥5 段 EQ 调节功能。</w:t>
            </w:r>
            <w:r>
              <w:rPr>
                <w:rFonts w:hint="eastAsia" w:ascii="宋体" w:hAnsi="宋体"/>
                <w:b w:val="0"/>
                <w:bCs w:val="0"/>
                <w:color w:val="000000"/>
                <w:sz w:val="24"/>
                <w:szCs w:val="24"/>
                <w:highlight w:val="none"/>
              </w:rPr>
            </w:r>
            <w:r/>
          </w:p>
        </w:tc>
      </w:tr>
      <w:tr>
        <w:trPr>
          <w:trHeight w:val="96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215</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全数字会议系统音频传输内嵌软件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技术参数：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1.软件内嵌于会议单元设备，应用于对会议系统音频传输软件的管理或控制。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2.支持签到功能，也可以通过PC软件禁止单元签到、控制单元签到等功能。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3.支持≥48KHz采样率音频处理能力。</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216</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连接线</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≥20米延长线（一公一母）</w:t>
            </w:r>
            <w:r>
              <w:rPr>
                <w:rFonts w:hint="eastAsia" w:ascii="宋体" w:hAnsi="宋体"/>
                <w:b w:val="0"/>
                <w:bCs w:val="0"/>
                <w:color w:val="000000"/>
                <w:sz w:val="24"/>
                <w:szCs w:val="24"/>
                <w:highlight w:val="none"/>
              </w:rPr>
            </w:r>
            <w:r/>
          </w:p>
        </w:tc>
      </w:tr>
      <w:tr>
        <w:trPr>
          <w:trHeight w:val="72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217</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插座</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1.一进三出连接单元</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2.采用 ≥100M/10M 自适应网络传输，可以实现手拉手级联。</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3.每个六芯航空接口支持IEEE802.3、IEEE802.3u、 IEEE802.3x规范。</w:t>
            </w:r>
            <w:r>
              <w:rPr>
                <w:rFonts w:hint="eastAsia" w:ascii="宋体" w:hAnsi="宋体"/>
                <w:b w:val="0"/>
                <w:bCs w:val="0"/>
                <w:color w:val="000000"/>
                <w:sz w:val="24"/>
                <w:szCs w:val="24"/>
                <w:highlight w:val="none"/>
              </w:rPr>
            </w:r>
            <w:r/>
          </w:p>
        </w:tc>
      </w:tr>
      <w:tr>
        <w:trPr>
          <w:trHeight w:val="168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218</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音频隔离器</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1.一款双通道音频隔离器。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2.低底噪、无50Hz交流“嗡”声、无高频“嗞啦”干扰。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3.点对点平衡传输音频，可以选择前面板2个接口中的任意一个COMBO接口输入，从后面板对应COMBO接口输出。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4.即插即用，支持热插拨。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5.隔离滤波音频传输最远传输信号等同或优于450－600米。</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6.内置瞬态、浪涌抑制、抗静电保护电路。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7.具有≥2路XLR输入；具有≥2路XLR输出</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219</w:t>
            </w:r>
            <w:r>
              <w:rPr>
                <w:rFonts w:hint="eastAsia" w:ascii="宋体" w:hAnsi="宋体"/>
                <w:b w:val="0"/>
                <w:bCs w:val="0"/>
                <w:color w:val="000000"/>
                <w:sz w:val="24"/>
                <w:szCs w:val="24"/>
                <w:highlight w:val="none"/>
              </w:rPr>
            </w:r>
            <w:r/>
          </w:p>
        </w:tc>
        <w:tc>
          <w:tcPr>
            <w:gridSpan w:val="2"/>
            <w:tcW w:w="817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4.无纸化系统</w:t>
            </w:r>
            <w:r>
              <w:rPr>
                <w:rFonts w:hint="eastAsia" w:ascii="宋体" w:hAnsi="宋体"/>
                <w:b w:val="0"/>
                <w:bCs w:val="0"/>
                <w:color w:val="000000"/>
                <w:sz w:val="24"/>
                <w:szCs w:val="24"/>
                <w:highlight w:val="none"/>
              </w:rPr>
            </w:r>
            <w:r/>
          </w:p>
        </w:tc>
      </w:tr>
      <w:tr>
        <w:trPr>
          <w:trHeight w:val="118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220</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无纸化主机</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无纸化服务主机搭配管理软件，负责处理会议功能模块、会议主题、参会人员信息、会议议题、投票内容会前信息预设，具有会议各类文件资料的上传分发、人员的权限管理设置、会议信息的实时记录应用功能。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2.产品使用国家密码管理局制定的SM2、SM4国产加密算法，对数据文件进行加密处理，并在传输过程中保持加密状态。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搭配云会务系统支持统一管理无纸化会议室设备，并对设备进行定时/周期联检功能，检测设备使用状态、异常情况，并生成巡检工单；会务系统支持对接钉钉、企业微信，支持同步组织架构，并将组织架构同步至无纸化系统，可以通过钉钉、企业微信预约会议，同步至无纸化参会人员；会务系统支持与无纸化系统人员信息同步，在会务系统创建的无纸化会议，可通过短信、手机app、H5微信公众号方式通知与会人员。</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4.采用的处理器配置≥4核，≥8线程；内存配置≥DDR4 8G，硬盘容量≥1TB；具有千兆网络接口≥2×LAN；具有视频输出接口：≥1×DVI,≥1× HDMI，≥1×VGA；具备音频接口：≥1×MIC in,≥1× Line out,≥1× Line in；其他接口：≥2×USB2.0,≥4×USB3.0 ，≥2×COM RS232，≥1×PS/2。</w:t>
            </w:r>
            <w:r>
              <w:rPr>
                <w:rFonts w:hint="eastAsia" w:ascii="宋体" w:hAnsi="宋体"/>
                <w:b w:val="0"/>
                <w:bCs w:val="0"/>
                <w:color w:val="000000"/>
                <w:sz w:val="24"/>
                <w:szCs w:val="24"/>
                <w:highlight w:val="none"/>
              </w:rPr>
            </w:r>
            <w:r/>
          </w:p>
        </w:tc>
      </w:tr>
      <w:tr>
        <w:trPr>
          <w:trHeight w:val="318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221</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智能无纸化会议管理服务器软件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具有自定义无纸化系统功能，包括控制客户端界面显示或隐藏当前时间、开启或关闭个人中心上传文件、会议自动结束、议题通知、三员管理；同时还具有选择广播/主讲模式，包括自由模式、申请模式、自主模式；自由模式下，用户发起屏幕广播/主讲时，无需其他操作，一键进入到屏幕广播/主讲功能；申请模式，用户发起屏幕广播/主讲时，需等待管理员管理配置确认后，进入到屏幕广播/主讲功能；自主模式，用户发起屏幕广播/主讲时，可选择可查看本次同屏广播的人员；支持广播计时功能，可切换无需计时模式、正计时模式、倒计时模式，倒计时可设置时间。</w:t>
            </w:r>
            <w:r>
              <w:rPr>
                <w:rFonts w:hint="eastAsia" w:ascii="宋体" w:hAnsi="宋体"/>
                <w:b w:val="0"/>
                <w:bCs w:val="0"/>
                <w:color w:val="000000"/>
                <w:sz w:val="24"/>
                <w:szCs w:val="24"/>
                <w:highlight w:val="none"/>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t xml:space="preserve">.支持自定义投票类型，支持限时投票；支持3种投票界面样式选择；支持自定义投票结果展示，可更换背景、可选择显示内容、可选择倒计时、自定义文本、自定义字体，支持投票结果过程的实时查看和投大屏展示以及投终端展示；支持自定义签到结果界面、自定义背景图、选择需要展示的内容、可自定义文本、自定义字体，签到结果过程实时查看和投大屏展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t xml:space="preserve">.具有自定义创建会议功能，可提前预设无纸化客户端界面不同会议模式；包括普通会议和保密会议，保密会议具有阅后即焚、文档水印保密机制以及会后文档资料不保留，不形成历史记录特性。</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rPr>
              <w:t xml:space="preserve">.支持在每个议题下创建签到投票，支持不同议题时不同参会人进行签到和投票，满足同会议下多议题独立签到投票。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t xml:space="preserve">.具有会中暂停会议功能，管理员点击暂停会议，所有用户页面锁屏无法操作, 大屏内容也会被屏蔽，增强系统安全性。</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t xml:space="preserve">.支持个人中心H5网页展示，可会前、会中上传资料，查看资料，支持会后下载参加过的会议的资料及批注文件，保密会议会前会后需申请权限才能查看会议资料。</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lang w:val="en-US" w:eastAsia="zh-CN"/>
              </w:rPr>
              <w:t xml:space="preserve">7.</w:t>
            </w:r>
            <w:r>
              <w:rPr>
                <w:rFonts w:hint="eastAsia" w:ascii="宋体" w:hAnsi="宋体"/>
                <w:b w:val="0"/>
                <w:bCs w:val="0"/>
                <w:color w:val="000000"/>
                <w:sz w:val="24"/>
                <w:szCs w:val="24"/>
                <w:highlight w:val="none"/>
              </w:rPr>
              <w:t xml:space="preserve">▲要求可与根据《安全可靠测评工作指南（试行）》要求测评确认安全可靠等级达到I级的操作系统兼容（提供产品互认证明或软件适配认证材料及关于操作系统的中国信息安全测评中心安全可靠测评结果公告截图作为证明材料）</w:t>
            </w:r>
            <w:r>
              <w:rPr>
                <w:rFonts w:hint="eastAsia" w:ascii="宋体" w:hAnsi="宋体"/>
                <w:b w:val="0"/>
                <w:bCs w:val="0"/>
                <w:color w:val="000000"/>
                <w:sz w:val="24"/>
                <w:szCs w:val="24"/>
                <w:highlight w:val="none"/>
              </w:rPr>
            </w:r>
            <w:r/>
          </w:p>
        </w:tc>
      </w:tr>
      <w:tr>
        <w:trPr>
          <w:trHeight w:val="144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222</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无纸化流媒体主机</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无纸化智能流媒体服务器用于无纸化会议系统外部高清视频信号采集与编码，以及音视频信号输出。可以为无纸化会议系统提供外部音视频信号和内部音视频信号互联互通，同时支持无纸化会议签到、投票、同屏会议信息的展示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2.采用的处理器配置≥4核，≥4线程，≥3.2GHz主频，内存配置≥DDR4 8GB，硬盘为固态硬盘且容量≥128GB。</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3.具有千兆网络接口≥2×LAN</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4.具备视频接口：≥1×DVI,≥1× HDMI，≥1×VGA；具备音频接口：≥1×MIC in,≥1× Line out,≥1× Line in；具备其他接口≥2×USB2.0,≥4×USB3.0 ，≥2×COM RS232，≥1×PS/2。</w:t>
            </w:r>
            <w:r>
              <w:rPr>
                <w:rFonts w:hint="eastAsia" w:ascii="宋体" w:hAnsi="宋体"/>
                <w:b w:val="0"/>
                <w:bCs w:val="0"/>
                <w:color w:val="000000"/>
                <w:sz w:val="24"/>
                <w:szCs w:val="24"/>
                <w:highlight w:val="none"/>
              </w:rPr>
            </w:r>
            <w:r/>
          </w:p>
        </w:tc>
      </w:tr>
      <w:tr>
        <w:trPr>
          <w:trHeight w:val="216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223</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无纸化流媒体服务器嵌入软件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1.支持签到投屏功能，将签到过程、签到结果展示在大屏上。</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2.支持将电子白板、会议标语、文档主讲、外部信号信息广播到大屏展示。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3.支持多媒体(桌面同屏、电子白板、文档资料)分组投屏功能， 可支持≥4分屏画面同时投屏输出显示。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4.支持大屏点播功能，直接播放服务器原生视频文件；支持大屏广播功能，将大屏的画面广播同步到各个终端并显示。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5.支持大屏视频矩阵功能，同时支持多路多媒体源进行播放功能。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6.支持投票投屏功能，将投票过程、投票结果以文字、柱状图、饼状图方式展示在大屏上。</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7.支持评分投屏功能，评分过程中查看评分人数、未提交人数。支持评分结束后以柱状图（≥10项）或表格（≥10项）的形式投屏显示评分结果。</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8.支持座位图投屏功能，在会前或会中将参会者的座位图投放到流媒体大屏中显示，方便与会者快速找位入会。</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9.同一会场支持≥4台流媒体功能， 不同流媒体可以展示相同的媒体画面内容也可以展示不同的媒体画面内容。</w:t>
            </w:r>
            <w:r>
              <w:rPr>
                <w:rFonts w:hint="eastAsia" w:ascii="宋体" w:hAnsi="宋体"/>
                <w:b w:val="0"/>
                <w:bCs w:val="0"/>
                <w:color w:val="000000"/>
                <w:sz w:val="24"/>
                <w:szCs w:val="24"/>
                <w:highlight w:val="none"/>
              </w:rPr>
            </w:r>
            <w:r/>
          </w:p>
        </w:tc>
      </w:tr>
      <w:tr>
        <w:trPr>
          <w:trHeight w:val="264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224</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无纸化升降器</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1.升降器采用触控超薄高清显示屏与升降器一体化设计，显示屏采用主屏+副屏双屏设计，一键操作即自动化完成启动、液晶屏上升、仰角动作。</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2.产品传动方式以高品质耐拉皮带与高精密度的滑块导轨和直线轴承配合，交流减速电机做驱动动力；支持对接中控主机，实现控制设备在上升后，屏幕自动供电，下降后，屏幕自行断电。</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3.桌面面板具备≥1路USB接口，支持连接U盘可进行浏览文件或上传文件操作</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4.前屏显示尺寸≥15.6英寸，屏幕比例为16:9，显示分辨率达≥1920*1080P；副屏显示尺寸≥11.6英寸，显示分辨率达≥1366*768，对比度≥800：1，用于显示参会人员信息电子铭牌信息。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5.支持≥1路HDMI、≥1路VGA视频信号输入，当只有一路信号输入时，屏幕会自动识别信号，当两路信号同时输入时，可通过面板按键手动切换，当无信号输入时，屏幕自动进入省电模式。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6.设备可通过中控软件进行集中控制，可使主机通过RS232/RS485协议进行控制，一键可让室内所有的设备都上升或下降。</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7.显示屏仰角符合人体工程学原理，不遮挡视线和人脸，显示屏仰角角度可调0-30°。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8.升降器具备≥1路环通输出电源插座，给终端供电减少终端电源插座布线。</w:t>
            </w:r>
            <w:r>
              <w:rPr>
                <w:rFonts w:hint="eastAsia" w:ascii="宋体" w:hAnsi="宋体"/>
                <w:b w:val="0"/>
                <w:bCs w:val="0"/>
                <w:color w:val="000000"/>
                <w:sz w:val="24"/>
                <w:szCs w:val="24"/>
                <w:highlight w:val="none"/>
              </w:rPr>
            </w:r>
            <w:r/>
          </w:p>
        </w:tc>
      </w:tr>
      <w:tr>
        <w:trPr>
          <w:trHeight w:val="48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225</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无纸化升降器内嵌软件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1.软件内嵌于终端设备，显示端可对多种文件格式文档进行阅览。</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2.支持多种分辨率适配，可适应各种终端界面。</w:t>
            </w:r>
            <w:r>
              <w:rPr>
                <w:rFonts w:hint="eastAsia" w:ascii="宋体" w:hAnsi="宋体"/>
                <w:b w:val="0"/>
                <w:bCs w:val="0"/>
                <w:color w:val="000000"/>
                <w:sz w:val="24"/>
                <w:szCs w:val="24"/>
                <w:highlight w:val="none"/>
              </w:rPr>
            </w:r>
            <w:r/>
          </w:p>
        </w:tc>
      </w:tr>
      <w:tr>
        <w:trPr>
          <w:trHeight w:val="62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226</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无纸化会议终端</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多媒体会议终端主机搭配终端内嵌软件负责处理会议过程的文件推送、文件分发、浏览阅读、文件批注、智能签到、投票表决、电子白板、电子铭牌、会议交流、会议服务、视频信号互联互通、会议管控、同屏广播应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2.支持无纸化会议模式和Windows模式，可任意切换。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3.可对多种文件格式进行阅览，包括常见格式doc/ docx /xls/ xlsx /ppt /pptx/ pdf /txt/jpg/png，参会人只可看到有权限的文件。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4.会议过程中可以随时进行会议笔记记录，支持下载到本地。</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5.个人中心模块支持会前、会中上传资料，查看资料（保密会议会前不能查看）；支持会后下载参加过的会议的资料。</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6.结束会议终端自动清除本地会议文件。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7.具有≥4×USB、≥1×HDMI、≥1×VGA、≥1×MIC-IN端口、≥1×LINE-OUT端口、≥1×DC端口、≥1×COM口。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8.采用的处理器配置≥4核，≥4线程，≥3.0GHz主频；内存配置≥8GB；硬盘容量≥256GB 固态硬盘。</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9.具有≥1个千兆网络接口。</w:t>
            </w:r>
            <w:r>
              <w:rPr>
                <w:rFonts w:hint="eastAsia" w:ascii="宋体" w:hAnsi="宋体"/>
                <w:b w:val="0"/>
                <w:bCs w:val="0"/>
                <w:color w:val="000000"/>
                <w:sz w:val="24"/>
                <w:szCs w:val="24"/>
                <w:highlight w:val="none"/>
              </w:rPr>
            </w:r>
            <w:r/>
          </w:p>
        </w:tc>
      </w:tr>
      <w:tr>
        <w:trPr>
          <w:trHeight w:val="1925"/>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227</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无纸化会议终端软件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1.具有≥2种会议模式，包括常规会议模式和保密会议模式，保密会议模式启用后可以自定义参会人文件水印、文件阅后即焚保密机制。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具有切换客户端会议布局模式功能，能够根据用户的需求切换≥4种不同布局方式，包括卡片模式、简洁模式、导航模式、经典模式；卡片模式，将议题以卡片形式在首页呈现，通过横向滑动查看，在首页可以查看所有议题（包括议程）；简洁模式：将议程以节目表形式在首页进行呈现，纵向滑动查看；导航模式：首页界面具有导航目录，同时展示对应功能列表签到、投票、评分、纪要、视频内容；经典模式，点击对应的功能模块，层级式进入功能详情界面，展示对应功能相关查看和操作内容。</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3.具有会中暂停会议功能，管理员点击暂停会议，所有用户页面锁屏无法操作，大屏内容也会被屏蔽，增强系统安全性。（提供功能界面截图佐证）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4.支持个人中心H5网页展示，可会前、会中上传资料，查看资料，支持会后查看参加过的历史会议的资料及批注文件，保密会议会前会后需申请权限才能查看会议资料。</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5.支持个人微终端功能，参会人通过手机app查阅未开始、进行中和已结束的会议资料，包含会议信息、参会名单、会议议题、临时资料、会议纪要。</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6.具有扫码文件带走功能，会议资料生成二维码功能，可根据会议属性，控制显示二维码投屏，供参会人浏览器扫码下载会议资料。</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具有屏幕同屏广播功能，参会人员可以在会议进行中将本地画面共享至其他参会人员，同时可快捷屏幕投大屏，设备拓展支持跨平台（Windows系统、安卓、鸿蒙、银河麒麟桌面操作系统、统信桌面操作系统）广播；支持文档主讲(文档广播)功能，实现低带宽同步与共享同一份文档资料的功能；屏幕广播/文档主讲支持申请模式，发起申请后需会议管理员同意后才能发起同屏广播。同屏广播/文档主讲具有计时功能，可选择倒计时或顺计时，以及具有选择是否同步到大屏功能。文档主讲支持在文档广播过程中随时切换主讲人的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8.支持同屏录制服务,支持对会议广播及屏幕共享内容进行无感知录制，可定时录制，录像文件数据上传后台服务器进行保存。</w:t>
            </w:r>
            <w:r>
              <w:rPr>
                <w:rFonts w:hint="eastAsia" w:ascii="宋体" w:hAnsi="宋体"/>
                <w:b w:val="0"/>
                <w:bCs w:val="0"/>
                <w:color w:val="000000"/>
                <w:sz w:val="24"/>
                <w:szCs w:val="24"/>
                <w:highlight w:val="none"/>
              </w:rPr>
            </w:r>
            <w:r/>
          </w:p>
        </w:tc>
      </w:tr>
      <w:tr>
        <w:trPr>
          <w:trHeight w:val="373"/>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228</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网络主机</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1.具有≥24个网络端口，≥4个千兆SFP+光纤口，≥1个控制口。</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2.支持网口和光纤线热插拨，支持双备份链路。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3.支持胖瘦一体化，具有智能交换机和普通交换机两种工作模式。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4.通过网络管理平台可实现一键快速替换故障设备。</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5.具有 IEEE 802.3az 标准的 EEE 节能技术：当 EEE 使能时，可大幅度的减小端口在该阶段的功耗，达到了节能的目的。</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6.提供友好的Web管理界面，1:1还原交换机端口和面板状态，可方便、快捷查看交换机端口工作状态、流量趋势。</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7.采用“零部署”上线方式，交换机接上网线后自动展示在待激活列表，无需配置，一键即可激活。同时控制器还能对故障交换机进行一键重启和替换，最大程度节省运维时间。</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229</w:t>
            </w:r>
            <w:r>
              <w:rPr>
                <w:rFonts w:hint="eastAsia" w:ascii="宋体" w:hAnsi="宋体"/>
                <w:b w:val="0"/>
                <w:bCs w:val="0"/>
                <w:color w:val="000000"/>
                <w:sz w:val="24"/>
                <w:szCs w:val="24"/>
                <w:highlight w:val="none"/>
              </w:rPr>
            </w:r>
            <w:r/>
          </w:p>
        </w:tc>
        <w:tc>
          <w:tcPr>
            <w:gridSpan w:val="2"/>
            <w:tcW w:w="817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5.信号管理系统</w:t>
            </w:r>
            <w:r>
              <w:rPr>
                <w:rFonts w:hint="eastAsia" w:ascii="宋体" w:hAnsi="宋体"/>
                <w:b w:val="0"/>
                <w:bCs w:val="0"/>
                <w:color w:val="000000"/>
                <w:sz w:val="24"/>
                <w:szCs w:val="24"/>
                <w:highlight w:val="none"/>
              </w:rPr>
            </w:r>
            <w:r/>
          </w:p>
        </w:tc>
      </w:tr>
      <w:tr>
        <w:trPr>
          <w:trHeight w:val="288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230</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无缝高清矩阵切换器</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1.矩阵采用纯硬件标准化机箱设计，支持配置≥8×8路信号切换，支持HDMI、DVI、VGA、SDI、HDBaseT、光纤的任意输入/输出信号卡，其中DVI输入卡兼容CVBS，YUV,VGA信号，VGA输入/输出卡均兼容CVBS，YUV,VGA信号。</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2.采用板卡模块化设计，支持接入≥2块输入卡、≥2块输出卡、≥1块控制卡；通过定制配置各类相同或不同的输入输出卡可以组成单一接口类型或多接口类型的矩阵，如HDMI矩阵，DVI矩阵，VGA矩阵，YUV矩阵。</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3.支持无缝切换功能，切换过程无黑屏信号。</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4.输入输出分辨率支持≥4K@60Hz；支持断电记忆功能；系统内可存储多组预切换指令，调用时可以一键切换。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5.支持模拟音频与HDMI内嵌音频选择输入、支持模拟音频与HDMI内嵌音频同时输出。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6.采用多线程通信技术，支持接入≥1块控制板卡，具有≥1路RS-232接口,≥1路RS-485接口,≥1路TCP/IP端口，支持扩展延长触控屏控制。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7.HDBaseT输入输出信号支持双向RS-232和双向IR 信号传输，可对RS-232和IR信号选择随视频信号切换，或分离切换模式。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8.采用无极缩放算法与视频编解码处理技术，支持画面色度、亮度、对比度、色温、伽马值等调节，支持HDR画质增强功能。</w:t>
            </w:r>
            <w:r>
              <w:rPr>
                <w:rFonts w:hint="eastAsia" w:ascii="宋体" w:hAnsi="宋体"/>
                <w:b w:val="0"/>
                <w:bCs w:val="0"/>
                <w:color w:val="000000"/>
                <w:sz w:val="24"/>
                <w:szCs w:val="24"/>
                <w:highlight w:val="none"/>
              </w:rPr>
            </w:r>
            <w:r/>
          </w:p>
        </w:tc>
      </w:tr>
      <w:tr>
        <w:trPr>
          <w:trHeight w:val="96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231</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高清无缝混插矩阵切换内嵌软件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1.软件内嵌于高清混插矩阵切换系统，实现各类高清晰数字/模拟信号的处理、切换功能。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2.支持信号无缝切换，切换过程无黑屏信号。</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3.支持通过专业的PC上位机管理软件控制。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4.通过矩阵切换信号或通过软件切换信号。</w:t>
            </w:r>
            <w:r>
              <w:rPr>
                <w:rFonts w:hint="eastAsia" w:ascii="宋体" w:hAnsi="宋体"/>
                <w:b w:val="0"/>
                <w:bCs w:val="0"/>
                <w:color w:val="000000"/>
                <w:sz w:val="24"/>
                <w:szCs w:val="24"/>
                <w:highlight w:val="none"/>
              </w:rPr>
            </w:r>
            <w:r/>
          </w:p>
        </w:tc>
      </w:tr>
      <w:tr>
        <w:trPr>
          <w:trHeight w:val="144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232</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HDMI超高清无缝输入卡</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1．具有≥4路HDMI-A母接口输入和≥4路3.5mm音频座，支持音视频信号一起切换，同时支持音频单独传输，模拟音频与HDMI内嵌音频支持选择输入。</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2．画面切换效果支持无缝切换，切换过程无闪烁、无黑屏。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3．模块插板式矩阵，支持热插拔，即插即用。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4．支持断电现场切换记忆保护功能，ESD静电保护功能。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5．支持分辨率≥3840×2160P@60Hz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6．支持EDID管理功能，可选默认EDID或者现场可学习。</w:t>
            </w:r>
            <w:r>
              <w:rPr>
                <w:rFonts w:hint="eastAsia" w:ascii="宋体" w:hAnsi="宋体"/>
                <w:b w:val="0"/>
                <w:bCs w:val="0"/>
                <w:color w:val="000000"/>
                <w:sz w:val="24"/>
                <w:szCs w:val="24"/>
                <w:highlight w:val="none"/>
              </w:rPr>
            </w:r>
            <w:r/>
          </w:p>
        </w:tc>
      </w:tr>
      <w:tr>
        <w:trPr>
          <w:trHeight w:val="48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233</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高清矩阵输入板卡内嵌软件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1.软件内嵌于高清矩阵系统板卡设备，实现信号的处理功能。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2.通过矩阵切换信号或通过软件切换信号。</w:t>
            </w:r>
            <w:r>
              <w:rPr>
                <w:rFonts w:hint="eastAsia" w:ascii="宋体" w:hAnsi="宋体"/>
                <w:b w:val="0"/>
                <w:bCs w:val="0"/>
                <w:color w:val="000000"/>
                <w:sz w:val="24"/>
                <w:szCs w:val="24"/>
                <w:highlight w:val="none"/>
              </w:rPr>
            </w:r>
            <w:r/>
          </w:p>
        </w:tc>
      </w:tr>
      <w:tr>
        <w:trPr>
          <w:trHeight w:val="144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234</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HDMI超高清无缝输出卡</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1．具有≥4路HDMI-A母接口输出和≥4路3.5mm音频座，支持音视频信号一起切换，同时支持音频单独传输，模拟音频与HDMI内嵌音频支持选择输出。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2．画面切换效果支持无缝切换，切换过程无闪烁、无黑屏。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3．模块插板式矩阵，支持热插拔，即插即用。</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4．支持断电现场切换记忆保护功能，ESD静电保护功能。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5．支持分辨率≥3840×2160P@60Hz</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6．支持EDID管理功能，可选默认EDID或者现场可学习。</w:t>
            </w:r>
            <w:r>
              <w:rPr>
                <w:rFonts w:hint="eastAsia" w:ascii="宋体" w:hAnsi="宋体"/>
                <w:b w:val="0"/>
                <w:bCs w:val="0"/>
                <w:color w:val="000000"/>
                <w:sz w:val="24"/>
                <w:szCs w:val="24"/>
                <w:highlight w:val="none"/>
              </w:rPr>
            </w:r>
            <w:r/>
          </w:p>
        </w:tc>
      </w:tr>
      <w:tr>
        <w:trPr>
          <w:trHeight w:val="48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235</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高清矩阵输出板卡内嵌软件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1.软件内嵌于高清矩阵系统板卡设备，实现信号的处理功能。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2.通过矩阵切换信号或通过软件切换信号。</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236</w:t>
            </w:r>
            <w:r>
              <w:rPr>
                <w:rFonts w:hint="eastAsia" w:ascii="宋体" w:hAnsi="宋体"/>
                <w:b w:val="0"/>
                <w:bCs w:val="0"/>
                <w:color w:val="000000"/>
                <w:sz w:val="24"/>
                <w:szCs w:val="24"/>
                <w:highlight w:val="none"/>
              </w:rPr>
            </w:r>
            <w:r/>
          </w:p>
        </w:tc>
        <w:tc>
          <w:tcPr>
            <w:gridSpan w:val="2"/>
            <w:tcW w:w="817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6.会议录播系统</w:t>
            </w:r>
            <w:r>
              <w:rPr>
                <w:rFonts w:hint="eastAsia" w:ascii="宋体" w:hAnsi="宋体"/>
                <w:b w:val="0"/>
                <w:bCs w:val="0"/>
                <w:color w:val="000000"/>
                <w:sz w:val="24"/>
                <w:szCs w:val="24"/>
                <w:highlight w:val="none"/>
              </w:rPr>
            </w:r>
            <w:r/>
          </w:p>
        </w:tc>
      </w:tr>
      <w:tr>
        <w:trPr>
          <w:trHeight w:val="168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237</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摄像机</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1.摄像机采用≥1/2.8英寸，像素≥842万高品质图像传感器，输出分辨率≥4K@30。</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2.采用≥70.4°高品质光学镜头，光学变焦≥12倍，支持≥16倍数字变焦。</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3.支持AI人形跟踪功能，内置高速处理器以及采用先进的图像处理和分析算法，用户可根据使用环境，选择实时跟踪与区域跟踪。</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4.具备≥1路HDMI输出接口、≥1路3G-SDI、≥1路USB3.0输出接口、≥1路网络接口，支持≥4路视频接口同时输出。</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5.具备≥1路3.5mm音频输入接口，支持AAC音频压缩。</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6.支持ONVIF、GB/T28181、RTSP、RTMP网络协议；支持RTMP推送模式，轻松连接流媒体服务器(Wowza、FMS)；支持RTP组播模式以及网络全命令VISCA控制协议。</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7.具备≥1路RS-485、≥1路RS-232控制接口，支持VISCA、PELCO-D、PELCO-P控制协议，以及支持自动识别协议。</w:t>
            </w:r>
            <w:r>
              <w:rPr>
                <w:rFonts w:hint="eastAsia" w:ascii="宋体" w:hAnsi="宋体"/>
                <w:b w:val="0"/>
                <w:bCs w:val="0"/>
                <w:color w:val="000000"/>
                <w:sz w:val="24"/>
                <w:szCs w:val="24"/>
                <w:highlight w:val="none"/>
              </w:rPr>
            </w:r>
            <w:r/>
          </w:p>
        </w:tc>
      </w:tr>
      <w:tr>
        <w:trPr>
          <w:trHeight w:val="12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238</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高清视频会议专用摄像头内嵌软件</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1.软件内嵌于高清视频会议专用摄像头，实现高清视频拍摄采集处理功能。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2.支持对高清视频信号的处理、传输；支持H.264视频编解码技术能力。</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3.支持光学变焦处理能力，支持通过串口实现远程控制。</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4.支持2D、3D降噪技术。</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5.支持预置位设定及调用功能。</w:t>
            </w:r>
            <w:r>
              <w:rPr>
                <w:rFonts w:hint="eastAsia" w:ascii="宋体" w:hAnsi="宋体"/>
                <w:b w:val="0"/>
                <w:bCs w:val="0"/>
                <w:color w:val="000000"/>
                <w:sz w:val="24"/>
                <w:szCs w:val="24"/>
                <w:highlight w:val="none"/>
              </w:rPr>
            </w:r>
            <w:r/>
          </w:p>
        </w:tc>
      </w:tr>
      <w:tr>
        <w:trPr>
          <w:trHeight w:val="522"/>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239</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AI智慧录播主机</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内置LCD屏，显示设备运行状态、参数信息、硬盘容量、音频状态、资源通道录制状态、文件拷贝进度。设备具备≥4个物理按键，具备一键录制、停止、直播以及一键拷贝录制文件的能力。</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具备≥1路HDMI输入接口，≥4K分辨率画面采集以及音频采集；具备≥2路3G-SDI信号输入接口，且SDI接口具备POC功能，支持POC设备自适应识别，实现一条线完成视频传输、云台控制和供电功能。具备≥2路HDMI输出接口，其中≥1路4K分辨率以及音频输出；具备≥1路Type-C视频输出接口，≥1080P分辨率。具备≥3路3.5mm音频输入接口，≥3路3.5mm音频输出接口。</w:t>
            </w:r>
            <w:r>
              <w:rPr>
                <w:rFonts w:hint="eastAsia" w:ascii="宋体" w:hAnsi="宋体"/>
                <w:b w:val="0"/>
                <w:bCs w:val="0"/>
                <w:color w:val="000000"/>
                <w:sz w:val="24"/>
                <w:szCs w:val="24"/>
                <w:highlight w:val="none"/>
              </w:rPr>
            </w:r>
            <w:r/>
          </w:p>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具备≥1路RS-232凤凰端子接口和≥1路RS-485凤凰端子接口，RS-232端子具备12V供电，可对接各种串口协议设备并对该设备进行供电；具备≥3路USB接口、≥2路Type-C接口，可用于接U盘或者键盘鼠标，支持视频采集、文件拷贝、升级功能；自带2.4G遥控器，可通过遥控器实现控制录制和导播功能。具备≥4路802.3ab 1000Base-T千兆网络接口，其中≥3路具备POE功能，实现一根网线实现供电和供网；支持IPv4地址和IPv6地址。</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4.设备可实现≥6路4K网络摄像头同时接入解码，具备≥4路资源画面合成输出≥4K分辨率的PGM画面。</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5.具备嵌入式导播控制台，可实时预览≥7路画面，≥1路PGM画面预览和≥6路资源通道预览，支持≥7路视频流录制，录制的文件格式支持MP4、AVI、MOV、FLV、TS和MKV格式，码率支持256kbps~20Mbps。</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6.异常修复：具备供电异常导致的损坏的视频文件可进行文件修复，修复的文件格式包括MP4、AVI、MOV、FLV和MKV视频封装格式。</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7.具备软件中控，在录播管理界面填写好中控指令，即可通过界面进行中控操作，对接其它设备进行一键控制；支持录播安卓APP对接和控制；支持对接私有云平台服务器。对接成功后，云平台可对设备进行统一的管控，方便对多台录播设备进行管理。</w:t>
            </w:r>
            <w:r>
              <w:rPr>
                <w:rFonts w:hint="eastAsia" w:ascii="宋体" w:hAnsi="宋体"/>
                <w:b w:val="0"/>
                <w:bCs w:val="0"/>
                <w:color w:val="000000"/>
                <w:sz w:val="24"/>
                <w:szCs w:val="24"/>
                <w:highlight w:val="none"/>
              </w:rPr>
            </w:r>
            <w:r/>
          </w:p>
        </w:tc>
      </w:tr>
      <w:tr>
        <w:trPr>
          <w:trHeight w:val="120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240</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嵌入式DSP的编解码器系统</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1.软件内嵌录播主机，运行在Linux操作系统环境，支持B/S管理。</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2.软件支持添加录制片头、添加字幕、添加logo以及预约录制等功能。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3.软件支持对课堂或培训课堂录制的控制和管理，具有录制资源模式、录制电影模式、录制暂停、选择录制格式等功能。</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4.软件支持多画面模式等，支持自定义布局。</w:t>
            </w:r>
            <w:r>
              <w:rPr>
                <w:rFonts w:hint="eastAsia" w:ascii="宋体" w:hAnsi="宋体"/>
                <w:b w:val="0"/>
                <w:bCs w:val="0"/>
                <w:color w:val="000000"/>
                <w:sz w:val="24"/>
                <w:szCs w:val="24"/>
                <w:highlight w:val="none"/>
              </w:rPr>
              <w:br w:type="textWrapping" w:clear="all"/>
            </w:r>
            <w:r>
              <w:rPr>
                <w:rFonts w:hint="eastAsia" w:ascii="宋体" w:hAnsi="宋体"/>
                <w:b w:val="0"/>
                <w:bCs w:val="0"/>
                <w:color w:val="000000"/>
                <w:sz w:val="24"/>
                <w:szCs w:val="24"/>
                <w:highlight w:val="none"/>
              </w:rPr>
              <w:t xml:space="preserve">5.软件支持通过导播台、导播键盘、导播软件等方式进行控制和管理录播主机。</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241</w:t>
            </w:r>
            <w:r>
              <w:rPr>
                <w:rFonts w:hint="eastAsia" w:ascii="宋体" w:hAnsi="宋体"/>
                <w:b w:val="0"/>
                <w:bCs w:val="0"/>
                <w:color w:val="000000"/>
                <w:sz w:val="24"/>
                <w:szCs w:val="24"/>
                <w:highlight w:val="none"/>
              </w:rPr>
            </w:r>
            <w:r/>
          </w:p>
        </w:tc>
        <w:tc>
          <w:tcPr>
            <w:gridSpan w:val="2"/>
            <w:tcW w:w="817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7.辅助材料</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242</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音频连接线</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1.8米音频连接线：卡侬头（母）-卡侬头（公）</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243</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音频连接线</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1.8米音频连接线：3.5（耳机插头）-双莲花（RCA）</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244</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机柜</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22U，600*800*1200，钢化玻璃门</w:t>
            </w:r>
            <w:r>
              <w:rPr>
                <w:rFonts w:hint="eastAsia" w:ascii="宋体" w:hAnsi="宋体"/>
                <w:b w:val="0"/>
                <w:bCs w:val="0"/>
                <w:color w:val="000000"/>
                <w:sz w:val="24"/>
                <w:szCs w:val="24"/>
                <w:highlight w:val="none"/>
              </w:rPr>
            </w:r>
            <w:r/>
          </w:p>
        </w:tc>
      </w:tr>
      <w:tr>
        <w:trPr>
          <w:trHeight w:val="270"/>
        </w:trPr>
        <w:tc>
          <w:tcPr>
            <w:tcW w:w="384" w:type="dxa"/>
            <w:vAlign w:val="center"/>
            <w:textDirection w:val="lrTb"/>
            <w:noWrap/>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245</w:t>
            </w:r>
            <w:r>
              <w:rPr>
                <w:rFonts w:hint="eastAsia" w:ascii="宋体" w:hAnsi="宋体"/>
                <w:b w:val="0"/>
                <w:bCs w:val="0"/>
                <w:color w:val="000000"/>
                <w:sz w:val="24"/>
                <w:szCs w:val="24"/>
                <w:highlight w:val="none"/>
              </w:rPr>
            </w:r>
            <w:r/>
          </w:p>
        </w:tc>
        <w:tc>
          <w:tcPr>
            <w:tcW w:w="623"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其它辅材</w:t>
            </w:r>
            <w:r>
              <w:rPr>
                <w:rFonts w:hint="eastAsia" w:ascii="宋体" w:hAnsi="宋体"/>
                <w:b w:val="0"/>
                <w:bCs w:val="0"/>
                <w:color w:val="000000"/>
                <w:sz w:val="24"/>
                <w:szCs w:val="24"/>
                <w:highlight w:val="none"/>
              </w:rPr>
            </w:r>
            <w:r/>
          </w:p>
        </w:tc>
        <w:tc>
          <w:tcPr>
            <w:tcW w:w="3992"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接插件、专用插座等</w:t>
            </w:r>
            <w:r>
              <w:rPr>
                <w:rFonts w:hint="eastAsia" w:ascii="宋体" w:hAnsi="宋体"/>
                <w:b w:val="0"/>
                <w:bCs w:val="0"/>
                <w:color w:val="000000"/>
                <w:sz w:val="24"/>
                <w:szCs w:val="24"/>
                <w:highlight w:val="none"/>
              </w:rPr>
            </w:r>
            <w:r/>
          </w:p>
        </w:tc>
      </w:tr>
    </w:tbl>
    <w:p>
      <w:pPr>
        <w:pStyle w:val="871"/>
        <w:spacing w:line="56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p>
    <w:p>
      <w:pPr>
        <w:pStyle w:val="871"/>
        <w:ind w:firstLine="480"/>
        <w:spacing w:line="56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采购包二：</w:t>
      </w:r>
      <w:r>
        <w:rPr>
          <w:rFonts w:hint="eastAsia" w:ascii="宋体" w:hAnsi="宋体"/>
          <w:b w:val="0"/>
          <w:bCs w:val="0"/>
          <w:color w:val="000000"/>
          <w:sz w:val="24"/>
          <w:szCs w:val="24"/>
          <w:highlight w:val="none"/>
          <w:lang w:val="en-US" w:eastAsia="zh-CN"/>
        </w:rPr>
      </w:r>
      <w:r/>
    </w:p>
    <w:tbl>
      <w:tblPr>
        <w:tblW w:w="5034"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6"/>
        <w:gridCol w:w="2703"/>
        <w:gridCol w:w="6456"/>
      </w:tblGrid>
      <w:tr>
        <w:trPr>
          <w:trHeight w:val="276"/>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序号</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项目名称</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参数描述</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一、教学多媒体</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4560"/>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智慧黑板</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1.整机整体外观尺寸：宽≥4200mm，高≥1200mm，厚≤113mm。整机采用全金属外壳，三拼接平面一体化设计。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★2.屏幕采用≥86英寸液晶显示器，采⽤LED液晶A规屏，显示⽐例16:9。显示分辨率3840*2160，可视⻆度≥178°。</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3.侧置输入接口具备≥2路HDMI、1路RS232（RJ45形态）、1路USB接口，1路音频输出、1路触控USB输出；前置输入接口≥3路USB接口（包含1路Type-C、2路USB）。</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4.整机采用电容触控，Windows和Android系统均支持≥50点触控及书写划线。</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5.整机嵌入式系统版本≥Android 15，主频≥1.6GHz，内存≥2GB，存储空间≥32GB。</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6.整机设备内置2.2声道扬声器，最大功率≥84W，全部扬声器无需打开背板即可单独拆卸。</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7.整机内置非独立外扩展的4阵列麦克风，可用于对教室环境音频进行采集，麦克风拾音距离≥12米。</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8.整机听力模式下具备AI人声语言增强功能，支持三挡强弱调节。扩声系统语言传输指数（STIPA）≥0.75。</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提供CNAS或CMA认证的检测机构出具的检测报告复印件并加盖投标商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10.整机上边框内置非独立摄像头，采用一体化集成设计，⽀持输出4:3、16:9⽐例的图⽚和视频，支持拍摄＞1600 万像素数的照片和视频，支持输出 4k 分辨率的视频。</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11.整机内置双WiFi6无线网卡（不接受外接），在Android和Windows系统下，可实现Wi-Fi无线上网连接、AP无线热点发射。Wi-Fi制式支持IEEE 802.11 a/b/g/n/ac/ax；支持版本Wi-Fi6。</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整机支持发出频率为18kHz-22kHz超声波信号，智能手机和笔记本电脑接收超声波信号后可以自动识别附近投屏设备，点击对应设备即可完成投屏操作。（提供CNAS或CMA认证的检测机构出具的检测报告复印件并加盖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13.整机配套教学应用APP可通过wifi直连技术，近场发现附近教学大屏设备，无需扫码、账号密码输入步骤，即可直接连接并登录教学大屏设备，基于统一身份认证机制可实现其他教学软件免登录操作。（提供CNAS或CMA认证的检测机构出具的检测报告复印件并加盖投标商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14.整机Windows通道支持文件传输应用，支持通过扫码、超声、wifi直连三种方式与手机进行握手连接，实现文件传输功能。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15.整机内置AR授课工具，支持对视频展台所采集的画面中叠加动态的3D 模型。3D模型包括：动物、微生物、乐器、星球、地形。</w:t>
            </w:r>
            <w:r>
              <w:rPr>
                <w:rFonts w:hint="eastAsia" w:ascii="宋体" w:hAnsi="宋体"/>
                <w:b w:val="0"/>
                <w:bCs w:val="0"/>
                <w:color w:val="000000"/>
                <w:sz w:val="24"/>
                <w:szCs w:val="24"/>
                <w:highlight w:val="none"/>
              </w:rPr>
            </w:r>
            <w:r/>
          </w:p>
        </w:tc>
      </w:tr>
      <w:tr>
        <w:trPr>
          <w:trHeight w:val="720"/>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内置电脑</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1、采用按压式卡扣，无需工具即可快速拆卸电脑模块。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2、和整机的连接接口针脚数≤40pin。</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★3、电脑模块CPU要求：主频≥2.0GHz，8核心十二线程；配置要求：不低于 DDR4 8GB内存，256GB SSD硬盘；接口要求：≥1路HDMI，≥3路USB。</w:t>
            </w:r>
            <w:r>
              <w:rPr>
                <w:rFonts w:hint="eastAsia" w:ascii="宋体" w:hAnsi="宋体"/>
                <w:b w:val="0"/>
                <w:bCs w:val="0"/>
                <w:color w:val="000000"/>
                <w:sz w:val="24"/>
                <w:szCs w:val="24"/>
                <w:highlight w:val="none"/>
              </w:rPr>
            </w:r>
            <w:r/>
          </w:p>
        </w:tc>
      </w:tr>
      <w:tr>
        <w:trPr>
          <w:trHeight w:val="6000"/>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备授课教学软件</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（一）备授课功能：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▲1.为教师提供可扩展的云存储空间≥100T。（须提供具备CNAS或CMA标识的第三方检测机构出具的检测报告复印件并加盖投标商公章）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2.支持分组管理云课件，用户可自定义分组名称，并根据需要将课件分类管理。</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3.支持点对点分享云课件，用户可在软件中直接将课件发送给其它用户，同时也可以在软件中直接接收并打开其它用户分享的课件。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4.支持多人在选择书写工具的状态下同时书写和擦除，互不影响，方便不同学生在屏幕上同时书写。</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5.支持创建互动分类游戏，系统需提供不少于10种游戏模板，直接选择并输入相应内容即可轻松生成互动分类游戏，提升课堂趣味性。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7.支持任意对象自定义路径动画设置，可绘制任意的移动轨迹并让对象沿着轨迹路径进行移动，可单独设置该动画通过翻页或单击对象本身进行触发。</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8.提供不少于30个物理及化学三维实验视频，覆盖常用经典教学实验。</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（二）直播课堂功能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▲1.支持一键开课，教师可通过一键开课生成海报，学生可通过扫描海报微信二维码加入直播课堂，无需额外安装APP。（须提供具备CNAS或CMA标识的第三方检测机构出具的检测报告复印件并加盖公章）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远程课件互动，教师可指定授权学生远程互动，并且互动学生可在课件画面进行书写、移动、擦除、参与远程互动，操作内容实时同步给班级其他学生，且可支持最少五位学生同时参与远程互动。（须提供具备CNAS或CMA标识的第三方检测机构出具的检测报告复印件并加盖投标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3.课堂奖励工具：直播过程中可向学生发放奖杯，学生在线学习获得的奖杯数量累积统计。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4.远程考勤管理：直播课程结束后，后台自动统计报名学生名单和学生学习清单。</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5.课程回放：课程结束后自动生成直播回放，报名课程的学生可反复学习；回放课程自动保存在云端，支持人工删除。</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（三）集体备课：</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1.发起集备：支持选择教案、课件资源上传发起集备研讨，支持设置多重访问权限，通过手机号搜索即可邀请外校老师，可用于跨校教研场景。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2.稿件编辑：完成本次研讨后，主备人可直接进入编辑页面编辑课件/教案，发布新稿件后，备课组进入下一轮打磨更新稿件后会给参备老师实时同步教研动态。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生成集备报告：支持生成集备报告，报告生成后，参备人可查看具体报告内容和下载集备报告。报告内包含集备信息、数据统计、研讨记录的具体内容。（须提供具备CNAS或CMA标识的第三方检测机构出具的检测报告复印件并加盖投标商公章）</w:t>
            </w:r>
            <w:r>
              <w:rPr>
                <w:rFonts w:hint="eastAsia" w:ascii="宋体" w:hAnsi="宋体"/>
                <w:b w:val="0"/>
                <w:bCs w:val="0"/>
                <w:color w:val="000000"/>
                <w:sz w:val="24"/>
                <w:szCs w:val="24"/>
                <w:highlight w:val="none"/>
              </w:rPr>
            </w:r>
            <w:r/>
          </w:p>
        </w:tc>
      </w:tr>
      <w:tr>
        <w:trPr>
          <w:trHeight w:val="1440"/>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内置展台</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1.摄像头像素≥800万。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2.摄像头支持自动对焦，A4大小拍摄幅面，1080P动态视频预览达到30帧/秒。</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3.整机采用圆弧式设计，无锐角；托板可承重≥3kg，同时托板采用磁吸吸附式机构。</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4.展示托板正上方具备LED补光灯补光灯开关采用触摸按键设计，同时可通过视频展台软件直接控制开关；</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5.摄像头部分进行外壳防护等级试验，防护等级达到IP4X级别。</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6.支持对展台画面进行实时批注、放大、缩小、旋转、自适应、冻结画面等操作。</w:t>
            </w:r>
            <w:r>
              <w:rPr>
                <w:rFonts w:hint="eastAsia" w:ascii="宋体" w:hAnsi="宋体"/>
                <w:b w:val="0"/>
                <w:bCs w:val="0"/>
                <w:color w:val="000000"/>
                <w:sz w:val="24"/>
                <w:szCs w:val="24"/>
                <w:highlight w:val="none"/>
              </w:rPr>
            </w:r>
            <w:r/>
          </w:p>
        </w:tc>
      </w:tr>
      <w:tr>
        <w:trPr>
          <w:trHeight w:val="4320"/>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定制讲台</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1.钢木结合设计，采用冷轧钢板桌体，桌体金属板厚度≥0.8~1.5mm，老师接触位置为木质桌面，桌面采用E0级环保高密度板。</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2.讲台尺寸设计为长×宽×高：≥1600×700×1100 ±5mm，分体式结构，根据人体力学设计，采用分体式结构，台面融合放置智慧讲台屏体和实验器材，可以操作智慧屏体和进行各类实验。</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3.讲台桌面平整，全封闭设计，整体外观圆弧设计，无菱角处理，正面中部受到170N的冲击力时不会倾倒，保护师生安全。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4.讲台支持标准机柜收纳，支持≥12U的设备收纳放置，收纳空间（含机柜部分）≥965mm×505mm×600mm±5mm，前后门都可以打开，前门采用旋钮式螺丝设计，后门采用双开门式设计；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5.讲台机柜门采用大面积散热孔设计，易于柜内设备的通风散热，避免设备损坏；讲台正面支持学校进行LOGO定制。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讲台屏体的屏幕采用≥23.8英寸电容触摸屏（简称：屏幕）且采用防眩光钢化玻璃面板，厚度≥2mm；支持≥10点触控；支持屏幕手动角度调节，可实现与桌面形成20°至80°角度调节；（提供CNAS或CMA认证的检验中心所出具的权威检测报告复印件并加盖投标商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7.屏体侧面具有物理实体快捷按键≥6个，按键功能包括对屏幕一键开/关屏幕、对匹配的多媒体设备（如智慧黑板）进行一键熄屏以及一键音量加、一键音量减。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8.接口：HDMI IN≥2个，HDMI OUT≥1个，Type-C≥1个，USB≥4个，RJ45≥1个；AUDIO OUT≥1个，RS232≥1个，220V国标五插电源接口≥1个（支持对外供电）。</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9.讲台屏具备工作台模式和全屏模式两种教学模式。全屏模式下支持全屏操作讲台;工作台模式支持独立的操作区域。支持设置开机默认显示的教学模式。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讲台屏具备教学课件(PPT、PPTX、ENBX)提示功能，课件进入放映模式后，在讲台工作台区域显示下一页课件和当前页课件备注，并支持通过讲台工作台区域进行上下页切换；教学课件提示支持常见的课件软件使用，包含 Office、WPS、教学白板，支持常见的课件格式提示，包含 ppt、pptx、enbx。（提供CNAS或CMA认证的检验中心所出具的权威检测报告复印件并加盖投标商公章）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讲台屏具备教学工具，支持通过讲台工作台区域快速打开教学工具，包含批注、放大镜、白板、计时器、随机抽选、返回桌面。（提供CNAS或CMA认证的检验中心所出具的权威检测报告复印件并加盖投标商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12.讲台屏具备U 盘隐私操作功能，当在大屏或讲台插入 U盘后，可以选择在讲台上安全打开U 盘，打开后U 盘上内容仅讲台上可见</w:t>
            </w:r>
            <w:r>
              <w:rPr>
                <w:rFonts w:hint="eastAsia" w:ascii="宋体" w:hAnsi="宋体"/>
                <w:b w:val="0"/>
                <w:bCs w:val="0"/>
                <w:color w:val="000000"/>
                <w:sz w:val="24"/>
                <w:szCs w:val="24"/>
                <w:highlight w:val="none"/>
              </w:rPr>
            </w:r>
            <w:r/>
          </w:p>
        </w:tc>
      </w:tr>
      <w:tr>
        <w:trPr>
          <w:trHeight w:val="1185"/>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集中控制软件</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整体设计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1.设计架构：系统采用模块化的架构设计B/S架构，通过浏览器打开并用微信扫码登录、账号密码登录和微信授权登录完成鉴权，即可使用数字校园产品的各项功能模块。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2.登录认证：基于Web浏览器，提供用户统一登录认证功能，包括：手机号码注册、登录、忘记密码、扫码登录、账号管理功能。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提供个性化工作台自定义功能，在工作台配置页面，可通过拖拉拽可视化配置组件的方式，完成个性化工作台的配置；工作台可配置组件数量不小于30个；同时工作台支持启用和停用管理。（提供CNAS或CMA认证的检验中心所出具的权威检测报告复印件并加盖投标商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4.系统管理员：提供组织管理员管理功能，包括：管理员添加、移除和转移，同时支持设置管理员的管理权限，包括：组织管理，系统管理员管理，角色权限，工作台配置，应用管理，区域语言和操作日志。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5.应用管理：提供应用中心应用管理功能，包含网页端和移动端的应用管理，包括应用安装、应用卸载、自定义分类、移动应用分类。</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设备管理模块：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支持自定义设备类型及数量，掌握校内设备资产分布情况；支持根据老师、学科、设备三大维度查看设备使用排行，并提供信息化设备利用率提升指南。支持查看本校常用软件、网址访问排行、全校设备画面截图；支持查看设备网络负载、硬件负载情况，并提供网络优化、硬件升级指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同时查看不少于20个教室的实时摄像头画面、设备屏幕画面；支持在一个显示界面同时查看单个教室内所有屏幕、所有摄像头的实时画面，以及所有麦克风的声音，其中摄像头画面可直接使用设备自带摄像头，支持远程发送文本消息、语音消息，支持记录备注、听课评价；支持巡视日志功能，可以回溯管理员的巡视历史。</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3.个性化巡视：支持自定义巡视水印类型、水印内容及水印颜色等设置，设置水印后，巡视过程中的摄像头画面和设备屏幕画面都会增加水印信息；支持自定义过滤摄像头、麦克风。</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管理者开启掌上看班服务，开启/关闭掌上看班的管控功能；拥有掌上看班权限的老师可在移动端或PC客户端实时巡班，并进行基础远程管控。支持管理者为普通老师直接分配、普通老师自行申请后由管理者在平台审核开通的2种方式管理掌上看班的班级权限，所有权限调整均配备操作日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根据班级课程表，自动获取正在上课或者即将上课的科目、老师列表，快速定位老师所在教室，实时远程听课；支持听课过程中针对本节课的教学过程进行评价，支持创建和使用多个评课表，并将评价记录于巡视记录。</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6.支持远程批量清理设备磁盘；支持清理指定磁盘的指定文件夹；支持清理系统盘备份、缓存、日志等文件；支持迁移系统盘视频、图片、音乐、文档文件；支持格式化非系统盘磁盘。</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7.支持远程向已冰冻的设备发送指令、安装软件，在设备正常关机时触发穿透动作，穿透完成后，设备即可使用已安装软件、执行已接收指令，且穿透过程中无需人为解冻。</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8.支持一键开启拦截能力；支持查看已上报的所有疑似风险窗口和上报次数，并支持拦截某个应用所有窗口、某个具体窗口；支持将某个应用、某个具体窗口加入白名单，不对软件进行拦截。</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9.支持查看校内当日班班通设备流量使用的具体情况、带宽利用率；支持对设备进行限速设置。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10.网址过滤：支持设置网址访问黑名单、白名单，限制所有设备的网址访问。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支持AI自动监测设备画面色情、恐怖、暴力、游戏等风险内容或元素；支持设置警告内容，当监测到不良画面后自动提醒；支持将每天监测到的风险结果自动推送至公众号提醒管理；支持按设备、按画面维度回溯历史监测到的不良画面信息。（提供CNAS或CMA认证的检验中心所出具的权威检测报告复印件并加盖投标商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支持一键下课锁屏、开机自动锁屏、无网络时验证身份解锁、联网时禁用密码解锁；支持下课锁屏，在班班通设备上点击“下课”按钮即可锁屏；支持开机自动锁屏，可设置生效时间和生效设备；支持无网络情况下，通过手机微信扫码，验证身份后获取密码进行解锁使用。支持设置屏幕锁壁纸；支持设置普通锁屏、极速锁屏模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13.支持用户自主上传官方正版软件，支持批量将软件发送至班班通设备安装，软件自动静默安装，无需人工操作。</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14.支持解读设备运行数据，提供基建优化建议；支持根据网络带宽利用率分析网络稳定性并提供优化方案；支持根据硬件参数及流畅度达标情况分析设备运行稳定性并提供优化方案；支持根据安全服务开启情况分析设备运行风险并提供优化方案。</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15.支持分析解读教师使用数据，提供信息化素养提升建议；支持根据各学科/设备/老师使用数据分析经验丰富的老师，并提供信息化素养提升建议；支持根据不同类型软件的使用明细分析本校常用软件，并提供软件普及、替换或拦截建议。（提供CNAS或CMA认证的检验中心所出具的权威检测报告复印件并加盖投标人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16.支持面向班班通设备、班牌设备、校园屏显设备发送节目单指令；支持实时预览内容，支持设置按照每周循环播放、指定日期播放、自定义日期播放3种节目播放机制；支持播完即结束、指定时间循环播两种循环模式；支持同时添加不少于5个不同的播放周期，进行定时播放。（提供CNAS或CMA认证的检验中心所出具的权威检测报告复印件并加盖投标商公章）</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二、电子班牌</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6485"/>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电子班牌</w:t>
            </w:r>
            <w:r>
              <w:rPr>
                <w:rFonts w:hint="eastAsia" w:ascii="宋体" w:hAnsi="宋体"/>
                <w:b w:val="0"/>
                <w:bCs w:val="0"/>
                <w:color w:val="000000"/>
                <w:sz w:val="24"/>
                <w:szCs w:val="24"/>
                <w:highlight w:val="none"/>
              </w:rPr>
            </w:r>
            <w:r/>
          </w:p>
        </w:tc>
        <w:tc>
          <w:tcPr>
            <w:tcW w:w="3307" w:type="dxa"/>
            <w:vAlign w:val="top"/>
            <w:textDirection w:val="lrTb"/>
            <w:noWrap w:val="false"/>
          </w:tcPr>
          <w:p>
            <w:pPr>
              <w:pStyle w:val="871"/>
              <w:spacing w:line="56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班牌硬件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1.采用21.5英寸横屏式电容显示屏，支持10点触控，屏幕分辨率≥1920*1080，显示比例16:9；屏幕亮度≥500cd/㎡。</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2.屏体采用宽温液晶屏，屏体工作温度区间跨度不小于零下20°C-80°C。</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3.具备≥两条LED状态指示灯，支持通过状态指示灯不同颜色的变化，便于甄别场地的不同占用状态。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4.整机软硬件设计可兼容横竖屏壁挂，无需增加其它配件，适用于不同空间场景的需求。</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5.整机采用防水防尘结构设计，适用于学校教室半户外环境，防护等级不低于IP65。</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6.整机背部与墙面微距全贴合，背面与平整墙面间隙最大处≤2.5mm，保障教学环境的安全性；整机最大厚度不大于33mm；整机正面覆盖钢化玻璃；整机正面不采用贴膜方式,具备防眩光功能。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7.可拍摄不低于200W像素的照片，支持不少于10人同时进行人脸识别。</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8.整机在逆光（人像处于背景照度≥80000Lux）环境下距离≤0.5m可正常进行人脸识别。</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▲9.整机内置红外补光灯和双目摄像头，能同时打开彩色和黑白照片，具备活体检测功能。（提供CNAS或CMA认证的检测机构出具的检测报告复印件并加盖投标商公章）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10.内置高灵敏度的全向麦克风，拾音半径不小于0.5m；内置2.0立体声道功放；刷卡器：具有内置IC卡刷卡器，支持14443协议；整机具备至少一路RJ45网络接口；具备不少于2路USB 2.0接口。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11.整机采用内置天线设计，无任何天线外露。</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12.整机支持外接门禁控制。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13.支持韦根协议、BLE、I/O接口。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14.系统运行内存不低于2GB，存储容量不低于16GB；操作系统版本不低于Android 9.0。</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15.整机CPU≥4核，最高主频≥1.9G。</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16.整机电源采用插墙式电源适配器，适配器无需悬挂，线材上出；支持远程开关机功能，远程唤醒待机功耗≤2W；整机支持自动感光调节屏幕亮度。</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班牌软件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整套应用系统基于SaaS布局，应用界面采用B/S架构设计，支持学校管理者在Windows、Linux、Android、IOS等多种不同的操作系统上通过网页浏览器登陆进行所有管理指令操作。家长通过常用移动通讯应用工具即可实现家校互通，通知消息接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2.系统可在后台发布班牌展示信息内容，支持照片、视频、新闻、公告、电子欢迎横幅、PDF、第三方链接等类型，内容支持图文混合排版。</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3.信息发布具备定向发布功能，可按照全校、班级层级进行定向信息推送。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▲4.联动校宣：发布的校级图片、视频、新闻、公告，可同时传到班牌和一体机（安装校园信息视窗软件）上展示。（提供CNAS或CMA认证的检验中心所出具的权威检测报告复印件并加盖投标商公章）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5.设置屏保模式后，班牌长时间处于无人操作状态下将自动切换至屏幕保护模式，屏保模式下可选择全校、班级相册轮播、置顶已发布公告等多种内容展示。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6.系统内置超过200张屏保云图，分属于不同的云图库（如：卫生健康、党建文化、科普知识等），用户可以选择需要的云图库作为班牌屏保。</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7.新闻公告、相册、视频、海报功能均支持霸屏发布，在指定时间段内霸屏内容全屏展示。</w:t>
            </w:r>
            <w:r>
              <w:rPr>
                <w:rFonts w:hint="eastAsia" w:ascii="宋体" w:hAnsi="宋体"/>
                <w:b w:val="0"/>
                <w:bCs w:val="0"/>
                <w:color w:val="000000"/>
                <w:sz w:val="24"/>
                <w:szCs w:val="24"/>
                <w:highlight w:val="none"/>
                <w:lang w:val="en-US" w:eastAsia="zh-CN"/>
              </w:rPr>
            </w:r>
            <w:r/>
          </w:p>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▲8.系统内置超过20套公告模板（如：家长会通知、寒暑假通知等），可供用户发布公告时套用。（提供CNAS或CMA认证的检验中心所出具的权威检测报告复印件并加盖投标商公章）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9.系统内置50+海报模板（如，欢迎模式，卫生健康，校园风采，通知公告等），支持用户自定义修改背景及文案。同时可以自定义管理海报分类。</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10.支持以校级或班级为单位发布事件倒计时，可编辑事件名称和倒计时截止时间，事件剩余时间在班牌实时显示，可同时发布不少于3个事件倒计时。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11.支持发布班级值日安排，可在班牌显示当日对应的值日生名单。</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12.学生、教师可在班牌查看对应课程表；班牌智能高亮标记显示今日课程及当前进行的课程，便于学生教师查看。</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13.系统提供学生日循环考勤、单次事件考勤、课程考勤等考勤规则模式，可设置考勤事件的名称、起始时间、考勤人员范围。考勤时间段内班牌显示内容自动切换为考勤模式，实时显示应到学生、已到学生的数量及名单。</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14.人脸识别考勤功能支持离线识别，无网络环境下班牌仍可以进行人脸识别考勤。</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15.高级考勤模式支持考勤对象在多个场地中的任意一个场地考勤。</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三、校园公共广播</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3.1行政楼广播室</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主机服务器</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192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控制主机</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1.采用工控机机箱设计，具有17.3英寸LED液晶显示屏，支持触摸控制屏，支持等同或优于1920×1080分辨率；服务器运载Windows Server 2008 R2 Standard(x64),Windows Server 2012 R2 Standard(x64)及以上操作系统。</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2.具备抽拉式键盘设计；支持≥1路短路触发开机接口，用于实现定时驱动开机运行。</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3.具有≥1×电源接口，≥1×TRIGGER INPUT接口，≥1×COM（RS-232）接口，≥1×VGA输出接口，≥6×USB接口 ，≥1×HDMI输出接口，≥1×DVI输出接口，≥6×COM（RS-232）接口，≥1×3.5mm耳机/麦克风输入接口，≥4×3.5mm 7.1声道输出接口。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4.采用的处理器配置≥2颗≥6核，≥12线程，≥3.40GHz主频。内存：≥2×≥16G。硬盘：≥1×≥128GB SSD，≥1×≥1TB HDD。</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5.支持录音存储功能，可在后台自定义设置录音文件保存路径。</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6.具有7.1声道独立声卡。</w:t>
            </w:r>
            <w:r>
              <w:rPr>
                <w:rFonts w:hint="eastAsia" w:ascii="宋体" w:hAnsi="宋体"/>
                <w:b w:val="0"/>
                <w:bCs w:val="0"/>
                <w:color w:val="000000"/>
                <w:sz w:val="24"/>
                <w:szCs w:val="24"/>
                <w:highlight w:val="none"/>
              </w:rPr>
            </w:r>
            <w:r/>
          </w:p>
        </w:tc>
      </w:tr>
      <w:tr>
        <w:trPr>
          <w:trHeight w:val="600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数字化IP网络广播客户端管理软件</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1.软件统一管理系统内所有音频终端，包括寻呼话筒、对讲终端、广播终端和消防接口设备，实时显示音频终端的IP地址、在线状态、任务状态、音量运行状态。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撑各音频终端的运行，负责音频流传输管理，响应各音频终端播放请求和音频全双工交换，支持B/S架构VN.CM46347W，通过网页登陆可进行终端管理、用户管理、节目播放管理、音频文件管理、录音存贮、内部通讯调度处理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3.管理节目库资源，为所有音频终端器提供定时播放和实时点播媒体服务，响应各终端的节目播放请求，为各音频工作站提供数据接口服务。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4.提供全双工语音数据交换，响应各对讲终端的呼叫和通话请求，支持一键呼叫、一键对讲、一键求助、一键报警通话模式，支持自动接听、手动接听，支持自定义接听提示音。</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6.支持终端短路输入联动触发，可任意设置联动触发方案和触发终端数量，触发方案包括短路输出、音乐播放、巡更警报。</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7.编程定时任务，支持编程多套定时方案，支持选择任意终端和设置任意时间；支持定时任务执行测试、设置重复周期。支持定时任务多种音源选择（音乐播放、声卡采集、终端采集）。</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8.支持多套定时打铃方案同时启用，每套定时打铃方案支持多套任务同时进行，支持一键启用/停用所有方案。支持定时打铃功能，支持打铃方案克隆，任务执行与停止控制、定时任务禁用与启用功能。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9.支持定时巡更功能，支持自定义巡更任务的执行时间及重复周期，可自定义指示灯闪烁间隔时间0-30s。</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10.支持今日任务列表查看，管理今日执行的所有定时任务信息和执行状态。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11.日志记录系统运行状态，实时记录系统运行及终端工作状态，每次呼叫、通话和广播操作均有记录。</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12.支持对≥8路功率分区终端进行功率控制分区设置，通过web页面后台或分控客户端均可设置分区。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13.支持对终端设置时间显示配置，可设置1-6级别亮度值，可设置断网后不显示时间模式。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14.支持对终端设置不同的灯光模式，可分别自定义设置红灯亮、红灯灭、绿灯/蓝灯亮、绿灯/蓝灯灭时间0-10S。</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15.支持配置终端冻结时间，在终端被冻结期间禁止终端执行任务。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16.支持广播、对讲、实时采集、终端监听进行录音；支持文本广播功能，可实现将文本转成语音，支持后台调整语速。</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17.支持后台换肤功能，可根据喜好自由切换皮肤主题。</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18.支持终端明细导出功能，支持通过表格方式导出当前系统终端的配置详情。支持批量修改定时任务的时间、执行终端。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19.后台功能管理模块自定义；首页快捷入口配置，入口数量提供2*3、3*3、2*4、3*4的排列布局显示。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20.支持4x100级自定义配置任务优先级(服务器优先级、任务优先级、用户优先级,终端优先级），满足各种优先级任务自动调度。</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消防联动</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288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采集器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▲1.产品获得公安部消防产品合格评定中心颁发的CCCF认证证书（提供证书复印件并加盖投标人公章）；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2.设备采用嵌入式计算机技术和DSP音频处理技术设计。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3.16路消防短路信号输入，可无限扩展输入接口，方便更大的系统使用。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4.面板支持一键取消任务。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5.标配网络接口，全速率连接最高可达100M。</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6.支持广播系统对终端进行远程固件升级，无需到终端本地升级，减轻维护人员工作强度。</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7.网络接口：标准RJ45输入</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8.传输速率：100Mbps</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9.支持协议：TCP/IP、UDP、IGMP（组播）</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10.短路接口：工业标准压线接线端子</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11.内嵌消防语音：软件内嵌于消防语音系统主机设备，支撑设备各项基本功能的运行。支持分区监听、设备状态实时查看。实现对设备的控制、信号切换。</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其它配套设备</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192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寻呼话筒</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1.桌面式设计，带有≥7英寸显示屏。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▲2.自带数字键，功能键界面。支持呼叫分区及多个分区，呼叫全区广播；支持操作呼叫或对讲任意终端。（提供CNAS或CMA认证的检测机构出具的检测报告复印件并加盖投标商公章）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2.内置≥1路网络硬件音频解码模块。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4.具有≥1路3.5耳机接口，具有≥1路3.5话筒输入接口，具有≥1路短路输出接口，具有≥1路短路输入接口，具有≥1路音频线路输入接口，具有≥1路音频线路输出接口。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5.支持≥10个按键自定义一键呼叫广播功能。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内嵌软件：软件内嵌于话筒设备，实现话筒呼叫控制功能，支撑设备各项基本功能的运行。授权操作管理功能，支持服务器统一配置管理用户及密码。支持新配置注册智能语音提示功能。支持多种呼叫策略，包括呼叫转移、呼叫等待、无人接听提醒。支持双向对讲功能，可与另一方对讲终端实现双向语音传输功能。可实现分区/全区进行喊话/广播功能。支持单独调节音量。</w:t>
            </w:r>
            <w:r>
              <w:rPr>
                <w:rFonts w:hint="eastAsia" w:ascii="宋体" w:hAnsi="宋体"/>
                <w:b w:val="0"/>
                <w:bCs w:val="0"/>
                <w:color w:val="000000"/>
                <w:sz w:val="24"/>
                <w:szCs w:val="24"/>
                <w:highlight w:val="none"/>
              </w:rPr>
            </w:r>
            <w:r/>
          </w:p>
        </w:tc>
      </w:tr>
      <w:tr>
        <w:trPr>
          <w:trHeight w:val="168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IP网络音箱</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1.内置≥1路网络硬件音频解码模块,具有≥1路RJ45网络接口，≥100Mbps传输速率。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2.支持≥1路音频线路输入接口，具有独立的音量调节功能。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3.设备集成有数字功放，功率≥2×20W（MAX），≥1路接主音箱，≥1路外接到副音箱。</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4.内置≥2级优先级功能设计：(1)AUX与网络背景音乐信号同级，混音输出。(2)网络报警信号优先AUX与网络背景音乐信号。</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5.支持IPv6、IPv4网络协议。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IP有源音箱扩声软件：软件内嵌于IP有源音箱扩声终端设备，支撑设备各项基本功能的运行。嵌入DSP音频处理技术，高保真解码音频文件；支持远程点播功能，支持节目播放。支持新配置注册智能语音提示功能。支持播放背景音乐功能，支持单独调节音量。支持播放本地服务器的MP3文件；支持单独播放或分区/全区播放。</w:t>
            </w:r>
            <w:r>
              <w:rPr>
                <w:rFonts w:hint="eastAsia" w:ascii="宋体" w:hAnsi="宋体"/>
                <w:b w:val="0"/>
                <w:bCs w:val="0"/>
                <w:color w:val="000000"/>
                <w:sz w:val="24"/>
                <w:szCs w:val="24"/>
                <w:highlight w:val="none"/>
              </w:rPr>
            </w:r>
            <w:r/>
          </w:p>
        </w:tc>
      </w:tr>
      <w:tr>
        <w:trPr>
          <w:trHeight w:val="1295"/>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CD播放器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1.吸入式机芯；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2.自动播放控制；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3.可播放：CD/VCD/MP3/DVD碟片；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4.内置宽频监听扬声器；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5.内置MP3播放器，可读USB和SD卡；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6.可通过面板按键或红外遥控器控制操作。</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7.支持上电自动播放功能。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8.多功能音源控制嵌入软件：软件内嵌于终端设备，支撑设备各项基本功能的运行。支持系统+ESS解码方案，超强纠错功能。支持播放CD碟片。支持读取U盘或SD卡，并且播放媒体文件。</w:t>
            </w:r>
            <w:r>
              <w:rPr>
                <w:rFonts w:hint="eastAsia" w:ascii="宋体" w:hAnsi="宋体"/>
                <w:b w:val="0"/>
                <w:bCs w:val="0"/>
                <w:color w:val="000000"/>
                <w:sz w:val="24"/>
                <w:szCs w:val="24"/>
                <w:highlight w:val="none"/>
              </w:rPr>
            </w:r>
            <w:r/>
          </w:p>
        </w:tc>
      </w:tr>
      <w:tr>
        <w:trPr>
          <w:trHeight w:val="144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调谐器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1.调频、调幅（AM/FM）立体声二波段接收可选，电台频率记忆存储≥99个；</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2.电台频率自动搜索存储功能，且有断电记忆功能；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3.采用石英锁相环路频率合成器式调谐回路技术；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4.≥两组接收天线输入：AM接收天线输入；FM接收天线75Ω输入；</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5.≥1路音频信号左右声道（L /R）输出；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6.可通过面板按键或红外遥控器控制操作。</w:t>
            </w:r>
            <w:r>
              <w:rPr>
                <w:rFonts w:hint="eastAsia" w:ascii="宋体" w:hAnsi="宋体"/>
                <w:b w:val="0"/>
                <w:bCs w:val="0"/>
                <w:color w:val="000000"/>
                <w:sz w:val="24"/>
                <w:szCs w:val="24"/>
                <w:highlight w:val="none"/>
              </w:rPr>
            </w:r>
            <w:r/>
          </w:p>
        </w:tc>
      </w:tr>
      <w:tr>
        <w:trPr>
          <w:trHeight w:val="144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前置放大器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1.具有≥5路话筒（MIC）输入接口，≥3路标准信号线路（AUX）输入接口，≥2路紧急线路（EMC）输入接口。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2.MIC5具有最高优先、强行切入优先功能；MIC5和EMC最高优先权限功能可通过拨动开关交替选择。</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3.紧急输入线路具有二级优先，强行切入优先功能。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4.MIC1、2、3、4、5和≥2路紧急输入（EMC）通道均附设有线路辅助输入接口功能。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5.具有默音深度调节旋钮和EMC输入增益调节旋钮。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6.MIC2、3、4、5通道灵敏度可通过拨码开关选择。</w:t>
            </w:r>
            <w:r>
              <w:rPr>
                <w:rFonts w:hint="eastAsia" w:ascii="宋体" w:hAnsi="宋体"/>
                <w:b w:val="0"/>
                <w:bCs w:val="0"/>
                <w:color w:val="000000"/>
                <w:sz w:val="24"/>
                <w:szCs w:val="24"/>
                <w:highlight w:val="none"/>
              </w:rPr>
            </w:r>
            <w:r/>
          </w:p>
        </w:tc>
      </w:tr>
      <w:tr>
        <w:trPr>
          <w:trHeight w:val="120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话筒</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1.换能方式：驻极体</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2.钟声提示：带钟声提示功能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3.线材配备：10米（卡农母头转6.35音频线）</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4.咪杆长度 ：420mm</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5.具备有灯环提示功能</w:t>
            </w:r>
            <w:r>
              <w:rPr>
                <w:rFonts w:hint="eastAsia" w:ascii="宋体" w:hAnsi="宋体"/>
                <w:b w:val="0"/>
                <w:bCs w:val="0"/>
                <w:color w:val="000000"/>
                <w:sz w:val="24"/>
                <w:szCs w:val="24"/>
                <w:highlight w:val="none"/>
              </w:rPr>
            </w:r>
            <w:r/>
          </w:p>
        </w:tc>
      </w:tr>
      <w:tr>
        <w:trPr>
          <w:trHeight w:val="96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7</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IP音频采集器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1.采集设备支持将模拟音频采集编码成数字音频，具有≥1路RJ45网络接口，支持定时采播任务、临时采播任务功能。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2.具有≥2组RCA音频输入接口，支持音量调节功能。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3.采播任务支持≥3种采集音质可选，支持普通、中级、高级音质选择模式。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4.支持声压触发采集外部音源，智能识别音频,自动建立采集任务,可自定义执行区域,可自定义延时关闭时间。</w:t>
            </w:r>
            <w:r>
              <w:rPr>
                <w:rFonts w:hint="eastAsia" w:ascii="宋体" w:hAnsi="宋体"/>
                <w:b w:val="0"/>
                <w:bCs w:val="0"/>
                <w:color w:val="000000"/>
                <w:sz w:val="24"/>
                <w:szCs w:val="24"/>
                <w:highlight w:val="none"/>
              </w:rPr>
            </w:r>
            <w:r/>
          </w:p>
        </w:tc>
      </w:tr>
      <w:tr>
        <w:trPr>
          <w:trHeight w:val="96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8</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电源管理器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1.机柜式设计，黑色氧化铝拉丝面板。</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2.支持≥16路电源输出，具有≥14个AC220V(10A)，≥2个AC220V(16A)接口， 电源插口总容量达≥6KVA。</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3.设有船型开关，可手动控制≥16个电源上断电；也可与定时器、智能控制器相连接，实现自动控制；支持配置CH1和CH2通道为受控或不受控状态。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4.有≥1路24V消防信号输入接口；≥1路消防短路报警触发信号输出。</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3.2室外广播室</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120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台式电脑</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★1.处理器：不低于i7处理器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2.内存：不低于16G</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3.硬盘：不低于1TB SSD</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4.系统：不低于Windows 11家庭中文版版</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5.包含不低于21.45英寸显示器（分辨率：1080P）</w:t>
            </w:r>
            <w:r>
              <w:rPr>
                <w:rFonts w:hint="eastAsia" w:ascii="宋体" w:hAnsi="宋体"/>
                <w:b w:val="0"/>
                <w:bCs w:val="0"/>
                <w:color w:val="000000"/>
                <w:sz w:val="24"/>
                <w:szCs w:val="24"/>
                <w:highlight w:val="none"/>
              </w:rPr>
            </w:r>
            <w:r/>
          </w:p>
        </w:tc>
      </w:tr>
      <w:tr>
        <w:trPr>
          <w:trHeight w:val="312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IP网络广播系统分控软件</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1.数字客户端分控软件运行于Windows操作系统的台式电脑或笔记本电脑（兼容(win7-win10、server2008或更高版本)），用户登陆通过系统服务器的权限验证即可进行对广播系统的控制。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2.客户端软件利用网络（局域网、广域网）远程登录到服务器，支持多套客户端软件同时登录到服务器，各套客户端软件独立工作。</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3.可实现终端状态查看、音频播放、监听、广播及对讲、会话状态监控功能。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4.支持实时查看终端工作状态、音量、任务，并且可在终端状态界面设置终端音量。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5.支持创建文本广播任务，可实现将文本转成语音，支持后台调整语速。</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6.支持创建终端采集任务，可设置普通、中级的采集音质类型。</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7.支持创建声卡采集任务，可通过分控客户端所在电脑的声卡进行实时采播，并且支持将采播的内容进行录音存储。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8.支持创建音乐播放任务，可进行本地文件播放，可选择多首歌曲进行顺序播放或循环播放或随机播放。</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9.支持进行发起监听功能，在会话状态选择监听终端，可监听某任务播放的内容。</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10.支持远程对某终端/分区或全区进行实时的寻呼广播，支持选择网络寻呼话筒进行实时对讲。</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11.支持分控端查看终端上下线记录，可设置终端掉线弹窗提示。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▲12.支持方块视图或列表视图进行切换显示，方块视图每页显示终端数量提供3x5、3x6、4x6、4x7、5x8、5x9、5x10、5x11的排列布局显示。（提供功能界面截图佐证）</w:t>
            </w:r>
            <w:r>
              <w:rPr>
                <w:rFonts w:hint="eastAsia" w:ascii="宋体" w:hAnsi="宋体"/>
                <w:b w:val="0"/>
                <w:bCs w:val="0"/>
                <w:color w:val="000000"/>
                <w:sz w:val="24"/>
                <w:szCs w:val="24"/>
                <w:highlight w:val="none"/>
              </w:rPr>
            </w:r>
            <w:r/>
          </w:p>
        </w:tc>
      </w:tr>
      <w:tr>
        <w:trPr>
          <w:trHeight w:val="120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寻呼话筒</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1.桌面式设计，带有≥7英寸显示屏。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2.自带数字键，功能键界面。支持呼叫分区及多个分区，呼叫全区广播；支持操作呼叫或对讲任意终端。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2.内置≥1路网络硬件音频解码模块。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4.具有≥1路3.5耳机接口，具有≥1路3.5话筒输入接口，具有≥1路短路输出接口，具有≥1路短路输入接口，具有≥1路音频线路输入接口，具有≥1路音频线路输出接口。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5.支持≥10个按键自定义一键呼叫广播功能。</w:t>
            </w:r>
            <w:r>
              <w:rPr>
                <w:rFonts w:hint="eastAsia" w:ascii="宋体" w:hAnsi="宋体"/>
                <w:b w:val="0"/>
                <w:bCs w:val="0"/>
                <w:color w:val="000000"/>
                <w:sz w:val="24"/>
                <w:szCs w:val="24"/>
                <w:highlight w:val="none"/>
              </w:rPr>
            </w:r>
            <w:r/>
          </w:p>
        </w:tc>
      </w:tr>
      <w:tr>
        <w:trPr>
          <w:trHeight w:val="120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IP网络音箱</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1.内置≥1路网络硬件音频解码模块,具有≥1路RJ45网络接口，≥100Mbps传输速率。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2.支持≥1路音频线路输入接口，具有独立的音量调节功能。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3.设备集成有数字功放，功率≥2×20W（MAX），≥1路接主音箱，≥1路外接到副音箱。</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4.内置≥2级优先级功能设计：(1)AUX与网络背景音乐信号同级，混音输出。(2)网络报警信号优先AUX与网络背景音乐信号。</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5.支持IPv6、IPv4网络协议。</w:t>
            </w:r>
            <w:r>
              <w:rPr>
                <w:rFonts w:hint="eastAsia" w:ascii="宋体" w:hAnsi="宋体"/>
                <w:b w:val="0"/>
                <w:bCs w:val="0"/>
                <w:color w:val="000000"/>
                <w:sz w:val="24"/>
                <w:szCs w:val="24"/>
                <w:highlight w:val="none"/>
              </w:rPr>
            </w:r>
            <w:r/>
          </w:p>
        </w:tc>
      </w:tr>
      <w:tr>
        <w:trPr>
          <w:trHeight w:val="288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U段无线话筒</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2.具有≥1台接收主机、≥2只手持发射机；频率范围等同或优于470MHz-510MHz、540MHz-590MHz、640MHz-690MHz、807MHz-830MHz四个频段使用。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显示屏、≥1个开关机/静音按键、≥2个工作状态指示灯。（提供设备接口图佐证）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4.具有自动静音功能，麦克风跌落、抛掷时，毫秒级自动静音，避免冲击声；实时监测设备姿态，静置≥5秒静音，≥8分钟关机，无需手动干预。</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▲5.具有多档位混响调节功能，混响效果≥15625个，效果占比、回响延时、混响幅度调节，三种音效各具有≥25档调节方式。（提供功能截图佐证）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6.具有多频段均衡调节功能，均衡调节≥2197种，麦克风均衡器调节功能，具有高、中、低音三种调节档位，每种效果支持≥13档调节。</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7.具有长时间续航，发射机使用时长≥10小时。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8.具有ID码防串扰功能，采用32位唯一ID码，用于接收和发射配对，收发ID码必须相同才能对码，能够有效防止相同频率的信号相互串台。</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9.接收机具有≥2个LCD显示屏；发射机具有OLED显示屏，能够显示频率信息、音频加密状态、功率挡位、静音状态、电量格数信息。</w:t>
            </w:r>
            <w:r>
              <w:rPr>
                <w:rFonts w:hint="eastAsia" w:ascii="宋体" w:hAnsi="宋体"/>
                <w:b w:val="0"/>
                <w:bCs w:val="0"/>
                <w:color w:val="000000"/>
                <w:sz w:val="24"/>
                <w:szCs w:val="24"/>
                <w:highlight w:val="none"/>
              </w:rPr>
            </w:r>
            <w:r/>
          </w:p>
        </w:tc>
      </w:tr>
      <w:tr>
        <w:trPr>
          <w:trHeight w:val="120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话筒天线</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1.天线接收频段广，可接收等同或优于470-950MHZ的频率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2.天线极化方式：线极化 </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3.天线驻波比：≤2.0      </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4.放大器增益：四档可调（-6dB/0dB/6dB/12dB)</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5.指向性：≥90度指向</w:t>
            </w:r>
            <w:r>
              <w:rPr>
                <w:rFonts w:hint="eastAsia" w:ascii="宋体" w:hAnsi="宋体"/>
                <w:b w:val="0"/>
                <w:bCs w:val="0"/>
                <w:color w:val="000000"/>
                <w:sz w:val="24"/>
                <w:szCs w:val="24"/>
                <w:highlight w:val="none"/>
              </w:rPr>
            </w:r>
            <w:r/>
          </w:p>
        </w:tc>
      </w:tr>
      <w:tr>
        <w:trPr>
          <w:trHeight w:val="144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7</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前置放大器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1.具有≥5路话筒（MIC）输入接口，≥3路标准信号线路（AUX）输入接口，≥2路紧急线路（EMC）输入接口。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2.MIC5具有最高优先、强行切入优先功能；MIC5和EMC最高优先权限功能可通过拨动开关交替选择。</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3.紧急输入线路具有二级优先，强行切入优先功能。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4.MIC1、2、3、4、5和≥2路紧急输入（EMC）通道均附设有线路辅助输入接口功能。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5.具有默音深度调节旋钮和EMC输入增益调节旋钮。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6.MIC2、3、4、5通道灵敏度可通过拨码开关选择。</w:t>
            </w:r>
            <w:r>
              <w:rPr>
                <w:rFonts w:hint="eastAsia" w:ascii="宋体" w:hAnsi="宋体"/>
                <w:b w:val="0"/>
                <w:bCs w:val="0"/>
                <w:color w:val="000000"/>
                <w:sz w:val="24"/>
                <w:szCs w:val="24"/>
                <w:highlight w:val="none"/>
              </w:rPr>
            </w:r>
            <w:r/>
          </w:p>
        </w:tc>
      </w:tr>
      <w:tr>
        <w:trPr>
          <w:trHeight w:val="96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8</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IP音频采集器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1.采集设备支持将模拟音频采集编码成数字音频，具有≥1路RJ45网络接口，支持定时采播任务、临时采播任务功能。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2.具有≥2组RCA音频输入接口，支持音量调节功能。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3.采播任务支持≥3种采集音质可选，支持普通、中级、高级音质选择模式。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4.支持声压触发采集外部音源，智能识别音频,自动建立采集任务,可自定义执行区域,可自定义延时关闭时间。</w:t>
            </w:r>
            <w:r>
              <w:rPr>
                <w:rFonts w:hint="eastAsia" w:ascii="宋体" w:hAnsi="宋体"/>
                <w:b w:val="0"/>
                <w:bCs w:val="0"/>
                <w:color w:val="000000"/>
                <w:sz w:val="24"/>
                <w:szCs w:val="24"/>
                <w:highlight w:val="none"/>
              </w:rPr>
            </w:r>
            <w:r/>
          </w:p>
        </w:tc>
      </w:tr>
      <w:tr>
        <w:trPr>
          <w:trHeight w:val="96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9</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电源管理器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1.机柜式设计，黑色氧化铝拉丝面板。</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2.支持≥16路电源输出，具有≥14个AC220V(10A)，≥2个AC220V(16A)接口， 电源插口总容量达≥6KVA。</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3.设有船型开关，可手动控制≥16个电源上断电；也可与定时器、智能控制器相连接，实现自动控制；支持配置CH1和CH2通道为受控或不受控状态。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4.有≥1路24V消防信号输入接口；≥1路消防短路报警触发信号输出。</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3.3宿舍分控点</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1200"/>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寻呼话筒</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1.桌面式设计，带有≥7英寸显示屏。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2.自带数字键，功能键界面。支持呼叫分区及多个分区，呼叫全区广播；支持操作呼叫或对讲任意终端。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2.内置≥1路网络硬件音频解码模块。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4.具有≥1路3.5耳机接口，具有≥1路3.5话筒输入接口，具有≥1路短路输出接口，具有≥1路短路输入接口，具有≥1路音频线路输入接口，具有≥1路音频线路输出接口。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5.支持≥10个按键自定义一键呼叫广播功能。</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3.4篮球馆设备</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2640"/>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U段无线话筒</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2.具有≥1台接收主机、≥2只手持发射机；频率范围等同或优于470MHz-510MHz、540MHz-590MHz、640MHz-690MHz、807MHz-830MHz四个频段使用。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4.具有自动静音功能，麦克风跌落、抛掷时，毫秒级自动静音，避免冲击声；实时监测设备姿态，静置≥5秒静音，≥8分钟关机，无需手动干预。</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5.具有多档位混响调节功能，混响效果≥15625个，效果占比、回响延时、混响幅度调节，三种音效各具有≥25档调节方式。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6.具有多频段均衡调节功能，均衡调节≥2197种，麦克风均衡器调节功能，具有高、中、低音三种调节档位，每种效果支持≥13档调节。</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7.具有长时间续航，发射机使用时长≥10小时。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8.具有ID码防串扰功能，采用32位唯一ID码，用于接收和发射配对，收发ID码必须相同才能对码，能够有效防止相同频率的信号相互串台。</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9.接收机具有≥2个LCD显示屏；发射机具有OLED显示屏，能够显示频率信息、音频加密状态、功率挡位、静音状态、电量格数信息。</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3.5周边设备</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288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IP网络功放终端</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1.设备采用标准≥19英寸机架设计，带有LCD显示屏。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2.内置≥1路网络硬件音频解码模块。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3.支持≥1路线路输入和≥1路话筒输入接口，可独立调节音量。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4.支持高低音调节电位器控制。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5.具有≥1路EMC输入接口，具有最高优先级。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6.具有≥1路音频输出接口。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7.具有≥1路三线制强切输出接口，无需强切电源。</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8.集成数字功放，功率≥60W；支持定压方式输出。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9.支持通过后台软件对终端进行远程固件升级。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10.具有≥1路RJ45网络接口，≥100Mbps传输速率。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11.自带≥1路100V定压功率备份输入接口，可组成一主多备、多主一备、多主多备的公共打铃系统。</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12.内置主备切换检测模块，断网断电以及本机故障时≤0.3秒内切换到备份功率输入，主备切换过程无卡顿、不掉字。</w:t>
            </w:r>
            <w:r>
              <w:rPr>
                <w:rFonts w:hint="eastAsia" w:ascii="宋体" w:hAnsi="宋体"/>
                <w:b w:val="0"/>
                <w:bCs w:val="0"/>
                <w:color w:val="000000"/>
                <w:sz w:val="24"/>
                <w:szCs w:val="24"/>
                <w:highlight w:val="none"/>
              </w:rPr>
            </w:r>
            <w:r/>
          </w:p>
        </w:tc>
      </w:tr>
      <w:tr>
        <w:trPr>
          <w:trHeight w:val="288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IP网络功放终端</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1.设备采用标准≥19英寸机架设计，带有LCD显示屏。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2.内置≥1路网络硬件音频解码模块。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3.支持≥1路线路输入和≥1路话筒输入接口，可独立调节音量。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4.支持高低音调节电位器控制。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5.具有≥1路EMC输入接口，具有最高优先级。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6.具有≥1路音频输出接口。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7.具有≥1路三线制强切输出接口，无需强切电源。</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8.集成数字功放，功率≥120W；支持定压方式输出。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9.支持通过后台软件对终端进行远程固件升级。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10.具有≥1路RJ45网络接口，≥100Mbps传输速率。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11.自带≥1路100V定压功率备份输入接口，可组成一主多备、多主一备、多主多备的公共打铃系统。</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12.内置主备切换检测模块，断网断电以及本机故障时≤0.3秒内切换到备份功率输入，主备切换过程无卡顿、不掉字。</w:t>
            </w:r>
            <w:r>
              <w:rPr>
                <w:rFonts w:hint="eastAsia" w:ascii="宋体" w:hAnsi="宋体"/>
                <w:b w:val="0"/>
                <w:bCs w:val="0"/>
                <w:color w:val="000000"/>
                <w:sz w:val="24"/>
                <w:szCs w:val="24"/>
                <w:highlight w:val="none"/>
              </w:rPr>
            </w:r>
            <w:r/>
          </w:p>
        </w:tc>
      </w:tr>
      <w:tr>
        <w:trPr>
          <w:trHeight w:val="288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IP网络功放终端</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1.设备采用标准≥19英寸机架设计，带有LCD显示屏。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2.内置≥1路网络硬件音频解码模块。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3.支持≥1路线路输入和≥1路话筒输入接口，可独立调节音量。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4.支持高低音调节电位器控制。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5.具有≥1路EMC输入接口，具有最高优先级。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6.具有≥1路音频输出接口。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7.具有≥1路三线制强切输出接口，无需强切电源。</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8.集成数字功放，功率≥240W；支持定压方式输出。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9.支持通过后台软件对终端进行远程固件升级。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10.具有≥1路RJ45网络接口，≥100Mbps传输速率。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11.自带≥1路100V定压功率备份输入接口，可组成一主多备、多主一备、多主多备的公共打铃系统。</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12.内置主备切换检测模块，断网断电以及本机故障时≤0.3秒内切换到备份功率输入，主备切换过程无卡顿、不掉字。</w:t>
            </w:r>
            <w:r>
              <w:rPr>
                <w:rFonts w:hint="eastAsia" w:ascii="宋体" w:hAnsi="宋体"/>
                <w:b w:val="0"/>
                <w:bCs w:val="0"/>
                <w:color w:val="000000"/>
                <w:sz w:val="24"/>
                <w:szCs w:val="24"/>
                <w:highlight w:val="none"/>
              </w:rPr>
            </w:r>
            <w:r/>
          </w:p>
        </w:tc>
      </w:tr>
      <w:tr>
        <w:trPr>
          <w:trHeight w:val="288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IP网络功放终端</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1.设备采用标准≥19英寸机架设计，带有LCD显示屏。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2.内置≥1路网络硬件音频解码模块。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3.支持≥1路线路输入和≥1路话筒输入接口，可独立调节音量。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4.支持高低音调节电位器控制。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5.具有≥1路EMC输入接口，具有最高优先级。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6.具有≥1路音频输出接口。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7.具有≥1路三线制强切输出接口，无需强切电源。</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8.集成数字功放，功率≥350W；支持定压方式输出。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9.支持通过后台软件对终端进行远程固件升级。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10.具有≥1路RJ45网络接口，≥100Mbps传输速率。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11.自带≥1路100V定压功率备份输入接口，可组成一主多备、多主一备、多主多备的公共打铃系统。</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12.内置主备切换检测模块，断网断电以及本机故障时≤0.3秒内切换到备份功率输入，主备切换过程无卡顿、不掉字。</w:t>
            </w:r>
            <w:r>
              <w:rPr>
                <w:rFonts w:hint="eastAsia" w:ascii="宋体" w:hAnsi="宋体"/>
                <w:b w:val="0"/>
                <w:bCs w:val="0"/>
                <w:color w:val="000000"/>
                <w:sz w:val="24"/>
                <w:szCs w:val="24"/>
                <w:highlight w:val="none"/>
              </w:rPr>
            </w:r>
            <w:r/>
          </w:p>
        </w:tc>
      </w:tr>
      <w:tr>
        <w:trPr>
          <w:trHeight w:val="288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IP网络功放终端</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1.设备采用标准≥19英寸机架设计，带有LCD显示屏。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2.内置≥1路网络硬件音频解码模块。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3.支持≥1路线路输入和≥1路话筒输入接口，可独立调节音量。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4.支持高低音调节电位器控制。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5.具有≥1路EMC输入接口，具有最高优先级。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6.具有≥1路音频输出接口。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7.具有≥1路三线制强切输出接口，无需强切电源。</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8.集成数字功放，功率≥650W；支持定压方式输出。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9.支持通过后台软件对终端进行远程固件升级。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10.具有≥1路RJ45网络接口，≥100Mbps传输速率。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11.自带≥1路100V定压功率备份输入接口，可组成一主多备、多主一备、多主多备的公共打铃系统。</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12.内置主备切换检测模块，断网断电以及本机故障时≤0.3秒内切换到备份功率输入，主备切换过程无卡顿、不掉字。</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3.6音箱设备</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120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天花喇叭</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1．额定功率（100V）：3W,6W</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2．额定功率（70V）：1.5W,3W</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3．灵敏度≥89dB</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4．频率响应（-10dB）：100Hz-16KHz</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5．喇叭单元：5"x1</w:t>
            </w:r>
            <w:r>
              <w:rPr>
                <w:rFonts w:hint="eastAsia" w:ascii="宋体" w:hAnsi="宋体"/>
                <w:b w:val="0"/>
                <w:bCs w:val="0"/>
                <w:color w:val="000000"/>
                <w:sz w:val="24"/>
                <w:szCs w:val="24"/>
                <w:highlight w:val="none"/>
              </w:rPr>
            </w:r>
            <w:r/>
          </w:p>
        </w:tc>
      </w:tr>
      <w:tr>
        <w:trPr>
          <w:trHeight w:val="96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壁挂音箱</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1.额定功率（100V）：≥10W</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2.额定功率（70V）：≥5W</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3.灵敏度：≥91dB ±3dB</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4.喇叭单元 ：≥6.5"×1，≥2.5"×1</w:t>
            </w:r>
            <w:r>
              <w:rPr>
                <w:rFonts w:hint="eastAsia" w:ascii="宋体" w:hAnsi="宋体"/>
                <w:b w:val="0"/>
                <w:bCs w:val="0"/>
                <w:color w:val="000000"/>
                <w:sz w:val="24"/>
                <w:szCs w:val="24"/>
                <w:highlight w:val="none"/>
              </w:rPr>
            </w:r>
            <w:r/>
          </w:p>
        </w:tc>
      </w:tr>
      <w:tr>
        <w:trPr>
          <w:trHeight w:val="144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音柱</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1．额定功率(100V)：≥120W</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2．额定功率(70V)：≥60W</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3．灵敏度≥94dB</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4．频率响应：110Hz-15KHz</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5．防护等级：等同或优于IP66</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6．喇叭单元：≥6.5"×4+≥3"×1</w:t>
            </w:r>
            <w:r>
              <w:rPr>
                <w:rFonts w:hint="eastAsia" w:ascii="宋体" w:hAnsi="宋体"/>
                <w:b w:val="0"/>
                <w:bCs w:val="0"/>
                <w:color w:val="000000"/>
                <w:sz w:val="24"/>
                <w:szCs w:val="24"/>
                <w:highlight w:val="none"/>
              </w:rPr>
            </w:r>
            <w:r/>
          </w:p>
        </w:tc>
      </w:tr>
      <w:tr>
        <w:trPr>
          <w:trHeight w:val="144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音柱</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1．额定功率(100V)：30W</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2．额定功率(70V)：15W</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3．灵敏度≥89dB</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4．频率响应：110Hz-15KHz</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5．防护等级：IP66</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6．喇叭单元：6.5"×1+3"×1</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3.7辅助材料</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辅助材料</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音频连接线、电源线、同轴线、草地水泥墩、其他配件等</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四、消费、宿管、水控系统</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244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智能物联一卡通系统</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系统统一学校校徽、学制、年级名称格式、班级名称格式的管理。支持统一管理和采集学生、家长、老师的基础数据信息，实现各类管理操作；</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▲针对学生在校内各项行为数据进行采集、清洗、分析，要求提供提供“学生行为采集和分析系统”软件著作权并加盖投标人公章；</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支持角色管理，支持自定义各种业务角色，并可以对角色分组进行管理：要求至少分学生、家长、班主任、政教处、教务处、后勤处、财务处、保卫处等多角色管理，同时实现系统内角色的权限设置和功能授权，分层、分级授权，解决校园安全、德育评价、家校协同、校务管理、一卡通、教务后勤管理等问题；</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 支持学年、学期、校历的统一管理，支持调课、节假日的统一管理，实时生效，可增加校历说明，支持教学周的自动生成；</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 支持系统内所有的数据的主动式分析处理与报表的统计、查询、导出等；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 支持统一管理学校内所有场所和设备数据，统一管理智能物联设备的添加、修改和删除。支持可以按设备状态、设备类型、设备位置进行实时监控，方便运行维护；</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 ▲系统支持通过PC后台统一导入导出人脸数据，实行统一认证服务管理，提供“智慧物联一卡通管理软件”、 “人脸识别服务平台”软件著作权并加盖投标商公章。</w:t>
            </w:r>
            <w:r>
              <w:rPr>
                <w:rFonts w:hint="eastAsia" w:ascii="宋体" w:hAnsi="宋体"/>
                <w:b w:val="0"/>
                <w:bCs w:val="0"/>
                <w:color w:val="000000"/>
                <w:sz w:val="24"/>
                <w:szCs w:val="24"/>
                <w:highlight w:val="none"/>
              </w:rPr>
            </w:r>
            <w:r/>
          </w:p>
        </w:tc>
      </w:tr>
      <w:tr>
        <w:trPr>
          <w:trHeight w:val="240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智慧校园综合管理系统</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★支持学校或班级发布通知公告，并实时推送给教师、家长。支持分科目教师作业发布及通知消息推送,支持学校问卷调查消息推送；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支持学生到校离校消息推送，支持学生在校轨迹推送；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学生消费与充值消息实时推送，支持学生个人中心查询；</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 学生请假申请与审批，不论发起方是学生、家长还是班主任管理者，都能实时提醒；</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 支持学生回复家长留言消息推送，学生个人中心查询；</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 ★班级、年级与全校的学生考勤，实时进行数据统计分析，并支持在班主任、管理者电脑端或手机上显示。支持对家长访客预约邀请和到校消息。系统支持访客审批、访客到校、离校时，对被访人实时消息提醒，到离校提醒消息中，有视频图像的抓拍照片，方便被访人确认信息。支持预约邀请访客到校前，提前对邀请人进行消息提醒，以做好接访准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 系统支持教务课程管理，支持按班级与课程名称的手工排课，符合教务管理排课习惯。按学校年级班级，支持批量与个性化灵活设置不同的上课时间。支持班级、教室、学生、教师四类课表导出，方便打印使用。</w:t>
            </w:r>
            <w:r>
              <w:rPr>
                <w:rFonts w:hint="eastAsia" w:ascii="宋体" w:hAnsi="宋体"/>
                <w:b w:val="0"/>
                <w:bCs w:val="0"/>
                <w:color w:val="000000"/>
                <w:sz w:val="24"/>
                <w:szCs w:val="24"/>
                <w:highlight w:val="none"/>
              </w:rPr>
            </w:r>
            <w:r/>
          </w:p>
        </w:tc>
      </w:tr>
      <w:tr>
        <w:trPr>
          <w:trHeight w:val="264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微信服务平台</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1、要求移动端应用至少分管理端、班主任端、教师端和家长端,分别以不同界面登录。实现消费、归寝、考勤数据的实时推送服务；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2、“微信服务平台”、“数据推送服务软件”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3、家长端功能：学生签到考勤数据、住宿生归寝数据等实</w:t>
            </w:r>
            <w:r>
              <w:rPr>
                <w:rFonts w:hint="eastAsia" w:ascii="宋体" w:hAnsi="宋体"/>
                <w:b w:val="0"/>
                <w:bCs w:val="0"/>
                <w:color w:val="000000"/>
                <w:sz w:val="24"/>
                <w:szCs w:val="24"/>
                <w:highlight w:val="none"/>
                <w:lang w:val="en-US" w:eastAsia="zh-CN"/>
              </w:rPr>
              <w:t xml:space="preserve">时推送到家长端；通过手机给学生提交请假申请，查看学生的请假记录及状态展示；实时记录学生在校的行为数据，关注学生成长轨迹；能在手机上查询孩子的课表信息，了解孩子的课程情况；教师或学生给家长发留言，家长可在手机端立即收到提醒；接收学校各类通知如班级通知、作业通知、班级风采等；修改个人信息、绑定子女信息、支持多个学生的信息绑定，可邀请多个家长共同关注孩子成长，支持一个账号多个身份；支持查看孩子一卡通账户余额，可推送低余额实时告警提醒；可查询孩子一卡通消费明细；可通过微信为孩子一卡通账户充值；可通过手机给孩子订餐。</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教师端功能：学生考勤状态、住宿生归寝状态等自动汇总统计；审批家长和学生班牌提交的请假申请，请假记录，状态查询等；在手机上展示班级和个人的课表情况；教师在移动端直接邀请访客，并分享二</w:t>
            </w:r>
            <w:r>
              <w:rPr>
                <w:rFonts w:hint="eastAsia" w:ascii="宋体" w:hAnsi="宋体"/>
                <w:b w:val="0"/>
                <w:bCs w:val="0"/>
                <w:color w:val="000000"/>
                <w:sz w:val="24"/>
                <w:szCs w:val="24"/>
                <w:highlight w:val="none"/>
                <w:lang w:val="en-US" w:eastAsia="zh-CN"/>
              </w:rPr>
              <w:t xml:space="preserve">维码、邀请码可以快速邀请家长到校；通过手机可随时发布照片、视频、通知公告、作业通知、问卷调查等，可同步分享到家长端，自动统计已发信息状态，实时查看结果数据；支持微信充值、查询一卡通余额，消费明细等；支持教师手机订餐功能；统一的资源管理平台，内置提供免费的资源，可管理图片、视频、文字信息；实现资源分类、资源上传、资源发布、资源共享、资源下载等多项功能；花名册：学生的基础信息展示。可一键拨打家长电话、学生人脸照片采集等；可修改个人信息，支持一个账号多个身份（班主任、家长、管理者），在个人中心可快速的切换账号等。</w:t>
            </w:r>
            <w:r>
              <w:rPr>
                <w:rFonts w:hint="eastAsia" w:ascii="宋体" w:hAnsi="宋体"/>
                <w:b w:val="0"/>
                <w:bCs w:val="0"/>
                <w:color w:val="000000"/>
                <w:sz w:val="24"/>
                <w:szCs w:val="24"/>
                <w:highlight w:val="none"/>
              </w:rPr>
            </w:r>
            <w:r/>
          </w:p>
        </w:tc>
      </w:tr>
      <w:tr>
        <w:trPr>
          <w:trHeight w:val="216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宿舍出入管理系统软件</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可定义每一间宿舍的信息，包括房间名称、用途、床位数、房间类型、学生分类及备注信息； </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可设置非宿舍名单内的人员在宿舍楼、楼层的临时出入的权限，可对学生的住宿情况进行操作，如办理宿舍入住、调至其他空床、与他人对调、退宿，入住退宿数据可导入或对接；</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自定义管理角色：如楼管、班主任、学生干部、校管理人员等，可进行功能权限授权； </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 可按场所对学生进行未归预警、在寝时长预警设置，新入住的学生自动授权当前场所预警规则；</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 支持归寝时间和晚归时间设置，超出归寝时间但未超出晚归时间的，记录为晚归状态；超出晚归时间的将记录为当天未归； </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 住宿信息查询，可查询宿舍实时入住情况，入住/退宿查询，查询学生入住/退宿时间； </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 ★提供移动端查寝功能：可查看管辖人员或区域的实时归寝状态；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 系统支持可视化大屏呈现各宿舍实时在寝状态、显示通行人员信息、滚动显示未归寝人员信息、 宿舍楼当前统计数据等。</w:t>
            </w:r>
            <w:r>
              <w:rPr>
                <w:rFonts w:hint="eastAsia" w:ascii="宋体" w:hAnsi="宋体"/>
                <w:b w:val="0"/>
                <w:bCs w:val="0"/>
                <w:color w:val="000000"/>
                <w:sz w:val="24"/>
                <w:szCs w:val="24"/>
                <w:highlight w:val="none"/>
              </w:rPr>
            </w:r>
            <w:r/>
          </w:p>
        </w:tc>
      </w:tr>
      <w:tr>
        <w:trPr>
          <w:trHeight w:val="120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一卡（脸）通消费软件</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1、支持学生自助点餐模式；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2、统一电子账户，支持现金、补贴、份三种电子钱包；</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3、支持微信公众号账户查询、消费记录查询、自助充值、自助卡挂失/解挂等消费功能；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每个学生允许设立多个账户，并支持根据消费/补贴权限划分不同的账户类型，如限额限次、补贴领取权限、日补额度等，不同的账户类型可以根据实际需要灵活设置不同的消费补贴及消费折扣；要求消费数据传输符合中国人民银行的金融标准；（投标时提供软件著作权并加盖投标商公章）</w:t>
            </w:r>
            <w:r>
              <w:rPr>
                <w:rFonts w:hint="eastAsia" w:ascii="宋体" w:hAnsi="宋体"/>
                <w:b w:val="0"/>
                <w:bCs w:val="0"/>
                <w:color w:val="000000"/>
                <w:sz w:val="24"/>
                <w:szCs w:val="24"/>
                <w:highlight w:val="none"/>
              </w:rPr>
            </w:r>
            <w:r/>
          </w:p>
        </w:tc>
      </w:tr>
      <w:tr>
        <w:trPr>
          <w:trHeight w:val="48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一卡通控水管理软件</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实现师生自助用水收费功能，支持多级营业分组，便于对洗衣营业业务情况分析与刷卡器的管理；</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对水控业务的营业水价管理灵活，可按消费用户的不同身份、不同消费模式的消费情况制定营业费率。</w:t>
            </w:r>
            <w:r>
              <w:rPr>
                <w:rFonts w:hint="eastAsia" w:ascii="宋体" w:hAnsi="宋体"/>
                <w:b w:val="0"/>
                <w:bCs w:val="0"/>
                <w:color w:val="000000"/>
                <w:sz w:val="24"/>
                <w:szCs w:val="24"/>
                <w:highlight w:val="none"/>
              </w:rPr>
            </w:r>
            <w:r/>
          </w:p>
        </w:tc>
      </w:tr>
      <w:tr>
        <w:trPr>
          <w:trHeight w:val="72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7</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通用读卡器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可在卡内写入持卡人相应的身份信息、金融信息、权限信息等；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符合ISO14443 TypeA/B标准，同时支持S50/S70卡、CPU卡；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提供丰富的动态库接口函数。</w:t>
            </w:r>
            <w:r>
              <w:rPr>
                <w:rFonts w:hint="eastAsia" w:ascii="宋体" w:hAnsi="宋体"/>
                <w:b w:val="0"/>
                <w:bCs w:val="0"/>
                <w:color w:val="000000"/>
                <w:sz w:val="24"/>
                <w:szCs w:val="24"/>
                <w:highlight w:val="none"/>
              </w:rPr>
            </w:r>
            <w:r/>
          </w:p>
        </w:tc>
      </w:tr>
      <w:tr>
        <w:trPr>
          <w:trHeight w:val="72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8</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智能卡</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芯片类型： 性能不低于Philips Mifare 1 IC S50；</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存储容量： 不低于8Kbit，16个分区，每分区两组密码；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工作频率： 不低于13.56 MHz；</w:t>
            </w:r>
            <w:r>
              <w:rPr>
                <w:rFonts w:hint="eastAsia" w:ascii="宋体" w:hAnsi="宋体"/>
                <w:b w:val="0"/>
                <w:bCs w:val="0"/>
                <w:color w:val="000000"/>
                <w:sz w:val="24"/>
                <w:szCs w:val="24"/>
                <w:highlight w:val="none"/>
              </w:rPr>
            </w:r>
            <w:r/>
          </w:p>
        </w:tc>
      </w:tr>
      <w:tr>
        <w:trPr>
          <w:trHeight w:val="96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9</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一卡通服务器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1、性能不低于s6.xlarge.4 | 8vCPUs | 32GiB；</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2、系统盘：不低于100GB SSD；</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3、数据盘：不低于500GB 高IO；</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4、独享带宽：不低于10M。</w:t>
            </w:r>
            <w:r>
              <w:rPr>
                <w:rFonts w:hint="eastAsia" w:ascii="宋体" w:hAnsi="宋体"/>
                <w:b w:val="0"/>
                <w:bCs w:val="0"/>
                <w:color w:val="000000"/>
                <w:sz w:val="24"/>
                <w:szCs w:val="24"/>
                <w:highlight w:val="none"/>
              </w:rPr>
            </w:r>
            <w:r/>
          </w:p>
        </w:tc>
      </w:tr>
      <w:tr>
        <w:trPr>
          <w:trHeight w:val="216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10</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人脸+刷卡消费机</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实现学生在终端机点餐消费；</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性能不低于核心架构：CPU：RK3568，主频：四核2.0G, RAM:2GB,ROM:16GB；</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操作系统： android13及以上；</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 支持人脸+刷卡。人脸识别采用旷视算法，识别速度：1：N速度：≤1S, 1：1速度：≤1S。读卡：支持M1/CPU；</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 最大支持人数：2万人；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 支持活体检测，不低于200万高清摄像头；</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 通讯：10/100/1000Mbps 以太网、WIFI；</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 显示屏（主屏）≥：8英寸；（副屏）≥5英寸；</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 要求操作面支持19机械轴按键；学生面支持10点电容触摸屏。</w:t>
            </w:r>
            <w:r>
              <w:rPr>
                <w:rFonts w:hint="eastAsia" w:ascii="宋体" w:hAnsi="宋体"/>
                <w:b w:val="0"/>
                <w:bCs w:val="0"/>
                <w:color w:val="000000"/>
                <w:sz w:val="24"/>
                <w:szCs w:val="24"/>
                <w:highlight w:val="none"/>
              </w:rPr>
            </w:r>
            <w:r/>
          </w:p>
        </w:tc>
      </w:tr>
      <w:tr>
        <w:trPr>
          <w:trHeight w:val="48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控水网关</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A8核心处理器，嵌入式Linux操作系统，账户管理，流水保存；</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负责系统及终端机的通讯，上行采用TCP/IP接口，下行RS485接口。</w:t>
            </w:r>
            <w:r>
              <w:rPr>
                <w:rFonts w:hint="eastAsia" w:ascii="宋体" w:hAnsi="宋体"/>
                <w:b w:val="0"/>
                <w:bCs w:val="0"/>
                <w:color w:val="000000"/>
                <w:sz w:val="24"/>
                <w:szCs w:val="24"/>
                <w:highlight w:val="none"/>
              </w:rPr>
            </w:r>
            <w:r/>
          </w:p>
        </w:tc>
      </w:tr>
      <w:tr>
        <w:trPr>
          <w:trHeight w:val="240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智能控水一体机</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采用不低于ARM Cortex-M0核心32位性能的处理器；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5位LED超亮数码显示；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12V单稳态电磁阀；</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 安装方式：水表式安装方式；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 计时/计量兼容；</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 实时通讯授权/通讯预下载，最多支持100个身份；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 读卡种类：S50，S70，CPU；</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 刷卡方式：放卡出水拿卡停水；</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 防水等级：IPX6。</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13</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电源配电箱</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尺寸根据级联器和集中电源数量确定，采用预埋箱模式；</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14</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直流电源</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净化电源，加漏纹处理；</w:t>
            </w:r>
            <w:r>
              <w:rPr>
                <w:rFonts w:hint="eastAsia" w:ascii="宋体" w:hAnsi="宋体"/>
                <w:b w:val="0"/>
                <w:bCs w:val="0"/>
                <w:color w:val="000000"/>
                <w:sz w:val="24"/>
                <w:szCs w:val="24"/>
                <w:highlight w:val="none"/>
              </w:rPr>
            </w:r>
            <w:r/>
          </w:p>
        </w:tc>
      </w:tr>
      <w:tr>
        <w:trPr>
          <w:trHeight w:val="120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15</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开水智能控水器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1、采用ARM Cortex-M0核心32位处理器，支持M1卡、CPU卡读取；</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2、壁挂嵌入安装，红外检测开关，六位数码显示，支持多种阀门和计量水表、高频流量计；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3、负责与级联器及系统的通讯，整体采用防淋、防溅设计；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4、考虑到特殊使用环境，控制器和阀门均要求低压供电，断电需能自动关阀；</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读卡和显示部分与阀分体安装，减少高温对控制器的影响。</w:t>
            </w:r>
            <w:r>
              <w:rPr>
                <w:rFonts w:hint="eastAsia" w:ascii="宋体" w:hAnsi="宋体"/>
                <w:b w:val="0"/>
                <w:bCs w:val="0"/>
                <w:color w:val="000000"/>
                <w:sz w:val="24"/>
                <w:szCs w:val="24"/>
                <w:highlight w:val="none"/>
              </w:rPr>
            </w:r>
            <w:r/>
          </w:p>
        </w:tc>
      </w:tr>
      <w:tr>
        <w:trPr>
          <w:trHeight w:val="120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16</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开水计量一体阀</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1、电压电流:DC12V/0.5mA；</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2、开关功率:常开高压型70W；</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3、启动压力:5Lmin(0.1MPa)；</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4、流量范围:5-45L/min5、耐压功能:0.1-1.6MPa；</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5、使用温度0-120度。</w:t>
            </w:r>
            <w:r>
              <w:rPr>
                <w:rFonts w:hint="eastAsia" w:ascii="宋体" w:hAnsi="宋体"/>
                <w:b w:val="0"/>
                <w:bCs w:val="0"/>
                <w:color w:val="000000"/>
                <w:sz w:val="24"/>
                <w:szCs w:val="24"/>
                <w:highlight w:val="none"/>
              </w:rPr>
            </w:r>
            <w:r/>
          </w:p>
        </w:tc>
      </w:tr>
      <w:tr>
        <w:trPr>
          <w:trHeight w:val="96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17</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视频网关</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性能不低于CPU：RK3568，主频：四核2.0G, RAM:2GB,ROM:8GB；</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支持有线千兆以太网；无线2.4GHz和5GHz 双频WiFi、蓝牙4.2；</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视频接口：标准HDMI，最大支持：1280x1080；</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  音频接口 ：3.5mm模拟音频。</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18</w:t>
            </w:r>
            <w:r>
              <w:rPr>
                <w:rFonts w:hint="eastAsia" w:ascii="宋体" w:hAnsi="宋体"/>
                <w:b w:val="0"/>
                <w:bCs w:val="0"/>
                <w:color w:val="000000"/>
                <w:sz w:val="24"/>
                <w:szCs w:val="24"/>
                <w:highlight w:val="none"/>
              </w:rPr>
            </w:r>
            <w:r/>
          </w:p>
        </w:tc>
        <w:tc>
          <w:tcPr>
            <w:tcW w:w="1300"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可视化大屏</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1、屏幕尺寸：65英寸</w:t>
            </w:r>
            <w:r>
              <w:rPr>
                <w:rFonts w:hint="eastAsia" w:ascii="宋体" w:hAnsi="宋体"/>
                <w:b w:val="0"/>
                <w:bCs w:val="0"/>
                <w:color w:val="000000"/>
                <w:sz w:val="24"/>
                <w:szCs w:val="24"/>
                <w:highlight w:val="none"/>
              </w:rPr>
            </w:r>
            <w:r/>
          </w:p>
        </w:tc>
      </w:tr>
      <w:tr>
        <w:trPr>
          <w:trHeight w:val="216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19</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宿管单机芯高端摆闸</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1、电压AC220V±10%、50Hz；</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2、直流无刷电机24V/40W。输入接口：12V电平信号或脉宽＞100ms的12V脉冲信号；</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3、最大通道宽：1200mm；标准通道宽：550MM；</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4、通行速度： ≤ 40人/分钟；</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 闸门开关时间：1.5秒(可调)；</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机芯性能：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1、门体定位：直流无刷定位器 ；</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2、断电后门体自动收起；</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3、开门方式：水平旋转 90度；</w:t>
            </w:r>
            <w:r>
              <w:rPr>
                <w:rFonts w:hint="eastAsia" w:ascii="宋体" w:hAnsi="宋体"/>
                <w:b w:val="0"/>
                <w:bCs w:val="0"/>
                <w:color w:val="000000"/>
                <w:sz w:val="24"/>
                <w:szCs w:val="24"/>
                <w:highlight w:val="none"/>
              </w:rPr>
            </w:r>
            <w:r/>
          </w:p>
        </w:tc>
      </w:tr>
      <w:tr>
        <w:trPr>
          <w:trHeight w:val="216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20</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宿管双机芯高端摆闸</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电压AC220V±10%、50Hz；</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直流无刷电机24V/40W。输入接口：12V电平信号或脉宽＞100ms的12V脉冲信号；</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最大通道宽：1200mm；标准通道宽：550MM；</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 通行速度： ≤ 40人/分钟；</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  闸门开关时间：1.5秒(可调)；</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机芯性能：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 门体定位：直流无刷定位器 ；</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断电后门体自动收起；</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开门方式：水平旋转 90度；</w:t>
            </w:r>
            <w:r>
              <w:rPr>
                <w:rFonts w:hint="eastAsia" w:ascii="宋体" w:hAnsi="宋体"/>
                <w:b w:val="0"/>
                <w:bCs w:val="0"/>
                <w:color w:val="000000"/>
                <w:sz w:val="24"/>
                <w:szCs w:val="24"/>
                <w:highlight w:val="none"/>
              </w:rPr>
            </w:r>
            <w:r/>
          </w:p>
        </w:tc>
      </w:tr>
      <w:tr>
        <w:trPr>
          <w:trHeight w:val="192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宿管智能终端（人脸+刷卡）</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1、同时支持人脸+刷卡；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2、CPU ARM Cortex-A17 四核1.8GHz；</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3、内存 RAM：2G；ROM：8GB；</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4、屏显尺寸(英寸)：7.0”，分辨率：800*1280；10点触摸电容屏,表面硬度6H；</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5、摄像头像素：200万；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6、支持活体检测，人脸库20000，支持脱机人脸识别，</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7、刷卡频率：≥13.56MHz； 响应速度：≥0.1S；</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通讯方式：以太网10M/100M。</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五、空调预充值系统</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1440"/>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智能用电管理系统</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实现预付费用电管理，欠费停电，缴费恢复供电；</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.实现用电状态的实时监测、数据采集、精准计量、预警通知、智能管控、统计分析等功能；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可按不同的日期和不同的用户组别分别进行控制其开关，还可在不同的定时段内选用不同的单路限流值；</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 当某单元实际用电负荷超过设定的用电负荷时，系统将自动切断该单元供电，只有当管理员对该单元进行过流复位时，用户单元才可以继续用电；</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 需带恶性负载检测功能，区别空调与热得快等不同的设备负载，并能根据负载类型选择通断；</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 根据电力部门最新推出的峰谷分时计价方案对峰谷时段的用电量，按不同的费率分别计价。</w:t>
            </w:r>
            <w:r>
              <w:rPr>
                <w:rFonts w:hint="eastAsia" w:ascii="宋体" w:hAnsi="宋体"/>
                <w:b w:val="0"/>
                <w:bCs w:val="0"/>
                <w:color w:val="000000"/>
                <w:sz w:val="24"/>
                <w:szCs w:val="24"/>
                <w:highlight w:val="none"/>
              </w:rPr>
            </w:r>
            <w:r/>
          </w:p>
        </w:tc>
      </w:tr>
      <w:tr>
        <w:trPr>
          <w:trHeight w:val="1920"/>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单相电子式费控电能表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单相双控费控电能表安装在宿舍楼；</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采用导轨式安装结构，具有预付费、负载控制及RS485通信等功能；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电压输入AC220V，电流输入10（60）A，直接接入；</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 可内部分合闸,支持远程充值功能；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 具有预付费功能，支持扫码充值；</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 通信方式：配置不少于1路RS-485接口；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 显示方式：液晶显示；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 安装方式：标准导轨安装。</w:t>
            </w:r>
            <w:r>
              <w:rPr>
                <w:rFonts w:hint="eastAsia" w:ascii="宋体" w:hAnsi="宋体"/>
                <w:b w:val="0"/>
                <w:bCs w:val="0"/>
                <w:color w:val="000000"/>
                <w:sz w:val="24"/>
                <w:szCs w:val="24"/>
                <w:highlight w:val="none"/>
              </w:rPr>
            </w:r>
            <w:r/>
          </w:p>
        </w:tc>
      </w:tr>
      <w:tr>
        <w:trPr>
          <w:trHeight w:val="1920"/>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单相电子式费控电能表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单相双控费控电能表，安装在综合楼和教学楼空调；</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采用导轨式安装结构，具有预付费、负载控制及RS485通信等功能；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电压输入AC220V，电流输入10（60）A，直接接入；</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 可内部分合闸,支持远程充值功能；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 具有预付费功能，支持扫码充值；</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 通信方式：配置不少于1路RS-485接口；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 显示方式：液晶显示；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 安装方式：标准导轨安装。</w:t>
            </w:r>
            <w:r>
              <w:rPr>
                <w:rFonts w:hint="eastAsia" w:ascii="宋体" w:hAnsi="宋体"/>
                <w:b w:val="0"/>
                <w:bCs w:val="0"/>
                <w:color w:val="000000"/>
                <w:sz w:val="24"/>
                <w:szCs w:val="24"/>
                <w:highlight w:val="none"/>
              </w:rPr>
            </w:r>
            <w:r/>
          </w:p>
        </w:tc>
      </w:tr>
      <w:tr>
        <w:trPr>
          <w:trHeight w:val="720"/>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数据网关</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1、工作温度范围：户内-25℃-60℃，户外 -45℃-70℃；</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2、上行TCP/IP,下行4路RS485通讯；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3、额定电压：220V （-20%~+20%）。</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明装壁挂箱</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1000*1000*200mm；总开250A;分路开关32A;线缆4平方；零地排；成套。</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明装壁挂箱</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460*623*100mm；总开100A;分路开关32A;线缆4平方；零地排；成套。</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7</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明装壁挂箱</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420*380*100mm；总开100A;分路开关32A;线缆4平方；零地排；成套：上层装空开，下层装电表。</w:t>
            </w:r>
            <w:r>
              <w:rPr>
                <w:rFonts w:hint="eastAsia" w:ascii="宋体" w:hAnsi="宋体"/>
                <w:b w:val="0"/>
                <w:bCs w:val="0"/>
                <w:color w:val="000000"/>
                <w:sz w:val="24"/>
                <w:szCs w:val="24"/>
                <w:highlight w:val="none"/>
              </w:rPr>
            </w:r>
            <w:r/>
          </w:p>
        </w:tc>
      </w:tr>
      <w:tr>
        <w:trPr>
          <w:trHeight w:val="1464"/>
        </w:trPr>
        <w:tc>
          <w:tcPr>
            <w:tcW w:w="391"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10</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充电圈存机</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 用于自助刷卡购电。</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 CPU：i510500E：6 核 12 线程，睿频 4.2GHz；</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 内存：16G DDR4；</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 硬盘：256G SSD；</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 符合ISO14443 TypeA/B标准，同时支持读取S50/S70卡、CPU卡。</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六、户外LED视频显示系统</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456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LED屏幕</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1、像数物理间距≤3.076mm </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2、显示面积不低于30平米；</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3、像素密度≥105625点/平方；</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4、对比度≥6000:1；</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5、白平衡亮度≥6500cd/㎡；亮度鉴别等级：符合SJ/T11141-2017 5.10.6规定:C级，Bj≥23；</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6、发光点中心距偏差：≤1%；</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7、视角：水平视角≥160°，垂直视角≥160°；</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8、刷新率：≥7680Hz；</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9、亮度均匀性≥98%；</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10、低亮高灰：亮度≥20%时，灰度≥15bit；</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11、功耗及能效：峰值功耗≤680W/㎡；平均功耗≤225W/㎡；</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12、HDR显示技术：支持HDR高动态光照渲染技术；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★13、LED灯珠寿命≥100000小时；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14、换帧频率：5OHz&amp;6OHz&amp;12OHz；</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15、平均无故障时间（MTBF值）≥100000小时；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16、产品满足盐雾10级要求；</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17、PCB防火等级达V-0级；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18、运行稳定性：支持7×24h连续工作无故障；</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19、自检技术：可实现LED单点检测，通讯检测、电源检测、温度监控等功能；                                                                                                                               </w:t>
            </w:r>
            <w:r>
              <w:rPr>
                <w:rFonts w:hint="eastAsia" w:ascii="宋体" w:hAnsi="宋体"/>
                <w:b w:val="0"/>
                <w:bCs w:val="0"/>
                <w:color w:val="000000"/>
                <w:sz w:val="24"/>
                <w:szCs w:val="24"/>
                <w:highlight w:val="none"/>
              </w:rPr>
            </w:r>
            <w:r/>
          </w:p>
        </w:tc>
      </w:tr>
      <w:tr>
        <w:trPr>
          <w:trHeight w:val="240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r>
            <w:r/>
          </w:p>
        </w:tc>
        <w:tc>
          <w:tcPr>
            <w:tcW w:w="1300"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系统软件</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1、播控系统具备多屏多节目多窗口导播功能，每个显示屏可设置不同的播放方案；</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2、远程操作控制和发布播放方案到显示屏；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3、可设置不同的日期和时间播放不同的节目页内容；</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4、每个节目页可添加多个窗口，窗口的大小和位置可任意设置；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5、支持多种媒体类型文件播放；</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6、防止视频长时间播放卡死功能；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7、快速预览功能、定时和周期插播、紧急插播和即时通知功能；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8、严重故障的自我恢复功能；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9、开机自启动和启动自动播放；</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10、可查看任意日期的播放日志，或导出为报表文件，硬盘备份功能。</w:t>
            </w:r>
            <w:r>
              <w:rPr>
                <w:rFonts w:hint="eastAsia" w:ascii="宋体" w:hAnsi="宋体"/>
                <w:b w:val="0"/>
                <w:bCs w:val="0"/>
                <w:color w:val="000000"/>
                <w:sz w:val="24"/>
                <w:szCs w:val="24"/>
                <w:highlight w:val="none"/>
              </w:rPr>
            </w:r>
            <w:r/>
          </w:p>
        </w:tc>
      </w:tr>
      <w:tr>
        <w:trPr>
          <w:trHeight w:val="408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r>
            <w:r/>
          </w:p>
        </w:tc>
        <w:tc>
          <w:tcPr>
            <w:tcW w:w="1300"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多媒体播放盒</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1、支持4核A55处理器，主频1.8GHz:支持1GB 运行内存、板载 16GB 内部存储空间,用户可用7GB，可U盘扩展128G</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 H.264、H.265、VP94K@60Hz 高清视频硬解码播放，支持1080P的视频硬解码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3、支持千兆有线网络、支持立体音频输出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 HDMILOOp、支持 HDMI输入模式及全屏自适应播放</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5、支持1路USB3.0接口，支持U 盘节目导入播放</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6、支持双wii(AP和station互相切换，使用同一个芯片)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7、支持4G联网功能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8、支持5G联网功能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9、支持板载亮度传感器接口，支持自动和定时的智能亮度调节</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10、支持PC 节目发布和显示屏控制、局域网节目发布和显示屏控制、手机节目发布和显示屏控制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11、支持集群远程节目发布和显示屏控制、集群远程监控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12、支持Android11操作系统软件、Android 终端应用软件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13、支持连接传感器转接板，可以扩展连接多种传感器(如风速风向传感器，温湿度传感器，噪声传感器，PM2.5传感器等)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14、支持内外视频源切换</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15、支持窗口打折: 文本 炫彩文字 图片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16、支持主流视频：MPEG-1/2、MPEG-4、H.264/MVC、H.265/HEVC</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17、支持主流图片格式：PNG、GIF、BMP、WEBP</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rPr>
            </w:r>
            <w:r/>
          </w:p>
        </w:tc>
        <w:tc>
          <w:tcPr>
            <w:tcW w:w="1300"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配电系统</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★定制大屏专用配电柜，三相五线制，额定负载不小于20kW，内含接触器、空气开关、时序器等，支持分区逐级上电，避免浪涌对电路的冲击。</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r>
            <w:r/>
          </w:p>
        </w:tc>
        <w:tc>
          <w:tcPr>
            <w:tcW w:w="1300"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强电线缆</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输入电缆: YJV-5X10，输出电缆:9根(RVV3X4)</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r>
            <w:r/>
          </w:p>
        </w:tc>
        <w:tc>
          <w:tcPr>
            <w:tcW w:w="1300"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弱电线缆</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100m以内使用网线,2根CAT5。超过100m使用单模光纤</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7</w:t>
            </w:r>
            <w:r>
              <w:rPr>
                <w:rFonts w:hint="eastAsia" w:ascii="宋体" w:hAnsi="宋体"/>
                <w:b w:val="0"/>
                <w:bCs w:val="0"/>
                <w:color w:val="000000"/>
                <w:sz w:val="24"/>
                <w:szCs w:val="24"/>
                <w:highlight w:val="none"/>
              </w:rPr>
            </w:r>
            <w:r/>
          </w:p>
        </w:tc>
        <w:tc>
          <w:tcPr>
            <w:tcW w:w="1300"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空调</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3匹</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8</w:t>
            </w:r>
            <w:r>
              <w:rPr>
                <w:rFonts w:hint="eastAsia" w:ascii="宋体" w:hAnsi="宋体"/>
                <w:b w:val="0"/>
                <w:bCs w:val="0"/>
                <w:color w:val="000000"/>
                <w:sz w:val="24"/>
                <w:szCs w:val="24"/>
                <w:highlight w:val="none"/>
              </w:rPr>
            </w:r>
            <w:r/>
          </w:p>
        </w:tc>
        <w:tc>
          <w:tcPr>
            <w:tcW w:w="1300"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铝板</w:t>
            </w:r>
            <w:r>
              <w:rPr>
                <w:rFonts w:hint="eastAsia" w:ascii="宋体" w:hAnsi="宋体"/>
                <w:b w:val="0"/>
                <w:bCs w:val="0"/>
                <w:color w:val="000000"/>
                <w:sz w:val="24"/>
                <w:szCs w:val="24"/>
                <w:highlight w:val="none"/>
              </w:rPr>
            </w:r>
            <w:r/>
          </w:p>
        </w:tc>
        <w:tc>
          <w:tcPr>
            <w:tcW w:w="3307"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配套</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9</w:t>
            </w:r>
            <w:r>
              <w:rPr>
                <w:rFonts w:hint="eastAsia" w:ascii="宋体" w:hAnsi="宋体"/>
                <w:b w:val="0"/>
                <w:bCs w:val="0"/>
                <w:color w:val="000000"/>
                <w:sz w:val="24"/>
                <w:szCs w:val="24"/>
                <w:highlight w:val="none"/>
              </w:rPr>
            </w:r>
            <w:r/>
          </w:p>
        </w:tc>
        <w:tc>
          <w:tcPr>
            <w:tcW w:w="1300"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立柱</w:t>
            </w:r>
            <w:r>
              <w:rPr>
                <w:rFonts w:hint="eastAsia" w:ascii="宋体" w:hAnsi="宋体"/>
                <w:b w:val="0"/>
                <w:bCs w:val="0"/>
                <w:color w:val="000000"/>
                <w:sz w:val="24"/>
                <w:szCs w:val="24"/>
                <w:highlight w:val="none"/>
              </w:rPr>
            </w:r>
            <w:r/>
          </w:p>
        </w:tc>
        <w:tc>
          <w:tcPr>
            <w:tcW w:w="3307" w:type="dxa"/>
            <w:vAlign w:val="top"/>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配套</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10</w:t>
            </w:r>
            <w:r>
              <w:rPr>
                <w:rFonts w:hint="eastAsia" w:ascii="宋体" w:hAnsi="宋体"/>
                <w:b w:val="0"/>
                <w:bCs w:val="0"/>
                <w:color w:val="000000"/>
                <w:sz w:val="24"/>
                <w:szCs w:val="24"/>
                <w:highlight w:val="none"/>
              </w:rPr>
            </w:r>
            <w:r/>
          </w:p>
        </w:tc>
        <w:tc>
          <w:tcPr>
            <w:tcW w:w="1300"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土方</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0</wp:posOffset>
                      </wp:positionH>
                      <wp:positionV relativeFrom="paragraph">
                        <wp:posOffset>0</wp:posOffset>
                      </wp:positionV>
                      <wp:extent cx="9525" cy="1270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9525"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265;o:allowoverlap:true;o:allowincell:true;mso-position-horizontal-relative:text;margin-left:0.0pt;mso-position-horizontal:absolute;mso-position-vertical-relative:text;margin-top:0.0pt;mso-position-vertical:absolute;width:0.8pt;height:1.0pt;mso-wrap-distance-left:9.0pt;mso-wrap-distance-top:0.0pt;mso-wrap-distance-right:9.0pt;mso-wrap-distance-bottom:0.0pt;" stroked="f">
                      <v:path textboxrect="0,0,0,0"/>
                      <v:imagedata r:id="rId107" o:title=""/>
                    </v:shape>
                  </w:pict>
                </mc:Fallback>
              </mc:AlternateContent>
            </w:r>
            <w:r>
              <w:rPr>
                <w:rFonts w:hint="eastAsia" w:ascii="宋体" w:hAnsi="宋体"/>
                <w:b w:val="0"/>
                <w:bCs w:val="0"/>
                <w:color w:val="000000"/>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0</wp:posOffset>
                      </wp:positionH>
                      <wp:positionV relativeFrom="paragraph">
                        <wp:posOffset>0</wp:posOffset>
                      </wp:positionV>
                      <wp:extent cx="9525" cy="1270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9525"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266;o:allowoverlap:true;o:allowincell:true;mso-position-horizontal-relative:text;margin-left:0.0pt;mso-position-horizontal:absolute;mso-position-vertical-relative:text;margin-top:0.0pt;mso-position-vertical:absolute;width:0.8pt;height:1.0pt;mso-wrap-distance-left:9.0pt;mso-wrap-distance-top:0.0pt;mso-wrap-distance-right:9.0pt;mso-wrap-distance-bottom:0.0pt;" stroked="f">
                      <v:path textboxrect="0,0,0,0"/>
                      <v:imagedata r:id="rId108" o:title=""/>
                    </v:shape>
                  </w:pict>
                </mc:Fallback>
              </mc:AlternateContent>
            </w:r>
            <w:r>
              <w:rPr>
                <w:rFonts w:hint="eastAsia" w:ascii="宋体" w:hAnsi="宋体"/>
                <w:b w:val="0"/>
                <w:bCs w:val="0"/>
                <w:color w:val="000000"/>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0</wp:posOffset>
                      </wp:positionH>
                      <wp:positionV relativeFrom="paragraph">
                        <wp:posOffset>0</wp:posOffset>
                      </wp:positionV>
                      <wp:extent cx="9525" cy="12700"/>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9525"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267;o:allowoverlap:true;o:allowincell:true;mso-position-horizontal-relative:text;margin-left:0.0pt;mso-position-horizontal:absolute;mso-position-vertical-relative:text;margin-top:0.0pt;mso-position-vertical:absolute;width:0.8pt;height:1.0pt;mso-wrap-distance-left:9.0pt;mso-wrap-distance-top:0.0pt;mso-wrap-distance-right:9.0pt;mso-wrap-distance-bottom:0.0pt;" stroked="f">
                      <v:path textboxrect="0,0,0,0"/>
                      <v:imagedata r:id="rId109" o:title=""/>
                    </v:shape>
                  </w:pict>
                </mc:Fallback>
              </mc:AlternateContent>
            </w:r>
            <w:r>
              <w:rPr>
                <w:rFonts w:hint="eastAsia" w:ascii="宋体" w:hAnsi="宋体"/>
                <w:b w:val="0"/>
                <w:bCs w:val="0"/>
                <w:color w:val="000000"/>
                <w:sz w:val="24"/>
                <w:szCs w:val="24"/>
                <w:highlight w:val="none"/>
                <w:lang w:val="en-US" w:eastAsia="zh-CN"/>
              </w:rPr>
              <w:t xml:space="preserve">配套</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11</w:t>
            </w:r>
            <w:r>
              <w:rPr>
                <w:rFonts w:hint="eastAsia" w:ascii="宋体" w:hAnsi="宋体"/>
                <w:b w:val="0"/>
                <w:bCs w:val="0"/>
                <w:color w:val="000000"/>
                <w:sz w:val="24"/>
                <w:szCs w:val="24"/>
                <w:highlight w:val="none"/>
              </w:rPr>
            </w:r>
            <w:r/>
          </w:p>
        </w:tc>
        <w:tc>
          <w:tcPr>
            <w:tcW w:w="1300"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钢架结构</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专用LED屏钢架结构、3cm拉丝黑钛金包边</w:t>
            </w:r>
            <w:r>
              <w:rPr>
                <w:rFonts w:hint="eastAsia" w:ascii="宋体" w:hAnsi="宋体"/>
                <w:b w:val="0"/>
                <w:bCs w:val="0"/>
                <w:color w:val="000000"/>
                <w:sz w:val="24"/>
                <w:szCs w:val="24"/>
                <w:highlight w:val="none"/>
              </w:rPr>
            </w:r>
            <w:r/>
          </w:p>
        </w:tc>
      </w:tr>
      <w:tr>
        <w:trPr>
          <w:trHeight w:val="276"/>
        </w:trPr>
        <w:tc>
          <w:tcPr>
            <w:gridSpan w:val="2"/>
            <w:tcW w:w="3579"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七、智慧校园系统</w:t>
            </w:r>
            <w:r>
              <w:rPr>
                <w:rFonts w:hint="eastAsia" w:ascii="宋体" w:hAnsi="宋体"/>
                <w:b w:val="0"/>
                <w:bCs w:val="0"/>
                <w:color w:val="000000"/>
                <w:sz w:val="24"/>
                <w:szCs w:val="24"/>
                <w:highlight w:val="none"/>
              </w:rPr>
            </w:r>
            <w:r/>
          </w:p>
        </w:tc>
        <w:tc>
          <w:tcPr>
            <w:tcW w:w="3307" w:type="dxa"/>
            <w:vAlign w:val="center"/>
            <w:textDirection w:val="lrTb"/>
            <w:noWrap/>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tc>
      </w:tr>
      <w:tr>
        <w:trPr>
          <w:trHeight w:val="216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系统设置</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系统的基础设置管理，须实现系统字典与应用字典管理、定时任务管理、菜单管理、设置工作时间、移动端配置、更多设置等应用。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系统字典与应用字典：支持提供系统公共基础数据的内容维护，如学历、学科、政治面貌等内容基础数据的初始化，同时提供应用字典用于各业务模块的一些单个字段的信息维护，维护好的信息可在每个业务模块的前台使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2.定时任务：支持提供基础的系统任务的维护，同时提供定时任务开启与关闭的维护，支持外部定时任务配置；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菜单管理：支持后端管理中心菜单的统一管理，可引入外部系统的菜单融入到系统中使用，对后端管理中心各功能和应用的菜单名称进行维护，可实现菜单名称自定义、菜单图标自定义，并设置改菜单所属上级菜单、类型和顺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4.工作时间设置：支持设置工作日和非工作日，在工作日中又可为不同的组织设置不同的工作时间，支持上午和下午分别设置上下班时间，即进入午休时间后系统自动识别为非工作时间；</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5.更多设置：支持对用户及学生的身份证字段及卡号字段进行配置。</w:t>
            </w:r>
            <w:r>
              <w:rPr>
                <w:rFonts w:hint="eastAsia" w:ascii="宋体" w:hAnsi="宋体"/>
                <w:b w:val="0"/>
                <w:bCs w:val="0"/>
                <w:color w:val="000000"/>
                <w:sz w:val="24"/>
                <w:szCs w:val="24"/>
                <w:highlight w:val="none"/>
              </w:rPr>
            </w:r>
            <w:r/>
          </w:p>
        </w:tc>
      </w:tr>
      <w:tr>
        <w:trPr>
          <w:trHeight w:val="144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组织用户管理</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1.组织管理：支持设置学校组织架构信息；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2.用户管理：支持对教职工用户进行增删改查、支持对用户基本信息及帐号密码进行管理；支持快速配置用户角色权限、数据范围；</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3.岗位管理：支持设置学校或教育局的行政岗位，支持设置岗位内的人员；</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4.群组管理：支持将具有共同特征的用户跨越组织设置为群组，选择用户时可按组织选择也可按群组选择；</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5.角色管理：支持通过角色将一组权限进行集合，可将角色授予用户使用户拥有系统的相应权限；</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6.权限管理：实现系统权限的查询及权限是否有数据范围控制及具体的数据范围的查询。</w:t>
            </w:r>
            <w:r>
              <w:rPr>
                <w:rFonts w:hint="eastAsia" w:ascii="宋体" w:hAnsi="宋体"/>
                <w:b w:val="0"/>
                <w:bCs w:val="0"/>
                <w:color w:val="000000"/>
                <w:sz w:val="24"/>
                <w:szCs w:val="24"/>
                <w:highlight w:val="none"/>
              </w:rPr>
            </w:r>
            <w:r/>
          </w:p>
        </w:tc>
      </w:tr>
      <w:tr>
        <w:trPr>
          <w:trHeight w:val="48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基础信息</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基础信息管理用于学校基础信息设置和维护，通过学校基础信息管理可维护学校基本信息、校区、学段信息、学校学年学期、学校教学科目、教职工的任教关系、班级信息、学生信息、毕业生信息、教室信息等内容，基础信息为各业务模块提供支撑。</w:t>
            </w:r>
            <w:r>
              <w:rPr>
                <w:rFonts w:hint="eastAsia" w:ascii="宋体" w:hAnsi="宋体"/>
                <w:b w:val="0"/>
                <w:bCs w:val="0"/>
                <w:color w:val="000000"/>
                <w:sz w:val="24"/>
                <w:szCs w:val="24"/>
                <w:highlight w:val="none"/>
              </w:rPr>
            </w:r>
            <w:r/>
          </w:p>
        </w:tc>
      </w:tr>
      <w:tr>
        <w:trPr>
          <w:trHeight w:val="96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应用管理</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1.支持对平台中各应用进行管理，包括快速注册应用、上架与下架，支持系统内、外部应用的应用注册，支持应用链接具体功能菜单，也支持应用链接门户、自定义的信息频道等；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应用注册的功能，方便第三方系统接入；支持通过应用注册的形式在系统内注册单点登录访问或者链接地址直接访问的系统；对于不获取登录信息的应用，无需在系统中进行身份认证即可使用；对于需要实现单点登录的业务应用，则需要通过身份认证后才可完成登录。</w:t>
            </w:r>
            <w:r>
              <w:rPr>
                <w:rFonts w:hint="eastAsia" w:ascii="宋体" w:hAnsi="宋体"/>
                <w:b w:val="0"/>
                <w:bCs w:val="0"/>
                <w:color w:val="000000"/>
                <w:sz w:val="24"/>
                <w:szCs w:val="24"/>
                <w:highlight w:val="none"/>
              </w:rPr>
            </w:r>
            <w:r/>
          </w:p>
        </w:tc>
      </w:tr>
      <w:tr>
        <w:trPr>
          <w:trHeight w:val="48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安全审计</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记录系统的所有关键行为的操作日志，监控用户的操作，追溯用户的行为，为系统的安全运行及安全管理提供保障。</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系统实现操作与审计的权限分离，系统管理员与审计管理员是独立的。</w:t>
            </w:r>
            <w:r>
              <w:rPr>
                <w:rFonts w:hint="eastAsia" w:ascii="宋体" w:hAnsi="宋体"/>
                <w:b w:val="0"/>
                <w:bCs w:val="0"/>
                <w:color w:val="000000"/>
                <w:sz w:val="24"/>
                <w:szCs w:val="24"/>
                <w:highlight w:val="none"/>
              </w:rPr>
            </w:r>
            <w:r/>
          </w:p>
        </w:tc>
      </w:tr>
      <w:tr>
        <w:trPr>
          <w:trHeight w:val="264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门户平台</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支持通过拖拽式自定义配置管理者、教职工、业务处室等各种用户的个人空间，真正实现人人一空间，人人个性化空间。具体须实现的功能有：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1.布局设置：支持对空间布局进行页面结构的自定义，可按12等分如/363/255/66/48/84/3333或任意分栏自定义定制显示区域比例；</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门户设计：支持对门户布局、组件样式、整体样式进行设计，支持拖拽式门户空间内容设计，须提供丰富的门户空间组件选择使用，提供空间集成组件可直接嵌入脚本代码获取第三方系统的数据或展示第三方系统的应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组件设计：支持自定义门户组件的各类属性，包括添加与调整名称、描述、分类、唯一标识、数据链接、排序码等；支持自由调整各组件的内容与样式，可对组件的大小（高度）、圆角设置、边框属性、标题属性、内容显示进行自定义调整。(提供具有CNAS或CMA认定的评测机构评测的鉴定检测报告，报告能够体现上述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4.应用导航：支持对前台应用导航的样式进行切换；</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5.皮肤颜色：支持统一修改皮肤颜色顺序，如果上级单位已设置可自动根据上级单位设置的顺序显示；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门户组件：提供信息、审批、公文、德育、工作任务、课表、日程、周行事历等常用应用组件；提供HTML编辑器组件允许用户自定义显示内容；提供常用应用与常用流程组件实现常用应用与常用流程的个性化配置；提供系统数据类组件包括学校基础数据、教师学生班级家长、教师使用情况、教师月活跃度排行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7.个人门户：支持平台中的每位用户通过无代码拖拽的方式，自定义自己的个人空间，按需打造自己的个人主页，实现个性化空间。</w:t>
            </w:r>
            <w:r>
              <w:rPr>
                <w:rFonts w:hint="eastAsia" w:ascii="宋体" w:hAnsi="宋体"/>
                <w:b w:val="0"/>
                <w:bCs w:val="0"/>
                <w:color w:val="000000"/>
                <w:sz w:val="24"/>
                <w:szCs w:val="24"/>
                <w:highlight w:val="none"/>
              </w:rPr>
            </w:r>
            <w:r/>
          </w:p>
        </w:tc>
      </w:tr>
      <w:tr>
        <w:trPr>
          <w:trHeight w:val="288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7</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流程平台</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支持通过流程平台自定义搭建多种审批业务，并可根据业务需求修改审批表单及流程。具体须实现的功能有：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▲1.表单自定义能</w:t>
            </w:r>
            <w:r>
              <w:rPr>
                <w:rFonts w:hint="eastAsia" w:ascii="宋体" w:hAnsi="宋体"/>
                <w:b w:val="0"/>
                <w:bCs w:val="0"/>
                <w:color w:val="000000"/>
                <w:sz w:val="24"/>
                <w:szCs w:val="24"/>
                <w:highlight w:val="none"/>
                <w:lang w:val="en-US" w:eastAsia="zh-CN"/>
              </w:rPr>
              <w:t xml:space="preserve">力：支持对表单进行各类自定义设置，包括表单基础信息（标题、描述、字段、颜色、赋值字段、提交控制、显示设置等）、布局控件（一行两列、一行三列、一行多列、明细子表、表格布局等）、字段控件（单行文本、多行文本、数字、审批意见、单选框、复选框、下拉框、多级下拉框、所在地区、多选下拉框、日期、金额、上传附件、在线编辑、自动编号、手写签名、手写签名、学年学期等），支持对教育行业属性的支持，如对学科组长、备课组长、班主任等角色的自动识别。(提供具有CNAS或CMA认定的评测机构评测的鉴定检测报告，报告能够体现上述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 2.流程引擎能力：支持活动的网关类型设置（互斥、并行、包含）；支持对活动的办理方式进行设置，可选择抢占、会签、串签；支持批示意见设置，可设置办理人为空自动跳过、办理人重复自动跳过。提供具有CNAS和CMA认定的评测机构评测的鉴定检测报告，报告能够体现上述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 3.不同用户体系的流程配置：支持配置教职工应用流程，同时支持配置学生端应用流程，学生端应用流程可在后台选择流转到班主任或相应的任教老师，系统支持调用任教关系数据实现流程流转；</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4.数据操作权限及按钮定义：支持流程审批环节配置数据权限（只读、隐藏、编辑）、支持对操作按钮进行自定义，配置哪些显示，哪些可以不显示；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集成规则调用：支持流程的标题表达式结合变量进行自定义展示；支持流流程对第三方接口调用进行配置，通过接口配置实现流程与其它业务的深度集成；支持流程对集成规则的调用，可配置集成规则在审批发起、通过、作废等状态调用。</w:t>
            </w:r>
            <w:r>
              <w:rPr>
                <w:rFonts w:hint="eastAsia" w:ascii="宋体" w:hAnsi="宋体"/>
                <w:b w:val="0"/>
                <w:bCs w:val="0"/>
                <w:color w:val="000000"/>
                <w:sz w:val="24"/>
                <w:szCs w:val="24"/>
                <w:highlight w:val="none"/>
              </w:rPr>
            </w:r>
            <w:r/>
          </w:p>
        </w:tc>
      </w:tr>
      <w:tr>
        <w:trPr>
          <w:trHeight w:val="216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8</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业务定制平台</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支持调用零代码表单自定义工具及流程自定义工具搭建业务应用所需要的多个表单及流程,同时支持对应用的列表展示内容、数据查询权限、操作按钮进行自定义，并可支持通过菜单定义将表单、报表及其它应用通过链接组装的形式组成一个全新的业务应用，并可发布到应用中心。(提供具有CNAS或CMA认定的评测机构评测的鉴定检测报告，报告能够体现上述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具体须实现的功能有：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业务类型：支持关联相关的流程表单模板，表单型业务应用支持带流程审批的业务与不带流程审批的业务两种类型，还可支持报表平台的自定义报表类应用，还可连接外部的各类业务，支持将以上各类型应用汇聚成全新的业务模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2.数据权限：支持对搭建的应用可根据用户角色身份的不同实现数据查看范围的控制，如教师看自己的数据、年级组长看年级的数据、校长看全校的数据；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应用方案:支持通过无代码的方式创建应用方案，支持配置多个应用方案供不同的角色使用，支持在应用方案中可实现包括列表展示（包括列表展示的字段，列宽定义）、查询方案（可定义标准查询字段，）、按钮使用授权、数据查询条件、消息提醒设置、定时提醒任务、用户录入次数限制等方案属性的灵活定义。</w:t>
            </w:r>
            <w:r>
              <w:rPr>
                <w:rFonts w:hint="eastAsia" w:ascii="宋体" w:hAnsi="宋体"/>
                <w:b w:val="0"/>
                <w:bCs w:val="0"/>
                <w:color w:val="000000"/>
                <w:sz w:val="24"/>
                <w:szCs w:val="24"/>
                <w:highlight w:val="none"/>
              </w:rPr>
            </w:r>
            <w:r/>
          </w:p>
        </w:tc>
      </w:tr>
      <w:tr>
        <w:trPr>
          <w:trHeight w:val="2400"/>
        </w:trPr>
        <w:tc>
          <w:tcPr>
            <w:tcW w:w="391"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9</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集成平台</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支持为每个接入的业务应用提供标准接口及接入规范，支持第三方系统的应用注册，支持通过零代码配置集成规则实现两个不同业务之间的数据同步。具体须实现的功能有：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系统注册：为第三方应用接入提供标准接口，实现第三方应用无缝接入与实现数据同步等；为实现更好的数据兼容性，各个应用系统的数据都将通过平台API接口进行交互和调用，平台的所有接口都将以REST的设计和开发方式呈现；通过统一的应用接口管理，应用可以遵照平台数据交互标准向任何平台上的其他应用提供数据调用接口，方便数据交互；</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应用注册：须提供应用注册的功能，以供第三方系统接入；第三方应用可通过应用注册的方式，与平台实现单点登录或链接地址直接访问；对于不获取登录信息的应用，无需在系统中进行身份认证即可使用；对于需要实现单点登录的业务应用，则需要通过身份认证后才可完成登录；在实现应用与平台或应用间的数据交换和请求时系统密钥则将成为平台上唯一的通用的且安全的标识；</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集成规则配置：通过集成规则的配置（无须通过代码）即可完成来源表字段与目标表字段之间的字段对应关系设置，支持对数据的新建、修改及删除的中操作，支持子表数据的对应设置。通过流程活动对集成规则的调用，实现不同数据表之间的数据同步。(提供具有CNAS或CMA认定的评测机构评测的鉴定检测报告，报告能够体现上述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4.接口日志：支持自动记录接口的调用情况，包括系统名称、接口名称、调用开始时间、调用耗时、调用结果等，日志信息支持在线查询、支持批量导出。</w:t>
            </w:r>
            <w:r>
              <w:rPr>
                <w:rFonts w:hint="eastAsia" w:ascii="宋体" w:hAnsi="宋体"/>
                <w:b w:val="0"/>
                <w:bCs w:val="0"/>
                <w:color w:val="000000"/>
                <w:sz w:val="24"/>
                <w:szCs w:val="24"/>
                <w:highlight w:val="none"/>
              </w:rPr>
            </w:r>
            <w:r/>
          </w:p>
        </w:tc>
      </w:tr>
      <w:tr>
        <w:trPr>
          <w:trHeight w:val="144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10</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报表平台</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支持通过报表平台实现快捷自定义各类业务报表。具体须实现的功能有：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1.无须任何代码，仅通过拖拽表单字段的配置即可实现统计报表的自由添加，包括实现报表名称、排序、数据来源表（关联数据表）、子表等数据的导入；</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2.支持提供丰富的统计报表满足不同的统计场景。提供明细表、分组表和交叉表等不同类型的报表；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报表设置：支持对报表的维度、指标进行自定义设置，可自定义设置报表的维度行和维度列；支持设置数据筛选条件的自定义，并对查询方案进行设置（可选择字段、运算符设置查询条件等）；支持选择折线图、柱状图、饼状图等统计图，设置统计图形与统计报表同时在一个界面展示。(提供具有CNAS或CMA认定的评测机构评测的鉴定检测报告，报告能够体现上述功能)。</w:t>
            </w:r>
            <w:r>
              <w:rPr>
                <w:rFonts w:hint="eastAsia" w:ascii="宋体" w:hAnsi="宋体"/>
                <w:b w:val="0"/>
                <w:bCs w:val="0"/>
                <w:color w:val="000000"/>
                <w:sz w:val="24"/>
                <w:szCs w:val="24"/>
                <w:highlight w:val="none"/>
              </w:rPr>
            </w:r>
            <w:r/>
          </w:p>
        </w:tc>
      </w:tr>
      <w:tr>
        <w:trPr>
          <w:trHeight w:val="48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AI平台</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1.AI大模型接入：支持调用DeepSeek、豆包、文心一言、通义千问等多家国产大模型的接入集成。</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2.AI基础能力接入：如人脸识别，OCR识别（获奖证书识别、身份证识别）、语音识别能相关能力的接入。</w:t>
            </w:r>
            <w:r>
              <w:rPr>
                <w:rFonts w:hint="eastAsia" w:ascii="宋体" w:hAnsi="宋体"/>
                <w:b w:val="0"/>
                <w:bCs w:val="0"/>
                <w:color w:val="000000"/>
                <w:sz w:val="24"/>
                <w:szCs w:val="24"/>
                <w:highlight w:val="none"/>
              </w:rPr>
            </w:r>
            <w:r/>
          </w:p>
        </w:tc>
      </w:tr>
      <w:tr>
        <w:trPr>
          <w:trHeight w:val="72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AI助理</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AI助理作为教育云管理平台的全新智能中枢，深度融合自然语言处理与教育知识图谱技术，为教育管理者、教师及学生打造全场景智能服务体验。通过多模态语义理解能力，用户只需以口语化方式输入“帮我把周五第二节课换到第三节课”，“我发帮起请假”系统即可精准解析需求，穿透系统应用与数据，帮助用户调取相关内容快捷发起或者完成相应业务操作。</w:t>
            </w:r>
            <w:r>
              <w:rPr>
                <w:rFonts w:hint="eastAsia" w:ascii="宋体" w:hAnsi="宋体"/>
                <w:b w:val="0"/>
                <w:bCs w:val="0"/>
                <w:color w:val="000000"/>
                <w:sz w:val="24"/>
                <w:szCs w:val="24"/>
                <w:highlight w:val="none"/>
              </w:rPr>
            </w:r>
            <w:r/>
          </w:p>
        </w:tc>
      </w:tr>
      <w:tr>
        <w:trPr>
          <w:trHeight w:val="72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13</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AI智能体</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个性化AI+智能体：AI为管理平台构建了"1+N"智能中枢体系—以AI教育大模型为基座，延伸出成绩分析、教案设计、教学计划、问卷制作、教学反思、说课稿、家访记录等垂直领域智能体，形成覆盖教学与管理全周期的智慧服务矩阵。同时AI平台提供智能体自定义工具，满足用户单位各类场景需求，智能体定义时可选择大模型，可定义关健词、可关联本地知识库管理，可构建个人、部门、单位的个性化知识库，让AI大模型结合本地知识库训练数据生成个性化的结果。</w:t>
            </w:r>
            <w:r>
              <w:rPr>
                <w:rFonts w:hint="eastAsia" w:ascii="宋体" w:hAnsi="宋体"/>
                <w:b w:val="0"/>
                <w:bCs w:val="0"/>
                <w:color w:val="000000"/>
                <w:sz w:val="24"/>
                <w:szCs w:val="24"/>
                <w:highlight w:val="none"/>
              </w:rPr>
            </w:r>
            <w:r/>
          </w:p>
        </w:tc>
      </w:tr>
      <w:tr>
        <w:trPr>
          <w:trHeight w:val="72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14</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AI客服</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AI客服在教育云管理平台应用上可以结合产品帮助知识库的训练为使用者提供24小时的咨询服务。以调代课为例，教师向AI客服输入“怎么进行调代课？”，客服立即返回知识库的帮助说明，若有视频帮助会立即展示视频帮助。可以结合用户单位建立的知识库建设AI客服场景，如AI家长客服，实现家长各类问题咨询的自动回答，也可以为师生建立AI办理指南，自助回答师生的各类问题与咨询。</w:t>
            </w:r>
            <w:r>
              <w:rPr>
                <w:rFonts w:hint="eastAsia" w:ascii="宋体" w:hAnsi="宋体"/>
                <w:b w:val="0"/>
                <w:bCs w:val="0"/>
                <w:color w:val="000000"/>
                <w:sz w:val="24"/>
                <w:szCs w:val="24"/>
                <w:highlight w:val="none"/>
              </w:rPr>
            </w:r>
            <w:r/>
          </w:p>
        </w:tc>
      </w:tr>
      <w:tr>
        <w:trPr>
          <w:trHeight w:val="120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15</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统一用户管理与统一身份认证</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1.支持为各类环境、教学、管理等各业务系统提供统一入口，并通过统一认证平台进行身份认证，用户只需要一次验证便可在各业务系统间切换；</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通过建立权威的用户信息，对各类应用采用不同方式进行认证集成，实现用户采用一套用户名和密码即可访问不同应用系统的效果，用户登录平台时，须经过统一身份认证网关的身份验证，通过验证后用户进入平台以及其它应用系统，无需重复登录即可在应用间进行漫游，同时基于分级授权可有效控制用户对不同系统的访问操作权限；</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3.支持提供统一的认证服务、授权服务、集中管理用户信息、集中审计，保证系统整体安全性、可靠性，并为各级用户使用软件功能和信息资源提供便利；</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4.提供标准的统一用户及单点登录接口规范，保证后期第三方应用系统可实现无缝对接；</w:t>
            </w:r>
            <w:r>
              <w:rPr>
                <w:rFonts w:hint="eastAsia" w:ascii="宋体" w:hAnsi="宋体"/>
                <w:b w:val="0"/>
                <w:bCs w:val="0"/>
                <w:color w:val="000000"/>
                <w:sz w:val="24"/>
                <w:szCs w:val="24"/>
                <w:highlight w:val="none"/>
              </w:rPr>
            </w:r>
            <w:r/>
          </w:p>
        </w:tc>
      </w:tr>
      <w:tr>
        <w:trPr>
          <w:trHeight w:val="2375"/>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16</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审批</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依托审流程平台的自定义能力，可实现校内各项审批事务表单及流程定义，实现线上流转审批，实现校园内的无纸化审批，告别过去口头请示，纸质审批的不规范与低效，提升办公效率，提供数据支撑帮助审批决策。具体须实现的功能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1.支持通过流程平台建立各类审批，包括请假、报销、报修、采购等审批业务，可按学校需求对各类审批进行自定义业务定制；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流程审批：支持提供丰富的审批流程办理能力包括保存、退回、发送、撤办、转办、加签、关联、结束、作废、加入日程、关注等。支持审批与系统现有业务的业务关联联动，例如请假申请时关联调课与代课业务，场馆预约审批时关联场馆预约界面；(提供具有CNAS或CMA认定的评测机构评测的鉴定检测报告，报告能够体现上述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3.审批决策参考：可通过配置实现将统计报表、文档、历史审批记录作为审批决策参考关联到审批表单上，供审批者做决策；</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可视化全程追踪：提供完善的审批流转记录及清晰流程图指示追踪能力，方便各角色快速定位审批流程进展；流程图图需清晰展示流程当前进展，需区分未经过的环节，已审批过的环节，当前正在审批的环节，要求以不同的颜色显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5.支持应用关联，通过无代码配置的方式，实现审批的任意环节调用业务应用的相关功能（例如，发起会议申请时，可直接在当前表单填写界面打开场馆预约界面，预约完成后将会议地点自动填充到表单中）；</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6.手写签批方式：支持运用移动端签名插件，在手机上进行手写签批或扫码手写签批，简化传统的手写板签批，确保审批行文的真实性和效力性。</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1.支持通过移动端发起审批。</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2.支持通过移动端完成各类文件审批办理。</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3.支持通过移动端通过抄送接收阅件。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4.支持通过移动端查看审批跟踪记录。</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5.支持通过移动端查看我发起的审批，并可再次提交。</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6.支持移动端填写审批意见，可提供手写签名。</w:t>
            </w:r>
            <w:r>
              <w:rPr>
                <w:rFonts w:hint="eastAsia" w:ascii="宋体" w:hAnsi="宋体"/>
                <w:b w:val="0"/>
                <w:bCs w:val="0"/>
                <w:color w:val="000000"/>
                <w:sz w:val="24"/>
                <w:szCs w:val="24"/>
                <w:highlight w:val="none"/>
              </w:rPr>
            </w:r>
            <w:r/>
          </w:p>
        </w:tc>
      </w:tr>
      <w:tr>
        <w:trPr>
          <w:trHeight w:val="456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17</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公文</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支持实现收文与发文的在线流转审批及公文的分发、接收、处理过程的跟踪，实现公文全过程闭环管理。</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1.新建公文：按后台配置的公文表单与流程进行公文流转，在新建公文界面显示系统可以使用的收文与发文流程可发起相应的流程；</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 2.在线编辑：可实现公文多人在线编辑，无需安装任何插件，实现文件的在线修改痕迹保留，支持套用红头生成红头文件，支持PC与移动端多端在线编辑；提供具有CNAS或CMA认定的评测机构评测的鉴定检测报告，报告能够体现上述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3.快速发文：支持公文的快速发文，可将编号、套红生成正式文件、分发等动作放在一个环节执行，实现公文的快速分发；</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4.公文审批：提供丰富的公文审批功能，包括保存、发送、退回、编号、生成正式文件、分发、打印、加签等审批功能；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5.发文转收文：支持转收文功能，选择校内办理人与办理流程，进行公文办理；支持公文业务的相关审批数据之间的联动，如发文转收文后，可在收文流程的表单中，自动获取公文的标题，文号及正文附件；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6.公文查阅情况：可跟踪了解，每一个公文的阅读情况，包括分发用户的阅读率，掌握具体的已阅人员，未阅人员名单，方便领导人员督促各部门及时阅读，提升公文分发后的工作办理效率；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7.公文查询：提供便捷的公文查询功能，支持按文号、标题、拟稿单位、办理状态进行各类收文与发文的查询；</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8.支持公文的表单、流程、文号、流水号、公文模板等各项内容的自定义，实现公文流转的个性配置。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1.支持通过移动端新建公文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2.支持通过移动端进行公文办理，包括保存、退回、提交、编号、分发、转办和加签。</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3.支持通过移动端查看我收到的公文。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4.支持通过移动端查看审批跟踪记录。</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5.支持通过移动端实现公文的在线编辑</w:t>
            </w:r>
            <w:r>
              <w:rPr>
                <w:rFonts w:hint="eastAsia" w:ascii="宋体" w:hAnsi="宋体"/>
                <w:b w:val="0"/>
                <w:bCs w:val="0"/>
                <w:color w:val="000000"/>
                <w:sz w:val="24"/>
                <w:szCs w:val="24"/>
                <w:highlight w:val="none"/>
              </w:rPr>
            </w:r>
            <w:r/>
          </w:p>
        </w:tc>
      </w:tr>
      <w:tr>
        <w:trPr>
          <w:trHeight w:val="432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18</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信息</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建立统一的信息资讯、通知公告的管理平台。管理员可创建通知公告、新闻中心、工作计划、业务学习、表格下载等各类信息栏目，并可以设置栏目的查看、新建、维护的权限。系统可跟踪用户的信息查看情况，可了解哪些信息已查看，哪些未查看。具体须实现的功能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新建信息：支持新建富文本信息及附件，文件链接，网址链接多种类型的信息，支持信息回执采集信息，支持选择信息发送对象，支持选择是否允许评论，支持定时发布，支持立即提醒、定时提醒、未读循环提醒，支持自定义信息发布的封面图片及移动端图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2.信息查阅：可查看每个栏目下的信息，跟踪每条信息的用户阅读情况，管理员可对信息进行删除和编辑操作；</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3.全文检索：提供对信息内容、各类WPS、OFFICE附件、TXT文件、PDF文件的名称及附件内容进行全文检索；</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4.信息回执：支持信息发送人员关联自定义表单下发信息，信息接收人员可一键提交表单和附件进行信息回执。可为信息接收人员智能汇总回执列表，并可支持一键批量下载回执文件；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5.转发我的：支持显示转发给我的信息，用户在查看信息时可转发给其他用户，未读的加粗显示；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6.我的收藏：支持显示我收藏的信息内容，支持按时间倒序查询；</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7.我的发布：支持显示我发布的所有信息，可管理自己发布的信息，包括新建、修改、删除等；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8.栏目管理：管理员通过栏目管理进行栏目设置，可设置多级栏目，控制栏目的查看、新建、维护、下载权限、控制栏目信息发布时是否需要推送给用户等基础设置。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主页：默认显示全部信息，可切换栏目查看每个栏目下的信息，支持在列表查看信息是否需要回执，支持按标题搜索信息；支持在主页快速创建信息填写信息内容、上传附件等；点击信息可查看信息详情，详情页面支持对信息进行评论、查看信息阅读情况、推荐转发、收藏信息，发布人可删除信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2.栏目：支持按栏目名称搜索，点击栏目可查看栏目下的信息；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3.我的：支持查看转发我的、我的收藏、我发布的信息，支持对待审的信息进行审核。</w:t>
            </w:r>
            <w:r>
              <w:rPr>
                <w:rFonts w:hint="eastAsia" w:ascii="宋体" w:hAnsi="宋体"/>
                <w:b w:val="0"/>
                <w:bCs w:val="0"/>
                <w:color w:val="000000"/>
                <w:sz w:val="24"/>
                <w:szCs w:val="24"/>
                <w:highlight w:val="none"/>
              </w:rPr>
            </w:r>
            <w:r/>
          </w:p>
        </w:tc>
      </w:tr>
      <w:tr>
        <w:trPr>
          <w:trHeight w:val="312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19</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会议</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1.议题管理：可设定议题名称、汇报部门、汇报人，并支持上传议题材料；</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2.新建会议：可设定会议名称、时间、地点（可选择场馆）等信息，可选择是否关联议题及关联哪些议题，可选择是否进行会前提醒；</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（1）可设定是否需要签到，支持多种签到方式：静态二维码、动态二维码、二维码+GPS、蓝牙签到等；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（2）可设定周期性会议，支持按每天，每周自动生成重复会议；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3.会议接收人可选择是否参会、待定或请假，会议组织者可查看会议通知查看情况、回执情况、哪些人能参加等回执信息；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4.会议纪要：会议相关人员可进行会议纪要附件上传，支持参会人员对会议纪要通过手写的方式进行签字确认；</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5.会议库：查看会议通知、会议纪要、会议通知回执情况、会议签到统计情况。</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1.发起会议：支持移动端发起会议，可填写会议基本信息，并设置会议签到，支持通过移动端接收会议通知。</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2.会议签到：支持通过移动端进行扫码签到。</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3.会议库：支持移动端查看会议库，方便管理员查询目前所有的会议。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4.会议纪要：支持移动端查看会议纪要。支持参会人员对某个会议纪要进行手写签名。</w:t>
            </w:r>
            <w:r>
              <w:rPr>
                <w:rFonts w:hint="eastAsia" w:ascii="宋体" w:hAnsi="宋体"/>
                <w:b w:val="0"/>
                <w:bCs w:val="0"/>
                <w:color w:val="000000"/>
                <w:sz w:val="24"/>
                <w:szCs w:val="24"/>
                <w:highlight w:val="none"/>
              </w:rPr>
            </w:r>
            <w:r/>
          </w:p>
        </w:tc>
      </w:tr>
      <w:tr>
        <w:trPr>
          <w:trHeight w:val="312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20</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内部邮件</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建立单位内部邮件系统，提供包含写信、收信、星标邮件、群邮件、草稿箱、垃圾箱、邮件撤回、阅读统计等功能；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1.新建邮件：填写主题、内容，根据组织或我的群组选择发送、抄送、密送人员，支持上传1G以下大附件；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2.星标邮件：将重要的邮件标星，标星邮件显示在星标邮件处；</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3.收件箱：显示所有邮件可对邮件标记为已读或未读，可删除、标星邮件；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4.发件箱：显示所有发送的邮件，可查看邮件阅读情况；若邮件存在未读人员可执行撤回操作，可转发，可再次发送；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5.草稿箱、废件箱：草稿箱显示我的草稿邮件，废件箱显示删除的邮件。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1.写信：支持写信功能，可上传附件与图片，支持保存草稿箱；</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2.收件箱: 显示所有收到的邮件，可对收到的邮件进行删除、标星，邮件详情页面可对邮件标记为已读或未读；支持按标题和发件人进行搜索，也可按未读和标星进行搜索；支持移动端快速新建邮件；</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3.发件箱：显示所有发送的邮件，可查看邮件阅读情况；若邮件存在未读人员可执行撤回操作，可转发，可再次发送；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4.草稿箱、废件箱：草稿箱显示我的草稿邮件，废件箱显示删除的邮件。</w:t>
            </w:r>
            <w:r>
              <w:rPr>
                <w:rFonts w:hint="eastAsia" w:ascii="宋体" w:hAnsi="宋体"/>
                <w:b w:val="0"/>
                <w:bCs w:val="0"/>
                <w:color w:val="000000"/>
                <w:sz w:val="24"/>
                <w:szCs w:val="24"/>
                <w:highlight w:val="none"/>
              </w:rPr>
            </w:r>
            <w:r/>
          </w:p>
        </w:tc>
      </w:tr>
      <w:tr>
        <w:trPr>
          <w:trHeight w:val="216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通讯录</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学校内部师生通讯录管理，要求包含教职工通讯录、学生通讯录、我的群组、通讯录管理等功能。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1.教职工通讯录：支持按校区/组织快速查找联系人，并按姓名/手机号/座机号查询，支持通讯录信息的一键导入与导出功能；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2.学生通讯录：可显示学生姓名、班级、学号、性别、联系人姓名、联系方式、校区等相关信息，支持按姓名与学号查询学生，支持通讯录信息的一键导入与导出功能；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3.我的群组：支持自定义群组，并一键导入群组联系人；发送邮件和信息等可选择我的群组下的群组，方便选人；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4.通讯录管理：设置通讯录的查看范围，灵活控制权限。</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1.教职工通讯录：支持按校区/组织快速查找联系人，支持按姓名进行搜索；支持显示教职工组织、工号、职务、邮箱、手机号等字段；</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2.学生通讯录：支持显示学生姓名、班级、性别、联系人姓名、联系方式、校区等相关信息，支持按姓名查询学生。</w:t>
            </w:r>
            <w:r>
              <w:rPr>
                <w:rFonts w:hint="eastAsia" w:ascii="宋体" w:hAnsi="宋体"/>
                <w:b w:val="0"/>
                <w:bCs w:val="0"/>
                <w:color w:val="000000"/>
                <w:sz w:val="24"/>
                <w:szCs w:val="24"/>
                <w:highlight w:val="none"/>
              </w:rPr>
            </w:r>
            <w:r/>
          </w:p>
        </w:tc>
      </w:tr>
      <w:tr>
        <w:trPr>
          <w:trHeight w:val="288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场馆预约</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场馆预约提供情况展示、申请预约、撤销预约、预约调整、场馆管理等功能：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1、支持按日视图与周视图展示各场馆的预约情况；预约场馆时可按拖拽式进行按时间预订，支持按天或按周定期预约，支持可以修改与删除自己的预约，同时对预约时间冲突的情况进行检测提示存在冲突情况；</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2.支持场馆预约系统与会议系统、审批形成联动，新建会议或发起审批流程时可同步调用场馆预约信息，选择满足条件的场馆，预定成功后场馆预约系统中生成预约记录；</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3.支持设置场馆信息，包括类型、名称、简介、容纳人数、负责人与设置使用范围内，支持设置场馆是否开放，支持设置场馆预约是否需要审批；</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1.支持移动端发起会议预约，可按时间预约或按课程预约。</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2.按时间预约：可支持将1小时的时间均分成4个时间区块。点击区块可快捷设置会议起止时间。</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3.按课程预约：可支持关联课表，支持按课程节次进行预约。</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4.会议签到：支持参会者通用移动端扫码进行会议签到。</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5.预约记录：可支持查询历史预约记录，可支持管理员审核场馆预约记录。</w:t>
            </w:r>
            <w:r>
              <w:rPr>
                <w:rFonts w:hint="eastAsia" w:ascii="宋体" w:hAnsi="宋体"/>
                <w:b w:val="0"/>
                <w:bCs w:val="0"/>
                <w:color w:val="000000"/>
                <w:sz w:val="24"/>
                <w:szCs w:val="24"/>
                <w:highlight w:val="none"/>
              </w:rPr>
            </w:r>
            <w:r/>
          </w:p>
        </w:tc>
      </w:tr>
      <w:tr>
        <w:trPr>
          <w:trHeight w:val="240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23</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工资条</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支持通过该模块快速查询工资明细，减少财务工作人员发放工资条的工作量，让每个职工可随时了解工资总额及明细。具体须实现的功能有：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1.我的工资:支持在WEB端查看个人每个月工资总额及工资明细；</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2.工资表管理：支持一键上传excel工资表，可自动解析excel中工资项，满足每个月的工资项不一样时不用重新设置工资项；</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3.工资表审核：展示所有需要审核的工资表，可对需要审核的工资表进行审核操作；</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4.工资统计：可对各工资项进行统计，汇总统计某段时间内所发工资总额及各项总额。 </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5.设置：基本设置中可对发布的工资进行多种条件设置，可定义工资条显示规则、发布工资的审核机制、发布工资的对象以及查询工资的验证机制等。 </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1.工资表：支持按月查看个人工资信息，支持查看工资明细项，支持在线签名确认工资；</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2.统计表：支持查看年度工资统计表。</w:t>
            </w:r>
            <w:r>
              <w:rPr>
                <w:rFonts w:hint="eastAsia" w:ascii="宋体" w:hAnsi="宋体"/>
                <w:b w:val="0"/>
                <w:bCs w:val="0"/>
                <w:color w:val="000000"/>
                <w:sz w:val="24"/>
                <w:szCs w:val="24"/>
                <w:highlight w:val="none"/>
              </w:rPr>
            </w:r>
            <w:r/>
          </w:p>
        </w:tc>
      </w:tr>
      <w:tr>
        <w:trPr>
          <w:trHeight w:val="216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24</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问卷调查</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可设计单选、多选、问答、填空多种题型进行问卷调查，问卷调查可应用于多个业务模块如教师培训、在线评教或可独立使用，须支持以下功能：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新建问卷：支持问卷调查，投票，考试测评三种模式，提供丰富的题型设置，包括单选、多选、简答、矩阵单选、矩阵多选等在内的题型，可对单个题目进行赋分和维度设置；可设置多种题目作答逻辑，包括跳转逻辑以及显示设置逻辑；</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2.关联任教：支持矩阵单选和矩阵多选题关联任教信息，当面向学生发放时，可根据任教关系自动匹配学生的上课学科填充至调查题目中，实现精准发放；</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问卷发布：支持面向学生、教师以及外部用户进行问卷发放。可将问卷生成二维码和链接，可支持定时发放。可设置测评对象提交问卷后是否可修改提交的答案。可支持进度跟踪，查看问卷的作答进度并提供催办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4.问卷作答：支持移动端扫码作答，支持学生登录PC端上机作答；</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问卷统计：支持问卷统计功能，提供多种统计图形，包括条形图和饼状图，并支持按Excel表格的形式导出问卷的原始作答记录。支持考试模式为每位测评对象生成成绩单，成绩单展示总分、排名以及每一题的得分，并可生成每一题的答案解析。支持投票模式，每位投票人员提交投票后即可查看投票结果。</w:t>
            </w:r>
            <w:r>
              <w:rPr>
                <w:rFonts w:hint="eastAsia" w:ascii="宋体" w:hAnsi="宋体"/>
                <w:b w:val="0"/>
                <w:bCs w:val="0"/>
                <w:color w:val="000000"/>
                <w:sz w:val="24"/>
                <w:szCs w:val="24"/>
                <w:highlight w:val="none"/>
              </w:rPr>
            </w:r>
            <w:r/>
          </w:p>
        </w:tc>
      </w:tr>
      <w:tr>
        <w:trPr>
          <w:trHeight w:val="168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25</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排课</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排课管理（行政班排课）旨在帮助学校解决新学期各年级班级排课需求，根据设置的教学计划和相应的排课规则，排出新学期的课表，并支持管理员根据实际需求进行手动调整，生成最终的学期课表。系统须支持: </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1.支持管理员设置排课课时模板，设置模板名称，课程节次安排，课程作息时间，支持设置课时限制，限制部分课位不做排课安排；</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2.支持根据新建排课的使用学期，自动获取后台任教信息，也支持新建、导入教学计划。支持管理员对系对教学计划进行调整；</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3.系统支持设置排课规则，包括课程联排，课程禁排，必排，合班课，教师排课限制，教室排课限制，课时限制等；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4。生成排课方案后，管理员可手动调整课表并支持冲突校验，将与规则冲突的地方弹窗提示；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5.排课完成后，支持按照班级，教师，教室查看课表。支持导出excel和发布到课表应用中。</w:t>
            </w:r>
            <w:r>
              <w:rPr>
                <w:rFonts w:hint="eastAsia" w:ascii="宋体" w:hAnsi="宋体"/>
                <w:b w:val="0"/>
                <w:bCs w:val="0"/>
                <w:color w:val="000000"/>
                <w:sz w:val="24"/>
                <w:szCs w:val="24"/>
                <w:highlight w:val="none"/>
              </w:rPr>
            </w:r>
            <w:r/>
          </w:p>
        </w:tc>
      </w:tr>
      <w:tr>
        <w:trPr>
          <w:trHeight w:val="1775"/>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26</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课表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支持课表查询功能，教师可从班级和个人的角度去查阅课表：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1.作息时间：支持设置学校的作息时间，可分上午、下午以及晚上三个时段新建课程节次，支持自定义节次名称以及每节课的上课时间；</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2.课表信息导入：支持从年级或班级的维度，进行课表的快捷导入；需支持包括行政班以及走班课表的导入，需提供课表导入的冲突检测；</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多维度课表展示：支持为课表管理人员提供年级课表、班级课表、教师课表、学生课表多种维度的课表查询；班级课表可将某个行政班中所有学生选择的走班课程统一显示在一个课程节次中。课表可依应用场景在PC端、移动端、电子班牌端进行展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调课：支持当周调课及跨周调课，不仅可由管理员统一调课，还可自定义调课流程由教师发起调课申请；支持以拖拽的形式进行调课，可实时生成调课记录，也可撤回调课记录；支持在线发送及导出调课通知，调课通知可兼容多种移动端包括钉钉、企微以及微信公众号；</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代课：支持管理员统一发起代课，可自定义代课流程由教师发起代课申请；代课过程中可查询对应课程节次的全部空闲教师、年级空闲教师、班级空闲教师、科目空闲教师；支持实时生成代课记录，并可在线发送代课通知，代课通知可兼容多种移动端包括钉钉、企微以及微信公众号；</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6.支持临时放假和临时上课，可按上午、下午或者全天进行对应时段的放假和上课，支持放假后选择某天的课程进行放假补回；</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7.支持自定义课时统计规则。可自定义统计项，按课程、选修课以及人工录入的方式进行统计，并可设置单位课时系数；</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8.支持通过填报的方式人工录入非计划内的课程的课时，提供更为全面的课时统计功能。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1.支持教师通过移动端查询个人课表，班级课表以及学生课表。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2.支持教师通过移动端发起调代课，调课需支持在界面上点击互换课程。</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3.支持审核人员通过移动端进行调代课的快捷审批。</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4.课表查询支持课表管理人员查询全校每日课表，教师课表以及班级课表。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5.课表变动支持课表管理员在移动端给教师快捷进行调课和代课。</w:t>
            </w:r>
            <w:r>
              <w:rPr>
                <w:rFonts w:hint="eastAsia" w:ascii="宋体" w:hAnsi="宋体"/>
                <w:b w:val="0"/>
                <w:bCs w:val="0"/>
                <w:color w:val="000000"/>
                <w:sz w:val="24"/>
                <w:szCs w:val="24"/>
                <w:highlight w:val="none"/>
              </w:rPr>
            </w:r>
            <w:r/>
          </w:p>
        </w:tc>
      </w:tr>
      <w:tr>
        <w:trPr>
          <w:trHeight w:val="137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27</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选课</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满足学校自定义校本选课的需求，支持选课范围、选课人数上限、选课学生限制等内容设置。支持“先到先得”选课模式，支持对学生选课“人工审核”的选课模式。具体包括以下功能：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一、教师PC端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1、选课管理：</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选课任务：支持新建课程任务，课程任务设定学生最多选课节次、开课教师范围、申报课程时间，学生选课时间、学生上课时间、是否同步到课表、是否允许老师导入学生、选课须知、是否允许导入的学生取消课程等信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（2）课程申报：支持管理员导入、新建及教师自己申报选修课，包括课程名称、课程介绍、人数、适用年级、上课时间、地点、教师、人数限制等信息；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选课人数：支持查看选课学生名单，支持在该课程下提前批量导入和单独新建学生，支持批量调整学生的选课，支持批量审核通过学生，支持管理员或选课老师批量导入或单独录入学生的成绩，支持按班级维度查看每个班级的学课学生；</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（4）选课统计：支持按科目、课程、学生、班级进行统计，支持导出学生课表以及未选课学生名单；</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（5）课程信息：支持查看教师上课记录、上课计划及总结、学生评价结果；</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（6）课程考勤：支持查看课程考勤信息；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2、报名结果：支持按课程维度查看所有课程的选课信息； </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3、我的选课：支持显示老师个人的选课信息，可查看自己负责选课的学生；</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4、选课评价：支持新建选课评价，支持设置评价时间、选课任务关联的评价问卷，可查看评价结果和评价；</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5、数据分析：可按查看每学期学生个科目的选课人数；</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二、教师移动端：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首页：支持查看本人开设的选修课，点击考勤可对学生进行考勤，可选择学生状态为迟到、旷课、请假等，点击评价可对学生进行点赞和评价；支持切换日期查看历史评价和考勤信息；支持上课老师上传上课记录；</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2.课程管理：支持管理员查看所有课程及上传课程计划，支持负责老师上传负责课程的计划及总结。</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三、学生PC端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1.选课：支持学生查看选课任务，查看课程信息，支持按课程名称进行搜索，支持上课时间冲突和课程数上限提醒；</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2.我的选课：支持学生查看本人选课信息，支持选课结束前取消重新选，支持查看选课成绩。</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学生移动端：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1.选课：支持学生在移动端查看选课任务，查看课程信息，支持按课程名称进行搜索，支持上课时间冲突和课程数上限提醒；</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2.我的选课：支持学生查看本人选课信息，支持选课结束前取消重新选，支持查看选课成绩。</w:t>
            </w:r>
            <w:r>
              <w:rPr>
                <w:rFonts w:hint="eastAsia" w:ascii="宋体" w:hAnsi="宋体"/>
                <w:b w:val="0"/>
                <w:bCs w:val="0"/>
                <w:color w:val="000000"/>
                <w:sz w:val="24"/>
                <w:szCs w:val="24"/>
                <w:highlight w:val="none"/>
              </w:rPr>
            </w:r>
            <w:r/>
          </w:p>
        </w:tc>
      </w:tr>
      <w:tr>
        <w:trPr>
          <w:trHeight w:val="312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28</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在线评教</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在线评教旨在通过自评，他评、互评等方式对教师在一段时间内的工作表现进行客观综合的评价，在线评教可调用问卷调查的功能，同时可根据任教关系生成多份问卷调查表，实现用户自评、他评、互评等多种评价需求，同时对多份问卷的结果进行加强平均生成评价最终的评价结果。具体须实现的功能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评价管理：支持创建多种类型的在线评教，包括教师之间评价（教师与年级组长互评、年级教师互评、备课组教师互评）、学生对教师的评价（包括任教老师，班主任，生活教师，选修课教师，社团教师）；管理员可对每一次评教进行增删改查，设置评价类型，评价时间和参评人员；</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2.评教作答：可发布评价通知，支持通过手机、邮件进行评价推送提醒；支持多种类型的通知推送提醒设置，包括立即推送、定时推送和多次活动推送，确保参评人员及时收到推送并作答；</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3.评价进度：可及时了解测评进度，包括总参评人数，已参评人数，总体完成率；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4.评价反馈：可查看每一次评价的测评结果，支持参评人员查阅自己的每一次评价结果，支持不同级别管理者分级分权限查看相关人员的评价结果；</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5.统计分析：可查看每一次测评结果的统计分析，支持通过饼图、条形图和表格进行统计结果的查阅。</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1.学生或教师可通过移动端进行测评作答。</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2.教师可查阅自己的每次评教得分。</w:t>
            </w:r>
            <w:r>
              <w:rPr>
                <w:rFonts w:hint="eastAsia" w:ascii="宋体" w:hAnsi="宋体"/>
                <w:b w:val="0"/>
                <w:bCs w:val="0"/>
                <w:color w:val="000000"/>
                <w:sz w:val="24"/>
                <w:szCs w:val="24"/>
                <w:highlight w:val="none"/>
              </w:rPr>
            </w:r>
            <w:r/>
          </w:p>
        </w:tc>
      </w:tr>
      <w:tr>
        <w:trPr>
          <w:trHeight w:val="384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29</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德育</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完成学生个体或班级的德育评价，助力学生养成良好的行为习惯。解决线下德育评价大量数据整理的问题及信息传递不方便不及时问题。包括指标管理、评分标准管理、评分表管理、评分记录查询、学生个人评分表查询等功能。具体功能须实现：</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 1.指标管理：支持各类德育指标的新建，可设置指标的评价人类型，包括教职工、学生、家长以及领导，支持定义指标的总分分值和设置指标预警提醒，当评价指标的分值超过或低于设置的分值时，会主动向对应教师推送预警提醒；</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2.评分标准管理：按指标进行评分标准的详细规则设定，并可以设定详细评分标准的打分规则；</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3.文明班评比设置：支持配置文明班评比规则，可自定义文明班称号，支持根据班级的评比得分或排名进行文明班称号的授予，并可为文明班授予流动红旗；</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4.评分记录：支持多角色，多终端同时在线打分，并在线提交打分记录。支持按个人、按整体、按宿舍进行评价打分，支持批量导入打分记录；</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5.评分查询：可按学生姓名、年级、班级查询对应学生的德育得分，查看学生的德育成长记录档案；</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6.评分表管理：可按周、按月、按学期自动汇总每个班级的德育评分，并可根据每个班级的得分高低自动进行排名；</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7.德育总结：支持值周教师填写德育值日总结，可一键推送值日总结，发送相关教师查阅。</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1.评分查阅：支持教师通过移动端查阅文明办评比排名以及获得流动红旗的状况。</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2.学生评分查阅：支持教师查看对应学生的德育评分情况。</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3.评分记录：支持移动端多角色同时打分。支持按班级整体，个人，按宿舍进行打分，</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4.德育总结：支持值周教师填写值日总结。</w:t>
            </w:r>
            <w:r>
              <w:rPr>
                <w:rFonts w:hint="eastAsia" w:ascii="宋体" w:hAnsi="宋体"/>
                <w:b w:val="0"/>
                <w:bCs w:val="0"/>
                <w:color w:val="000000"/>
                <w:sz w:val="24"/>
                <w:szCs w:val="24"/>
                <w:highlight w:val="none"/>
              </w:rPr>
            </w:r>
            <w:r/>
          </w:p>
        </w:tc>
      </w:tr>
      <w:tr>
        <w:trPr>
          <w:trHeight w:val="432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30</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固定资产</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对固定资产提供从采购申请到入库及资产的领用、退还、借用、归还、处置、调拨等全生命周期管理。支持采购信息导入和资产信息导入，可快速批量导入用户已有的资产信息。具体须实现的功能有：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资产设置：可设置资产编号，通过多项选择（资产分类编号、自定义文本、购置日期+流水号）的方式组成资产编号；提供多种标签模板供选择设置，可设置扫码二维码显示字段、标签纸显示字段、LOGO、打印纸类型（标签专用纸、A4纸、标签尺寸、字体大小）；可设置资产分类，支持多级分类；可支持资产位置设置，支持按校区设位置；支持资产折旧方案设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资产列表：根据权限，展示用户能看到所有资产信息，管理员可对资产列表自定义列的调整、新建（导入）、业务操作（领用、退还、借用、归还、处置、调拨）、打印标签、打印领用单、导出、批量删除、修改、删除；</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3.资产入库：支持与系统的审批业务相结合，实现资产采购审批通过后自动入库，也支持用户通过导入的方式批量录入资产信息；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4.领用与借用：对资产的操作包括领用/退还、借用/归还、调拨、维修等操作一方面可形成资产操作档案，同时在相应的列表页面可以查询所有的操作记录并导出；</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资产盘点：支持管理员新建盘点单，并可自定义设置盘点范围，支持移动端自主盘点、扫码盘点等多种盘点模式，支持全员盘点模式，校园内所有教师都可参与到盘点任务内，教职工个人对自己领用的资产进行盘点。对资产盘点结果可生成对应数据报表，支持实时查看资产盘点情况了解盘点进度；</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数据报表：资产清单为部门资产汇总，展示了学校资产的总金额、资产数量、资产各部门分布的占比图、各部门资产的数量以及金额；可对折旧的资产、处置的资产、使用到期、维保到期的资产进行按类别分类视图展示，并根据资产名称或资产编码查阅资产详情。</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1.资产信息：支持按资产编码、资产名称、资产分类、资产位置搜索资产，支持查看本人负责的资产，扫码可查看资产信息，点击资产可查看资产信息并对资产进行报修；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2.资产审核：支持审核资产领用信息，支持查看待审核和已审核的数据；</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3.我的：支持查看本人领用资产的情况，负责人和管理人员可对资产进行直接处置、退换、归还操作；支持查看负责的资产盘点任务并对资产进行盘点。</w:t>
            </w:r>
            <w:r>
              <w:rPr>
                <w:rFonts w:hint="eastAsia" w:ascii="宋体" w:hAnsi="宋体"/>
                <w:b w:val="0"/>
                <w:bCs w:val="0"/>
                <w:color w:val="000000"/>
                <w:sz w:val="24"/>
                <w:szCs w:val="24"/>
                <w:highlight w:val="none"/>
              </w:rPr>
            </w:r>
            <w:r/>
          </w:p>
        </w:tc>
      </w:tr>
      <w:tr>
        <w:trPr>
          <w:trHeight w:val="576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消耗品</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提供消耗品的进销存管理，包括采购进货、领用出库，报表统计等功能，可以按时间段、供应商、领用部门、物品品种查询费用报表、出/入库报表、仓存报表等。具体须实现的功能有：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首页：支持分别以不同仓库进行消耗品领用，支持以类型、品牌、快速定位消耗品，支持以上架时间、领用量进行排序，支持图片形式展示所有消耗品，教职工可放入领用清单进行领用，支持自定义数量领用消耗品、可放入领用清单批量领用。物品领用的体验类似电商网站购物时将物品加入购物车的体验；</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我的领用：支持查看教职工个人领用详情，分全部、待领用、待审核、已领用、已驳回等不同领用状态查询，可查看每次下单领用的订单号、下单时间、消耗品名称、类型、品牌、单位、领用数量等。支持申请时间、品牌、规格属性高级查询消耗品领用状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领用管理：仓库管理员对教职工领用订单，支持选择不同仓库进行管理，分全部、待审核、待领用、已领用、已驳回等页签，查看不同状态的领用详情，可查看每次下单领用的订单号、下单时间、消耗品名称、类型、品牌、单位、领用数量等，支持申请时间、品牌、规格属性高级查询消耗品领用状态，管理员可进行驳回或者通过领用申请，支持发送审批意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4.消耗品管理：</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库存管理：支持选择不同仓库进行管理，可对消耗品进行入库、出库操作，支持批量导入模板出入库，支持按照供应商名称、消耗品名称快速搜索入库单，支持按照使用人员、消耗品名称快速搜索出库单，支持按照库房名称、消耗品编号或者名称快速搜索库存单，出入库单支持单据日期快速搜索，库存单支持根据预警状态快速搜索，同时支持导出打印库存单；</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2）报表查询：支持入库统计、出库统计、收发存汇总报表和结算报表等统计查询功能；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3）设置：对学校所有消耗品的信息进行维护管理，可设置单个新建或导入消耗品，包括消耗品名称、类型、品牌、规格属性、单位、单价、条形码、状态（可领用、已下架）、排序等；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5.仓库管理：支持根据仓库编号、名称快速搜索，支持设置仓库编号、仓库名称、自定义仓库使用人员、管理人员，支持进行仓库排序，支持自定义设置仓库简易领用流程，缺货采购流程。</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1.首页:支持首页领用消耗品，支持按消耗品名称、仓库、消耗品分类、消耗品品牌等进行搜索，点击消耗品可查看消耗品详情；</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2.我的领用：支持查看个人领用的全部消耗品，可切换状态快速查看消耗品：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3.领用管理：支持审核人在移动端审核、发放领用的消耗品；</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4.出库管理：支持在移动端快速创建出库单。</w:t>
            </w:r>
            <w:r>
              <w:rPr>
                <w:rFonts w:hint="eastAsia" w:ascii="宋体" w:hAnsi="宋体"/>
                <w:b w:val="0"/>
                <w:bCs w:val="0"/>
                <w:color w:val="000000"/>
                <w:sz w:val="24"/>
                <w:szCs w:val="24"/>
                <w:highlight w:val="none"/>
              </w:rPr>
            </w:r>
            <w:r/>
          </w:p>
        </w:tc>
      </w:tr>
      <w:tr>
        <w:trPr>
          <w:trHeight w:val="288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课堂教学软件</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1.提供电子化教材授课工具，支持教材的单双页显示、放大、批注等功能，支持课本内田健资源到任意位置并支持自由拖动；</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提供电子白板教学工具，支持多学科主题模板,并可在白板任意位置进行书写、擦除；支持插入图片、视频到白板中进行授课；支持将文档（PPT、word、PDF）插入白板授课，插入白板后的文档类资源支持拖动、翻页、缩放，书写笔迹跟随移动，且支持保存，再次打开时，笔迹仍然保留；</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3.提供课件教学工具，支持一键调取本机、个人网盘与学校网盘内的教学课件，课件播放过程中可实现自由批注，当页书写笔迹内容与当页课件内容同步跟随；</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4.提供板擦、聚焦、拍照、展台、放大镜、计时、录制视频、微课剪辑、幕布等基础教学工具；</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5.提供多学科的学科工具，包括通用工具、语文、数学、英语、化学、物理、音乐、体育等学科工具，如扫码传图、诗词卡片、尺规、平面图形、立体图形、函数工具、物理器材、化学器材等；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6.提供基于即时手写智能识别的智能工具板，可实现中英文智能转写、智能搜索、图形识别与函数识别等功能；</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提供微课录制功能，支持任意授课界面下进行微课录制，录制区域可选择全屏或自定义区域，录制过程中可切换白板、教材、桌面、课件等任意场景，可调用教学工具等；录制结束后自动生成MP4格式的文件，可保存至本地或网盘并支持分享；</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8.提供云板书功能，支持教师将个人板书同步保存至云端，并可进行再次调取和进行二次编辑；支持板书内容分享；</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9.提供教学过程性评价工具，支持教师以个人或小组为单位，对学生的课堂表现进行表扬或提醒，并按课堂表现对学生名单排列显示；</w:t>
            </w:r>
            <w:r>
              <w:rPr>
                <w:rFonts w:hint="eastAsia" w:ascii="宋体" w:hAnsi="宋体"/>
                <w:b w:val="0"/>
                <w:bCs w:val="0"/>
                <w:color w:val="000000"/>
                <w:sz w:val="24"/>
                <w:szCs w:val="24"/>
                <w:highlight w:val="none"/>
              </w:rPr>
            </w:r>
            <w:r/>
          </w:p>
        </w:tc>
      </w:tr>
      <w:tr>
        <w:trPr>
          <w:trHeight w:val="192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33</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教师备授课一体软件</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1.备课桌面：提供教师专有的个人备课桌面，提供教师个人备课网盘，支持对网盘资源进行统一管理；支持教师个人资源分享；</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2.提供同步资源、校本资源、可视化资源等资源合集，可选择资源加入个人备课中心或下载后自由编辑；</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提供基于原生PPT/WPS的智能备课插件，课件默认输出格式为PPT/WPS的默认格式；支持备课资源一键插入；支持一键引入互联网链接资源，搜索链接后可一键将页面插入至PPT内，并能够在ppt播放状态下进行页面二次跳转；</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4.提供多类型课堂活动模板，如选词填空、选择题、判断题、思维导图等；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5.提供在线协同备课软件，可实现教研组在线多人协同备课，备课记录与修改轨迹实时保存与共享；</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7.支持备课资源同步更新，备课完成后将资源或课件一键同步上传至个人云盘（校本空间），保持数据同步，其中网盘存储的PPT类资源下载修改后支持自动同步云端。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8.需提供多屏交互功能，可将教师个人桌面画面投屏至课堂教学软件进行教学，也可通过课堂教学软件反向操作教师软件；</w:t>
            </w:r>
            <w:r>
              <w:rPr>
                <w:rFonts w:hint="eastAsia" w:ascii="宋体" w:hAnsi="宋体"/>
                <w:b w:val="0"/>
                <w:bCs w:val="0"/>
                <w:color w:val="000000"/>
                <w:sz w:val="24"/>
                <w:szCs w:val="24"/>
                <w:highlight w:val="none"/>
              </w:rPr>
            </w:r>
            <w:r/>
          </w:p>
        </w:tc>
      </w:tr>
      <w:tr>
        <w:trPr>
          <w:trHeight w:val="96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34</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精准教学与讲评系统</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1.教师可通过课堂教学软件直接调取高质量校本作业考试管理系统内的考试进行讲评，无需另外通过浏览器打开页面；</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2.支持教师通过在用课堂教学软件自由选取多个学生作答进行对比讲评，同时可对学生进行点赞；</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3.支持自由选取学生作答插入白板进行批注讲解、板书讲解；</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4.支持对板书内容进行保存并分享；</w:t>
            </w:r>
            <w:r>
              <w:rPr>
                <w:rFonts w:hint="eastAsia" w:ascii="宋体" w:hAnsi="宋体"/>
                <w:b w:val="0"/>
                <w:bCs w:val="0"/>
                <w:color w:val="000000"/>
                <w:sz w:val="24"/>
                <w:szCs w:val="24"/>
                <w:highlight w:val="none"/>
              </w:rPr>
            </w:r>
            <w:r/>
          </w:p>
        </w:tc>
      </w:tr>
      <w:tr>
        <w:trPr>
          <w:trHeight w:val="240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35</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校讯</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支持查询学校各类资讯动态及通知公告等。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一、教师PC端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1.班级通知：支持管理员、校长、班主任、任课老师对学生发布信息通知，支持查看学生的阅读情况；支持定时发布和设置是否需要家长确认、签字等；</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2.审核：支持审核人员进行审核，审核通过后发布信息；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3.设置：支持设置常用的校讯模板，在移动端发布时可快速选择模板发布；支持设置发布校讯是否需要班主任审核以及设置固定的审核人员。</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二、教师移动端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1.首页：发布校讯支持选择模块或最近发布的校讯快速发布，新建校讯时支持选择发布时间、是否需要家长确认、签字、回执等，支持设置是否置顶校讯；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2.审核：支持审核人员在移动端进行审核。</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学生移动端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支持学生查看校讯，支持家长在线确认、签字、回执文件。</w:t>
            </w:r>
            <w:r>
              <w:rPr>
                <w:rFonts w:hint="eastAsia" w:ascii="宋体" w:hAnsi="宋体"/>
                <w:b w:val="0"/>
                <w:bCs w:val="0"/>
                <w:color w:val="000000"/>
                <w:sz w:val="24"/>
                <w:szCs w:val="24"/>
                <w:highlight w:val="none"/>
              </w:rPr>
            </w:r>
            <w:r/>
          </w:p>
        </w:tc>
      </w:tr>
      <w:tr>
        <w:trPr>
          <w:trHeight w:val="96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36</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审批</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使用流程平台可自定义家校端学生流程，可实现表单与流程的自定义，实现如学生请假、留校申请、困难申请等业务。</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1.支持学生按流程名称搜索；</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2.支持查看我发起的审批查看审批状态；</w:t>
            </w:r>
            <w:r>
              <w:rPr>
                <w:rFonts w:hint="eastAsia" w:ascii="宋体" w:hAnsi="宋体"/>
                <w:b w:val="0"/>
                <w:bCs w:val="0"/>
                <w:color w:val="000000"/>
                <w:sz w:val="24"/>
                <w:szCs w:val="24"/>
                <w:highlight w:val="none"/>
              </w:rPr>
            </w:r>
            <w:r/>
          </w:p>
        </w:tc>
      </w:tr>
      <w:tr>
        <w:trPr>
          <w:trHeight w:val="168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37</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请假</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学生通过移动端可向老师请假，老师可通过手机端批假；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一、PC端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支持在业务定制配置请假和代请假流程，支持在家校学生请假菜单绑定对应的表单和方案；</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二、移动端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1.请假：家长通过手机向老师发起请假流程，填写请假事因，选择审批和抄送的老师；</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2.批假：老师通过手机可对学生请假进行审批，填写审批意见，可批通过或不通过；</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3.请假统计：根据请假时间生成报表，老师和家长可快速了解请假情况。</w:t>
            </w:r>
            <w:r>
              <w:rPr>
                <w:rFonts w:hint="eastAsia" w:ascii="宋体" w:hAnsi="宋体"/>
                <w:b w:val="0"/>
                <w:bCs w:val="0"/>
                <w:color w:val="000000"/>
                <w:sz w:val="24"/>
                <w:szCs w:val="24"/>
                <w:highlight w:val="none"/>
              </w:rPr>
            </w:r>
            <w:r/>
          </w:p>
        </w:tc>
      </w:tr>
      <w:tr>
        <w:trPr>
          <w:trHeight w:val="48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38</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德育</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一、移动端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查看学生德育分析及德育明细，方便家长了解孩子在校行为习惯的表现，帮助孩子养成良好的行为习惯。</w:t>
            </w:r>
            <w:r>
              <w:rPr>
                <w:rFonts w:hint="eastAsia" w:ascii="宋体" w:hAnsi="宋体"/>
                <w:b w:val="0"/>
                <w:bCs w:val="0"/>
                <w:color w:val="000000"/>
                <w:sz w:val="24"/>
                <w:szCs w:val="24"/>
                <w:highlight w:val="none"/>
              </w:rPr>
            </w:r>
            <w:r/>
          </w:p>
        </w:tc>
      </w:tr>
      <w:tr>
        <w:trPr>
          <w:trHeight w:val="120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39</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选课</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学生根据兴趣选择课程上课，在选修课开放的时间内学生可根据课程条件进行报名，报名可为先到先得+审核模式相结合，报满后其他学生不可报。</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一、移动端</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1.支持学生提前查看课程，可按课程名称和时间搜索；</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2.支持在选课结束前取消选课；</w:t>
            </w:r>
            <w:r>
              <w:rPr>
                <w:rFonts w:hint="eastAsia" w:ascii="宋体" w:hAnsi="宋体"/>
                <w:b w:val="0"/>
                <w:bCs w:val="0"/>
                <w:color w:val="000000"/>
                <w:sz w:val="24"/>
                <w:szCs w:val="24"/>
                <w:highlight w:val="none"/>
                <w:lang w:val="en-US" w:eastAsia="zh-CN"/>
              </w:rPr>
              <w:br w:type="textWrapping" w:clear="all"/>
            </w:r>
            <w:r>
              <w:rPr>
                <w:rFonts w:hint="eastAsia" w:ascii="宋体" w:hAnsi="宋体"/>
                <w:b w:val="0"/>
                <w:bCs w:val="0"/>
                <w:color w:val="000000"/>
                <w:sz w:val="24"/>
                <w:szCs w:val="24"/>
                <w:highlight w:val="none"/>
                <w:lang w:val="en-US" w:eastAsia="zh-CN"/>
              </w:rPr>
              <w:t xml:space="preserve">3.支持上课老师导入成绩后在我的选课课程查看分数或等级；</w:t>
            </w:r>
            <w:r>
              <w:rPr>
                <w:rFonts w:hint="eastAsia" w:ascii="宋体" w:hAnsi="宋体"/>
                <w:b w:val="0"/>
                <w:bCs w:val="0"/>
                <w:color w:val="000000"/>
                <w:sz w:val="24"/>
                <w:szCs w:val="24"/>
                <w:highlight w:val="none"/>
              </w:rPr>
            </w:r>
            <w:r/>
          </w:p>
        </w:tc>
      </w:tr>
      <w:tr>
        <w:trPr>
          <w:trHeight w:val="480"/>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40</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课表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显示学生课表，若学生属固定班级，则显示学生班级课表；若学生属走班生则显示学生个人课表；课表的调整计划会实时更新到学生课表；可与走班排课系统对接显示排课系统数据。</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41</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高速缓存</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redis5.0 主从版 4G内存，五年使用费用</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42</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数据存储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OSS服务器，20TB，五年使用费用</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43</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文件存储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NAS服务器，10TB，五年使用费用</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spacing w:line="560" w:lineRule="exact"/>
              <w:rPr>
                <w:rFonts w:ascii="宋体" w:hAnsi="宋体"/>
                <w:b w:val="0"/>
                <w:bCs w:val="0"/>
                <w:color w:val="000000"/>
                <w:sz w:val="24"/>
                <w:szCs w:val="24"/>
                <w:highlight w:val="none"/>
                <w:lang w:val="en-US"/>
              </w:rPr>
            </w:pPr>
            <w:r>
              <w:rPr>
                <w:rFonts w:hint="eastAsia" w:ascii="宋体" w:hAnsi="宋体"/>
                <w:b w:val="0"/>
                <w:bCs w:val="0"/>
                <w:color w:val="000000"/>
                <w:sz w:val="24"/>
                <w:szCs w:val="24"/>
                <w:highlight w:val="none"/>
                <w:lang w:val="en-US" w:eastAsia="zh-CN"/>
              </w:rPr>
              <w:t xml:space="preserve">44</w:t>
            </w:r>
            <w:r>
              <w:rPr>
                <w:rFonts w:ascii="宋体" w:hAnsi="宋体"/>
                <w:b w:val="0"/>
                <w:bCs w:val="0"/>
                <w:color w:val="000000"/>
                <w:sz w:val="24"/>
                <w:szCs w:val="24"/>
                <w:highlight w:val="none"/>
                <w:lang w:val="en-US"/>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负载均衡</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SLB服务器，五年使用费用</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45</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云资源关系型数据库MySQL</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RDS服务器8核CPU,32G内存100G存储空间，高可用主从版，五年使用费用</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46</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文件转化服务器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ECS服务器，8核CPU,32G内存1T存储空间，五年使用费用</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47</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web服务器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ECS服务器，8核CPU,32G内存200G存储空间五年使用费用</w:t>
            </w:r>
            <w:r>
              <w:rPr>
                <w:rFonts w:hint="eastAsia" w:ascii="宋体" w:hAnsi="宋体"/>
                <w:b w:val="0"/>
                <w:bCs w:val="0"/>
                <w:color w:val="000000"/>
                <w:sz w:val="24"/>
                <w:szCs w:val="24"/>
                <w:highlight w:val="none"/>
              </w:rPr>
            </w:r>
            <w:r/>
          </w:p>
        </w:tc>
      </w:tr>
      <w:tr>
        <w:trPr>
          <w:trHeight w:val="276"/>
        </w:trPr>
        <w:tc>
          <w:tcPr>
            <w:tcW w:w="391" w:type="dxa"/>
            <w:vAlign w:val="center"/>
            <w:textDirection w:val="lrTb"/>
            <w:noWrap w:val="false"/>
          </w:tcPr>
          <w:p>
            <w:pPr>
              <w:pStyle w:val="871"/>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48</w:t>
            </w:r>
            <w:r>
              <w:rPr>
                <w:rFonts w:hint="eastAsia" w:ascii="宋体" w:hAnsi="宋体"/>
                <w:b w:val="0"/>
                <w:bCs w:val="0"/>
                <w:color w:val="000000"/>
                <w:sz w:val="24"/>
                <w:szCs w:val="24"/>
                <w:highlight w:val="none"/>
              </w:rPr>
            </w:r>
            <w:r/>
          </w:p>
        </w:tc>
        <w:tc>
          <w:tcPr>
            <w:tcW w:w="1300"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应用服务器</w:t>
            </w:r>
            <w:r>
              <w:rPr>
                <w:rFonts w:hint="eastAsia" w:ascii="宋体" w:hAnsi="宋体"/>
                <w:b w:val="0"/>
                <w:bCs w:val="0"/>
                <w:color w:val="000000"/>
                <w:sz w:val="24"/>
                <w:szCs w:val="24"/>
                <w:highlight w:val="none"/>
              </w:rPr>
            </w:r>
            <w:r/>
          </w:p>
        </w:tc>
        <w:tc>
          <w:tcPr>
            <w:tcW w:w="3307" w:type="dxa"/>
            <w:vAlign w:val="center"/>
            <w:textDirection w:val="lrTb"/>
            <w:noWrap w:val="false"/>
          </w:tcPr>
          <w:p>
            <w:pPr>
              <w:pStyle w:val="871"/>
              <w:ind w:firstLine="480"/>
              <w:spacing w:line="56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ECS服务器，8核CPU,32G内存200G存储空间五年使用费用</w:t>
            </w:r>
            <w:r>
              <w:rPr>
                <w:rFonts w:hint="eastAsia" w:ascii="宋体" w:hAnsi="宋体"/>
                <w:b w:val="0"/>
                <w:bCs w:val="0"/>
                <w:color w:val="000000"/>
                <w:sz w:val="24"/>
                <w:szCs w:val="24"/>
                <w:highlight w:val="none"/>
              </w:rPr>
            </w:r>
            <w:r/>
          </w:p>
        </w:tc>
      </w:tr>
    </w:tbl>
    <w:p>
      <w:pPr>
        <w:pStyle w:val="871"/>
        <w:ind w:firstLine="482"/>
        <w:spacing w:line="560" w:lineRule="exac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r>
      <w:r/>
    </w:p>
    <w:p>
      <w:pPr>
        <w:pStyle w:val="871"/>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三、商务要求</w:t>
      </w:r>
      <w:r>
        <w:rPr>
          <w:rFonts w:hint="eastAsia" w:ascii="宋体" w:hAnsi="宋体"/>
          <w:b/>
          <w:bCs/>
          <w:color w:val="000000"/>
          <w:sz w:val="24"/>
          <w:szCs w:val="24"/>
          <w:highlight w:val="none"/>
        </w:rPr>
      </w:r>
      <w:r/>
    </w:p>
    <w:p>
      <w:pPr>
        <w:pStyle w:val="871"/>
        <w:ind w:firstLine="480"/>
        <w:spacing w:line="56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b/>
          <w:bCs/>
          <w:color w:val="000000"/>
          <w:sz w:val="24"/>
          <w:szCs w:val="24"/>
          <w:highlight w:val="none"/>
        </w:rPr>
        <w:t xml:space="preserve">其中加</w:t>
      </w:r>
      <w:r>
        <w:rPr>
          <w:rFonts w:hint="eastAsia" w:ascii="宋体" w:hAnsi="宋体" w:cs="宋体"/>
          <w:color w:val="000000"/>
          <w:sz w:val="24"/>
          <w:szCs w:val="24"/>
          <w:highlight w:val="none"/>
          <w:lang w:bidi="ar"/>
        </w:rPr>
        <w:t xml:space="preserve">★</w:t>
      </w:r>
      <w:r>
        <w:rPr>
          <w:rFonts w:hint="eastAsia" w:ascii="宋体" w:hAnsi="宋体"/>
          <w:b/>
          <w:bCs/>
          <w:color w:val="000000"/>
          <w:sz w:val="24"/>
          <w:szCs w:val="24"/>
          <w:highlight w:val="none"/>
        </w:rPr>
        <w:t xml:space="preserve">条款为实质性要求。</w:t>
      </w:r>
      <w:r>
        <w:rPr>
          <w:rFonts w:hint="eastAsia" w:ascii="宋体" w:hAnsi="宋体"/>
          <w:b/>
          <w:bCs/>
          <w:color w:val="000000"/>
          <w:sz w:val="24"/>
          <w:szCs w:val="24"/>
          <w:highlight w:val="none"/>
        </w:rPr>
      </w:r>
      <w:r/>
    </w:p>
    <w:p>
      <w:pPr>
        <w:pStyle w:val="871"/>
        <w:ind w:firstLine="480"/>
        <w:spacing w:line="560" w:lineRule="exact"/>
        <w:rPr>
          <w:rFonts w:hint="eastAsia"/>
          <w:b w:val="0"/>
          <w:bCs/>
          <w:color w:val="000000"/>
          <w:sz w:val="24"/>
          <w:highlight w:val="none"/>
          <w:u w:val="none"/>
        </w:rPr>
      </w:pPr>
      <w:r>
        <w:rPr>
          <w:rFonts w:hint="eastAsia"/>
          <w:b w:val="0"/>
          <w:bCs/>
          <w:color w:val="000000"/>
          <w:sz w:val="24"/>
          <w:highlight w:val="none"/>
          <w:u w:val="none"/>
        </w:rPr>
        <w:t xml:space="preserve">1、交付时间：自合同签定之日起</w:t>
      </w:r>
      <w:r>
        <w:rPr>
          <w:rFonts w:hint="eastAsia"/>
          <w:b w:val="0"/>
          <w:bCs/>
          <w:color w:val="000000"/>
          <w:sz w:val="24"/>
          <w:highlight w:val="none"/>
          <w:u w:val="none"/>
          <w:lang w:val="en-US" w:eastAsia="zh-CN"/>
        </w:rPr>
        <w:t xml:space="preserve">60</w:t>
      </w:r>
      <w:r>
        <w:rPr>
          <w:rFonts w:hint="eastAsia"/>
          <w:b w:val="0"/>
          <w:bCs/>
          <w:color w:val="000000"/>
          <w:sz w:val="24"/>
          <w:highlight w:val="none"/>
          <w:u w:val="none"/>
        </w:rPr>
        <w:t xml:space="preserve">天内。</w:t>
      </w:r>
      <w:r>
        <w:rPr>
          <w:rFonts w:hint="eastAsia"/>
          <w:b w:val="0"/>
          <w:bCs/>
          <w:color w:val="000000"/>
          <w:sz w:val="24"/>
          <w:highlight w:val="none"/>
          <w:u w:val="none"/>
        </w:rPr>
      </w:r>
      <w:r/>
    </w:p>
    <w:p>
      <w:pPr>
        <w:pStyle w:val="871"/>
        <w:ind w:firstLine="480"/>
        <w:spacing w:line="560" w:lineRule="exact"/>
        <w:rPr>
          <w:rFonts w:hint="eastAsia"/>
          <w:b w:val="0"/>
          <w:bCs/>
          <w:color w:val="000000"/>
          <w:sz w:val="24"/>
          <w:highlight w:val="none"/>
          <w:u w:val="none"/>
        </w:rPr>
      </w:pPr>
      <w:r>
        <w:rPr>
          <w:rFonts w:hint="eastAsia"/>
          <w:b w:val="0"/>
          <w:bCs/>
          <w:color w:val="000000"/>
          <w:sz w:val="24"/>
          <w:highlight w:val="none"/>
          <w:u w:val="none"/>
        </w:rPr>
        <w:t xml:space="preserve">2、交付地点：海安市实验中学新校区。</w:t>
      </w:r>
      <w:r>
        <w:rPr>
          <w:rFonts w:hint="eastAsia"/>
          <w:b w:val="0"/>
          <w:bCs/>
          <w:color w:val="000000"/>
          <w:sz w:val="24"/>
          <w:highlight w:val="none"/>
          <w:u w:val="none"/>
        </w:rPr>
      </w:r>
      <w:r/>
    </w:p>
    <w:p>
      <w:pPr>
        <w:pStyle w:val="871"/>
        <w:ind w:firstLine="480"/>
        <w:spacing w:line="560" w:lineRule="exact"/>
        <w:rPr>
          <w:rFonts w:hint="eastAsia"/>
          <w:b w:val="0"/>
          <w:bCs/>
          <w:color w:val="000000"/>
          <w:sz w:val="24"/>
          <w:highlight w:val="none"/>
          <w:u w:val="none"/>
          <w:lang w:val="en-US" w:eastAsia="zh-CN"/>
        </w:rPr>
      </w:pPr>
      <w:r>
        <w:rPr>
          <w:rFonts w:hint="eastAsia"/>
          <w:b w:val="0"/>
          <w:bCs/>
          <w:color w:val="000000"/>
          <w:sz w:val="24"/>
          <w:highlight w:val="none"/>
          <w:u w:val="none"/>
        </w:rPr>
        <w:t xml:space="preserve">3、付款条件：签订合同 15 日内，预付合同价的30%，</w:t>
      </w:r>
      <w:r>
        <w:rPr>
          <w:rFonts w:hint="eastAsia"/>
          <w:b w:val="0"/>
          <w:bCs/>
          <w:color w:val="000000"/>
          <w:sz w:val="24"/>
          <w:highlight w:val="none"/>
          <w:u w:val="none"/>
          <w:lang w:val="en-US" w:eastAsia="zh-CN"/>
        </w:rPr>
        <w:t xml:space="preserve">待货物和服务到位验收合格后在30个工作日内付清所有款项。</w:t>
      </w:r>
      <w:r>
        <w:rPr>
          <w:rFonts w:hint="eastAsia"/>
          <w:b w:val="0"/>
          <w:bCs/>
          <w:color w:val="000000"/>
          <w:sz w:val="24"/>
          <w:highlight w:val="none"/>
          <w:u w:val="none"/>
          <w:lang w:val="en-US" w:eastAsia="zh-CN"/>
        </w:rPr>
      </w:r>
      <w:r/>
    </w:p>
    <w:p>
      <w:pPr>
        <w:pStyle w:val="871"/>
        <w:ind w:firstLine="480"/>
        <w:spacing w:line="560" w:lineRule="exact"/>
        <w:rPr>
          <w:rFonts w:hint="eastAsia"/>
          <w:b w:val="0"/>
          <w:bCs/>
          <w:color w:val="000000"/>
          <w:sz w:val="24"/>
          <w:highlight w:val="none"/>
          <w:u w:val="none"/>
        </w:rPr>
      </w:pPr>
      <w:r>
        <w:rPr>
          <w:rFonts w:hint="eastAsia"/>
          <w:b w:val="0"/>
          <w:bCs/>
          <w:color w:val="000000"/>
          <w:sz w:val="24"/>
          <w:highlight w:val="none"/>
          <w:u w:val="none"/>
        </w:rPr>
        <w:t xml:space="preserve">4、质保期：自验收之日起3年</w:t>
      </w:r>
      <w:r>
        <w:rPr>
          <w:rFonts w:hint="eastAsia"/>
          <w:b w:val="0"/>
          <w:bCs/>
          <w:color w:val="000000"/>
          <w:sz w:val="24"/>
          <w:highlight w:val="none"/>
          <w:u w:val="none"/>
        </w:rPr>
      </w:r>
      <w:r/>
    </w:p>
    <w:p>
      <w:pPr>
        <w:pStyle w:val="871"/>
        <w:ind w:firstLine="480"/>
        <w:spacing w:line="560" w:lineRule="exact"/>
        <w:rPr>
          <w:rFonts w:hint="eastAsia"/>
          <w:b w:val="0"/>
          <w:bCs/>
          <w:color w:val="000000"/>
          <w:sz w:val="24"/>
          <w:highlight w:val="none"/>
          <w:u w:val="none"/>
        </w:rPr>
      </w:pPr>
      <w:r>
        <w:rPr>
          <w:rFonts w:hint="eastAsia"/>
          <w:b w:val="0"/>
          <w:bCs/>
          <w:color w:val="000000"/>
          <w:sz w:val="24"/>
          <w:highlight w:val="none"/>
          <w:u w:val="none"/>
        </w:rPr>
        <w:t xml:space="preserve">5、验收标准：</w:t>
      </w:r>
      <w:r>
        <w:rPr>
          <w:rFonts w:hint="eastAsia"/>
          <w:b w:val="0"/>
          <w:bCs/>
          <w:color w:val="000000"/>
          <w:sz w:val="24"/>
          <w:highlight w:val="none"/>
          <w:u w:val="none"/>
        </w:rPr>
      </w:r>
      <w:r/>
    </w:p>
    <w:p>
      <w:pPr>
        <w:pStyle w:val="871"/>
        <w:ind w:firstLine="480"/>
        <w:spacing w:line="560" w:lineRule="exact"/>
        <w:rPr>
          <w:rFonts w:hint="eastAsia"/>
          <w:b w:val="0"/>
          <w:bCs/>
          <w:color w:val="000000"/>
          <w:sz w:val="24"/>
          <w:highlight w:val="none"/>
          <w:u w:val="none"/>
        </w:rPr>
      </w:pPr>
      <w:r>
        <w:rPr>
          <w:rFonts w:hint="eastAsia"/>
          <w:b w:val="0"/>
          <w:bCs/>
          <w:color w:val="000000"/>
          <w:sz w:val="24"/>
          <w:highlight w:val="none"/>
          <w:u w:val="none"/>
        </w:rPr>
        <w:t xml:space="preserve">系统验收以设备清单、技术规格书及施工图纸为依据，应符合国家现行相关标准规定。扩声系统声学指标满足GB/T28049-2011《厅堂、体育场馆扩声系统设计规范》中多用途类扩声系统二级指标。</w:t>
      </w:r>
      <w:r>
        <w:rPr>
          <w:rFonts w:hint="eastAsia"/>
          <w:b w:val="0"/>
          <w:bCs/>
          <w:color w:val="000000"/>
          <w:sz w:val="24"/>
          <w:highlight w:val="none"/>
          <w:u w:val="none"/>
        </w:rPr>
      </w:r>
      <w:r/>
    </w:p>
    <w:p>
      <w:pPr>
        <w:pStyle w:val="871"/>
        <w:ind w:firstLine="480"/>
        <w:spacing w:line="560" w:lineRule="exact"/>
        <w:rPr>
          <w:rFonts w:hint="eastAsia"/>
          <w:b w:val="0"/>
          <w:bCs/>
          <w:color w:val="000000"/>
          <w:sz w:val="24"/>
          <w:highlight w:val="none"/>
          <w:u w:val="none"/>
        </w:rPr>
      </w:pPr>
      <w:r>
        <w:rPr>
          <w:rFonts w:hint="eastAsia"/>
          <w:b w:val="0"/>
          <w:bCs/>
          <w:color w:val="000000"/>
          <w:sz w:val="24"/>
          <w:highlight w:val="none"/>
          <w:u w:val="none"/>
        </w:rPr>
        <w:t xml:space="preserve">全部设备到货后，由建设单位对品牌、型号、数量逐项核对，确认与合同清单一致。设备安装位置、线缆敷设及端接工艺应符合深化设计要求。验收时施工单位应提交竣工图纸、设备合格证及保修资料、调试报告、操作培训记录等技术资料。资料不全或设备与清单不符的，不予验收。</w:t>
      </w:r>
      <w:r>
        <w:rPr>
          <w:rFonts w:hint="eastAsia"/>
          <w:b w:val="0"/>
          <w:bCs/>
          <w:color w:val="000000"/>
          <w:sz w:val="24"/>
          <w:highlight w:val="none"/>
          <w:u w:val="none"/>
        </w:rPr>
      </w:r>
      <w:r/>
    </w:p>
    <w:p>
      <w:pPr>
        <w:pStyle w:val="871"/>
        <w:ind w:firstLine="480"/>
        <w:spacing w:line="560" w:lineRule="exact"/>
        <w:rPr>
          <w:rFonts w:hint="eastAsia"/>
          <w:b w:val="0"/>
          <w:bCs/>
          <w:color w:val="000000"/>
          <w:sz w:val="24"/>
          <w:highlight w:val="none"/>
          <w:u w:val="none"/>
        </w:rPr>
      </w:pPr>
      <w:r>
        <w:rPr>
          <w:rFonts w:hint="eastAsia"/>
          <w:b w:val="0"/>
          <w:bCs/>
          <w:color w:val="000000"/>
          <w:sz w:val="24"/>
          <w:highlight w:val="none"/>
          <w:u w:val="none"/>
        </w:rPr>
        <w:t xml:space="preserve">验收合格的，双方签署验收报告；存在缺陷的，由施工单位限期整改后重新组织验收。因产品质量问题发生争议时，采购人请有权部门鉴定。货物符合质量技术标准的鉴定费由采购人承担，否则鉴定费由成交供应商承担，同时按合同违约处理（按规定设计要求标准验收），采购人有权退货并追索赔偿。</w:t>
      </w:r>
      <w:r>
        <w:rPr>
          <w:rFonts w:hint="eastAsia"/>
          <w:b w:val="0"/>
          <w:bCs/>
          <w:color w:val="000000"/>
          <w:sz w:val="24"/>
          <w:highlight w:val="none"/>
          <w:u w:val="none"/>
        </w:rPr>
      </w:r>
      <w:r/>
    </w:p>
    <w:p>
      <w:pPr>
        <w:pStyle w:val="871"/>
        <w:ind w:firstLine="480"/>
        <w:spacing w:line="560" w:lineRule="exact"/>
        <w:rPr>
          <w:rFonts w:hint="eastAsia"/>
          <w:b w:val="0"/>
          <w:bCs/>
          <w:color w:val="000000"/>
          <w:sz w:val="24"/>
          <w:highlight w:val="none"/>
          <w:u w:val="none"/>
          <w:lang w:val="en-US" w:eastAsia="zh-CN"/>
        </w:rPr>
      </w:pPr>
      <w:r>
        <w:rPr>
          <w:rFonts w:hint="eastAsia"/>
          <w:b w:val="0"/>
          <w:bCs/>
          <w:color w:val="000000"/>
          <w:sz w:val="24"/>
          <w:highlight w:val="none"/>
          <w:u w:val="none"/>
          <w:lang w:val="en-US" w:eastAsia="zh-CN"/>
        </w:rPr>
        <w:t xml:space="preserve">6、智慧校园功能要求</w:t>
      </w:r>
      <w:r>
        <w:rPr>
          <w:rFonts w:hint="eastAsia"/>
          <w:b w:val="0"/>
          <w:bCs/>
          <w:color w:val="000000"/>
          <w:sz w:val="24"/>
          <w:highlight w:val="none"/>
          <w:u w:val="none"/>
          <w:lang w:val="en-US" w:eastAsia="zh-CN"/>
        </w:rPr>
      </w:r>
      <w:r/>
    </w:p>
    <w:p>
      <w:pPr>
        <w:pStyle w:val="871"/>
        <w:ind w:firstLine="480"/>
        <w:spacing w:line="560" w:lineRule="exact"/>
        <w:rPr>
          <w:rFonts w:hint="eastAsia"/>
          <w:b w:val="0"/>
          <w:bCs/>
          <w:color w:val="000000"/>
          <w:sz w:val="24"/>
          <w:highlight w:val="none"/>
          <w:u w:val="none"/>
          <w:lang w:val="en-US" w:eastAsia="zh-CN"/>
        </w:rPr>
      </w:pPr>
      <w:r>
        <w:rPr>
          <w:rFonts w:hint="eastAsia"/>
          <w:b w:val="0"/>
          <w:bCs/>
          <w:color w:val="000000"/>
          <w:sz w:val="24"/>
          <w:highlight w:val="none"/>
          <w:u w:val="none"/>
          <w:lang w:val="en-US" w:eastAsia="zh-CN"/>
        </w:rPr>
        <w:t xml:space="preserve">海安实验中学智慧校园建设项目以 "统一平台、数据互通、智能服务、安全可控" 为建设原则，旨在通过信息化手段提升学校治理水平和教育教学质量。本项目采用云端部署模式，构建覆盖全校管理、教学、师生发展及家校互动的智慧校园一体化平台。项目建设内容包括八大核心板块：基础平台（统</w:t>
      </w:r>
      <w:r>
        <w:rPr>
          <w:rFonts w:hint="eastAsia"/>
          <w:b w:val="0"/>
          <w:bCs/>
          <w:color w:val="000000"/>
          <w:sz w:val="24"/>
          <w:highlight w:val="none"/>
          <w:u w:val="none"/>
          <w:lang w:val="en-US" w:eastAsia="zh-CN"/>
        </w:rPr>
        <w:t xml:space="preserve">一身份认证、门户、流程、集成、报表等）、校务办公（审批、公文、信息、会议、邮件等）、教务管理（排课、课表、选课、评教等）、师生发展（德育评价、个人画像等）、后勤总务（固定资产、消耗品管理等）、教育教学（课堂教学、备授课、精准讲评等）、家校互动（校讯、请假、德育、课表等），以及 AI 应用（AI 平台、AI 助手、AI 智能体、AI 客服等）。平台服务对象覆盖学校管理人员、教职工、学生及家长，支持 PC 端、移动端（微信公众号、钉钉、企业微信）及电子班牌等多终端访问。所有数据须存储于中国境内，满足网络安全等级</w:t>
      </w:r>
      <w:r>
        <w:rPr>
          <w:rFonts w:hint="eastAsia"/>
          <w:b w:val="0"/>
          <w:bCs/>
          <w:color w:val="000000"/>
          <w:sz w:val="24"/>
          <w:highlight w:val="none"/>
          <w:u w:val="none"/>
          <w:lang w:val="en-US" w:eastAsia="zh-CN"/>
        </w:rPr>
        <w:t xml:space="preserve">保护及相关数据安全合规要求。通过本项目建设，学校将实现管理流程数字化、教学服务精准化、师生成长可视化、家校沟通便捷化，全面提升学校信息化办学水平。投标人所提供的智慧校园AI 功能模块均须为正式上线可用功能，不得以演示版本、原型、PPT 方案或未集成到智慧校园系统的独立工具替代。项目质保期内 AI 功能正常运行所需的全部算力费用、模型调用费用、云服务费用及相关授权费用。投标方不得在中标后以模型升级、调用量增加、算力成本上涨等理由要求追加费用。智慧校园系统所使用的云平台须通过网络安全等级保护二级（或以上）测评。</w:t>
      </w:r>
      <w:r>
        <w:rPr>
          <w:rFonts w:hint="eastAsia"/>
          <w:b w:val="0"/>
          <w:bCs/>
          <w:color w:val="000000"/>
          <w:sz w:val="24"/>
          <w:highlight w:val="none"/>
          <w:u w:val="none"/>
          <w:lang w:val="en-US" w:eastAsia="zh-CN"/>
        </w:rPr>
      </w:r>
      <w:r/>
    </w:p>
    <w:p>
      <w:pPr>
        <w:pStyle w:val="871"/>
        <w:ind w:firstLine="480"/>
        <w:spacing w:line="560" w:lineRule="exact"/>
        <w:rPr>
          <w:rFonts w:hint="eastAsia"/>
          <w:b w:val="0"/>
          <w:bCs/>
          <w:color w:val="000000"/>
          <w:sz w:val="24"/>
          <w:highlight w:val="none"/>
          <w:u w:val="none"/>
          <w:lang w:val="en-US" w:eastAsia="zh-CN"/>
        </w:rPr>
      </w:pPr>
      <w:r>
        <w:rPr>
          <w:rFonts w:hint="eastAsia"/>
          <w:b w:val="0"/>
          <w:bCs/>
          <w:color w:val="000000"/>
          <w:sz w:val="24"/>
          <w:highlight w:val="none"/>
          <w:u w:val="none"/>
          <w:lang w:val="en-US" w:eastAsia="zh-CN"/>
        </w:rPr>
        <w:t xml:space="preserve">投标方须提供统一的 AI 大模型访问入口，并具备完整的使用日志记录、内容安全审计、敏感词过滤、权限管理及使用额度控制功能。学校管理员须能够在后台查询、统计、追溯每位用户的访问及使用情况。</w:t>
      </w:r>
      <w:r>
        <w:rPr>
          <w:rFonts w:hint="eastAsia"/>
          <w:b w:val="0"/>
          <w:bCs/>
          <w:color w:val="000000"/>
          <w:sz w:val="24"/>
          <w:highlight w:val="none"/>
          <w:u w:val="none"/>
          <w:lang w:val="en-US" w:eastAsia="zh-CN"/>
        </w:rPr>
      </w:r>
      <w:r/>
    </w:p>
    <w:p>
      <w:pPr>
        <w:pStyle w:val="871"/>
        <w:ind w:firstLine="480"/>
        <w:spacing w:line="560" w:lineRule="exact"/>
        <w:rPr>
          <w:rFonts w:hint="eastAsia"/>
          <w:b w:val="0"/>
          <w:bCs/>
          <w:color w:val="000000"/>
          <w:sz w:val="24"/>
          <w:highlight w:val="none"/>
          <w:u w:val="none"/>
          <w:lang w:val="en-US" w:eastAsia="zh-CN"/>
        </w:rPr>
      </w:pPr>
      <w:r>
        <w:rPr>
          <w:rFonts w:hint="eastAsia"/>
          <w:b w:val="0"/>
          <w:bCs/>
          <w:color w:val="000000"/>
          <w:sz w:val="24"/>
          <w:highlight w:val="none"/>
          <w:u w:val="none"/>
          <w:lang w:val="en-US" w:eastAsia="zh-CN"/>
        </w:rPr>
        <w:t xml:space="preserve">投标方提供的智慧校园移动端产品（包括但不限于独立APP、小程序、H5页面、微应用等形式）须适配国产操作系统终端，确保在鸿蒙（HarmonyOS）、麒麟（Kylin OS）等国产终端上能够正常运行。</w:t>
      </w:r>
      <w:r>
        <w:rPr>
          <w:rFonts w:hint="eastAsia"/>
          <w:b w:val="0"/>
          <w:bCs/>
          <w:color w:val="000000"/>
          <w:sz w:val="24"/>
          <w:highlight w:val="none"/>
          <w:u w:val="none"/>
          <w:lang w:val="en-US" w:eastAsia="zh-CN"/>
        </w:rPr>
      </w:r>
      <w:r/>
    </w:p>
    <w:p>
      <w:pPr>
        <w:pStyle w:val="871"/>
        <w:ind w:firstLine="480"/>
        <w:spacing w:line="560" w:lineRule="exact"/>
        <w:rPr>
          <w:rFonts w:hint="eastAsia"/>
          <w:b w:val="0"/>
          <w:bCs/>
          <w:color w:val="000000"/>
          <w:sz w:val="24"/>
          <w:highlight w:val="none"/>
          <w:u w:val="none"/>
          <w:lang w:val="en-US" w:eastAsia="zh-CN"/>
        </w:rPr>
      </w:pPr>
      <w:r>
        <w:rPr>
          <w:rFonts w:hint="eastAsia"/>
          <w:b w:val="0"/>
          <w:bCs/>
          <w:color w:val="000000"/>
          <w:sz w:val="24"/>
          <w:highlight w:val="none"/>
          <w:u w:val="none"/>
          <w:lang w:val="en-US" w:eastAsia="zh-CN"/>
        </w:rPr>
        <w:t xml:space="preserve">智慧校园平台需有统一身份认证平台，在第三方系统开放接口的前提学校现有门禁、考勤、电子班牌、监控、一卡通、广播、闸机等硬件设备需支持对接。</w:t>
      </w:r>
      <w:r>
        <w:rPr>
          <w:rFonts w:hint="eastAsia"/>
          <w:b w:val="0"/>
          <w:bCs/>
          <w:color w:val="000000"/>
          <w:sz w:val="24"/>
          <w:highlight w:val="none"/>
          <w:u w:val="none"/>
          <w:lang w:val="en-US" w:eastAsia="zh-CN"/>
        </w:rPr>
      </w:r>
      <w:r/>
    </w:p>
    <w:p>
      <w:pPr>
        <w:pStyle w:val="871"/>
        <w:ind w:firstLine="480"/>
        <w:spacing w:line="560" w:lineRule="exact"/>
        <w:rPr>
          <w:rFonts w:hint="eastAsia"/>
          <w:b w:val="0"/>
          <w:bCs/>
          <w:color w:val="000000"/>
          <w:sz w:val="24"/>
          <w:highlight w:val="none"/>
          <w:u w:val="none"/>
          <w:lang w:val="en-US" w:eastAsia="zh-CN"/>
        </w:rPr>
      </w:pPr>
      <w:r>
        <w:rPr>
          <w:rFonts w:hint="eastAsia"/>
          <w:b w:val="0"/>
          <w:bCs/>
          <w:color w:val="000000"/>
          <w:sz w:val="24"/>
          <w:highlight w:val="none"/>
          <w:u w:val="none"/>
          <w:lang w:val="en-US" w:eastAsia="zh-CN"/>
        </w:rPr>
        <w:t xml:space="preserve">智慧校园系统可分批次建设实施，但投标方须在签约后 10 个工作日内提交《分批次建设计划》，明确各批次建设内容、交付时间、整体项目完成时间。</w:t>
      </w:r>
      <w:r>
        <w:rPr>
          <w:rFonts w:hint="eastAsia"/>
          <w:b w:val="0"/>
          <w:bCs/>
          <w:color w:val="000000"/>
          <w:sz w:val="24"/>
          <w:highlight w:val="none"/>
          <w:u w:val="none"/>
          <w:lang w:val="en-US" w:eastAsia="zh-CN"/>
        </w:rPr>
      </w:r>
      <w:r/>
    </w:p>
    <w:p>
      <w:pPr>
        <w:pStyle w:val="871"/>
        <w:ind w:firstLine="480"/>
        <w:spacing w:line="560" w:lineRule="exact"/>
        <w:rPr>
          <w:rFonts w:hint="eastAsia"/>
          <w:b w:val="0"/>
          <w:bCs/>
          <w:color w:val="000000"/>
          <w:sz w:val="24"/>
          <w:highlight w:val="none"/>
          <w:u w:val="none"/>
          <w:lang w:val="en-US" w:eastAsia="zh-CN"/>
        </w:rPr>
      </w:pPr>
      <w:r>
        <w:rPr>
          <w:rFonts w:hint="eastAsia"/>
          <w:b w:val="0"/>
          <w:bCs/>
          <w:color w:val="000000"/>
          <w:sz w:val="24"/>
          <w:highlight w:val="none"/>
          <w:u w:val="none"/>
          <w:lang w:val="en-US" w:eastAsia="zh-CN"/>
        </w:rPr>
        <w:t xml:space="preserve">7、数据安全要求</w:t>
      </w:r>
      <w:r>
        <w:rPr>
          <w:rFonts w:hint="eastAsia"/>
          <w:b w:val="0"/>
          <w:bCs/>
          <w:color w:val="000000"/>
          <w:sz w:val="24"/>
          <w:highlight w:val="none"/>
          <w:u w:val="none"/>
          <w:lang w:val="en-US" w:eastAsia="zh-CN"/>
        </w:rPr>
      </w:r>
      <w:r/>
    </w:p>
    <w:p>
      <w:pPr>
        <w:pStyle w:val="871"/>
        <w:ind w:firstLine="480"/>
        <w:spacing w:line="560" w:lineRule="exact"/>
        <w:rPr>
          <w:rFonts w:hint="eastAsia"/>
          <w:b w:val="0"/>
          <w:bCs/>
          <w:color w:val="000000"/>
          <w:sz w:val="24"/>
          <w:highlight w:val="none"/>
          <w:u w:val="none"/>
          <w:lang w:val="en-US" w:eastAsia="zh-CN"/>
        </w:rPr>
      </w:pPr>
      <w:r>
        <w:rPr>
          <w:rFonts w:hint="eastAsia"/>
          <w:b w:val="0"/>
          <w:bCs/>
          <w:color w:val="000000"/>
          <w:sz w:val="24"/>
          <w:highlight w:val="none"/>
          <w:u w:val="none"/>
          <w:lang w:val="en-US" w:eastAsia="zh-CN"/>
        </w:rPr>
        <w:t xml:space="preserve">中标人在签合同前须与采购方签订《数据安全协议》和《保密协议》，作为本合同的不可分割附件，具有同等法律效力。</w:t>
      </w:r>
      <w:r>
        <w:rPr>
          <w:rFonts w:hint="eastAsia"/>
          <w:b w:val="0"/>
          <w:bCs/>
          <w:color w:val="000000"/>
          <w:sz w:val="24"/>
          <w:highlight w:val="none"/>
          <w:u w:val="none"/>
          <w:lang w:val="en-US" w:eastAsia="zh-CN"/>
        </w:rPr>
      </w:r>
      <w:r/>
    </w:p>
    <w:p>
      <w:pPr>
        <w:pStyle w:val="871"/>
        <w:ind w:firstLine="480"/>
        <w:spacing w:line="560" w:lineRule="exact"/>
        <w:rPr>
          <w:rFonts w:hint="eastAsia"/>
          <w:b w:val="0"/>
          <w:bCs/>
          <w:color w:val="000000"/>
          <w:sz w:val="24"/>
          <w:highlight w:val="none"/>
          <w:u w:val="none"/>
          <w:lang w:val="en-US" w:eastAsia="zh-CN"/>
        </w:rPr>
      </w:pPr>
      <w:r>
        <w:rPr>
          <w:rFonts w:hint="eastAsia"/>
          <w:b w:val="0"/>
          <w:bCs/>
          <w:color w:val="000000"/>
          <w:sz w:val="24"/>
          <w:highlight w:val="none"/>
          <w:u w:val="none"/>
          <w:lang w:val="en-US" w:eastAsia="zh-CN"/>
        </w:rPr>
        <w:t xml:space="preserve">本项目涉及的学生、教职工、校园运行等数据，均属采购方敏感数据。未经采购方书面授权，中标人不得将上述数据用于模型训练、产品优化、商业分析或向任何第三方提供、展示、传输。</w:t>
      </w:r>
      <w:r>
        <w:rPr>
          <w:rFonts w:hint="eastAsia"/>
          <w:b w:val="0"/>
          <w:bCs/>
          <w:color w:val="000000"/>
          <w:sz w:val="24"/>
          <w:highlight w:val="none"/>
          <w:u w:val="none"/>
          <w:lang w:val="en-US" w:eastAsia="zh-CN"/>
        </w:rPr>
      </w:r>
      <w:r/>
    </w:p>
    <w:p>
      <w:pPr>
        <w:pStyle w:val="871"/>
        <w:ind w:firstLine="480"/>
        <w:spacing w:line="560" w:lineRule="exact"/>
        <w:rPr>
          <w:rFonts w:hint="eastAsia"/>
          <w:b w:val="0"/>
          <w:bCs/>
          <w:color w:val="000000"/>
          <w:sz w:val="24"/>
          <w:highlight w:val="none"/>
          <w:u w:val="none"/>
          <w:lang w:val="en-US" w:eastAsia="zh-CN"/>
        </w:rPr>
      </w:pPr>
      <w:r>
        <w:rPr>
          <w:rFonts w:hint="eastAsia"/>
          <w:b w:val="0"/>
          <w:bCs/>
          <w:color w:val="000000"/>
          <w:sz w:val="24"/>
          <w:highlight w:val="none"/>
          <w:u w:val="none"/>
          <w:lang w:val="en-US" w:eastAsia="zh-CN"/>
        </w:rPr>
        <w:t xml:space="preserve">中标人提供的 AI 模型、算法服务若涉及第三方公有云 API、大模型接口的，须明确说明数据来源、调用路径、存储位置、回传机制，并确保符合国家相关法律法规要求。</w:t>
      </w:r>
      <w:r>
        <w:rPr>
          <w:rFonts w:hint="eastAsia"/>
          <w:b w:val="0"/>
          <w:bCs/>
          <w:color w:val="000000"/>
          <w:sz w:val="24"/>
          <w:highlight w:val="none"/>
          <w:u w:val="none"/>
          <w:lang w:val="en-US" w:eastAsia="zh-CN"/>
        </w:rPr>
      </w:r>
      <w:r/>
    </w:p>
    <w:p>
      <w:pPr>
        <w:pStyle w:val="871"/>
        <w:ind w:firstLine="480"/>
        <w:spacing w:line="560" w:lineRule="exact"/>
        <w:rPr>
          <w:rFonts w:hint="eastAsia"/>
          <w:b w:val="0"/>
          <w:bCs/>
          <w:color w:val="000000"/>
          <w:sz w:val="24"/>
          <w:highlight w:val="none"/>
          <w:u w:val="none"/>
          <w:lang w:val="en-US" w:eastAsia="zh-CN"/>
        </w:rPr>
      </w:pPr>
      <w:r>
        <w:rPr>
          <w:rFonts w:hint="eastAsia"/>
          <w:b w:val="0"/>
          <w:bCs/>
          <w:color w:val="000000"/>
          <w:sz w:val="24"/>
          <w:highlight w:val="none"/>
          <w:u w:val="none"/>
          <w:lang w:val="en-US" w:eastAsia="zh-CN"/>
        </w:rPr>
        <w:t xml:space="preserve">中标人应采取必要技术措施，确保数据在采集、传输、存储、处理、销毁全生命周期安全。</w:t>
      </w:r>
      <w:r>
        <w:rPr>
          <w:rFonts w:hint="eastAsia"/>
          <w:b w:val="0"/>
          <w:bCs/>
          <w:color w:val="000000"/>
          <w:sz w:val="24"/>
          <w:highlight w:val="none"/>
          <w:u w:val="none"/>
          <w:lang w:val="en-US" w:eastAsia="zh-CN"/>
        </w:rPr>
      </w:r>
      <w:r/>
    </w:p>
    <w:p>
      <w:pPr>
        <w:pStyle w:val="871"/>
        <w:ind w:firstLine="482"/>
        <w:spacing w:line="560" w:lineRule="exact"/>
        <w:rPr>
          <w:rFonts w:hint="eastAsia"/>
          <w:b/>
          <w:color w:val="000000"/>
          <w:sz w:val="24"/>
          <w:highlight w:val="none"/>
        </w:rPr>
      </w:pPr>
      <w:r>
        <w:rPr>
          <w:rFonts w:hint="eastAsia"/>
          <w:b/>
          <w:color w:val="000000"/>
          <w:sz w:val="24"/>
          <w:highlight w:val="none"/>
          <w:u w:val="single"/>
        </w:rPr>
        <w:t xml:space="preserve">四、采购需求中必须满足的实质性要求</w:t>
      </w:r>
      <w:r>
        <w:rPr>
          <w:rFonts w:hint="eastAsia"/>
          <w:b/>
          <w:color w:val="000000"/>
          <w:sz w:val="24"/>
          <w:highlight w:val="none"/>
        </w:rPr>
        <w:t xml:space="preserve">：</w:t>
      </w:r>
      <w:r>
        <w:rPr>
          <w:rFonts w:hint="eastAsia"/>
          <w:b/>
          <w:color w:val="000000"/>
          <w:sz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技术要求中加★号条款为实质性要求</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rPr>
        <w:t xml:space="preserve">培训覆盖本项目全部软硬件系统，应确保相关使用人员能熟练掌握对应系统操作。投标时应提供相关培训方案，验收时需提供经使用单位确认的培训单。</w:t>
      </w:r>
      <w:r>
        <w:rPr>
          <w:rFonts w:hint="eastAsia" w:ascii="Times New Roman" w:hAnsi="Times New Roman"/>
          <w:color w:val="000000"/>
          <w:sz w:val="24"/>
          <w:szCs w:val="24"/>
          <w:highlight w:val="none"/>
        </w:rPr>
      </w:r>
      <w:r/>
    </w:p>
    <w:p>
      <w:pPr>
        <w:pStyle w:val="871"/>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五、其他要求</w:t>
      </w:r>
      <w:r>
        <w:rPr>
          <w:rFonts w:hint="eastAsia" w:ascii="宋体" w:hAnsi="宋体"/>
          <w:b/>
          <w:bCs/>
          <w:color w:val="000000"/>
          <w:sz w:val="24"/>
          <w:szCs w:val="24"/>
          <w:highlight w:val="none"/>
        </w:rPr>
      </w:r>
      <w:r/>
    </w:p>
    <w:p>
      <w:pPr>
        <w:pStyle w:val="871"/>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1.项目属性：货物类项目。</w:t>
      </w:r>
      <w:r>
        <w:rPr>
          <w:rFonts w:hint="eastAsia" w:ascii="宋体" w:hAnsi="宋体"/>
          <w:bCs/>
          <w:color w:val="000000"/>
          <w:sz w:val="24"/>
          <w:szCs w:val="24"/>
          <w:highlight w:val="none"/>
        </w:rPr>
      </w:r>
      <w:r/>
    </w:p>
    <w:p>
      <w:pPr>
        <w:pStyle w:val="871"/>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2.核心产品：</w:t>
      </w:r>
      <w:r>
        <w:rPr>
          <w:rFonts w:hint="eastAsia" w:ascii="宋体" w:hAnsi="宋体"/>
          <w:bCs/>
          <w:color w:val="000000"/>
          <w:sz w:val="24"/>
          <w:szCs w:val="24"/>
          <w:highlight w:val="none"/>
        </w:rPr>
      </w:r>
      <w:r/>
    </w:p>
    <w:p>
      <w:pPr>
        <w:pStyle w:val="871"/>
        <w:ind w:firstLine="480"/>
        <w:spacing w:line="560" w:lineRule="exact"/>
        <w:rPr>
          <w:rFonts w:hint="eastAsia"/>
          <w:color w:val="000000"/>
          <w:sz w:val="24"/>
          <w:highlight w:val="none"/>
        </w:rPr>
      </w:pPr>
      <w:r>
        <w:rPr>
          <w:rFonts w:hint="eastAsia" w:ascii="Times New Roman" w:hAnsi="Times New Roman"/>
          <w:color w:val="000000"/>
          <w:sz w:val="24"/>
          <w:szCs w:val="24"/>
          <w:highlight w:val="none"/>
          <w:lang w:val="en-US" w:eastAsia="zh-CN"/>
        </w:rPr>
        <w:t xml:space="preserve">采购包一：</w:t>
      </w:r>
      <w:r>
        <w:rPr>
          <w:rFonts w:hint="eastAsia"/>
          <w:color w:val="000000"/>
          <w:sz w:val="24"/>
          <w:highlight w:val="none"/>
        </w:rPr>
        <w:t xml:space="preserve">LED显示屏</w:t>
      </w:r>
      <w:r>
        <w:rPr>
          <w:rFonts w:hint="eastAsia"/>
          <w:color w:val="000000"/>
          <w:sz w:val="24"/>
          <w:highlight w:val="none"/>
        </w:rPr>
      </w:r>
      <w:r/>
    </w:p>
    <w:p>
      <w:pPr>
        <w:pStyle w:val="871"/>
        <w:ind w:firstLine="480"/>
        <w:spacing w:line="560" w:lineRule="exact"/>
        <w:rPr>
          <w:rFonts w:hint="eastAsia" w:ascii="宋体" w:hAnsi="宋体"/>
          <w:bCs/>
          <w:color w:val="000000"/>
          <w:sz w:val="24"/>
          <w:szCs w:val="24"/>
          <w:highlight w:val="none"/>
        </w:rPr>
      </w:pPr>
      <w:r>
        <w:rPr>
          <w:rFonts w:hint="eastAsia"/>
          <w:color w:val="000000"/>
          <w:sz w:val="24"/>
          <w:highlight w:val="none"/>
          <w:lang w:val="en-US" w:eastAsia="zh-CN"/>
        </w:rPr>
        <w:t xml:space="preserve">采购包二：</w:t>
      </w:r>
      <w:r>
        <w:rPr>
          <w:rFonts w:hint="eastAsia" w:ascii="宋体" w:hAnsi="宋体"/>
          <w:bCs/>
          <w:color w:val="000000"/>
          <w:sz w:val="24"/>
          <w:szCs w:val="24"/>
          <w:highlight w:val="none"/>
        </w:rPr>
        <w:t xml:space="preserve">教学多媒体</w:t>
      </w:r>
      <w:r>
        <w:rPr>
          <w:rFonts w:hint="eastAsia" w:ascii="宋体" w:hAnsi="宋体"/>
          <w:bCs/>
          <w:color w:val="000000"/>
          <w:sz w:val="24"/>
          <w:szCs w:val="24"/>
          <w:highlight w:val="none"/>
          <w:lang w:val="en-US" w:eastAsia="zh-CN"/>
        </w:rPr>
        <w:t xml:space="preserve">设备、电子班牌</w:t>
      </w:r>
      <w:r>
        <w:rPr>
          <w:rFonts w:hint="eastAsia" w:ascii="宋体" w:hAnsi="宋体"/>
          <w:bCs/>
          <w:color w:val="000000"/>
          <w:sz w:val="24"/>
          <w:szCs w:val="24"/>
          <w:highlight w:val="none"/>
        </w:rPr>
      </w:r>
      <w:r/>
    </w:p>
    <w:p>
      <w:pPr>
        <w:pStyle w:val="871"/>
        <w:numPr>
          <w:ilvl w:val="0"/>
          <w:numId w:val="5"/>
        </w:numPr>
        <w:ind w:firstLine="480"/>
        <w:spacing w:line="560" w:lineRule="exact"/>
        <w:tabs>
          <w:tab w:val="left" w:pos="312"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主要标的：</w:t>
      </w:r>
      <w:r>
        <w:rPr>
          <w:rFonts w:hint="eastAsia" w:ascii="宋体" w:hAnsi="宋体"/>
          <w:bCs/>
          <w:color w:val="000000"/>
          <w:sz w:val="24"/>
          <w:szCs w:val="24"/>
          <w:highlight w:val="none"/>
        </w:rPr>
      </w:r>
      <w:r/>
    </w:p>
    <w:p>
      <w:pPr>
        <w:pStyle w:val="871"/>
        <w:numPr>
          <w:ilvl w:val="0"/>
          <w:numId w:val="0"/>
        </w:numPr>
        <w:ind w:firstLine="480"/>
        <w:spacing w:line="560" w:lineRule="exact"/>
        <w:rPr>
          <w:rFonts w:hint="eastAsia"/>
          <w:color w:val="000000"/>
          <w:sz w:val="24"/>
          <w:highlight w:val="none"/>
        </w:rPr>
      </w:pPr>
      <w:r>
        <w:rPr>
          <w:rFonts w:hint="eastAsia" w:ascii="Times New Roman" w:hAnsi="Times New Roman"/>
          <w:color w:val="000000"/>
          <w:sz w:val="24"/>
          <w:szCs w:val="24"/>
          <w:highlight w:val="none"/>
          <w:lang w:val="en-US" w:eastAsia="zh-CN"/>
        </w:rPr>
        <w:t xml:space="preserve">采购包一：</w:t>
      </w:r>
      <w:r>
        <w:rPr>
          <w:rFonts w:hint="eastAsia"/>
          <w:color w:val="000000"/>
          <w:sz w:val="24"/>
          <w:highlight w:val="none"/>
        </w:rPr>
        <w:t xml:space="preserve">LED显示屏</w:t>
      </w:r>
      <w:r>
        <w:rPr>
          <w:rFonts w:hint="eastAsia"/>
          <w:color w:val="000000"/>
          <w:sz w:val="24"/>
          <w:highlight w:val="none"/>
        </w:rPr>
      </w:r>
      <w:r/>
    </w:p>
    <w:p>
      <w:pPr>
        <w:pStyle w:val="871"/>
        <w:ind w:firstLine="480"/>
        <w:spacing w:line="560" w:lineRule="exact"/>
        <w:rPr>
          <w:rFonts w:hint="eastAsia" w:ascii="宋体" w:hAnsi="宋体"/>
          <w:bCs/>
          <w:color w:val="000000"/>
          <w:sz w:val="24"/>
          <w:szCs w:val="24"/>
          <w:highlight w:val="none"/>
        </w:rPr>
      </w:pPr>
      <w:r>
        <w:rPr>
          <w:rFonts w:hint="eastAsia"/>
          <w:color w:val="000000"/>
          <w:sz w:val="24"/>
          <w:highlight w:val="none"/>
          <w:lang w:val="en-US" w:eastAsia="zh-CN"/>
        </w:rPr>
        <w:t xml:space="preserve">采购包二：</w:t>
      </w:r>
      <w:r>
        <w:rPr>
          <w:rFonts w:hint="eastAsia" w:ascii="宋体" w:hAnsi="宋体"/>
          <w:bCs/>
          <w:color w:val="000000"/>
          <w:sz w:val="24"/>
          <w:szCs w:val="24"/>
          <w:highlight w:val="none"/>
        </w:rPr>
        <w:t xml:space="preserve">教学多媒体</w:t>
      </w:r>
      <w:r>
        <w:rPr>
          <w:rFonts w:hint="eastAsia" w:ascii="宋体" w:hAnsi="宋体"/>
          <w:bCs/>
          <w:color w:val="000000"/>
          <w:sz w:val="24"/>
          <w:szCs w:val="24"/>
          <w:highlight w:val="none"/>
          <w:lang w:val="en-US" w:eastAsia="zh-CN"/>
        </w:rPr>
        <w:t xml:space="preserve">设备、电子班牌</w:t>
      </w:r>
      <w:r>
        <w:rPr>
          <w:rFonts w:hint="eastAsia" w:ascii="宋体" w:hAnsi="宋体"/>
          <w:bCs/>
          <w:color w:val="000000"/>
          <w:sz w:val="24"/>
          <w:szCs w:val="24"/>
          <w:highlight w:val="none"/>
        </w:rPr>
      </w:r>
      <w:r/>
    </w:p>
    <w:p>
      <w:pPr>
        <w:pStyle w:val="871"/>
        <w:numPr>
          <w:ilvl w:val="0"/>
          <w:numId w:val="5"/>
        </w:numPr>
        <w:ind w:left="0" w:firstLine="480"/>
        <w:spacing w:line="560" w:lineRule="exact"/>
        <w:tabs>
          <w:tab w:val="left" w:pos="312"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进口产品投标：本项目不接受进口产品投标。如供应商使用进口产品投标，作无效投标处理。</w:t>
      </w:r>
      <w:r>
        <w:rPr>
          <w:rFonts w:hint="eastAsia" w:ascii="宋体" w:hAnsi="宋体"/>
          <w:bCs/>
          <w:color w:val="000000"/>
          <w:sz w:val="24"/>
          <w:szCs w:val="24"/>
          <w:highlight w:val="none"/>
        </w:rPr>
      </w:r>
      <w:r/>
    </w:p>
    <w:p>
      <w:pPr>
        <w:pStyle w:val="871"/>
        <w:numPr>
          <w:ilvl w:val="0"/>
          <w:numId w:val="0"/>
        </w:num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5.包装要求： </w:t>
      </w:r>
      <w:r>
        <w:rPr>
          <w:rFonts w:hint="eastAsia" w:ascii="宋体" w:hAnsi="宋体"/>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5.1</w:t>
      </w:r>
      <w:r>
        <w:rPr>
          <w:rFonts w:hint="eastAsia" w:ascii="Times New Roman" w:hAnsi="Times New Roman"/>
          <w:color w:val="000000"/>
          <w:sz w:val="24"/>
          <w:szCs w:val="24"/>
          <w:highlight w:val="none"/>
        </w:rPr>
        <w:t xml:space="preserve">商品包装环保要求：应当按《关于印发〈商品包装政府采购需求标准（试行）〉、〈快递包装政府采购需求标准（试行）〉的通知》（财办库〔2020〕123号）文件执行。</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（1）商品包装层数不得超过 3 层，空隙率不大于 40%；</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（2）商品包装尽可能使用单一材质的包装材料，如因功能需求必需使用不同材质，不同材质间应便于分离；</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（3）商品包装中铅、汞、镉、六价铬的总含量应不大于100mg/kg；</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（4）商品包装印刷使用的油墨中挥发性有机化合物(VOCs)含量应不大于 5%（以重量计）；</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（5）塑料材质商品包装上呈现的印刷颜色不得超过6色；</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（6）纸质商品包装应使用75%以上的可再生纤维原料生产；</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（7）木质商品包装的原料应来源于可持续性森林。</w:t>
      </w:r>
      <w:r>
        <w:rPr>
          <w:rFonts w:hint="eastAsia" w:ascii="Times New Roman" w:hAnsi="Times New Roman"/>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5.2快递包装环保要求：</w:t>
      </w:r>
      <w:r>
        <w:rPr>
          <w:rFonts w:hint="eastAsia" w:ascii="宋体" w:hAnsi="宋体"/>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（1）快递包装中重金属（铅、汞、镉、六价铬）总量应不大于 100mg/kg；</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（2）快递包装印刷使用的油墨中不应添加邻苯二甲酸酯，其挥发性有机化合物(VOCs)含量应不大于5%（以重量计）；</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（3）快递包装中使用纸基材的包装材料，纸基材中的有机氯的含量应不大于 150 mg/kg；</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（5）快递中使用的塑料包装袋不得使用聚氯乙烯作为原料，且原料应为单一材质制成，生物分解率大于60%；</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（6）快递中使用的充气类填充物不得使用聚氯乙烯作为 原料，且原料为单一材质制成，生物分解率大于60%；</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（7）快递中使用的集装袋应为单一材质制成，其重复使用次数应不小于 80 次；</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（8）快递中应使用幅宽不大于45mm 的生物降解胶带；</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（9）快递包装中不得使用溶剂型胶粘剂；</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（11）快递应使用电子面单；</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（12）直接使用商品包装作为快递包装的商品，其商品包装满足《商品包装政府采购需求标准（试行）》即可；</w:t>
      </w:r>
      <w:r>
        <w:rPr>
          <w:rFonts w:hint="eastAsia" w:ascii="Times New Roman" w:hAnsi="Times New Roman"/>
          <w:color w:val="000000"/>
          <w:sz w:val="24"/>
          <w:szCs w:val="24"/>
          <w:highlight w:val="none"/>
        </w:rPr>
      </w:r>
      <w:r/>
    </w:p>
    <w:p>
      <w:pPr>
        <w:pStyle w:val="871"/>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（13）快递包装产品质量和封装方式应符合相关国家或行业标准技术指标要求。</w:t>
      </w:r>
      <w:r>
        <w:rPr>
          <w:rFonts w:hint="eastAsia" w:ascii="Times New Roman" w:hAnsi="Times New Roman"/>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6.绿色数据中心</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9.绿色低碳管理目标和服务要求：在物业、合同能源管理等服务类采购项目需求中，要强化绿色低碳管理目标和服务要求，促进绿色产品和服务推广应用。</w:t>
      </w:r>
      <w:r>
        <w:rPr>
          <w:rFonts w:hint="eastAsia" w:ascii="宋体" w:hAnsi="宋体"/>
          <w:color w:val="000000"/>
          <w:sz w:val="24"/>
          <w:szCs w:val="24"/>
          <w:highlight w:val="none"/>
        </w:rPr>
      </w:r>
      <w:r/>
    </w:p>
    <w:p>
      <w:pPr>
        <w:pStyle w:val="871"/>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六、付款方式</w:t>
      </w:r>
      <w:r>
        <w:rPr>
          <w:rFonts w:hint="eastAsia" w:ascii="宋体" w:hAnsi="宋体"/>
          <w:b/>
          <w:color w:val="000000"/>
          <w:sz w:val="24"/>
          <w:szCs w:val="24"/>
          <w:highlight w:val="none"/>
        </w:rPr>
      </w:r>
      <w:r/>
    </w:p>
    <w:p>
      <w:pPr>
        <w:pStyle w:val="871"/>
        <w:ind w:firstLine="480"/>
        <w:spacing w:line="560" w:lineRule="exact"/>
        <w:rPr>
          <w:rFonts w:hint="eastAsia" w:ascii="宋体" w:hAnsi="宋体"/>
          <w:color w:val="ff0000"/>
          <w:sz w:val="24"/>
          <w:lang w:val="en-US" w:eastAsia="zh-CN"/>
        </w:rPr>
      </w:pPr>
      <w:r>
        <w:rPr>
          <w:rFonts w:hint="eastAsia" w:ascii="宋体" w:hAnsi="宋体"/>
          <w:color w:val="ff0000"/>
          <w:sz w:val="24"/>
        </w:rPr>
        <w:t xml:space="preserve">签订合同 15 日内，预付合同价的30%</w:t>
      </w:r>
      <w:r>
        <w:rPr>
          <w:rFonts w:hint="eastAsia"/>
          <w:b w:val="0"/>
          <w:bCs/>
          <w:color w:val="ff0000"/>
          <w:sz w:val="24"/>
          <w:u w:val="none"/>
          <w:lang w:val="en-US" w:eastAsia="zh-CN"/>
        </w:rPr>
        <w:t xml:space="preserve">待货物和服务到位验收合格后在30个工作日内付清</w:t>
      </w:r>
      <w:r>
        <w:rPr>
          <w:rFonts w:hint="eastAsia" w:ascii="宋体" w:hAnsi="宋体"/>
          <w:color w:val="ff0000"/>
          <w:sz w:val="24"/>
          <w:szCs w:val="24"/>
        </w:rPr>
        <w:t xml:space="preserve">所有款项</w:t>
      </w:r>
      <w:r>
        <w:rPr>
          <w:rFonts w:hint="eastAsia" w:ascii="宋体" w:hAnsi="宋体"/>
          <w:color w:val="ff0000"/>
          <w:sz w:val="24"/>
          <w:lang w:val="en-US" w:eastAsia="zh-CN"/>
        </w:rPr>
        <w:t xml:space="preserve">。</w:t>
      </w:r>
      <w:r>
        <w:rPr>
          <w:rFonts w:hint="eastAsia" w:ascii="宋体" w:hAnsi="宋体"/>
          <w:color w:val="ff0000"/>
          <w:sz w:val="24"/>
          <w:lang w:val="en-US" w:eastAsia="zh-CN"/>
        </w:rPr>
      </w:r>
      <w:r/>
    </w:p>
    <w:p>
      <w:pPr>
        <w:pStyle w:val="871"/>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七、履约保证金：</w:t>
      </w:r>
      <w:r>
        <w:rPr>
          <w:rFonts w:hint="eastAsia" w:ascii="宋体" w:hAnsi="宋体"/>
          <w:b/>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本项目免收履约保证金。</w:t>
      </w:r>
      <w:r>
        <w:rPr>
          <w:rFonts w:hint="eastAsia" w:ascii="宋体" w:hAnsi="宋体"/>
          <w:color w:val="000000"/>
          <w:sz w:val="24"/>
          <w:szCs w:val="24"/>
          <w:highlight w:val="none"/>
        </w:rPr>
      </w:r>
      <w:r/>
    </w:p>
    <w:p>
      <w:pPr>
        <w:pStyle w:val="871"/>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八、合同条款（详见附件）</w:t>
      </w:r>
      <w:r>
        <w:rPr>
          <w:rFonts w:hint="eastAsia" w:ascii="宋体" w:hAnsi="宋体"/>
          <w:b/>
          <w:color w:val="000000"/>
          <w:sz w:val="24"/>
          <w:szCs w:val="24"/>
          <w:highlight w:val="none"/>
        </w:rPr>
      </w:r>
      <w:r/>
    </w:p>
    <w:p>
      <w:pPr>
        <w:pStyle w:val="871"/>
        <w:ind w:firstLine="482"/>
        <w:spacing w:line="560" w:lineRule="exact"/>
        <w:rPr>
          <w:rFonts w:hint="eastAsia"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九、演示要求</w:t>
      </w:r>
      <w:r>
        <w:rPr>
          <w:rFonts w:hint="eastAsia" w:ascii="Times New Roman" w:hAnsi="Times New Roman"/>
          <w:b/>
          <w:color w:val="000000"/>
          <w:sz w:val="24"/>
          <w:szCs w:val="24"/>
          <w:highlight w:val="none"/>
        </w:rPr>
      </w:r>
      <w:r/>
    </w:p>
    <w:p>
      <w:pPr>
        <w:pStyle w:val="871"/>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上传视频演示</w:t>
      </w:r>
      <w:r>
        <w:rPr>
          <w:rFonts w:hint="eastAsia" w:ascii="宋体" w:hAnsi="宋体" w:eastAsia="宋体" w:cs="Times New Roman"/>
          <w:color w:val="000000"/>
          <w:sz w:val="24"/>
          <w:szCs w:val="24"/>
          <w:highlight w:val="none"/>
        </w:rPr>
      </w:r>
      <w:r/>
    </w:p>
    <w:p>
      <w:pPr>
        <w:pStyle w:val="871"/>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备注：如项目经办人需对演示时间进行调整，请与科长及分管主任商定。确定后该备注删除）。</w:t>
      </w:r>
      <w:r>
        <w:rPr>
          <w:rFonts w:hint="eastAsia" w:ascii="宋体" w:hAnsi="宋体" w:eastAsia="宋体" w:cs="Times New Roman"/>
          <w:color w:val="000000"/>
          <w:sz w:val="24"/>
          <w:szCs w:val="24"/>
          <w:highlight w:val="none"/>
        </w:rPr>
      </w:r>
      <w:r/>
    </w:p>
    <w:p>
      <w:pPr>
        <w:pStyle w:val="871"/>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（2）演示内容如下：</w:t>
      </w:r>
      <w:r>
        <w:rPr>
          <w:rFonts w:hint="eastAsia" w:ascii="宋体" w:hAnsi="宋体" w:eastAsia="宋体" w:cs="Times New Roman"/>
          <w:color w:val="000000"/>
          <w:sz w:val="24"/>
          <w:szCs w:val="24"/>
          <w:highlight w:val="none"/>
        </w:rPr>
      </w:r>
      <w:r/>
    </w:p>
    <w:p>
      <w:pPr>
        <w:pStyle w:val="871"/>
        <w:ind w:firstLine="480"/>
        <w:spacing w:line="560" w:lineRule="exact"/>
        <w:rPr>
          <w:rFonts w:hint="eastAsia" w:ascii="宋体" w:hAnsi="宋体" w:eastAsia="宋体" w:cs="Times New Roman"/>
          <w:color w:val="000000"/>
          <w:sz w:val="24"/>
          <w:szCs w:val="24"/>
          <w:highlight w:val="none"/>
          <w:lang w:val="en-US" w:eastAsia="zh-CN"/>
        </w:rPr>
      </w:pPr>
      <w:r/>
      <w:bookmarkStart w:id="179" w:name="_Toc120614281"/>
      <w:r>
        <w:rPr>
          <w:rFonts w:hint="eastAsia" w:ascii="宋体" w:hAnsi="宋体" w:eastAsia="宋体" w:cs="Times New Roman"/>
          <w:color w:val="000000"/>
          <w:sz w:val="24"/>
          <w:szCs w:val="24"/>
          <w:highlight w:val="none"/>
          <w:lang w:val="en-US" w:eastAsia="zh-CN"/>
        </w:rPr>
        <w:t xml:space="preserve">采购包二：</w:t>
      </w:r>
      <w:r>
        <w:rPr>
          <w:rFonts w:hint="eastAsia" w:ascii="宋体" w:hAnsi="宋体" w:eastAsia="宋体" w:cs="Times New Roman"/>
          <w:color w:val="000000"/>
          <w:sz w:val="24"/>
          <w:szCs w:val="24"/>
          <w:highlight w:val="none"/>
          <w:lang w:val="en-US" w:eastAsia="zh-CN"/>
        </w:rPr>
      </w:r>
      <w:r/>
    </w:p>
    <w:p>
      <w:pPr>
        <w:pStyle w:val="871"/>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1、智慧校园系统演示AI助手快捷进行业务操作：①AI 助手发起调代课快捷指令；②语音 / 文字输入完成德育评分；③演示AI助手问数的能力，可以根据权限问各个业务数据，例如教师考试的题量及考试次数，食堂消费最低的学生等。</w:t>
      </w:r>
      <w:r>
        <w:rPr>
          <w:rFonts w:hint="eastAsia" w:ascii="宋体" w:hAnsi="宋体" w:eastAsia="宋体" w:cs="Times New Roman"/>
          <w:color w:val="000000"/>
          <w:sz w:val="24"/>
          <w:szCs w:val="24"/>
          <w:highlight w:val="none"/>
        </w:rPr>
      </w:r>
      <w:r/>
    </w:p>
    <w:p>
      <w:pPr>
        <w:pStyle w:val="871"/>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智慧校园系统演示零代码搭建业务系统：①演示零代码搭建的业务应用可以进行分级授权，可授权教师看自己的记录，年级组长看本年级的记录，校长看全校的数据。②演示应用搭建的过程中可进行表单内容、列表、查询、按钮、移动端、提醒方案的全维度应用方案自定义能力。③演示应用的聚合组装与发布，通过平台菜单自定义搭建应用菜单，组装出适合教师使用及适合管理者使用的菜单应用。</w:t>
      </w:r>
      <w:r>
        <w:rPr>
          <w:rFonts w:hint="eastAsia" w:ascii="宋体" w:hAnsi="宋体" w:eastAsia="宋体" w:cs="Times New Roman"/>
          <w:color w:val="000000"/>
          <w:sz w:val="24"/>
          <w:szCs w:val="24"/>
          <w:highlight w:val="none"/>
        </w:rPr>
      </w:r>
      <w:r/>
    </w:p>
    <w:p>
      <w:pPr>
        <w:pStyle w:val="871"/>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智慧黑板演示智慧黑板教学工具：①演示教学软件智能生成课件功能：基于已明确的教学大纲，生成完整的教学课件；支持智能扩展单页课件，允许手动输入描述和根据上下文智能推荐内容；支持对大纲节点进行编辑并同步生成更新课件。②演示整机支持在无任何外部设备的情况下，实时录制用户朗读内容，识别用户声纹并进行统一身份登录，登录后自动获取个人云端教学课件列表，打开教学白板软件时可跳过软件自带登录步骤。③演示整机Windows通道支持文件传输应用，支持通过扫码、wifi直连、超声三种方式与手机进行握手连接，实现文件传输功能。</w:t>
      </w:r>
      <w:r>
        <w:rPr>
          <w:rFonts w:hint="eastAsia" w:ascii="宋体" w:hAnsi="宋体" w:eastAsia="宋体" w:cs="Times New Roman"/>
          <w:color w:val="000000"/>
          <w:sz w:val="24"/>
          <w:szCs w:val="24"/>
          <w:highlight w:val="none"/>
        </w:rPr>
      </w:r>
      <w:r/>
    </w:p>
    <w:p>
      <w:pPr>
        <w:pStyle w:val="871"/>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电子班牌系统演示：①演示班牌后台公告发布支持家长提交回执设置，打开需要家长回执开关后，微信公众号会实时通知家长公告消息，老师可以在小程序实时查看家长提交回执明细。②演示班牌考场模式：班牌显示在进入考试时间段前自动切换至考试预告模式；到达考试时间自动切换至考试模式，展示考场号、场地、考试时间段、科目等信息，考场模式下，学生无法操控班牌，需进行二维码扫描身份验证后才可进行操作。</w:t>
      </w:r>
      <w:r>
        <w:rPr>
          <w:rFonts w:hint="eastAsia" w:ascii="宋体" w:hAnsi="宋体" w:eastAsia="宋体" w:cs="Times New Roman"/>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spacing w:line="560" w:lineRule="exact"/>
        <w:rPr>
          <w:rFonts w:hint="eastAsia"/>
          <w:color w:val="000000"/>
          <w:highlight w:val="none"/>
        </w:rPr>
      </w:pPr>
      <w:r>
        <w:rPr>
          <w:rFonts w:hint="eastAsia"/>
          <w:color w:val="000000"/>
          <w:highlight w:val="none"/>
        </w:rPr>
      </w:r>
      <w:r/>
    </w:p>
    <w:p>
      <w:pPr>
        <w:pStyle w:val="871"/>
        <w:spacing w:line="560" w:lineRule="exact"/>
        <w:rPr>
          <w:rFonts w:hint="eastAsia"/>
          <w:color w:val="000000"/>
          <w:highlight w:val="none"/>
        </w:rPr>
      </w:pPr>
      <w:r>
        <w:rPr>
          <w:rFonts w:hint="eastAsia"/>
          <w:color w:val="000000"/>
          <w:highlight w:val="none"/>
        </w:rPr>
      </w:r>
      <w:r/>
    </w:p>
    <w:p>
      <w:pPr>
        <w:pStyle w:val="871"/>
        <w:spacing w:line="560" w:lineRule="exact"/>
        <w:rPr>
          <w:rFonts w:hint="eastAsia"/>
          <w:color w:val="000000"/>
          <w:highlight w:val="none"/>
        </w:rPr>
      </w:pPr>
      <w:r>
        <w:rPr>
          <w:rFonts w:hint="eastAsia"/>
          <w:color w:val="000000"/>
          <w:highlight w:val="none"/>
        </w:rPr>
      </w:r>
      <w:r/>
    </w:p>
    <w:p>
      <w:pPr>
        <w:pStyle w:val="871"/>
        <w:spacing w:line="560" w:lineRule="exact"/>
        <w:rPr>
          <w:rFonts w:hint="eastAsia"/>
          <w:color w:val="000000"/>
          <w:highlight w:val="none"/>
        </w:rPr>
      </w:pPr>
      <w:r>
        <w:rPr>
          <w:rFonts w:hint="eastAsia"/>
          <w:color w:val="000000"/>
          <w:highlight w:val="none"/>
        </w:rPr>
      </w:r>
      <w:r/>
    </w:p>
    <w:p>
      <w:pPr>
        <w:pStyle w:val="871"/>
        <w:spacing w:line="560" w:lineRule="exact"/>
        <w:rPr>
          <w:rFonts w:hint="eastAsia"/>
          <w:color w:val="000000"/>
          <w:highlight w:val="none"/>
        </w:rPr>
      </w:pPr>
      <w:r>
        <w:rPr>
          <w:rFonts w:hint="eastAsia"/>
          <w:color w:val="000000"/>
          <w:highlight w:val="none"/>
        </w:rPr>
      </w:r>
      <w:r/>
    </w:p>
    <w:p>
      <w:pPr>
        <w:pStyle w:val="871"/>
        <w:spacing w:line="560" w:lineRule="exact"/>
        <w:rPr>
          <w:rFonts w:hint="eastAsia"/>
          <w:color w:val="000000"/>
          <w:highlight w:val="none"/>
        </w:rPr>
      </w:pPr>
      <w:r>
        <w:rPr>
          <w:rFonts w:hint="eastAsia"/>
          <w:color w:val="000000"/>
          <w:highlight w:val="none"/>
        </w:rPr>
      </w:r>
      <w:r/>
    </w:p>
    <w:p>
      <w:pPr>
        <w:pStyle w:val="871"/>
        <w:spacing w:line="560" w:lineRule="exact"/>
        <w:rPr>
          <w:rFonts w:hint="eastAsia"/>
          <w:color w:val="000000"/>
          <w:highlight w:val="none"/>
        </w:rPr>
      </w:pPr>
      <w:r>
        <w:rPr>
          <w:rFonts w:hint="eastAsia"/>
          <w:color w:val="000000"/>
          <w:highlight w:val="none"/>
        </w:rPr>
      </w:r>
      <w:r/>
    </w:p>
    <w:p>
      <w:pPr>
        <w:pStyle w:val="871"/>
        <w:spacing w:line="560" w:lineRule="exact"/>
        <w:rPr>
          <w:rFonts w:hint="eastAsia"/>
          <w:color w:val="000000"/>
          <w:highlight w:val="none"/>
        </w:rPr>
      </w:pPr>
      <w:r>
        <w:rPr>
          <w:rFonts w:hint="eastAsia"/>
          <w:color w:val="000000"/>
          <w:highlight w:val="none"/>
        </w:rPr>
      </w:r>
      <w:r/>
    </w:p>
    <w:p>
      <w:pPr>
        <w:pStyle w:val="871"/>
        <w:spacing w:line="560" w:lineRule="exact"/>
        <w:rPr>
          <w:rFonts w:hint="eastAsia"/>
          <w:color w:val="000000"/>
          <w:highlight w:val="none"/>
        </w:rPr>
      </w:pPr>
      <w:r>
        <w:rPr>
          <w:rFonts w:hint="eastAsia"/>
          <w:color w:val="000000"/>
          <w:highlight w:val="none"/>
        </w:rPr>
      </w:r>
      <w:r/>
    </w:p>
    <w:p>
      <w:pPr>
        <w:pStyle w:val="871"/>
        <w:spacing w:line="560" w:lineRule="exact"/>
        <w:rPr>
          <w:rFonts w:hint="eastAsia"/>
          <w:color w:val="000000"/>
          <w:highlight w:val="none"/>
        </w:rPr>
      </w:pPr>
      <w:r>
        <w:rPr>
          <w:rFonts w:hint="eastAsia"/>
          <w:color w:val="000000"/>
          <w:highlight w:val="none"/>
        </w:rPr>
      </w:r>
      <w:r/>
    </w:p>
    <w:p>
      <w:pPr>
        <w:pStyle w:val="871"/>
        <w:jc w:val="center"/>
        <w:spacing w:line="560" w:lineRule="exact"/>
        <w:rPr>
          <w:rFonts w:hint="eastAsia" w:ascii="Times New Roman" w:hAnsi="Times New Roman"/>
          <w:color w:val="000000"/>
          <w:szCs w:val="21"/>
          <w:highlight w:val="none"/>
        </w:rPr>
      </w:pPr>
      <w:r>
        <w:rPr>
          <w:rFonts w:hint="eastAsia" w:ascii="黑体" w:hAnsi="Times New Roman" w:eastAsia="黑体"/>
          <w:bCs/>
          <w:color w:val="000000"/>
          <w:sz w:val="44"/>
          <w:szCs w:val="28"/>
          <w:highlight w:val="none"/>
        </w:rPr>
        <w:t xml:space="preserve">第四章  </w:t>
      </w:r>
      <w:r>
        <w:rPr>
          <w:rFonts w:hint="eastAsia" w:ascii="黑体" w:hAnsi="Times New Roman" w:eastAsia="黑体"/>
          <w:b/>
          <w:bCs/>
          <w:color w:val="000000"/>
          <w:sz w:val="44"/>
          <w:szCs w:val="28"/>
          <w:highlight w:val="none"/>
        </w:rPr>
        <w:t xml:space="preserve">评标方法与评标标准</w:t>
      </w:r>
      <w:r>
        <w:rPr>
          <w:rFonts w:hint="eastAsia" w:ascii="Times New Roman" w:hAnsi="Times New Roman"/>
          <w:color w:val="000000"/>
          <w:szCs w:val="21"/>
          <w:highlight w:val="none"/>
        </w:rPr>
      </w:r>
      <w:r/>
    </w:p>
    <w:p>
      <w:pPr>
        <w:pStyle w:val="871"/>
        <w:ind w:firstLine="439"/>
        <w:jc w:val="left"/>
        <w:spacing w:line="560" w:lineRule="exact"/>
        <w:rPr>
          <w:rFonts w:hint="eastAsia" w:ascii="Arial" w:hAnsi="Arial" w:cs="Arial"/>
          <w:color w:val="000000"/>
          <w:sz w:val="24"/>
          <w:szCs w:val="24"/>
          <w:highlight w:val="none"/>
        </w:rPr>
      </w:pPr>
      <w:r>
        <w:rPr>
          <w:rFonts w:ascii="Arial" w:hAnsi="Arial" w:cs="Arial"/>
          <w:color w:val="000000"/>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Arial" w:hAnsi="Arial" w:cs="Arial"/>
          <w:color w:val="000000"/>
          <w:sz w:val="24"/>
          <w:szCs w:val="24"/>
          <w:highlight w:val="none"/>
        </w:rPr>
        <w:t xml:space="preserve">排名第一的中标候选人。</w:t>
      </w:r>
      <w:r>
        <w:rPr>
          <w:rFonts w:hint="eastAsia" w:ascii="Arial" w:hAnsi="Arial" w:cs="Arial"/>
          <w:color w:val="000000"/>
          <w:sz w:val="24"/>
          <w:szCs w:val="24"/>
          <w:highlight w:val="none"/>
        </w:rPr>
      </w:r>
      <w:r/>
    </w:p>
    <w:p>
      <w:pPr>
        <w:pStyle w:val="871"/>
        <w:ind w:firstLine="439"/>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rPr>
        <w:t xml:space="preserve">评委在认真审阅投标文件的基础上，根据各投标文件的响应程度独立评判，不得统一打分。</w:t>
      </w:r>
      <w:r>
        <w:rPr>
          <w:rFonts w:hint="eastAsia" w:ascii="Arial" w:hAnsi="Arial" w:cs="Arial"/>
          <w:color w:val="000000"/>
          <w:sz w:val="24"/>
          <w:szCs w:val="24"/>
          <w:highlight w:val="none"/>
        </w:rPr>
      </w:r>
      <w:r/>
    </w:p>
    <w:p>
      <w:pPr>
        <w:pStyle w:val="871"/>
        <w:ind w:firstLine="441"/>
        <w:jc w:val="left"/>
        <w:spacing w:line="560" w:lineRule="exact"/>
        <w:rPr>
          <w:rFonts w:hint="eastAsia" w:ascii="Arial" w:hAnsi="Arial" w:cs="Arial"/>
          <w:b/>
          <w:color w:val="000000"/>
          <w:sz w:val="24"/>
          <w:szCs w:val="24"/>
          <w:highlight w:val="none"/>
        </w:rPr>
      </w:pPr>
      <w:r>
        <w:rPr>
          <w:rFonts w:hint="eastAsia" w:ascii="Arial" w:hAnsi="Arial" w:cs="Arial"/>
          <w:b/>
          <w:color w:val="000000"/>
          <w:sz w:val="24"/>
          <w:szCs w:val="24"/>
          <w:highlight w:val="none"/>
        </w:rPr>
        <w:t xml:space="preserve">（一）采购人（代表）对投标人资格进行审查。</w:t>
      </w:r>
      <w:r>
        <w:rPr>
          <w:rFonts w:hint="eastAsia" w:ascii="Arial" w:hAnsi="Arial" w:cs="Arial"/>
          <w:b/>
          <w:color w:val="000000"/>
          <w:sz w:val="24"/>
          <w:szCs w:val="24"/>
          <w:highlight w:val="none"/>
        </w:rPr>
      </w:r>
      <w:r/>
    </w:p>
    <w:p>
      <w:pPr>
        <w:pStyle w:val="871"/>
        <w:ind w:firstLine="439"/>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rPr>
        <w:t xml:space="preserve">投标人资格不合格的，其投标文件判定为无效投标文件。</w:t>
      </w:r>
      <w:r>
        <w:rPr>
          <w:rFonts w:hint="eastAsia" w:ascii="Arial" w:hAnsi="Arial" w:cs="Arial"/>
          <w:color w:val="000000"/>
          <w:sz w:val="24"/>
          <w:szCs w:val="24"/>
          <w:highlight w:val="none"/>
        </w:rPr>
      </w:r>
      <w:r/>
    </w:p>
    <w:p>
      <w:pPr>
        <w:pStyle w:val="871"/>
        <w:ind w:firstLine="441"/>
        <w:jc w:val="left"/>
        <w:spacing w:line="560" w:lineRule="exact"/>
        <w:rPr>
          <w:rFonts w:hint="eastAsia" w:ascii="Arial" w:hAnsi="Arial" w:cs="Arial"/>
          <w:b/>
          <w:color w:val="000000"/>
          <w:sz w:val="24"/>
          <w:szCs w:val="24"/>
          <w:highlight w:val="none"/>
        </w:rPr>
      </w:pPr>
      <w:r>
        <w:rPr>
          <w:rFonts w:hint="eastAsia" w:ascii="Arial" w:hAnsi="Arial" w:cs="Arial"/>
          <w:b/>
          <w:color w:val="000000"/>
          <w:sz w:val="24"/>
          <w:szCs w:val="24"/>
          <w:highlight w:val="none"/>
        </w:rPr>
        <w:t xml:space="preserve">（二）评标委员会对符合资格投标人的投标文件进行符合性审查。</w:t>
      </w:r>
      <w:r>
        <w:rPr>
          <w:rFonts w:hint="eastAsia" w:ascii="Arial" w:hAnsi="Arial" w:cs="Arial"/>
          <w:b/>
          <w:color w:val="000000"/>
          <w:sz w:val="24"/>
          <w:szCs w:val="24"/>
          <w:highlight w:val="none"/>
        </w:rPr>
      </w:r>
      <w:r/>
    </w:p>
    <w:p>
      <w:pPr>
        <w:pStyle w:val="871"/>
        <w:ind w:firstLine="439"/>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rPr>
        <w:t xml:space="preserve">未通过符合性审查的投标文件，将被判为不满足招标文件实质性要求。 </w:t>
      </w:r>
      <w:r>
        <w:rPr>
          <w:rFonts w:hint="eastAsia" w:ascii="Arial" w:hAnsi="Arial" w:cs="Arial"/>
          <w:color w:val="000000"/>
          <w:sz w:val="24"/>
          <w:szCs w:val="24"/>
          <w:highlight w:val="none"/>
        </w:rPr>
      </w:r>
      <w:r/>
    </w:p>
    <w:p>
      <w:pPr>
        <w:pStyle w:val="871"/>
        <w:ind w:firstLine="441"/>
        <w:jc w:val="left"/>
        <w:spacing w:line="560" w:lineRule="exact"/>
        <w:rPr>
          <w:rFonts w:hint="eastAsia" w:ascii="Arial" w:hAnsi="Arial" w:cs="Arial"/>
          <w:b/>
          <w:color w:val="000000"/>
          <w:sz w:val="24"/>
          <w:szCs w:val="24"/>
          <w:highlight w:val="none"/>
        </w:rPr>
      </w:pPr>
      <w:r>
        <w:rPr>
          <w:rFonts w:hint="eastAsia" w:ascii="Arial" w:hAnsi="Arial" w:cs="Arial"/>
          <w:b/>
          <w:color w:val="000000"/>
          <w:sz w:val="24"/>
          <w:szCs w:val="24"/>
          <w:highlight w:val="none"/>
        </w:rPr>
        <w:t xml:space="preserve">（三）商务技术分：</w:t>
      </w:r>
      <w:r>
        <w:rPr>
          <w:rFonts w:hint="eastAsia" w:ascii="Arial" w:hAnsi="Arial" w:cs="Arial"/>
          <w:b/>
          <w:color w:val="000000"/>
          <w:sz w:val="24"/>
          <w:szCs w:val="24"/>
          <w:highlight w:val="none"/>
          <w:lang w:val="en-US" w:eastAsia="zh-CN"/>
        </w:rPr>
        <w:t xml:space="preserve">7</w:t>
      </w:r>
      <w:r>
        <w:rPr>
          <w:rFonts w:hint="eastAsia" w:ascii="Arial" w:hAnsi="Arial" w:cs="Arial"/>
          <w:b/>
          <w:color w:val="000000"/>
          <w:sz w:val="24"/>
          <w:szCs w:val="24"/>
          <w:highlight w:val="none"/>
          <w:lang w:val="en-US" w:eastAsia="zh-CN"/>
        </w:rPr>
        <w:t xml:space="preserve">0</w:t>
      </w:r>
      <w:r>
        <w:rPr>
          <w:rFonts w:hint="eastAsia" w:ascii="Arial" w:hAnsi="Arial" w:cs="Arial"/>
          <w:b/>
          <w:color w:val="000000"/>
          <w:sz w:val="24"/>
          <w:szCs w:val="24"/>
          <w:highlight w:val="none"/>
        </w:rPr>
        <w:t xml:space="preserve">分</w:t>
      </w:r>
      <w:r>
        <w:rPr>
          <w:rFonts w:hint="eastAsia" w:ascii="Arial" w:hAnsi="Arial" w:cs="Arial"/>
          <w:b/>
          <w:color w:val="000000"/>
          <w:sz w:val="24"/>
          <w:szCs w:val="24"/>
          <w:highlight w:val="none"/>
        </w:rPr>
      </w:r>
      <w:r/>
    </w:p>
    <w:p>
      <w:pPr>
        <w:pStyle w:val="871"/>
        <w:ind w:firstLine="439"/>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rPr>
        <w:t xml:space="preserve">各投标人得分为评委会成员评分的算术平均分，分值保留小数点后两位。</w:t>
      </w:r>
      <w:r>
        <w:rPr>
          <w:rFonts w:hint="eastAsia" w:ascii="Arial" w:hAnsi="Arial" w:cs="Arial"/>
          <w:color w:val="000000"/>
          <w:sz w:val="24"/>
          <w:szCs w:val="24"/>
          <w:highlight w:val="none"/>
        </w:rPr>
      </w:r>
      <w:r/>
    </w:p>
    <w:p>
      <w:pPr>
        <w:pStyle w:val="871"/>
        <w:ind w:firstLine="441"/>
        <w:jc w:val="left"/>
        <w:spacing w:line="560" w:lineRule="exact"/>
        <w:rPr>
          <w:rFonts w:hint="eastAsia" w:ascii="Arial" w:hAnsi="Arial" w:eastAsia="宋体" w:cs="Arial"/>
          <w:b/>
          <w:bCs/>
          <w:color w:val="000000"/>
          <w:sz w:val="24"/>
          <w:szCs w:val="24"/>
          <w:highlight w:val="none"/>
          <w:lang w:val="en-US" w:eastAsia="zh-CN"/>
        </w:rPr>
      </w:pPr>
      <w:r>
        <w:rPr>
          <w:rFonts w:hint="eastAsia" w:ascii="Arial" w:hAnsi="Arial" w:cs="Arial"/>
          <w:b/>
          <w:bCs/>
          <w:color w:val="000000"/>
          <w:sz w:val="24"/>
          <w:szCs w:val="24"/>
          <w:highlight w:val="none"/>
          <w:lang w:val="en-US" w:eastAsia="zh-CN"/>
        </w:rPr>
        <w:t xml:space="preserve">采购包一</w:t>
      </w:r>
      <w:r>
        <w:rPr>
          <w:rFonts w:hint="eastAsia" w:ascii="Arial" w:hAnsi="Arial" w:eastAsia="宋体" w:cs="Arial"/>
          <w:b/>
          <w:bCs/>
          <w:color w:val="000000"/>
          <w:sz w:val="24"/>
          <w:szCs w:val="24"/>
          <w:highlight w:val="none"/>
          <w:lang w:val="en-US" w:eastAsia="zh-CN"/>
        </w:rPr>
      </w:r>
      <w:r/>
    </w:p>
    <w:tbl>
      <w:tblPr>
        <w:tblW w:w="907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74"/>
        <w:gridCol w:w="1540"/>
        <w:gridCol w:w="956"/>
        <w:gridCol w:w="5404"/>
      </w:tblGrid>
      <w:tr>
        <w:trPr>
          <w:trHeight w:val="912"/>
        </w:trPr>
        <w:tc>
          <w:tcPr>
            <w:tcW w:w="1174" w:type="dxa"/>
            <w:vAlign w:val="center"/>
            <w:textDirection w:val="lrTb"/>
            <w:noWrap/>
          </w:tcPr>
          <w:p>
            <w:pPr>
              <w:pStyle w:val="871"/>
              <w:jc w:val="left"/>
              <w:spacing w:line="560" w:lineRule="exact"/>
              <w:rPr>
                <w:rFonts w:ascii="Arial" w:hAnsi="Arial" w:cs="Arial"/>
                <w:color w:val="000000"/>
                <w:sz w:val="24"/>
                <w:szCs w:val="24"/>
                <w:highlight w:val="none"/>
                <w:lang w:val="en-US" w:eastAsia="zh-CN"/>
              </w:rPr>
            </w:pPr>
            <w:r>
              <w:rPr>
                <w:rFonts w:hint="eastAsia" w:ascii="Arial" w:hAnsi="Arial" w:cs="Arial"/>
                <w:color w:val="000000"/>
                <w:sz w:val="24"/>
                <w:szCs w:val="24"/>
                <w:highlight w:val="none"/>
                <w:lang w:val="en-US" w:eastAsia="zh-CN"/>
              </w:rPr>
              <w:t xml:space="preserve">序号</w:t>
            </w:r>
            <w:r>
              <w:rPr>
                <w:rFonts w:ascii="Arial" w:hAnsi="Arial" w:cs="Arial"/>
                <w:color w:val="000000"/>
                <w:sz w:val="24"/>
                <w:szCs w:val="24"/>
                <w:highlight w:val="none"/>
                <w:lang w:val="en-US" w:eastAsia="zh-CN"/>
              </w:rPr>
            </w:r>
            <w:r/>
          </w:p>
        </w:tc>
        <w:tc>
          <w:tcPr>
            <w:tcW w:w="1540" w:type="dxa"/>
            <w:vAlign w:val="center"/>
            <w:textDirection w:val="lrTb"/>
            <w:noWrap/>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评分点名称 </w:t>
            </w:r>
            <w:r>
              <w:rPr>
                <w:rFonts w:hint="eastAsia" w:ascii="Arial" w:hAnsi="Arial" w:cs="Arial"/>
                <w:color w:val="000000"/>
                <w:sz w:val="24"/>
                <w:szCs w:val="24"/>
                <w:highlight w:val="none"/>
              </w:rPr>
            </w:r>
            <w:r/>
          </w:p>
        </w:tc>
        <w:tc>
          <w:tcPr>
            <w:tcW w:w="956" w:type="dxa"/>
            <w:vAlign w:val="center"/>
            <w:textDirection w:val="lrTb"/>
            <w:noWrap/>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分值</w:t>
            </w:r>
            <w:r>
              <w:rPr>
                <w:rFonts w:hint="eastAsia" w:ascii="Arial" w:hAnsi="Arial" w:cs="Arial"/>
                <w:color w:val="000000"/>
                <w:sz w:val="24"/>
                <w:szCs w:val="24"/>
                <w:highlight w:val="none"/>
              </w:rPr>
            </w:r>
            <w:r/>
          </w:p>
        </w:tc>
        <w:tc>
          <w:tcPr>
            <w:tcW w:w="5404" w:type="dxa"/>
            <w:vAlign w:val="center"/>
            <w:textDirection w:val="lrTb"/>
            <w:noWrap/>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评审标准</w:t>
            </w:r>
            <w:r>
              <w:rPr>
                <w:rFonts w:hint="eastAsia" w:ascii="Arial" w:hAnsi="Arial" w:cs="Arial"/>
                <w:color w:val="000000"/>
                <w:sz w:val="24"/>
                <w:szCs w:val="24"/>
                <w:highlight w:val="none"/>
              </w:rPr>
            </w:r>
            <w:r/>
          </w:p>
        </w:tc>
      </w:tr>
      <w:tr>
        <w:trPr>
          <w:trHeight w:val="861"/>
        </w:trPr>
        <w:tc>
          <w:tcPr>
            <w:tcW w:w="1174" w:type="dxa"/>
            <w:vAlign w:val="center"/>
            <w:textDirection w:val="lrTb"/>
            <w:noWrap/>
          </w:tcPr>
          <w:p>
            <w:pPr>
              <w:pStyle w:val="871"/>
              <w:jc w:val="left"/>
              <w:spacing w:line="560" w:lineRule="exact"/>
              <w:rPr>
                <w:rFonts w:ascii="Arial" w:hAnsi="Arial" w:cs="Arial"/>
                <w:color w:val="000000"/>
                <w:sz w:val="24"/>
                <w:szCs w:val="24"/>
                <w:highlight w:val="none"/>
                <w:lang w:val="en-US" w:eastAsia="zh-CN"/>
              </w:rPr>
            </w:pPr>
            <w:r>
              <w:rPr>
                <w:rFonts w:hint="eastAsia" w:ascii="Arial" w:hAnsi="Arial" w:cs="Arial"/>
                <w:color w:val="000000"/>
                <w:sz w:val="24"/>
                <w:szCs w:val="24"/>
                <w:highlight w:val="none"/>
                <w:lang w:val="en-US" w:eastAsia="zh-CN"/>
              </w:rPr>
              <w:t xml:space="preserve">1</w:t>
            </w:r>
            <w:r>
              <w:rPr>
                <w:rFonts w:ascii="Arial" w:hAnsi="Arial" w:cs="Arial"/>
                <w:color w:val="000000"/>
                <w:sz w:val="24"/>
                <w:szCs w:val="24"/>
                <w:highlight w:val="none"/>
                <w:lang w:val="en-US" w:eastAsia="zh-CN"/>
              </w:rPr>
            </w:r>
            <w:r/>
          </w:p>
        </w:tc>
        <w:tc>
          <w:tcPr>
            <w:tcW w:w="1540" w:type="dxa"/>
            <w:vAlign w:val="center"/>
            <w:textDirection w:val="lrTb"/>
            <w:noWrap/>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技术要求</w:t>
            </w:r>
            <w:r>
              <w:rPr>
                <w:rFonts w:hint="eastAsia" w:ascii="Arial" w:hAnsi="Arial" w:cs="Arial"/>
                <w:color w:val="000000"/>
                <w:sz w:val="24"/>
                <w:szCs w:val="24"/>
                <w:highlight w:val="none"/>
              </w:rPr>
            </w:r>
            <w:r/>
          </w:p>
        </w:tc>
        <w:tc>
          <w:tcPr>
            <w:tcW w:w="956" w:type="dxa"/>
            <w:vAlign w:val="center"/>
            <w:textDirection w:val="lrTb"/>
            <w:noWrap/>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30</w:t>
            </w:r>
            <w:r>
              <w:rPr>
                <w:rFonts w:hint="eastAsia" w:ascii="Arial" w:hAnsi="Arial" w:cs="Arial"/>
                <w:color w:val="000000"/>
                <w:sz w:val="24"/>
                <w:szCs w:val="24"/>
                <w:highlight w:val="none"/>
              </w:rPr>
            </w:r>
            <w:r/>
          </w:p>
        </w:tc>
        <w:tc>
          <w:tcPr>
            <w:shd w:val="clear" w:color="auto" w:fill="ffffff"/>
            <w:tcW w:w="5404" w:type="dxa"/>
            <w:vAlign w:val="center"/>
            <w:textDirection w:val="lrTb"/>
            <w:noWrap w:val="false"/>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由评审小组根据技术参数响应及偏离表的应答情况进行评分，全部满足技术指标要求的得30分；加★为核心指标，不接受负偏离。为加▲为重要指标，出现负偏离每项扣1分，其他设备或技术指标项出现负偏离，每项扣0.5分，扣完为止；</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供应商需按要求提供相关证明材料或截图等佐证材料，证明材料或功能截图需要与要求描述的功能吻合，未能提供相关证明材料或功能截图不符合要求的，视为负偏离。</w:t>
            </w:r>
            <w:r>
              <w:rPr>
                <w:rFonts w:hint="eastAsia" w:ascii="Arial" w:hAnsi="Arial" w:cs="Arial"/>
                <w:color w:val="000000"/>
                <w:sz w:val="24"/>
                <w:szCs w:val="24"/>
                <w:highlight w:val="none"/>
              </w:rPr>
            </w:r>
            <w:r/>
          </w:p>
        </w:tc>
      </w:tr>
      <w:tr>
        <w:trPr>
          <w:trHeight w:val="6139"/>
        </w:trPr>
        <w:tc>
          <w:tcPr>
            <w:tcW w:w="1174" w:type="dxa"/>
            <w:vAlign w:val="center"/>
            <w:textDirection w:val="lrTb"/>
            <w:noWrap w:val="false"/>
          </w:tcPr>
          <w:p>
            <w:pPr>
              <w:pStyle w:val="871"/>
              <w:jc w:val="left"/>
              <w:spacing w:line="560" w:lineRule="exact"/>
              <w:rPr>
                <w:rFonts w:ascii="Arial" w:hAnsi="Arial" w:cs="Arial"/>
                <w:color w:val="000000"/>
                <w:sz w:val="24"/>
                <w:szCs w:val="24"/>
                <w:highlight w:val="none"/>
                <w:lang w:val="en-US" w:eastAsia="zh-CN"/>
              </w:rPr>
            </w:pPr>
            <w:r>
              <w:rPr>
                <w:rFonts w:hint="eastAsia" w:ascii="Arial" w:hAnsi="Arial" w:cs="Arial"/>
                <w:color w:val="000000"/>
                <w:sz w:val="24"/>
                <w:szCs w:val="24"/>
                <w:highlight w:val="none"/>
                <w:lang w:val="en-US" w:eastAsia="zh-CN"/>
              </w:rPr>
              <w:t xml:space="preserve">2</w:t>
            </w:r>
            <w:r>
              <w:rPr>
                <w:rFonts w:ascii="Arial" w:hAnsi="Arial" w:cs="Arial"/>
                <w:color w:val="000000"/>
                <w:sz w:val="24"/>
                <w:szCs w:val="24"/>
                <w:highlight w:val="none"/>
                <w:lang w:val="en-US" w:eastAsia="zh-CN"/>
              </w:rPr>
            </w:r>
            <w:r/>
          </w:p>
        </w:tc>
        <w:tc>
          <w:tcPr>
            <w:tcW w:w="1540" w:type="dxa"/>
            <w:vAlign w:val="center"/>
            <w:textDirection w:val="lrTb"/>
            <w:noWrap w:val="false"/>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企业资质及实力</w:t>
            </w:r>
            <w:r>
              <w:rPr>
                <w:rFonts w:hint="eastAsia" w:ascii="Arial" w:hAnsi="Arial" w:cs="Arial"/>
                <w:color w:val="000000"/>
                <w:sz w:val="24"/>
                <w:szCs w:val="24"/>
                <w:highlight w:val="none"/>
              </w:rPr>
            </w:r>
            <w:r/>
          </w:p>
        </w:tc>
        <w:tc>
          <w:tcPr>
            <w:tcW w:w="956" w:type="dxa"/>
            <w:vAlign w:val="center"/>
            <w:textDirection w:val="lrTb"/>
            <w:noWrap/>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12</w:t>
            </w:r>
            <w:r>
              <w:rPr>
                <w:rFonts w:hint="eastAsia" w:ascii="Arial" w:hAnsi="Arial" w:cs="Arial"/>
                <w:color w:val="000000"/>
                <w:sz w:val="24"/>
                <w:szCs w:val="24"/>
                <w:highlight w:val="none"/>
              </w:rPr>
            </w:r>
            <w:r/>
          </w:p>
        </w:tc>
        <w:tc>
          <w:tcPr>
            <w:tcW w:w="5404" w:type="dxa"/>
            <w:vAlign w:val="center"/>
            <w:textDirection w:val="lrTb"/>
            <w:noWrap w:val="false"/>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1、供应商具有ISO9001质量管理体系认证证书、ISO20000信息技术服务管理体系认证、培训管理体系认证证书，每提供一个得1分，本项最多得3分；</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2、为确保报告厅及会议室音乐灯光集成效果，供应商具备音视频集成工程企业能力一级证书得3分，二级证书得2分，三级证书得1分，不提供不得分。</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3、为保障报告厅各设备系统运行稳定，音视频会议内容传输安全，应对系统远程接入及设备联网的信息安全风险，供应商具备信息安全服务资质认证证书（安全集成）一级得2分，具备信息安全服务资质认证证书（安全运维）一级得2分，具备信息安全服务资质认证证书（风险评估）一级得2分，本项最高得6分，未提供有效证书的本项不得分。</w:t>
            </w:r>
            <w:r>
              <w:rPr>
                <w:rFonts w:hint="eastAsia" w:ascii="Arial" w:hAnsi="Arial" w:cs="Arial"/>
                <w:color w:val="000000"/>
                <w:sz w:val="24"/>
                <w:szCs w:val="24"/>
                <w:highlight w:val="none"/>
              </w:rPr>
            </w:r>
            <w:r/>
          </w:p>
        </w:tc>
      </w:tr>
      <w:tr>
        <w:trPr>
          <w:trHeight w:val="1179"/>
        </w:trPr>
        <w:tc>
          <w:tcPr>
            <w:tcW w:w="1174" w:type="dxa"/>
            <w:vAlign w:val="center"/>
            <w:textDirection w:val="lrTb"/>
            <w:noWrap w:val="false"/>
          </w:tcPr>
          <w:p>
            <w:pPr>
              <w:pStyle w:val="871"/>
              <w:jc w:val="left"/>
              <w:spacing w:line="560" w:lineRule="exact"/>
              <w:rPr>
                <w:rFonts w:ascii="Arial" w:hAnsi="Arial" w:cs="Arial"/>
                <w:color w:val="000000"/>
                <w:sz w:val="24"/>
                <w:szCs w:val="24"/>
                <w:highlight w:val="none"/>
                <w:lang w:val="en-US" w:eastAsia="zh-CN"/>
              </w:rPr>
            </w:pPr>
            <w:r>
              <w:rPr>
                <w:rFonts w:hint="eastAsia" w:ascii="Arial" w:hAnsi="Arial" w:cs="Arial"/>
                <w:color w:val="000000"/>
                <w:sz w:val="24"/>
                <w:szCs w:val="24"/>
                <w:highlight w:val="none"/>
                <w:lang w:val="en-US" w:eastAsia="zh-CN"/>
              </w:rPr>
              <w:t xml:space="preserve">3</w:t>
            </w:r>
            <w:r>
              <w:rPr>
                <w:rFonts w:ascii="Arial" w:hAnsi="Arial" w:cs="Arial"/>
                <w:color w:val="000000"/>
                <w:sz w:val="24"/>
                <w:szCs w:val="24"/>
                <w:highlight w:val="none"/>
                <w:lang w:val="en-US" w:eastAsia="zh-CN"/>
              </w:rPr>
            </w:r>
            <w:r/>
          </w:p>
        </w:tc>
        <w:tc>
          <w:tcPr>
            <w:tcW w:w="1540" w:type="dxa"/>
            <w:vAlign w:val="center"/>
            <w:textDirection w:val="lrTb"/>
            <w:noWrap w:val="false"/>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技术人员力量</w:t>
            </w:r>
            <w:r>
              <w:rPr>
                <w:rFonts w:hint="eastAsia" w:ascii="Arial" w:hAnsi="Arial" w:cs="Arial"/>
                <w:color w:val="000000"/>
                <w:sz w:val="24"/>
                <w:szCs w:val="24"/>
                <w:highlight w:val="none"/>
              </w:rPr>
            </w:r>
            <w:r/>
          </w:p>
        </w:tc>
        <w:tc>
          <w:tcPr>
            <w:tcW w:w="956" w:type="dxa"/>
            <w:vAlign w:val="center"/>
            <w:textDirection w:val="lrTb"/>
            <w:noWrap/>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10</w:t>
            </w:r>
            <w:r>
              <w:rPr>
                <w:rFonts w:hint="eastAsia" w:ascii="Arial" w:hAnsi="Arial" w:cs="Arial"/>
                <w:color w:val="000000"/>
                <w:sz w:val="24"/>
                <w:szCs w:val="24"/>
                <w:highlight w:val="none"/>
              </w:rPr>
            </w:r>
            <w:r/>
          </w:p>
        </w:tc>
        <w:tc>
          <w:tcPr>
            <w:tcW w:w="5404" w:type="dxa"/>
            <w:vAlign w:val="center"/>
            <w:textDirection w:val="lrTb"/>
            <w:noWrap w:val="false"/>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1、供应商针对本项目拟派的项目负责人（一名）具备机电类一级建造师证书、电子信息类高级工程师职称证书、信息系统项目管理师，同时具备得3分，每缺少1项扣1分扣完为止；</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2、供应商针对本项目拟派的技术负责人（一名）具备</w:t>
            </w:r>
            <w:r>
              <w:rPr>
                <w:rFonts w:hint="eastAsia" w:ascii="Arial" w:hAnsi="Arial" w:eastAsia="宋体" w:cs="Arial"/>
                <w:color w:val="000000"/>
                <w:sz w:val="24"/>
                <w:szCs w:val="24"/>
                <w:highlight w:val="none"/>
                <w:lang w:val="en-US" w:eastAsia="zh-CN"/>
              </w:rPr>
              <w:t xml:space="preserve">低压电工证、</w:t>
            </w:r>
            <w:r>
              <w:rPr>
                <w:rFonts w:hint="eastAsia" w:ascii="Arial" w:hAnsi="Arial" w:cs="Arial"/>
                <w:color w:val="000000"/>
                <w:sz w:val="24"/>
                <w:szCs w:val="24"/>
                <w:highlight w:val="none"/>
                <w:lang w:val="en-US" w:eastAsia="zh-CN"/>
              </w:rPr>
              <w:t xml:space="preserve">IT运维工程师、CISAW信息安全保障人员（安全运维）证书，同时具备得3分，每缺少1项扣1分扣完为止；</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3、项目团队人员具有</w:t>
            </w:r>
            <w:r>
              <w:rPr>
                <w:rFonts w:hint="eastAsia" w:ascii="Arial" w:hAnsi="Arial" w:cs="Arial"/>
                <w:color w:val="000000"/>
                <w:sz w:val="24"/>
                <w:szCs w:val="24"/>
                <w:highlight w:val="none"/>
                <w:lang w:val="en-US" w:eastAsia="zh-CN"/>
              </w:rPr>
              <w:t xml:space="preserve">网络工程师</w:t>
            </w:r>
            <w:r>
              <w:rPr>
                <w:rFonts w:hint="eastAsia" w:ascii="Arial" w:hAnsi="Arial" w:cs="Arial"/>
                <w:color w:val="000000"/>
                <w:sz w:val="24"/>
                <w:szCs w:val="24"/>
                <w:highlight w:val="none"/>
                <w:lang w:val="en-US" w:eastAsia="zh-CN"/>
              </w:rPr>
              <w:t xml:space="preserve">、智能化系统集成项目经理证书、网络规划设计师、高级弱电系统工程师，每个证书得1分，同类型重复提供不重复得分，最高得4分（注：提供证书的复印件或者扫描件及为其缴纳的社保证明材料并加盖公章）。</w:t>
            </w:r>
            <w:r>
              <w:rPr>
                <w:rFonts w:hint="eastAsia" w:ascii="Arial" w:hAnsi="Arial" w:cs="Arial"/>
                <w:color w:val="000000"/>
                <w:sz w:val="24"/>
                <w:szCs w:val="24"/>
                <w:highlight w:val="none"/>
              </w:rPr>
            </w:r>
            <w:r/>
          </w:p>
        </w:tc>
      </w:tr>
      <w:tr>
        <w:trPr>
          <w:trHeight w:val="1542"/>
        </w:trPr>
        <w:tc>
          <w:tcPr>
            <w:tcW w:w="1174" w:type="dxa"/>
            <w:vAlign w:val="center"/>
            <w:textDirection w:val="lrTb"/>
            <w:noWrap w:val="false"/>
          </w:tcPr>
          <w:p>
            <w:pPr>
              <w:pStyle w:val="871"/>
              <w:ind w:firstLine="439"/>
              <w:jc w:val="left"/>
              <w:spacing w:line="560" w:lineRule="exact"/>
              <w:rPr>
                <w:rFonts w:ascii="Arial" w:hAnsi="Arial" w:cs="Arial"/>
                <w:color w:val="000000"/>
                <w:sz w:val="24"/>
                <w:szCs w:val="24"/>
                <w:highlight w:val="none"/>
                <w:lang w:val="en-US" w:eastAsia="zh-CN"/>
              </w:rPr>
            </w:pPr>
            <w:r>
              <w:rPr>
                <w:rFonts w:hint="eastAsia" w:ascii="Arial" w:hAnsi="Arial" w:cs="Arial"/>
                <w:color w:val="000000"/>
                <w:sz w:val="24"/>
                <w:szCs w:val="24"/>
                <w:highlight w:val="none"/>
                <w:lang w:val="en-US" w:eastAsia="zh-CN"/>
              </w:rPr>
              <w:t xml:space="preserve">4</w:t>
            </w:r>
            <w:r>
              <w:rPr>
                <w:rFonts w:ascii="Arial" w:hAnsi="Arial" w:cs="Arial"/>
                <w:color w:val="000000"/>
                <w:sz w:val="24"/>
                <w:szCs w:val="24"/>
                <w:highlight w:val="none"/>
                <w:lang w:val="en-US" w:eastAsia="zh-CN"/>
              </w:rPr>
            </w:r>
            <w:r/>
          </w:p>
        </w:tc>
        <w:tc>
          <w:tcPr>
            <w:tcW w:w="1540" w:type="dxa"/>
            <w:vAlign w:val="center"/>
            <w:textDirection w:val="lrTb"/>
            <w:noWrap w:val="false"/>
          </w:tcPr>
          <w:p>
            <w:pPr>
              <w:pStyle w:val="871"/>
              <w:ind w:firstLine="439"/>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业绩</w:t>
            </w:r>
            <w:r>
              <w:rPr>
                <w:rFonts w:hint="eastAsia" w:ascii="Arial" w:hAnsi="Arial" w:cs="Arial"/>
                <w:color w:val="000000"/>
                <w:sz w:val="24"/>
                <w:szCs w:val="24"/>
                <w:highlight w:val="none"/>
              </w:rPr>
            </w:r>
            <w:r/>
          </w:p>
        </w:tc>
        <w:tc>
          <w:tcPr>
            <w:tcW w:w="956" w:type="dxa"/>
            <w:vAlign w:val="center"/>
            <w:textDirection w:val="lrTb"/>
            <w:noWrap/>
          </w:tcPr>
          <w:p>
            <w:pPr>
              <w:pStyle w:val="871"/>
              <w:ind w:firstLine="439"/>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3</w:t>
            </w:r>
            <w:r>
              <w:rPr>
                <w:rFonts w:hint="eastAsia" w:ascii="Arial" w:hAnsi="Arial" w:cs="Arial"/>
                <w:color w:val="000000"/>
                <w:sz w:val="24"/>
                <w:szCs w:val="24"/>
                <w:highlight w:val="none"/>
              </w:rPr>
            </w:r>
            <w:r/>
          </w:p>
        </w:tc>
        <w:tc>
          <w:tcPr>
            <w:tcW w:w="5404" w:type="dxa"/>
            <w:vAlign w:val="center"/>
            <w:textDirection w:val="lrTb"/>
            <w:noWrap w:val="false"/>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供应商2023年1月1日至今（以合同签订日期为准），有类似项目业绩每有一份得1分，最高3分，提供合同扫描件，不提供不得分。</w:t>
            </w:r>
            <w:r>
              <w:rPr>
                <w:rFonts w:hint="eastAsia" w:ascii="Arial" w:hAnsi="Arial" w:cs="Arial"/>
                <w:color w:val="000000"/>
                <w:sz w:val="24"/>
                <w:szCs w:val="24"/>
                <w:highlight w:val="none"/>
              </w:rPr>
            </w:r>
            <w:r/>
          </w:p>
        </w:tc>
      </w:tr>
      <w:tr>
        <w:trPr>
          <w:trHeight w:val="6211"/>
        </w:trPr>
        <w:tc>
          <w:tcPr>
            <w:tcW w:w="1174" w:type="dxa"/>
            <w:vAlign w:val="center"/>
            <w:textDirection w:val="lrTb"/>
            <w:noWrap w:val="false"/>
          </w:tcPr>
          <w:p>
            <w:pPr>
              <w:pStyle w:val="871"/>
              <w:jc w:val="left"/>
              <w:spacing w:line="560" w:lineRule="exact"/>
              <w:rPr>
                <w:rFonts w:ascii="Arial" w:hAnsi="Arial" w:cs="Arial"/>
                <w:color w:val="000000"/>
                <w:sz w:val="24"/>
                <w:szCs w:val="24"/>
                <w:highlight w:val="none"/>
                <w:lang w:val="en-US" w:eastAsia="zh-CN"/>
              </w:rPr>
            </w:pPr>
            <w:r>
              <w:rPr>
                <w:rFonts w:hint="eastAsia" w:ascii="Arial" w:hAnsi="Arial" w:cs="Arial"/>
                <w:color w:val="000000"/>
                <w:sz w:val="24"/>
                <w:szCs w:val="24"/>
                <w:highlight w:val="none"/>
                <w:lang w:val="en-US" w:eastAsia="zh-CN"/>
              </w:rPr>
              <w:t xml:space="preserve">5</w:t>
            </w:r>
            <w:r>
              <w:rPr>
                <w:rFonts w:ascii="Arial" w:hAnsi="Arial" w:cs="Arial"/>
                <w:color w:val="000000"/>
                <w:sz w:val="24"/>
                <w:szCs w:val="24"/>
                <w:highlight w:val="none"/>
                <w:lang w:val="en-US" w:eastAsia="zh-CN"/>
              </w:rPr>
            </w:r>
            <w:r/>
          </w:p>
        </w:tc>
        <w:tc>
          <w:tcPr>
            <w:tcW w:w="1540" w:type="dxa"/>
            <w:vAlign w:val="center"/>
            <w:textDirection w:val="lrTb"/>
            <w:noWrap w:val="false"/>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报告厅深化设计方案</w:t>
            </w:r>
            <w:r>
              <w:rPr>
                <w:rFonts w:hint="eastAsia" w:ascii="Arial" w:hAnsi="Arial" w:cs="Arial"/>
                <w:color w:val="000000"/>
                <w:sz w:val="24"/>
                <w:szCs w:val="24"/>
                <w:highlight w:val="none"/>
              </w:rPr>
            </w:r>
            <w:r/>
          </w:p>
        </w:tc>
        <w:tc>
          <w:tcPr>
            <w:tcW w:w="956" w:type="dxa"/>
            <w:vAlign w:val="center"/>
            <w:textDirection w:val="lrTb"/>
            <w:noWrap/>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10</w:t>
            </w:r>
            <w:r>
              <w:rPr>
                <w:rFonts w:hint="eastAsia" w:ascii="Arial" w:hAnsi="Arial" w:cs="Arial"/>
                <w:color w:val="000000"/>
                <w:sz w:val="24"/>
                <w:szCs w:val="24"/>
                <w:highlight w:val="none"/>
              </w:rPr>
            </w:r>
            <w:r/>
          </w:p>
        </w:tc>
        <w:tc>
          <w:tcPr>
            <w:tcW w:w="5404" w:type="dxa"/>
            <w:vAlign w:val="center"/>
            <w:textDirection w:val="lrTb"/>
            <w:noWrap w:val="false"/>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评委根据供应商提供的报告厅深化设计方案综合评分（每项内容逐条阐述）：</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1、音响系统：基于现场勘查测绘，提供音响系统深化设计图纸及各图纸对应的设计说明，包括：</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①设备布置图及对应设计说明</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②声场分析图及对应设计说明</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③系统连接图及对应设计说明</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④布线图及对应设计说明</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每提供一份图纸及对应设计说明得1分，本项最高得4分。经专家评审，每少一份图纸或对应设计说明、或提供的图纸方案与本项目无关联，扣1分，扣完为止；未提供此项的不得分。</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2、灯光系统：基于现场勘查测绘，提供灯光系统深化设计图纸及各图纸对应的设计说明，包括：</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①设备布置图及对应设计说明</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②系统连接图及对应设计说明</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③布线图及对应设计说明</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每提供一份图纸及对应设计说明得1分，本项最高得3分。经专家评审，每少一份图纸或对应设计说明、或提供的图纸方案与本项目无关联，扣1分，扣完为止；未提供此项的不得分。</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3、舞台机械系统：基于现场勘查测绘，提供舞台机械系统深化设计图纸及各图纸对应设计说明，包括：</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①设备布置图及对应设计说明</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②系统连接图及对应设计说明</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③栅顶钢结构节点图及对应设计说明</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每提供一份图纸及对应设计说明得1分，本项最高得3分。经专家评审，每少一份图纸或对应设计说明、或提供的图纸方案与本项目无关联，扣1分，扣完为止；未提供此项的不得分。</w:t>
            </w:r>
            <w:r>
              <w:rPr>
                <w:rFonts w:hint="eastAsia" w:ascii="Arial" w:hAnsi="Arial" w:cs="Arial"/>
                <w:color w:val="000000"/>
                <w:sz w:val="24"/>
                <w:szCs w:val="24"/>
                <w:highlight w:val="none"/>
              </w:rPr>
            </w:r>
            <w:r/>
          </w:p>
        </w:tc>
      </w:tr>
      <w:tr>
        <w:trPr>
          <w:trHeight w:val="2698"/>
        </w:trPr>
        <w:tc>
          <w:tcPr>
            <w:tcW w:w="1174" w:type="dxa"/>
            <w:vAlign w:val="center"/>
            <w:textDirection w:val="lrTb"/>
            <w:noWrap w:val="false"/>
          </w:tcPr>
          <w:p>
            <w:pPr>
              <w:pStyle w:val="871"/>
              <w:jc w:val="left"/>
              <w:spacing w:line="560" w:lineRule="exact"/>
              <w:rPr>
                <w:rFonts w:ascii="Arial" w:hAnsi="Arial" w:cs="Arial"/>
                <w:color w:val="000000"/>
                <w:sz w:val="24"/>
                <w:szCs w:val="24"/>
                <w:highlight w:val="none"/>
                <w:lang w:val="en-US" w:eastAsia="zh-CN"/>
              </w:rPr>
            </w:pPr>
            <w:r>
              <w:rPr>
                <w:rFonts w:hint="eastAsia" w:ascii="Arial" w:hAnsi="Arial" w:cs="Arial"/>
                <w:color w:val="000000"/>
                <w:sz w:val="24"/>
                <w:szCs w:val="24"/>
                <w:highlight w:val="none"/>
                <w:lang w:val="en-US" w:eastAsia="zh-CN"/>
              </w:rPr>
              <w:t xml:space="preserve">6</w:t>
            </w:r>
            <w:r>
              <w:rPr>
                <w:rFonts w:ascii="Arial" w:hAnsi="Arial" w:cs="Arial"/>
                <w:color w:val="000000"/>
                <w:sz w:val="24"/>
                <w:szCs w:val="24"/>
                <w:highlight w:val="none"/>
                <w:lang w:val="en-US" w:eastAsia="zh-CN"/>
              </w:rPr>
            </w:r>
            <w:r/>
          </w:p>
        </w:tc>
        <w:tc>
          <w:tcPr>
            <w:tcW w:w="1540" w:type="dxa"/>
            <w:vAlign w:val="center"/>
            <w:textDirection w:val="lrTb"/>
            <w:noWrap w:val="false"/>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服务承诺</w:t>
            </w:r>
            <w:r>
              <w:rPr>
                <w:rFonts w:hint="eastAsia" w:ascii="Arial" w:hAnsi="Arial" w:cs="Arial"/>
                <w:color w:val="000000"/>
                <w:sz w:val="24"/>
                <w:szCs w:val="24"/>
                <w:highlight w:val="none"/>
              </w:rPr>
            </w:r>
            <w:r/>
          </w:p>
        </w:tc>
        <w:tc>
          <w:tcPr>
            <w:tcW w:w="956" w:type="dxa"/>
            <w:vAlign w:val="center"/>
            <w:textDirection w:val="lrTb"/>
            <w:noWrap/>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3</w:t>
            </w:r>
            <w:r>
              <w:rPr>
                <w:rFonts w:hint="eastAsia" w:ascii="Arial" w:hAnsi="Arial" w:cs="Arial"/>
                <w:color w:val="000000"/>
                <w:sz w:val="24"/>
                <w:szCs w:val="24"/>
                <w:highlight w:val="none"/>
              </w:rPr>
            </w:r>
            <w:r/>
          </w:p>
        </w:tc>
        <w:tc>
          <w:tcPr>
            <w:tcW w:w="5404" w:type="dxa"/>
            <w:vAlign w:val="center"/>
            <w:textDirection w:val="lrTb"/>
            <w:noWrap w:val="false"/>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1、供应商需书面承诺项目完成后提供7*24小时的故障响应模式，做到0.5小时内响应，1小时内到达故障现场，一般故障2小时内排除，重大故障6小时内排除的得1分。</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2、为保证服务质量供应商具有符合GB/T27922-2011《商品售后服务评价体系》标准的《售后服务认证证书》，证书等级达到五星级的得2分，达到四星级的得1分，其余不得分。</w:t>
            </w:r>
            <w:r>
              <w:rPr>
                <w:rFonts w:hint="eastAsia" w:ascii="Arial" w:hAnsi="Arial" w:cs="Arial"/>
                <w:color w:val="000000"/>
                <w:sz w:val="24"/>
                <w:szCs w:val="24"/>
                <w:highlight w:val="none"/>
              </w:rPr>
            </w:r>
            <w:r/>
          </w:p>
        </w:tc>
      </w:tr>
      <w:tr>
        <w:trPr>
          <w:trHeight w:val="4616"/>
        </w:trPr>
        <w:tc>
          <w:tcPr>
            <w:tcW w:w="1174" w:type="dxa"/>
            <w:vAlign w:val="center"/>
            <w:textDirection w:val="lrTb"/>
            <w:noWrap w:val="false"/>
          </w:tcPr>
          <w:p>
            <w:pPr>
              <w:pStyle w:val="871"/>
              <w:jc w:val="left"/>
              <w:spacing w:line="560" w:lineRule="exact"/>
              <w:rPr>
                <w:rFonts w:ascii="Arial" w:hAnsi="Arial" w:cs="Arial"/>
                <w:color w:val="000000"/>
                <w:sz w:val="24"/>
                <w:szCs w:val="24"/>
                <w:highlight w:val="none"/>
                <w:lang w:val="en-US" w:eastAsia="zh-CN"/>
              </w:rPr>
            </w:pPr>
            <w:r>
              <w:rPr>
                <w:rFonts w:hint="eastAsia" w:ascii="Arial" w:hAnsi="Arial" w:cs="Arial"/>
                <w:color w:val="000000"/>
                <w:sz w:val="24"/>
                <w:szCs w:val="24"/>
                <w:highlight w:val="none"/>
                <w:lang w:val="en-US" w:eastAsia="zh-CN"/>
              </w:rPr>
              <w:t xml:space="preserve">7</w:t>
            </w:r>
            <w:r>
              <w:rPr>
                <w:rFonts w:ascii="Arial" w:hAnsi="Arial" w:cs="Arial"/>
                <w:color w:val="000000"/>
                <w:sz w:val="24"/>
                <w:szCs w:val="24"/>
                <w:highlight w:val="none"/>
                <w:lang w:val="en-US" w:eastAsia="zh-CN"/>
              </w:rPr>
            </w:r>
            <w:r/>
          </w:p>
        </w:tc>
        <w:tc>
          <w:tcPr>
            <w:tcW w:w="1540" w:type="dxa"/>
            <w:vAlign w:val="center"/>
            <w:textDirection w:val="lrTb"/>
            <w:noWrap w:val="false"/>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节能环保</w:t>
            </w:r>
            <w:r>
              <w:rPr>
                <w:rFonts w:hint="eastAsia" w:ascii="Arial" w:hAnsi="Arial" w:cs="Arial"/>
                <w:color w:val="000000"/>
                <w:sz w:val="24"/>
                <w:szCs w:val="24"/>
                <w:highlight w:val="none"/>
              </w:rPr>
            </w:r>
            <w:r/>
          </w:p>
        </w:tc>
        <w:tc>
          <w:tcPr>
            <w:tcW w:w="956" w:type="dxa"/>
            <w:vAlign w:val="center"/>
            <w:textDirection w:val="lrTb"/>
            <w:noWrap w:val="false"/>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2</w:t>
            </w:r>
            <w:r>
              <w:rPr>
                <w:rFonts w:hint="eastAsia" w:ascii="Arial" w:hAnsi="Arial" w:cs="Arial"/>
                <w:color w:val="000000"/>
                <w:sz w:val="24"/>
                <w:szCs w:val="24"/>
                <w:highlight w:val="none"/>
              </w:rPr>
            </w:r>
            <w:r/>
          </w:p>
        </w:tc>
        <w:tc>
          <w:tcPr>
            <w:tcW w:w="5404" w:type="dxa"/>
            <w:vAlign w:val="center"/>
            <w:textDirection w:val="lrTb"/>
            <w:noWrap w:val="false"/>
          </w:tcPr>
          <w:p>
            <w:pPr>
              <w:pStyle w:val="871"/>
              <w:jc w:val="left"/>
              <w:spacing w:line="560" w:lineRule="exact"/>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1.响应产品属于财政部、国家发改委公布的“节能产品品目清单”范围内的，响应供应商提供国家确定的认证机构出具的、处于有效期之内的该节能产品认证证书复印件的，有1个得0.5分，最多得1分。如响应产品均属于政府强制采购节能产品品目清单范围内，本项不得分。</w:t>
            </w:r>
            <w:r>
              <w:rPr>
                <w:rFonts w:hint="eastAsia" w:ascii="Arial" w:hAnsi="Arial" w:cs="Arial"/>
                <w:color w:val="000000"/>
                <w:sz w:val="24"/>
                <w:szCs w:val="24"/>
                <w:highlight w:val="none"/>
                <w:lang w:val="en-US" w:eastAsia="zh-CN"/>
              </w:rPr>
              <w:br w:type="textWrapping" w:clear="all"/>
            </w:r>
            <w:r>
              <w:rPr>
                <w:rFonts w:hint="eastAsia" w:ascii="Arial" w:hAnsi="Arial" w:cs="Arial"/>
                <w:color w:val="000000"/>
                <w:sz w:val="24"/>
                <w:szCs w:val="24"/>
                <w:highlight w:val="none"/>
                <w:lang w:val="en-US" w:eastAsia="zh-CN"/>
              </w:rPr>
              <w:t xml:space="preserve">2.响应产品属于财政部、生态环境部公布的“环境标志产品品目清单”范围内的，响应供应商提供国家确定的认证机构出具的、处于有效期内的该环保产品认证证书复印件的，有1个得0.5分，最多得1分。</w:t>
            </w:r>
            <w:r>
              <w:rPr>
                <w:rFonts w:hint="eastAsia" w:ascii="Arial" w:hAnsi="Arial" w:cs="Arial"/>
                <w:color w:val="000000"/>
                <w:sz w:val="24"/>
                <w:szCs w:val="24"/>
                <w:highlight w:val="none"/>
              </w:rPr>
            </w:r>
            <w:r/>
          </w:p>
        </w:tc>
      </w:tr>
    </w:tbl>
    <w:p>
      <w:pPr>
        <w:pStyle w:val="871"/>
        <w:ind w:firstLine="441"/>
        <w:jc w:val="left"/>
        <w:spacing w:line="560" w:lineRule="exact"/>
        <w:rPr>
          <w:rFonts w:hint="eastAsia" w:ascii="Arial" w:hAnsi="Arial" w:cs="Arial"/>
          <w:b/>
          <w:bCs/>
          <w:color w:val="000000"/>
          <w:sz w:val="24"/>
          <w:szCs w:val="24"/>
          <w:highlight w:val="none"/>
          <w:lang w:val="en-US" w:eastAsia="zh-CN"/>
        </w:rPr>
      </w:pPr>
      <w:r>
        <w:rPr>
          <w:rFonts w:hint="eastAsia" w:ascii="Arial" w:hAnsi="Arial" w:cs="Arial"/>
          <w:b/>
          <w:bCs/>
          <w:color w:val="000000"/>
          <w:sz w:val="24"/>
          <w:szCs w:val="24"/>
          <w:highlight w:val="none"/>
        </w:rPr>
        <w:t xml:space="preserve"> </w:t>
      </w:r>
      <w:r>
        <w:rPr>
          <w:rFonts w:hint="eastAsia" w:ascii="Arial" w:hAnsi="Arial" w:cs="Arial"/>
          <w:b/>
          <w:bCs/>
          <w:color w:val="000000"/>
          <w:sz w:val="24"/>
          <w:szCs w:val="24"/>
          <w:highlight w:val="none"/>
          <w:lang w:val="en-US" w:eastAsia="zh-CN"/>
        </w:rPr>
        <w:t xml:space="preserve">采购包二</w:t>
      </w:r>
      <w:r>
        <w:rPr>
          <w:rFonts w:hint="eastAsia" w:ascii="Arial" w:hAnsi="Arial" w:cs="Arial"/>
          <w:b/>
          <w:bCs/>
          <w:color w:val="000000"/>
          <w:sz w:val="24"/>
          <w:szCs w:val="24"/>
          <w:highlight w:val="none"/>
          <w:lang w:val="en-US" w:eastAsia="zh-CN"/>
        </w:rPr>
      </w:r>
      <w:r/>
    </w:p>
    <w:tbl>
      <w:tblPr>
        <w:tblW w:w="893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74"/>
        <w:gridCol w:w="1500"/>
        <w:gridCol w:w="945"/>
        <w:gridCol w:w="5320"/>
      </w:tblGrid>
      <w:tr>
        <w:trPr>
          <w:trHeight w:val="1876"/>
        </w:trPr>
        <w:tc>
          <w:tcPr>
            <w:tcW w:w="1174"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序号</w:t>
            </w:r>
            <w:r>
              <w:rPr>
                <w:rFonts w:ascii="Arial" w:hAnsi="Arial" w:cs="Arial"/>
                <w:b w:val="0"/>
                <w:bCs w:val="0"/>
                <w:color w:val="000000"/>
                <w:sz w:val="24"/>
                <w:szCs w:val="24"/>
                <w:highlight w:val="none"/>
                <w:lang w:val="en-US" w:eastAsia="zh-CN"/>
              </w:rPr>
            </w:r>
            <w:r/>
          </w:p>
        </w:tc>
        <w:tc>
          <w:tcPr>
            <w:tcW w:w="150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评分点名称</w:t>
            </w:r>
            <w:r>
              <w:rPr>
                <w:rFonts w:ascii="Arial" w:hAnsi="Arial" w:cs="Arial"/>
                <w:b w:val="0"/>
                <w:bCs w:val="0"/>
                <w:color w:val="000000"/>
                <w:sz w:val="24"/>
                <w:szCs w:val="24"/>
                <w:highlight w:val="none"/>
                <w:lang w:val="en-US" w:eastAsia="zh-CN"/>
              </w:rPr>
            </w:r>
            <w:r/>
          </w:p>
        </w:tc>
        <w:tc>
          <w:tcPr>
            <w:tcW w:w="945"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分值</w:t>
            </w:r>
            <w:r>
              <w:rPr>
                <w:rFonts w:ascii="Arial" w:hAnsi="Arial" w:cs="Arial"/>
                <w:b w:val="0"/>
                <w:bCs w:val="0"/>
                <w:color w:val="000000"/>
                <w:sz w:val="24"/>
                <w:szCs w:val="24"/>
                <w:highlight w:val="none"/>
                <w:lang w:val="en-US" w:eastAsia="zh-CN"/>
              </w:rPr>
            </w:r>
            <w:r/>
          </w:p>
        </w:tc>
        <w:tc>
          <w:tcPr>
            <w:tcW w:w="532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评审标准</w:t>
            </w:r>
            <w:r>
              <w:rPr>
                <w:rFonts w:ascii="Arial" w:hAnsi="Arial" w:cs="Arial"/>
                <w:b w:val="0"/>
                <w:bCs w:val="0"/>
                <w:color w:val="000000"/>
                <w:sz w:val="24"/>
                <w:szCs w:val="24"/>
                <w:highlight w:val="none"/>
                <w:lang w:val="en-US" w:eastAsia="zh-CN"/>
              </w:rPr>
            </w:r>
            <w:r/>
          </w:p>
        </w:tc>
      </w:tr>
      <w:tr>
        <w:trPr>
          <w:trHeight w:val="4363"/>
        </w:trPr>
        <w:tc>
          <w:tcPr>
            <w:tcW w:w="1174"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1</w:t>
            </w:r>
            <w:r>
              <w:rPr>
                <w:rFonts w:ascii="Arial" w:hAnsi="Arial" w:cs="Arial"/>
                <w:b w:val="0"/>
                <w:bCs w:val="0"/>
                <w:color w:val="000000"/>
                <w:sz w:val="24"/>
                <w:szCs w:val="24"/>
                <w:highlight w:val="none"/>
                <w:lang w:val="en-US" w:eastAsia="zh-CN"/>
              </w:rPr>
            </w:r>
            <w:r/>
          </w:p>
        </w:tc>
        <w:tc>
          <w:tcPr>
            <w:tcW w:w="150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技术指标响应</w:t>
            </w:r>
            <w:r>
              <w:rPr>
                <w:rFonts w:ascii="Arial" w:hAnsi="Arial" w:cs="Arial"/>
                <w:b w:val="0"/>
                <w:bCs w:val="0"/>
                <w:color w:val="000000"/>
                <w:sz w:val="24"/>
                <w:szCs w:val="24"/>
                <w:highlight w:val="none"/>
                <w:lang w:val="en-US" w:eastAsia="zh-CN"/>
              </w:rPr>
            </w:r>
            <w:r/>
          </w:p>
        </w:tc>
        <w:tc>
          <w:tcPr>
            <w:tcW w:w="945"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30</w:t>
            </w:r>
            <w:r>
              <w:rPr>
                <w:rFonts w:ascii="Arial" w:hAnsi="Arial" w:cs="Arial"/>
                <w:b w:val="0"/>
                <w:bCs w:val="0"/>
                <w:color w:val="000000"/>
                <w:sz w:val="24"/>
                <w:szCs w:val="24"/>
                <w:highlight w:val="none"/>
                <w:lang w:val="en-US" w:eastAsia="zh-CN"/>
              </w:rPr>
            </w:r>
            <w:r/>
          </w:p>
        </w:tc>
        <w:tc>
          <w:tcPr>
            <w:tcW w:w="532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由评审小组根据技术参数响应及偏离表的应答情况进行评分，全部满足技术指标要求的得30分；加★为关键指标，不接受负偏离，加▲为重要指标，出现负偏离每项扣</w:t>
            </w:r>
            <w:r>
              <w:rPr>
                <w:rFonts w:hint="eastAsia" w:ascii="Arial" w:hAnsi="Arial" w:cs="Arial"/>
                <w:b w:val="0"/>
                <w:bCs w:val="0"/>
                <w:color w:val="000000"/>
                <w:sz w:val="24"/>
                <w:szCs w:val="24"/>
                <w:highlight w:val="none"/>
                <w:lang w:val="en-US" w:eastAsia="zh-CN"/>
              </w:rPr>
              <w:t xml:space="preserve">1</w:t>
            </w:r>
            <w:r>
              <w:rPr>
                <w:rFonts w:ascii="Arial" w:hAnsi="Arial" w:cs="Arial"/>
                <w:b w:val="0"/>
                <w:bCs w:val="0"/>
                <w:color w:val="000000"/>
                <w:sz w:val="24"/>
                <w:szCs w:val="24"/>
                <w:highlight w:val="none"/>
                <w:lang w:val="en-US" w:eastAsia="zh-CN"/>
              </w:rPr>
              <w:t xml:space="preserve">分，其他设备或技术指标项出现负偏离，每项扣0.5分，扣完为止；响应供应商需按要求提供相关证明材料或截图等佐证材料，证明材料或功能截图需要与要求描述的功能吻合，未能提供相关证明材料或功能截图不符合要求的，视为负偏离。</w:t>
            </w:r>
            <w:r>
              <w:rPr>
                <w:rFonts w:ascii="Arial" w:hAnsi="Arial" w:cs="Arial"/>
                <w:b w:val="0"/>
                <w:bCs w:val="0"/>
                <w:color w:val="000000"/>
                <w:sz w:val="24"/>
                <w:szCs w:val="24"/>
                <w:highlight w:val="none"/>
                <w:lang w:val="en-US" w:eastAsia="zh-CN"/>
              </w:rPr>
            </w:r>
            <w:r/>
          </w:p>
        </w:tc>
      </w:tr>
      <w:tr>
        <w:trPr>
          <w:trHeight w:val="8423"/>
        </w:trPr>
        <w:tc>
          <w:tcPr>
            <w:tcW w:w="1174"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2</w:t>
            </w:r>
            <w:r>
              <w:rPr>
                <w:rFonts w:ascii="Arial" w:hAnsi="Arial" w:cs="Arial"/>
                <w:b w:val="0"/>
                <w:bCs w:val="0"/>
                <w:color w:val="000000"/>
                <w:sz w:val="24"/>
                <w:szCs w:val="24"/>
                <w:highlight w:val="none"/>
                <w:lang w:val="en-US" w:eastAsia="zh-CN"/>
              </w:rPr>
            </w:r>
            <w:r/>
          </w:p>
        </w:tc>
        <w:tc>
          <w:tcPr>
            <w:tcW w:w="150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功能演示</w:t>
            </w:r>
            <w:r>
              <w:rPr>
                <w:rFonts w:ascii="Arial" w:hAnsi="Arial" w:cs="Arial"/>
                <w:b w:val="0"/>
                <w:bCs w:val="0"/>
                <w:color w:val="000000"/>
                <w:sz w:val="24"/>
                <w:szCs w:val="24"/>
                <w:highlight w:val="none"/>
                <w:lang w:val="en-US" w:eastAsia="zh-CN"/>
              </w:rPr>
            </w:r>
            <w:r/>
          </w:p>
        </w:tc>
        <w:tc>
          <w:tcPr>
            <w:tcW w:w="945"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11</w:t>
            </w:r>
            <w:r>
              <w:rPr>
                <w:rFonts w:ascii="Arial" w:hAnsi="Arial" w:cs="Arial"/>
                <w:b w:val="0"/>
                <w:bCs w:val="0"/>
                <w:color w:val="000000"/>
                <w:sz w:val="24"/>
                <w:szCs w:val="24"/>
                <w:highlight w:val="none"/>
                <w:lang w:val="en-US" w:eastAsia="zh-CN"/>
              </w:rPr>
            </w:r>
            <w:r/>
          </w:p>
        </w:tc>
        <w:tc>
          <w:tcPr>
            <w:tcW w:w="532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评委根据投标人提供的功能演示视频进行评分，投标人采用类似真实系统每个满足得1分，不提供或者提供内容不符合要求不得分。具体要求如下：</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1、智慧校园系统演示AI助手快捷进行业务操作：①AI 助手发起调代课快捷指令；②语音 / 文字输入完成德育评分；③演示AI助手问数的能力，可以根据权限问各个业务数据，例如教师考试的题量及考试次数，食堂消费最低的学生等。</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2、智慧校园系统演示零代码搭建业务系统：①演示零代码搭建的业务应用可以进行分级授权，可授权教师看自己的记录，年级组长看本年级的记录，校长看全校的数据。②演示应用搭建的过程中可进行表单内容、列表、查询、按钮、移动端、提醒方案的全维度应用方案自定义能力。③演示应用的聚合组装与发布，通过平台菜单自定义搭建应用菜单，组装出适合教师使用及适合管理者使用的菜单应用。</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3、智慧黑板演示智慧黑板教学工具：①演示教学软件智能生成课件功能：基于已明确的教学大纲，生成完整的教学课件；支持智能扩展单页课件，允许手动输入描述和根据上下文智能推荐内容；支持对大纲节点进行编辑并同步生成更新课件。②演示整机支持在无任何外部设备的情况下，实时录制用户朗读内容，识别用户声纹并进行统一身份登录，登录后自动获取个人云端教学课件列表，打开教学白板软件时可跳过软件自带登录步骤。③演示整机Windows通道支持文件传输应用，支持通过扫码、wifi直连、超声三种方式与手机进行握手连接，实现文件传输功能。</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4、电子班牌系统演示：①演示班牌后台公告发布支持家长提交回执设置，打开需要家长回执开关后，微信公众号会实时通知家长公告消息，老师可以在小程序实时查看家长提交回执明细。②演示班牌考场模式：班牌显示在进入考试时间段前自动切换至考试预告模式；到达考试时间自动切换至考试模式，展示考场号、场地、考试时间段、科目等信息，考场模式下，学生无法操控班牌，需进行二维码扫描身份验证后才可进行操作。</w:t>
            </w:r>
            <w:r>
              <w:rPr>
                <w:rFonts w:ascii="Arial" w:hAnsi="Arial" w:cs="Arial"/>
                <w:b w:val="0"/>
                <w:bCs w:val="0"/>
                <w:color w:val="000000"/>
                <w:sz w:val="24"/>
                <w:szCs w:val="24"/>
                <w:highlight w:val="none"/>
                <w:lang w:val="en-US" w:eastAsia="zh-CN"/>
              </w:rPr>
            </w:r>
            <w:r/>
          </w:p>
        </w:tc>
      </w:tr>
      <w:tr>
        <w:trPr>
          <w:trHeight w:val="7342"/>
        </w:trPr>
        <w:tc>
          <w:tcPr>
            <w:tcW w:w="1174" w:type="dxa"/>
            <w:vAlign w:val="center"/>
            <w:textDirection w:val="lrTb"/>
            <w:noWrap/>
          </w:tcPr>
          <w:p>
            <w:pPr>
              <w:pStyle w:val="871"/>
              <w:ind w:firstLine="439"/>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3</w:t>
            </w:r>
            <w:r>
              <w:rPr>
                <w:rFonts w:ascii="Arial" w:hAnsi="Arial" w:cs="Arial"/>
                <w:b w:val="0"/>
                <w:bCs w:val="0"/>
                <w:color w:val="000000"/>
                <w:sz w:val="24"/>
                <w:szCs w:val="24"/>
                <w:highlight w:val="none"/>
                <w:lang w:val="en-US" w:eastAsia="zh-CN"/>
              </w:rPr>
            </w:r>
            <w:r/>
          </w:p>
        </w:tc>
        <w:tc>
          <w:tcPr>
            <w:tcW w:w="150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供应商实力</w:t>
            </w:r>
            <w:r>
              <w:rPr>
                <w:rFonts w:ascii="Arial" w:hAnsi="Arial" w:cs="Arial"/>
                <w:b w:val="0"/>
                <w:bCs w:val="0"/>
                <w:color w:val="000000"/>
                <w:sz w:val="24"/>
                <w:szCs w:val="24"/>
                <w:highlight w:val="none"/>
                <w:lang w:val="en-US" w:eastAsia="zh-CN"/>
              </w:rPr>
            </w:r>
            <w:r/>
          </w:p>
        </w:tc>
        <w:tc>
          <w:tcPr>
            <w:tcW w:w="945"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7</w:t>
            </w:r>
            <w:r>
              <w:rPr>
                <w:rFonts w:ascii="Arial" w:hAnsi="Arial" w:cs="Arial"/>
                <w:b w:val="0"/>
                <w:bCs w:val="0"/>
                <w:color w:val="000000"/>
                <w:sz w:val="24"/>
                <w:szCs w:val="24"/>
                <w:highlight w:val="none"/>
                <w:lang w:val="en-US" w:eastAsia="zh-CN"/>
              </w:rPr>
            </w:r>
            <w:r/>
          </w:p>
        </w:tc>
        <w:tc>
          <w:tcPr>
            <w:tcW w:w="532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1、投标人具有IS09001质量管理体系认证证书，且证书认证范围至少包含计算机信息系统集成得1分，不提供或不符合要求不得分;</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2、投标人具有ISO42001人工智能管理体系认证证书得1分，不提供或不符合要求不得分；</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3、投标人具有CCRC信息安全服务资质：安全运维、安全集成、安全应急，每具备1个一级资质得1分，最多得3分，不提供或不符合不得分;</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4、投标人具有ITSS信息技术服务标准符合性证书（云服务）得1分，不提供或不符合不得分;</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5、投标人具有售后完善程度服务认证证书（五星级）得1分，不提供或不符合不得分;</w:t>
            </w:r>
            <w:r>
              <w:rPr>
                <w:rFonts w:ascii="Arial" w:hAnsi="Arial" w:cs="Arial"/>
                <w:b w:val="0"/>
                <w:bCs w:val="0"/>
                <w:color w:val="000000"/>
                <w:sz w:val="24"/>
                <w:szCs w:val="24"/>
                <w:highlight w:val="none"/>
                <w:lang w:val="en-US" w:eastAsia="zh-CN"/>
              </w:rPr>
            </w:r>
            <w:r/>
          </w:p>
        </w:tc>
      </w:tr>
      <w:tr>
        <w:trPr>
          <w:trHeight w:val="474"/>
        </w:trPr>
        <w:tc>
          <w:tcPr>
            <w:tcW w:w="1174"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4</w:t>
            </w:r>
            <w:r>
              <w:rPr>
                <w:rFonts w:ascii="Arial" w:hAnsi="Arial" w:cs="Arial"/>
                <w:b w:val="0"/>
                <w:bCs w:val="0"/>
                <w:color w:val="000000"/>
                <w:sz w:val="24"/>
                <w:szCs w:val="24"/>
                <w:highlight w:val="none"/>
                <w:lang w:val="en-US" w:eastAsia="zh-CN"/>
              </w:rPr>
            </w:r>
            <w:r/>
          </w:p>
        </w:tc>
        <w:tc>
          <w:tcPr>
            <w:tcW w:w="150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团队实力</w:t>
            </w:r>
            <w:r>
              <w:rPr>
                <w:rFonts w:ascii="Arial" w:hAnsi="Arial" w:cs="Arial"/>
                <w:b w:val="0"/>
                <w:bCs w:val="0"/>
                <w:color w:val="000000"/>
                <w:sz w:val="24"/>
                <w:szCs w:val="24"/>
                <w:highlight w:val="none"/>
                <w:lang w:val="en-US" w:eastAsia="zh-CN"/>
              </w:rPr>
            </w:r>
            <w:r/>
          </w:p>
        </w:tc>
        <w:tc>
          <w:tcPr>
            <w:tcW w:w="945"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8</w:t>
            </w:r>
            <w:r>
              <w:rPr>
                <w:rFonts w:ascii="Arial" w:hAnsi="Arial" w:cs="Arial"/>
                <w:b w:val="0"/>
                <w:bCs w:val="0"/>
                <w:color w:val="000000"/>
                <w:sz w:val="24"/>
                <w:szCs w:val="24"/>
                <w:highlight w:val="none"/>
                <w:lang w:val="en-US" w:eastAsia="zh-CN"/>
              </w:rPr>
            </w:r>
            <w:r/>
          </w:p>
        </w:tc>
        <w:tc>
          <w:tcPr>
            <w:tcW w:w="532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1、投标人针对本项目指派项目负责人（1名），具有高级系统规划与管理师证书、高级软件工程师、注册信息安全专业人员，每具备1个证书得1分，最多得3分。</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2、投标人针对本项目指派技术负责人（1名），具有</w:t>
            </w:r>
            <w:r>
              <w:rPr>
                <w:rFonts w:hint="eastAsia" w:ascii="Arial" w:hAnsi="Arial" w:eastAsia="宋体" w:cs="Arial"/>
                <w:b w:val="0"/>
                <w:bCs w:val="0"/>
                <w:color w:val="000000"/>
                <w:sz w:val="24"/>
                <w:szCs w:val="24"/>
                <w:highlight w:val="none"/>
                <w:lang w:val="en-US" w:eastAsia="zh-CN"/>
              </w:rPr>
              <w:t xml:space="preserve">高级信息系统项目管理师、IT服务工程师、低压电工证书</w:t>
            </w:r>
            <w:r>
              <w:rPr>
                <w:rFonts w:ascii="Arial" w:hAnsi="Arial" w:eastAsia="宋体" w:cs="Arial"/>
                <w:b w:val="0"/>
                <w:bCs w:val="0"/>
                <w:color w:val="000000"/>
                <w:sz w:val="24"/>
                <w:szCs w:val="24"/>
                <w:highlight w:val="none"/>
                <w:lang w:val="en-US" w:eastAsia="zh-CN"/>
              </w:rPr>
              <w:t xml:space="preserve">，</w:t>
            </w:r>
            <w:r>
              <w:rPr>
                <w:rFonts w:ascii="Arial" w:hAnsi="Arial" w:cs="Arial"/>
                <w:b w:val="0"/>
                <w:bCs w:val="0"/>
                <w:color w:val="000000"/>
                <w:sz w:val="24"/>
                <w:szCs w:val="24"/>
                <w:highlight w:val="none"/>
                <w:lang w:val="en-US" w:eastAsia="zh-CN"/>
              </w:rPr>
              <w:t xml:space="preserve">每具有1个证书得1分，最多得3分。</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3、投标人针对本项目的团队成员（不含项目负责人、技术负责人）具备：设备安装质量员、弱电系统工程师，每具有1个证书得1分，且同一人最多只能算一次，最多得2分。</w:t>
            </w:r>
            <w:r>
              <w:rPr>
                <w:rFonts w:ascii="Arial" w:hAnsi="Arial" w:cs="Arial"/>
                <w:b w:val="0"/>
                <w:bCs w:val="0"/>
                <w:color w:val="000000"/>
                <w:sz w:val="24"/>
                <w:szCs w:val="24"/>
                <w:highlight w:val="none"/>
                <w:lang w:val="en-US" w:eastAsia="zh-CN"/>
              </w:rPr>
            </w:r>
            <w:r/>
          </w:p>
        </w:tc>
      </w:tr>
      <w:tr>
        <w:trPr>
          <w:trHeight w:val="9338"/>
        </w:trPr>
        <w:tc>
          <w:tcPr>
            <w:tcW w:w="1174"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5</w:t>
            </w:r>
            <w:r>
              <w:rPr>
                <w:rFonts w:ascii="Arial" w:hAnsi="Arial" w:cs="Arial"/>
                <w:b w:val="0"/>
                <w:bCs w:val="0"/>
                <w:color w:val="000000"/>
                <w:sz w:val="24"/>
                <w:szCs w:val="24"/>
                <w:highlight w:val="none"/>
                <w:lang w:val="en-US" w:eastAsia="zh-CN"/>
              </w:rPr>
            </w:r>
            <w:r/>
          </w:p>
        </w:tc>
        <w:tc>
          <w:tcPr>
            <w:tcW w:w="150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实施方案</w:t>
            </w:r>
            <w:r>
              <w:rPr>
                <w:rFonts w:ascii="Arial" w:hAnsi="Arial" w:cs="Arial"/>
                <w:b w:val="0"/>
                <w:bCs w:val="0"/>
                <w:color w:val="000000"/>
                <w:sz w:val="24"/>
                <w:szCs w:val="24"/>
                <w:highlight w:val="none"/>
                <w:lang w:val="en-US" w:eastAsia="zh-CN"/>
              </w:rPr>
            </w:r>
            <w:r/>
          </w:p>
        </w:tc>
        <w:tc>
          <w:tcPr>
            <w:tcW w:w="945"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5</w:t>
            </w:r>
            <w:r>
              <w:rPr>
                <w:rFonts w:ascii="Arial" w:hAnsi="Arial" w:cs="Arial"/>
                <w:b w:val="0"/>
                <w:bCs w:val="0"/>
                <w:color w:val="000000"/>
                <w:sz w:val="24"/>
                <w:szCs w:val="24"/>
                <w:highlight w:val="none"/>
                <w:lang w:val="en-US" w:eastAsia="zh-CN"/>
              </w:rPr>
            </w:r>
            <w:r/>
          </w:p>
        </w:tc>
        <w:tc>
          <w:tcPr>
            <w:tcW w:w="532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投标人须针对项目编制专项施工实施方案，方案需覆盖以下五项核心内容：</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1、总体部署：包含项目施工整体思路、现场文明施工与交叉作业协调机制；</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2、人员安排：包含项目管理组织架构、现场施工班组等人员配置及岗位职责说明；</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3、进度计划：包含总工期管控、分阶段施工节点（设备安装、系统联调、验收交付）；</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4、质量控制措施：包含智能化系统施工工艺标准、设备进场质量检验、布线施工质量管控、系统兼容性与网络安全管控；</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5、系统测试方案：包含单设备功能测试、子系统独立调试、全系统联调联试、网络性能与安全测试、试运行验收测试；</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评审规则：以上五项，每一项提供内容齐全得1分，最高得 5 分；不提供不得分。</w:t>
            </w:r>
            <w:r>
              <w:rPr>
                <w:rFonts w:ascii="Arial" w:hAnsi="Arial" w:cs="Arial"/>
                <w:b w:val="0"/>
                <w:bCs w:val="0"/>
                <w:color w:val="000000"/>
                <w:sz w:val="24"/>
                <w:szCs w:val="24"/>
                <w:highlight w:val="none"/>
                <w:lang w:val="en-US" w:eastAsia="zh-CN"/>
              </w:rPr>
            </w:r>
            <w:r/>
          </w:p>
        </w:tc>
      </w:tr>
      <w:tr>
        <w:trPr>
          <w:trHeight w:val="10148"/>
        </w:trPr>
        <w:tc>
          <w:tcPr>
            <w:tcW w:w="1174"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6</w:t>
            </w:r>
            <w:r>
              <w:rPr>
                <w:rFonts w:ascii="Arial" w:hAnsi="Arial" w:cs="Arial"/>
                <w:b w:val="0"/>
                <w:bCs w:val="0"/>
                <w:color w:val="000000"/>
                <w:sz w:val="24"/>
                <w:szCs w:val="24"/>
                <w:highlight w:val="none"/>
                <w:lang w:val="en-US" w:eastAsia="zh-CN"/>
              </w:rPr>
            </w:r>
            <w:r/>
          </w:p>
        </w:tc>
        <w:tc>
          <w:tcPr>
            <w:tcW w:w="150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售后服务</w:t>
            </w:r>
            <w:r>
              <w:rPr>
                <w:rFonts w:ascii="Arial" w:hAnsi="Arial" w:cs="Arial"/>
                <w:b w:val="0"/>
                <w:bCs w:val="0"/>
                <w:color w:val="000000"/>
                <w:sz w:val="24"/>
                <w:szCs w:val="24"/>
                <w:highlight w:val="none"/>
                <w:lang w:val="en-US" w:eastAsia="zh-CN"/>
              </w:rPr>
            </w:r>
            <w:r/>
          </w:p>
        </w:tc>
        <w:tc>
          <w:tcPr>
            <w:tcW w:w="945"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5</w:t>
            </w:r>
            <w:r>
              <w:rPr>
                <w:rFonts w:ascii="Arial" w:hAnsi="Arial" w:cs="Arial"/>
                <w:b w:val="0"/>
                <w:bCs w:val="0"/>
                <w:color w:val="000000"/>
                <w:sz w:val="24"/>
                <w:szCs w:val="24"/>
                <w:highlight w:val="none"/>
                <w:lang w:val="en-US" w:eastAsia="zh-CN"/>
              </w:rPr>
            </w:r>
            <w:r/>
          </w:p>
        </w:tc>
        <w:tc>
          <w:tcPr>
            <w:tcW w:w="532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投标人须针对本项目编制专项售后服务方案，方案需覆盖以下五项核心内容：</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1、售后服务人员组成：包含专属运维团队架构、驻场巡检技术人员配置、技术支持工程师资质与职责说明；</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2、服务流程：包含日常报修受理、故障分级处置、问题闭环跟踪、定期回访服务服务机制；</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3、备品备件：包含智能化设备备品备件库建设、常用易损件储备、备件快速调拨保障机制；</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4、应急响应措施：包含校园核心系统故障应急处置预案、重大故障现场支援机制、重要教学节点保障预案；</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5、交付培训：包含校方管理员系统运维培训、师生日常使用操作培训、系统功能进阶培训。</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评审规则：以上五项，每一项提供内容齐全得1分，最高得 5 分；不提供不得分。</w:t>
            </w:r>
            <w:r>
              <w:rPr>
                <w:rFonts w:ascii="Arial" w:hAnsi="Arial" w:cs="Arial"/>
                <w:b w:val="0"/>
                <w:bCs w:val="0"/>
                <w:color w:val="000000"/>
                <w:sz w:val="24"/>
                <w:szCs w:val="24"/>
                <w:highlight w:val="none"/>
                <w:lang w:val="en-US" w:eastAsia="zh-CN"/>
              </w:rPr>
            </w:r>
            <w:r/>
          </w:p>
        </w:tc>
      </w:tr>
      <w:tr>
        <w:trPr>
          <w:trHeight w:val="1876"/>
        </w:trPr>
        <w:tc>
          <w:tcPr>
            <w:tcW w:w="1174"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7</w:t>
            </w:r>
            <w:r>
              <w:rPr>
                <w:rFonts w:ascii="Arial" w:hAnsi="Arial" w:cs="Arial"/>
                <w:b w:val="0"/>
                <w:bCs w:val="0"/>
                <w:color w:val="000000"/>
                <w:sz w:val="24"/>
                <w:szCs w:val="24"/>
                <w:highlight w:val="none"/>
                <w:lang w:val="en-US" w:eastAsia="zh-CN"/>
              </w:rPr>
            </w:r>
            <w:r/>
          </w:p>
        </w:tc>
        <w:tc>
          <w:tcPr>
            <w:tcW w:w="150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项目案例</w:t>
            </w:r>
            <w:r>
              <w:rPr>
                <w:rFonts w:ascii="Arial" w:hAnsi="Arial" w:cs="Arial"/>
                <w:b w:val="0"/>
                <w:bCs w:val="0"/>
                <w:color w:val="000000"/>
                <w:sz w:val="24"/>
                <w:szCs w:val="24"/>
                <w:highlight w:val="none"/>
                <w:lang w:val="en-US" w:eastAsia="zh-CN"/>
              </w:rPr>
            </w:r>
            <w:r/>
          </w:p>
        </w:tc>
        <w:tc>
          <w:tcPr>
            <w:tcW w:w="945"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2</w:t>
            </w:r>
            <w:r>
              <w:rPr>
                <w:rFonts w:ascii="Arial" w:hAnsi="Arial" w:cs="Arial"/>
                <w:b w:val="0"/>
                <w:bCs w:val="0"/>
                <w:color w:val="000000"/>
                <w:sz w:val="24"/>
                <w:szCs w:val="24"/>
                <w:highlight w:val="none"/>
                <w:lang w:val="en-US" w:eastAsia="zh-CN"/>
              </w:rPr>
            </w:r>
            <w:r/>
          </w:p>
        </w:tc>
        <w:tc>
          <w:tcPr>
            <w:tcW w:w="5320" w:type="dxa"/>
            <w:vAlign w:val="center"/>
            <w:textDirection w:val="lrTb"/>
            <w:noWrap w:val="false"/>
          </w:tcPr>
          <w:p>
            <w:pPr>
              <w:pStyle w:val="871"/>
              <w:ind w:firstLine="439"/>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投标人提供类似校园信息化业绩，每提供一个得1分，本项最高得2分。需提供合同原件扫描件（包含合同签章页和清单）加盖响应供应商公章，不提供不得分。</w:t>
            </w:r>
            <w:r>
              <w:rPr>
                <w:rFonts w:ascii="Arial" w:hAnsi="Arial" w:cs="Arial"/>
                <w:b w:val="0"/>
                <w:bCs w:val="0"/>
                <w:color w:val="000000"/>
                <w:sz w:val="24"/>
                <w:szCs w:val="24"/>
                <w:highlight w:val="none"/>
                <w:lang w:val="en-US" w:eastAsia="zh-CN"/>
              </w:rPr>
            </w:r>
            <w:r/>
          </w:p>
        </w:tc>
      </w:tr>
      <w:tr>
        <w:trPr>
          <w:trHeight w:val="4375"/>
        </w:trPr>
        <w:tc>
          <w:tcPr>
            <w:tcW w:w="1174"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8</w:t>
            </w:r>
            <w:r>
              <w:rPr>
                <w:rFonts w:ascii="Arial" w:hAnsi="Arial" w:cs="Arial"/>
                <w:b w:val="0"/>
                <w:bCs w:val="0"/>
                <w:color w:val="000000"/>
                <w:sz w:val="24"/>
                <w:szCs w:val="24"/>
                <w:highlight w:val="none"/>
                <w:lang w:val="en-US" w:eastAsia="zh-CN"/>
              </w:rPr>
            </w:r>
            <w:r/>
          </w:p>
        </w:tc>
        <w:tc>
          <w:tcPr>
            <w:tcW w:w="1500" w:type="dxa"/>
            <w:vAlign w:val="center"/>
            <w:textDirection w:val="lrTb"/>
            <w:noWrap w:val="false"/>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节能环保</w:t>
            </w:r>
            <w:r>
              <w:rPr>
                <w:rFonts w:ascii="Arial" w:hAnsi="Arial" w:cs="Arial"/>
                <w:b w:val="0"/>
                <w:bCs w:val="0"/>
                <w:color w:val="000000"/>
                <w:sz w:val="24"/>
                <w:szCs w:val="24"/>
                <w:highlight w:val="none"/>
                <w:lang w:val="en-US" w:eastAsia="zh-CN"/>
              </w:rPr>
            </w:r>
            <w:r/>
          </w:p>
        </w:tc>
        <w:tc>
          <w:tcPr>
            <w:tcW w:w="945" w:type="dxa"/>
            <w:vAlign w:val="center"/>
            <w:textDirection w:val="lrTb"/>
            <w:noWrap/>
          </w:tcPr>
          <w:p>
            <w:pPr>
              <w:pStyle w:val="871"/>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2</w:t>
            </w:r>
            <w:r>
              <w:rPr>
                <w:rFonts w:ascii="Arial" w:hAnsi="Arial" w:cs="Arial"/>
                <w:b w:val="0"/>
                <w:bCs w:val="0"/>
                <w:color w:val="000000"/>
                <w:sz w:val="24"/>
                <w:szCs w:val="24"/>
                <w:highlight w:val="none"/>
                <w:lang w:val="en-US" w:eastAsia="zh-CN"/>
              </w:rPr>
            </w:r>
            <w:r/>
          </w:p>
        </w:tc>
        <w:tc>
          <w:tcPr>
            <w:tcW w:w="5320" w:type="dxa"/>
            <w:vAlign w:val="center"/>
            <w:textDirection w:val="lrTb"/>
            <w:noWrap w:val="false"/>
          </w:tcPr>
          <w:p>
            <w:pPr>
              <w:pStyle w:val="871"/>
              <w:ind w:firstLine="439"/>
              <w:jc w:val="left"/>
              <w:spacing w:line="560" w:lineRule="exact"/>
              <w:rPr>
                <w:rFonts w:ascii="Arial" w:hAnsi="Arial" w:cs="Arial"/>
                <w:b w:val="0"/>
                <w:bCs w:val="0"/>
                <w:color w:val="000000"/>
                <w:sz w:val="24"/>
                <w:szCs w:val="24"/>
                <w:highlight w:val="none"/>
                <w:lang w:val="en-US" w:eastAsia="zh-CN"/>
              </w:rPr>
            </w:pPr>
            <w:r>
              <w:rPr>
                <w:rFonts w:ascii="Arial" w:hAnsi="Arial" w:cs="Arial"/>
                <w:b w:val="0"/>
                <w:bCs w:val="0"/>
                <w:color w:val="000000"/>
                <w:sz w:val="24"/>
                <w:szCs w:val="24"/>
                <w:highlight w:val="none"/>
                <w:lang w:val="en-US" w:eastAsia="zh-CN"/>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Arial" w:hAnsi="Arial" w:cs="Arial"/>
                <w:b w:val="0"/>
                <w:bCs w:val="0"/>
                <w:color w:val="000000"/>
                <w:sz w:val="24"/>
                <w:szCs w:val="24"/>
                <w:highlight w:val="none"/>
                <w:lang w:val="en-US" w:eastAsia="zh-CN"/>
              </w:rPr>
              <w:br w:type="textWrapping" w:clear="all"/>
            </w:r>
            <w:r>
              <w:rPr>
                <w:rFonts w:ascii="Arial" w:hAnsi="Arial" w:cs="Arial"/>
                <w:b w:val="0"/>
                <w:bCs w:val="0"/>
                <w:color w:val="000000"/>
                <w:sz w:val="24"/>
                <w:szCs w:val="24"/>
                <w:highlight w:val="none"/>
                <w:lang w:val="en-US" w:eastAsia="zh-CN"/>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Arial" w:hAnsi="Arial" w:cs="Arial"/>
                <w:b w:val="0"/>
                <w:bCs w:val="0"/>
                <w:color w:val="000000"/>
                <w:sz w:val="24"/>
                <w:szCs w:val="24"/>
                <w:highlight w:val="none"/>
                <w:lang w:val="en-US" w:eastAsia="zh-CN"/>
              </w:rPr>
            </w:r>
            <w:r/>
          </w:p>
        </w:tc>
      </w:tr>
    </w:tbl>
    <w:p>
      <w:pPr>
        <w:pStyle w:val="871"/>
        <w:ind w:firstLine="441"/>
        <w:jc w:val="left"/>
        <w:spacing w:line="560" w:lineRule="exact"/>
        <w:rPr>
          <w:rFonts w:ascii="Arial" w:hAnsi="Arial" w:cs="Arial"/>
          <w:b/>
          <w:bCs/>
          <w:color w:val="000000"/>
          <w:sz w:val="24"/>
          <w:szCs w:val="24"/>
          <w:highlight w:val="none"/>
          <w:lang w:val="en-US" w:eastAsia="zh-CN"/>
        </w:rPr>
      </w:pPr>
      <w:r>
        <w:rPr>
          <w:rFonts w:ascii="Arial" w:hAnsi="Arial" w:cs="Arial"/>
          <w:b/>
          <w:bCs/>
          <w:color w:val="000000"/>
          <w:sz w:val="24"/>
          <w:szCs w:val="24"/>
          <w:highlight w:val="none"/>
          <w:lang w:val="en-US" w:eastAsia="zh-CN"/>
        </w:rPr>
      </w:r>
      <w:r/>
    </w:p>
    <w:p>
      <w:pPr>
        <w:pStyle w:val="871"/>
        <w:ind w:firstLine="441"/>
        <w:jc w:val="left"/>
        <w:spacing w:line="560" w:lineRule="exact"/>
        <w:rPr>
          <w:rFonts w:hint="eastAsia" w:ascii="Arial" w:hAnsi="Arial" w:cs="Arial"/>
          <w:b/>
          <w:color w:val="000000"/>
          <w:sz w:val="24"/>
          <w:szCs w:val="24"/>
          <w:highlight w:val="none"/>
        </w:rPr>
      </w:pPr>
      <w:r>
        <w:rPr>
          <w:rFonts w:hint="eastAsia" w:ascii="Arial" w:hAnsi="Arial" w:cs="Arial"/>
          <w:b/>
          <w:color w:val="000000"/>
          <w:sz w:val="24"/>
          <w:szCs w:val="24"/>
          <w:highlight w:val="none"/>
        </w:rPr>
        <w:t xml:space="preserve">（四）价格分：</w:t>
      </w:r>
      <w:r>
        <w:rPr>
          <w:rFonts w:hint="eastAsia" w:ascii="Arial" w:hAnsi="Arial" w:cs="Arial"/>
          <w:b/>
          <w:color w:val="000000"/>
          <w:sz w:val="24"/>
          <w:szCs w:val="24"/>
          <w:highlight w:val="none"/>
          <w:lang w:val="en-US" w:eastAsia="zh-CN"/>
        </w:rPr>
        <w:t xml:space="preserve">3</w:t>
      </w:r>
      <w:r>
        <w:rPr>
          <w:rFonts w:hint="eastAsia" w:ascii="Arial" w:hAnsi="Arial" w:cs="Arial"/>
          <w:b/>
          <w:color w:val="000000"/>
          <w:sz w:val="24"/>
          <w:szCs w:val="24"/>
          <w:highlight w:val="none"/>
          <w:lang w:val="en-US" w:eastAsia="zh-CN"/>
        </w:rPr>
        <w:t xml:space="preserve">0</w:t>
      </w:r>
      <w:r>
        <w:rPr>
          <w:rFonts w:hint="eastAsia" w:ascii="Arial" w:hAnsi="Arial" w:cs="Arial"/>
          <w:b/>
          <w:color w:val="000000"/>
          <w:sz w:val="24"/>
          <w:szCs w:val="24"/>
          <w:highlight w:val="none"/>
        </w:rPr>
        <w:t xml:space="preserve">分</w:t>
      </w:r>
      <w:r>
        <w:rPr>
          <w:rFonts w:hint="eastAsia" w:ascii="Arial" w:hAnsi="Arial" w:cs="Arial"/>
          <w:b/>
          <w:color w:val="000000"/>
          <w:sz w:val="24"/>
          <w:szCs w:val="24"/>
          <w:highlight w:val="none"/>
        </w:rPr>
      </w:r>
      <w:r/>
    </w:p>
    <w:p>
      <w:pPr>
        <w:pStyle w:val="871"/>
        <w:ind w:firstLine="439"/>
        <w:jc w:val="left"/>
        <w:spacing w:line="56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cs="Arial"/>
          <w:color w:val="000000"/>
          <w:sz w:val="24"/>
          <w:szCs w:val="24"/>
          <w:highlight w:val="none"/>
        </w:rPr>
      </w:r>
      <w:r/>
    </w:p>
    <w:p>
      <w:pPr>
        <w:pStyle w:val="871"/>
        <w:ind w:firstLine="439"/>
        <w:jc w:val="left"/>
        <w:spacing w:line="56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投标报价得分=（评标基准价/投标报价）×价格权值×100</w:t>
      </w:r>
      <w:r>
        <w:rPr>
          <w:rFonts w:hint="eastAsia" w:ascii="宋体" w:hAnsi="宋体" w:cs="Arial"/>
          <w:color w:val="000000"/>
          <w:sz w:val="24"/>
          <w:szCs w:val="24"/>
          <w:highlight w:val="none"/>
        </w:rPr>
      </w:r>
      <w:r/>
    </w:p>
    <w:p>
      <w:pPr>
        <w:pStyle w:val="871"/>
        <w:ind w:firstLine="439"/>
        <w:jc w:val="left"/>
        <w:spacing w:line="560" w:lineRule="exact"/>
        <w:rPr>
          <w:rFonts w:ascii="宋体" w:hAnsi="宋体" w:cs="Arial"/>
          <w:color w:val="000000"/>
          <w:sz w:val="24"/>
          <w:szCs w:val="24"/>
          <w:highlight w:val="none"/>
        </w:rPr>
      </w:pPr>
      <w:r>
        <w:rPr>
          <w:rFonts w:ascii="宋体" w:hAnsi="宋体" w:cs="Arial"/>
          <w:color w:val="000000"/>
          <w:sz w:val="24"/>
          <w:szCs w:val="24"/>
          <w:highlight w:val="none"/>
        </w:rPr>
        <w:t xml:space="preserve">出现下列情形之一的，评</w:t>
      </w:r>
      <w:r>
        <w:rPr>
          <w:rFonts w:hint="eastAsia" w:ascii="宋体" w:hAnsi="宋体" w:cs="Arial"/>
          <w:color w:val="000000"/>
          <w:sz w:val="24"/>
          <w:szCs w:val="24"/>
          <w:highlight w:val="none"/>
        </w:rPr>
        <w:t xml:space="preserve">标</w:t>
      </w:r>
      <w:r>
        <w:rPr>
          <w:rFonts w:ascii="宋体" w:hAnsi="宋体" w:cs="Arial"/>
          <w:color w:val="000000"/>
          <w:sz w:val="24"/>
          <w:szCs w:val="24"/>
          <w:highlight w:val="none"/>
        </w:rPr>
        <w:t xml:space="preserve">委员会应当启动异常低价投标审查程序：</w:t>
      </w:r>
      <w:r>
        <w:rPr>
          <w:rFonts w:ascii="宋体" w:hAnsi="宋体" w:cs="Arial"/>
          <w:color w:val="000000"/>
          <w:sz w:val="24"/>
          <w:szCs w:val="24"/>
          <w:highlight w:val="none"/>
        </w:rPr>
      </w:r>
      <w:r/>
    </w:p>
    <w:p>
      <w:pPr>
        <w:pStyle w:val="871"/>
        <w:ind w:firstLine="439"/>
        <w:jc w:val="left"/>
        <w:spacing w:line="56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Arial"/>
          <w:color w:val="000000"/>
          <w:sz w:val="24"/>
          <w:szCs w:val="24"/>
          <w:highlight w:val="none"/>
        </w:rPr>
      </w:r>
      <w:r/>
    </w:p>
    <w:p>
      <w:pPr>
        <w:pStyle w:val="871"/>
        <w:ind w:firstLine="439"/>
        <w:jc w:val="left"/>
        <w:spacing w:line="56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Arial"/>
          <w:color w:val="000000"/>
          <w:sz w:val="24"/>
          <w:szCs w:val="24"/>
          <w:highlight w:val="none"/>
        </w:rPr>
      </w:r>
      <w:r/>
    </w:p>
    <w:p>
      <w:pPr>
        <w:pStyle w:val="871"/>
        <w:ind w:firstLine="439"/>
        <w:jc w:val="left"/>
        <w:spacing w:line="56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3、投标（响应）报价低于采购项目最高限价45%的，即投标（响应）报价&lt;采购项目最高限价×45%；</w:t>
      </w:r>
      <w:r>
        <w:rPr>
          <w:rFonts w:hint="eastAsia" w:ascii="宋体" w:hAnsi="宋体" w:cs="Arial"/>
          <w:color w:val="000000"/>
          <w:sz w:val="24"/>
          <w:szCs w:val="24"/>
          <w:highlight w:val="none"/>
        </w:rPr>
      </w:r>
      <w:r/>
    </w:p>
    <w:p>
      <w:pPr>
        <w:pStyle w:val="871"/>
        <w:ind w:firstLine="439"/>
        <w:jc w:val="left"/>
        <w:spacing w:line="56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4、评审委员会基于专业判断，认为供应商报价过低，有可能影响产品质量或者不能诚信履约的其他情形。</w:t>
      </w:r>
      <w:r>
        <w:rPr>
          <w:rFonts w:ascii="宋体" w:hAnsi="宋体" w:cs="Arial"/>
          <w:color w:val="000000"/>
          <w:sz w:val="24"/>
          <w:szCs w:val="24"/>
          <w:highlight w:val="none"/>
        </w:rPr>
      </w:r>
      <w:r/>
    </w:p>
    <w:p>
      <w:pPr>
        <w:pStyle w:val="871"/>
        <w:ind w:firstLine="439"/>
        <w:jc w:val="left"/>
        <w:spacing w:line="560" w:lineRule="exact"/>
        <w:rPr>
          <w:rFonts w:ascii="宋体" w:hAnsi="宋体" w:cs="Arial"/>
          <w:color w:val="000000"/>
          <w:sz w:val="24"/>
          <w:szCs w:val="24"/>
          <w:highlight w:val="none"/>
        </w:rPr>
      </w:pPr>
      <w:r>
        <w:rPr>
          <w:rFonts w:ascii="宋体" w:hAnsi="宋体" w:cs="Arial"/>
          <w:color w:val="000000"/>
          <w:sz w:val="24"/>
          <w:szCs w:val="24"/>
          <w:highlight w:val="none"/>
        </w:rPr>
        <w:t xml:space="preserve">启动异常低价投标审查后，评</w:t>
      </w:r>
      <w:r>
        <w:rPr>
          <w:rFonts w:hint="eastAsia" w:ascii="宋体" w:hAnsi="宋体" w:cs="Arial"/>
          <w:color w:val="000000"/>
          <w:sz w:val="24"/>
          <w:szCs w:val="24"/>
          <w:highlight w:val="none"/>
        </w:rPr>
        <w:t xml:space="preserve">标</w:t>
      </w:r>
      <w:r>
        <w:rPr>
          <w:rFonts w:ascii="宋体" w:hAnsi="宋体" w:cs="Arial"/>
          <w:color w:val="000000"/>
          <w:sz w:val="24"/>
          <w:szCs w:val="24"/>
          <w:highlight w:val="none"/>
        </w:rPr>
        <w:t xml:space="preserve">委员会</w:t>
      </w:r>
      <w:r>
        <w:rPr>
          <w:rFonts w:hint="eastAsia" w:ascii="宋体" w:hAnsi="宋体" w:cs="Arial"/>
          <w:color w:val="000000"/>
          <w:sz w:val="24"/>
          <w:szCs w:val="24"/>
          <w:highlight w:val="none"/>
        </w:rPr>
        <w:t xml:space="preserve">将通过苏采云系统要求相关供应商在合理的时间内（一般不少于30分钟），提供</w:t>
      </w:r>
      <w:r>
        <w:rPr>
          <w:rFonts w:ascii="宋体" w:hAnsi="宋体" w:cs="Arial"/>
          <w:color w:val="000000"/>
          <w:sz w:val="24"/>
          <w:szCs w:val="24"/>
          <w:highlight w:val="none"/>
        </w:rPr>
        <w:t xml:space="preserve">项目具体成本测算等与报价合理性相关的书面说明及相关证明材料，对投标价格作出解释，由评</w:t>
      </w:r>
      <w:r>
        <w:rPr>
          <w:rFonts w:hint="eastAsia" w:ascii="宋体" w:hAnsi="宋体" w:cs="Arial"/>
          <w:color w:val="000000"/>
          <w:sz w:val="24"/>
          <w:szCs w:val="24"/>
          <w:highlight w:val="none"/>
        </w:rPr>
        <w:t xml:space="preserve">标</w:t>
      </w:r>
      <w:r>
        <w:rPr>
          <w:rFonts w:ascii="宋体" w:hAnsi="宋体" w:cs="Arial"/>
          <w:color w:val="000000"/>
          <w:sz w:val="24"/>
          <w:szCs w:val="24"/>
          <w:highlight w:val="none"/>
        </w:rPr>
        <w:t xml:space="preserve">委员会结合同类产品在主要电商平台的价格、该行业当地薪资水平等情况，依据专业经验对供应商报价合理性进行判断。</w:t>
      </w:r>
      <w:r>
        <w:rPr>
          <w:rFonts w:ascii="宋体" w:hAnsi="宋体" w:cs="Arial"/>
          <w:color w:val="000000"/>
          <w:sz w:val="24"/>
          <w:szCs w:val="24"/>
          <w:highlight w:val="none"/>
        </w:rPr>
      </w:r>
      <w:r/>
    </w:p>
    <w:p>
      <w:pPr>
        <w:pStyle w:val="871"/>
        <w:ind w:firstLine="439"/>
        <w:jc w:val="left"/>
        <w:spacing w:line="56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Arial"/>
          <w:color w:val="000000"/>
          <w:sz w:val="24"/>
          <w:szCs w:val="24"/>
          <w:highlight w:val="none"/>
        </w:rPr>
      </w:r>
      <w:r/>
    </w:p>
    <w:p>
      <w:pPr>
        <w:pStyle w:val="871"/>
        <w:ind w:firstLine="441"/>
        <w:jc w:val="left"/>
        <w:spacing w:line="560" w:lineRule="exact"/>
        <w:rPr>
          <w:rFonts w:hint="eastAsia" w:ascii="宋体" w:hAnsi="宋体"/>
          <w:b/>
          <w:color w:val="000000"/>
          <w:sz w:val="24"/>
          <w:szCs w:val="24"/>
          <w:highlight w:val="none"/>
        </w:rPr>
      </w:pPr>
      <w:r>
        <w:rPr>
          <w:rFonts w:hint="eastAsia" w:ascii="Arial" w:hAnsi="Arial" w:cs="Arial"/>
          <w:b/>
          <w:color w:val="000000"/>
          <w:sz w:val="24"/>
          <w:szCs w:val="24"/>
          <w:highlight w:val="none"/>
        </w:rPr>
        <w:t xml:space="preserve">（五）</w:t>
      </w: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871"/>
        <w:ind w:firstLine="441"/>
        <w:jc w:val="left"/>
        <w:spacing w:line="560" w:lineRule="exact"/>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本项目为非专门面向中小微企业采购项目。</w:t>
      </w:r>
      <w:r>
        <w:rPr>
          <w:rFonts w:ascii="宋体" w:hAnsi="宋体"/>
          <w:b/>
          <w:color w:val="000000"/>
          <w:sz w:val="24"/>
          <w:szCs w:val="24"/>
          <w:highlight w:val="none"/>
          <w:u w:val="single"/>
        </w:rPr>
      </w:r>
      <w:r/>
    </w:p>
    <w:p>
      <w:pPr>
        <w:pStyle w:val="871"/>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871"/>
        <w:ind w:firstLine="36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871"/>
        <w:ind w:firstLine="36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（2）供应商需按照采购文件的要求提供相应的《中小企业声明函》。</w:t>
      </w:r>
      <w:r>
        <w:rPr>
          <w:rFonts w:hint="eastAsia" w:ascii="宋体" w:hAnsi="宋体"/>
          <w:color w:val="000000"/>
          <w:sz w:val="24"/>
          <w:szCs w:val="24"/>
          <w:highlight w:val="none"/>
        </w:rPr>
      </w:r>
      <w:r/>
    </w:p>
    <w:p>
      <w:pPr>
        <w:pStyle w:val="871"/>
        <w:ind w:firstLine="36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871"/>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871"/>
        <w:ind w:left="120" w:firstLine="36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1"/>
        <w:ind w:left="120" w:firstLine="36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871"/>
        <w:ind w:left="120" w:firstLine="36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871"/>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871"/>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1"/>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871"/>
        <w:ind w:firstLine="480"/>
        <w:jc w:val="left"/>
        <w:spacing w:line="56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rPr>
        <w:t xml:space="preserve">6%</w:t>
      </w:r>
      <w:r>
        <w:rPr>
          <w:rFonts w:hint="eastAsia" w:ascii="宋体" w:hAnsi="宋体"/>
          <w:color w:val="000000"/>
          <w:sz w:val="24"/>
          <w:szCs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871"/>
        <w:ind w:firstLine="48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871"/>
        <w:ind w:firstLine="482"/>
        <w:jc w:val="left"/>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7、专门面向中小企业采购的项目或者采购包，不再执行价格评审优惠的扶持政策。</w:t>
      </w:r>
      <w:r>
        <w:rPr>
          <w:rFonts w:hint="eastAsia" w:ascii="宋体" w:hAnsi="宋体"/>
          <w:b/>
          <w:bCs/>
          <w:color w:val="000000"/>
          <w:sz w:val="24"/>
          <w:szCs w:val="24"/>
          <w:highlight w:val="none"/>
        </w:rPr>
      </w:r>
      <w:r/>
    </w:p>
    <w:p>
      <w:pPr>
        <w:pStyle w:val="871"/>
        <w:ind w:firstLine="482"/>
        <w:spacing w:line="560" w:lineRule="exact"/>
        <w:rPr>
          <w:rFonts w:hint="eastAsia" w:ascii="宋体" w:hAnsi="宋体"/>
          <w:b/>
          <w:color w:val="000000"/>
          <w:sz w:val="24"/>
          <w:szCs w:val="24"/>
          <w:highlight w:val="none"/>
        </w:rPr>
      </w:pPr>
      <w:r>
        <w:rPr>
          <w:rFonts w:hint="eastAsia" w:ascii="Arial" w:hAnsi="Arial" w:cs="Arial"/>
          <w:b/>
          <w:color w:val="000000"/>
          <w:sz w:val="24"/>
          <w:szCs w:val="24"/>
          <w:highlight w:val="none"/>
        </w:rPr>
        <w:t xml:space="preserve">（六）</w:t>
      </w:r>
      <w:r>
        <w:rPr>
          <w:rFonts w:hint="eastAsia" w:ascii="宋体" w:hAnsi="宋体"/>
          <w:b/>
          <w:color w:val="000000"/>
          <w:sz w:val="24"/>
          <w:szCs w:val="24"/>
          <w:highlight w:val="none"/>
        </w:rPr>
        <w:t xml:space="preserve">采购本国产品的支持政策</w:t>
      </w:r>
      <w:r>
        <w:rPr>
          <w:rFonts w:hint="eastAsia" w:ascii="宋体" w:hAnsi="宋体"/>
          <w:b/>
          <w:color w:val="000000"/>
          <w:sz w:val="24"/>
          <w:szCs w:val="24"/>
          <w:highlight w:val="none"/>
        </w:rPr>
      </w:r>
      <w:r/>
    </w:p>
    <w:p>
      <w:pPr>
        <w:pStyle w:val="871"/>
        <w:ind w:firstLine="508"/>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pacing w:val="7"/>
          <w:sz w:val="24"/>
          <w:szCs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color w:val="000000"/>
          <w:sz w:val="24"/>
          <w:szCs w:val="24"/>
          <w:highlight w:val="none"/>
        </w:rPr>
      </w:r>
      <w:r/>
    </w:p>
    <w:p>
      <w:pPr>
        <w:pStyle w:val="871"/>
        <w:ind w:firstLine="508"/>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pacing w:val="7"/>
          <w:sz w:val="24"/>
          <w:szCs w:val="24"/>
          <w:highlight w:val="non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rPr>
          <w:rFonts w:ascii="宋体" w:hAnsi="宋体" w:cs="宋体"/>
          <w:color w:val="000000"/>
          <w:sz w:val="24"/>
          <w:szCs w:val="24"/>
          <w:highlight w:val="none"/>
        </w:rPr>
      </w:r>
      <w:r/>
    </w:p>
    <w:p>
      <w:pPr>
        <w:pStyle w:val="871"/>
        <w:ind w:firstLine="508"/>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pacing w:val="7"/>
          <w:sz w:val="24"/>
          <w:szCs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 w:val="24"/>
          <w:szCs w:val="24"/>
          <w:highlight w:val="none"/>
        </w:rPr>
      </w:r>
      <w:r/>
    </w:p>
    <w:p>
      <w:pPr>
        <w:pStyle w:val="871"/>
        <w:ind w:firstLine="510"/>
        <w:jc w:val="left"/>
        <w:spacing w:line="560" w:lineRule="exact"/>
        <w:shd w:val="clear" w:color="auto" w:fill="ffffff"/>
        <w:widowControl/>
        <w:rPr>
          <w:rFonts w:ascii="宋体" w:hAnsi="宋体" w:cs="宋体"/>
          <w:b/>
          <w:color w:val="000000"/>
          <w:sz w:val="24"/>
          <w:szCs w:val="24"/>
          <w:highlight w:val="none"/>
        </w:rPr>
      </w:pPr>
      <w:r>
        <w:rPr>
          <w:rFonts w:hint="eastAsia" w:ascii="宋体" w:hAnsi="宋体" w:cs="宋体"/>
          <w:b/>
          <w:color w:val="000000"/>
          <w:spacing w:val="7"/>
          <w:sz w:val="24"/>
          <w:szCs w:val="24"/>
          <w:highlight w:val="none"/>
        </w:rPr>
        <w:t xml:space="preserve">4.供应商需按照招标文件的要求提供《关于符合本国产品标准的声明函》，如不提供将不享受本国产品价格评审优惠。</w:t>
      </w:r>
      <w:r>
        <w:rPr>
          <w:rFonts w:ascii="宋体" w:hAnsi="宋体" w:cs="宋体"/>
          <w:b/>
          <w:color w:val="000000"/>
          <w:sz w:val="24"/>
          <w:szCs w:val="24"/>
          <w:highlight w:val="none"/>
        </w:rPr>
      </w:r>
      <w:r/>
    </w:p>
    <w:p>
      <w:pPr>
        <w:pStyle w:val="871"/>
        <w:ind w:firstLine="508"/>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pacing w:val="7"/>
          <w:sz w:val="24"/>
          <w:szCs w:val="24"/>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rPr>
          <w:rFonts w:ascii="宋体" w:hAnsi="宋体" w:cs="宋体"/>
          <w:color w:val="000000"/>
          <w:sz w:val="24"/>
          <w:szCs w:val="24"/>
          <w:highlight w:val="none"/>
        </w:rPr>
      </w:r>
      <w:r/>
    </w:p>
    <w:p>
      <w:pPr>
        <w:pStyle w:val="871"/>
        <w:ind w:firstLine="508"/>
        <w:jc w:val="left"/>
        <w:spacing w:line="560" w:lineRule="exact"/>
        <w:shd w:val="clear" w:color="auto" w:fill="ffffff"/>
        <w:widowControl/>
        <w:rPr>
          <w:rFonts w:hint="eastAsia"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pacing w:val="7"/>
          <w:sz w:val="24"/>
          <w:szCs w:val="24"/>
          <w:highlight w:val="none"/>
        </w:rPr>
      </w:r>
      <w:r/>
    </w:p>
    <w:p>
      <w:pPr>
        <w:pStyle w:val="871"/>
        <w:ind w:firstLine="510"/>
        <w:jc w:val="left"/>
        <w:spacing w:line="560" w:lineRule="exact"/>
        <w:shd w:val="clear" w:color="auto" w:fill="ffffff"/>
        <w:widowControl/>
        <w:rPr>
          <w:rFonts w:hint="eastAsia" w:ascii="宋体" w:hAnsi="宋体" w:cs="宋体"/>
          <w:b/>
          <w:color w:val="000000"/>
          <w:spacing w:val="7"/>
          <w:sz w:val="24"/>
          <w:szCs w:val="24"/>
          <w:highlight w:val="none"/>
        </w:rPr>
      </w:pPr>
      <w:r>
        <w:rPr>
          <w:rFonts w:hint="eastAsia" w:ascii="宋体" w:hAnsi="宋体" w:cs="宋体"/>
          <w:b/>
          <w:color w:val="000000"/>
          <w:spacing w:val="7"/>
          <w:sz w:val="24"/>
          <w:szCs w:val="24"/>
          <w:highlight w:val="none"/>
        </w:rPr>
        <w:t xml:space="preserve">5.对于仅有本国产品参与竞争的政府采购项目，本国产品不享受价格扣除评审优惠。</w:t>
      </w:r>
      <w:r>
        <w:rPr>
          <w:rFonts w:hint="eastAsia" w:ascii="宋体" w:hAnsi="宋体" w:cs="宋体"/>
          <w:b/>
          <w:color w:val="000000"/>
          <w:spacing w:val="7"/>
          <w:sz w:val="24"/>
          <w:szCs w:val="24"/>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投标</w:t>
      </w:r>
      <w:bookmarkEnd w:id="177"/>
      <w:r/>
      <w:bookmarkEnd w:id="178"/>
      <w:r/>
      <w:bookmarkEnd w:id="179"/>
      <w:r>
        <w:rPr>
          <w:rFonts w:hint="eastAsia" w:ascii="黑体" w:hAnsi="Times New Roman" w:eastAsia="黑体"/>
          <w:bCs/>
          <w:color w:val="000000"/>
          <w:sz w:val="44"/>
          <w:szCs w:val="28"/>
          <w:highlight w:val="none"/>
        </w:rPr>
        <w:t xml:space="preserve">文件格式</w:t>
      </w:r>
      <w:r>
        <w:rPr>
          <w:rFonts w:hint="eastAsia" w:ascii="黑体" w:hAnsi="Times New Roman" w:eastAsia="黑体"/>
          <w:bCs/>
          <w:color w:val="000000"/>
          <w:sz w:val="44"/>
          <w:szCs w:val="28"/>
          <w:highlight w:val="none"/>
        </w:rPr>
      </w:r>
      <w:r/>
    </w:p>
    <w:p>
      <w:pPr>
        <w:pStyle w:val="871"/>
        <w:jc w:val="center"/>
        <w:rPr>
          <w:rFonts w:hint="eastAsia" w:ascii="宋体" w:hAnsi="宋体"/>
          <w:b/>
          <w:color w:val="000000"/>
          <w:sz w:val="72"/>
          <w:szCs w:val="21"/>
          <w:highlight w:val="none"/>
        </w:rPr>
      </w:pPr>
      <w:r/>
      <w:bookmarkStart w:id="180" w:name="_Hlt26955039"/>
      <w:r/>
      <w:bookmarkEnd w:id="180"/>
      <w:r/>
      <w:bookmarkStart w:id="181" w:name="_Hlt26671244"/>
      <w:r/>
      <w:bookmarkEnd w:id="181"/>
      <w:r/>
      <w:bookmarkStart w:id="182" w:name="_Toc49090576"/>
      <w:r/>
      <w:bookmarkStart w:id="183" w:name="_Toc26554094"/>
      <w:r/>
      <w:bookmarkStart w:id="184" w:name="_Toc120614282"/>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871"/>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7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87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szCs w:val="21"/>
          <w:highlight w:val="none"/>
        </w:rPr>
      </w:pPr>
      <w:r>
        <w:rPr>
          <w:rFonts w:ascii="宋体" w:hAnsi="宋体"/>
          <w:color w:val="000000"/>
          <w:szCs w:val="21"/>
          <w:highlight w:val="none"/>
        </w:rPr>
      </w:r>
      <w:r/>
    </w:p>
    <w:p>
      <w:pPr>
        <w:pStyle w:val="871"/>
        <w:ind w:firstLine="1084"/>
        <w:spacing w:line="560" w:lineRule="exact"/>
        <w:rPr>
          <w:rFonts w:ascii="宋体" w:hAnsi="宋体"/>
          <w:b/>
          <w:bCs/>
          <w:color w:val="000000"/>
          <w:sz w:val="32"/>
          <w:szCs w:val="32"/>
          <w:highlight w:val="none"/>
        </w:rPr>
      </w:pPr>
      <w:r>
        <w:rPr>
          <w:rFonts w:ascii="宋体" w:hAnsi="宋体"/>
          <w:b/>
          <w:color w:val="000000"/>
          <w:sz w:val="36"/>
          <w:szCs w:val="21"/>
          <w:highlight w:val="none"/>
          <w:u w:val="single"/>
        </w:rPr>
        <w:br w:type="page" w:clear="all"/>
      </w:r>
      <w:r>
        <w:rPr>
          <w:rFonts w:ascii="宋体" w:hAnsi="宋体"/>
          <w:b/>
          <w:bCs/>
          <w:color w:val="000000"/>
          <w:sz w:val="32"/>
          <w:szCs w:val="32"/>
          <w:highlight w:val="none"/>
        </w:rPr>
      </w:r>
      <w:r/>
    </w:p>
    <w:p>
      <w:pPr>
        <w:pStyle w:val="871"/>
        <w:jc w:val="center"/>
        <w:spacing w:line="5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投标文件目录</w:t>
      </w:r>
      <w:r>
        <w:rPr>
          <w:rFonts w:hint="eastAsia" w:ascii="宋体" w:hAnsi="宋体"/>
          <w:b/>
          <w:bCs/>
          <w:color w:val="000000"/>
          <w:sz w:val="44"/>
          <w:szCs w:val="44"/>
          <w:highlight w:val="none"/>
        </w:rPr>
      </w:r>
      <w:r/>
    </w:p>
    <w:p>
      <w:pPr>
        <w:pStyle w:val="871"/>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rPr>
          <w:rFonts w:hint="eastAsia" w:ascii="黑体" w:hAnsi="黑体" w:eastAsia="黑体"/>
          <w:color w:val="000000"/>
          <w:sz w:val="32"/>
          <w:szCs w:val="32"/>
          <w:highlight w:val="none"/>
        </w:rPr>
      </w:r>
      <w:r/>
    </w:p>
    <w:p>
      <w:pPr>
        <w:pStyle w:val="871"/>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rPr>
          <w:rFonts w:hint="eastAsia" w:ascii="黑体" w:hAnsi="黑体" w:eastAsia="黑体"/>
          <w:color w:val="000000"/>
          <w:sz w:val="32"/>
          <w:szCs w:val="32"/>
          <w:highlight w:val="none"/>
        </w:rPr>
      </w:r>
      <w:r/>
    </w:p>
    <w:p>
      <w:pPr>
        <w:pStyle w:val="871"/>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rPr>
          <w:rFonts w:hint="eastAsia" w:ascii="黑体" w:hAnsi="黑体" w:eastAsia="黑体"/>
          <w:color w:val="000000"/>
          <w:sz w:val="32"/>
          <w:szCs w:val="32"/>
          <w:highlight w:val="none"/>
        </w:rPr>
      </w:r>
      <w:r/>
    </w:p>
    <w:p>
      <w:pPr>
        <w:pStyle w:val="871"/>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四、其他资料（如有）</w:t>
      </w:r>
      <w:r>
        <w:rPr>
          <w:rFonts w:hint="eastAsia" w:ascii="黑体" w:hAnsi="黑体" w:eastAsia="黑体"/>
          <w:color w:val="000000"/>
          <w:sz w:val="32"/>
          <w:szCs w:val="32"/>
          <w:highlight w:val="none"/>
        </w:rPr>
      </w:r>
      <w:r/>
    </w:p>
    <w:p>
      <w:pPr>
        <w:pStyle w:val="871"/>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20" w:lineRule="exact"/>
        <w:rPr>
          <w:rFonts w:hint="eastAsia" w:ascii="黑体" w:hAnsi="黑体" w:eastAsia="黑体"/>
          <w:color w:val="000000"/>
          <w:sz w:val="32"/>
          <w:szCs w:val="32"/>
          <w:highlight w:val="none"/>
          <w:u w:val="single"/>
        </w:rPr>
      </w:pPr>
      <w:r>
        <w:rPr>
          <w:rFonts w:hint="eastAsia" w:ascii="黑体" w:hAnsi="黑体" w:eastAsia="黑体"/>
          <w:color w:val="000000"/>
          <w:sz w:val="32"/>
          <w:szCs w:val="32"/>
          <w:highlight w:val="none"/>
          <w:u w:val="single"/>
        </w:rPr>
      </w:r>
      <w:r/>
    </w:p>
    <w:p>
      <w:pPr>
        <w:pStyle w:val="871"/>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rPr>
          <w:rFonts w:hint="eastAsia" w:ascii="黑体" w:hAnsi="黑体" w:eastAsia="黑体"/>
          <w:color w:val="000000"/>
          <w:sz w:val="32"/>
          <w:szCs w:val="32"/>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1.投标人符合《政府采购法》第二十二条规定条件的承诺函（格式见附件1并提供营业执照）；</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2.法定代表人身份证明书（格式见附件2）；</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3.法人授权书（格式见附件3）；</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4.投标函（格式见附件4）</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4.招标公告中“二、申请人的资格要求”提供相应的佐证材料；</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5.其它需要提交的资格审查证明材料。</w:t>
      </w:r>
      <w:r>
        <w:rPr>
          <w:rFonts w:hint="eastAsia" w:ascii="宋体" w:hAnsi="宋体"/>
          <w:color w:val="000000"/>
          <w:sz w:val="24"/>
          <w:szCs w:val="24"/>
          <w:highlight w:val="none"/>
        </w:rPr>
      </w:r>
      <w:r/>
    </w:p>
    <w:p>
      <w:pPr>
        <w:pStyle w:val="871"/>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rPr>
          <w:rFonts w:hint="eastAsia" w:ascii="黑体" w:hAnsi="黑体" w:eastAsia="黑体"/>
          <w:color w:val="000000"/>
          <w:sz w:val="32"/>
          <w:szCs w:val="32"/>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1.商务部分正负偏离表；（格式见附件5）</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2.技术部分正负偏离表；（格式见附件6）</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3.投标方案、货物（服务）清单。具有项目、数量、品牌、型号、配置性能等；</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4.商务、技术评分标准中须提供的相关得分佐证材料；</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5.投标人认为需要提交的其他商务、技术材料。</w:t>
      </w:r>
      <w:r>
        <w:rPr>
          <w:rFonts w:hint="eastAsia" w:ascii="宋体" w:hAnsi="宋体"/>
          <w:color w:val="000000"/>
          <w:sz w:val="24"/>
          <w:szCs w:val="24"/>
          <w:highlight w:val="none"/>
        </w:rPr>
      </w:r>
      <w:r/>
    </w:p>
    <w:p>
      <w:pPr>
        <w:pStyle w:val="871"/>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rPr>
          <w:rFonts w:hint="eastAsia" w:ascii="黑体" w:hAnsi="黑体" w:eastAsia="黑体"/>
          <w:color w:val="000000"/>
          <w:sz w:val="32"/>
          <w:szCs w:val="32"/>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1.开标一览表（格式见附件7）</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2.分项报价明细表（格式见附件8）</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3.小型、微型企业声明函（如有）（格式见附件9）</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4.残疾人福利性单位声明函（如有）（格式见附件10）</w:t>
      </w:r>
      <w:r>
        <w:rPr>
          <w:rFonts w:hint="eastAsia" w:ascii="宋体" w:hAnsi="宋体"/>
          <w:color w:val="000000"/>
          <w:sz w:val="24"/>
          <w:szCs w:val="24"/>
          <w:highlight w:val="none"/>
        </w:rPr>
      </w:r>
      <w:r/>
    </w:p>
    <w:p>
      <w:pPr>
        <w:pStyle w:val="87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5.监狱和戒毒企业证明材料（如有）（格式见附件11）</w:t>
      </w:r>
      <w:r>
        <w:rPr>
          <w:rFonts w:hint="eastAsia" w:ascii="宋体" w:hAnsi="宋体"/>
          <w:color w:val="000000"/>
          <w:sz w:val="24"/>
          <w:szCs w:val="24"/>
          <w:highlight w:val="none"/>
        </w:rPr>
      </w:r>
      <w:r/>
    </w:p>
    <w:p>
      <w:pPr>
        <w:pStyle w:val="871"/>
        <w:ind w:firstLine="480"/>
        <w:spacing w:line="560" w:lineRule="exact"/>
        <w:rPr>
          <w:rFonts w:hint="eastAsia" w:ascii="黑体" w:hAnsi="黑体" w:eastAsia="黑体"/>
          <w:color w:val="000000"/>
          <w:sz w:val="32"/>
          <w:szCs w:val="32"/>
          <w:highlight w:val="none"/>
          <w:u w:val="single"/>
        </w:rPr>
      </w:pPr>
      <w:r>
        <w:rPr>
          <w:rFonts w:hint="eastAsia" w:ascii="宋体" w:hAnsi="宋体"/>
          <w:color w:val="000000"/>
          <w:sz w:val="24"/>
          <w:szCs w:val="24"/>
          <w:highlight w:val="none"/>
        </w:rPr>
        <w:t xml:space="preserve">6.关于符合本国产品标准的声明函（格式见附件12）</w:t>
      </w:r>
      <w:r>
        <w:rPr>
          <w:rFonts w:hint="eastAsia" w:ascii="黑体" w:hAnsi="黑体" w:eastAsia="黑体"/>
          <w:color w:val="000000"/>
          <w:sz w:val="32"/>
          <w:szCs w:val="32"/>
          <w:highlight w:val="none"/>
          <w:u w:val="singl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1"/>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1"/>
        <w:contextualSpacing/>
        <w:spacing w:line="400" w:lineRule="exact"/>
        <w:rPr>
          <w:rFonts w:ascii="Times New Roman" w:hAnsi="Times New Roman" w:eastAsia="方正黑体_GBK"/>
          <w:color w:val="000000"/>
          <w:sz w:val="32"/>
          <w:szCs w:val="32"/>
          <w:highlight w:val="none"/>
          <w:lang w:val="zh-CN"/>
        </w:rPr>
      </w:pPr>
      <w:r>
        <w:rPr>
          <w:rFonts w:ascii="Times New Roman" w:hAnsi="Times New Roman" w:eastAsia="方正黑体_GBK"/>
          <w:color w:val="000000"/>
          <w:sz w:val="32"/>
          <w:szCs w:val="32"/>
          <w:highlight w:val="none"/>
          <w:lang w:val="zh-CN"/>
        </w:rPr>
        <w:t xml:space="preserve">附件1</w:t>
      </w:r>
      <w:r>
        <w:rPr>
          <w:rFonts w:ascii="Times New Roman" w:hAnsi="Times New Roman" w:eastAsia="方正黑体_GBK"/>
          <w:color w:val="000000"/>
          <w:sz w:val="32"/>
          <w:szCs w:val="32"/>
          <w:highlight w:val="none"/>
          <w:lang w:val="zh-CN"/>
        </w:rPr>
      </w:r>
      <w:r/>
    </w:p>
    <w:p>
      <w:pPr>
        <w:pStyle w:val="87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rPr>
          <w:rFonts w:hint="eastAsia" w:ascii="宋体" w:hAnsi="宋体"/>
          <w:b/>
          <w:color w:val="000000"/>
          <w:sz w:val="30"/>
          <w:szCs w:val="30"/>
          <w:highlight w:val="none"/>
        </w:rPr>
      </w:r>
      <w:r/>
    </w:p>
    <w:p>
      <w:pPr>
        <w:pStyle w:val="871"/>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71"/>
        <w:ind w:firstLine="480"/>
        <w:spacing w:line="52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szCs w:val="24"/>
          <w:highlight w:val="none"/>
        </w:rPr>
      </w:r>
      <w:r/>
    </w:p>
    <w:p>
      <w:pPr>
        <w:pStyle w:val="871"/>
        <w:ind w:firstLine="482"/>
        <w:spacing w:line="52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szCs w:val="24"/>
          <w:highlight w:val="none"/>
        </w:rPr>
      </w:r>
      <w:r/>
    </w:p>
    <w:p>
      <w:pPr>
        <w:pStyle w:val="871"/>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rPr>
          <w:rFonts w:hint="eastAsia" w:ascii="宋体" w:hAnsi="宋体"/>
          <w:color w:val="000000"/>
          <w:sz w:val="24"/>
          <w:szCs w:val="24"/>
          <w:highlight w:val="none"/>
        </w:rPr>
      </w:r>
      <w:r/>
    </w:p>
    <w:p>
      <w:pPr>
        <w:pStyle w:val="871"/>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rPr>
          <w:rFonts w:hint="eastAsia" w:ascii="宋体" w:hAnsi="宋体"/>
          <w:color w:val="000000"/>
          <w:sz w:val="24"/>
          <w:szCs w:val="24"/>
          <w:highlight w:val="none"/>
        </w:rPr>
      </w:r>
      <w:r/>
    </w:p>
    <w:p>
      <w:pPr>
        <w:pStyle w:val="871"/>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rPr>
          <w:rFonts w:hint="eastAsia" w:ascii="宋体" w:hAnsi="宋体"/>
          <w:color w:val="000000"/>
          <w:sz w:val="24"/>
          <w:szCs w:val="24"/>
          <w:highlight w:val="none"/>
        </w:rPr>
      </w:r>
      <w:r/>
    </w:p>
    <w:p>
      <w:pPr>
        <w:pStyle w:val="871"/>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highlight w:val="none"/>
        </w:rPr>
      </w:r>
      <w:r/>
    </w:p>
    <w:p>
      <w:pPr>
        <w:pStyle w:val="871"/>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rPr>
          <w:rFonts w:hint="eastAsia" w:ascii="宋体" w:hAnsi="宋体"/>
          <w:color w:val="000000"/>
          <w:sz w:val="24"/>
          <w:szCs w:val="24"/>
          <w:highlight w:val="none"/>
        </w:rPr>
      </w:r>
      <w:r/>
    </w:p>
    <w:p>
      <w:pPr>
        <w:pStyle w:val="871"/>
        <w:ind w:firstLine="482"/>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1"/>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871"/>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71"/>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871"/>
        <w:rPr>
          <w:color w:val="000000"/>
          <w:szCs w:val="21"/>
          <w:highlight w:val="none"/>
        </w:rPr>
      </w:pPr>
      <w:r>
        <w:rPr>
          <w:color w:val="000000"/>
          <w:szCs w:val="21"/>
          <w:highlight w:val="none"/>
        </w:rPr>
      </w:r>
      <w:r/>
    </w:p>
    <w:p>
      <w:pPr>
        <w:pStyle w:val="871"/>
        <w:contextualSpacing/>
        <w:spacing w:line="400" w:lineRule="exact"/>
        <w:rPr>
          <w:rFonts w:ascii="Times New Roman" w:hAnsi="Times New Roman" w:eastAsia="方正黑体_GBK"/>
          <w:color w:val="000000"/>
          <w:sz w:val="32"/>
          <w:szCs w:val="32"/>
          <w:highlight w:val="none"/>
          <w:lang w:val="zh-CN"/>
        </w:rPr>
      </w:pPr>
      <w:r>
        <w:rPr>
          <w:rFonts w:ascii="Times New Roman" w:hAnsi="Times New Roman" w:eastAsia="方正黑体_GBK"/>
          <w:color w:val="000000"/>
          <w:sz w:val="32"/>
          <w:szCs w:val="32"/>
          <w:highlight w:val="none"/>
        </w:rPr>
        <w:br w:type="page" w:clear="all"/>
      </w:r>
      <w:r>
        <w:rPr>
          <w:rFonts w:ascii="Times New Roman" w:hAnsi="Times New Roman" w:eastAsia="方正黑体_GBK"/>
          <w:color w:val="000000"/>
          <w:sz w:val="32"/>
          <w:szCs w:val="32"/>
          <w:highlight w:val="none"/>
          <w:lang w:val="zh-CN"/>
        </w:rPr>
        <w:t xml:space="preserve">附件2</w:t>
      </w:r>
      <w:r>
        <w:rPr>
          <w:rFonts w:ascii="Times New Roman" w:hAnsi="Times New Roman" w:eastAsia="方正黑体_GBK"/>
          <w:color w:val="000000"/>
          <w:sz w:val="32"/>
          <w:szCs w:val="32"/>
          <w:highlight w:val="none"/>
          <w:lang w:val="zh-CN"/>
        </w:rPr>
      </w:r>
      <w:r/>
    </w:p>
    <w:p>
      <w:pPr>
        <w:pStyle w:val="871"/>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法定代表人身份证明</w:t>
      </w:r>
      <w:r>
        <w:rPr>
          <w:rFonts w:ascii="宋体" w:hAnsi="宋体"/>
          <w:b/>
          <w:bCs/>
          <w:color w:val="000000"/>
          <w:sz w:val="32"/>
          <w:szCs w:val="32"/>
          <w:highlight w:val="none"/>
        </w:rPr>
      </w:r>
      <w:r/>
    </w:p>
    <w:p>
      <w:pPr>
        <w:pStyle w:val="871"/>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spacing w:line="480" w:lineRule="exact"/>
        <w:rPr>
          <w:rFonts w:ascii="宋体" w:hAns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先生/女士：</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现任我单位</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职务，为法定代表人，特此证明。</w:t>
      </w:r>
      <w:r>
        <w:rPr>
          <w:rFonts w:ascii="宋体" w:hAnsi="宋体"/>
          <w:color w:val="000000"/>
          <w:sz w:val="24"/>
          <w:szCs w:val="24"/>
          <w:highlight w:val="none"/>
        </w:rPr>
      </w:r>
      <w:r/>
    </w:p>
    <w:p>
      <w:pPr>
        <w:pStyle w:val="871"/>
        <w:ind w:firstLine="480"/>
        <w:spacing w:line="48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身份证号码：</w:t>
      </w:r>
      <w:r>
        <w:rPr>
          <w:rFonts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871"/>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871"/>
        <w:spacing w:line="600" w:lineRule="exact"/>
        <w:rPr>
          <w:rFonts w:ascii="宋体" w:hAnsi="宋体"/>
          <w:b/>
          <w:color w:val="000000"/>
          <w:sz w:val="24"/>
          <w:szCs w:val="24"/>
          <w:highlight w:val="none"/>
        </w:rPr>
      </w:pPr>
      <w:r>
        <w:rPr>
          <w:rFonts w:hint="eastAsia" w:ascii="宋体" w:hAnsi="宋体"/>
          <w:b/>
          <w:color w:val="000000"/>
          <w:sz w:val="24"/>
          <w:szCs w:val="24"/>
          <w:highlight w:val="none"/>
        </w:rPr>
        <w:t xml:space="preserve">注：提供法定代表人的身份证复印件盖公章</w:t>
      </w:r>
      <w:r>
        <w:rPr>
          <w:rFonts w:ascii="宋体" w:hAnsi="宋体"/>
          <w:b/>
          <w:color w:val="000000"/>
          <w:sz w:val="24"/>
          <w:szCs w:val="24"/>
          <w:highlight w:val="none"/>
        </w:rPr>
      </w:r>
      <w:r/>
    </w:p>
    <w:p>
      <w:pPr>
        <w:pStyle w:val="871"/>
        <w:ind w:firstLine="480"/>
        <w:spacing w:line="48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p>
      <w:pPr>
        <w:pStyle w:val="871"/>
        <w:rPr>
          <w:rFonts w:ascii="Times New Roman" w:hAnsi="Times New Roman"/>
          <w:color w:val="000000"/>
          <w:szCs w:val="24"/>
          <w:highlight w:val="none"/>
        </w:rPr>
      </w:pPr>
      <w:r>
        <w:rPr>
          <w:rFonts w:hint="eastAsia" w:ascii="Times New Roman" w:hAnsi="Times New Roman"/>
          <w:color w:val="000000"/>
          <w:szCs w:val="24"/>
          <w:highlight w:val="none"/>
        </w:rPr>
        <w:t xml:space="preserve">     </w:t>
      </w:r>
      <w:r>
        <w:rPr>
          <w:rFonts w:ascii="Times New Roman" w:hAnsi="Times New Roman"/>
          <w:color w:val="000000"/>
          <w:szCs w:val="24"/>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1"/>
        <w:contextualSpacing/>
        <w:spacing w:line="400" w:lineRule="exact"/>
        <w:rPr>
          <w:rFonts w:ascii="Times New Roman" w:hAnsi="Times New Roman" w:eastAsia="方正黑体_GBK"/>
          <w:color w:val="000000"/>
          <w:sz w:val="32"/>
          <w:szCs w:val="32"/>
          <w:highlight w:val="none"/>
          <w:lang w:val="zh-CN"/>
        </w:rPr>
      </w:pPr>
      <w:r>
        <w:rPr>
          <w:rFonts w:ascii="Times New Roman" w:hAnsi="Times New Roman" w:eastAsia="方正黑体_GBK"/>
          <w:color w:val="000000"/>
          <w:sz w:val="32"/>
          <w:szCs w:val="32"/>
          <w:highlight w:val="none"/>
          <w:lang w:val="zh-CN"/>
        </w:rPr>
        <w:t xml:space="preserve">附件3</w:t>
      </w:r>
      <w:r>
        <w:rPr>
          <w:rFonts w:ascii="Times New Roman" w:hAnsi="Times New Roman" w:eastAsia="方正黑体_GBK"/>
          <w:color w:val="000000"/>
          <w:sz w:val="32"/>
          <w:szCs w:val="32"/>
          <w:highlight w:val="none"/>
          <w:lang w:val="zh-CN"/>
        </w:rPr>
      </w:r>
      <w:r/>
    </w:p>
    <w:p>
      <w:pPr>
        <w:pStyle w:val="871"/>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法人授权书</w:t>
      </w:r>
      <w:r>
        <w:rPr>
          <w:rFonts w:hint="eastAsia" w:ascii="宋体" w:hAnsi="宋体"/>
          <w:b/>
          <w:bCs/>
          <w:color w:val="000000"/>
          <w:sz w:val="32"/>
          <w:szCs w:val="32"/>
          <w:highlight w:val="none"/>
        </w:rPr>
      </w:r>
      <w:r/>
    </w:p>
    <w:p>
      <w:pPr>
        <w:pStyle w:val="871"/>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871"/>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871"/>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1"/>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1"/>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871"/>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1"/>
        <w:ind w:firstLine="360"/>
        <w:spacing w:line="460" w:lineRule="exact"/>
        <w:rPr>
          <w:rFonts w:hint="eastAsia" w:ascii="楷体" w:hAnsi="楷体" w:eastAsia="楷体"/>
          <w:color w:val="000000"/>
          <w:sz w:val="24"/>
          <w:szCs w:val="24"/>
          <w:highlight w:val="none"/>
        </w:rPr>
      </w:pPr>
      <w:r>
        <w:rPr>
          <w:rFonts w:hint="eastAsia" w:ascii="楷体" w:hAnsi="楷体" w:eastAsia="楷体"/>
          <w:color w:val="000000"/>
          <w:sz w:val="24"/>
          <w:szCs w:val="24"/>
          <w:highlight w:val="none"/>
        </w:rPr>
        <w:t xml:space="preserve">备注 我公司（单位）委托进行现场演示的人员为（本项目如果无现场演示要求，请项目经办人自行删除备注）</w:t>
      </w:r>
      <w:r>
        <w:rPr>
          <w:rFonts w:hint="eastAsia" w:ascii="楷体" w:hAnsi="楷体" w:eastAsia="楷体"/>
          <w:color w:val="000000"/>
          <w:sz w:val="24"/>
          <w:szCs w:val="24"/>
          <w:highlight w:val="none"/>
        </w:rPr>
      </w:r>
      <w:r/>
    </w:p>
    <w:p>
      <w:pPr>
        <w:pStyle w:val="871"/>
        <w:spacing w:line="460" w:lineRule="exact"/>
        <w:rPr>
          <w:rFonts w:hint="eastAsia" w:ascii="楷体" w:hAnsi="楷体" w:eastAsia="楷体"/>
          <w:color w:val="000000"/>
          <w:sz w:val="24"/>
          <w:szCs w:val="24"/>
          <w:highlight w:val="none"/>
        </w:rPr>
      </w:pPr>
      <w:r>
        <w:rPr>
          <w:rFonts w:hint="eastAsia" w:ascii="楷体" w:hAnsi="楷体" w:eastAsia="楷体"/>
          <w:color w:val="000000"/>
          <w:sz w:val="24"/>
          <w:szCs w:val="24"/>
          <w:highlight w:val="none"/>
          <w:u w:val="single"/>
        </w:rPr>
        <w:t xml:space="preserve">        </w:t>
      </w:r>
      <w:r>
        <w:rPr>
          <w:rFonts w:hint="eastAsia" w:ascii="楷体" w:hAnsi="楷体" w:eastAsia="楷体"/>
          <w:color w:val="000000"/>
          <w:sz w:val="24"/>
          <w:szCs w:val="24"/>
          <w:highlight w:val="none"/>
        </w:rPr>
        <w:t xml:space="preserve">（人员姓名），身份证号</w:t>
      </w:r>
      <w:r>
        <w:rPr>
          <w:rFonts w:hint="eastAsia" w:ascii="楷体" w:hAnsi="楷体" w:eastAsia="楷体"/>
          <w:color w:val="000000"/>
          <w:sz w:val="24"/>
          <w:szCs w:val="24"/>
          <w:highlight w:val="none"/>
          <w:u w:val="single"/>
        </w:rPr>
        <w:t xml:space="preserve">         </w:t>
      </w:r>
      <w:r>
        <w:rPr>
          <w:rFonts w:hint="eastAsia" w:ascii="楷体" w:hAnsi="楷体" w:eastAsia="楷体"/>
          <w:color w:val="000000"/>
          <w:sz w:val="24"/>
          <w:szCs w:val="24"/>
          <w:highlight w:val="none"/>
        </w:rPr>
        <w:t xml:space="preserve"> 。</w:t>
      </w:r>
      <w:r>
        <w:rPr>
          <w:rFonts w:hint="eastAsia" w:ascii="楷体" w:hAnsi="楷体" w:eastAsia="楷体"/>
          <w:color w:val="000000"/>
          <w:sz w:val="24"/>
          <w:szCs w:val="24"/>
          <w:highlight w:val="none"/>
        </w:rPr>
      </w:r>
      <w:r/>
    </w:p>
    <w:p>
      <w:pPr>
        <w:pStyle w:val="871"/>
        <w:spacing w:line="460" w:lineRule="exact"/>
        <w:rPr>
          <w:rFonts w:hint="eastAsia" w:ascii="宋体" w:hAnsi="宋体"/>
          <w:bCs/>
          <w:color w:val="000000"/>
          <w:sz w:val="24"/>
          <w:szCs w:val="21"/>
          <w:highlight w:val="none"/>
        </w:rPr>
      </w:pP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spacing w:line="400" w:lineRule="exact"/>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 xml:space="preserve">附件4</w:t>
      </w:r>
      <w:r>
        <w:rPr>
          <w:rFonts w:ascii="Times New Roman" w:hAnsi="Times New Roman" w:eastAsia="方正黑体_GBK"/>
          <w:color w:val="000000"/>
          <w:sz w:val="32"/>
          <w:szCs w:val="32"/>
          <w:highlight w:val="none"/>
        </w:rPr>
      </w:r>
      <w:r/>
    </w:p>
    <w:p>
      <w:pPr>
        <w:pStyle w:val="871"/>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投标函</w:t>
      </w:r>
      <w:r>
        <w:rPr>
          <w:rFonts w:ascii="宋体" w:hAnsi="宋体"/>
          <w:b/>
          <w:bCs/>
          <w:color w:val="000000"/>
          <w:sz w:val="32"/>
          <w:szCs w:val="32"/>
          <w:highlight w:val="none"/>
        </w:rPr>
      </w:r>
      <w:r/>
    </w:p>
    <w:p>
      <w:pPr>
        <w:pStyle w:val="871"/>
        <w:jc w:val="left"/>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致：海安市公共资源交易中心</w:t>
      </w:r>
      <w:r>
        <w:rPr>
          <w:rFonts w:ascii="宋体" w:hAnsi="宋体"/>
          <w:color w:val="000000"/>
          <w:sz w:val="24"/>
          <w:szCs w:val="21"/>
          <w:highlight w:val="none"/>
        </w:rPr>
      </w:r>
      <w:r/>
    </w:p>
    <w:p>
      <w:pPr>
        <w:pStyle w:val="871"/>
        <w:ind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871"/>
        <w:ind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871"/>
        <w:ind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871"/>
        <w:ind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71"/>
        <w:ind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871"/>
        <w:ind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871"/>
        <w:ind w:firstLine="480"/>
        <w:jc w:val="left"/>
        <w:spacing w:line="44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71"/>
        <w:ind w:firstLine="480"/>
        <w:jc w:val="left"/>
        <w:spacing w:line="44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871"/>
        <w:ind w:left="425"/>
        <w:jc w:val="left"/>
        <w:spacing w:line="44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71"/>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71"/>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71"/>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71"/>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71"/>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71"/>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71"/>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871"/>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1"/>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投标供应商全称(盖公章)：</w:t>
      </w:r>
      <w:r>
        <w:rPr>
          <w:rFonts w:hint="eastAsia" w:ascii="宋体" w:hAnsi="宋体"/>
          <w:color w:val="000000"/>
          <w:sz w:val="24"/>
          <w:szCs w:val="21"/>
          <w:highlight w:val="none"/>
        </w:rPr>
      </w:r>
      <w:r/>
    </w:p>
    <w:p>
      <w:pPr>
        <w:pStyle w:val="871"/>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rPr>
          <w:rFonts w:hint="eastAsia" w:ascii="宋体" w:hAnsi="宋体"/>
          <w:color w:val="000000"/>
          <w:sz w:val="24"/>
          <w:szCs w:val="21"/>
          <w:highlight w:val="none"/>
        </w:rPr>
      </w:r>
      <w:r/>
    </w:p>
    <w:p>
      <w:pPr>
        <w:pStyle w:val="871"/>
        <w:contextualSpacing/>
        <w:spacing w:line="300" w:lineRule="auto"/>
        <w:rPr>
          <w:rFonts w:hint="eastAsia"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r>
      <w:r/>
    </w:p>
    <w:p>
      <w:pPr>
        <w:pStyle w:val="871"/>
        <w:contextualSpacing/>
        <w:spacing w:line="400" w:lineRule="exact"/>
        <w:rPr>
          <w:rFonts w:hint="eastAsia" w:ascii="Times New Roman" w:hAnsi="Times New Roman" w:eastAsia="方正黑体_GBK"/>
          <w:color w:val="000000"/>
          <w:sz w:val="32"/>
          <w:szCs w:val="32"/>
          <w:highlight w:val="none"/>
        </w:rPr>
      </w:pPr>
      <w:r>
        <w:rPr>
          <w:rFonts w:hint="eastAsia" w:ascii="Times New Roman" w:hAnsi="Times New Roman" w:eastAsia="方正黑体_GBK"/>
          <w:color w:val="000000"/>
          <w:sz w:val="32"/>
          <w:szCs w:val="32"/>
          <w:highlight w:val="none"/>
        </w:rPr>
      </w:r>
      <w:r/>
    </w:p>
    <w:p>
      <w:pPr>
        <w:pStyle w:val="871"/>
        <w:contextualSpacing/>
        <w:spacing w:line="400" w:lineRule="exact"/>
        <w:rPr>
          <w:rFonts w:hint="eastAsia" w:ascii="Times New Roman" w:hAnsi="Times New Roman" w:eastAsia="方正黑体_GBK"/>
          <w:color w:val="000000"/>
          <w:sz w:val="32"/>
          <w:szCs w:val="32"/>
          <w:highlight w:val="none"/>
        </w:rPr>
      </w:pPr>
      <w:r>
        <w:rPr>
          <w:rFonts w:hint="eastAsia" w:ascii="Times New Roman" w:hAnsi="Times New Roman" w:eastAsia="方正黑体_GBK"/>
          <w:color w:val="000000"/>
          <w:sz w:val="32"/>
          <w:szCs w:val="32"/>
          <w:highlight w:val="none"/>
        </w:rPr>
      </w:r>
      <w:r/>
    </w:p>
    <w:p>
      <w:pPr>
        <w:pStyle w:val="871"/>
        <w:contextualSpacing/>
        <w:spacing w:line="400" w:lineRule="exact"/>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 xml:space="preserve">附件5</w:t>
      </w:r>
      <w:r>
        <w:rPr>
          <w:rFonts w:ascii="Times New Roman" w:hAnsi="Times New Roman" w:eastAsia="方正黑体_GBK"/>
          <w:color w:val="000000"/>
          <w:sz w:val="32"/>
          <w:szCs w:val="32"/>
          <w:highlight w:val="none"/>
        </w:rPr>
      </w:r>
      <w:r/>
    </w:p>
    <w:p>
      <w:pPr>
        <w:pStyle w:val="871"/>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商务部分正负偏离表</w:t>
      </w:r>
      <w:r>
        <w:rPr>
          <w:rFonts w:hint="eastAsia" w:ascii="宋体" w:hAnsi="宋体"/>
          <w:b/>
          <w:color w:val="000000"/>
          <w:sz w:val="32"/>
          <w:szCs w:val="32"/>
          <w:highlight w:val="none"/>
        </w:rPr>
      </w:r>
      <w:r/>
    </w:p>
    <w:p>
      <w:pPr>
        <w:pStyle w:val="871"/>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（由投标人据实填写，表格不够自行添加）</w:t>
      </w:r>
      <w:r>
        <w:rPr>
          <w:rFonts w:ascii="宋体" w:hAnsi="宋体"/>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254"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货物或服务名称</w:t>
            </w:r>
            <w:r>
              <w:rPr>
                <w:rFonts w:ascii="宋体" w:hAnsi="宋体"/>
                <w:color w:val="000000"/>
                <w:sz w:val="24"/>
                <w:szCs w:val="24"/>
                <w:highlight w:val="none"/>
              </w:rPr>
            </w:r>
            <w:r/>
          </w:p>
        </w:tc>
        <w:tc>
          <w:tcPr>
            <w:tcW w:w="1095"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招标文件要求的商务条款</w:t>
            </w:r>
            <w:r>
              <w:rPr>
                <w:rFonts w:ascii="宋体" w:hAnsi="宋体"/>
                <w:color w:val="000000"/>
                <w:sz w:val="24"/>
                <w:szCs w:val="24"/>
                <w:highlight w:val="none"/>
              </w:rPr>
            </w:r>
            <w:r/>
          </w:p>
        </w:tc>
        <w:tc>
          <w:tcPr>
            <w:tcW w:w="1413"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投标文件响应情况</w:t>
            </w:r>
            <w:r>
              <w:rPr>
                <w:rFonts w:ascii="宋体" w:hAnsi="宋体"/>
                <w:color w:val="000000"/>
                <w:sz w:val="24"/>
                <w:szCs w:val="24"/>
                <w:highlight w:val="none"/>
              </w:rPr>
            </w:r>
            <w:r/>
          </w:p>
        </w:tc>
        <w:tc>
          <w:tcPr>
            <w:tcW w:w="778" w:type="dxa"/>
            <w:vAlign w:val="top"/>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偏离说明</w:t>
            </w:r>
            <w:r>
              <w:rPr>
                <w:rFonts w:ascii="宋体" w:hAnsi="宋体"/>
                <w:color w:val="000000"/>
                <w:sz w:val="24"/>
                <w:szCs w:val="24"/>
                <w:highlight w:val="none"/>
              </w:rPr>
            </w:r>
            <w:r/>
          </w:p>
        </w:tc>
      </w:tr>
      <w:tr>
        <w:trPr>
          <w:trHeight w:val="414"/>
        </w:trPr>
        <w:tc>
          <w:tcPr>
            <w:tcW w:w="460"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254"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548"/>
        </w:trPr>
        <w:tc>
          <w:tcPr>
            <w:tcW w:w="460"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254"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400"/>
        </w:trPr>
        <w:tc>
          <w:tcPr>
            <w:tcW w:w="460"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1254"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3"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419"/>
        </w:trPr>
        <w:tc>
          <w:tcPr>
            <w:tcW w:w="460"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1254"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871"/>
        <w:contextualSpacing/>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w:t>
      </w:r>
      <w:r>
        <w:rPr>
          <w:rFonts w:hint="eastAsia" w:ascii="宋体" w:hAnsi="宋体"/>
          <w:b/>
          <w:color w:val="000000"/>
          <w:sz w:val="24"/>
          <w:szCs w:val="24"/>
          <w:highlight w:val="none"/>
        </w:rPr>
      </w:r>
      <w:r/>
    </w:p>
    <w:p>
      <w:pPr>
        <w:pStyle w:val="871"/>
        <w:contextualSpacing/>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1.投标人提交的投标文件中与招标文件第三部分“项目需求”中的商务部分的要求，应逐条填列在偏离表中。</w:t>
      </w:r>
      <w:r>
        <w:rPr>
          <w:rFonts w:hint="eastAsia" w:ascii="宋体" w:hAnsi="宋体"/>
          <w:color w:val="000000"/>
          <w:sz w:val="24"/>
          <w:szCs w:val="24"/>
          <w:highlight w:val="none"/>
        </w:rPr>
      </w:r>
      <w:r/>
    </w:p>
    <w:p>
      <w:pPr>
        <w:pStyle w:val="871"/>
        <w:contextualSpacing/>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 xml:space="preserve">“偏离说明”一栏选择“正偏离”、“无偏离”、“负偏离”进行填写。正偏离、无偏离的确认和负偏离的是否响应招标文件，由评委认定。</w:t>
      </w:r>
      <w:r>
        <w:rPr>
          <w:rFonts w:hint="eastAsia" w:ascii="宋体" w:hAnsi="宋体"/>
          <w:color w:val="000000"/>
          <w:sz w:val="24"/>
          <w:szCs w:val="24"/>
          <w:highlight w:val="none"/>
        </w:rPr>
      </w:r>
      <w:r/>
    </w:p>
    <w:p>
      <w:pPr>
        <w:pStyle w:val="871"/>
        <w:contextualSpacing/>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3.投标人如果虚假响应，将被暂停参加海安市公共资源交易中心组织政府采购活动。</w:t>
      </w:r>
      <w:r>
        <w:rPr>
          <w:rFonts w:hint="eastAsia" w:ascii="宋体" w:hAnsi="宋体"/>
          <w:color w:val="000000"/>
          <w:sz w:val="24"/>
          <w:szCs w:val="24"/>
          <w:highlight w:val="none"/>
        </w:rPr>
      </w:r>
      <w:r/>
    </w:p>
    <w:p>
      <w:pPr>
        <w:pStyle w:val="871"/>
        <w:contextualSpacing/>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4.供应商若提供其他增值服务，可以在表中自行据实填写。</w:t>
      </w:r>
      <w:r>
        <w:rPr>
          <w:rFonts w:hint="eastAsia" w:ascii="宋体" w:hAnsi="宋体"/>
          <w:bCs/>
          <w:color w:val="000000"/>
          <w:sz w:val="24"/>
          <w:szCs w:val="24"/>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spacing w:line="400" w:lineRule="exact"/>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 xml:space="preserve">附件6</w:t>
      </w:r>
      <w:r>
        <w:rPr>
          <w:rFonts w:ascii="Times New Roman" w:hAnsi="Times New Roman" w:eastAsia="方正黑体_GBK"/>
          <w:color w:val="000000"/>
          <w:sz w:val="32"/>
          <w:szCs w:val="32"/>
          <w:highlight w:val="none"/>
        </w:rPr>
      </w:r>
      <w:r/>
    </w:p>
    <w:p>
      <w:pPr>
        <w:pStyle w:val="871"/>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技术部分正负偏离表</w:t>
      </w:r>
      <w:r>
        <w:rPr>
          <w:rFonts w:hint="eastAsia" w:ascii="宋体" w:hAnsi="宋体"/>
          <w:b/>
          <w:color w:val="000000"/>
          <w:sz w:val="32"/>
          <w:szCs w:val="32"/>
          <w:highlight w:val="none"/>
        </w:rPr>
      </w:r>
      <w:r/>
    </w:p>
    <w:p>
      <w:pPr>
        <w:pStyle w:val="871"/>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（由投标人据实填写，表格不够自行添加）</w:t>
      </w:r>
      <w:r>
        <w:rPr>
          <w:rFonts w:ascii="宋体" w:hAnsi="宋体"/>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254"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货物或服务名称</w:t>
            </w:r>
            <w:r>
              <w:rPr>
                <w:rFonts w:ascii="宋体" w:hAnsi="宋体"/>
                <w:color w:val="000000"/>
                <w:sz w:val="24"/>
                <w:szCs w:val="24"/>
                <w:highlight w:val="none"/>
              </w:rPr>
            </w:r>
            <w:r/>
          </w:p>
        </w:tc>
        <w:tc>
          <w:tcPr>
            <w:tcW w:w="1095"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招标文件要求的技术要求</w:t>
            </w:r>
            <w:r>
              <w:rPr>
                <w:rFonts w:ascii="宋体" w:hAnsi="宋体"/>
                <w:color w:val="000000"/>
                <w:sz w:val="24"/>
                <w:szCs w:val="24"/>
                <w:highlight w:val="none"/>
              </w:rPr>
            </w:r>
            <w:r/>
          </w:p>
        </w:tc>
        <w:tc>
          <w:tcPr>
            <w:tcW w:w="1413"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投标文件响应情况</w:t>
            </w:r>
            <w:r>
              <w:rPr>
                <w:rFonts w:ascii="宋体" w:hAnsi="宋体"/>
                <w:color w:val="000000"/>
                <w:sz w:val="24"/>
                <w:szCs w:val="24"/>
                <w:highlight w:val="none"/>
              </w:rPr>
            </w:r>
            <w:r/>
          </w:p>
        </w:tc>
        <w:tc>
          <w:tcPr>
            <w:tcW w:w="778" w:type="dxa"/>
            <w:vAlign w:val="top"/>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偏离说明</w:t>
            </w:r>
            <w:r>
              <w:rPr>
                <w:rFonts w:ascii="宋体" w:hAnsi="宋体"/>
                <w:color w:val="000000"/>
                <w:sz w:val="24"/>
                <w:szCs w:val="24"/>
                <w:highlight w:val="none"/>
              </w:rPr>
            </w:r>
            <w:r/>
          </w:p>
        </w:tc>
      </w:tr>
      <w:tr>
        <w:trPr>
          <w:trHeight w:val="414"/>
        </w:trPr>
        <w:tc>
          <w:tcPr>
            <w:tcW w:w="460"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254"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548"/>
        </w:trPr>
        <w:tc>
          <w:tcPr>
            <w:tcW w:w="460"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254"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400"/>
        </w:trPr>
        <w:tc>
          <w:tcPr>
            <w:tcW w:w="460"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1254"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3"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419"/>
        </w:trPr>
        <w:tc>
          <w:tcPr>
            <w:tcW w:w="460" w:type="dxa"/>
            <w:vAlign w:val="center"/>
            <w:textDirection w:val="lrTb"/>
            <w:noWrap w:val="false"/>
          </w:tcPr>
          <w:p>
            <w:pPr>
              <w:pStyle w:val="87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1254"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87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78" w:type="dxa"/>
            <w:vAlign w:val="center"/>
            <w:textDirection w:val="lrTb"/>
            <w:noWrap w:val="false"/>
          </w:tcPr>
          <w:p>
            <w:pPr>
              <w:pStyle w:val="871"/>
              <w:jc w:val="center"/>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871"/>
        <w:contextualSpacing/>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w:t>
      </w:r>
      <w:r>
        <w:rPr>
          <w:rFonts w:hint="eastAsia" w:ascii="宋体" w:hAnsi="宋体"/>
          <w:b/>
          <w:color w:val="000000"/>
          <w:sz w:val="24"/>
          <w:szCs w:val="24"/>
          <w:highlight w:val="none"/>
        </w:rPr>
      </w:r>
      <w:r/>
    </w:p>
    <w:p>
      <w:pPr>
        <w:pStyle w:val="871"/>
        <w:contextualSpacing/>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1.投标人提交的投标文件中与招标文件第三部分“项目需求”中的技术部分的要求，应逐条填列在偏离表中。</w:t>
      </w:r>
      <w:r>
        <w:rPr>
          <w:rFonts w:hint="eastAsia" w:ascii="宋体" w:hAnsi="宋体"/>
          <w:color w:val="000000"/>
          <w:sz w:val="24"/>
          <w:szCs w:val="24"/>
          <w:highlight w:val="none"/>
        </w:rPr>
      </w:r>
      <w:r/>
    </w:p>
    <w:p>
      <w:pPr>
        <w:pStyle w:val="871"/>
        <w:contextualSpacing/>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 xml:space="preserve">“偏离说明”一栏选择“正偏离”、“无偏离”、“负偏离”进行填写。正偏离、无偏离的确认和负偏离的是否响应招标文件，由评委认定。</w:t>
      </w:r>
      <w:r>
        <w:rPr>
          <w:rFonts w:hint="eastAsia" w:ascii="宋体" w:hAnsi="宋体"/>
          <w:color w:val="000000"/>
          <w:sz w:val="24"/>
          <w:szCs w:val="24"/>
          <w:highlight w:val="none"/>
        </w:rPr>
      </w:r>
      <w:r/>
    </w:p>
    <w:p>
      <w:pPr>
        <w:pStyle w:val="871"/>
        <w:contextualSpacing/>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3.投标人如果虚假响应，将被暂停参加海安市公共资源交易中心组织政府采购活动。</w:t>
      </w:r>
      <w:r>
        <w:rPr>
          <w:rFonts w:hint="eastAsia" w:ascii="宋体" w:hAnsi="宋体"/>
          <w:color w:val="000000"/>
          <w:sz w:val="24"/>
          <w:szCs w:val="24"/>
          <w:highlight w:val="none"/>
        </w:rPr>
      </w:r>
      <w:r/>
    </w:p>
    <w:p>
      <w:pPr>
        <w:pStyle w:val="871"/>
        <w:contextualSpacing/>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4.供应商若提供其他增值服务，可以在表中自行据实填写。</w:t>
      </w:r>
      <w:r>
        <w:rPr>
          <w:rFonts w:hint="eastAsia" w:ascii="宋体" w:hAnsi="宋体"/>
          <w:bCs/>
          <w:color w:val="000000"/>
          <w:sz w:val="24"/>
          <w:szCs w:val="24"/>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1"/>
        <w:contextualSpacing/>
        <w:spacing w:line="400" w:lineRule="exact"/>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 xml:space="preserve">附件7</w:t>
      </w:r>
      <w:r>
        <w:rPr>
          <w:rFonts w:ascii="Times New Roman" w:hAnsi="Times New Roman" w:eastAsia="方正黑体_GBK"/>
          <w:color w:val="000000"/>
          <w:sz w:val="32"/>
          <w:szCs w:val="32"/>
          <w:highlight w:val="none"/>
        </w:rPr>
      </w:r>
      <w:r/>
    </w:p>
    <w:p>
      <w:pPr>
        <w:pStyle w:val="871"/>
        <w:jc w:val="center"/>
        <w:spacing w:before="100" w:beforeAutospacing="1" w:after="100" w:afterAutospacing="1" w:line="520" w:lineRule="exact"/>
        <w:widowControl/>
        <w:rPr>
          <w:rFonts w:hint="eastAsia" w:ascii="宋体" w:hAnsi="宋体" w:cs="宋体"/>
          <w:b/>
          <w:bCs/>
          <w:color w:val="000000"/>
          <w:sz w:val="32"/>
          <w:szCs w:val="32"/>
          <w:highlight w:val="none"/>
        </w:rPr>
      </w:pPr>
      <w:r>
        <w:rPr>
          <w:rFonts w:ascii="宋体" w:hAnsi="宋体" w:cs="宋体"/>
          <w:b/>
          <w:bCs/>
          <w:color w:val="000000"/>
          <w:sz w:val="32"/>
          <w:szCs w:val="32"/>
          <w:highlight w:val="none"/>
        </w:rPr>
        <w:t xml:space="preserve">开  标 一 览  表</w:t>
      </w:r>
      <w:r>
        <w:rPr>
          <w:rFonts w:hint="eastAsia" w:ascii="宋体" w:hAnsi="宋体" w:cs="宋体"/>
          <w:b/>
          <w:bCs/>
          <w:color w:val="000000"/>
          <w:sz w:val="32"/>
          <w:szCs w:val="32"/>
          <w:highlight w:val="none"/>
        </w:rPr>
      </w:r>
      <w:r/>
    </w:p>
    <w:p>
      <w:pPr>
        <w:pStyle w:val="871"/>
        <w:jc w:val="center"/>
        <w:spacing w:before="100" w:beforeAutospacing="1" w:after="100" w:afterAutospacing="1" w:line="520" w:lineRule="exact"/>
        <w:widowControl/>
        <w:rPr>
          <w:rFonts w:ascii="宋体" w:hAnsi="宋体" w:cs="宋体"/>
          <w:color w:val="000000"/>
          <w:sz w:val="32"/>
          <w:szCs w:val="32"/>
          <w:highlight w:val="none"/>
        </w:rPr>
      </w:pPr>
      <w:r>
        <w:rPr>
          <w:rFonts w:hint="eastAsia" w:ascii="宋体" w:hAnsi="宋体"/>
          <w:color w:val="000000"/>
          <w:szCs w:val="21"/>
          <w:highlight w:val="none"/>
        </w:rPr>
        <w:t xml:space="preserve">（备注：经办人在根据项目报价方式选用，确定后删除本备注及不适用的表格。）</w:t>
      </w:r>
      <w:r>
        <w:rPr>
          <w:rFonts w:ascii="宋体" w:hAnsi="宋体" w:cs="宋体"/>
          <w:color w:val="000000"/>
          <w:sz w:val="32"/>
          <w:szCs w:val="32"/>
          <w:highlight w:val="none"/>
        </w:rPr>
      </w:r>
      <w:r/>
    </w:p>
    <w:p>
      <w:pPr>
        <w:pStyle w:val="871"/>
        <w:spacing w:line="560" w:lineRule="exact"/>
        <w:rPr>
          <w:rFonts w:ascii="宋体" w:hAnsi="宋体" w:cs="宋体"/>
          <w:color w:val="000000"/>
          <w:sz w:val="28"/>
          <w:szCs w:val="28"/>
          <w:highlight w:val="none"/>
          <w:u w:val="single"/>
        </w:rPr>
      </w:pPr>
      <w:r>
        <w:rPr>
          <w:rFonts w:ascii="宋体" w:hAnsi="宋体" w:cs="宋体"/>
          <w:color w:val="000000"/>
          <w:sz w:val="28"/>
          <w:szCs w:val="28"/>
          <w:highlight w:val="none"/>
        </w:rPr>
        <w:t xml:space="preserve">投标人全称（加盖公章）：</w:t>
      </w:r>
      <w:r>
        <w:rPr>
          <w:rFonts w:ascii="宋体" w:hAnsi="宋体" w:cs="宋体"/>
          <w:color w:val="000000"/>
          <w:sz w:val="28"/>
          <w:szCs w:val="28"/>
          <w:highlight w:val="none"/>
          <w:u w:val="single"/>
        </w:rPr>
      </w:r>
      <w:r/>
    </w:p>
    <w:p>
      <w:pPr>
        <w:pStyle w:val="871"/>
        <w:spacing w:line="560" w:lineRule="exact"/>
        <w:rPr>
          <w:rFonts w:ascii="宋体" w:hAnsi="宋体" w:cs="宋体"/>
          <w:color w:val="000000"/>
          <w:sz w:val="28"/>
          <w:szCs w:val="28"/>
          <w:highlight w:val="none"/>
          <w:u w:val="single"/>
        </w:rPr>
      </w:pPr>
      <w:r>
        <w:rPr>
          <w:rFonts w:ascii="宋体" w:hAnsi="宋体" w:cs="宋体"/>
          <w:color w:val="000000"/>
          <w:sz w:val="28"/>
          <w:szCs w:val="28"/>
          <w:highlight w:val="none"/>
        </w:rPr>
        <w:t xml:space="preserve">项目名称：</w:t>
      </w:r>
      <w:r>
        <w:rPr>
          <w:rFonts w:ascii="宋体" w:hAnsi="宋体" w:cs="宋体"/>
          <w:color w:val="000000"/>
          <w:sz w:val="28"/>
          <w:szCs w:val="28"/>
          <w:highlight w:val="none"/>
          <w:u w:val="single"/>
        </w:rPr>
      </w:r>
      <w:r/>
    </w:p>
    <w:p>
      <w:pPr>
        <w:pStyle w:val="871"/>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项目编号：</w:t>
      </w:r>
      <w:r>
        <w:rPr>
          <w:rFonts w:ascii="宋体" w:hAnsi="宋体" w:cs="宋体"/>
          <w:color w:val="000000"/>
          <w:sz w:val="28"/>
          <w:szCs w:val="28"/>
          <w:highlight w:val="none"/>
        </w:rPr>
      </w:r>
      <w:r/>
    </w:p>
    <w:p>
      <w:pPr>
        <w:pStyle w:val="871"/>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分包号：</w:t>
      </w:r>
      <w:r>
        <w:rPr>
          <w:rFonts w:ascii="宋体" w:hAnsi="宋体" w:cs="宋体"/>
          <w:color w:val="000000"/>
          <w:sz w:val="28"/>
          <w:szCs w:val="28"/>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871"/>
              <w:jc w:val="center"/>
              <w:spacing w:line="560" w:lineRule="exact"/>
              <w:rPr>
                <w:rFonts w:ascii="等线" w:hAnsi="等线" w:eastAsia="等线"/>
                <w:color w:val="000000"/>
                <w:highlight w:val="none"/>
              </w:rPr>
            </w:pPr>
            <w:r>
              <w:rPr>
                <w:rFonts w:ascii="宋体" w:hAnsi="宋体" w:cs="宋体"/>
                <w:color w:val="000000"/>
                <w:sz w:val="28"/>
                <w:szCs w:val="28"/>
                <w:highlight w:val="none"/>
              </w:rPr>
              <w:t xml:space="preserve">投标货物、服务名称</w:t>
            </w:r>
            <w:r>
              <w:rPr>
                <w:rFonts w:ascii="等线" w:hAnsi="等线" w:eastAsia="等线"/>
                <w:color w:val="000000"/>
                <w:highlight w:val="none"/>
              </w:rPr>
            </w:r>
            <w:r/>
          </w:p>
        </w:tc>
        <w:tc>
          <w:tcPr>
            <w:tcW w:w="4607" w:type="dxa"/>
            <w:vAlign w:val="top"/>
            <w:textDirection w:val="lrTb"/>
            <w:noWrap w:val="false"/>
          </w:tcPr>
          <w:p>
            <w:pPr>
              <w:pStyle w:val="871"/>
              <w:jc w:val="center"/>
              <w:spacing w:line="560" w:lineRule="exact"/>
              <w:rPr>
                <w:rFonts w:ascii="等线" w:hAnsi="等线" w:eastAsia="等线"/>
                <w:color w:val="000000"/>
                <w:highlight w:val="none"/>
              </w:rPr>
            </w:pPr>
            <w:r>
              <w:rPr>
                <w:rFonts w:ascii="宋体" w:hAnsi="宋体" w:cs="宋体"/>
                <w:color w:val="000000"/>
                <w:sz w:val="28"/>
                <w:szCs w:val="28"/>
                <w:highlight w:val="none"/>
              </w:rPr>
              <w:t xml:space="preserve">投标总报价</w:t>
            </w:r>
            <w:r>
              <w:rPr>
                <w:rFonts w:ascii="等线" w:hAnsi="等线" w:eastAsia="等线"/>
                <w:color w:val="000000"/>
                <w:highlight w:val="none"/>
              </w:rPr>
            </w:r>
            <w:r/>
          </w:p>
        </w:tc>
      </w:tr>
      <w:tr>
        <w:trPr>
          <w:trHeight w:val="1091"/>
        </w:trPr>
        <w:tc>
          <w:tcPr>
            <w:tcW w:w="4148" w:type="dxa"/>
            <w:vAlign w:val="top"/>
            <w:textDirection w:val="lrTb"/>
            <w:noWrap w:val="false"/>
          </w:tcPr>
          <w:p>
            <w:pPr>
              <w:pStyle w:val="871"/>
              <w:spacing w:line="560" w:lineRule="exact"/>
              <w:rPr>
                <w:rFonts w:ascii="等线" w:hAnsi="等线" w:eastAsia="等线"/>
                <w:color w:val="000000"/>
                <w:highlight w:val="none"/>
              </w:rPr>
            </w:pPr>
            <w:r>
              <w:rPr>
                <w:rFonts w:ascii="等线" w:hAnsi="等线" w:eastAsia="等线"/>
                <w:color w:val="000000"/>
                <w:highlight w:val="none"/>
              </w:rPr>
            </w:r>
            <w:r/>
          </w:p>
        </w:tc>
        <w:tc>
          <w:tcPr>
            <w:tcW w:w="4607" w:type="dxa"/>
            <w:vAlign w:val="top"/>
            <w:textDirection w:val="lrTb"/>
            <w:noWrap w:val="false"/>
          </w:tcPr>
          <w:p>
            <w:pPr>
              <w:pStyle w:val="871"/>
              <w:spacing w:line="560" w:lineRule="exact"/>
              <w:rPr>
                <w:rFonts w:ascii="等线" w:hAnsi="等线" w:eastAsia="等线"/>
                <w:color w:val="000000"/>
                <w:highlight w:val="none"/>
                <w:u w:val="single"/>
              </w:rPr>
            </w:pPr>
            <w:r>
              <w:rPr>
                <w:rFonts w:ascii="宋体" w:hAnsi="宋体" w:cs="宋体"/>
                <w:color w:val="000000"/>
                <w:sz w:val="28"/>
                <w:szCs w:val="28"/>
                <w:highlight w:val="none"/>
              </w:rPr>
              <w:t xml:space="preserve">大写：</w:t>
            </w:r>
            <w:r>
              <w:rPr>
                <w:rFonts w:ascii="宋体" w:hAnsi="宋体" w:cs="宋体"/>
                <w:color w:val="000000"/>
                <w:sz w:val="28"/>
                <w:szCs w:val="28"/>
                <w:highlight w:val="none"/>
              </w:rPr>
              <w:br w:type="textWrapping" w:clear="all"/>
            </w:r>
            <w:r>
              <w:rPr>
                <w:rFonts w:ascii="宋体" w:hAnsi="宋体" w:cs="宋体"/>
                <w:color w:val="000000"/>
                <w:sz w:val="28"/>
                <w:szCs w:val="28"/>
                <w:highlight w:val="none"/>
              </w:rPr>
              <w:t xml:space="preserve">小写：元（人民币）</w:t>
            </w:r>
            <w:r>
              <w:rPr>
                <w:rFonts w:ascii="等线" w:hAnsi="等线" w:eastAsia="等线"/>
                <w:color w:val="000000"/>
                <w:highlight w:val="none"/>
                <w:u w:val="single"/>
              </w:rPr>
            </w:r>
            <w:r/>
          </w:p>
        </w:tc>
      </w:tr>
      <w:tr>
        <w:trPr/>
        <w:tc>
          <w:tcPr>
            <w:tcW w:w="4148" w:type="dxa"/>
            <w:vAlign w:val="top"/>
            <w:textDirection w:val="lrTb"/>
            <w:noWrap w:val="false"/>
          </w:tcPr>
          <w:p>
            <w:pPr>
              <w:pStyle w:val="871"/>
              <w:spacing w:line="560" w:lineRule="exact"/>
              <w:rPr>
                <w:rFonts w:ascii="等线" w:hAnsi="等线" w:eastAsia="等线"/>
                <w:color w:val="000000"/>
                <w:highlight w:val="none"/>
              </w:rPr>
            </w:pPr>
            <w:r>
              <w:rPr>
                <w:rFonts w:ascii="宋体" w:hAnsi="宋体" w:cs="宋体"/>
                <w:color w:val="000000"/>
                <w:sz w:val="28"/>
                <w:szCs w:val="28"/>
                <w:highlight w:val="none"/>
              </w:rPr>
              <w:t xml:space="preserve">主要货物、服务制造商及产地</w:t>
            </w:r>
            <w:r>
              <w:rPr>
                <w:rFonts w:ascii="等线" w:hAnsi="等线" w:eastAsia="等线"/>
                <w:color w:val="000000"/>
                <w:highlight w:val="none"/>
              </w:rPr>
            </w:r>
            <w:r/>
          </w:p>
        </w:tc>
        <w:tc>
          <w:tcPr>
            <w:tcW w:w="4607" w:type="dxa"/>
            <w:vAlign w:val="top"/>
            <w:textDirection w:val="lrTb"/>
            <w:noWrap w:val="false"/>
          </w:tcPr>
          <w:p>
            <w:pPr>
              <w:pStyle w:val="871"/>
              <w:spacing w:line="560" w:lineRule="exact"/>
              <w:rPr>
                <w:rFonts w:ascii="等线" w:hAnsi="等线" w:eastAsia="等线"/>
                <w:color w:val="000000"/>
                <w:highlight w:val="none"/>
              </w:rPr>
            </w:pPr>
            <w:r>
              <w:rPr>
                <w:rFonts w:ascii="等线" w:hAnsi="等线" w:eastAsia="等线"/>
                <w:color w:val="000000"/>
                <w:highlight w:val="none"/>
              </w:rPr>
            </w:r>
            <w:r/>
          </w:p>
        </w:tc>
      </w:tr>
      <w:tr>
        <w:trPr>
          <w:trHeight w:val="481"/>
        </w:trPr>
        <w:tc>
          <w:tcPr>
            <w:tcW w:w="4148" w:type="dxa"/>
            <w:vAlign w:val="top"/>
            <w:textDirection w:val="lrTb"/>
            <w:noWrap w:val="false"/>
          </w:tcPr>
          <w:p>
            <w:pPr>
              <w:pStyle w:val="871"/>
              <w:spacing w:line="560" w:lineRule="exact"/>
              <w:rPr>
                <w:rFonts w:ascii="等线" w:hAnsi="等线" w:eastAsia="等线"/>
                <w:color w:val="000000"/>
                <w:highlight w:val="none"/>
              </w:rPr>
            </w:pPr>
            <w:r>
              <w:rPr>
                <w:rFonts w:hint="eastAsia" w:ascii="宋体" w:hAnsi="宋体" w:cs="宋体"/>
                <w:color w:val="000000"/>
                <w:sz w:val="28"/>
                <w:szCs w:val="28"/>
                <w:highlight w:val="none"/>
              </w:rPr>
              <w:t xml:space="preserve">核心产品品牌（如有）</w:t>
            </w:r>
            <w:r>
              <w:rPr>
                <w:rFonts w:ascii="等线" w:hAnsi="等线" w:eastAsia="等线"/>
                <w:color w:val="000000"/>
                <w:highlight w:val="none"/>
              </w:rPr>
            </w:r>
            <w:r/>
          </w:p>
        </w:tc>
        <w:tc>
          <w:tcPr>
            <w:tcW w:w="4607" w:type="dxa"/>
            <w:vAlign w:val="top"/>
            <w:textDirection w:val="lrTb"/>
            <w:noWrap w:val="false"/>
          </w:tcPr>
          <w:p>
            <w:pPr>
              <w:pStyle w:val="871"/>
              <w:spacing w:line="560" w:lineRule="exact"/>
              <w:rPr>
                <w:rFonts w:ascii="等线" w:hAnsi="等线" w:eastAsia="等线"/>
                <w:color w:val="000000"/>
                <w:highlight w:val="none"/>
              </w:rPr>
            </w:pPr>
            <w:r>
              <w:rPr>
                <w:rFonts w:ascii="等线" w:hAnsi="等线" w:eastAsia="等线"/>
                <w:color w:val="000000"/>
                <w:highlight w:val="none"/>
              </w:rPr>
            </w:r>
            <w:r/>
          </w:p>
        </w:tc>
      </w:tr>
    </w:tbl>
    <w:p>
      <w:pPr>
        <w:pStyle w:val="871"/>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日期：</w:t>
      </w:r>
      <w:r>
        <w:rPr>
          <w:rFonts w:ascii="宋体" w:hAnsi="宋体" w:cs="宋体"/>
          <w:color w:val="000000"/>
          <w:sz w:val="28"/>
          <w:szCs w:val="28"/>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871"/>
              <w:jc w:val="center"/>
              <w:spacing w:line="560" w:lineRule="exact"/>
              <w:rPr>
                <w:rFonts w:ascii="等线" w:hAnsi="等线" w:eastAsia="等线"/>
                <w:color w:val="000000"/>
                <w:highlight w:val="none"/>
              </w:rPr>
            </w:pPr>
            <w:r>
              <w:rPr>
                <w:rFonts w:ascii="宋体" w:hAnsi="宋体" w:cs="宋体"/>
                <w:color w:val="000000"/>
                <w:sz w:val="28"/>
                <w:szCs w:val="28"/>
                <w:highlight w:val="none"/>
              </w:rPr>
              <w:t xml:space="preserve">投标货物、服务名称</w:t>
            </w:r>
            <w:r>
              <w:rPr>
                <w:rFonts w:ascii="等线" w:hAnsi="等线" w:eastAsia="等线"/>
                <w:color w:val="000000"/>
                <w:highlight w:val="none"/>
              </w:rPr>
            </w:r>
            <w:r/>
          </w:p>
        </w:tc>
        <w:tc>
          <w:tcPr>
            <w:tcW w:w="4607" w:type="dxa"/>
            <w:vAlign w:val="top"/>
            <w:textDirection w:val="lrTb"/>
            <w:noWrap w:val="false"/>
          </w:tcPr>
          <w:p>
            <w:pPr>
              <w:pStyle w:val="871"/>
              <w:jc w:val="center"/>
              <w:spacing w:line="560" w:lineRule="exact"/>
              <w:rPr>
                <w:rFonts w:ascii="等线" w:hAnsi="等线" w:eastAsia="等线"/>
                <w:color w:val="000000"/>
                <w:highlight w:val="none"/>
              </w:rPr>
            </w:pPr>
            <w:r>
              <w:rPr>
                <w:rFonts w:ascii="宋体" w:hAnsi="宋体" w:cs="宋体"/>
                <w:color w:val="000000"/>
                <w:sz w:val="28"/>
                <w:szCs w:val="28"/>
                <w:highlight w:val="none"/>
              </w:rPr>
              <w:t xml:space="preserve">投标</w:t>
            </w:r>
            <w:r>
              <w:rPr>
                <w:rFonts w:hint="eastAsia" w:ascii="宋体" w:hAnsi="宋体" w:cs="宋体"/>
                <w:color w:val="000000"/>
                <w:sz w:val="28"/>
                <w:szCs w:val="28"/>
                <w:highlight w:val="none"/>
              </w:rPr>
              <w:t xml:space="preserve">优惠率</w:t>
            </w:r>
            <w:r>
              <w:rPr>
                <w:rFonts w:ascii="等线" w:hAnsi="等线" w:eastAsia="等线"/>
                <w:color w:val="000000"/>
                <w:highlight w:val="none"/>
              </w:rPr>
            </w:r>
            <w:r/>
          </w:p>
        </w:tc>
      </w:tr>
      <w:tr>
        <w:trPr>
          <w:trHeight w:val="1091"/>
        </w:trPr>
        <w:tc>
          <w:tcPr>
            <w:tcW w:w="4148" w:type="dxa"/>
            <w:vAlign w:val="center"/>
            <w:textDirection w:val="lrTb"/>
            <w:noWrap w:val="false"/>
          </w:tcPr>
          <w:p>
            <w:pPr>
              <w:pStyle w:val="871"/>
              <w:jc w:val="center"/>
              <w:spacing w:line="560" w:lineRule="exact"/>
              <w:rPr>
                <w:rFonts w:ascii="等线" w:hAnsi="等线" w:eastAsia="等线"/>
                <w:color w:val="000000"/>
                <w:highlight w:val="none"/>
              </w:rPr>
            </w:pPr>
            <w:r>
              <w:rPr>
                <w:rFonts w:ascii="等线" w:hAnsi="等线" w:eastAsia="等线"/>
                <w:color w:val="000000"/>
                <w:highlight w:val="none"/>
              </w:rPr>
            </w:r>
            <w:r/>
          </w:p>
        </w:tc>
        <w:tc>
          <w:tcPr>
            <w:tcW w:w="4607" w:type="dxa"/>
            <w:vAlign w:val="center"/>
            <w:textDirection w:val="lrTb"/>
            <w:noWrap w:val="false"/>
          </w:tcPr>
          <w:p>
            <w:pPr>
              <w:pStyle w:val="871"/>
              <w:jc w:val="left"/>
              <w:spacing w:line="560" w:lineRule="exact"/>
              <w:rPr>
                <w:rFonts w:ascii="等线" w:hAnsi="等线" w:eastAsia="等线"/>
                <w:color w:val="000000"/>
                <w:highlight w:val="none"/>
                <w:u w:val="single"/>
              </w:rPr>
            </w:pPr>
            <w:r>
              <w:rPr>
                <w:rFonts w:ascii="宋体" w:hAnsi="宋体" w:cs="宋体"/>
                <w:color w:val="000000"/>
                <w:sz w:val="28"/>
                <w:szCs w:val="28"/>
                <w:highlight w:val="none"/>
              </w:rPr>
              <w:t xml:space="preserve">小写：</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t xml:space="preserve">%）</w:t>
            </w:r>
            <w:r>
              <w:rPr>
                <w:rFonts w:ascii="等线" w:hAnsi="等线" w:eastAsia="等线"/>
                <w:color w:val="000000"/>
                <w:highlight w:val="none"/>
                <w:u w:val="single"/>
              </w:rPr>
            </w:r>
            <w:r/>
          </w:p>
        </w:tc>
      </w:tr>
      <w:tr>
        <w:trPr/>
        <w:tc>
          <w:tcPr>
            <w:tcW w:w="4148" w:type="dxa"/>
            <w:vAlign w:val="top"/>
            <w:textDirection w:val="lrTb"/>
            <w:noWrap w:val="false"/>
          </w:tcPr>
          <w:p>
            <w:pPr>
              <w:pStyle w:val="871"/>
              <w:spacing w:line="560" w:lineRule="exact"/>
              <w:rPr>
                <w:rFonts w:ascii="等线" w:hAnsi="等线" w:eastAsia="等线"/>
                <w:color w:val="000000"/>
                <w:highlight w:val="none"/>
              </w:rPr>
            </w:pPr>
            <w:r>
              <w:rPr>
                <w:rFonts w:ascii="宋体" w:hAnsi="宋体" w:cs="宋体"/>
                <w:color w:val="000000"/>
                <w:sz w:val="28"/>
                <w:szCs w:val="28"/>
                <w:highlight w:val="none"/>
              </w:rPr>
              <w:t xml:space="preserve">主要货物、服务制造商及产地</w:t>
            </w:r>
            <w:r>
              <w:rPr>
                <w:rFonts w:ascii="等线" w:hAnsi="等线" w:eastAsia="等线"/>
                <w:color w:val="000000"/>
                <w:highlight w:val="none"/>
              </w:rPr>
            </w:r>
            <w:r/>
          </w:p>
        </w:tc>
        <w:tc>
          <w:tcPr>
            <w:tcW w:w="4607" w:type="dxa"/>
            <w:vAlign w:val="top"/>
            <w:textDirection w:val="lrTb"/>
            <w:noWrap w:val="false"/>
          </w:tcPr>
          <w:p>
            <w:pPr>
              <w:pStyle w:val="871"/>
              <w:spacing w:line="560" w:lineRule="exact"/>
              <w:rPr>
                <w:rFonts w:ascii="等线" w:hAnsi="等线" w:eastAsia="等线"/>
                <w:color w:val="000000"/>
                <w:highlight w:val="none"/>
              </w:rPr>
            </w:pPr>
            <w:r>
              <w:rPr>
                <w:rFonts w:ascii="等线" w:hAnsi="等线" w:eastAsia="等线"/>
                <w:color w:val="000000"/>
                <w:highlight w:val="none"/>
              </w:rPr>
            </w:r>
            <w:r/>
          </w:p>
        </w:tc>
      </w:tr>
      <w:tr>
        <w:trPr>
          <w:trHeight w:val="481"/>
        </w:trPr>
        <w:tc>
          <w:tcPr>
            <w:tcW w:w="4148" w:type="dxa"/>
            <w:vAlign w:val="top"/>
            <w:textDirection w:val="lrTb"/>
            <w:noWrap w:val="false"/>
          </w:tcPr>
          <w:p>
            <w:pPr>
              <w:pStyle w:val="871"/>
              <w:spacing w:line="560" w:lineRule="exact"/>
              <w:rPr>
                <w:rFonts w:ascii="等线" w:hAnsi="等线" w:eastAsia="等线"/>
                <w:color w:val="000000"/>
                <w:highlight w:val="none"/>
              </w:rPr>
            </w:pPr>
            <w:r>
              <w:rPr>
                <w:rFonts w:hint="eastAsia" w:ascii="宋体" w:hAnsi="宋体" w:cs="宋体"/>
                <w:color w:val="000000"/>
                <w:sz w:val="28"/>
                <w:szCs w:val="28"/>
                <w:highlight w:val="none"/>
              </w:rPr>
              <w:t xml:space="preserve">核心产品品牌（如有）</w:t>
            </w:r>
            <w:r>
              <w:rPr>
                <w:rFonts w:ascii="等线" w:hAnsi="等线" w:eastAsia="等线"/>
                <w:color w:val="000000"/>
                <w:highlight w:val="none"/>
              </w:rPr>
            </w:r>
            <w:r/>
          </w:p>
        </w:tc>
        <w:tc>
          <w:tcPr>
            <w:tcW w:w="4607" w:type="dxa"/>
            <w:vAlign w:val="top"/>
            <w:textDirection w:val="lrTb"/>
            <w:noWrap w:val="false"/>
          </w:tcPr>
          <w:p>
            <w:pPr>
              <w:pStyle w:val="871"/>
              <w:spacing w:line="560" w:lineRule="exact"/>
              <w:rPr>
                <w:rFonts w:ascii="等线" w:hAnsi="等线" w:eastAsia="等线"/>
                <w:color w:val="000000"/>
                <w:highlight w:val="none"/>
              </w:rPr>
            </w:pPr>
            <w:r>
              <w:rPr>
                <w:rFonts w:ascii="等线" w:hAnsi="等线" w:eastAsia="等线"/>
                <w:color w:val="000000"/>
                <w:highlight w:val="none"/>
              </w:rPr>
            </w:r>
            <w:r/>
          </w:p>
        </w:tc>
      </w:tr>
    </w:tbl>
    <w:p>
      <w:pPr>
        <w:pStyle w:val="871"/>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日期：</w:t>
      </w:r>
      <w:r>
        <w:rPr>
          <w:rFonts w:ascii="宋体" w:hAnsi="宋体" w:cs="宋体"/>
          <w:color w:val="000000"/>
          <w:sz w:val="28"/>
          <w:szCs w:val="28"/>
          <w:highlight w:val="none"/>
        </w:rPr>
      </w:r>
      <w:r/>
    </w:p>
    <w:p>
      <w:pPr>
        <w:pStyle w:val="871"/>
        <w:spacing w:line="520" w:lineRule="exact"/>
        <w:rPr>
          <w:rFonts w:ascii="宋体" w:hAnsi="宋体" w:cs="宋体"/>
          <w:color w:val="000000"/>
          <w:sz w:val="24"/>
          <w:szCs w:val="24"/>
          <w:highlight w:val="none"/>
        </w:rPr>
      </w:pPr>
      <w:r>
        <w:rPr>
          <w:rFonts w:ascii="宋体" w:hAnsi="宋体" w:cs="宋体"/>
          <w:color w:val="000000"/>
          <w:sz w:val="24"/>
          <w:szCs w:val="24"/>
          <w:highlight w:val="none"/>
        </w:rPr>
        <w:t xml:space="preserve">填写说明：</w:t>
      </w:r>
      <w:r>
        <w:rPr>
          <w:rFonts w:ascii="宋体" w:hAnsi="宋体" w:cs="宋体"/>
          <w:color w:val="000000"/>
          <w:sz w:val="24"/>
          <w:szCs w:val="24"/>
          <w:highlight w:val="none"/>
        </w:rPr>
      </w:r>
      <w:r/>
    </w:p>
    <w:p>
      <w:pPr>
        <w:pStyle w:val="871"/>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、开标一览表必须加盖投标单位公章（复印件无效）。</w:t>
      </w:r>
      <w:r>
        <w:rPr>
          <w:rFonts w:ascii="宋体" w:hAnsi="宋体" w:cs="宋体"/>
          <w:color w:val="000000"/>
          <w:sz w:val="24"/>
          <w:szCs w:val="24"/>
          <w:highlight w:val="none"/>
        </w:rPr>
      </w:r>
      <w:r/>
    </w:p>
    <w:p>
      <w:pPr>
        <w:pStyle w:val="871"/>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、如有分包，投标人投任何一个包的标的，都需单独填写开标一览表。</w:t>
      </w:r>
      <w:r>
        <w:rPr>
          <w:rFonts w:hint="eastAsia" w:ascii="宋体" w:hAnsi="宋体" w:cs="宋体"/>
          <w:color w:val="000000"/>
          <w:sz w:val="24"/>
          <w:szCs w:val="24"/>
          <w:highlight w:val="none"/>
        </w:rPr>
      </w:r>
      <w:r/>
    </w:p>
    <w:p>
      <w:pPr>
        <w:pStyle w:val="871"/>
        <w:spacing w:line="520" w:lineRule="exact"/>
        <w:rPr>
          <w:rFonts w:hint="eastAsia" w:ascii="Times New Roman" w:hAnsi="Times New Roman" w:eastAsia="方正黑体_GBK"/>
          <w:color w:val="000000"/>
          <w:sz w:val="32"/>
          <w:szCs w:val="32"/>
          <w:highlight w:val="none"/>
        </w:rPr>
      </w:pPr>
      <w:r>
        <w:rPr>
          <w:rFonts w:hint="eastAsia" w:ascii="宋体" w:hAnsi="宋体" w:cs="宋体"/>
          <w:color w:val="000000"/>
          <w:sz w:val="24"/>
          <w:szCs w:val="24"/>
          <w:highlight w:val="none"/>
        </w:rPr>
        <w:t xml:space="preserve">3、优惠率是价格下降幅度的百分比，优惠率=100%-折扣率。</w:t>
      </w:r>
      <w:r>
        <w:rPr>
          <w:rFonts w:ascii="Times New Roman" w:hAnsi="Times New Roman" w:eastAsia="方正黑体_GBK"/>
          <w:color w:val="000000"/>
          <w:sz w:val="32"/>
          <w:szCs w:val="32"/>
          <w:highlight w:val="none"/>
        </w:rPr>
        <w:br w:type="page" w:clear="all"/>
      </w:r>
      <w:r>
        <w:rPr>
          <w:rFonts w:ascii="Times New Roman" w:hAnsi="Times New Roman" w:eastAsia="方正黑体_GBK"/>
          <w:color w:val="000000"/>
          <w:sz w:val="32"/>
          <w:szCs w:val="32"/>
          <w:highlight w:val="none"/>
        </w:rPr>
        <w:t xml:space="preserve">附件8</w:t>
      </w:r>
      <w:r>
        <w:rPr>
          <w:rFonts w:hint="eastAsia" w:ascii="Times New Roman" w:hAnsi="Times New Roman" w:eastAsia="方正黑体_GBK"/>
          <w:color w:val="000000"/>
          <w:sz w:val="32"/>
          <w:szCs w:val="32"/>
          <w:highlight w:val="none"/>
        </w:rPr>
      </w:r>
      <w:r/>
    </w:p>
    <w:p>
      <w:pPr>
        <w:pStyle w:val="871"/>
        <w:jc w:val="center"/>
        <w:spacing w:line="400" w:lineRule="exact"/>
        <w:rPr>
          <w:color w:val="000000"/>
          <w:sz w:val="32"/>
          <w:szCs w:val="32"/>
          <w:highlight w:val="none"/>
        </w:rPr>
      </w:pPr>
      <w:r>
        <w:rPr>
          <w:rFonts w:hint="eastAsia"/>
          <w:b/>
          <w:bCs/>
          <w:color w:val="000000"/>
          <w:sz w:val="32"/>
          <w:szCs w:val="32"/>
          <w:highlight w:val="none"/>
        </w:rPr>
        <w:t xml:space="preserve">分项报价明细表（货物类）</w:t>
      </w:r>
      <w:r>
        <w:rPr>
          <w:color w:val="000000"/>
          <w:sz w:val="32"/>
          <w:szCs w:val="32"/>
          <w:highlight w:val="none"/>
        </w:rPr>
      </w:r>
      <w:r/>
    </w:p>
    <w:p>
      <w:pPr>
        <w:pStyle w:val="871"/>
        <w:spacing w:line="400" w:lineRule="exact"/>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投标人（盖章）：</w:t>
      </w:r>
      <w:r>
        <w:rPr>
          <w:rFonts w:ascii="仿宋_GB2312" w:hAnsi="宋体" w:eastAsia="仿宋_GB2312"/>
          <w:color w:val="000000"/>
          <w:sz w:val="28"/>
          <w:szCs w:val="28"/>
          <w:highlight w:val="none"/>
        </w:rPr>
      </w:r>
      <w:r/>
    </w:p>
    <w:tbl>
      <w:tblPr>
        <w:tblW w:w="9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812" w:hRule="exact"/>
        </w:trPr>
        <w:tc>
          <w:tcPr>
            <w:tcW w:w="1037"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1340"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211"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规格型号</w:t>
            </w:r>
            <w:r>
              <w:rPr>
                <w:rFonts w:ascii="宋体" w:hAnsi="宋体"/>
                <w:b/>
                <w:color w:val="000000"/>
                <w:szCs w:val="21"/>
                <w:highlight w:val="none"/>
              </w:rPr>
            </w:r>
            <w:r/>
          </w:p>
        </w:tc>
        <w:tc>
          <w:tcPr>
            <w:tcW w:w="1276"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品牌</w:t>
            </w:r>
            <w:r>
              <w:rPr>
                <w:rFonts w:ascii="宋体" w:hAnsi="宋体"/>
                <w:b/>
                <w:color w:val="000000"/>
                <w:szCs w:val="21"/>
                <w:highlight w:val="none"/>
              </w:rPr>
            </w:r>
            <w:r/>
          </w:p>
        </w:tc>
        <w:tc>
          <w:tcPr>
            <w:tcW w:w="992"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单位</w:t>
            </w:r>
            <w:r>
              <w:rPr>
                <w:rFonts w:ascii="宋体" w:hAnsi="宋体"/>
                <w:b/>
                <w:color w:val="000000"/>
                <w:szCs w:val="21"/>
                <w:highlight w:val="none"/>
              </w:rPr>
            </w:r>
            <w:r/>
          </w:p>
        </w:tc>
        <w:tc>
          <w:tcPr>
            <w:tcW w:w="851"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数量</w:t>
            </w:r>
            <w:r>
              <w:rPr>
                <w:rFonts w:ascii="宋体" w:hAnsi="宋体"/>
                <w:b/>
                <w:color w:val="000000"/>
                <w:szCs w:val="21"/>
                <w:highlight w:val="none"/>
              </w:rPr>
            </w:r>
            <w:r/>
          </w:p>
        </w:tc>
        <w:tc>
          <w:tcPr>
            <w:tcW w:w="850"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单价</w:t>
            </w:r>
            <w:r>
              <w:rPr>
                <w:rFonts w:ascii="宋体" w:hAnsi="宋体"/>
                <w:b/>
                <w:color w:val="000000"/>
                <w:szCs w:val="21"/>
                <w:highlight w:val="none"/>
              </w:rPr>
            </w:r>
            <w:r/>
          </w:p>
        </w:tc>
        <w:tc>
          <w:tcPr>
            <w:tcW w:w="851"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金额</w:t>
            </w:r>
            <w:r>
              <w:rPr>
                <w:rFonts w:ascii="宋体" w:hAnsi="宋体"/>
                <w:b/>
                <w:color w:val="000000"/>
                <w:szCs w:val="21"/>
                <w:highlight w:val="none"/>
              </w:rPr>
            </w:r>
            <w:r/>
          </w:p>
        </w:tc>
        <w:tc>
          <w:tcPr>
            <w:tcW w:w="1490" w:type="dxa"/>
            <w:vAlign w:val="center"/>
            <w:textDirection w:val="lrTb"/>
            <w:noWrap w:val="false"/>
          </w:tcPr>
          <w:p>
            <w:pPr>
              <w:pStyle w:val="871"/>
              <w:ind w:firstLine="105"/>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备注（是否为主要标的）</w:t>
            </w:r>
            <w:r>
              <w:rPr>
                <w:rFonts w:ascii="宋体" w:hAnsi="宋体"/>
                <w:b/>
                <w:color w:val="000000"/>
                <w:szCs w:val="21"/>
                <w:highlight w:val="none"/>
              </w:rPr>
            </w:r>
            <w:r/>
          </w:p>
        </w:tc>
      </w:tr>
      <w:tr>
        <w:trPr>
          <w:cantSplit/>
          <w:trHeight w:val="479"/>
        </w:trPr>
        <w:tc>
          <w:tcPr>
            <w:tcW w:w="1037"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rPr>
                <w:rFonts w:ascii="仿宋_GB2312" w:hAnsi="宋体" w:eastAsia="仿宋_GB2312"/>
                <w:color w:val="000000"/>
                <w:sz w:val="24"/>
                <w:szCs w:val="24"/>
                <w:highlight w:val="none"/>
              </w:rPr>
            </w:r>
            <w:r/>
          </w:p>
        </w:tc>
        <w:tc>
          <w:tcPr>
            <w:tcW w:w="134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02"/>
        </w:trPr>
        <w:tc>
          <w:tcPr>
            <w:tcW w:w="1037"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rPr>
                <w:rFonts w:ascii="仿宋_GB2312" w:hAnsi="宋体" w:eastAsia="仿宋_GB2312"/>
                <w:color w:val="000000"/>
                <w:sz w:val="24"/>
                <w:szCs w:val="24"/>
                <w:highlight w:val="none"/>
              </w:rPr>
            </w:r>
            <w:r/>
          </w:p>
        </w:tc>
        <w:tc>
          <w:tcPr>
            <w:tcW w:w="134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1037"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rPr>
                <w:rFonts w:ascii="仿宋_GB2312" w:hAnsi="宋体" w:eastAsia="仿宋_GB2312"/>
                <w:color w:val="000000"/>
                <w:sz w:val="24"/>
                <w:szCs w:val="24"/>
                <w:highlight w:val="none"/>
              </w:rPr>
            </w:r>
            <w:r/>
          </w:p>
        </w:tc>
        <w:tc>
          <w:tcPr>
            <w:tcW w:w="134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1037"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rPr>
                <w:rFonts w:ascii="仿宋_GB2312" w:hAnsi="宋体" w:eastAsia="仿宋_GB2312"/>
                <w:color w:val="000000"/>
                <w:sz w:val="24"/>
                <w:szCs w:val="24"/>
                <w:highlight w:val="none"/>
              </w:rPr>
            </w:r>
            <w:r/>
          </w:p>
        </w:tc>
        <w:tc>
          <w:tcPr>
            <w:tcW w:w="134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1037"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4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441"/>
        </w:trPr>
        <w:tc>
          <w:tcPr>
            <w:tcW w:w="1037"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rPr>
                <w:rFonts w:ascii="仿宋_GB2312" w:hAnsi="宋体" w:eastAsia="仿宋_GB2312"/>
                <w:color w:val="000000"/>
                <w:sz w:val="24"/>
                <w:szCs w:val="24"/>
                <w:highlight w:val="none"/>
              </w:rPr>
            </w:r>
            <w:r/>
          </w:p>
        </w:tc>
        <w:tc>
          <w:tcPr>
            <w:gridSpan w:val="8"/>
            <w:tcW w:w="886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441"/>
        </w:trPr>
        <w:tc>
          <w:tcPr>
            <w:gridSpan w:val="9"/>
            <w:tcW w:w="9898" w:type="dxa"/>
            <w:vAlign w:val="center"/>
            <w:textDirection w:val="lrTb"/>
            <w:noWrap w:val="false"/>
          </w:tcPr>
          <w:p>
            <w:pPr>
              <w:pStyle w:val="871"/>
              <w:jc w:val="left"/>
              <w:spacing w:line="240" w:lineRule="atLeast"/>
              <w:rPr>
                <w:rFonts w:ascii="仿宋_GB2312" w:hAnsi="宋体" w:eastAsia="仿宋_GB2312"/>
                <w:b/>
                <w:color w:val="000000"/>
                <w:sz w:val="28"/>
                <w:szCs w:val="28"/>
                <w:highlight w:val="none"/>
              </w:rPr>
            </w:pPr>
            <w:r>
              <w:rPr>
                <w:rFonts w:hint="eastAsia" w:ascii="仿宋_GB2312" w:hAnsi="宋体" w:eastAsia="仿宋_GB2312"/>
                <w:bCs/>
                <w:color w:val="000000"/>
                <w:sz w:val="28"/>
                <w:szCs w:val="28"/>
                <w:highlight w:val="none"/>
              </w:rPr>
              <w:t xml:space="preserve">本采购包中提供的符合本国产品标准的产品成本之和占该采购包提供的全部产品成本之和的比例为</w:t>
            </w:r>
            <w:r>
              <w:rPr>
                <w:rFonts w:hint="eastAsia" w:ascii="仿宋_GB2312" w:hAnsi="宋体" w:eastAsia="仿宋_GB2312"/>
                <w:bCs/>
                <w:color w:val="000000"/>
                <w:sz w:val="28"/>
                <w:szCs w:val="28"/>
                <w:highlight w:val="none"/>
                <w:u w:val="single"/>
              </w:rPr>
              <w:t xml:space="preserve">（供应商须填写具体比例）%</w:t>
            </w:r>
            <w:r>
              <w:rPr>
                <w:rFonts w:hint="eastAsia" w:ascii="仿宋_GB2312" w:hAnsi="宋体" w:eastAsia="仿宋_GB2312"/>
                <w:bCs/>
                <w:color w:val="000000"/>
                <w:sz w:val="28"/>
                <w:szCs w:val="28"/>
                <w:highlight w:val="none"/>
              </w:rPr>
              <w:t xml:space="preserve">。</w:t>
            </w:r>
            <w:r>
              <w:rPr>
                <w:rFonts w:ascii="仿宋_GB2312" w:hAnsi="宋体" w:eastAsia="仿宋_GB2312"/>
                <w:b/>
                <w:color w:val="000000"/>
                <w:sz w:val="28"/>
                <w:szCs w:val="28"/>
                <w:highlight w:val="none"/>
              </w:rPr>
            </w:r>
            <w:r/>
          </w:p>
        </w:tc>
      </w:tr>
    </w:tbl>
    <w:p>
      <w:pPr>
        <w:pStyle w:val="871"/>
        <w:ind w:left="984" w:hanging="984"/>
        <w:spacing w:line="400" w:lineRule="exact"/>
        <w:rPr>
          <w:rFonts w:ascii="仿宋_GB2312" w:hAnsi="Times New Roman" w:eastAsia="仿宋_GB2312"/>
          <w:b/>
          <w:bCs/>
          <w:color w:val="000000"/>
          <w:sz w:val="28"/>
          <w:szCs w:val="28"/>
          <w:highlight w:val="none"/>
        </w:rPr>
      </w:pPr>
      <w:r>
        <w:rPr>
          <w:rFonts w:ascii="仿宋_GB2312" w:hAnsi="Times New Roman" w:eastAsia="仿宋_GB2312"/>
          <w:b/>
          <w:bCs/>
          <w:color w:val="000000"/>
          <w:sz w:val="28"/>
          <w:szCs w:val="28"/>
          <w:highlight w:val="none"/>
        </w:rPr>
      </w:r>
      <w:r/>
    </w:p>
    <w:p>
      <w:pPr>
        <w:pStyle w:val="871"/>
        <w:jc w:val="center"/>
        <w:spacing w:line="400" w:lineRule="exact"/>
        <w:rPr>
          <w:b/>
          <w:bCs/>
          <w:color w:val="000000"/>
          <w:sz w:val="32"/>
          <w:szCs w:val="32"/>
          <w:highlight w:val="none"/>
        </w:rPr>
      </w:pPr>
      <w:r>
        <w:rPr>
          <w:rFonts w:hint="eastAsia"/>
          <w:b/>
          <w:bCs/>
          <w:color w:val="000000"/>
          <w:sz w:val="32"/>
          <w:szCs w:val="32"/>
          <w:highlight w:val="none"/>
        </w:rPr>
        <w:t xml:space="preserve">分项报价明细表（服务类）</w:t>
      </w:r>
      <w:r>
        <w:rPr>
          <w:b/>
          <w:bCs/>
          <w:color w:val="000000"/>
          <w:sz w:val="32"/>
          <w:szCs w:val="32"/>
          <w:highlight w:val="none"/>
        </w:rPr>
      </w:r>
      <w:r/>
    </w:p>
    <w:p>
      <w:pPr>
        <w:pStyle w:val="871"/>
        <w:spacing w:line="400" w:lineRule="exact"/>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投标人（盖章）：</w:t>
      </w:r>
      <w:r>
        <w:rPr>
          <w:rFonts w:ascii="仿宋_GB2312" w:hAnsi="宋体" w:eastAsia="仿宋_GB2312"/>
          <w:color w:val="000000"/>
          <w:sz w:val="28"/>
          <w:szCs w:val="28"/>
          <w:highlight w:val="none"/>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1321"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417"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服务范围</w:t>
            </w:r>
            <w:r>
              <w:rPr>
                <w:rFonts w:ascii="宋体" w:hAnsi="宋体"/>
                <w:b/>
                <w:color w:val="000000"/>
                <w:szCs w:val="21"/>
                <w:highlight w:val="none"/>
              </w:rPr>
            </w:r>
            <w:r/>
          </w:p>
        </w:tc>
        <w:tc>
          <w:tcPr>
            <w:tcW w:w="1418"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服务要求</w:t>
            </w:r>
            <w:r>
              <w:rPr>
                <w:rFonts w:ascii="宋体" w:hAnsi="宋体"/>
                <w:b/>
                <w:color w:val="000000"/>
                <w:szCs w:val="21"/>
                <w:highlight w:val="none"/>
              </w:rPr>
            </w:r>
            <w:r/>
          </w:p>
        </w:tc>
        <w:tc>
          <w:tcPr>
            <w:tcW w:w="1275"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服务时间</w:t>
            </w:r>
            <w:r>
              <w:rPr>
                <w:rFonts w:ascii="宋体" w:hAnsi="宋体"/>
                <w:b/>
                <w:color w:val="000000"/>
                <w:szCs w:val="21"/>
                <w:highlight w:val="none"/>
              </w:rPr>
            </w:r>
            <w:r/>
          </w:p>
        </w:tc>
        <w:tc>
          <w:tcPr>
            <w:tcW w:w="1276"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服务标准</w:t>
            </w:r>
            <w:r>
              <w:rPr>
                <w:rFonts w:ascii="宋体" w:hAnsi="宋体"/>
                <w:b/>
                <w:color w:val="000000"/>
                <w:szCs w:val="21"/>
                <w:highlight w:val="none"/>
              </w:rPr>
            </w:r>
            <w:r/>
          </w:p>
        </w:tc>
        <w:tc>
          <w:tcPr>
            <w:tcW w:w="851" w:type="dxa"/>
            <w:vAlign w:val="center"/>
            <w:textDirection w:val="lrTb"/>
            <w:noWrap w:val="false"/>
          </w:tcPr>
          <w:p>
            <w:pPr>
              <w:pStyle w:val="871"/>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金额</w:t>
            </w:r>
            <w:r>
              <w:rPr>
                <w:rFonts w:ascii="宋体" w:hAnsi="宋体"/>
                <w:b/>
                <w:color w:val="000000"/>
                <w:szCs w:val="21"/>
                <w:highlight w:val="none"/>
              </w:rPr>
            </w:r>
            <w:r/>
          </w:p>
        </w:tc>
        <w:tc>
          <w:tcPr>
            <w:tcW w:w="1151" w:type="dxa"/>
            <w:vAlign w:val="center"/>
            <w:textDirection w:val="lrTb"/>
            <w:noWrap w:val="false"/>
          </w:tcPr>
          <w:p>
            <w:pPr>
              <w:pStyle w:val="871"/>
              <w:ind w:firstLine="105"/>
              <w:jc w:val="center"/>
              <w:spacing w:line="240" w:lineRule="atLeast"/>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p>
        </w:tc>
      </w:tr>
      <w:tr>
        <w:trPr>
          <w:cantSplit/>
          <w:trHeight w:val="479"/>
        </w:trPr>
        <w:tc>
          <w:tcPr>
            <w:tcW w:w="97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rPr>
                <w:rFonts w:ascii="仿宋_GB2312" w:hAnsi="宋体" w:eastAsia="仿宋_GB2312"/>
                <w:color w:val="000000"/>
                <w:sz w:val="24"/>
                <w:szCs w:val="24"/>
                <w:highlight w:val="none"/>
              </w:rPr>
            </w:r>
            <w:r/>
          </w:p>
        </w:tc>
        <w:tc>
          <w:tcPr>
            <w:tcW w:w="132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02"/>
        </w:trPr>
        <w:tc>
          <w:tcPr>
            <w:tcW w:w="97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rPr>
                <w:rFonts w:ascii="仿宋_GB2312" w:hAnsi="宋体" w:eastAsia="仿宋_GB2312"/>
                <w:color w:val="000000"/>
                <w:sz w:val="24"/>
                <w:szCs w:val="24"/>
                <w:highlight w:val="none"/>
              </w:rPr>
            </w:r>
            <w:r/>
          </w:p>
        </w:tc>
        <w:tc>
          <w:tcPr>
            <w:tcW w:w="132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rPr>
                <w:rFonts w:ascii="仿宋_GB2312" w:hAnsi="宋体" w:eastAsia="仿宋_GB2312"/>
                <w:color w:val="000000"/>
                <w:sz w:val="24"/>
                <w:szCs w:val="24"/>
                <w:highlight w:val="none"/>
              </w:rPr>
            </w:r>
            <w:r/>
          </w:p>
        </w:tc>
        <w:tc>
          <w:tcPr>
            <w:tcW w:w="132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rPr>
                <w:rFonts w:ascii="仿宋_GB2312" w:hAnsi="宋体" w:eastAsia="仿宋_GB2312"/>
                <w:color w:val="000000"/>
                <w:sz w:val="24"/>
                <w:szCs w:val="24"/>
                <w:highlight w:val="none"/>
              </w:rPr>
            </w:r>
            <w:r/>
          </w:p>
        </w:tc>
        <w:tc>
          <w:tcPr>
            <w:tcW w:w="132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2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419"/>
        </w:trPr>
        <w:tc>
          <w:tcPr>
            <w:tcW w:w="971"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rPr>
                <w:rFonts w:ascii="仿宋_GB2312" w:hAnsi="宋体" w:eastAsia="仿宋_GB2312"/>
                <w:color w:val="000000"/>
                <w:sz w:val="24"/>
                <w:szCs w:val="24"/>
                <w:highlight w:val="none"/>
              </w:rPr>
            </w:r>
            <w:r/>
          </w:p>
        </w:tc>
        <w:tc>
          <w:tcPr>
            <w:gridSpan w:val="7"/>
            <w:tcW w:w="8709" w:type="dxa"/>
            <w:vAlign w:val="center"/>
            <w:textDirection w:val="lrTb"/>
            <w:noWrap w:val="false"/>
          </w:tcPr>
          <w:p>
            <w:pPr>
              <w:pStyle w:val="871"/>
              <w:jc w:val="center"/>
              <w:spacing w:line="240" w:lineRule="atLeast"/>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bl>
    <w:p>
      <w:pPr>
        <w:pStyle w:val="871"/>
        <w:spacing w:line="300" w:lineRule="auto"/>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r>
      <w:r/>
    </w:p>
    <w:p>
      <w:pPr>
        <w:pStyle w:val="871"/>
        <w:spacing w:line="520" w:lineRule="exact"/>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备注：</w:t>
      </w:r>
      <w:r>
        <w:rPr>
          <w:rFonts w:hint="eastAsia" w:ascii="宋体" w:hAnsi="宋体" w:cs="宋体"/>
          <w:b/>
          <w:color w:val="000000"/>
          <w:sz w:val="24"/>
          <w:szCs w:val="24"/>
          <w:highlight w:val="none"/>
          <w:lang w:val="zh-CN"/>
        </w:rPr>
      </w:r>
      <w:r/>
    </w:p>
    <w:p>
      <w:pPr>
        <w:pStyle w:val="871"/>
        <w:ind w:firstLine="482"/>
        <w:spacing w:line="520" w:lineRule="exact"/>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1.投标人必须详细、准确填写本报价表中各个子项的名称、品牌、规格型号、数量、单价、备注中的内容（是否为主要标的）等内容。</w:t>
      </w:r>
      <w:r>
        <w:rPr>
          <w:rFonts w:hint="eastAsia" w:ascii="宋体" w:hAnsi="宋体" w:cs="宋体"/>
          <w:b/>
          <w:color w:val="000000"/>
          <w:sz w:val="24"/>
          <w:szCs w:val="24"/>
          <w:highlight w:val="none"/>
          <w:lang w:val="zh-CN"/>
        </w:rPr>
      </w:r>
      <w:r/>
    </w:p>
    <w:p>
      <w:pPr>
        <w:pStyle w:val="871"/>
        <w:ind w:firstLine="482"/>
        <w:spacing w:line="520" w:lineRule="exact"/>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2.本表各分项报价合计应当与“开标一览表”中“投标总报价”（或“投标优惠率”）数额一致。</w:t>
      </w:r>
      <w:r>
        <w:rPr>
          <w:rFonts w:hint="eastAsia" w:ascii="宋体" w:hAnsi="宋体" w:cs="宋体"/>
          <w:b/>
          <w:color w:val="000000"/>
          <w:sz w:val="24"/>
          <w:szCs w:val="24"/>
          <w:highlight w:val="none"/>
          <w:lang w:val="zh-CN"/>
        </w:rPr>
      </w:r>
      <w:r/>
    </w:p>
    <w:p>
      <w:pPr>
        <w:pStyle w:val="871"/>
        <w:ind w:firstLine="482"/>
        <w:spacing w:line="520" w:lineRule="exact"/>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3.</w:t>
      </w:r>
      <w:r>
        <w:rPr>
          <w:rFonts w:hint="eastAsia" w:ascii="宋体" w:hAnsi="宋体" w:cs="宋体"/>
          <w:b/>
          <w:color w:val="000000"/>
          <w:sz w:val="24"/>
          <w:szCs w:val="24"/>
          <w:highlight w:val="none"/>
        </w:rPr>
        <w:t xml:space="preserve">供应商须详细备注主要标的信息，并</w:t>
      </w:r>
      <w:r>
        <w:rPr>
          <w:rFonts w:hint="eastAsia" w:ascii="宋体" w:hAnsi="宋体" w:cs="宋体"/>
          <w:b/>
          <w:color w:val="000000"/>
          <w:sz w:val="24"/>
          <w:szCs w:val="24"/>
          <w:highlight w:val="none"/>
          <w:lang w:val="zh-CN"/>
        </w:rPr>
        <w:t xml:space="preserve">将随中标公告进行公示。</w:t>
      </w:r>
      <w:r>
        <w:rPr>
          <w:rFonts w:hint="eastAsia" w:ascii="宋体" w:hAnsi="宋体" w:cs="宋体"/>
          <w:b/>
          <w:color w:val="000000"/>
          <w:sz w:val="24"/>
          <w:szCs w:val="24"/>
          <w:highlight w:val="none"/>
          <w:lang w:val="zh-CN"/>
        </w:rPr>
      </w:r>
      <w:r/>
    </w:p>
    <w:p>
      <w:pPr>
        <w:pStyle w:val="871"/>
        <w:ind w:firstLine="482"/>
        <w:spacing w:line="520" w:lineRule="exact"/>
        <w:rPr>
          <w:rFonts w:hint="eastAsia" w:ascii="宋体" w:hAnsi="宋体" w:cs="宋体"/>
          <w:b/>
          <w:bCs/>
          <w:color w:val="000000"/>
          <w:sz w:val="24"/>
          <w:szCs w:val="24"/>
          <w:highlight w:val="none"/>
          <w:lang w:val="zh-CN"/>
        </w:rPr>
        <w:outlineLvl w:val="0"/>
      </w:pPr>
      <w:r>
        <w:rPr>
          <w:rFonts w:hint="eastAsia" w:ascii="宋体" w:hAnsi="宋体" w:cs="宋体"/>
          <w:b/>
          <w:color w:val="000000"/>
          <w:sz w:val="24"/>
          <w:szCs w:val="24"/>
          <w:highlight w:val="none"/>
          <w:lang w:val="zh-CN"/>
        </w:rPr>
        <w:t xml:space="preserve">4.</w:t>
      </w:r>
      <w:r>
        <w:rPr>
          <w:rFonts w:hint="eastAsia" w:ascii="宋体" w:hAnsi="宋体" w:cs="宋体"/>
          <w:b/>
          <w:bCs/>
          <w:color w:val="000000"/>
          <w:spacing w:val="7"/>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全部产品是指货物或服务采购项目或采购包中包含的全部货物、服务产品。</w:t>
      </w:r>
      <w:r>
        <w:rPr>
          <w:rFonts w:hint="eastAsia" w:ascii="宋体" w:hAnsi="宋体" w:cs="宋体"/>
          <w:b/>
          <w:bCs/>
          <w:color w:val="000000"/>
          <w:sz w:val="24"/>
          <w:szCs w:val="24"/>
          <w:highlight w:val="none"/>
          <w:lang w:val="zh-CN"/>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300" w:lineRule="auto"/>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r>
      <w:r/>
    </w:p>
    <w:p>
      <w:pPr>
        <w:pStyle w:val="871"/>
        <w:spacing w:line="300" w:lineRule="auto"/>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附件9</w:t>
      </w:r>
      <w:r>
        <w:rPr>
          <w:rFonts w:ascii="Times New Roman" w:hAnsi="Times New Roman" w:eastAsia="方正黑体_GBK"/>
          <w:color w:val="000000"/>
          <w:sz w:val="32"/>
          <w:szCs w:val="32"/>
          <w:highlight w:val="none"/>
        </w:rPr>
      </w:r>
      <w:r/>
    </w:p>
    <w:p>
      <w:pPr>
        <w:pStyle w:val="871"/>
        <w:jc w:val="center"/>
        <w:spacing w:line="300" w:lineRule="auto"/>
        <w:rPr>
          <w:rFonts w:ascii="Times New Roman" w:hAnsi="Times New Roman"/>
          <w:b/>
          <w:bCs/>
          <w:color w:val="000000"/>
          <w:sz w:val="28"/>
          <w:szCs w:val="28"/>
          <w:highlight w:val="none"/>
          <w:lang w:bidi="zh-CN"/>
        </w:rPr>
        <w:outlineLvl w:val="0"/>
      </w:pPr>
      <w:r>
        <w:rPr>
          <w:rFonts w:ascii="Times New Roman" w:hAnsi="Times New Roman"/>
          <w:b/>
          <w:bCs/>
          <w:color w:val="000000"/>
          <w:sz w:val="28"/>
          <w:szCs w:val="28"/>
          <w:highlight w:val="none"/>
          <w:lang w:bidi="zh-CN"/>
        </w:rPr>
        <w:t xml:space="preserve">中小企业声明函（货物）</w:t>
      </w:r>
      <w:r>
        <w:rPr>
          <w:rFonts w:ascii="Times New Roman" w:hAnsi="Times New Roman"/>
          <w:b/>
          <w:bCs/>
          <w:color w:val="000000"/>
          <w:sz w:val="28"/>
          <w:szCs w:val="28"/>
          <w:highlight w:val="none"/>
          <w:lang w:bidi="zh-CN"/>
        </w:rPr>
      </w:r>
      <w:r/>
    </w:p>
    <w:p>
      <w:pPr>
        <w:pStyle w:val="871"/>
        <w:ind w:firstLine="560"/>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本公司（联合体）郑重声明，根据《政府采购促进中小企业发展管理办法》（财库</w:t>
      </w:r>
      <w:r>
        <w:rPr>
          <w:rFonts w:hint="eastAsia"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t xml:space="preserve">2020</w:t>
      </w:r>
      <w:r>
        <w:rPr>
          <w:rFonts w:hint="eastAsia"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t xml:space="preserve">46 号）的规定，本公司（联合体）参加</w:t>
      </w:r>
      <w:r>
        <w:rPr>
          <w:rFonts w:ascii="Times New Roman" w:hAnsi="Times New Roman"/>
          <w:color w:val="000000"/>
          <w:sz w:val="28"/>
          <w:szCs w:val="28"/>
          <w:highlight w:val="none"/>
          <w:u w:val="single"/>
          <w:lang w:bidi="zh-CN"/>
        </w:rPr>
        <w:t xml:space="preserve">（单位名称）</w:t>
      </w:r>
      <w:r>
        <w:rPr>
          <w:rFonts w:ascii="Times New Roman" w:hAnsi="Times New Roman"/>
          <w:color w:val="000000"/>
          <w:sz w:val="28"/>
          <w:szCs w:val="28"/>
          <w:highlight w:val="none"/>
          <w:lang w:bidi="zh-CN"/>
        </w:rPr>
        <w:t xml:space="preserve">的</w:t>
      </w:r>
      <w:r>
        <w:rPr>
          <w:rFonts w:ascii="Times New Roman" w:hAnsi="Times New Roman"/>
          <w:color w:val="000000"/>
          <w:sz w:val="28"/>
          <w:szCs w:val="28"/>
          <w:highlight w:val="none"/>
          <w:u w:val="single"/>
          <w:lang w:bidi="zh-CN"/>
        </w:rPr>
        <w:t xml:space="preserve">（项目名称）</w:t>
      </w:r>
      <w:r>
        <w:rPr>
          <w:rFonts w:ascii="Times New Roman" w:hAnsi="Times New Roman"/>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rFonts w:ascii="Times New Roman" w:hAnsi="Times New Roman"/>
          <w:color w:val="000000"/>
          <w:sz w:val="28"/>
          <w:szCs w:val="28"/>
          <w:highlight w:val="none"/>
          <w:lang w:bidi="zh-CN"/>
        </w:rPr>
      </w:r>
      <w:r/>
    </w:p>
    <w:p>
      <w:pPr>
        <w:pStyle w:val="871"/>
        <w:spacing w:line="360" w:lineRule="auto"/>
        <w:rPr>
          <w:rFonts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1.</w:t>
      </w:r>
      <w:r>
        <w:rPr>
          <w:rFonts w:ascii="Times New Roman" w:hAnsi="Times New Roman"/>
          <w:color w:val="000000"/>
          <w:sz w:val="28"/>
          <w:szCs w:val="28"/>
          <w:highlight w:val="none"/>
          <w:u w:val="single"/>
          <w:lang w:bidi="zh-CN"/>
        </w:rPr>
        <w:t xml:space="preserve"> （标的名称）</w:t>
      </w:r>
      <w:r>
        <w:rPr>
          <w:rFonts w:ascii="Times New Roman" w:hAnsi="Times New Roman"/>
          <w:color w:val="000000"/>
          <w:sz w:val="28"/>
          <w:szCs w:val="28"/>
          <w:highlight w:val="none"/>
          <w:lang w:bidi="zh-CN"/>
        </w:rPr>
        <w:t xml:space="preserve"> ，属于</w:t>
      </w:r>
      <w:r>
        <w:rPr>
          <w:rFonts w:ascii="Times New Roman" w:hAnsi="Times New Roman"/>
          <w:color w:val="000000"/>
          <w:sz w:val="28"/>
          <w:szCs w:val="28"/>
          <w:highlight w:val="none"/>
          <w:u w:val="single"/>
          <w:lang w:bidi="zh-CN"/>
        </w:rPr>
        <w:t xml:space="preserve">（采购文件中明确的所属行业）</w:t>
      </w:r>
      <w:r>
        <w:rPr>
          <w:rFonts w:ascii="Times New Roman" w:hAnsi="Times New Roman"/>
          <w:color w:val="000000"/>
          <w:sz w:val="28"/>
          <w:szCs w:val="28"/>
          <w:highlight w:val="none"/>
          <w:lang w:bidi="zh-CN"/>
        </w:rPr>
        <w:t xml:space="preserve">行业；制造商为</w:t>
      </w:r>
      <w:r>
        <w:rPr>
          <w:rFonts w:ascii="Times New Roman" w:hAnsi="Times New Roman"/>
          <w:color w:val="000000"/>
          <w:sz w:val="28"/>
          <w:szCs w:val="28"/>
          <w:highlight w:val="none"/>
          <w:u w:val="single"/>
          <w:lang w:bidi="zh-CN"/>
        </w:rPr>
        <w:t xml:space="preserve">（企业名称）</w:t>
      </w:r>
      <w:r>
        <w:rPr>
          <w:rFonts w:ascii="Times New Roman" w:hAnsi="Times New Roman"/>
          <w:color w:val="000000"/>
          <w:sz w:val="28"/>
          <w:szCs w:val="28"/>
          <w:highlight w:val="none"/>
          <w:lang w:bidi="zh-CN"/>
        </w:rPr>
        <w:t xml:space="preserve">，从业人员</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人，营业收入为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万元，资产总额为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万元，属于</w:t>
      </w:r>
      <w:r>
        <w:rPr>
          <w:rFonts w:ascii="Times New Roman" w:hAnsi="Times New Roman"/>
          <w:color w:val="000000"/>
          <w:sz w:val="28"/>
          <w:szCs w:val="28"/>
          <w:highlight w:val="none"/>
          <w:u w:val="single"/>
          <w:lang w:bidi="zh-CN"/>
        </w:rPr>
        <w:t xml:space="preserve">（中型企业、小型企业、微型企业）</w:t>
      </w:r>
      <w:r>
        <w:rPr>
          <w:rFonts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r>
      <w:r/>
    </w:p>
    <w:p>
      <w:pPr>
        <w:pStyle w:val="871"/>
        <w:spacing w:line="360" w:lineRule="auto"/>
        <w:rPr>
          <w:rFonts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2.</w:t>
      </w:r>
      <w:r>
        <w:rPr>
          <w:rFonts w:ascii="Times New Roman" w:hAnsi="Times New Roman"/>
          <w:i/>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 xml:space="preserve">（标的名称） </w:t>
      </w:r>
      <w:r>
        <w:rPr>
          <w:rFonts w:ascii="Times New Roman" w:hAnsi="Times New Roman"/>
          <w:color w:val="000000"/>
          <w:sz w:val="28"/>
          <w:szCs w:val="28"/>
          <w:highlight w:val="none"/>
          <w:lang w:bidi="zh-CN"/>
        </w:rPr>
        <w:t xml:space="preserve">，属于</w:t>
      </w:r>
      <w:r>
        <w:rPr>
          <w:rFonts w:ascii="Times New Roman" w:hAnsi="Times New Roman"/>
          <w:color w:val="000000"/>
          <w:sz w:val="28"/>
          <w:szCs w:val="28"/>
          <w:highlight w:val="none"/>
          <w:u w:val="single"/>
          <w:lang w:bidi="zh-CN"/>
        </w:rPr>
        <w:t xml:space="preserve">（采购文件中明确的所属行业）</w:t>
      </w:r>
      <w:r>
        <w:rPr>
          <w:rFonts w:ascii="Times New Roman" w:hAnsi="Times New Roman"/>
          <w:color w:val="000000"/>
          <w:sz w:val="28"/>
          <w:szCs w:val="28"/>
          <w:highlight w:val="none"/>
          <w:lang w:bidi="zh-CN"/>
        </w:rPr>
        <w:t xml:space="preserve">行业；制造商为</w:t>
      </w:r>
      <w:r>
        <w:rPr>
          <w:rFonts w:ascii="Times New Roman" w:hAnsi="Times New Roman"/>
          <w:color w:val="000000"/>
          <w:sz w:val="28"/>
          <w:szCs w:val="28"/>
          <w:highlight w:val="none"/>
          <w:u w:val="single"/>
          <w:lang w:bidi="zh-CN"/>
        </w:rPr>
        <w:t xml:space="preserve">（企业名称）</w:t>
      </w:r>
      <w:r>
        <w:rPr>
          <w:rFonts w:ascii="Times New Roman" w:hAnsi="Times New Roman"/>
          <w:color w:val="000000"/>
          <w:sz w:val="28"/>
          <w:szCs w:val="28"/>
          <w:highlight w:val="none"/>
          <w:lang w:bidi="zh-CN"/>
        </w:rPr>
        <w:t xml:space="preserve">，从业人员</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人，营业收入为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万元，资产总额为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万元，属于</w:t>
      </w:r>
      <w:r>
        <w:rPr>
          <w:rFonts w:ascii="Times New Roman" w:hAnsi="Times New Roman"/>
          <w:color w:val="000000"/>
          <w:sz w:val="28"/>
          <w:szCs w:val="28"/>
          <w:highlight w:val="none"/>
          <w:u w:val="single"/>
          <w:lang w:bidi="zh-CN"/>
        </w:rPr>
        <w:t xml:space="preserve">（中型企业、小型企业、微型企业）</w:t>
      </w:r>
      <w:r>
        <w:rPr>
          <w:rFonts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r>
      <w:r/>
    </w:p>
    <w:p>
      <w:pPr>
        <w:pStyle w:val="871"/>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r>
      <w:r/>
    </w:p>
    <w:p>
      <w:pPr>
        <w:pStyle w:val="871"/>
        <w:ind w:firstLine="560"/>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以上企业，不属于大企业的分支机构，不存在控股股东为大企业的情形，也不存在与大企业的负责人为同一人的情形。</w:t>
      </w:r>
      <w:r>
        <w:rPr>
          <w:rFonts w:ascii="Times New Roman" w:hAnsi="Times New Roman"/>
          <w:color w:val="000000"/>
          <w:sz w:val="28"/>
          <w:szCs w:val="28"/>
          <w:highlight w:val="none"/>
          <w:lang w:bidi="zh-CN"/>
        </w:rPr>
      </w:r>
      <w:r/>
    </w:p>
    <w:p>
      <w:pPr>
        <w:pStyle w:val="871"/>
        <w:ind w:firstLine="560"/>
        <w:spacing w:line="360" w:lineRule="auto"/>
        <w:rPr>
          <w:rFonts w:hint="eastAsia"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本企业对上述声明内容的真实性负责。如有虚假，将依法承担相应责任。</w:t>
      </w:r>
      <w:r>
        <w:rPr>
          <w:rFonts w:hint="eastAsia" w:ascii="Times New Roman" w:hAnsi="Times New Roman"/>
          <w:color w:val="000000"/>
          <w:sz w:val="28"/>
          <w:szCs w:val="28"/>
          <w:highlight w:val="none"/>
          <w:lang w:bidi="zh-CN"/>
        </w:rPr>
      </w:r>
      <w:r/>
    </w:p>
    <w:p>
      <w:pPr>
        <w:pStyle w:val="871"/>
        <w:ind w:firstLine="560"/>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r>
      <w:r/>
    </w:p>
    <w:p>
      <w:pPr>
        <w:pStyle w:val="871"/>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注：1.如项目属性为“货物”，请按本表填写。</w:t>
      </w:r>
      <w:r>
        <w:rPr>
          <w:rFonts w:hint="eastAsia" w:ascii="宋体" w:hAnsi="宋体" w:cs="宋体"/>
          <w:color w:val="000000"/>
          <w:szCs w:val="21"/>
          <w:highlight w:val="none"/>
          <w:lang w:bidi="zh-CN"/>
        </w:rPr>
      </w:r>
      <w:r/>
    </w:p>
    <w:p>
      <w:pPr>
        <w:pStyle w:val="871"/>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871"/>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3.投标供应商须根据上述要求，详细列明货物清单中所有产品制造商的具体情况，否则不能享受中小企业扶持政策。</w:t>
      </w:r>
      <w:r>
        <w:rPr>
          <w:rFonts w:hint="eastAsia" w:ascii="宋体" w:hAnsi="宋体" w:cs="宋体"/>
          <w:color w:val="000000"/>
          <w:szCs w:val="21"/>
          <w:highlight w:val="none"/>
          <w:lang w:bidi="zh-CN"/>
        </w:rPr>
      </w:r>
      <w:r/>
    </w:p>
    <w:p>
      <w:pPr>
        <w:pStyle w:val="871"/>
        <w:ind w:firstLine="420"/>
        <w:spacing w:line="300" w:lineRule="auto"/>
        <w:rPr>
          <w:rFonts w:hint="eastAsia" w:ascii="Times New Roman" w:hAnsi="Times New Roman"/>
          <w:color w:val="000000"/>
          <w:sz w:val="28"/>
          <w:szCs w:val="28"/>
          <w:highlight w:val="none"/>
          <w:lang w:bidi="zh-CN"/>
        </w:rPr>
        <w:outlineLvl w:val="0"/>
      </w:pPr>
      <w:r>
        <w:rPr>
          <w:rFonts w:hint="eastAsia" w:ascii="宋体" w:hAnsi="宋体" w:cs="宋体"/>
          <w:color w:val="000000"/>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color w:val="000000"/>
          <w:sz w:val="28"/>
          <w:szCs w:val="28"/>
          <w:highlight w:val="none"/>
          <w:lang w:bidi="zh-CN"/>
        </w:rPr>
      </w:r>
      <w:r/>
    </w:p>
    <w:p>
      <w:pPr>
        <w:pStyle w:val="871"/>
        <w:jc w:val="center"/>
        <w:spacing w:line="300" w:lineRule="auto"/>
        <w:rPr>
          <w:rFonts w:hint="eastAsia"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                      </w:t>
      </w:r>
      <w:r>
        <w:rPr>
          <w:rFonts w:ascii="Times New Roman" w:hAnsi="Times New Roman"/>
          <w:color w:val="000000"/>
          <w:sz w:val="28"/>
          <w:szCs w:val="28"/>
          <w:highlight w:val="none"/>
          <w:lang w:bidi="zh-CN"/>
        </w:rPr>
        <w:t xml:space="preserve">企业名称（盖章）：</w:t>
      </w:r>
      <w:r>
        <w:rPr>
          <w:rFonts w:hint="eastAsia" w:ascii="Times New Roman" w:hAnsi="Times New Roman"/>
          <w:color w:val="000000"/>
          <w:sz w:val="28"/>
          <w:szCs w:val="28"/>
          <w:highlight w:val="none"/>
          <w:lang w:bidi="zh-CN"/>
        </w:rPr>
      </w:r>
      <w:r/>
    </w:p>
    <w:p>
      <w:pPr>
        <w:pStyle w:val="871"/>
        <w:jc w:val="center"/>
        <w:spacing w:line="300" w:lineRule="auto"/>
        <w:rPr>
          <w:rFonts w:hint="eastAsia"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          </w:t>
      </w:r>
      <w:r>
        <w:rPr>
          <w:rFonts w:ascii="Times New Roman" w:hAnsi="Times New Roman"/>
          <w:color w:val="000000"/>
          <w:sz w:val="28"/>
          <w:szCs w:val="28"/>
          <w:highlight w:val="none"/>
          <w:lang w:bidi="zh-CN"/>
        </w:rPr>
        <w:t xml:space="preserve">日期：</w:t>
      </w:r>
      <w:r>
        <w:rPr>
          <w:rFonts w:hint="eastAsia" w:ascii="Times New Roman" w:hAnsi="Times New Roman"/>
          <w:color w:val="000000"/>
          <w:sz w:val="28"/>
          <w:szCs w:val="28"/>
          <w:highlight w:val="none"/>
          <w:lang w:bidi="zh-CN"/>
        </w:rPr>
      </w:r>
      <w:r/>
    </w:p>
    <w:p>
      <w:pPr>
        <w:pStyle w:val="871"/>
        <w:jc w:val="center"/>
        <w:spacing w:line="300" w:lineRule="auto"/>
        <w:rPr>
          <w:rFonts w:hint="eastAsia"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r>
      <w:r/>
    </w:p>
    <w:p>
      <w:pPr>
        <w:pStyle w:val="871"/>
        <w:jc w:val="center"/>
        <w:spacing w:line="300" w:lineRule="auto"/>
        <w:rPr>
          <w:b/>
          <w:bCs/>
          <w:color w:val="000000"/>
          <w:sz w:val="28"/>
          <w:szCs w:val="28"/>
          <w:lang w:bidi="zh-CN"/>
        </w:rPr>
        <w:outlineLvl w:val="0"/>
      </w:pPr>
      <w:r>
        <w:rPr>
          <w:b/>
          <w:bCs/>
          <w:color w:val="000000"/>
          <w:sz w:val="28"/>
          <w:szCs w:val="28"/>
          <w:lang w:bidi="zh-CN"/>
        </w:rPr>
        <w:t xml:space="preserve">中小企业声明函（工程、服务）</w:t>
      </w:r>
      <w:r>
        <w:rPr>
          <w:b/>
          <w:bCs/>
          <w:color w:val="000000"/>
          <w:sz w:val="28"/>
          <w:szCs w:val="28"/>
          <w:lang w:bidi="zh-CN"/>
        </w:rPr>
      </w:r>
      <w:r/>
    </w:p>
    <w:p>
      <w:pPr>
        <w:pStyle w:val="871"/>
        <w:ind w:firstLine="560"/>
        <w:spacing w:line="360" w:lineRule="auto"/>
        <w:rPr>
          <w:color w:val="000000"/>
          <w:sz w:val="28"/>
          <w:szCs w:val="28"/>
          <w:lang w:bidi="zh-CN"/>
        </w:rPr>
        <w:outlineLvl w:val="0"/>
      </w:pPr>
      <w:r>
        <w:rPr>
          <w:color w:val="000000"/>
          <w:sz w:val="28"/>
          <w:szCs w:val="28"/>
          <w:lang w:bidi="zh-CN"/>
        </w:rPr>
        <w:t xml:space="preserve">本公司（联合体）郑重声明，根据《政府采购促进中小企业发展管理办法》（财库</w:t>
      </w:r>
      <w:r>
        <w:rPr>
          <w:rFonts w:hint="eastAsia"/>
          <w:color w:val="000000"/>
          <w:sz w:val="28"/>
          <w:szCs w:val="28"/>
          <w:lang w:bidi="zh-CN"/>
        </w:rPr>
        <w:t xml:space="preserve">﹝</w:t>
      </w:r>
      <w:r>
        <w:rPr>
          <w:color w:val="000000"/>
          <w:sz w:val="28"/>
          <w:szCs w:val="28"/>
          <w:lang w:bidi="zh-CN"/>
        </w:rPr>
        <w:t xml:space="preserve">2020</w:t>
      </w:r>
      <w:r>
        <w:rPr>
          <w:rFonts w:hint="eastAsia"/>
          <w:color w:val="000000"/>
          <w:sz w:val="28"/>
          <w:szCs w:val="28"/>
          <w:lang w:bidi="zh-CN"/>
        </w:rPr>
        <w:t xml:space="preserve">﹞</w:t>
      </w:r>
      <w:r>
        <w:rPr>
          <w:color w:val="000000"/>
          <w:sz w:val="28"/>
          <w:szCs w:val="28"/>
          <w:lang w:bidi="zh-CN"/>
        </w:rPr>
        <w:t xml:space="preserve">46 号）的规定，本公司（联合体）参加</w:t>
      </w:r>
      <w:r>
        <w:rPr>
          <w:color w:val="000000"/>
          <w:sz w:val="28"/>
          <w:szCs w:val="28"/>
          <w:u w:val="single"/>
          <w:lang w:bidi="zh-CN"/>
        </w:rPr>
        <w:t xml:space="preserve">（单位名称）</w:t>
      </w:r>
      <w:r>
        <w:rPr>
          <w:color w:val="000000"/>
          <w:sz w:val="28"/>
          <w:szCs w:val="28"/>
          <w:lang w:bidi="zh-CN"/>
        </w:rPr>
        <w:t xml:space="preserve">的</w:t>
      </w:r>
      <w:r>
        <w:rPr>
          <w:color w:val="000000"/>
          <w:sz w:val="28"/>
          <w:szCs w:val="28"/>
          <w:u w:val="single"/>
          <w:lang w:bidi="zh-CN"/>
        </w:rPr>
        <w:t xml:space="preserve">（项目名称）</w:t>
      </w:r>
      <w:r>
        <w:rPr>
          <w:color w:val="000000"/>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color w:val="000000"/>
          <w:sz w:val="28"/>
          <w:szCs w:val="28"/>
          <w:lang w:bidi="zh-CN"/>
        </w:rPr>
      </w:r>
      <w:r/>
    </w:p>
    <w:p>
      <w:pPr>
        <w:pStyle w:val="871"/>
        <w:jc w:val="left"/>
        <w:spacing w:line="360" w:lineRule="auto"/>
        <w:rPr>
          <w:color w:val="000000"/>
          <w:sz w:val="28"/>
          <w:szCs w:val="28"/>
          <w:lang w:bidi="zh-CN"/>
        </w:rPr>
        <w:outlineLvl w:val="0"/>
      </w:pPr>
      <w:r>
        <w:rPr>
          <w:rFonts w:hint="eastAsia"/>
          <w:color w:val="000000"/>
          <w:sz w:val="28"/>
          <w:szCs w:val="28"/>
          <w:lang w:bidi="zh-CN"/>
        </w:rPr>
        <w:t xml:space="preserve">1.</w:t>
      </w:r>
      <w:r>
        <w:rPr>
          <w:color w:val="000000"/>
          <w:sz w:val="28"/>
          <w:szCs w:val="28"/>
          <w:u w:val="single"/>
          <w:lang w:bidi="zh-CN"/>
        </w:rPr>
        <w:t xml:space="preserve">（标的名称）</w:t>
      </w:r>
      <w:r>
        <w:rPr>
          <w:color w:val="000000"/>
          <w:sz w:val="28"/>
          <w:szCs w:val="28"/>
          <w:lang w:bidi="zh-CN"/>
        </w:rPr>
        <w:t xml:space="preserve">，属于（</w:t>
      </w:r>
      <w:r>
        <w:rPr>
          <w:color w:val="000000"/>
          <w:sz w:val="28"/>
          <w:szCs w:val="28"/>
          <w:u w:val="single"/>
          <w:lang w:bidi="zh-CN"/>
        </w:rPr>
        <w:t xml:space="preserve">采购文件中明确的所属行业）</w:t>
      </w:r>
      <w:r>
        <w:rPr>
          <w:color w:val="000000"/>
          <w:sz w:val="28"/>
          <w:szCs w:val="28"/>
          <w:lang w:bidi="zh-CN"/>
        </w:rPr>
        <w:t xml:space="preserve">；承建（承接）企业为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人，营业收入为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万元，资产总额为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rPr>
          <w:color w:val="000000"/>
          <w:sz w:val="28"/>
          <w:szCs w:val="28"/>
          <w:lang w:bidi="zh-CN"/>
        </w:rPr>
      </w:r>
      <w:r/>
    </w:p>
    <w:p>
      <w:pPr>
        <w:pStyle w:val="871"/>
        <w:jc w:val="left"/>
        <w:spacing w:line="360" w:lineRule="auto"/>
        <w:rPr>
          <w:color w:val="000000"/>
          <w:sz w:val="28"/>
          <w:szCs w:val="28"/>
          <w:lang w:bidi="zh-CN"/>
        </w:rPr>
        <w:outlineLvl w:val="0"/>
      </w:pPr>
      <w:r>
        <w:rPr>
          <w:rFonts w:hint="eastAsia"/>
          <w:color w:val="000000"/>
          <w:sz w:val="28"/>
          <w:szCs w:val="28"/>
          <w:lang w:bidi="zh-CN"/>
        </w:rPr>
        <w:t xml:space="preserve">2.</w:t>
      </w:r>
      <w:r>
        <w:rPr>
          <w:color w:val="000000"/>
          <w:sz w:val="28"/>
          <w:szCs w:val="28"/>
          <w:u w:val="single"/>
          <w:lang w:bidi="zh-CN"/>
        </w:rPr>
        <w:t xml:space="preserve">（标的名称）</w:t>
      </w:r>
      <w:r>
        <w:rPr>
          <w:color w:val="000000"/>
          <w:sz w:val="28"/>
          <w:szCs w:val="28"/>
          <w:lang w:bidi="zh-CN"/>
        </w:rPr>
        <w:t xml:space="preserve">，属于（</w:t>
      </w:r>
      <w:r>
        <w:rPr>
          <w:color w:val="000000"/>
          <w:sz w:val="28"/>
          <w:szCs w:val="28"/>
          <w:u w:val="single"/>
          <w:lang w:bidi="zh-CN"/>
        </w:rPr>
        <w:t xml:space="preserve">采购文件中明确的所属行业）</w:t>
      </w:r>
      <w:r>
        <w:rPr>
          <w:color w:val="000000"/>
          <w:sz w:val="28"/>
          <w:szCs w:val="28"/>
          <w:lang w:bidi="zh-CN"/>
        </w:rPr>
        <w:t xml:space="preserve">；承建（承接）企业为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人，营业收入为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万元，资产总额为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rPr>
          <w:color w:val="000000"/>
          <w:sz w:val="28"/>
          <w:szCs w:val="28"/>
          <w:lang w:bidi="zh-CN"/>
        </w:rPr>
      </w:r>
      <w:r/>
    </w:p>
    <w:p>
      <w:pPr>
        <w:pStyle w:val="871"/>
        <w:jc w:val="left"/>
        <w:spacing w:line="360" w:lineRule="auto"/>
        <w:rPr>
          <w:color w:val="000000"/>
          <w:sz w:val="28"/>
          <w:szCs w:val="28"/>
          <w:lang w:bidi="zh-CN"/>
        </w:rPr>
        <w:outlineLvl w:val="0"/>
      </w:pPr>
      <w:r>
        <w:rPr>
          <w:color w:val="000000"/>
          <w:sz w:val="28"/>
          <w:szCs w:val="28"/>
          <w:lang w:bidi="zh-CN"/>
        </w:rPr>
        <w:t xml:space="preserve">……</w:t>
      </w:r>
      <w:r>
        <w:rPr>
          <w:color w:val="000000"/>
          <w:sz w:val="28"/>
          <w:szCs w:val="28"/>
          <w:lang w:bidi="zh-CN"/>
        </w:rPr>
      </w:r>
      <w:r/>
    </w:p>
    <w:p>
      <w:pPr>
        <w:pStyle w:val="871"/>
        <w:ind w:firstLine="560"/>
        <w:spacing w:line="360" w:lineRule="auto"/>
        <w:rPr>
          <w:color w:val="000000"/>
          <w:sz w:val="28"/>
          <w:szCs w:val="28"/>
          <w:lang w:bidi="zh-CN"/>
        </w:rPr>
        <w:outlineLvl w:val="0"/>
      </w:pPr>
      <w:r>
        <w:rPr>
          <w:color w:val="000000"/>
          <w:sz w:val="28"/>
          <w:szCs w:val="28"/>
          <w:lang w:bidi="zh-CN"/>
        </w:rPr>
        <w:t xml:space="preserve">以上企业，不属于大企业的分支机构，不存在控股股东为大企业的情形，也不存在与大企业的负责人为同一人的情形。</w:t>
      </w:r>
      <w:r>
        <w:rPr>
          <w:color w:val="000000"/>
          <w:sz w:val="28"/>
          <w:szCs w:val="28"/>
          <w:lang w:bidi="zh-CN"/>
        </w:rPr>
      </w:r>
      <w:r/>
    </w:p>
    <w:p>
      <w:pPr>
        <w:pStyle w:val="871"/>
        <w:ind w:firstLine="560"/>
        <w:spacing w:line="360" w:lineRule="auto"/>
        <w:rPr>
          <w:rFonts w:hint="eastAsia"/>
          <w:color w:val="000000"/>
          <w:sz w:val="28"/>
          <w:szCs w:val="28"/>
          <w:lang w:bidi="zh-CN"/>
        </w:rPr>
        <w:outlineLvl w:val="0"/>
      </w:pPr>
      <w:r>
        <w:rPr>
          <w:color w:val="000000"/>
          <w:sz w:val="28"/>
          <w:szCs w:val="28"/>
          <w:lang w:bidi="zh-CN"/>
        </w:rPr>
        <w:t xml:space="preserve">本企业对上述声明内容的真实性负责。如有虚假，将依法承担相应责任。</w:t>
      </w:r>
      <w:r>
        <w:rPr>
          <w:rFonts w:hint="eastAsia"/>
          <w:color w:val="000000"/>
          <w:sz w:val="28"/>
          <w:szCs w:val="28"/>
          <w:lang w:bidi="zh-CN"/>
        </w:rPr>
      </w:r>
      <w:r/>
    </w:p>
    <w:p>
      <w:pPr>
        <w:pStyle w:val="871"/>
        <w:ind w:firstLine="560"/>
        <w:spacing w:line="360" w:lineRule="auto"/>
        <w:rPr>
          <w:color w:val="000000"/>
          <w:sz w:val="28"/>
          <w:szCs w:val="28"/>
          <w:lang w:bidi="zh-CN"/>
        </w:rPr>
        <w:outlineLvl w:val="0"/>
      </w:pPr>
      <w:r>
        <w:rPr>
          <w:color w:val="000000"/>
          <w:sz w:val="28"/>
          <w:szCs w:val="28"/>
          <w:lang w:bidi="zh-CN"/>
        </w:rPr>
      </w:r>
      <w:r/>
    </w:p>
    <w:p>
      <w:pPr>
        <w:pStyle w:val="871"/>
        <w:spacing w:line="300" w:lineRule="auto"/>
        <w:rPr>
          <w:rFonts w:hint="eastAsia" w:ascii="宋体" w:hAnsi="宋体" w:cs="宋体"/>
          <w:color w:val="000000"/>
          <w:lang w:bidi="zh-CN"/>
        </w:rPr>
        <w:outlineLvl w:val="0"/>
      </w:pPr>
      <w:r>
        <w:rPr>
          <w:rFonts w:hint="eastAsia" w:ascii="宋体" w:hAnsi="宋体" w:cs="宋体"/>
          <w:color w:val="000000"/>
          <w:lang w:bidi="zh-CN"/>
        </w:rPr>
        <w:t xml:space="preserve">注：1.如项目属性为“服务”或“工程”，请按本表填写。</w:t>
      </w:r>
      <w:r>
        <w:rPr>
          <w:rFonts w:hint="eastAsia" w:ascii="宋体" w:hAnsi="宋体" w:cs="宋体"/>
          <w:color w:val="000000"/>
          <w:lang w:bidi="zh-CN"/>
        </w:rPr>
      </w:r>
      <w:r/>
    </w:p>
    <w:p>
      <w:pPr>
        <w:pStyle w:val="871"/>
        <w:ind w:firstLine="420"/>
        <w:spacing w:line="300" w:lineRule="auto"/>
        <w:rPr>
          <w:rFonts w:hint="eastAsia" w:ascii="宋体" w:hAnsi="宋体" w:cs="宋体"/>
          <w:color w:val="000000"/>
          <w:lang w:bidi="zh-CN"/>
        </w:rPr>
        <w:outlineLvl w:val="0"/>
      </w:pPr>
      <w:r>
        <w:rPr>
          <w:rFonts w:hint="eastAsia" w:ascii="宋体" w:hAnsi="宋体" w:cs="宋体"/>
          <w:color w:val="000000"/>
          <w:lang w:bidi="zh-CN"/>
        </w:rPr>
        <w:t xml:space="preserve">2.从业人员、营业收入、资产总额填报上一年度数据，无上一年度数据的新成立企业可不填报。</w:t>
      </w:r>
      <w:r>
        <w:rPr>
          <w:rFonts w:hint="eastAsia" w:ascii="宋体" w:hAnsi="宋体" w:cs="宋体"/>
          <w:color w:val="000000"/>
          <w:lang w:bidi="zh-CN"/>
        </w:rPr>
      </w:r>
      <w:r/>
    </w:p>
    <w:p>
      <w:pPr>
        <w:pStyle w:val="871"/>
        <w:ind w:firstLine="420"/>
        <w:spacing w:line="300" w:lineRule="auto"/>
        <w:rPr>
          <w:rFonts w:hint="eastAsia"/>
          <w:color w:val="000000"/>
          <w:sz w:val="28"/>
          <w:szCs w:val="28"/>
          <w:lang w:bidi="zh-CN"/>
        </w:rPr>
        <w:outlineLvl w:val="0"/>
      </w:pPr>
      <w:r>
        <w:rPr>
          <w:rFonts w:hint="eastAsia" w:ascii="宋体" w:hAnsi="宋体" w:cs="宋体"/>
          <w:color w:val="000000"/>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color w:val="000000"/>
          <w:sz w:val="28"/>
          <w:szCs w:val="28"/>
          <w:lang w:bidi="zh-CN"/>
        </w:rPr>
      </w:r>
      <w:r/>
    </w:p>
    <w:p>
      <w:pPr>
        <w:pStyle w:val="871"/>
        <w:ind w:firstLine="4900"/>
        <w:spacing w:line="300" w:lineRule="auto"/>
        <w:rPr>
          <w:rFonts w:hint="eastAsia"/>
          <w:color w:val="000000"/>
          <w:sz w:val="28"/>
          <w:szCs w:val="28"/>
          <w:lang w:bidi="zh-CN"/>
        </w:rPr>
        <w:outlineLvl w:val="0"/>
      </w:pPr>
      <w:r>
        <w:rPr>
          <w:rFonts w:hint="eastAsia"/>
          <w:color w:val="000000"/>
          <w:sz w:val="28"/>
          <w:szCs w:val="28"/>
          <w:lang w:bidi="zh-CN"/>
        </w:rPr>
      </w:r>
      <w:r/>
    </w:p>
    <w:p>
      <w:pPr>
        <w:pStyle w:val="871"/>
        <w:ind w:firstLine="4900"/>
        <w:spacing w:line="300" w:lineRule="auto"/>
        <w:rPr>
          <w:rFonts w:hint="eastAsia"/>
          <w:color w:val="000000"/>
          <w:sz w:val="28"/>
          <w:szCs w:val="28"/>
          <w:lang w:bidi="zh-CN"/>
        </w:rPr>
        <w:outlineLvl w:val="0"/>
      </w:pPr>
      <w:r>
        <w:rPr>
          <w:color w:val="000000"/>
          <w:sz w:val="28"/>
          <w:szCs w:val="28"/>
          <w:lang w:bidi="zh-CN"/>
        </w:rPr>
        <w:t xml:space="preserve">企业名称（盖章）：</w:t>
      </w:r>
      <w:r>
        <w:rPr>
          <w:rFonts w:hint="eastAsia"/>
          <w:color w:val="000000"/>
          <w:sz w:val="28"/>
          <w:szCs w:val="28"/>
          <w:lang w:bidi="zh-CN"/>
        </w:rPr>
      </w:r>
      <w:r/>
    </w:p>
    <w:p>
      <w:pPr>
        <w:pStyle w:val="871"/>
        <w:ind w:firstLine="4900"/>
        <w:spacing w:line="300" w:lineRule="auto"/>
        <w:rPr>
          <w:color w:val="000000"/>
          <w:sz w:val="28"/>
          <w:szCs w:val="28"/>
          <w:lang w:bidi="zh-CN"/>
        </w:rPr>
        <w:outlineLvl w:val="0"/>
      </w:pPr>
      <w:r>
        <w:rPr>
          <w:color w:val="000000"/>
          <w:sz w:val="28"/>
          <w:szCs w:val="28"/>
          <w:lang w:bidi="zh-CN"/>
        </w:rPr>
        <w:t xml:space="preserve">日期：</w:t>
      </w:r>
      <w:r>
        <w:rPr>
          <w:color w:val="000000"/>
          <w:sz w:val="28"/>
          <w:szCs w:val="28"/>
          <w:lang w:bidi="zh-CN"/>
        </w:rPr>
      </w:r>
      <w:r/>
    </w:p>
    <w:p>
      <w:pPr>
        <w:pStyle w:val="871"/>
        <w:jc w:val="center"/>
        <w:spacing w:line="300" w:lineRule="auto"/>
        <w:rPr>
          <w:rFonts w:hint="eastAsia"/>
          <w:color w:val="000000"/>
          <w:sz w:val="28"/>
          <w:szCs w:val="28"/>
          <w:lang w:bidi="zh-CN"/>
        </w:rPr>
        <w:outlineLvl w:val="0"/>
      </w:pPr>
      <w:r>
        <w:rPr>
          <w:rFonts w:hint="eastAsia"/>
          <w:color w:val="000000"/>
          <w:sz w:val="28"/>
          <w:szCs w:val="28"/>
          <w:lang w:bidi="zh-CN"/>
        </w:rPr>
      </w:r>
      <w:r/>
    </w:p>
    <w:p>
      <w:pPr>
        <w:pStyle w:val="871"/>
        <w:jc w:val="center"/>
        <w:spacing w:line="300" w:lineRule="auto"/>
        <w:rPr>
          <w:rFonts w:hint="eastAsia"/>
          <w:color w:val="000000"/>
          <w:sz w:val="28"/>
          <w:szCs w:val="28"/>
          <w:lang w:bidi="zh-CN"/>
        </w:rPr>
        <w:outlineLvl w:val="0"/>
      </w:pPr>
      <w:r>
        <w:rPr>
          <w:rFonts w:hint="eastAsia"/>
          <w:color w:val="000000"/>
          <w:sz w:val="28"/>
          <w:szCs w:val="28"/>
          <w:lang w:bidi="zh-CN"/>
        </w:rPr>
      </w:r>
      <w:r/>
    </w:p>
    <w:p>
      <w:pPr>
        <w:pStyle w:val="871"/>
        <w:jc w:val="center"/>
        <w:spacing w:line="300" w:lineRule="auto"/>
        <w:rPr>
          <w:rFonts w:hint="eastAsia"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r>
      <w:r/>
    </w:p>
    <w:p>
      <w:pPr>
        <w:pStyle w:val="871"/>
        <w:spacing w:line="300" w:lineRule="auto"/>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附件10</w:t>
      </w:r>
      <w:r>
        <w:rPr>
          <w:rFonts w:ascii="Times New Roman" w:hAnsi="Times New Roman" w:eastAsia="方正黑体_GBK"/>
          <w:color w:val="000000"/>
          <w:sz w:val="32"/>
          <w:szCs w:val="32"/>
          <w:highlight w:val="none"/>
        </w:rPr>
      </w:r>
      <w:r/>
    </w:p>
    <w:p>
      <w:pPr>
        <w:pStyle w:val="871"/>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871"/>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871"/>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871"/>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1"/>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1"/>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1"/>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1"/>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71"/>
        <w:ind w:firstLine="560"/>
        <w:spacing w:line="588" w:lineRule="exact"/>
        <w:rPr>
          <w:rFonts w:hint="eastAsia" w:ascii="仿宋_GB2312" w:hAnsi="Times New Roman" w:eastAsia="仿宋_GB2312"/>
          <w:color w:val="000000"/>
          <w:spacing w:val="6"/>
          <w:sz w:val="28"/>
          <w:szCs w:val="28"/>
          <w:highlight w:val="none"/>
        </w:rPr>
      </w:pPr>
      <w:r>
        <w:rPr>
          <w:rFonts w:hint="eastAsia" w:ascii="宋体" w:hAnsi="宋体" w:cs="宋体"/>
          <w:color w:val="000000"/>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color w:val="000000"/>
          <w:spacing w:val="6"/>
          <w:sz w:val="28"/>
          <w:szCs w:val="28"/>
          <w:highlight w:val="none"/>
        </w:rPr>
      </w:r>
      <w:r/>
    </w:p>
    <w:p>
      <w:pPr>
        <w:pStyle w:val="871"/>
        <w:ind w:firstLine="584"/>
        <w:spacing w:line="588" w:lineRule="exact"/>
        <w:rPr>
          <w:rFonts w:ascii="仿宋_GB2312" w:hAnsi="Times New Roman" w:eastAsia="仿宋_GB2312"/>
          <w:color w:val="000000"/>
          <w:spacing w:val="6"/>
          <w:sz w:val="28"/>
          <w:szCs w:val="28"/>
          <w:highlight w:val="none"/>
        </w:rPr>
      </w:pPr>
      <w:r>
        <w:rPr>
          <w:rFonts w:ascii="仿宋_GB2312" w:hAnsi="Times New Roman" w:eastAsia="仿宋_GB2312"/>
          <w:color w:val="000000"/>
          <w:spacing w:val="6"/>
          <w:sz w:val="28"/>
          <w:szCs w:val="28"/>
          <w:highlight w:val="none"/>
        </w:rPr>
      </w:r>
      <w:r/>
    </w:p>
    <w:p>
      <w:pPr>
        <w:pStyle w:val="871"/>
        <w:ind w:right="1560" w:firstLine="584"/>
        <w:jc w:val="center"/>
        <w:spacing w:line="588" w:lineRule="exact"/>
        <w:tabs>
          <w:tab w:val="left" w:pos="4860" w:leader="none"/>
        </w:tabs>
        <w:rPr>
          <w:rFonts w:ascii="宋体" w:hAnsi="宋体"/>
          <w:color w:val="000000"/>
          <w:sz w:val="28"/>
          <w:szCs w:val="28"/>
          <w:highlight w:val="none"/>
        </w:rPr>
      </w:pPr>
      <w:r>
        <w:rPr>
          <w:rFonts w:hint="eastAsia" w:ascii="仿宋_GB2312" w:hAnsi="Times New Roman" w:eastAsia="仿宋_GB2312"/>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871"/>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871"/>
        <w:spacing w:line="300" w:lineRule="auto"/>
        <w:rPr>
          <w:rFonts w:ascii="Times New Roman" w:hAnsi="Times New Roman" w:eastAsia="方正黑体_GBK"/>
          <w:color w:val="000000"/>
          <w:sz w:val="32"/>
          <w:szCs w:val="32"/>
          <w:highlight w:val="none"/>
        </w:rPr>
        <w:outlineLvl w:val="0"/>
      </w:pPr>
      <w:r>
        <w:rPr>
          <w:rFonts w:ascii="Times New Roman" w:hAnsi="Times New Roman"/>
          <w:color w:val="000000"/>
          <w:sz w:val="28"/>
          <w:szCs w:val="28"/>
          <w:highlight w:val="none"/>
        </w:rPr>
        <w:br w:type="page" w:clear="all"/>
      </w:r>
      <w:r>
        <w:rPr>
          <w:rFonts w:ascii="Times New Roman" w:hAnsi="Times New Roman" w:eastAsia="方正黑体_GBK"/>
          <w:color w:val="000000"/>
          <w:sz w:val="32"/>
          <w:szCs w:val="32"/>
          <w:highlight w:val="none"/>
        </w:rPr>
        <w:t xml:space="preserve">附件11</w:t>
      </w:r>
      <w:r>
        <w:rPr>
          <w:rFonts w:ascii="Times New Roman" w:hAnsi="Times New Roman" w:eastAsia="方正黑体_GBK"/>
          <w:color w:val="000000"/>
          <w:sz w:val="32"/>
          <w:szCs w:val="32"/>
          <w:highlight w:val="none"/>
        </w:rPr>
      </w:r>
      <w:r/>
    </w:p>
    <w:p>
      <w:pPr>
        <w:pStyle w:val="871"/>
        <w:jc w:val="center"/>
        <w:spacing w:line="420" w:lineRule="exact"/>
        <w:rPr>
          <w:b/>
          <w:bCs/>
          <w:color w:val="000000"/>
          <w:sz w:val="32"/>
          <w:szCs w:val="32"/>
          <w:highlight w:val="none"/>
        </w:rPr>
        <w:outlineLvl w:val="3"/>
      </w:pPr>
      <w:r>
        <w:rPr>
          <w:rFonts w:hint="eastAsia"/>
          <w:b/>
          <w:bCs/>
          <w:color w:val="000000"/>
          <w:sz w:val="32"/>
          <w:szCs w:val="32"/>
          <w:highlight w:val="none"/>
        </w:rPr>
        <w:t xml:space="preserve">监狱和戒毒企业证明材料</w:t>
      </w:r>
      <w:r>
        <w:rPr>
          <w:b/>
          <w:bCs/>
          <w:color w:val="000000"/>
          <w:sz w:val="32"/>
          <w:szCs w:val="32"/>
          <w:highlight w:val="none"/>
        </w:rPr>
      </w:r>
      <w:r/>
    </w:p>
    <w:p>
      <w:pPr>
        <w:pStyle w:val="871"/>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71"/>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871"/>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71"/>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注：1、供应商如不提供此声明函，价格将不做相应扣除。</w:t>
      </w:r>
      <w:r>
        <w:rPr>
          <w:rFonts w:hint="eastAsia" w:ascii="Times New Roman" w:hAnsi="Times New Roman"/>
          <w:color w:val="000000"/>
          <w:sz w:val="28"/>
          <w:szCs w:val="28"/>
          <w:highlight w:val="none"/>
        </w:rPr>
      </w:r>
      <w:r/>
    </w:p>
    <w:p>
      <w:pPr>
        <w:pStyle w:val="871"/>
        <w:ind w:firstLine="560"/>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2、中标供应商为监狱企业的，此声明函将随中标结果同时公告，</w:t>
      </w: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接受社会监督。供应商按照本办法规定提供声明函内容不实的，属于</w:t>
      </w: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提供虚假材料谋取中标、成交，依照《中华人民共和国政府采购法》</w:t>
      </w: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等国家有关规定追究相应责任。</w:t>
      </w: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pStyle w:val="871"/>
        <w:rPr>
          <w:rFonts w:ascii="Times New Roman" w:hAnsi="Times New Roman" w:eastAsia="方正黑体_GBK"/>
          <w:bCs/>
          <w:color w:val="000000"/>
          <w:sz w:val="32"/>
          <w:szCs w:val="32"/>
          <w:highlight w:val="none"/>
          <w:lang w:bidi="ar"/>
        </w:rPr>
      </w:pPr>
      <w:r>
        <w:rPr>
          <w:rFonts w:ascii="Times New Roman" w:hAnsi="Times New Roman" w:eastAsia="方正黑体_GBK"/>
          <w:bCs/>
          <w:color w:val="000000"/>
          <w:sz w:val="32"/>
          <w:szCs w:val="32"/>
          <w:highlight w:val="none"/>
          <w:lang w:bidi="ar"/>
        </w:rPr>
        <w:br w:type="page" w:clear="all"/>
      </w:r>
      <w:r>
        <w:rPr>
          <w:rFonts w:ascii="Times New Roman" w:hAnsi="Times New Roman" w:eastAsia="方正黑体_GBK"/>
          <w:bCs/>
          <w:color w:val="000000"/>
          <w:sz w:val="32"/>
          <w:szCs w:val="32"/>
          <w:highlight w:val="none"/>
          <w:lang w:bidi="ar"/>
        </w:rPr>
        <w:t xml:space="preserve">附件12</w:t>
      </w:r>
      <w:r>
        <w:rPr>
          <w:rFonts w:ascii="Times New Roman" w:hAnsi="Times New Roman" w:eastAsia="方正黑体_GBK"/>
          <w:bCs/>
          <w:color w:val="000000"/>
          <w:sz w:val="32"/>
          <w:szCs w:val="32"/>
          <w:highlight w:val="none"/>
          <w:lang w:bidi="ar"/>
        </w:rPr>
      </w:r>
      <w:r/>
    </w:p>
    <w:p>
      <w:pPr>
        <w:pStyle w:val="871"/>
        <w:jc w:val="center"/>
        <w:spacing w:line="440" w:lineRule="exact"/>
        <w:shd w:val="clear" w:color="auto" w:fill="ffffff"/>
        <w:widowControl/>
        <w:rPr>
          <w:rFonts w:hint="eastAsia" w:ascii="黑体" w:hAnsi="黑体" w:eastAsia="黑体" w:cs="方正魏碑_GBK"/>
          <w:color w:val="000000"/>
          <w:sz w:val="32"/>
          <w:szCs w:val="32"/>
          <w:highlight w:val="none"/>
        </w:rPr>
      </w:pPr>
      <w:r>
        <w:rPr>
          <w:rFonts w:hint="eastAsia" w:ascii="黑体" w:hAnsi="黑体" w:eastAsia="黑体" w:cs="方正魏碑_GBK"/>
          <w:color w:val="000000"/>
          <w:sz w:val="32"/>
          <w:szCs w:val="32"/>
          <w:highlight w:val="none"/>
        </w:rPr>
        <w:t xml:space="preserve">关于符合本国产品标准的声明函</w:t>
      </w:r>
      <w:r>
        <w:rPr>
          <w:rFonts w:hint="eastAsia" w:ascii="黑体" w:hAnsi="黑体" w:eastAsia="黑体" w:cs="方正魏碑_GBK"/>
          <w:color w:val="000000"/>
          <w:sz w:val="32"/>
          <w:szCs w:val="32"/>
          <w:highlight w:val="none"/>
        </w:rPr>
      </w:r>
      <w:r/>
    </w:p>
    <w:p>
      <w:pPr>
        <w:pStyle w:val="871"/>
        <w:ind w:firstLine="420"/>
        <w:jc w:val="left"/>
        <w:spacing w:line="440" w:lineRule="exact"/>
        <w:widowControl/>
        <w:rPr>
          <w:rFonts w:ascii="宋体" w:hAnsi="宋体" w:cs="方正魏碑_GBK"/>
          <w:color w:val="000000"/>
          <w:sz w:val="28"/>
          <w:szCs w:val="28"/>
          <w:highlight w:val="none"/>
        </w:rPr>
      </w:pPr>
      <w:r>
        <w:rPr>
          <w:rFonts w:ascii="宋体" w:hAnsi="宋体" w:cs="方正魏碑_GBK"/>
          <w:color w:val="000000"/>
          <w:sz w:val="28"/>
          <w:szCs w:val="28"/>
          <w:highlight w:val="none"/>
        </w:rPr>
      </w:r>
      <w:r/>
    </w:p>
    <w:p>
      <w:pPr>
        <w:pStyle w:val="871"/>
        <w:ind w:firstLine="420"/>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方正魏碑_GBK"/>
          <w:color w:val="000000"/>
          <w:sz w:val="28"/>
          <w:szCs w:val="28"/>
          <w:highlight w:val="none"/>
        </w:rPr>
      </w:r>
      <w:r/>
    </w:p>
    <w:p>
      <w:pPr>
        <w:pStyle w:val="871"/>
        <w:ind w:firstLine="420"/>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 xml:space="preserve">1.</w:t>
      </w:r>
      <w:r>
        <w:rPr>
          <w:rFonts w:hint="eastAsia" w:ascii="宋体" w:hAnsi="宋体" w:cs="方正魏碑_GBK"/>
          <w:color w:val="000000"/>
          <w:sz w:val="28"/>
          <w:szCs w:val="28"/>
          <w:highlight w:val="none"/>
          <w:u w:val="single"/>
        </w:rPr>
        <w:t xml:space="preserve">（产品名称1）</w:t>
      </w:r>
      <w:r>
        <w:rPr>
          <w:rFonts w:hint="eastAsia" w:ascii="宋体" w:hAnsi="宋体" w:cs="方正魏碑_GBK"/>
          <w:color w:val="000000"/>
          <w:sz w:val="28"/>
          <w:szCs w:val="28"/>
          <w:highlight w:val="none"/>
          <w:vertAlign w:val="superscript"/>
        </w:rPr>
        <w:t xml:space="preserve">1</w:t>
      </w:r>
      <w:r>
        <w:rPr>
          <w:rFonts w:hint="eastAsia" w:ascii="宋体" w:hAnsi="宋体" w:cs="方正魏碑_GBK"/>
          <w:color w:val="000000"/>
          <w:sz w:val="28"/>
          <w:szCs w:val="28"/>
          <w:highlight w:val="none"/>
          <w:shd w:val="clear" w:color="auto" w:fill="ffffff"/>
        </w:rPr>
        <w:t xml:space="preserve">，生产厂为</w:t>
      </w:r>
      <w:r>
        <w:rPr>
          <w:rFonts w:hint="eastAsia" w:ascii="宋体" w:hAnsi="宋体" w:cs="方正魏碑_GBK"/>
          <w:color w:val="000000"/>
          <w:sz w:val="28"/>
          <w:szCs w:val="28"/>
          <w:highlight w:val="none"/>
          <w:u w:val="single"/>
        </w:rPr>
        <w:t xml:space="preserve">（厂名）</w:t>
      </w:r>
      <w:r>
        <w:rPr>
          <w:rFonts w:hint="eastAsia" w:ascii="宋体" w:hAnsi="宋体" w:cs="方正魏碑_GBK"/>
          <w:color w:val="000000"/>
          <w:sz w:val="28"/>
          <w:szCs w:val="28"/>
          <w:highlight w:val="none"/>
          <w:vertAlign w:val="superscript"/>
        </w:rPr>
        <w:t xml:space="preserve">2</w:t>
      </w:r>
      <w:r>
        <w:rPr>
          <w:rFonts w:hint="eastAsia" w:ascii="宋体" w:hAnsi="宋体" w:cs="方正魏碑_GBK"/>
          <w:color w:val="000000"/>
          <w:sz w:val="28"/>
          <w:szCs w:val="28"/>
          <w:highlight w:val="none"/>
          <w:shd w:val="clear" w:color="auto" w:fill="ffffff"/>
        </w:rPr>
        <w:t xml:space="preserve">，厂址为</w:t>
      </w:r>
      <w:r>
        <w:rPr>
          <w:rFonts w:hint="eastAsia" w:ascii="宋体" w:hAnsi="宋体" w:cs="方正魏碑_GBK"/>
          <w:color w:val="000000"/>
          <w:sz w:val="28"/>
          <w:szCs w:val="28"/>
          <w:highlight w:val="none"/>
          <w:u w:val="single"/>
        </w:rPr>
        <w:t xml:space="preserve">（生产厂址）</w:t>
      </w:r>
      <w:r>
        <w:rPr>
          <w:rFonts w:hint="eastAsia" w:ascii="宋体" w:hAnsi="宋体" w:cs="方正魏碑_GBK"/>
          <w:color w:val="000000"/>
          <w:sz w:val="28"/>
          <w:szCs w:val="28"/>
          <w:highlight w:val="none"/>
          <w:shd w:val="clear" w:color="auto" w:fill="ffffff"/>
        </w:rPr>
        <w:t xml:space="preserve">。</w:t>
      </w:r>
      <w:r>
        <w:rPr>
          <w:rFonts w:hint="eastAsia" w:ascii="宋体" w:hAnsi="宋体" w:cs="方正魏碑_GBK"/>
          <w:color w:val="000000"/>
          <w:sz w:val="28"/>
          <w:szCs w:val="28"/>
          <w:highlight w:val="none"/>
          <w:u w:val="single"/>
          <w:shd w:val="clear" w:color="auto" w:fill="ffffff"/>
        </w:rPr>
        <w:t xml:space="preserve"> </w:t>
      </w:r>
      <w:r>
        <w:rPr>
          <w:rFonts w:hint="eastAsia" w:ascii="宋体" w:hAnsi="宋体" w:cs="方正魏碑_GBK"/>
          <w:strike/>
          <w:color w:val="000000"/>
          <w:sz w:val="28"/>
          <w:szCs w:val="28"/>
          <w:highlight w:val="none"/>
          <w:u w:val="single"/>
        </w:rPr>
        <w:t xml:space="preserve">（产品名称1）</w:t>
      </w:r>
      <w:r>
        <w:rPr>
          <w:rFonts w:hint="eastAsia" w:ascii="宋体" w:hAnsi="宋体" w:cs="方正魏碑_GBK"/>
          <w:color w:val="000000"/>
          <w:sz w:val="28"/>
          <w:szCs w:val="28"/>
          <w:highlight w:val="none"/>
          <w:u w:val="single"/>
        </w:rPr>
        <w:t xml:space="preserve"> </w:t>
      </w:r>
      <w:r>
        <w:rPr>
          <w:rFonts w:hint="eastAsia" w:ascii="宋体" w:hAnsi="宋体" w:cs="方正魏碑_GBK"/>
          <w:color w:val="000000"/>
          <w:sz w:val="28"/>
          <w:szCs w:val="28"/>
          <w:highlight w:val="none"/>
          <w:shd w:val="clear" w:color="auto" w:fill="ffffff"/>
        </w:rPr>
        <w:t xml:space="preserve">的中国境内生产的组件成本占比≥</w:t>
      </w:r>
      <w:r>
        <w:rPr>
          <w:rFonts w:hint="eastAsia" w:ascii="宋体" w:hAnsi="宋体" w:cs="方正魏碑_GBK"/>
          <w:strike/>
          <w:color w:val="000000"/>
          <w:sz w:val="28"/>
          <w:szCs w:val="28"/>
          <w:highlight w:val="none"/>
          <w:u w:val="single"/>
        </w:rPr>
        <w:t xml:space="preserve">（规定</w:t>
      </w:r>
      <w:r>
        <w:rPr>
          <w:rFonts w:ascii="宋体" w:hAnsi="宋体" w:cs="方正魏碑_GBK"/>
          <w:strike/>
          <w:color w:val="000000"/>
          <w:sz w:val="28"/>
          <w:szCs w:val="28"/>
          <w:highlight w:val="none"/>
          <w:u w:val="single"/>
        </w:rPr>
        <w:t xml:space="preserve">比例</w:t>
      </w:r>
      <w:r>
        <w:rPr>
          <w:rFonts w:hint="eastAsia" w:ascii="宋体" w:hAnsi="宋体" w:cs="方正魏碑_GBK"/>
          <w:strike/>
          <w:color w:val="000000"/>
          <w:sz w:val="28"/>
          <w:szCs w:val="28"/>
          <w:highlight w:val="none"/>
          <w:u w:val="single"/>
        </w:rPr>
        <w:t xml:space="preserve">）</w:t>
      </w:r>
      <w:r>
        <w:rPr>
          <w:rFonts w:hint="eastAsia" w:ascii="宋体" w:hAnsi="宋体" w:cs="方正魏碑_GBK"/>
          <w:color w:val="000000"/>
          <w:sz w:val="28"/>
          <w:szCs w:val="28"/>
          <w:highlight w:val="none"/>
          <w:vertAlign w:val="superscript"/>
        </w:rPr>
        <w:t xml:space="preserve">3</w:t>
      </w:r>
      <w:r>
        <w:rPr>
          <w:rFonts w:hint="eastAsia" w:ascii="宋体" w:hAnsi="宋体" w:cs="方正魏碑_GBK"/>
          <w:color w:val="000000"/>
          <w:sz w:val="28"/>
          <w:szCs w:val="28"/>
          <w:highlight w:val="none"/>
          <w:shd w:val="clear" w:color="auto" w:fill="ffffff"/>
        </w:rPr>
        <w:t xml:space="preserve">。</w:t>
      </w:r>
      <w:r>
        <w:rPr>
          <w:rFonts w:hint="eastAsia" w:ascii="宋体" w:hAnsi="宋体" w:cs="方正魏碑_GBK"/>
          <w:strike/>
          <w:color w:val="000000"/>
          <w:sz w:val="28"/>
          <w:szCs w:val="28"/>
          <w:highlight w:val="none"/>
          <w:u w:val="single"/>
        </w:rPr>
        <w:t xml:space="preserve">（产品名称1）</w:t>
      </w:r>
      <w:r>
        <w:rPr>
          <w:rFonts w:hint="eastAsia" w:ascii="宋体" w:hAnsi="宋体" w:cs="方正魏碑_GBK"/>
          <w:color w:val="000000"/>
          <w:sz w:val="28"/>
          <w:szCs w:val="28"/>
          <w:highlight w:val="none"/>
          <w:shd w:val="clear" w:color="auto" w:fill="ffffff"/>
        </w:rPr>
        <w:t xml:space="preserve">的</w:t>
      </w:r>
      <w:r>
        <w:rPr>
          <w:rFonts w:hint="eastAsia" w:ascii="宋体" w:hAnsi="宋体" w:cs="方正魏碑_GBK"/>
          <w:strike/>
          <w:color w:val="000000"/>
          <w:sz w:val="28"/>
          <w:szCs w:val="28"/>
          <w:highlight w:val="none"/>
          <w:u w:val="single"/>
        </w:rPr>
        <w:t xml:space="preserve">（关键</w:t>
      </w:r>
      <w:r>
        <w:rPr>
          <w:rFonts w:ascii="宋体" w:hAnsi="宋体" w:cs="方正魏碑_GBK"/>
          <w:strike/>
          <w:color w:val="000000"/>
          <w:sz w:val="28"/>
          <w:szCs w:val="28"/>
          <w:highlight w:val="none"/>
          <w:u w:val="single"/>
        </w:rPr>
        <w:t xml:space="preserve">组件</w:t>
      </w:r>
      <w:r>
        <w:rPr>
          <w:rFonts w:hint="eastAsia" w:ascii="宋体" w:hAnsi="宋体" w:cs="方正魏碑_GBK"/>
          <w:strike/>
          <w:color w:val="000000"/>
          <w:sz w:val="28"/>
          <w:szCs w:val="28"/>
          <w:highlight w:val="none"/>
          <w:u w:val="single"/>
        </w:rPr>
        <w:t xml:space="preserve">）</w:t>
      </w:r>
      <w:r>
        <w:rPr>
          <w:rFonts w:hint="eastAsia" w:ascii="宋体" w:hAnsi="宋体" w:cs="方正魏碑_GBK"/>
          <w:color w:val="000000"/>
          <w:sz w:val="28"/>
          <w:szCs w:val="28"/>
          <w:highlight w:val="none"/>
          <w:vertAlign w:val="superscript"/>
        </w:rPr>
        <w:t xml:space="preserve">4</w:t>
      </w:r>
      <w:r>
        <w:rPr>
          <w:rFonts w:hint="eastAsia" w:ascii="宋体" w:hAnsi="宋体" w:cs="方正魏碑_GBK"/>
          <w:color w:val="000000"/>
          <w:sz w:val="28"/>
          <w:szCs w:val="28"/>
          <w:highlight w:val="none"/>
          <w:shd w:val="clear" w:color="auto" w:fill="ffffff"/>
        </w:rPr>
        <w:t xml:space="preserve">在中国境内生产。</w:t>
      </w:r>
      <w:r>
        <w:rPr>
          <w:rFonts w:hint="eastAsia" w:ascii="宋体" w:hAnsi="宋体" w:cs="方正魏碑_GBK"/>
          <w:strike/>
          <w:color w:val="000000"/>
          <w:sz w:val="28"/>
          <w:szCs w:val="28"/>
          <w:highlight w:val="none"/>
          <w:u w:val="single"/>
        </w:rPr>
        <w:t xml:space="preserve">（产品名称1）</w:t>
      </w:r>
      <w:r>
        <w:rPr>
          <w:rFonts w:hint="eastAsia" w:ascii="宋体" w:hAnsi="宋体" w:cs="方正魏碑_GBK"/>
          <w:color w:val="000000"/>
          <w:sz w:val="28"/>
          <w:szCs w:val="28"/>
          <w:highlight w:val="none"/>
          <w:shd w:val="clear" w:color="auto" w:fill="ffffff"/>
        </w:rPr>
        <w:t xml:space="preserve">的</w:t>
      </w:r>
      <w:r>
        <w:rPr>
          <w:rFonts w:hint="eastAsia" w:ascii="宋体" w:hAnsi="宋体" w:cs="方正魏碑_GBK"/>
          <w:strike/>
          <w:color w:val="000000"/>
          <w:sz w:val="28"/>
          <w:szCs w:val="28"/>
          <w:highlight w:val="none"/>
          <w:u w:val="single"/>
        </w:rPr>
        <w:t xml:space="preserve">（关键工序）</w:t>
      </w:r>
      <w:r>
        <w:rPr>
          <w:rFonts w:hint="eastAsia" w:ascii="宋体" w:hAnsi="宋体" w:cs="方正魏碑_GBK"/>
          <w:color w:val="000000"/>
          <w:sz w:val="28"/>
          <w:szCs w:val="28"/>
          <w:highlight w:val="none"/>
          <w:vertAlign w:val="superscript"/>
        </w:rPr>
        <w:t xml:space="preserve">5</w:t>
      </w:r>
      <w:r>
        <w:rPr>
          <w:rFonts w:hint="eastAsia" w:ascii="宋体" w:hAnsi="宋体" w:cs="方正魏碑_GBK"/>
          <w:color w:val="000000"/>
          <w:sz w:val="28"/>
          <w:szCs w:val="28"/>
          <w:highlight w:val="none"/>
          <w:shd w:val="clear" w:color="auto" w:fill="ffffff"/>
        </w:rPr>
        <w:t xml:space="preserve">在中国境内完成。</w:t>
      </w:r>
      <w:r>
        <w:rPr>
          <w:rFonts w:hint="eastAsia" w:ascii="宋体" w:hAnsi="宋体" w:cs="方正魏碑_GBK"/>
          <w:color w:val="000000"/>
          <w:sz w:val="28"/>
          <w:szCs w:val="28"/>
          <w:highlight w:val="none"/>
        </w:rPr>
      </w:r>
      <w:r/>
    </w:p>
    <w:p>
      <w:pPr>
        <w:pStyle w:val="871"/>
        <w:ind w:firstLine="420"/>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 xml:space="preserve">2.</w:t>
      </w:r>
      <w:r>
        <w:rPr>
          <w:rFonts w:hint="eastAsia" w:ascii="宋体" w:hAnsi="宋体" w:cs="方正魏碑_GBK"/>
          <w:color w:val="000000"/>
          <w:sz w:val="28"/>
          <w:szCs w:val="28"/>
          <w:highlight w:val="none"/>
          <w:u w:val="single"/>
        </w:rPr>
        <w:t xml:space="preserve">（产品名称2）</w:t>
      </w:r>
      <w:r>
        <w:rPr>
          <w:rFonts w:hint="eastAsia" w:ascii="宋体" w:hAnsi="宋体" w:cs="方正魏碑_GBK"/>
          <w:color w:val="000000"/>
          <w:sz w:val="28"/>
          <w:szCs w:val="28"/>
          <w:highlight w:val="none"/>
          <w:shd w:val="clear" w:color="auto" w:fill="ffffff"/>
        </w:rPr>
        <w:t xml:space="preserve">，生产厂为</w:t>
      </w:r>
      <w:r>
        <w:rPr>
          <w:rFonts w:hint="eastAsia" w:ascii="宋体" w:hAnsi="宋体" w:cs="方正魏碑_GBK"/>
          <w:color w:val="000000"/>
          <w:sz w:val="28"/>
          <w:szCs w:val="28"/>
          <w:highlight w:val="none"/>
          <w:u w:val="single"/>
        </w:rPr>
        <w:t xml:space="preserve">（厂名）</w:t>
      </w:r>
      <w:r>
        <w:rPr>
          <w:rFonts w:hint="eastAsia" w:ascii="宋体" w:hAnsi="宋体" w:cs="方正魏碑_GBK"/>
          <w:color w:val="000000"/>
          <w:sz w:val="28"/>
          <w:szCs w:val="28"/>
          <w:highlight w:val="none"/>
          <w:shd w:val="clear" w:color="auto" w:fill="ffffff"/>
        </w:rPr>
        <w:t xml:space="preserve">，厂址为</w:t>
      </w:r>
      <w:r>
        <w:rPr>
          <w:rFonts w:hint="eastAsia" w:ascii="宋体" w:hAnsi="宋体" w:cs="方正魏碑_GBK"/>
          <w:color w:val="000000"/>
          <w:sz w:val="28"/>
          <w:szCs w:val="28"/>
          <w:highlight w:val="none"/>
          <w:u w:val="single"/>
        </w:rPr>
        <w:t xml:space="preserve">（生产厂址）</w:t>
      </w:r>
      <w:r>
        <w:rPr>
          <w:rFonts w:hint="eastAsia" w:ascii="宋体" w:hAnsi="宋体" w:cs="方正魏碑_GBK"/>
          <w:color w:val="000000"/>
          <w:sz w:val="28"/>
          <w:szCs w:val="28"/>
          <w:highlight w:val="none"/>
          <w:shd w:val="clear" w:color="auto" w:fill="ffffff"/>
        </w:rPr>
        <w:t xml:space="preserve">。</w:t>
      </w:r>
      <w:r>
        <w:rPr>
          <w:rFonts w:hint="eastAsia" w:ascii="宋体" w:hAnsi="宋体" w:cs="方正魏碑_GBK"/>
          <w:strike/>
          <w:color w:val="000000"/>
          <w:sz w:val="28"/>
          <w:szCs w:val="28"/>
          <w:highlight w:val="none"/>
          <w:u w:val="single"/>
        </w:rPr>
        <w:t xml:space="preserve">（产品名称2）</w:t>
      </w:r>
      <w:r>
        <w:rPr>
          <w:rFonts w:hint="eastAsia" w:ascii="宋体" w:hAnsi="宋体" w:cs="方正魏碑_GBK"/>
          <w:color w:val="000000"/>
          <w:sz w:val="28"/>
          <w:szCs w:val="28"/>
          <w:highlight w:val="none"/>
          <w:shd w:val="clear" w:color="auto" w:fill="ffffff"/>
        </w:rPr>
        <w:t xml:space="preserve">的中国境内生产的组件成本占比≥</w:t>
      </w:r>
      <w:r>
        <w:rPr>
          <w:rFonts w:hint="eastAsia" w:ascii="宋体" w:hAnsi="宋体" w:cs="方正魏碑_GBK"/>
          <w:strike/>
          <w:color w:val="000000"/>
          <w:sz w:val="28"/>
          <w:szCs w:val="28"/>
          <w:highlight w:val="none"/>
          <w:u w:val="single"/>
        </w:rPr>
        <w:t xml:space="preserve">（规定</w:t>
      </w:r>
      <w:r>
        <w:rPr>
          <w:rFonts w:ascii="宋体" w:hAnsi="宋体" w:cs="方正魏碑_GBK"/>
          <w:strike/>
          <w:color w:val="000000"/>
          <w:sz w:val="28"/>
          <w:szCs w:val="28"/>
          <w:highlight w:val="none"/>
          <w:u w:val="single"/>
        </w:rPr>
        <w:t xml:space="preserve">比例</w:t>
      </w:r>
      <w:r>
        <w:rPr>
          <w:rFonts w:hint="eastAsia" w:ascii="宋体" w:hAnsi="宋体" w:cs="方正魏碑_GBK"/>
          <w:strike/>
          <w:color w:val="000000"/>
          <w:sz w:val="28"/>
          <w:szCs w:val="28"/>
          <w:highlight w:val="none"/>
          <w:u w:val="single"/>
        </w:rPr>
        <w:t xml:space="preserve">）</w:t>
      </w:r>
      <w:r>
        <w:rPr>
          <w:rFonts w:hint="eastAsia" w:ascii="宋体" w:hAnsi="宋体" w:cs="方正魏碑_GBK"/>
          <w:color w:val="000000"/>
          <w:sz w:val="28"/>
          <w:szCs w:val="28"/>
          <w:highlight w:val="none"/>
          <w:shd w:val="clear" w:color="auto" w:fill="ffffff"/>
        </w:rPr>
        <w:t xml:space="preserve">。</w:t>
      </w:r>
      <w:r>
        <w:rPr>
          <w:rFonts w:hint="eastAsia" w:ascii="宋体" w:hAnsi="宋体" w:cs="方正魏碑_GBK"/>
          <w:strike/>
          <w:color w:val="000000"/>
          <w:sz w:val="28"/>
          <w:szCs w:val="28"/>
          <w:highlight w:val="none"/>
          <w:u w:val="single"/>
        </w:rPr>
        <w:t xml:space="preserve">（产品名称2）</w:t>
      </w:r>
      <w:r>
        <w:rPr>
          <w:rFonts w:hint="eastAsia" w:ascii="宋体" w:hAnsi="宋体" w:cs="方正魏碑_GBK"/>
          <w:color w:val="000000"/>
          <w:sz w:val="28"/>
          <w:szCs w:val="28"/>
          <w:highlight w:val="none"/>
          <w:shd w:val="clear" w:color="auto" w:fill="ffffff"/>
        </w:rPr>
        <w:t xml:space="preserve">的</w:t>
      </w:r>
      <w:r>
        <w:rPr>
          <w:rFonts w:hint="eastAsia" w:ascii="宋体" w:hAnsi="宋体" w:cs="方正魏碑_GBK"/>
          <w:strike/>
          <w:color w:val="000000"/>
          <w:sz w:val="28"/>
          <w:szCs w:val="28"/>
          <w:highlight w:val="none"/>
          <w:u w:val="single"/>
        </w:rPr>
        <w:t xml:space="preserve">（关键</w:t>
      </w:r>
      <w:r>
        <w:rPr>
          <w:rFonts w:ascii="宋体" w:hAnsi="宋体" w:cs="方正魏碑_GBK"/>
          <w:strike/>
          <w:color w:val="000000"/>
          <w:sz w:val="28"/>
          <w:szCs w:val="28"/>
          <w:highlight w:val="none"/>
          <w:u w:val="single"/>
        </w:rPr>
        <w:t xml:space="preserve">组件</w:t>
      </w:r>
      <w:r>
        <w:rPr>
          <w:rFonts w:hint="eastAsia" w:ascii="宋体" w:hAnsi="宋体" w:cs="方正魏碑_GBK"/>
          <w:strike/>
          <w:color w:val="000000"/>
          <w:sz w:val="28"/>
          <w:szCs w:val="28"/>
          <w:highlight w:val="none"/>
          <w:u w:val="single"/>
        </w:rPr>
        <w:t xml:space="preserve">）</w:t>
      </w:r>
      <w:r>
        <w:rPr>
          <w:rFonts w:hint="eastAsia" w:ascii="宋体" w:hAnsi="宋体" w:cs="方正魏碑_GBK"/>
          <w:color w:val="000000"/>
          <w:sz w:val="28"/>
          <w:szCs w:val="28"/>
          <w:highlight w:val="none"/>
          <w:shd w:val="clear" w:color="auto" w:fill="ffffff"/>
        </w:rPr>
        <w:t xml:space="preserve">在中国境内生产。</w:t>
      </w:r>
      <w:r>
        <w:rPr>
          <w:rFonts w:hint="eastAsia" w:ascii="宋体" w:hAnsi="宋体" w:cs="方正魏碑_GBK"/>
          <w:strike/>
          <w:color w:val="000000"/>
          <w:sz w:val="28"/>
          <w:szCs w:val="28"/>
          <w:highlight w:val="none"/>
          <w:u w:val="single"/>
        </w:rPr>
        <w:t xml:space="preserve">（产品名称1）</w:t>
      </w:r>
      <w:r>
        <w:rPr>
          <w:rFonts w:hint="eastAsia" w:ascii="宋体" w:hAnsi="宋体" w:cs="方正魏碑_GBK"/>
          <w:color w:val="000000"/>
          <w:sz w:val="28"/>
          <w:szCs w:val="28"/>
          <w:highlight w:val="none"/>
          <w:shd w:val="clear" w:color="auto" w:fill="ffffff"/>
        </w:rPr>
        <w:t xml:space="preserve">的</w:t>
      </w:r>
      <w:r>
        <w:rPr>
          <w:rFonts w:hint="eastAsia" w:ascii="宋体" w:hAnsi="宋体" w:cs="方正魏碑_GBK"/>
          <w:strike/>
          <w:color w:val="000000"/>
          <w:sz w:val="28"/>
          <w:szCs w:val="28"/>
          <w:highlight w:val="none"/>
          <w:u w:val="single"/>
        </w:rPr>
        <w:t xml:space="preserve">（关键工序）</w:t>
      </w:r>
      <w:r>
        <w:rPr>
          <w:rFonts w:hint="eastAsia" w:ascii="宋体" w:hAnsi="宋体" w:cs="方正魏碑_GBK"/>
          <w:color w:val="000000"/>
          <w:sz w:val="28"/>
          <w:szCs w:val="28"/>
          <w:highlight w:val="none"/>
          <w:shd w:val="clear" w:color="auto" w:fill="ffffff"/>
        </w:rPr>
        <w:t xml:space="preserve">在中国境内完成。</w:t>
      </w:r>
      <w:r>
        <w:rPr>
          <w:rFonts w:hint="eastAsia" w:ascii="宋体" w:hAnsi="宋体" w:cs="方正魏碑_GBK"/>
          <w:color w:val="000000"/>
          <w:sz w:val="28"/>
          <w:szCs w:val="28"/>
          <w:highlight w:val="none"/>
        </w:rPr>
      </w:r>
      <w:r/>
    </w:p>
    <w:p>
      <w:pPr>
        <w:pStyle w:val="871"/>
        <w:ind w:firstLine="420"/>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 xml:space="preserve">……</w:t>
      </w:r>
      <w:r>
        <w:rPr>
          <w:rFonts w:hint="eastAsia" w:ascii="宋体" w:hAnsi="宋体" w:cs="方正魏碑_GBK"/>
          <w:color w:val="000000"/>
          <w:sz w:val="28"/>
          <w:szCs w:val="28"/>
          <w:highlight w:val="none"/>
        </w:rPr>
      </w:r>
      <w:r/>
    </w:p>
    <w:p>
      <w:pPr>
        <w:pStyle w:val="871"/>
        <w:ind w:firstLine="420"/>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 xml:space="preserve">本公司（单位）对上述声明内容的真实性负责。如有虚假，愿承担相应法律责任。</w:t>
      </w:r>
      <w:r>
        <w:rPr>
          <w:rFonts w:hint="eastAsia" w:ascii="宋体" w:hAnsi="宋体" w:cs="方正魏碑_GBK"/>
          <w:color w:val="000000"/>
          <w:sz w:val="28"/>
          <w:szCs w:val="28"/>
          <w:highlight w:val="none"/>
        </w:rPr>
      </w:r>
      <w:r/>
    </w:p>
    <w:p>
      <w:pPr>
        <w:pStyle w:val="871"/>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rPr>
      </w:r>
      <w:r/>
    </w:p>
    <w:p>
      <w:pPr>
        <w:pStyle w:val="871"/>
        <w:ind w:right="480" w:firstLine="4340"/>
        <w:jc w:val="left"/>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 xml:space="preserve">公司（单位）名称（盖章）：　</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cs="方正魏碑_GBK"/>
          <w:color w:val="000000"/>
          <w:sz w:val="28"/>
          <w:szCs w:val="28"/>
          <w:highlight w:val="none"/>
        </w:rPr>
      </w:r>
      <w:r/>
    </w:p>
    <w:p>
      <w:pPr>
        <w:pStyle w:val="871"/>
        <w:jc w:val="center"/>
        <w:spacing w:line="440" w:lineRule="exact"/>
        <w:widowControl/>
        <w:rPr>
          <w:rFonts w:hint="eastAsia" w:ascii="宋体" w:hAnsi="宋体" w:cs="方正魏碑_GBK"/>
          <w:color w:val="000000"/>
          <w:sz w:val="28"/>
          <w:szCs w:val="28"/>
          <w:highlight w:val="none"/>
        </w:rPr>
      </w:pPr>
      <w:r>
        <w:rPr>
          <w:rFonts w:hint="eastAsia" w:ascii="宋体" w:hAnsi="宋体" w:cs="方正魏碑_GBK"/>
          <w:color w:val="000000"/>
          <w:sz w:val="28"/>
          <w:szCs w:val="28"/>
          <w:highlight w:val="none"/>
          <w:shd w:val="clear" w:color="auto" w:fill="ffffff"/>
        </w:rPr>
        <w:t xml:space="preserve">                    </w:t>
      </w:r>
      <w:r>
        <w:rPr>
          <w:rFonts w:ascii="宋体" w:hAnsi="宋体" w:cs="方正魏碑_GBK"/>
          <w:color w:val="000000"/>
          <w:sz w:val="28"/>
          <w:szCs w:val="28"/>
          <w:highlight w:val="none"/>
          <w:shd w:val="clear" w:color="auto" w:fill="ffffff"/>
        </w:rPr>
        <w:t xml:space="preserve">            </w:t>
      </w:r>
      <w:r>
        <w:rPr>
          <w:rFonts w:hint="eastAsia" w:ascii="宋体" w:hAnsi="宋体" w:cs="方正魏碑_GBK"/>
          <w:color w:val="000000"/>
          <w:sz w:val="28"/>
          <w:szCs w:val="28"/>
          <w:highlight w:val="none"/>
          <w:shd w:val="clear" w:color="auto" w:fill="ffffff"/>
        </w:rPr>
        <w:t xml:space="preserve">日期：　</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cs="微软雅黑"/>
          <w:color w:val="000000"/>
          <w:sz w:val="28"/>
          <w:szCs w:val="28"/>
          <w:highlight w:val="none"/>
          <w:shd w:val="clear" w:color="auto" w:fill="ffffff"/>
        </w:rPr>
        <w:t xml:space="preserve">年　</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cs="微软雅黑"/>
          <w:color w:val="000000"/>
          <w:sz w:val="28"/>
          <w:szCs w:val="28"/>
          <w:highlight w:val="none"/>
          <w:shd w:val="clear" w:color="auto" w:fill="ffffff"/>
        </w:rPr>
        <w:t xml:space="preserve">月　</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cs="微软雅黑"/>
          <w:color w:val="000000"/>
          <w:sz w:val="28"/>
          <w:szCs w:val="28"/>
          <w:highlight w:val="none"/>
          <w:shd w:val="clear" w:color="auto" w:fill="ffffff"/>
        </w:rPr>
        <w:t xml:space="preserve">日</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cs="方正魏碑_GBK"/>
          <w:color w:val="000000"/>
          <w:sz w:val="28"/>
          <w:szCs w:val="28"/>
          <w:highlight w:val="none"/>
        </w:rPr>
      </w:r>
      <w:r/>
    </w:p>
    <w:p>
      <w:pPr>
        <w:pStyle w:val="871"/>
        <w:jc w:val="left"/>
        <w:spacing w:line="400" w:lineRule="exact"/>
        <w:widowControl/>
        <w:rPr>
          <w:rFonts w:hint="eastAsia" w:ascii="宋体" w:hAnsi="宋体" w:cs="方正魏碑_GBK"/>
          <w:color w:val="000000"/>
          <w:szCs w:val="21"/>
          <w:highlight w:val="none"/>
          <w:shd w:val="clear" w:color="auto" w:fill="ffffff"/>
        </w:rPr>
      </w:pPr>
      <w:r>
        <w:rPr>
          <w:rFonts w:hint="eastAsia" w:ascii="宋体" w:hAnsi="宋体" w:cs="方正魏碑_GBK"/>
          <w:color w:val="000000"/>
          <w:szCs w:val="21"/>
          <w:highlight w:val="none"/>
          <w:shd w:val="clear" w:color="auto" w:fill="ffffff"/>
        </w:rPr>
        <w:t xml:space="preserve">说明：</w:t>
      </w:r>
      <w:r>
        <w:rPr>
          <w:rFonts w:hint="eastAsia" w:ascii="宋体" w:hAnsi="宋体" w:cs="方正魏碑_GBK"/>
          <w:color w:val="000000"/>
          <w:szCs w:val="21"/>
          <w:highlight w:val="none"/>
          <w:shd w:val="clear" w:color="auto" w:fill="ffffff"/>
        </w:rPr>
      </w:r>
      <w:r/>
    </w:p>
    <w:p>
      <w:pPr>
        <w:pStyle w:val="871"/>
        <w:jc w:val="left"/>
        <w:spacing w:line="400" w:lineRule="exact"/>
        <w:widowControl/>
        <w:rPr>
          <w:rFonts w:hint="eastAsia" w:ascii="宋体" w:hAnsi="宋体" w:cs="方正魏碑_GBK"/>
          <w:color w:val="000000"/>
          <w:szCs w:val="21"/>
          <w:highlight w:val="none"/>
        </w:rPr>
      </w:pPr>
      <w:r>
        <w:rPr>
          <w:rFonts w:hint="eastAsia" w:ascii="宋体" w:hAnsi="宋体" w:cs="方正魏碑_GBK"/>
          <w:color w:val="000000"/>
          <w:szCs w:val="21"/>
          <w:highlight w:val="none"/>
          <w:shd w:val="clear" w:color="auto" w:fill="ffffff"/>
        </w:rPr>
        <w:t xml:space="preserve">1.产品如有型号，请在“产品名称”栏一并填写。</w:t>
      </w:r>
      <w:r>
        <w:rPr>
          <w:rFonts w:hint="eastAsia" w:ascii="宋体" w:hAnsi="宋体" w:cs="方正魏碑_GBK"/>
          <w:color w:val="000000"/>
          <w:szCs w:val="21"/>
          <w:highlight w:val="none"/>
        </w:rPr>
      </w:r>
      <w:r/>
    </w:p>
    <w:p>
      <w:pPr>
        <w:pStyle w:val="871"/>
        <w:jc w:val="left"/>
        <w:spacing w:line="400" w:lineRule="exact"/>
        <w:widowControl/>
        <w:rPr>
          <w:rFonts w:hint="eastAsia" w:ascii="宋体" w:hAnsi="宋体" w:cs="方正魏碑_GBK"/>
          <w:color w:val="000000"/>
          <w:szCs w:val="21"/>
          <w:highlight w:val="none"/>
        </w:rPr>
      </w:pPr>
      <w:r>
        <w:rPr>
          <w:rFonts w:hint="eastAsia" w:ascii="宋体" w:hAnsi="宋体" w:cs="方正魏碑_GBK"/>
          <w:color w:val="000000"/>
          <w:szCs w:val="21"/>
          <w:highlight w:val="none"/>
          <w:shd w:val="clear" w:color="auto" w:fill="ffffff"/>
        </w:rPr>
        <w:t xml:space="preserve">2.生产厂名与厂址应与生产厂营业执照载明的相关信息保持一致。</w:t>
      </w:r>
      <w:r>
        <w:rPr>
          <w:rFonts w:hint="eastAsia" w:ascii="宋体" w:hAnsi="宋体" w:cs="方正魏碑_GBK"/>
          <w:color w:val="000000"/>
          <w:szCs w:val="21"/>
          <w:highlight w:val="none"/>
        </w:rPr>
      </w:r>
      <w:r/>
    </w:p>
    <w:p>
      <w:pPr>
        <w:pStyle w:val="871"/>
        <w:jc w:val="left"/>
        <w:spacing w:line="400" w:lineRule="exact"/>
        <w:widowControl/>
        <w:rPr>
          <w:rFonts w:hint="eastAsia" w:ascii="宋体" w:hAnsi="宋体" w:cs="方正魏碑_GBK"/>
          <w:color w:val="000000"/>
          <w:szCs w:val="21"/>
          <w:highlight w:val="none"/>
        </w:rPr>
      </w:pPr>
      <w:r>
        <w:rPr>
          <w:rFonts w:hint="eastAsia" w:ascii="宋体" w:hAnsi="宋体" w:cs="方正魏碑_GBK"/>
          <w:color w:val="000000"/>
          <w:szCs w:val="21"/>
          <w:highlight w:val="none"/>
          <w:shd w:val="clear" w:color="auto" w:fill="ffffff"/>
        </w:rPr>
        <w:t xml:space="preserve">3.该产品的中国境内生产的组件成本占比相关要求实施前，“规定比例”栏可不填，下同。</w:t>
      </w:r>
      <w:r>
        <w:rPr>
          <w:rFonts w:hint="eastAsia" w:ascii="宋体" w:hAnsi="宋体" w:cs="方正魏碑_GBK"/>
          <w:color w:val="000000"/>
          <w:szCs w:val="21"/>
          <w:highlight w:val="none"/>
        </w:rPr>
      </w:r>
      <w:r/>
    </w:p>
    <w:p>
      <w:pPr>
        <w:pStyle w:val="871"/>
        <w:jc w:val="left"/>
        <w:spacing w:line="400" w:lineRule="exact"/>
        <w:widowControl/>
        <w:rPr>
          <w:rFonts w:hint="eastAsia" w:ascii="宋体" w:hAnsi="宋体" w:cs="方正魏碑_GBK"/>
          <w:color w:val="000000"/>
          <w:szCs w:val="21"/>
          <w:highlight w:val="none"/>
        </w:rPr>
      </w:pPr>
      <w:r>
        <w:rPr>
          <w:rFonts w:hint="eastAsia" w:ascii="宋体" w:hAnsi="宋体" w:cs="方正魏碑_GBK"/>
          <w:color w:val="000000"/>
          <w:szCs w:val="21"/>
          <w:highlight w:val="none"/>
          <w:shd w:val="clear" w:color="auto" w:fill="ffffff"/>
        </w:rPr>
        <w:t xml:space="preserve">4.该产品的关键组件要求实施前，“关键组件”栏可不填，下同。</w:t>
      </w:r>
      <w:r>
        <w:rPr>
          <w:rFonts w:hint="eastAsia" w:ascii="宋体" w:hAnsi="宋体" w:cs="方正魏碑_GBK"/>
          <w:color w:val="000000"/>
          <w:szCs w:val="21"/>
          <w:highlight w:val="none"/>
        </w:rPr>
      </w:r>
      <w:r/>
    </w:p>
    <w:p>
      <w:pPr>
        <w:pStyle w:val="871"/>
        <w:jc w:val="left"/>
        <w:spacing w:line="400" w:lineRule="exact"/>
        <w:widowControl/>
        <w:rPr>
          <w:rFonts w:ascii="宋体" w:hAnsi="宋体" w:cs="方正魏碑_GBK"/>
          <w:color w:val="000000"/>
          <w:szCs w:val="21"/>
          <w:highlight w:val="none"/>
          <w:shd w:val="clear" w:color="auto" w:fill="ffffff"/>
        </w:rPr>
      </w:pPr>
      <w:r>
        <w:rPr>
          <w:rFonts w:hint="eastAsia" w:ascii="宋体" w:hAnsi="宋体" w:cs="方正魏碑_GBK"/>
          <w:color w:val="000000"/>
          <w:szCs w:val="21"/>
          <w:highlight w:val="none"/>
          <w:shd w:val="clear" w:color="auto" w:fill="ffffff"/>
        </w:rPr>
        <w:t xml:space="preserve">5.该产品的关键工序要求实施前，“关键工序”栏可不填，下同。</w:t>
      </w:r>
      <w:r>
        <w:rPr>
          <w:rFonts w:ascii="宋体" w:hAnsi="宋体" w:cs="方正魏碑_GBK"/>
          <w:color w:val="000000"/>
          <w:szCs w:val="21"/>
          <w:highlight w:val="none"/>
          <w:shd w:val="clear" w:color="auto" w:fill="ffffff"/>
        </w:rPr>
      </w:r>
      <w:r/>
    </w:p>
    <w:p>
      <w:pPr>
        <w:pStyle w:val="871"/>
        <w:jc w:val="left"/>
        <w:spacing w:line="400" w:lineRule="exact"/>
        <w:widowControl/>
        <w:rPr>
          <w:rFonts w:ascii="宋体" w:hAnsi="宋体" w:cs="方正魏碑_GBK"/>
          <w:color w:val="000000"/>
          <w:szCs w:val="21"/>
          <w:highlight w:val="none"/>
          <w:shd w:val="clear" w:color="auto" w:fill="ffffff"/>
        </w:rPr>
      </w:pPr>
      <w:r>
        <w:rPr>
          <w:rFonts w:hint="eastAsia" w:ascii="宋体" w:hAnsi="宋体" w:cs="方正魏碑_GBK"/>
          <w:color w:val="000000"/>
          <w:szCs w:val="21"/>
          <w:highlight w:val="none"/>
          <w:shd w:val="clear" w:color="auto" w:fill="ffffff"/>
        </w:rPr>
        <w:t xml:space="preserve">6.用删除线划除的地方无需填写。（如：</w:t>
      </w:r>
      <w:r>
        <w:rPr>
          <w:rFonts w:hint="eastAsia" w:ascii="宋体" w:hAnsi="宋体" w:cs="方正魏碑_GBK"/>
          <w:strike/>
          <w:color w:val="000000"/>
          <w:szCs w:val="21"/>
          <w:highlight w:val="none"/>
          <w:u w:val="single"/>
        </w:rPr>
        <w:t xml:space="preserve">（产品名称1）</w:t>
      </w:r>
      <w:r>
        <w:rPr>
          <w:rFonts w:hint="eastAsia" w:ascii="宋体" w:hAnsi="宋体" w:cs="方正魏碑_GBK"/>
          <w:color w:val="000000"/>
          <w:szCs w:val="21"/>
          <w:highlight w:val="none"/>
          <w:shd w:val="clear" w:color="auto" w:fill="ffffff"/>
        </w:rPr>
        <w:t xml:space="preserve">）</w:t>
      </w:r>
      <w:r>
        <w:rPr>
          <w:rFonts w:ascii="宋体" w:hAnsi="宋体" w:cs="方正魏碑_GBK"/>
          <w:color w:val="000000"/>
          <w:szCs w:val="21"/>
          <w:highlight w:val="none"/>
          <w:shd w:val="clear" w:color="auto" w:fill="ffffff"/>
        </w:rPr>
      </w:r>
      <w:r/>
    </w:p>
    <w:p>
      <w:pPr>
        <w:pStyle w:val="871"/>
        <w:rPr>
          <w:rFonts w:hint="eastAsia" w:ascii="Times New Roman" w:hAnsi="Times New Roman" w:eastAsia="方正黑体_GBK"/>
          <w:bCs/>
          <w:color w:val="000000"/>
          <w:sz w:val="32"/>
          <w:szCs w:val="32"/>
          <w:highlight w:val="none"/>
          <w:lang w:bidi="ar"/>
        </w:rPr>
      </w:pPr>
      <w:r>
        <w:rPr>
          <w:rFonts w:hint="eastAsia" w:ascii="Times New Roman" w:hAnsi="Times New Roman" w:eastAsia="方正黑体_GBK"/>
          <w:bCs/>
          <w:color w:val="000000"/>
          <w:sz w:val="32"/>
          <w:szCs w:val="32"/>
          <w:highlight w:val="none"/>
          <w:lang w:bidi="ar"/>
        </w:rPr>
      </w:r>
      <w:r/>
    </w:p>
    <w:p>
      <w:pPr>
        <w:pStyle w:val="871"/>
        <w:rPr>
          <w:rFonts w:hint="eastAsia" w:ascii="Times New Roman" w:hAnsi="Times New Roman" w:eastAsia="方正黑体_GBK"/>
          <w:bCs/>
          <w:color w:val="000000"/>
          <w:sz w:val="32"/>
          <w:szCs w:val="32"/>
          <w:highlight w:val="none"/>
          <w:lang w:bidi="ar"/>
        </w:rPr>
      </w:pPr>
      <w:r>
        <w:rPr>
          <w:rFonts w:hint="eastAsia" w:ascii="Times New Roman" w:hAnsi="Times New Roman" w:eastAsia="方正黑体_GBK"/>
          <w:bCs/>
          <w:color w:val="000000"/>
          <w:sz w:val="32"/>
          <w:szCs w:val="32"/>
          <w:highlight w:val="none"/>
          <w:lang w:bidi="ar"/>
        </w:rPr>
      </w:r>
      <w:r/>
    </w:p>
    <w:p>
      <w:pPr>
        <w:pStyle w:val="871"/>
        <w:rPr>
          <w:rFonts w:ascii="Times New Roman" w:hAnsi="Times New Roman" w:eastAsia="方正黑体_GBK"/>
          <w:bCs/>
          <w:color w:val="000000"/>
          <w:sz w:val="32"/>
          <w:szCs w:val="32"/>
          <w:highlight w:val="none"/>
          <w:lang w:bidi="ar"/>
        </w:rPr>
      </w:pPr>
      <w:r>
        <w:rPr>
          <w:rFonts w:ascii="Times New Roman" w:hAnsi="Times New Roman" w:eastAsia="方正黑体_GBK"/>
          <w:bCs/>
          <w:color w:val="000000"/>
          <w:sz w:val="32"/>
          <w:szCs w:val="32"/>
          <w:highlight w:val="none"/>
          <w:lang w:bidi="ar"/>
        </w:rPr>
      </w:r>
      <w:r/>
    </w:p>
    <w:p>
      <w:pPr>
        <w:pStyle w:val="871"/>
        <w:rPr>
          <w:rFonts w:ascii="Times New Roman" w:hAnsi="Times New Roman" w:eastAsia="方正黑体_GBK"/>
          <w:bCs/>
          <w:color w:val="000000"/>
          <w:sz w:val="32"/>
          <w:szCs w:val="32"/>
          <w:highlight w:val="none"/>
          <w:lang w:bidi="ar"/>
        </w:rPr>
      </w:pPr>
      <w:r>
        <w:rPr>
          <w:rFonts w:ascii="Times New Roman" w:hAnsi="Times New Roman" w:eastAsia="方正黑体_GBK"/>
          <w:bCs/>
          <w:color w:val="000000"/>
          <w:sz w:val="32"/>
          <w:szCs w:val="32"/>
          <w:highlight w:val="none"/>
          <w:lang w:bidi="ar"/>
        </w:rPr>
        <w:t xml:space="preserve">附件1</w:t>
      </w:r>
      <w:r>
        <w:rPr>
          <w:rFonts w:hint="eastAsia" w:ascii="Times New Roman" w:hAnsi="Times New Roman" w:eastAsia="方正黑体_GBK"/>
          <w:bCs/>
          <w:color w:val="000000"/>
          <w:sz w:val="32"/>
          <w:szCs w:val="32"/>
          <w:highlight w:val="none"/>
          <w:lang w:bidi="ar"/>
        </w:rPr>
        <w:t xml:space="preserve">3</w:t>
      </w:r>
      <w:r>
        <w:rPr>
          <w:rFonts w:ascii="Times New Roman" w:hAnsi="Times New Roman" w:eastAsia="方正黑体_GBK"/>
          <w:bCs/>
          <w:color w:val="000000"/>
          <w:sz w:val="32"/>
          <w:szCs w:val="32"/>
          <w:highlight w:val="none"/>
          <w:lang w:bidi="ar"/>
        </w:rPr>
      </w:r>
      <w:r/>
    </w:p>
    <w:p>
      <w:pPr>
        <w:pStyle w:val="87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联合体协议（参考格式）（分包号：**）</w:t>
      </w:r>
      <w:r>
        <w:rPr>
          <w:rFonts w:ascii="黑体" w:hAnsi="黑体" w:eastAsia="黑体"/>
          <w:b/>
          <w:color w:val="000000"/>
          <w:sz w:val="32"/>
          <w:szCs w:val="32"/>
          <w:highlight w:val="none"/>
        </w:rPr>
      </w:r>
      <w:r/>
    </w:p>
    <w:p>
      <w:pPr>
        <w:pStyle w:val="871"/>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871"/>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自愿组成联合体，参加海安市公共资源交易中心组织的采购编号为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871"/>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871"/>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1"/>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1"/>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871"/>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871"/>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71"/>
        <w:ind w:firstLine="645"/>
        <w:spacing w:line="560" w:lineRule="exact"/>
        <w:rPr>
          <w:rFonts w:hint="eastAsia" w:ascii="宋体" w:hAnsi="宋体"/>
          <w:color w:val="000000"/>
          <w:sz w:val="24"/>
          <w:szCs w:val="24"/>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1"/>
        <w:ind w:firstLine="480"/>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spacing w:line="520" w:lineRule="exact"/>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520" w:lineRule="exact"/>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520" w:lineRule="exact"/>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520" w:lineRule="exact"/>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520" w:lineRule="exact"/>
        <w:rPr>
          <w:rFonts w:hint="eastAsia" w:ascii="Times New Roman" w:hAnsi="Times New Roman" w:eastAsia="方正黑体_GBK"/>
          <w:color w:val="000000"/>
          <w:sz w:val="32"/>
          <w:szCs w:val="32"/>
          <w:highlight w:val="none"/>
        </w:rPr>
        <w:outlineLvl w:val="0"/>
      </w:pPr>
      <w:r>
        <w:rPr>
          <w:rFonts w:hint="eastAsia" w:ascii="Times New Roman" w:hAnsi="Times New Roman" w:eastAsia="方正黑体_GBK"/>
          <w:color w:val="000000"/>
          <w:sz w:val="32"/>
          <w:szCs w:val="32"/>
          <w:highlight w:val="none"/>
        </w:rPr>
      </w:r>
      <w:r/>
    </w:p>
    <w:p>
      <w:pPr>
        <w:pStyle w:val="871"/>
        <w:spacing w:line="520" w:lineRule="exact"/>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附件1</w:t>
      </w:r>
      <w:r>
        <w:rPr>
          <w:rFonts w:hint="eastAsia" w:ascii="Times New Roman" w:hAnsi="Times New Roman" w:eastAsia="方正黑体_GBK"/>
          <w:color w:val="000000"/>
          <w:sz w:val="32"/>
          <w:szCs w:val="32"/>
          <w:highlight w:val="none"/>
        </w:rPr>
        <w:t xml:space="preserve">4</w:t>
      </w:r>
      <w:r>
        <w:rPr>
          <w:rFonts w:ascii="Times New Roman" w:hAnsi="Times New Roman" w:eastAsia="方正黑体_GBK"/>
          <w:color w:val="000000"/>
          <w:sz w:val="32"/>
          <w:szCs w:val="32"/>
          <w:highlight w:val="none"/>
        </w:rPr>
      </w:r>
      <w:r/>
    </w:p>
    <w:p>
      <w:pPr>
        <w:pStyle w:val="871"/>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71"/>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7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7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7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7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7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71"/>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71"/>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7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7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7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7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7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71"/>
        <w:ind w:firstLine="480"/>
        <w:jc w:val="left"/>
        <w:spacing w:line="52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highlight w:val="none"/>
        </w:rPr>
      </w:r>
      <w:r/>
    </w:p>
    <w:p>
      <w:pPr>
        <w:pStyle w:val="871"/>
        <w:spacing w:line="300" w:lineRule="auto"/>
        <w:rPr>
          <w:rFonts w:hint="eastAsia" w:ascii="仿宋_GB2312" w:eastAsia="方正黑体_GBK"/>
          <w:b/>
          <w:color w:val="000000"/>
          <w:sz w:val="32"/>
          <w:szCs w:val="32"/>
          <w:highlight w:val="none"/>
        </w:rPr>
        <w:outlineLvl w:val="0"/>
      </w:pPr>
      <w:r>
        <w:rPr>
          <w:rFonts w:ascii="仿宋_GB2312" w:eastAsia="仿宋_GB2312"/>
          <w:color w:val="000000"/>
          <w:sz w:val="32"/>
          <w:szCs w:val="32"/>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15</w:t>
      </w:r>
      <w:r>
        <w:rPr>
          <w:rFonts w:hint="eastAsia" w:ascii="仿宋_GB2312" w:eastAsia="方正黑体_GBK"/>
          <w:b/>
          <w:color w:val="000000"/>
          <w:sz w:val="32"/>
          <w:szCs w:val="32"/>
          <w:highlight w:val="none"/>
        </w:rPr>
      </w:r>
      <w:r/>
    </w:p>
    <w:p>
      <w:pPr>
        <w:pStyle w:val="871"/>
        <w:jc w:val="center"/>
        <w:spacing w:line="580" w:lineRule="exact"/>
        <w:rPr>
          <w:rFonts w:ascii="Times New Roman" w:hAnsi="Times New Roman" w:eastAsia="方正大标宋_GBK"/>
          <w:bCs/>
          <w:color w:val="000000"/>
          <w:sz w:val="44"/>
          <w:szCs w:val="44"/>
          <w:highlight w:val="none"/>
        </w:rPr>
      </w:pPr>
      <w:r>
        <w:rPr>
          <w:rFonts w:hint="eastAsia" w:ascii="Times New Roman" w:hAnsi="Times New Roman" w:eastAsia="方正大标宋_GBK"/>
          <w:bCs/>
          <w:color w:val="000000"/>
          <w:sz w:val="44"/>
          <w:szCs w:val="44"/>
          <w:highlight w:val="none"/>
        </w:rPr>
        <w:t xml:space="preserve">办理政采贷和</w:t>
      </w:r>
      <w:r>
        <w:rPr>
          <w:rFonts w:ascii="Times New Roman" w:hAnsi="Times New Roman" w:eastAsia="方正大标宋_GBK"/>
          <w:bCs/>
          <w:color w:val="000000"/>
          <w:sz w:val="44"/>
          <w:szCs w:val="44"/>
          <w:highlight w:val="none"/>
        </w:rPr>
        <w:t xml:space="preserve">履</w:t>
      </w:r>
      <w:r>
        <w:rPr>
          <w:rFonts w:hint="eastAsia" w:ascii="Times New Roman" w:hAnsi="Times New Roman" w:eastAsia="方正大标宋_GBK"/>
          <w:bCs/>
          <w:color w:val="000000"/>
          <w:sz w:val="44"/>
          <w:szCs w:val="44"/>
          <w:highlight w:val="none"/>
        </w:rPr>
        <w:t xml:space="preserve">约保函（</w:t>
      </w:r>
      <w:r>
        <w:rPr>
          <w:rFonts w:ascii="Times New Roman" w:hAnsi="Times New Roman" w:eastAsia="方正大标宋_GBK"/>
          <w:bCs/>
          <w:color w:val="000000"/>
          <w:sz w:val="44"/>
          <w:szCs w:val="44"/>
          <w:highlight w:val="none"/>
        </w:rPr>
        <w:t xml:space="preserve">保险</w:t>
      </w:r>
      <w:r>
        <w:rPr>
          <w:rFonts w:hint="eastAsia" w:ascii="Times New Roman" w:hAnsi="Times New Roman" w:eastAsia="方正大标宋_GBK"/>
          <w:bCs/>
          <w:color w:val="000000"/>
          <w:sz w:val="44"/>
          <w:szCs w:val="44"/>
          <w:highlight w:val="none"/>
        </w:rPr>
        <w:t xml:space="preserve">）告知函</w:t>
      </w:r>
      <w:r>
        <w:rPr>
          <w:rFonts w:ascii="Times New Roman" w:hAnsi="Times New Roman" w:eastAsia="方正大标宋_GBK"/>
          <w:bCs/>
          <w:color w:val="000000"/>
          <w:sz w:val="44"/>
          <w:szCs w:val="44"/>
          <w:highlight w:val="none"/>
        </w:rPr>
      </w:r>
      <w:r/>
    </w:p>
    <w:p>
      <w:pPr>
        <w:pStyle w:val="871"/>
        <w:rPr>
          <w:rFonts w:ascii="Times New Roman" w:hAnsi="Times New Roman" w:eastAsia="仿宋_GB2312"/>
          <w:color w:val="000000"/>
          <w:sz w:val="32"/>
          <w:highlight w:val="none"/>
        </w:rPr>
      </w:pPr>
      <w:r>
        <w:rPr>
          <w:rFonts w:ascii="Times New Roman" w:hAnsi="Times New Roman" w:eastAsia="仿宋_GB2312"/>
          <w:color w:val="000000"/>
          <w:sz w:val="32"/>
          <w:highlight w:val="none"/>
        </w:rPr>
      </w:r>
      <w:r/>
    </w:p>
    <w:p>
      <w:pPr>
        <w:pStyle w:val="871"/>
        <w:rPr>
          <w:rFonts w:ascii="Times New Roman" w:hAnsi="Times New Roman" w:eastAsia="仿宋_GB2312"/>
          <w:color w:val="000000"/>
          <w:sz w:val="32"/>
          <w:highlight w:val="none"/>
        </w:rPr>
      </w:pPr>
      <w:r>
        <w:rPr>
          <w:rFonts w:hint="eastAsia" w:ascii="Times New Roman" w:hAnsi="Times New Roman" w:eastAsia="仿宋_GB2312"/>
          <w:color w:val="000000"/>
          <w:sz w:val="32"/>
          <w:highlight w:val="none"/>
        </w:rPr>
        <w:t xml:space="preserve">各政府采购供应商：</w:t>
      </w:r>
      <w:r>
        <w:rPr>
          <w:rFonts w:ascii="Times New Roman" w:hAnsi="Times New Roman" w:eastAsia="仿宋_GB2312"/>
          <w:color w:val="000000"/>
          <w:sz w:val="32"/>
          <w:highlight w:val="none"/>
        </w:rPr>
      </w:r>
      <w:r/>
    </w:p>
    <w:p>
      <w:pPr>
        <w:pStyle w:val="871"/>
        <w:ind w:firstLine="640"/>
        <w:rPr>
          <w:rFonts w:ascii="Times New Roman" w:hAnsi="Times New Roman" w:eastAsia="仿宋_GB2312"/>
          <w:color w:val="000000"/>
          <w:sz w:val="32"/>
          <w:highlight w:val="none"/>
        </w:rPr>
      </w:pPr>
      <w:r>
        <w:rPr>
          <w:rFonts w:hint="eastAsia" w:ascii="Times New Roman" w:hAnsi="Times New Roman" w:eastAsia="仿宋_GB2312"/>
          <w:color w:val="000000"/>
          <w:sz w:val="32"/>
          <w:highlight w:val="none"/>
        </w:rPr>
        <w:t xml:space="preserve">欢迎贵公司参与南通市政府采购活动！</w:t>
      </w:r>
      <w:r>
        <w:rPr>
          <w:rFonts w:ascii="Times New Roman" w:hAnsi="Times New Roman" w:eastAsia="仿宋_GB2312"/>
          <w:color w:val="000000"/>
          <w:sz w:val="32"/>
          <w:highlight w:val="none"/>
        </w:rPr>
      </w:r>
      <w:r/>
    </w:p>
    <w:p>
      <w:pPr>
        <w:pStyle w:val="871"/>
        <w:ind w:firstLine="640"/>
        <w:rPr>
          <w:rFonts w:ascii="Times New Roman" w:hAnsi="Times New Roman" w:eastAsia="仿宋_GB2312"/>
          <w:color w:val="000000"/>
          <w:sz w:val="32"/>
          <w:highlight w:val="none"/>
        </w:rPr>
      </w:pPr>
      <w:r>
        <w:rPr>
          <w:rFonts w:hint="eastAsia" w:ascii="Times New Roman" w:hAnsi="Times New Roman" w:eastAsia="仿宋_GB2312"/>
          <w:color w:val="000000"/>
          <w:sz w:val="32"/>
          <w:highlight w:val="none"/>
        </w:rPr>
        <w:t xml:space="preserve">政府采购线上合同信用融资和</w:t>
      </w:r>
      <w:r>
        <w:rPr>
          <w:rFonts w:ascii="Times New Roman" w:hAnsi="Times New Roman" w:eastAsia="仿宋_GB2312"/>
          <w:color w:val="000000"/>
          <w:sz w:val="32"/>
          <w:highlight w:val="none"/>
        </w:rPr>
        <w:t xml:space="preserve">履</w:t>
      </w:r>
      <w:r>
        <w:rPr>
          <w:rFonts w:hint="eastAsia" w:ascii="Times New Roman" w:hAnsi="Times New Roman" w:eastAsia="仿宋_GB2312"/>
          <w:color w:val="000000"/>
          <w:sz w:val="32"/>
          <w:highlight w:val="none"/>
        </w:rPr>
        <w:t xml:space="preserve">约保函（</w:t>
      </w:r>
      <w:r>
        <w:rPr>
          <w:rFonts w:ascii="Times New Roman" w:hAnsi="Times New Roman" w:eastAsia="仿宋_GB2312"/>
          <w:color w:val="000000"/>
          <w:sz w:val="32"/>
          <w:highlight w:val="none"/>
        </w:rPr>
        <w:t xml:space="preserve">保险</w:t>
      </w:r>
      <w:r>
        <w:rPr>
          <w:rFonts w:hint="eastAsia" w:ascii="Times New Roman" w:hAnsi="Times New Roman" w:eastAsia="仿宋_GB2312"/>
          <w:color w:val="000000"/>
          <w:sz w:val="32"/>
          <w:highlight w:val="none"/>
        </w:rPr>
        <w:t xml:space="preserve">）是支持企业发展，针对参与政府采购活动的企业融资难、现金流不足等问题推出的一项服务举措。</w:t>
      </w:r>
      <w:r>
        <w:rPr>
          <w:rFonts w:ascii="Times New Roman" w:hAnsi="Times New Roman" w:eastAsia="仿宋_GB2312"/>
          <w:color w:val="000000"/>
          <w:sz w:val="32"/>
          <w:highlight w:val="none"/>
        </w:rPr>
      </w:r>
      <w:r/>
    </w:p>
    <w:p>
      <w:pPr>
        <w:pStyle w:val="871"/>
        <w:ind w:firstLine="640"/>
        <w:spacing w:line="580" w:lineRule="exact"/>
        <w:rPr>
          <w:rFonts w:ascii="Times New Roman" w:hAnsi="Times New Roman" w:eastAsia="仿宋_GB2312"/>
          <w:color w:val="000000"/>
          <w:sz w:val="32"/>
          <w:szCs w:val="32"/>
          <w:highlight w:val="none"/>
        </w:rPr>
      </w:pPr>
      <w:r>
        <w:rPr>
          <w:rFonts w:hint="eastAsia" w:ascii="Times New Roman" w:hAnsi="Times New Roman" w:eastAsia="仿宋_GB2312"/>
          <w:color w:val="000000"/>
          <w:sz w:val="32"/>
          <w:highlight w:val="none"/>
        </w:rPr>
        <w:t xml:space="preserve">贵公司若成为本次政府采购项目的中标（成交）供应商，</w:t>
      </w:r>
      <w:r>
        <w:rPr>
          <w:rFonts w:hint="eastAsia" w:ascii="仿宋_GB2312" w:hAnsi="Times New Roman" w:eastAsia="仿宋_GB2312"/>
          <w:color w:val="000000"/>
          <w:sz w:val="32"/>
          <w:szCs w:val="32"/>
          <w:highlight w:val="none"/>
        </w:rPr>
        <w:t xml:space="preserve">可自愿选择</w:t>
      </w:r>
      <w:r>
        <w:rPr>
          <w:rFonts w:ascii="Times New Roman" w:hAnsi="Times New Roman" w:eastAsia="仿宋_GB2312"/>
          <w:color w:val="000000"/>
          <w:sz w:val="32"/>
          <w:highlight w:val="none"/>
        </w:rPr>
        <w:t xml:space="preserve">履</w:t>
      </w:r>
      <w:r>
        <w:rPr>
          <w:rFonts w:hint="eastAsia" w:ascii="Times New Roman" w:hAnsi="Times New Roman" w:eastAsia="仿宋_GB2312"/>
          <w:color w:val="000000"/>
          <w:sz w:val="32"/>
          <w:highlight w:val="none"/>
        </w:rPr>
        <w:t xml:space="preserve">约保函（</w:t>
      </w:r>
      <w:r>
        <w:rPr>
          <w:rFonts w:ascii="Times New Roman" w:hAnsi="Times New Roman" w:eastAsia="仿宋_GB2312"/>
          <w:color w:val="000000"/>
          <w:sz w:val="32"/>
          <w:highlight w:val="none"/>
        </w:rPr>
        <w:t xml:space="preserve">保险</w:t>
      </w:r>
      <w:r>
        <w:rPr>
          <w:rFonts w:hint="eastAsia" w:ascii="Times New Roman" w:hAnsi="Times New Roman" w:eastAsia="仿宋_GB2312"/>
          <w:color w:val="000000"/>
          <w:sz w:val="32"/>
          <w:highlight w:val="none"/>
        </w:rPr>
        <w:t xml:space="preserve">）</w:t>
      </w:r>
      <w:r>
        <w:rPr>
          <w:rFonts w:hint="eastAsia" w:ascii="仿宋_GB2312" w:hAnsi="Times New Roman" w:eastAsia="仿宋_GB2312"/>
          <w:color w:val="000000"/>
          <w:sz w:val="32"/>
          <w:szCs w:val="32"/>
          <w:highlight w:val="none"/>
        </w:rPr>
        <w:t xml:space="preserve">形式替代履约保证金，也</w:t>
      </w:r>
      <w:r>
        <w:rPr>
          <w:rFonts w:hint="eastAsia" w:ascii="Times New Roman" w:hAnsi="Times New Roman" w:eastAsia="仿宋_GB2312"/>
          <w:color w:val="000000"/>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_GB2312"/>
          <w:color w:val="000000"/>
          <w:sz w:val="32"/>
          <w:szCs w:val="32"/>
          <w:highlight w:val="none"/>
        </w:rPr>
      </w:r>
      <w:r/>
    </w:p>
    <w:p>
      <w:pPr>
        <w:pStyle w:val="871"/>
        <w:ind w:firstLine="560"/>
        <w:jc w:val="left"/>
        <w:widowControl/>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r>
      <w:r/>
    </w:p>
    <w:p>
      <w:pPr>
        <w:pStyle w:val="871"/>
        <w:spacing w:line="300" w:lineRule="auto"/>
        <w:rPr>
          <w:rFonts w:ascii="宋体" w:hAnsi="宋体"/>
          <w:bCs/>
          <w:color w:val="000000"/>
          <w:sz w:val="24"/>
          <w:szCs w:val="21"/>
          <w:highlight w:val="none"/>
        </w:rPr>
        <w:outlineLvl w:val="0"/>
      </w:pPr>
      <w:r/>
      <w:bookmarkEnd w:id="175"/>
      <w:r/>
      <w:bookmarkEnd w:id="176"/>
      <w:r/>
      <w:bookmarkEnd w:id="182"/>
      <w:r/>
      <w:bookmarkEnd w:id="183"/>
      <w:r/>
      <w:bookmarkEnd w:id="184"/>
      <w:r>
        <w:rPr>
          <w:rFonts w:ascii="宋体" w:hAnsi="宋体"/>
          <w:bCs/>
          <w:color w:val="000000"/>
          <w:sz w:val="24"/>
          <w:szCs w:val="21"/>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魏碑_GBK">
    <w:panose1 w:val="020B0503020202020204"/>
  </w:font>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４７</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9"/>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6"/>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3"/>
    <w:qFormat/>
    <w:pPr>
      <w:jc w:val="center"/>
      <w:keepNext/>
      <w:outlineLvl w:val="0"/>
    </w:pPr>
    <w:rPr>
      <w:rFonts w:ascii="楷体_GB2312" w:hAnsi="Times New Roman" w:eastAsia="楷体_GB2312"/>
      <w:sz w:val="28"/>
      <w:szCs w:val="28"/>
    </w:rPr>
  </w:style>
  <w:style w:type="paragraph" w:styleId="873">
    <w:name w:val="标题 2"/>
    <w:basedOn w:val="871"/>
    <w:next w:val="885"/>
    <w:link w:val="884"/>
    <w:qFormat/>
    <w:pPr>
      <w:jc w:val="center"/>
      <w:keepLines/>
      <w:keepNext/>
      <w:spacing w:before="260" w:after="260" w:line="416" w:lineRule="auto"/>
      <w:outlineLvl w:val="1"/>
    </w:pPr>
    <w:rPr>
      <w:rFonts w:ascii="Arial" w:hAnsi="Arial" w:eastAsia="幼圆"/>
      <w:b/>
      <w:bCs/>
      <w:sz w:val="44"/>
      <w:szCs w:val="44"/>
    </w:rPr>
  </w:style>
  <w:style w:type="paragraph" w:styleId="874">
    <w:name w:val="标题 3"/>
    <w:basedOn w:val="871"/>
    <w:next w:val="885"/>
    <w:link w:val="887"/>
    <w:qFormat/>
    <w:pPr>
      <w:keepLines/>
      <w:keepNext/>
      <w:spacing w:before="260" w:after="260" w:line="416" w:lineRule="auto"/>
      <w:outlineLvl w:val="2"/>
    </w:pPr>
    <w:rPr>
      <w:rFonts w:ascii="Times New Roman" w:hAnsi="Times New Roman"/>
      <w:b/>
      <w:bCs/>
      <w:sz w:val="32"/>
      <w:szCs w:val="32"/>
    </w:rPr>
  </w:style>
  <w:style w:type="paragraph" w:styleId="875">
    <w:name w:val="标题 4"/>
    <w:basedOn w:val="871"/>
    <w:next w:val="885"/>
    <w:link w:val="888"/>
    <w:qFormat/>
    <w:pPr>
      <w:keepLines/>
      <w:keepNext/>
      <w:spacing w:before="280" w:after="290" w:line="376" w:lineRule="auto"/>
      <w:outlineLvl w:val="3"/>
    </w:pPr>
    <w:rPr>
      <w:rFonts w:ascii="Arial" w:hAnsi="Arial" w:eastAsia="黑体"/>
      <w:b/>
      <w:bCs/>
      <w:sz w:val="28"/>
      <w:szCs w:val="28"/>
    </w:rPr>
  </w:style>
  <w:style w:type="paragraph" w:styleId="876">
    <w:name w:val="标题 5"/>
    <w:basedOn w:val="871"/>
    <w:next w:val="885"/>
    <w:link w:val="889"/>
    <w:qFormat/>
    <w:pPr>
      <w:keepNext/>
      <w:outlineLvl w:val="4"/>
    </w:pPr>
    <w:rPr>
      <w:rFonts w:ascii="宋体" w:hAnsi="Times New Roman"/>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sz w:val="20"/>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1 Char"/>
    <w:next w:val="883"/>
    <w:link w:val="872"/>
    <w:rPr>
      <w:rFonts w:ascii="楷体_GB2312" w:hAnsi="Times New Roman" w:eastAsia="楷体_GB2312" w:cs="Times New Roman"/>
      <w:sz w:val="28"/>
      <w:szCs w:val="28"/>
    </w:rPr>
  </w:style>
  <w:style w:type="character" w:styleId="884">
    <w:name w:val="标题 2 Char"/>
    <w:next w:val="884"/>
    <w:link w:val="873"/>
    <w:rPr>
      <w:rFonts w:ascii="Arial" w:hAnsi="Arial" w:eastAsia="幼圆" w:cs="Arial"/>
      <w:b/>
      <w:bCs/>
      <w:sz w:val="44"/>
      <w:szCs w:val="44"/>
    </w:rPr>
  </w:style>
  <w:style w:type="paragraph" w:styleId="885">
    <w:name w:val="正文缩进"/>
    <w:basedOn w:val="871"/>
    <w:next w:val="885"/>
    <w:link w:val="886"/>
    <w:pPr>
      <w:ind w:firstLine="420"/>
    </w:pPr>
    <w:rPr>
      <w:sz w:val="20"/>
      <w:szCs w:val="21"/>
    </w:rPr>
  </w:style>
  <w:style w:type="character" w:styleId="886">
    <w:name w:val="正文缩进 Char"/>
    <w:next w:val="886"/>
    <w:link w:val="885"/>
    <w:rPr>
      <w:szCs w:val="21"/>
    </w:rPr>
  </w:style>
  <w:style w:type="character" w:styleId="887">
    <w:name w:val="标题 3 Char"/>
    <w:next w:val="887"/>
    <w:link w:val="874"/>
    <w:rPr>
      <w:rFonts w:ascii="Times New Roman" w:hAnsi="Times New Roman" w:eastAsia="宋体" w:cs="Times New Roman"/>
      <w:b/>
      <w:bCs/>
      <w:sz w:val="32"/>
      <w:szCs w:val="32"/>
    </w:rPr>
  </w:style>
  <w:style w:type="character" w:styleId="888">
    <w:name w:val="标题 4 Char"/>
    <w:next w:val="888"/>
    <w:link w:val="875"/>
    <w:rPr>
      <w:rFonts w:ascii="Arial" w:hAnsi="Arial" w:eastAsia="黑体" w:cs="Arial"/>
      <w:b/>
      <w:bCs/>
      <w:sz w:val="28"/>
      <w:szCs w:val="28"/>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rPr>
      <w:rFonts w:ascii="Times New Roman" w:hAnsi="Times New Roman" w:eastAsia="宋体" w:cs="Times New Roman"/>
      <w:szCs w:val="21"/>
    </w:rPr>
  </w:style>
  <w:style w:type="paragraph" w:styleId="895">
    <w:name w:val="目录 7"/>
    <w:basedOn w:val="871"/>
    <w:next w:val="871"/>
    <w:link w:val="871"/>
    <w:semiHidden/>
    <w:pPr>
      <w:ind w:left="1260"/>
      <w:jc w:val="left"/>
    </w:pPr>
    <w:rPr>
      <w:rFonts w:ascii="Times New Roman" w:hAnsi="Times New Roman" w:eastAsia="宋体" w:cs="Times New Roman"/>
      <w:szCs w:val="21"/>
    </w:rPr>
  </w:style>
  <w:style w:type="paragraph" w:styleId="896">
    <w:name w:val="文档结构图"/>
    <w:basedOn w:val="871"/>
    <w:next w:val="896"/>
    <w:link w:val="897"/>
    <w:semiHidden/>
    <w:pPr>
      <w:shd w:val="clear" w:color="auto" w:fill="000080"/>
    </w:pPr>
    <w:rPr>
      <w:rFonts w:ascii="Times New Roman" w:hAnsi="Times New Roman"/>
      <w:sz w:val="20"/>
      <w:szCs w:val="21"/>
    </w:r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unhideWhenUsed/>
    <w:pPr>
      <w:jc w:val="left"/>
    </w:pPr>
  </w:style>
  <w:style w:type="character" w:styleId="899">
    <w:name w:val="批注文字 Char"/>
    <w:basedOn w:val="881"/>
    <w:next w:val="899"/>
    <w:link w:val="898"/>
    <w:uiPriority w:val="99"/>
    <w:semiHidden/>
  </w:style>
  <w:style w:type="paragraph" w:styleId="900">
    <w:name w:val="正文文本 3"/>
    <w:basedOn w:val="871"/>
    <w:next w:val="900"/>
    <w:link w:val="901"/>
    <w:rPr>
      <w:rFonts w:ascii="仿宋_GB2312" w:hAnsi="Arial" w:eastAsia="仿宋_GB2312"/>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902"/>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71"/>
    <w:next w:val="904"/>
    <w:link w:val="905"/>
    <w:unhideWhenUsed/>
    <w:pPr>
      <w:ind w:left="420"/>
      <w:spacing w:after="120"/>
    </w:pPr>
  </w:style>
  <w:style w:type="character" w:styleId="905">
    <w:name w:val="正文文本缩进 Char"/>
    <w:basedOn w:val="881"/>
    <w:next w:val="905"/>
    <w:link w:val="904"/>
    <w:uiPriority w:val="99"/>
    <w:semiHidden/>
  </w:style>
  <w:style w:type="paragraph" w:styleId="906">
    <w:name w:val="列表 2"/>
    <w:basedOn w:val="871"/>
    <w:next w:val="906"/>
    <w:link w:val="871"/>
    <w:pPr>
      <w:ind w:left="100" w:hanging="200"/>
    </w:pPr>
    <w:rPr>
      <w:rFonts w:ascii="Times New Roman" w:hAnsi="Times New Roman" w:eastAsia="宋体" w:cs="Times New Roman"/>
      <w:szCs w:val="21"/>
    </w:rPr>
  </w:style>
  <w:style w:type="paragraph" w:styleId="907">
    <w:name w:val="目录 5"/>
    <w:basedOn w:val="871"/>
    <w:next w:val="871"/>
    <w:link w:val="871"/>
    <w:semiHidden/>
    <w:pPr>
      <w:ind w:left="840"/>
      <w:jc w:val="left"/>
    </w:pPr>
    <w:rPr>
      <w:rFonts w:ascii="Times New Roman" w:hAnsi="Times New Roman" w:eastAsia="宋体" w:cs="Times New Roman"/>
      <w:szCs w:val="21"/>
    </w:rPr>
  </w:style>
  <w:style w:type="paragraph" w:styleId="908">
    <w:name w:val="目录 3"/>
    <w:basedOn w:val="871"/>
    <w:next w:val="871"/>
    <w:link w:val="871"/>
    <w:semiHidden/>
    <w:pPr>
      <w:ind w:left="420"/>
      <w:jc w:val="left"/>
    </w:pPr>
    <w:rPr>
      <w:rFonts w:ascii="Times New Roman" w:hAnsi="Times New Roman" w:eastAsia="宋体" w:cs="Times New Roman"/>
      <w:i/>
      <w:iCs/>
      <w:szCs w:val="24"/>
    </w:rPr>
  </w:style>
  <w:style w:type="paragraph" w:styleId="909">
    <w:name w:val="纯文本"/>
    <w:basedOn w:val="871"/>
    <w:next w:val="909"/>
    <w:link w:val="910"/>
    <w:rPr>
      <w:rFonts w:ascii="宋体" w:hAnsi="Courier New"/>
      <w:sz w:val="20"/>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71"/>
    <w:next w:val="871"/>
    <w:link w:val="871"/>
    <w:semiHidden/>
    <w:pPr>
      <w:ind w:left="1470"/>
      <w:jc w:val="left"/>
    </w:pPr>
    <w:rPr>
      <w:rFonts w:ascii="Times New Roman" w:hAnsi="Times New Roman" w:eastAsia="宋体" w:cs="Times New Roman"/>
      <w:szCs w:val="21"/>
    </w:rPr>
  </w:style>
  <w:style w:type="paragraph" w:styleId="912">
    <w:name w:val="日期"/>
    <w:basedOn w:val="871"/>
    <w:next w:val="871"/>
    <w:link w:val="913"/>
    <w:rPr>
      <w:rFonts w:ascii="Times New Roman" w:hAnsi="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71"/>
    <w:next w:val="914"/>
    <w:link w:val="915"/>
    <w:pPr>
      <w:ind w:left="630" w:firstLine="645"/>
    </w:pPr>
    <w:rPr>
      <w:rFonts w:ascii="Arial" w:hAnsi="Arial" w:eastAsia="仿宋_GB2312"/>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71"/>
    <w:next w:val="916"/>
    <w:link w:val="917"/>
    <w:semiHidden/>
    <w:rPr>
      <w:rFonts w:ascii="Times New Roman" w:hAnsi="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71"/>
    <w:next w:val="918"/>
    <w:link w:val="919"/>
    <w:pPr>
      <w:jc w:val="left"/>
      <w:tabs>
        <w:tab w:val="center" w:pos="4153" w:leader="none"/>
        <w:tab w:val="right" w:pos="8306" w:leader="none"/>
      </w:tabs>
    </w:pPr>
    <w:rPr>
      <w:rFonts w:ascii="Times New Roman" w:hAnsi="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71"/>
    <w:next w:val="920"/>
    <w:link w:val="921"/>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71"/>
    <w:next w:val="871"/>
    <w:link w:val="871"/>
    <w:semiHidden/>
    <w:pPr>
      <w:ind w:left="630"/>
      <w:jc w:val="left"/>
    </w:pPr>
    <w:rPr>
      <w:rFonts w:ascii="Times New Roman" w:hAnsi="Times New Roman" w:eastAsia="宋体" w:cs="Times New Roman"/>
      <w:szCs w:val="21"/>
    </w:rPr>
  </w:style>
  <w:style w:type="paragraph" w:styleId="924">
    <w:name w:val="列表"/>
    <w:basedOn w:val="871"/>
    <w:next w:val="924"/>
    <w:link w:val="871"/>
    <w:pPr>
      <w:ind w:left="200" w:hanging="200"/>
    </w:pPr>
    <w:rPr>
      <w:rFonts w:ascii="Times New Roman" w:hAnsi="Times New Roman" w:eastAsia="宋体" w:cs="Times New Roman"/>
      <w:szCs w:val="21"/>
    </w:rPr>
  </w:style>
  <w:style w:type="paragraph" w:styleId="925">
    <w:name w:val="目录 6"/>
    <w:basedOn w:val="871"/>
    <w:next w:val="871"/>
    <w:link w:val="871"/>
    <w:semiHidden/>
    <w:pPr>
      <w:ind w:left="1050"/>
      <w:jc w:val="left"/>
    </w:pPr>
    <w:rPr>
      <w:rFonts w:ascii="Times New Roman" w:hAnsi="Times New Roman" w:eastAsia="宋体" w:cs="Times New Roman"/>
      <w:szCs w:val="21"/>
    </w:rPr>
  </w:style>
  <w:style w:type="paragraph" w:styleId="926">
    <w:name w:val="正文文本缩进 3"/>
    <w:basedOn w:val="871"/>
    <w:next w:val="926"/>
    <w:link w:val="927"/>
    <w:pPr>
      <w:ind w:left="645" w:firstLine="645"/>
    </w:pPr>
    <w:rPr>
      <w:rFonts w:ascii="Arial" w:hAnsi="Arial" w:eastAsia="仿宋_GB2312"/>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71"/>
    <w:next w:val="871"/>
    <w:link w:val="871"/>
    <w:semiHidden/>
    <w:pPr>
      <w:ind w:left="840" w:hanging="420"/>
    </w:pPr>
    <w:rPr>
      <w:rFonts w:ascii="Times New Roman" w:hAnsi="Times New Roman" w:eastAsia="宋体" w:cs="Times New Roman"/>
      <w:szCs w:val="21"/>
    </w:rPr>
  </w:style>
  <w:style w:type="paragraph" w:styleId="929">
    <w:name w:val="目录 2"/>
    <w:basedOn w:val="871"/>
    <w:next w:val="871"/>
    <w:link w:val="871"/>
    <w:semiHidden/>
    <w:pPr>
      <w:ind w:left="210"/>
      <w:jc w:val="left"/>
    </w:pPr>
    <w:rPr>
      <w:rFonts w:ascii="Times New Roman" w:hAnsi="Times New Roman" w:eastAsia="宋体" w:cs="Times New Roman"/>
      <w:smallCaps/>
      <w:szCs w:val="24"/>
    </w:rPr>
  </w:style>
  <w:style w:type="paragraph" w:styleId="930">
    <w:name w:val="目录 9"/>
    <w:basedOn w:val="871"/>
    <w:next w:val="871"/>
    <w:link w:val="871"/>
    <w:semiHidden/>
    <w:pPr>
      <w:ind w:left="1680"/>
      <w:jc w:val="left"/>
    </w:pPr>
    <w:rPr>
      <w:rFonts w:ascii="Times New Roman" w:hAnsi="Times New Roman" w:eastAsia="宋体" w:cs="Times New Roman"/>
      <w:szCs w:val="21"/>
    </w:rPr>
  </w:style>
  <w:style w:type="paragraph" w:styleId="931">
    <w:name w:val="正文文本 2"/>
    <w:basedOn w:val="871"/>
    <w:next w:val="931"/>
    <w:link w:val="932"/>
    <w:pPr>
      <w:jc w:val="center"/>
      <w:widowControl/>
    </w:pPr>
    <w:rPr>
      <w:rFonts w:ascii="楷体_GB2312" w:hAnsi="Times New Roman" w:eastAsia="楷体_GB2312"/>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71"/>
    <w:next w:val="933"/>
    <w:link w:val="871"/>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71"/>
    <w:next w:val="871"/>
    <w:link w:val="871"/>
    <w:semiHidden/>
    <w:pPr>
      <w:spacing w:line="240" w:lineRule="atLeast"/>
    </w:pPr>
    <w:rPr>
      <w:rFonts w:ascii="Times New Roman" w:hAnsi="Times New Roman" w:eastAsia="宋体" w:cs="Times New Roman"/>
      <w:b/>
      <w:bCs/>
      <w:szCs w:val="21"/>
    </w:rPr>
  </w:style>
  <w:style w:type="paragraph" w:styleId="935">
    <w:name w:val="批注主题"/>
    <w:basedOn w:val="898"/>
    <w:next w:val="898"/>
    <w:link w:val="936"/>
    <w:semiHidden/>
    <w:rPr>
      <w:rFonts w:ascii="Times New Roman" w:hAnsi="Times New Roman"/>
      <w:b/>
      <w:bCs/>
      <w:sz w:val="20"/>
      <w:szCs w:val="21"/>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71"/>
    <w:next w:val="937"/>
    <w:link w:val="938"/>
    <w:pPr>
      <w:ind w:firstLine="200"/>
      <w:spacing w:line="360" w:lineRule="auto"/>
    </w:pPr>
    <w:rPr>
      <w:rFonts w:ascii="仿宋_GB2312" w:hAnsi="Times New Roman" w:eastAsia="仿宋_GB2312"/>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4"/>
    <w:next w:val="939"/>
    <w:link w:val="940"/>
    <w:pPr>
      <w:ind w:left="0" w:firstLine="420"/>
      <w:spacing w:after="0" w:line="360" w:lineRule="auto"/>
    </w:pPr>
    <w:rPr>
      <w:rFonts w:ascii="宋体" w:hAnsi="宋体"/>
      <w:sz w:val="20"/>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2"/>
    <w:next w:val="941"/>
    <w:link w:val="871"/>
    <w:pPr>
      <w:jc w:val="both"/>
      <w:widowControl w:val="off"/>
    </w:pPr>
    <w:rPr>
      <w:rFonts w:ascii="Times New Roman" w:hAnsi="Times New Roman" w:eastAsia="宋体" w:cs="Times New Roman"/>
      <w:sz w:val="20"/>
      <w:szCs w:val="20"/>
    </w:rPr>
    <w:tblPr/>
  </w:style>
  <w:style w:type="character" w:styleId="942">
    <w:name w:val="要点"/>
    <w:next w:val="942"/>
    <w:link w:val="871"/>
    <w:qFormat/>
    <w:rPr>
      <w:b/>
      <w:bCs/>
    </w:rPr>
  </w:style>
  <w:style w:type="character" w:styleId="943">
    <w:name w:val="页码"/>
    <w:next w:val="943"/>
    <w:link w:val="871"/>
  </w:style>
  <w:style w:type="character" w:styleId="944">
    <w:name w:val="已访问的超链接"/>
    <w:next w:val="944"/>
    <w:link w:val="871"/>
    <w:rPr>
      <w:color w:val="800080"/>
      <w:u w:val="single"/>
    </w:rPr>
  </w:style>
  <w:style w:type="character" w:styleId="945">
    <w:name w:val="超链接"/>
    <w:next w:val="945"/>
    <w:link w:val="871"/>
    <w:rPr>
      <w:color w:val="0000ff"/>
      <w:u w:val="single"/>
    </w:rPr>
  </w:style>
  <w:style w:type="character" w:styleId="946">
    <w:name w:val="批注引用"/>
    <w:next w:val="946"/>
    <w:link w:val="871"/>
    <w:semiHidden/>
    <w:rPr>
      <w:sz w:val="21"/>
      <w:szCs w:val="21"/>
    </w:rPr>
  </w:style>
  <w:style w:type="character" w:styleId="947">
    <w:name w:val="font5 Char"/>
    <w:next w:val="947"/>
    <w:link w:val="871"/>
    <w:rPr>
      <w:rFonts w:ascii="宋体" w:hAnsi="宋体" w:eastAsia="宋体"/>
      <w:sz w:val="28"/>
      <w:szCs w:val="28"/>
      <w:lang w:val="en-US" w:eastAsia="zh-CN" w:bidi="ar-SA"/>
    </w:rPr>
  </w:style>
  <w:style w:type="character" w:styleId="948">
    <w:name w:val="二级目录 Char"/>
    <w:next w:val="948"/>
    <w:link w:val="949"/>
    <w:rPr>
      <w:b/>
      <w:sz w:val="30"/>
      <w:szCs w:val="28"/>
      <w:lang w:val="en-US" w:eastAsia="zh-CN" w:bidi="ar-SA"/>
    </w:rPr>
  </w:style>
  <w:style w:type="paragraph" w:styleId="949">
    <w:name w:val="二级目录"/>
    <w:next w:val="871"/>
    <w:link w:val="948"/>
    <w:pPr>
      <w:numPr>
        <w:ilvl w:val="0"/>
        <w:numId w:val="2"/>
      </w:numPr>
      <w:tabs>
        <w:tab w:val="left" w:pos="907" w:leader="none"/>
        <w:tab w:val="left" w:pos="1145" w:leader="none"/>
      </w:tabs>
      <w:outlineLvl w:val="1"/>
    </w:pPr>
    <w:rPr>
      <w:b/>
      <w:sz w:val="30"/>
      <w:szCs w:val="28"/>
      <w:lang w:val="en-US" w:eastAsia="zh-CN" w:bidi="ar-SA"/>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71"/>
    <w:next w:val="951"/>
    <w:link w:val="950"/>
    <w:qFormat/>
    <w:pPr>
      <w:contextualSpacing/>
      <w:ind w:left="720"/>
      <w:jc w:val="left"/>
      <w:widowControl/>
    </w:pPr>
    <w:rPr>
      <w:sz w:val="24"/>
      <w:szCs w:val="24"/>
      <w:lang w:eastAsia="en-US" w:bidi="en-US"/>
    </w:rPr>
  </w:style>
  <w:style w:type="paragraph" w:styleId="952">
    <w:name w:val="Body Text(ch)"/>
    <w:basedOn w:val="871"/>
    <w:next w:val="902"/>
    <w:link w:val="871"/>
    <w:pPr>
      <w:spacing w:after="120"/>
    </w:pPr>
    <w:rPr>
      <w:rFonts w:ascii="宋体" w:hAnsi="Arial" w:eastAsia="宋体" w:cs="Times New Roman"/>
      <w:bCs/>
      <w:iCs/>
      <w:szCs w:val="24"/>
    </w:rPr>
  </w:style>
  <w:style w:type="paragraph" w:styleId="953">
    <w:name w:val="xl27"/>
    <w:basedOn w:val="871"/>
    <w:next w:val="95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name w:val="xl26"/>
    <w:basedOn w:val="871"/>
    <w:next w:val="954"/>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Char"/>
    <w:basedOn w:val="871"/>
    <w:next w:val="955"/>
    <w:link w:val="871"/>
    <w:pPr>
      <w:ind w:firstLine="200"/>
      <w:tabs>
        <w:tab w:val="left" w:pos="360" w:leader="none"/>
      </w:tabs>
    </w:pPr>
    <w:rPr>
      <w:rFonts w:ascii="Times New Roman" w:hAnsi="Times New Roman" w:eastAsia="宋体" w:cs="Times New Roman"/>
      <w:sz w:val="28"/>
      <w:szCs w:val="30"/>
    </w:rPr>
  </w:style>
  <w:style w:type="paragraph" w:styleId="956">
    <w:name w:val=" Char"/>
    <w:basedOn w:val="896"/>
    <w:next w:val="956"/>
    <w:link w:val="871"/>
    <w:rPr>
      <w:rFonts w:ascii="Tahoma" w:hAnsi="Tahoma"/>
      <w:sz w:val="24"/>
      <w:szCs w:val="24"/>
    </w:rPr>
  </w:style>
  <w:style w:type="paragraph" w:styleId="957">
    <w:name w:val="普通正文"/>
    <w:basedOn w:val="871"/>
    <w:next w:val="957"/>
    <w:link w:val="871"/>
    <w:pPr>
      <w:ind w:firstLine="480"/>
      <w:jc w:val="left"/>
      <w:spacing w:before="120" w:after="120" w:line="360" w:lineRule="auto"/>
    </w:pPr>
    <w:rPr>
      <w:rFonts w:ascii="Arial" w:hAnsi="Arial" w:eastAsia="宋体" w:cs="Times New Roman"/>
      <w:sz w:val="24"/>
      <w:szCs w:val="24"/>
    </w:rPr>
  </w:style>
  <w:style w:type="paragraph" w:styleId="958">
    <w:name w:val="table_lines"/>
    <w:basedOn w:val="871"/>
    <w:next w:val="958"/>
    <w:link w:val="871"/>
    <w:pPr>
      <w:jc w:val="left"/>
      <w:widowControl/>
    </w:pPr>
    <w:rPr>
      <w:rFonts w:ascii="Times New Roman" w:hAnsi="Times New Roman" w:eastAsia="宋体" w:cs="Times New Roman"/>
      <w:sz w:val="20"/>
      <w:szCs w:val="20"/>
      <w:lang w:val="de-DE" w:eastAsia="de-DE"/>
    </w:rPr>
  </w:style>
  <w:style w:type="paragraph" w:styleId="959">
    <w:name w:val="附录1"/>
    <w:next w:val="959"/>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0">
    <w:name w:val="font7"/>
    <w:basedOn w:val="871"/>
    <w:next w:val="960"/>
    <w:link w:val="871"/>
    <w:pPr>
      <w:jc w:val="left"/>
      <w:spacing w:before="100" w:beforeAutospacing="1" w:after="100" w:afterAutospacing="1"/>
      <w:widowControl/>
    </w:pPr>
    <w:rPr>
      <w:rFonts w:hint="eastAsia" w:ascii="宋体" w:hAnsi="宋体" w:eastAsia="宋体" w:cs="Times New Roman"/>
      <w:sz w:val="18"/>
      <w:szCs w:val="18"/>
    </w:rPr>
  </w:style>
  <w:style w:type="paragraph" w:styleId="961">
    <w:name w:val=" Char Char Char Char"/>
    <w:basedOn w:val="896"/>
    <w:next w:val="961"/>
    <w:link w:val="871"/>
    <w:pPr>
      <w:spacing w:line="360" w:lineRule="auto"/>
    </w:pPr>
    <w:rPr>
      <w:rFonts w:ascii="Tahoma" w:hAnsi="Tahoma"/>
      <w:sz w:val="24"/>
      <w:szCs w:val="24"/>
    </w:rPr>
  </w:style>
  <w:style w:type="paragraph" w:styleId="962">
    <w:name w:val="列出段落"/>
    <w:basedOn w:val="871"/>
    <w:next w:val="962"/>
    <w:link w:val="871"/>
    <w:qFormat/>
    <w:pPr>
      <w:contextualSpacing/>
      <w:ind w:left="720"/>
      <w:jc w:val="left"/>
      <w:widowControl/>
    </w:pPr>
    <w:rPr>
      <w:rFonts w:ascii="Calibri" w:hAnsi="Calibri" w:eastAsia="宋体" w:cs="Times New Roman"/>
      <w:sz w:val="24"/>
      <w:szCs w:val="24"/>
      <w:lang w:eastAsia="en-US" w:bidi="en-US"/>
    </w:rPr>
  </w:style>
  <w:style w:type="paragraph" w:styleId="963">
    <w:name w:val="4"/>
    <w:basedOn w:val="871"/>
    <w:next w:val="926"/>
    <w:link w:val="871"/>
    <w:pPr>
      <w:ind w:firstLine="420"/>
      <w:spacing w:line="360" w:lineRule="auto"/>
    </w:pPr>
    <w:rPr>
      <w:rFonts w:ascii="Times New Roman" w:hAnsi="Times New Roman" w:eastAsia="宋体" w:cs="Times New Roman"/>
      <w:color w:val="ff0000"/>
      <w:sz w:val="24"/>
      <w:szCs w:val="24"/>
    </w:rPr>
  </w:style>
  <w:style w:type="paragraph" w:styleId="964">
    <w:name w:val="普通 (Web)"/>
    <w:basedOn w:val="871"/>
    <w:next w:val="964"/>
    <w:link w:val="871"/>
    <w:pPr>
      <w:jc w:val="left"/>
      <w:spacing w:before="100" w:beforeAutospacing="1" w:after="100" w:afterAutospacing="1"/>
      <w:widowControl/>
    </w:pPr>
    <w:rPr>
      <w:rFonts w:ascii="宋体" w:hAnsi="宋体" w:eastAsia="宋体" w:cs="Times New Roman"/>
      <w:sz w:val="24"/>
      <w:szCs w:val="24"/>
    </w:rPr>
  </w:style>
  <w:style w:type="paragraph" w:styleId="965">
    <w:name w:val=" Char Char Char Char Char Char Char Char Char Char"/>
    <w:basedOn w:val="871"/>
    <w:next w:val="965"/>
    <w:link w:val="871"/>
    <w:pPr>
      <w:spacing w:line="360" w:lineRule="auto"/>
    </w:pPr>
    <w:rPr>
      <w:rFonts w:ascii="Times New Roman" w:hAnsi="Times New Roman" w:eastAsia="宋体" w:cs="Times New Roman"/>
      <w:sz w:val="24"/>
      <w:szCs w:val="20"/>
    </w:rPr>
  </w:style>
  <w:style w:type="paragraph" w:styleId="966">
    <w:name w:val="样式1"/>
    <w:basedOn w:val="871"/>
    <w:next w:val="966"/>
    <w:link w:val="871"/>
    <w:pPr>
      <w:numPr>
        <w:ilvl w:val="0"/>
        <w:numId w:val="3"/>
      </w:numPr>
      <w:tabs>
        <w:tab w:val="left" w:pos="709" w:leader="none"/>
      </w:tabs>
    </w:pPr>
    <w:rPr>
      <w:rFonts w:ascii="宋体" w:hAnsi="宋体" w:eastAsia="宋体" w:cs="Times New Roman"/>
      <w:szCs w:val="21"/>
    </w:rPr>
  </w:style>
  <w:style w:type="paragraph" w:styleId="967">
    <w:name w:val="font6"/>
    <w:basedOn w:val="871"/>
    <w:next w:val="967"/>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68">
    <w:name w:val="xl25"/>
    <w:basedOn w:val="871"/>
    <w:next w:val="968"/>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0">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1">
    <w:name w:val="xl24"/>
    <w:basedOn w:val="871"/>
    <w:next w:val="97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name w:val="xl29"/>
    <w:basedOn w:val="871"/>
    <w:next w:val="972"/>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3">
    <w:name w:val="Char Char Char Char Char Char Char Char"/>
    <w:basedOn w:val="871"/>
    <w:next w:val="973"/>
    <w:link w:val="871"/>
    <w:pPr>
      <w:jc w:val="left"/>
      <w:spacing w:after="160" w:line="240" w:lineRule="exact"/>
      <w:widowControl/>
    </w:pPr>
    <w:rPr>
      <w:rFonts w:ascii="Verdana" w:hAnsi="Verdana" w:eastAsia="宋体" w:cs="Times New Roman"/>
      <w:sz w:val="20"/>
      <w:szCs w:val="20"/>
      <w:lang w:eastAsia="en-US"/>
    </w:rPr>
  </w:style>
  <w:style w:type="paragraph" w:styleId="974">
    <w:name w:val="xl28"/>
    <w:basedOn w:val="871"/>
    <w:next w:val="974"/>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5">
    <w:name w:val=" Char Char Char Char Char Char Char Char"/>
    <w:basedOn w:val="871"/>
    <w:next w:val="975"/>
    <w:link w:val="871"/>
    <w:pPr>
      <w:jc w:val="left"/>
      <w:spacing w:after="160" w:line="240" w:lineRule="exact"/>
      <w:widowControl/>
    </w:pPr>
    <w:rPr>
      <w:rFonts w:ascii="Verdana" w:hAnsi="Verdana" w:eastAsia="宋体" w:cs="Times New Roman"/>
      <w:sz w:val="20"/>
      <w:szCs w:val="20"/>
      <w:lang w:eastAsia="en-US"/>
    </w:rPr>
  </w:style>
  <w:style w:type="paragraph" w:styleId="976">
    <w:name w:val="xl30"/>
    <w:basedOn w:val="871"/>
    <w:next w:val="976"/>
    <w:link w:val="871"/>
    <w:pPr>
      <w:jc w:val="center"/>
      <w:spacing w:before="100" w:beforeAutospacing="1" w:after="100" w:afterAutospacing="1"/>
      <w:widowControl/>
    </w:pPr>
    <w:rPr>
      <w:rFonts w:ascii="宋体" w:hAnsi="宋体" w:eastAsia="宋体" w:cs="Times New Roman"/>
      <w:b/>
      <w:bCs/>
      <w:sz w:val="36"/>
      <w:szCs w:val="36"/>
    </w:rPr>
  </w:style>
  <w:style w:type="paragraph" w:styleId="977">
    <w:name w:val="Char Char Char Char"/>
    <w:basedOn w:val="896"/>
    <w:next w:val="977"/>
    <w:link w:val="871"/>
    <w:pPr>
      <w:spacing w:line="360" w:lineRule="auto"/>
    </w:pPr>
    <w:rPr>
      <w:rFonts w:ascii="Tahoma" w:hAnsi="Tahoma"/>
      <w:sz w:val="24"/>
      <w:szCs w:val="24"/>
    </w:rPr>
  </w:style>
  <w:style w:type="paragraph" w:styleId="978">
    <w:name w:val="table_1stline"/>
    <w:basedOn w:val="871"/>
    <w:next w:val="978"/>
    <w:link w:val="871"/>
    <w:pPr>
      <w:jc w:val="left"/>
      <w:spacing w:before="120"/>
      <w:widowControl/>
    </w:pPr>
    <w:rPr>
      <w:rFonts w:ascii="Times New Roman" w:hAnsi="Times New Roman" w:eastAsia="宋体" w:cs="Times New Roman"/>
      <w:bCs/>
      <w:sz w:val="20"/>
      <w:szCs w:val="20"/>
      <w:lang w:val="de-DE" w:eastAsia="de-DE"/>
    </w:rPr>
  </w:style>
  <w:style w:type="paragraph" w:styleId="979">
    <w:name w:val="font5"/>
    <w:basedOn w:val="871"/>
    <w:next w:val="979"/>
    <w:link w:val="871"/>
    <w:pPr>
      <w:jc w:val="left"/>
      <w:spacing w:before="100" w:beforeAutospacing="1" w:after="100" w:afterAutospacing="1"/>
      <w:widowControl/>
    </w:pPr>
    <w:rPr>
      <w:rFonts w:hint="eastAsia" w:ascii="宋体" w:hAnsi="宋体" w:eastAsia="宋体" w:cs="Times New Roman"/>
      <w:sz w:val="28"/>
      <w:szCs w:val="28"/>
    </w:rPr>
  </w:style>
  <w:style w:type="paragraph" w:styleId="980">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1">
    <w:name w:val="修订"/>
    <w:next w:val="981"/>
    <w:link w:val="871"/>
    <w:uiPriority w:val="99"/>
    <w:semiHidden/>
    <w:rPr>
      <w:rFonts w:ascii="Times New Roman" w:hAnsi="Times New Roman"/>
      <w:sz w:val="21"/>
      <w:szCs w:val="21"/>
      <w:lang w:val="en-US" w:eastAsia="zh-CN" w:bidi="ar-SA"/>
    </w:rPr>
  </w:style>
  <w:style w:type="paragraph" w:styleId="982">
    <w:name w:val="无间隔"/>
    <w:next w:val="982"/>
    <w:link w:val="871"/>
    <w:uiPriority w:val="99"/>
    <w:qFormat/>
    <w:pPr>
      <w:jc w:val="both"/>
      <w:widowControl w:val="off"/>
    </w:pPr>
    <w:rPr>
      <w:rFonts w:ascii="Times New Roman" w:hAnsi="Times New Roman"/>
      <w:sz w:val="21"/>
      <w:szCs w:val="21"/>
      <w:lang w:val="en-US" w:eastAsia="zh-CN" w:bidi="ar-SA"/>
    </w:rPr>
  </w:style>
  <w:style w:type="paragraph" w:styleId="983">
    <w:name w:val="正文首行缩进 21"/>
    <w:basedOn w:val="984"/>
    <w:next w:val="871"/>
    <w:link w:val="871"/>
    <w:qFormat/>
    <w:pPr>
      <w:ind w:left="0" w:firstLine="420"/>
      <w:spacing w:after="0" w:line="360" w:lineRule="auto"/>
    </w:pPr>
    <w:rPr>
      <w:rFonts w:ascii="宋体" w:hAnsi="宋体" w:eastAsia="宋体" w:cs="Times New Roman"/>
      <w:szCs w:val="20"/>
    </w:rPr>
  </w:style>
  <w:style w:type="paragraph" w:styleId="984">
    <w:name w:val="正文文本缩进11"/>
    <w:basedOn w:val="871"/>
    <w:next w:val="985"/>
    <w:link w:val="871"/>
    <w:unhideWhenUsed/>
    <w:qFormat/>
    <w:pPr>
      <w:ind w:left="420"/>
      <w:spacing w:after="120"/>
    </w:pPr>
  </w:style>
  <w:style w:type="paragraph" w:styleId="985">
    <w:name w:val="寄信人地址1"/>
    <w:basedOn w:val="871"/>
    <w:next w:val="985"/>
    <w:link w:val="871"/>
    <w:qFormat/>
    <w:rPr>
      <w:rFonts w:ascii="Arial" w:hAnsi="Arial" w:eastAsia="宋体" w:cs="宋体"/>
    </w:rPr>
  </w:style>
  <w:style w:type="character" w:styleId="986">
    <w:name w:val="font51"/>
    <w:basedOn w:val="881"/>
    <w:next w:val="986"/>
    <w:link w:val="871"/>
    <w:rPr>
      <w:rFonts w:hint="eastAsia" w:ascii="宋体" w:hAnsi="宋体" w:eastAsia="宋体" w:cs="宋体"/>
      <w:i w:val="0"/>
      <w:iCs w:val="0"/>
      <w:color w:val="000000"/>
      <w:sz w:val="20"/>
      <w:szCs w:val="20"/>
      <w:u w:val="none"/>
    </w:rPr>
  </w:style>
  <w:style w:type="character" w:styleId="987">
    <w:name w:val="font61"/>
    <w:basedOn w:val="881"/>
    <w:next w:val="987"/>
    <w:link w:val="871"/>
    <w:rPr>
      <w:rFonts w:hint="eastAsia" w:ascii="宋体" w:hAnsi="宋体" w:eastAsia="宋体" w:cs="宋体"/>
      <w:i w:val="0"/>
      <w:iCs w:val="0"/>
      <w:color w:val="000000"/>
      <w:sz w:val="20"/>
      <w:szCs w:val="20"/>
      <w:u w:val="none"/>
    </w:rPr>
  </w:style>
  <w:style w:type="character" w:styleId="988" w:default="1">
    <w:name w:val="Default Paragraph Font"/>
    <w:uiPriority w:val="1"/>
    <w:semiHidden/>
    <w:unhideWhenUsed/>
  </w:style>
  <w:style w:type="numbering" w:styleId="989" w:default="1">
    <w:name w:val="No List"/>
    <w:uiPriority w:val="99"/>
    <w:semiHidden/>
    <w:unhideWhenUsed/>
  </w:style>
  <w:style w:type="table" w:styleId="9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张蓉</dc:creator>
  <cp:lastModifiedBy>张蓉蓉</cp:lastModifiedBy>
  <cp:revision>4</cp:revision>
  <dcterms:created xsi:type="dcterms:W3CDTF">2023-03-16T02:13:00Z</dcterms:created>
  <dcterms:modified xsi:type="dcterms:W3CDTF">2026-09-30T07:42:19Z</dcterms:modified>
</cp:coreProperties>
</file>